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47B96" w14:textId="29C1629E" w:rsidR="00435CFC" w:rsidRDefault="00435CFC" w:rsidP="00435CFC">
      <w:pPr>
        <w:jc w:val="center"/>
        <w:rPr>
          <w:rFonts w:ascii="Times New Roman" w:hAnsi="Times New Roman" w:cs="Times New Roman"/>
          <w:b/>
          <w:sz w:val="56"/>
          <w:szCs w:val="56"/>
        </w:rPr>
      </w:pPr>
    </w:p>
    <w:p w14:paraId="7AF0FF5E" w14:textId="77777777" w:rsidR="00C80B8F" w:rsidRPr="008B628A" w:rsidRDefault="00C80B8F" w:rsidP="00435CFC">
      <w:pPr>
        <w:jc w:val="center"/>
        <w:rPr>
          <w:rFonts w:ascii="Times New Roman" w:hAnsi="Times New Roman" w:cs="Times New Roman"/>
          <w:b/>
          <w:sz w:val="56"/>
          <w:szCs w:val="56"/>
        </w:rPr>
      </w:pPr>
    </w:p>
    <w:p w14:paraId="4B6C00CB" w14:textId="77777777" w:rsidR="00435CFC" w:rsidRPr="008B628A" w:rsidRDefault="00435CFC" w:rsidP="00435CFC">
      <w:pPr>
        <w:jc w:val="center"/>
        <w:rPr>
          <w:rFonts w:ascii="Times New Roman" w:hAnsi="Times New Roman" w:cs="Times New Roman"/>
          <w:b/>
          <w:sz w:val="56"/>
          <w:szCs w:val="56"/>
        </w:rPr>
      </w:pPr>
    </w:p>
    <w:p w14:paraId="593BC4CB" w14:textId="12B77909" w:rsidR="00435CFC" w:rsidRPr="008B628A" w:rsidRDefault="00435CFC" w:rsidP="00435CFC">
      <w:pPr>
        <w:jc w:val="center"/>
        <w:rPr>
          <w:rFonts w:ascii="Times New Roman" w:hAnsi="Times New Roman" w:cs="Times New Roman"/>
          <w:b/>
          <w:sz w:val="56"/>
          <w:szCs w:val="56"/>
        </w:rPr>
      </w:pPr>
    </w:p>
    <w:p w14:paraId="1B741D65" w14:textId="77777777" w:rsidR="00435CFC" w:rsidRPr="008B628A" w:rsidRDefault="00435CFC" w:rsidP="00435CFC">
      <w:pPr>
        <w:jc w:val="center"/>
        <w:rPr>
          <w:rFonts w:ascii="Times New Roman" w:hAnsi="Times New Roman" w:cs="Times New Roman"/>
          <w:b/>
          <w:sz w:val="56"/>
          <w:szCs w:val="56"/>
        </w:rPr>
      </w:pPr>
    </w:p>
    <w:p w14:paraId="02455240" w14:textId="77777777" w:rsidR="00435CFC" w:rsidRPr="008B628A" w:rsidRDefault="00435CFC" w:rsidP="00435CFC">
      <w:pPr>
        <w:jc w:val="center"/>
        <w:rPr>
          <w:rFonts w:ascii="Times New Roman" w:hAnsi="Times New Roman" w:cs="Times New Roman"/>
          <w:b/>
          <w:sz w:val="56"/>
          <w:szCs w:val="56"/>
        </w:rPr>
      </w:pPr>
    </w:p>
    <w:p w14:paraId="3E009AE3" w14:textId="2967E965" w:rsidR="00435CFC" w:rsidRPr="008B628A" w:rsidRDefault="00435CFC" w:rsidP="00435CFC">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1271862F" w14:textId="41CEA044" w:rsidR="002E1762" w:rsidRPr="008B628A" w:rsidRDefault="002E1762" w:rsidP="00435CFC">
      <w:pPr>
        <w:jc w:val="center"/>
        <w:rPr>
          <w:rFonts w:ascii="Times New Roman" w:hAnsi="Times New Roman" w:cs="Times New Roman"/>
          <w:b/>
          <w:sz w:val="40"/>
          <w:szCs w:val="40"/>
        </w:rPr>
      </w:pPr>
      <w:r w:rsidRPr="008B628A">
        <w:rPr>
          <w:rFonts w:ascii="Times New Roman" w:hAnsi="Times New Roman" w:cs="Times New Roman"/>
          <w:b/>
          <w:sz w:val="40"/>
          <w:szCs w:val="40"/>
        </w:rPr>
        <w:t>PROJEKTS</w:t>
      </w:r>
    </w:p>
    <w:p w14:paraId="2EE7273F" w14:textId="6AE56BFF" w:rsidR="002E1762" w:rsidRPr="008B628A" w:rsidRDefault="002E1762" w:rsidP="00435CFC">
      <w:pPr>
        <w:jc w:val="center"/>
        <w:rPr>
          <w:rFonts w:ascii="Times New Roman" w:hAnsi="Times New Roman" w:cs="Times New Roman"/>
          <w:b/>
          <w:sz w:val="28"/>
          <w:szCs w:val="28"/>
        </w:rPr>
      </w:pPr>
      <w:r w:rsidRPr="008B628A">
        <w:rPr>
          <w:rFonts w:ascii="Times New Roman" w:hAnsi="Times New Roman" w:cs="Times New Roman"/>
          <w:b/>
          <w:sz w:val="28"/>
          <w:szCs w:val="28"/>
        </w:rPr>
        <w:t>IESNIEGŠANAI EIROPAS KOMISIJĀ IZVĒRTĒJUMAM</w:t>
      </w:r>
    </w:p>
    <w:p w14:paraId="7623991B" w14:textId="77777777" w:rsidR="00435CFC" w:rsidRPr="008B628A" w:rsidRDefault="00435CFC">
      <w:pPr>
        <w:rPr>
          <w:rFonts w:ascii="Times New Roman" w:hAnsi="Times New Roman" w:cs="Times New Roman"/>
          <w:b/>
          <w:sz w:val="28"/>
          <w:szCs w:val="28"/>
        </w:rPr>
      </w:pPr>
    </w:p>
    <w:p w14:paraId="291F9F91" w14:textId="77777777" w:rsidR="00435CFC" w:rsidRPr="008B628A" w:rsidRDefault="00435CFC">
      <w:pPr>
        <w:rPr>
          <w:rFonts w:ascii="Times New Roman" w:hAnsi="Times New Roman" w:cs="Times New Roman"/>
          <w:b/>
          <w:sz w:val="28"/>
          <w:szCs w:val="28"/>
        </w:rPr>
      </w:pPr>
    </w:p>
    <w:p w14:paraId="57468052" w14:textId="77777777" w:rsidR="00435CFC" w:rsidRPr="008B628A" w:rsidRDefault="00435CFC">
      <w:pPr>
        <w:rPr>
          <w:rFonts w:ascii="Times New Roman" w:hAnsi="Times New Roman" w:cs="Times New Roman"/>
          <w:b/>
          <w:sz w:val="28"/>
          <w:szCs w:val="28"/>
        </w:rPr>
      </w:pPr>
    </w:p>
    <w:p w14:paraId="41DA4315" w14:textId="77777777" w:rsidR="00435CFC" w:rsidRPr="008B628A" w:rsidRDefault="00435CFC">
      <w:pPr>
        <w:rPr>
          <w:rFonts w:ascii="Times New Roman" w:hAnsi="Times New Roman" w:cs="Times New Roman"/>
          <w:b/>
          <w:sz w:val="28"/>
          <w:szCs w:val="28"/>
        </w:rPr>
      </w:pPr>
    </w:p>
    <w:p w14:paraId="1AE5D588" w14:textId="126A8BC2" w:rsidR="00435CFC" w:rsidRPr="008B628A" w:rsidRDefault="00435CFC">
      <w:pPr>
        <w:rPr>
          <w:rFonts w:ascii="Times New Roman" w:hAnsi="Times New Roman" w:cs="Times New Roman"/>
          <w:b/>
          <w:sz w:val="28"/>
          <w:szCs w:val="28"/>
        </w:rPr>
      </w:pPr>
    </w:p>
    <w:p w14:paraId="1C803A17" w14:textId="74C2261F" w:rsidR="009A6A05" w:rsidRPr="008B628A" w:rsidRDefault="009A6A05">
      <w:pPr>
        <w:rPr>
          <w:rFonts w:ascii="Times New Roman" w:hAnsi="Times New Roman" w:cs="Times New Roman"/>
          <w:b/>
          <w:sz w:val="28"/>
          <w:szCs w:val="28"/>
        </w:rPr>
      </w:pPr>
    </w:p>
    <w:p w14:paraId="573D6274" w14:textId="68F6EB42" w:rsidR="00F83DA8" w:rsidRPr="008B628A" w:rsidRDefault="00F83DA8">
      <w:pPr>
        <w:rPr>
          <w:rFonts w:ascii="Times New Roman" w:hAnsi="Times New Roman" w:cs="Times New Roman"/>
          <w:b/>
          <w:sz w:val="28"/>
          <w:szCs w:val="28"/>
        </w:rPr>
      </w:pPr>
    </w:p>
    <w:p w14:paraId="63AC2B20" w14:textId="77777777" w:rsidR="00F83DA8" w:rsidRPr="008B628A" w:rsidRDefault="00F83DA8">
      <w:pPr>
        <w:rPr>
          <w:rFonts w:ascii="Times New Roman" w:hAnsi="Times New Roman" w:cs="Times New Roman"/>
          <w:b/>
          <w:sz w:val="28"/>
          <w:szCs w:val="28"/>
        </w:rPr>
      </w:pPr>
    </w:p>
    <w:p w14:paraId="299CDA4F" w14:textId="77777777" w:rsidR="009A6A05" w:rsidRPr="008B628A" w:rsidRDefault="009A6A05">
      <w:pPr>
        <w:rPr>
          <w:rFonts w:ascii="Times New Roman" w:hAnsi="Times New Roman" w:cs="Times New Roman"/>
          <w:b/>
          <w:sz w:val="28"/>
          <w:szCs w:val="28"/>
        </w:rPr>
      </w:pPr>
    </w:p>
    <w:p w14:paraId="6D062058" w14:textId="016FC6F8" w:rsidR="00435CFC" w:rsidRPr="008B628A" w:rsidRDefault="00435CFC" w:rsidP="009A6A05">
      <w:pPr>
        <w:jc w:val="center"/>
        <w:rPr>
          <w:rFonts w:ascii="Times New Roman" w:hAnsi="Times New Roman" w:cs="Times New Roman"/>
          <w:b/>
          <w:sz w:val="28"/>
          <w:szCs w:val="28"/>
        </w:rPr>
      </w:pPr>
      <w:r w:rsidRPr="008B628A">
        <w:rPr>
          <w:rFonts w:ascii="Times New Roman" w:hAnsi="Times New Roman" w:cs="Times New Roman"/>
          <w:b/>
          <w:sz w:val="28"/>
          <w:szCs w:val="28"/>
        </w:rPr>
        <w:t>Rīga, 2018</w:t>
      </w:r>
      <w:r w:rsidRPr="008B628A">
        <w:rPr>
          <w:rFonts w:ascii="Times New Roman" w:hAnsi="Times New Roman" w:cs="Times New Roman"/>
          <w:b/>
          <w:sz w:val="28"/>
          <w:szCs w:val="28"/>
        </w:rPr>
        <w:br w:type="page"/>
      </w:r>
    </w:p>
    <w:p w14:paraId="2F4A59ED" w14:textId="77777777" w:rsidR="00B764D5" w:rsidRPr="008B628A" w:rsidRDefault="002729AC" w:rsidP="00D65C44">
      <w:pPr>
        <w:pStyle w:val="TOCHeading"/>
        <w:spacing w:before="60" w:after="60" w:line="240" w:lineRule="auto"/>
        <w:rPr>
          <w:rFonts w:ascii="Times New Roman" w:hAnsi="Times New Roman"/>
          <w:b/>
          <w:color w:val="auto"/>
          <w:sz w:val="28"/>
          <w:szCs w:val="28"/>
          <w:lang w:val="lv-LV"/>
        </w:rPr>
      </w:pPr>
      <w:r w:rsidRPr="008B628A">
        <w:rPr>
          <w:rFonts w:ascii="Times New Roman" w:hAnsi="Times New Roman"/>
          <w:b/>
          <w:color w:val="auto"/>
          <w:sz w:val="28"/>
          <w:szCs w:val="28"/>
          <w:lang w:val="lv-LV"/>
        </w:rPr>
        <w:lastRenderedPageBreak/>
        <w:t>SATURS</w:t>
      </w:r>
    </w:p>
    <w:sdt>
      <w:sdtPr>
        <w:rPr>
          <w:rFonts w:ascii="Times New Roman" w:hAnsi="Times New Roman" w:cs="Times New Roman"/>
          <w:szCs w:val="24"/>
        </w:rPr>
        <w:id w:val="628755180"/>
        <w:docPartObj>
          <w:docPartGallery w:val="Table of Contents"/>
          <w:docPartUnique/>
        </w:docPartObj>
      </w:sdtPr>
      <w:sdtEndPr>
        <w:rPr>
          <w:rFonts w:asciiTheme="minorHAnsi" w:hAnsiTheme="minorHAnsi" w:cstheme="minorBidi"/>
          <w:b/>
          <w:bCs/>
          <w:noProof/>
          <w:szCs w:val="22"/>
        </w:rPr>
      </w:sdtEndPr>
      <w:sdtContent>
        <w:p w14:paraId="66B4A674" w14:textId="71E9BED1" w:rsidR="002729AC" w:rsidRPr="008B628A" w:rsidRDefault="002729AC" w:rsidP="00A44CF8">
          <w:pPr>
            <w:spacing w:after="0" w:line="240" w:lineRule="auto"/>
            <w:rPr>
              <w:rFonts w:ascii="Times New Roman" w:hAnsi="Times New Roman" w:cs="Times New Roman"/>
              <w:sz w:val="8"/>
              <w:szCs w:val="8"/>
            </w:rPr>
          </w:pPr>
        </w:p>
        <w:p w14:paraId="667C93D6" w14:textId="42C51075" w:rsidR="008A4508" w:rsidRPr="008A4508" w:rsidRDefault="001B503E" w:rsidP="008A4508">
          <w:pPr>
            <w:pStyle w:val="TOC1"/>
            <w:tabs>
              <w:tab w:val="right" w:leader="dot" w:pos="9061"/>
            </w:tabs>
            <w:spacing w:after="0" w:line="240" w:lineRule="auto"/>
            <w:jc w:val="both"/>
            <w:rPr>
              <w:rFonts w:ascii="Times New Roman" w:eastAsiaTheme="minorEastAsia" w:hAnsi="Times New Roman" w:cs="Times New Roman"/>
              <w:noProof/>
              <w:sz w:val="22"/>
              <w:lang w:eastAsia="lv-LV"/>
            </w:rPr>
          </w:pPr>
          <w:r w:rsidRPr="00686B2A">
            <w:rPr>
              <w:rFonts w:ascii="Times New Roman" w:hAnsi="Times New Roman" w:cs="Times New Roman"/>
              <w:szCs w:val="24"/>
            </w:rPr>
            <w:fldChar w:fldCharType="begin"/>
          </w:r>
          <w:r w:rsidRPr="00686B2A">
            <w:rPr>
              <w:rFonts w:ascii="Times New Roman" w:hAnsi="Times New Roman" w:cs="Times New Roman"/>
              <w:szCs w:val="24"/>
            </w:rPr>
            <w:instrText xml:space="preserve"> TOC \o "1-2" \h \z \u </w:instrText>
          </w:r>
          <w:r w:rsidRPr="00686B2A">
            <w:rPr>
              <w:rFonts w:ascii="Times New Roman" w:hAnsi="Times New Roman" w:cs="Times New Roman"/>
              <w:szCs w:val="24"/>
            </w:rPr>
            <w:fldChar w:fldCharType="separate"/>
          </w:r>
          <w:hyperlink w:anchor="_Toc532909993" w:history="1">
            <w:r w:rsidR="008A4508" w:rsidRPr="008A4508">
              <w:rPr>
                <w:rStyle w:val="Hyperlink"/>
                <w:rFonts w:ascii="Times New Roman" w:hAnsi="Times New Roman" w:cs="Times New Roman"/>
                <w:noProof/>
              </w:rPr>
              <w:t>SAĪSINĀJUMI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_Toc532909993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3</w:t>
            </w:r>
            <w:r w:rsidR="008A4508" w:rsidRPr="008A4508">
              <w:rPr>
                <w:rFonts w:ascii="Times New Roman" w:hAnsi="Times New Roman" w:cs="Times New Roman"/>
                <w:noProof/>
                <w:webHidden/>
              </w:rPr>
              <w:fldChar w:fldCharType="end"/>
            </w:r>
          </w:hyperlink>
        </w:p>
        <w:p w14:paraId="54406683" w14:textId="0F7B62B2"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4" w:history="1">
            <w:r w:rsidR="008A4508" w:rsidRPr="008A4508">
              <w:rPr>
                <w:rStyle w:val="Hyperlink"/>
                <w:rFonts w:ascii="Times New Roman" w:hAnsi="Times New Roman" w:cs="Times New Roman"/>
                <w:noProof/>
              </w:rPr>
              <w:t>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PĀRSKATS UN PLĀNA IZVEIDES PROCESS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_Toc532909994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5</w:t>
            </w:r>
            <w:r w:rsidR="008A4508" w:rsidRPr="008A4508">
              <w:rPr>
                <w:rFonts w:ascii="Times New Roman" w:hAnsi="Times New Roman" w:cs="Times New Roman"/>
                <w:noProof/>
                <w:webHidden/>
              </w:rPr>
              <w:fldChar w:fldCharType="end"/>
            </w:r>
          </w:hyperlink>
        </w:p>
        <w:p w14:paraId="45A98D66" w14:textId="2C93710F"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5" w:history="1">
            <w:r w:rsidR="008A4508" w:rsidRPr="008A4508">
              <w:rPr>
                <w:rStyle w:val="Hyperlink"/>
                <w:rFonts w:ascii="Times New Roman" w:hAnsi="Times New Roman" w:cs="Times New Roman"/>
                <w:noProof/>
              </w:rPr>
              <w:t>1.1.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Kopsavilkums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_Toc532909995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5</w:t>
            </w:r>
            <w:r w:rsidR="008A4508" w:rsidRPr="008A4508">
              <w:rPr>
                <w:rFonts w:ascii="Times New Roman" w:hAnsi="Times New Roman" w:cs="Times New Roman"/>
                <w:noProof/>
                <w:webHidden/>
              </w:rPr>
              <w:fldChar w:fldCharType="end"/>
            </w:r>
          </w:hyperlink>
        </w:p>
        <w:p w14:paraId="14A26BC8" w14:textId="41047B88"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6" w:history="1">
            <w:r w:rsidR="008A4508" w:rsidRPr="008A4508">
              <w:rPr>
                <w:rStyle w:val="Hyperlink"/>
                <w:rFonts w:ascii="Times New Roman" w:hAnsi="Times New Roman" w:cs="Times New Roman"/>
                <w:noProof/>
              </w:rPr>
              <w:t>1.2.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Pašreizējā rīcībpolitikas stāvokļa apskats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_Toc532909996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9</w:t>
            </w:r>
            <w:r w:rsidR="008A4508" w:rsidRPr="008A4508">
              <w:rPr>
                <w:rFonts w:ascii="Times New Roman" w:hAnsi="Times New Roman" w:cs="Times New Roman"/>
                <w:noProof/>
                <w:webHidden/>
              </w:rPr>
              <w:fldChar w:fldCharType="end"/>
            </w:r>
          </w:hyperlink>
        </w:p>
        <w:p w14:paraId="360D9672" w14:textId="2B519D1A"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7" w:history="1">
            <w:r w:rsidR="008A4508" w:rsidRPr="008A4508">
              <w:rPr>
                <w:rStyle w:val="Hyperlink"/>
                <w:rFonts w:ascii="Times New Roman" w:hAnsi="Times New Roman" w:cs="Times New Roman"/>
                <w:noProof/>
              </w:rPr>
              <w:t>1.3.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Apspriede ar valsts un ES struktūrām, to iesaiste un attiecīgie rezultāti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_Toc532909997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14</w:t>
            </w:r>
            <w:r w:rsidR="008A4508" w:rsidRPr="008A4508">
              <w:rPr>
                <w:rFonts w:ascii="Times New Roman" w:hAnsi="Times New Roman" w:cs="Times New Roman"/>
                <w:noProof/>
                <w:webHidden/>
              </w:rPr>
              <w:fldChar w:fldCharType="end"/>
            </w:r>
          </w:hyperlink>
        </w:p>
        <w:p w14:paraId="4251757F" w14:textId="767786F8"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8" w:history="1">
            <w:r w:rsidR="008A4508" w:rsidRPr="008A4508">
              <w:rPr>
                <w:rStyle w:val="Hyperlink"/>
                <w:rFonts w:ascii="Times New Roman" w:hAnsi="Times New Roman" w:cs="Times New Roman"/>
                <w:noProof/>
              </w:rPr>
              <w:t>1.4.</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Reģionālā sadarbība plāna sagatavošanā</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_Toc532909998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16</w:t>
            </w:r>
            <w:r w:rsidR="008A4508" w:rsidRPr="008A4508">
              <w:rPr>
                <w:rFonts w:ascii="Times New Roman" w:hAnsi="Times New Roman" w:cs="Times New Roman"/>
                <w:noProof/>
                <w:webHidden/>
              </w:rPr>
              <w:fldChar w:fldCharType="end"/>
            </w:r>
          </w:hyperlink>
        </w:p>
        <w:p w14:paraId="4A155A0F" w14:textId="714F4223"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09999" w:history="1">
            <w:r w:rsidR="008A4508" w:rsidRPr="008A4508">
              <w:rPr>
                <w:rStyle w:val="Hyperlink"/>
                <w:rFonts w:ascii="Times New Roman" w:hAnsi="Times New Roman" w:cs="Times New Roman"/>
                <w:noProof/>
              </w:rPr>
              <w:t>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NACIONĀLIE MĒRĶI UN MĒRĶRĀDĪTĀJI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_Toc532909999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17</w:t>
            </w:r>
            <w:r w:rsidR="008A4508" w:rsidRPr="008A4508">
              <w:rPr>
                <w:rFonts w:ascii="Times New Roman" w:hAnsi="Times New Roman" w:cs="Times New Roman"/>
                <w:noProof/>
                <w:webHidden/>
              </w:rPr>
              <w:fldChar w:fldCharType="end"/>
            </w:r>
          </w:hyperlink>
        </w:p>
        <w:p w14:paraId="302CD1E2" w14:textId="4569AC8A"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0" w:history="1">
            <w:r w:rsidR="008A4508" w:rsidRPr="008A4508">
              <w:rPr>
                <w:rStyle w:val="Hyperlink"/>
                <w:rFonts w:ascii="Times New Roman" w:hAnsi="Times New Roman" w:cs="Times New Roman"/>
                <w:noProof/>
              </w:rPr>
              <w:t>2.1.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Dekarbonizācija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_Toc532910000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17</w:t>
            </w:r>
            <w:r w:rsidR="008A4508" w:rsidRPr="008A4508">
              <w:rPr>
                <w:rFonts w:ascii="Times New Roman" w:hAnsi="Times New Roman" w:cs="Times New Roman"/>
                <w:noProof/>
                <w:webHidden/>
              </w:rPr>
              <w:fldChar w:fldCharType="end"/>
            </w:r>
          </w:hyperlink>
        </w:p>
        <w:p w14:paraId="427C9C2D" w14:textId="26C1F4C1"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1" w:history="1">
            <w:r w:rsidR="008A4508" w:rsidRPr="008A4508">
              <w:rPr>
                <w:rStyle w:val="Hyperlink"/>
                <w:rFonts w:ascii="Times New Roman" w:hAnsi="Times New Roman" w:cs="Times New Roman"/>
                <w:noProof/>
              </w:rPr>
              <w:t>2.2.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Energoefektivitāte</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_Toc532910001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25</w:t>
            </w:r>
            <w:r w:rsidR="008A4508" w:rsidRPr="008A4508">
              <w:rPr>
                <w:rFonts w:ascii="Times New Roman" w:hAnsi="Times New Roman" w:cs="Times New Roman"/>
                <w:noProof/>
                <w:webHidden/>
              </w:rPr>
              <w:fldChar w:fldCharType="end"/>
            </w:r>
          </w:hyperlink>
        </w:p>
        <w:p w14:paraId="4180325B" w14:textId="2D0806DA"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2" w:history="1">
            <w:r w:rsidR="008A4508" w:rsidRPr="008A4508">
              <w:rPr>
                <w:rStyle w:val="Hyperlink"/>
                <w:rFonts w:ascii="Times New Roman" w:hAnsi="Times New Roman" w:cs="Times New Roman"/>
                <w:noProof/>
              </w:rPr>
              <w:t>2.3.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Enerģētiskā drošība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_Toc532910002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30</w:t>
            </w:r>
            <w:r w:rsidR="008A4508" w:rsidRPr="008A4508">
              <w:rPr>
                <w:rFonts w:ascii="Times New Roman" w:hAnsi="Times New Roman" w:cs="Times New Roman"/>
                <w:noProof/>
                <w:webHidden/>
              </w:rPr>
              <w:fldChar w:fldCharType="end"/>
            </w:r>
          </w:hyperlink>
        </w:p>
        <w:p w14:paraId="6E1895E3" w14:textId="46DC50CB"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3" w:history="1">
            <w:r w:rsidR="008A4508" w:rsidRPr="008A4508">
              <w:rPr>
                <w:rStyle w:val="Hyperlink"/>
                <w:rFonts w:ascii="Times New Roman" w:hAnsi="Times New Roman" w:cs="Times New Roman"/>
                <w:noProof/>
              </w:rPr>
              <w:t>2.4.</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Iekšējais enerģijas tirgus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_Toc532910003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32</w:t>
            </w:r>
            <w:r w:rsidR="008A4508" w:rsidRPr="008A4508">
              <w:rPr>
                <w:rFonts w:ascii="Times New Roman" w:hAnsi="Times New Roman" w:cs="Times New Roman"/>
                <w:noProof/>
                <w:webHidden/>
              </w:rPr>
              <w:fldChar w:fldCharType="end"/>
            </w:r>
          </w:hyperlink>
        </w:p>
        <w:p w14:paraId="403B1495" w14:textId="167CB0E5"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4" w:history="1">
            <w:r w:rsidR="008A4508" w:rsidRPr="008A4508">
              <w:rPr>
                <w:rStyle w:val="Hyperlink"/>
                <w:rFonts w:ascii="Times New Roman" w:hAnsi="Times New Roman" w:cs="Times New Roman"/>
                <w:noProof/>
              </w:rPr>
              <w:t>2.5.</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Pētniecība, inovācija un konkurētspēja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_Toc532910004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39</w:t>
            </w:r>
            <w:r w:rsidR="008A4508" w:rsidRPr="008A4508">
              <w:rPr>
                <w:rFonts w:ascii="Times New Roman" w:hAnsi="Times New Roman" w:cs="Times New Roman"/>
                <w:noProof/>
                <w:webHidden/>
              </w:rPr>
              <w:fldChar w:fldCharType="end"/>
            </w:r>
          </w:hyperlink>
        </w:p>
        <w:p w14:paraId="3591805B" w14:textId="63AF5956"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5" w:history="1">
            <w:r w:rsidR="008A4508" w:rsidRPr="008A4508">
              <w:rPr>
                <w:rStyle w:val="Hyperlink"/>
                <w:rFonts w:ascii="Times New Roman" w:hAnsi="Times New Roman" w:cs="Times New Roman"/>
                <w:noProof/>
              </w:rPr>
              <w:t>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RĪCĪBPOLITIKAS UN PASĀKUMI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_Toc532910005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42</w:t>
            </w:r>
            <w:r w:rsidR="008A4508" w:rsidRPr="008A4508">
              <w:rPr>
                <w:rFonts w:ascii="Times New Roman" w:hAnsi="Times New Roman" w:cs="Times New Roman"/>
                <w:noProof/>
                <w:webHidden/>
              </w:rPr>
              <w:fldChar w:fldCharType="end"/>
            </w:r>
          </w:hyperlink>
        </w:p>
        <w:p w14:paraId="29F5EFF0" w14:textId="57DFFF1F"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6" w:history="1">
            <w:r w:rsidR="008A4508" w:rsidRPr="008A4508">
              <w:rPr>
                <w:rStyle w:val="Hyperlink"/>
                <w:rFonts w:ascii="Times New Roman" w:hAnsi="Times New Roman" w:cs="Times New Roman"/>
                <w:noProof/>
              </w:rPr>
              <w:t>3.1.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Dekarbonizācija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_Toc532910006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42</w:t>
            </w:r>
            <w:r w:rsidR="008A4508" w:rsidRPr="008A4508">
              <w:rPr>
                <w:rFonts w:ascii="Times New Roman" w:hAnsi="Times New Roman" w:cs="Times New Roman"/>
                <w:noProof/>
                <w:webHidden/>
              </w:rPr>
              <w:fldChar w:fldCharType="end"/>
            </w:r>
          </w:hyperlink>
        </w:p>
        <w:p w14:paraId="5B028B99" w14:textId="1F309202"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7" w:history="1">
            <w:r w:rsidR="008A4508" w:rsidRPr="008A4508">
              <w:rPr>
                <w:rStyle w:val="Hyperlink"/>
                <w:rFonts w:ascii="Times New Roman" w:hAnsi="Times New Roman" w:cs="Times New Roman"/>
                <w:noProof/>
              </w:rPr>
              <w:t>3.2.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Energoefektivitāte</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_Toc532910007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47</w:t>
            </w:r>
            <w:r w:rsidR="008A4508" w:rsidRPr="008A4508">
              <w:rPr>
                <w:rFonts w:ascii="Times New Roman" w:hAnsi="Times New Roman" w:cs="Times New Roman"/>
                <w:noProof/>
                <w:webHidden/>
              </w:rPr>
              <w:fldChar w:fldCharType="end"/>
            </w:r>
          </w:hyperlink>
        </w:p>
        <w:p w14:paraId="0BB25C61" w14:textId="42D8BE2C"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8" w:history="1">
            <w:r w:rsidR="008A4508" w:rsidRPr="008A4508">
              <w:rPr>
                <w:rStyle w:val="Hyperlink"/>
                <w:rFonts w:ascii="Times New Roman" w:hAnsi="Times New Roman" w:cs="Times New Roman"/>
                <w:noProof/>
              </w:rPr>
              <w:t>3.3.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Enerģētiskā drošība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_Toc532910008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53</w:t>
            </w:r>
            <w:r w:rsidR="008A4508" w:rsidRPr="008A4508">
              <w:rPr>
                <w:rFonts w:ascii="Times New Roman" w:hAnsi="Times New Roman" w:cs="Times New Roman"/>
                <w:noProof/>
                <w:webHidden/>
              </w:rPr>
              <w:fldChar w:fldCharType="end"/>
            </w:r>
          </w:hyperlink>
        </w:p>
        <w:p w14:paraId="548EA903" w14:textId="1DD93FD6"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09" w:history="1">
            <w:r w:rsidR="008A4508" w:rsidRPr="008A4508">
              <w:rPr>
                <w:rStyle w:val="Hyperlink"/>
                <w:rFonts w:ascii="Times New Roman" w:hAnsi="Times New Roman" w:cs="Times New Roman"/>
                <w:noProof/>
              </w:rPr>
              <w:t>3.4.</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Iekšējais enerģijas tirgus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_Toc532910009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54</w:t>
            </w:r>
            <w:r w:rsidR="008A4508" w:rsidRPr="008A4508">
              <w:rPr>
                <w:rFonts w:ascii="Times New Roman" w:hAnsi="Times New Roman" w:cs="Times New Roman"/>
                <w:noProof/>
                <w:webHidden/>
              </w:rPr>
              <w:fldChar w:fldCharType="end"/>
            </w:r>
          </w:hyperlink>
        </w:p>
        <w:p w14:paraId="7FF6C5A2" w14:textId="73F3A04B"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0" w:history="1">
            <w:r w:rsidR="008A4508" w:rsidRPr="008A4508">
              <w:rPr>
                <w:rStyle w:val="Hyperlink"/>
                <w:rFonts w:ascii="Times New Roman" w:hAnsi="Times New Roman" w:cs="Times New Roman"/>
                <w:noProof/>
              </w:rPr>
              <w:t>3.5.</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Pētniecība, inovācija un konkurētspēja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_Toc532910010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59</w:t>
            </w:r>
            <w:r w:rsidR="008A4508" w:rsidRPr="008A4508">
              <w:rPr>
                <w:rFonts w:ascii="Times New Roman" w:hAnsi="Times New Roman" w:cs="Times New Roman"/>
                <w:noProof/>
                <w:webHidden/>
              </w:rPr>
              <w:fldChar w:fldCharType="end"/>
            </w:r>
          </w:hyperlink>
        </w:p>
        <w:p w14:paraId="3908C71F" w14:textId="52C02512"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1" w:history="1">
            <w:r w:rsidR="008A4508" w:rsidRPr="008A4508">
              <w:rPr>
                <w:rStyle w:val="Hyperlink"/>
                <w:rFonts w:ascii="Times New Roman" w:hAnsi="Times New Roman" w:cs="Times New Roman"/>
                <w:noProof/>
              </w:rPr>
              <w:t>3.6.</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Finansēšanas pasākumi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_Toc532910011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65</w:t>
            </w:r>
            <w:r w:rsidR="008A4508" w:rsidRPr="008A4508">
              <w:rPr>
                <w:rFonts w:ascii="Times New Roman" w:hAnsi="Times New Roman" w:cs="Times New Roman"/>
                <w:noProof/>
                <w:webHidden/>
              </w:rPr>
              <w:fldChar w:fldCharType="end"/>
            </w:r>
          </w:hyperlink>
        </w:p>
        <w:p w14:paraId="20CBC010" w14:textId="39B37828"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2" w:history="1">
            <w:r w:rsidR="008A4508" w:rsidRPr="008A4508">
              <w:rPr>
                <w:rStyle w:val="Hyperlink"/>
                <w:rFonts w:ascii="Times New Roman" w:hAnsi="Times New Roman" w:cs="Times New Roman"/>
                <w:noProof/>
              </w:rPr>
              <w:t>4.</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PAŠREIZĒJĀ SI</w:t>
            </w:r>
            <w:bookmarkStart w:id="0" w:name="_GoBack"/>
            <w:bookmarkEnd w:id="0"/>
            <w:r w:rsidR="008A4508" w:rsidRPr="008A4508">
              <w:rPr>
                <w:rStyle w:val="Hyperlink"/>
                <w:rFonts w:ascii="Times New Roman" w:hAnsi="Times New Roman" w:cs="Times New Roman"/>
                <w:noProof/>
              </w:rPr>
              <w:t>TUĀCIJA, ESOŠĀS RĪCĪBPOLITIKAS UN PASĀKUMI UN PROGNOZES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_Toc532910012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73</w:t>
            </w:r>
            <w:r w:rsidR="008A4508" w:rsidRPr="008A4508">
              <w:rPr>
                <w:rFonts w:ascii="Times New Roman" w:hAnsi="Times New Roman" w:cs="Times New Roman"/>
                <w:noProof/>
                <w:webHidden/>
              </w:rPr>
              <w:fldChar w:fldCharType="end"/>
            </w:r>
          </w:hyperlink>
        </w:p>
        <w:p w14:paraId="4393EA72" w14:textId="5CAA6708"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3" w:history="1">
            <w:r w:rsidR="008A4508" w:rsidRPr="008A4508">
              <w:rPr>
                <w:rStyle w:val="Hyperlink"/>
                <w:rFonts w:ascii="Times New Roman" w:hAnsi="Times New Roman" w:cs="Times New Roman"/>
                <w:noProof/>
              </w:rPr>
              <w:t>4.1.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Energosistēmu un SEG emisijas ietekmējošo galveno ārējo faktoru attīstības prognozes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_Toc532910013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73</w:t>
            </w:r>
            <w:r w:rsidR="008A4508" w:rsidRPr="008A4508">
              <w:rPr>
                <w:rFonts w:ascii="Times New Roman" w:hAnsi="Times New Roman" w:cs="Times New Roman"/>
                <w:noProof/>
                <w:webHidden/>
              </w:rPr>
              <w:fldChar w:fldCharType="end"/>
            </w:r>
          </w:hyperlink>
        </w:p>
        <w:p w14:paraId="1C95FFF1" w14:textId="073B3EB1"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4" w:history="1">
            <w:r w:rsidR="008A4508" w:rsidRPr="008A4508">
              <w:rPr>
                <w:rStyle w:val="Hyperlink"/>
                <w:rFonts w:ascii="Times New Roman" w:hAnsi="Times New Roman" w:cs="Times New Roman"/>
                <w:noProof/>
              </w:rPr>
              <w:t>4.2.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Dekarbonizācija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_Toc532910014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77</w:t>
            </w:r>
            <w:r w:rsidR="008A4508" w:rsidRPr="008A4508">
              <w:rPr>
                <w:rFonts w:ascii="Times New Roman" w:hAnsi="Times New Roman" w:cs="Times New Roman"/>
                <w:noProof/>
                <w:webHidden/>
              </w:rPr>
              <w:fldChar w:fldCharType="end"/>
            </w:r>
          </w:hyperlink>
        </w:p>
        <w:p w14:paraId="418882F0" w14:textId="4775E130"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5" w:history="1">
            <w:r w:rsidR="008A4508" w:rsidRPr="008A4508">
              <w:rPr>
                <w:rStyle w:val="Hyperlink"/>
                <w:rFonts w:ascii="Times New Roman" w:hAnsi="Times New Roman" w:cs="Times New Roman"/>
                <w:noProof/>
              </w:rPr>
              <w:t>4.3.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Energoefektivitāte</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_Toc532910015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89</w:t>
            </w:r>
            <w:r w:rsidR="008A4508" w:rsidRPr="008A4508">
              <w:rPr>
                <w:rFonts w:ascii="Times New Roman" w:hAnsi="Times New Roman" w:cs="Times New Roman"/>
                <w:noProof/>
                <w:webHidden/>
              </w:rPr>
              <w:fldChar w:fldCharType="end"/>
            </w:r>
          </w:hyperlink>
        </w:p>
        <w:p w14:paraId="2D14087B" w14:textId="784EEAC7"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6" w:history="1">
            <w:r w:rsidR="008A4508" w:rsidRPr="008A4508">
              <w:rPr>
                <w:rStyle w:val="Hyperlink"/>
                <w:rFonts w:ascii="Times New Roman" w:hAnsi="Times New Roman" w:cs="Times New Roman"/>
                <w:noProof/>
              </w:rPr>
              <w:t>4.4.</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Enerģētiskā drošība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_Toc532910016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101</w:t>
            </w:r>
            <w:r w:rsidR="008A4508" w:rsidRPr="008A4508">
              <w:rPr>
                <w:rFonts w:ascii="Times New Roman" w:hAnsi="Times New Roman" w:cs="Times New Roman"/>
                <w:noProof/>
                <w:webHidden/>
              </w:rPr>
              <w:fldChar w:fldCharType="end"/>
            </w:r>
          </w:hyperlink>
        </w:p>
        <w:p w14:paraId="7496219C" w14:textId="7A950C16"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7" w:history="1">
            <w:r w:rsidR="008A4508" w:rsidRPr="008A4508">
              <w:rPr>
                <w:rStyle w:val="Hyperlink"/>
                <w:rFonts w:ascii="Times New Roman" w:hAnsi="Times New Roman" w:cs="Times New Roman"/>
                <w:noProof/>
              </w:rPr>
              <w:t>4.5.</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Iekšējais enerģijas tirgus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_Toc532910017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104</w:t>
            </w:r>
            <w:r w:rsidR="008A4508" w:rsidRPr="008A4508">
              <w:rPr>
                <w:rFonts w:ascii="Times New Roman" w:hAnsi="Times New Roman" w:cs="Times New Roman"/>
                <w:noProof/>
                <w:webHidden/>
              </w:rPr>
              <w:fldChar w:fldCharType="end"/>
            </w:r>
          </w:hyperlink>
        </w:p>
        <w:p w14:paraId="3E945016" w14:textId="27EBD817"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8" w:history="1">
            <w:r w:rsidR="008A4508" w:rsidRPr="008A4508">
              <w:rPr>
                <w:rStyle w:val="Hyperlink"/>
                <w:rFonts w:ascii="Times New Roman" w:hAnsi="Times New Roman" w:cs="Times New Roman"/>
                <w:noProof/>
              </w:rPr>
              <w:t>4.6.</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Pētniecība, inovācija un konkurētspēja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_Toc532910018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112</w:t>
            </w:r>
            <w:r w:rsidR="008A4508" w:rsidRPr="008A4508">
              <w:rPr>
                <w:rFonts w:ascii="Times New Roman" w:hAnsi="Times New Roman" w:cs="Times New Roman"/>
                <w:noProof/>
                <w:webHidden/>
              </w:rPr>
              <w:fldChar w:fldCharType="end"/>
            </w:r>
          </w:hyperlink>
        </w:p>
        <w:p w14:paraId="5AD143EB" w14:textId="13A16F91"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10019" w:history="1">
            <w:r w:rsidR="008A4508" w:rsidRPr="008A4508">
              <w:rPr>
                <w:rStyle w:val="Hyperlink"/>
                <w:rFonts w:ascii="Times New Roman" w:hAnsi="Times New Roman" w:cs="Times New Roman"/>
                <w:noProof/>
              </w:rPr>
              <w:t>5.</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PLĀNOTO RĪCĪBPOLITIKU UN PASĀKUMU IETEKMES NOVĒRTĒJUMS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_Toc532910019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126</w:t>
            </w:r>
            <w:r w:rsidR="008A4508" w:rsidRPr="008A4508">
              <w:rPr>
                <w:rFonts w:ascii="Times New Roman" w:hAnsi="Times New Roman" w:cs="Times New Roman"/>
                <w:noProof/>
                <w:webHidden/>
              </w:rPr>
              <w:fldChar w:fldCharType="end"/>
            </w:r>
          </w:hyperlink>
        </w:p>
        <w:p w14:paraId="292765BD" w14:textId="1CE67F86"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20" w:history="1">
            <w:r w:rsidR="008A4508" w:rsidRPr="008A4508">
              <w:rPr>
                <w:rStyle w:val="Hyperlink"/>
                <w:rFonts w:ascii="Times New Roman" w:hAnsi="Times New Roman" w:cs="Times New Roman"/>
                <w:noProof/>
              </w:rPr>
              <w:t>5.1.</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Ietekme uz energosistēmu un siltumnīcefekta gāzu emisijām un piesaisti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_Toc532910020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126</w:t>
            </w:r>
            <w:r w:rsidR="008A4508" w:rsidRPr="008A4508">
              <w:rPr>
                <w:rFonts w:ascii="Times New Roman" w:hAnsi="Times New Roman" w:cs="Times New Roman"/>
                <w:noProof/>
                <w:webHidden/>
              </w:rPr>
              <w:fldChar w:fldCharType="end"/>
            </w:r>
          </w:hyperlink>
        </w:p>
        <w:p w14:paraId="6776D58E" w14:textId="1CEC144B"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21" w:history="1">
            <w:r w:rsidR="008A4508" w:rsidRPr="008A4508">
              <w:rPr>
                <w:rStyle w:val="Hyperlink"/>
                <w:rFonts w:ascii="Times New Roman" w:hAnsi="Times New Roman" w:cs="Times New Roman"/>
                <w:noProof/>
              </w:rPr>
              <w:t>5.2.</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Nepieciešamo investīciju pārskats</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_Toc532910021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131</w:t>
            </w:r>
            <w:r w:rsidR="008A4508" w:rsidRPr="008A4508">
              <w:rPr>
                <w:rFonts w:ascii="Times New Roman" w:hAnsi="Times New Roman" w:cs="Times New Roman"/>
                <w:noProof/>
                <w:webHidden/>
              </w:rPr>
              <w:fldChar w:fldCharType="end"/>
            </w:r>
          </w:hyperlink>
        </w:p>
        <w:p w14:paraId="54EB96E1" w14:textId="43AF14FD" w:rsidR="008A4508" w:rsidRPr="008A4508" w:rsidRDefault="00C80B8F" w:rsidP="008A4508">
          <w:pPr>
            <w:pStyle w:val="TOC2"/>
            <w:tabs>
              <w:tab w:val="left" w:pos="880"/>
              <w:tab w:val="right" w:leader="dot" w:pos="9061"/>
            </w:tabs>
            <w:spacing w:after="0" w:line="240" w:lineRule="auto"/>
            <w:jc w:val="both"/>
            <w:rPr>
              <w:rFonts w:ascii="Times New Roman" w:eastAsiaTheme="minorEastAsia" w:hAnsi="Times New Roman" w:cs="Times New Roman"/>
              <w:noProof/>
              <w:sz w:val="22"/>
              <w:lang w:eastAsia="lv-LV"/>
            </w:rPr>
          </w:pPr>
          <w:hyperlink w:anchor="_Toc532910022" w:history="1">
            <w:r w:rsidR="008A4508" w:rsidRPr="008A4508">
              <w:rPr>
                <w:rStyle w:val="Hyperlink"/>
                <w:rFonts w:ascii="Times New Roman" w:hAnsi="Times New Roman" w:cs="Times New Roman"/>
                <w:noProof/>
              </w:rPr>
              <w:t>5.3.</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Plānā iekļauto rīcībpolitiku un pasākumu ietekme uz citām ES dalībvalstīm un reģionālā sadarbība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_Toc532910022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131</w:t>
            </w:r>
            <w:r w:rsidR="008A4508" w:rsidRPr="008A4508">
              <w:rPr>
                <w:rFonts w:ascii="Times New Roman" w:hAnsi="Times New Roman" w:cs="Times New Roman"/>
                <w:noProof/>
                <w:webHidden/>
              </w:rPr>
              <w:fldChar w:fldCharType="end"/>
            </w:r>
          </w:hyperlink>
        </w:p>
        <w:p w14:paraId="6D081DF6" w14:textId="6C3254AE"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10023" w:history="1">
            <w:r w:rsidR="008A4508" w:rsidRPr="008A4508">
              <w:rPr>
                <w:rStyle w:val="Hyperlink"/>
                <w:rFonts w:ascii="Times New Roman" w:hAnsi="Times New Roman" w:cs="Times New Roman"/>
                <w:noProof/>
              </w:rPr>
              <w:t>6.</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hAnsi="Times New Roman" w:cs="Times New Roman"/>
                <w:noProof/>
              </w:rPr>
              <w:t>INTEGRĒTĀ UZRAUDZĪBAS UN ZIŅOŠANAS SISTĒMA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_Toc532910023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132</w:t>
            </w:r>
            <w:r w:rsidR="008A4508" w:rsidRPr="008A4508">
              <w:rPr>
                <w:rFonts w:ascii="Times New Roman" w:hAnsi="Times New Roman" w:cs="Times New Roman"/>
                <w:noProof/>
                <w:webHidden/>
              </w:rPr>
              <w:fldChar w:fldCharType="end"/>
            </w:r>
          </w:hyperlink>
        </w:p>
        <w:p w14:paraId="6B72599B" w14:textId="5B35165C" w:rsidR="008A4508" w:rsidRPr="008A4508" w:rsidRDefault="00C80B8F" w:rsidP="008A4508">
          <w:pPr>
            <w:pStyle w:val="TOC1"/>
            <w:tabs>
              <w:tab w:val="left" w:pos="660"/>
              <w:tab w:val="right" w:leader="dot" w:pos="9061"/>
            </w:tabs>
            <w:spacing w:after="0" w:line="240" w:lineRule="auto"/>
            <w:jc w:val="both"/>
            <w:rPr>
              <w:rFonts w:ascii="Times New Roman" w:eastAsiaTheme="minorEastAsia" w:hAnsi="Times New Roman" w:cs="Times New Roman"/>
              <w:noProof/>
              <w:sz w:val="22"/>
              <w:lang w:eastAsia="lv-LV"/>
            </w:rPr>
          </w:pPr>
          <w:hyperlink w:anchor="_Toc532910024" w:history="1">
            <w:r w:rsidR="008A4508" w:rsidRPr="008A4508">
              <w:rPr>
                <w:rStyle w:val="Hyperlink"/>
                <w:rFonts w:ascii="Times New Roman" w:eastAsia="Times New Roman" w:hAnsi="Times New Roman" w:cs="Times New Roman"/>
                <w:noProof/>
                <w:lang w:eastAsia="lv-LV"/>
              </w:rPr>
              <w:t>7.</w:t>
            </w:r>
            <w:r w:rsidR="008A4508" w:rsidRPr="008A4508">
              <w:rPr>
                <w:rFonts w:ascii="Times New Roman" w:eastAsiaTheme="minorEastAsia" w:hAnsi="Times New Roman" w:cs="Times New Roman"/>
                <w:noProof/>
                <w:sz w:val="22"/>
                <w:lang w:eastAsia="lv-LV"/>
              </w:rPr>
              <w:tab/>
            </w:r>
            <w:r w:rsidR="008A4508" w:rsidRPr="008A4508">
              <w:rPr>
                <w:rStyle w:val="Hyperlink"/>
                <w:rFonts w:ascii="Times New Roman" w:eastAsia="Times New Roman" w:hAnsi="Times New Roman" w:cs="Times New Roman"/>
                <w:noProof/>
                <w:lang w:eastAsia="lv-LV"/>
              </w:rPr>
              <w:t>PLĀNA PĀRSKATS UN ATJAUNINĀŠANA</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_Toc532910024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134</w:t>
            </w:r>
            <w:r w:rsidR="008A4508" w:rsidRPr="008A4508">
              <w:rPr>
                <w:rFonts w:ascii="Times New Roman" w:hAnsi="Times New Roman" w:cs="Times New Roman"/>
                <w:noProof/>
                <w:webHidden/>
              </w:rPr>
              <w:fldChar w:fldCharType="end"/>
            </w:r>
          </w:hyperlink>
        </w:p>
        <w:p w14:paraId="03BF103E" w14:textId="032FA1B1" w:rsidR="008A4508" w:rsidRPr="008A4508" w:rsidRDefault="00C80B8F" w:rsidP="008A4508">
          <w:pPr>
            <w:pStyle w:val="TOC1"/>
            <w:tabs>
              <w:tab w:val="right" w:leader="dot" w:pos="9061"/>
            </w:tabs>
            <w:spacing w:after="0" w:line="240" w:lineRule="auto"/>
            <w:jc w:val="both"/>
            <w:rPr>
              <w:rFonts w:ascii="Times New Roman" w:eastAsiaTheme="minorEastAsia" w:hAnsi="Times New Roman" w:cs="Times New Roman"/>
              <w:noProof/>
              <w:sz w:val="22"/>
              <w:lang w:eastAsia="lv-LV"/>
            </w:rPr>
          </w:pPr>
          <w:hyperlink w:anchor="_Toc532910025" w:history="1">
            <w:r w:rsidR="008A4508" w:rsidRPr="008A4508">
              <w:rPr>
                <w:rStyle w:val="Hyperlink"/>
                <w:rFonts w:ascii="Times New Roman" w:hAnsi="Times New Roman" w:cs="Times New Roman"/>
                <w:noProof/>
              </w:rPr>
              <w:t>1.pielikums</w:t>
            </w:r>
            <w:r w:rsidR="008A4508">
              <w:rPr>
                <w:rStyle w:val="Hyperlink"/>
                <w:rFonts w:ascii="Times New Roman" w:hAnsi="Times New Roman" w:cs="Times New Roman"/>
                <w:noProof/>
              </w:rPr>
              <w:t xml:space="preserve"> </w:t>
            </w:r>
          </w:hyperlink>
          <w:hyperlink w:anchor="_Toc532910026" w:history="1">
            <w:r w:rsidR="008A4508" w:rsidRPr="008A4508">
              <w:rPr>
                <w:rStyle w:val="Hyperlink"/>
                <w:rFonts w:ascii="Times New Roman" w:hAnsi="Times New Roman" w:cs="Times New Roman"/>
                <w:noProof/>
              </w:rPr>
              <w:t>Plāna rīcībpolitikas konteksta sasaiste ar Latvijā spēkā esošajiem politikas plānošanas dokumentiem un tajos noteiktajiem politikas virzieniem</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_Toc532910026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135</w:t>
            </w:r>
            <w:r w:rsidR="008A4508" w:rsidRPr="008A4508">
              <w:rPr>
                <w:rFonts w:ascii="Times New Roman" w:hAnsi="Times New Roman" w:cs="Times New Roman"/>
                <w:noProof/>
                <w:webHidden/>
              </w:rPr>
              <w:fldChar w:fldCharType="end"/>
            </w:r>
          </w:hyperlink>
        </w:p>
        <w:p w14:paraId="256C495B" w14:textId="4413ABFA" w:rsidR="008A4508" w:rsidRPr="008A4508" w:rsidRDefault="00C80B8F" w:rsidP="008A4508">
          <w:pPr>
            <w:pStyle w:val="TOC1"/>
            <w:tabs>
              <w:tab w:val="right" w:leader="dot" w:pos="9061"/>
            </w:tabs>
            <w:spacing w:after="0" w:line="240" w:lineRule="auto"/>
            <w:jc w:val="both"/>
            <w:rPr>
              <w:rFonts w:ascii="Times New Roman" w:eastAsiaTheme="minorEastAsia" w:hAnsi="Times New Roman" w:cs="Times New Roman"/>
              <w:noProof/>
              <w:sz w:val="22"/>
              <w:lang w:eastAsia="lv-LV"/>
            </w:rPr>
          </w:pPr>
          <w:hyperlink w:anchor="_Toc532910027" w:history="1">
            <w:r w:rsidR="008A4508" w:rsidRPr="008A4508">
              <w:rPr>
                <w:rStyle w:val="Hyperlink"/>
                <w:rFonts w:ascii="Times New Roman" w:hAnsi="Times New Roman" w:cs="Times New Roman"/>
                <w:noProof/>
              </w:rPr>
              <w:t>2.pielikums</w:t>
            </w:r>
            <w:r w:rsidR="008A4508">
              <w:rPr>
                <w:rStyle w:val="Hyperlink"/>
                <w:rFonts w:ascii="Times New Roman" w:hAnsi="Times New Roman" w:cs="Times New Roman"/>
                <w:noProof/>
              </w:rPr>
              <w:t xml:space="preserve"> </w:t>
            </w:r>
          </w:hyperlink>
          <w:hyperlink w:anchor="_Toc532910028" w:history="1">
            <w:r w:rsidR="008A4508" w:rsidRPr="008A4508">
              <w:rPr>
                <w:rStyle w:val="Hyperlink"/>
                <w:rFonts w:ascii="Times New Roman" w:eastAsia="Calibri" w:hAnsi="Times New Roman" w:cs="Times New Roman"/>
                <w:noProof/>
                <w:lang w:eastAsia="lv-LV" w:bidi="lv-LV"/>
              </w:rPr>
              <w:t>Indikatīvā ERAF un KF sasaiste ar Plānu</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_Toc532910028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155</w:t>
            </w:r>
            <w:r w:rsidR="008A4508" w:rsidRPr="008A4508">
              <w:rPr>
                <w:rFonts w:ascii="Times New Roman" w:hAnsi="Times New Roman" w:cs="Times New Roman"/>
                <w:noProof/>
                <w:webHidden/>
              </w:rPr>
              <w:fldChar w:fldCharType="end"/>
            </w:r>
          </w:hyperlink>
        </w:p>
        <w:p w14:paraId="29972EF7" w14:textId="743419A0" w:rsidR="008A4508" w:rsidRPr="008A4508" w:rsidRDefault="00C80B8F" w:rsidP="008A4508">
          <w:pPr>
            <w:pStyle w:val="TOC1"/>
            <w:tabs>
              <w:tab w:val="right" w:leader="dot" w:pos="9061"/>
            </w:tabs>
            <w:spacing w:after="0" w:line="240" w:lineRule="auto"/>
            <w:jc w:val="both"/>
            <w:rPr>
              <w:rFonts w:ascii="Times New Roman" w:eastAsiaTheme="minorEastAsia" w:hAnsi="Times New Roman" w:cs="Times New Roman"/>
              <w:noProof/>
              <w:sz w:val="22"/>
              <w:lang w:eastAsia="lv-LV"/>
            </w:rPr>
          </w:pPr>
          <w:hyperlink w:anchor="_Toc532910029" w:history="1">
            <w:r w:rsidR="008A4508" w:rsidRPr="008A4508">
              <w:rPr>
                <w:rStyle w:val="Hyperlink"/>
                <w:rFonts w:ascii="Times New Roman" w:hAnsi="Times New Roman" w:cs="Times New Roman"/>
                <w:noProof/>
              </w:rPr>
              <w:t>3.pielikums</w:t>
            </w:r>
            <w:r w:rsidR="008A4508">
              <w:rPr>
                <w:rStyle w:val="Hyperlink"/>
                <w:rFonts w:ascii="Times New Roman" w:hAnsi="Times New Roman" w:cs="Times New Roman"/>
                <w:noProof/>
              </w:rPr>
              <w:t xml:space="preserve"> </w:t>
            </w:r>
          </w:hyperlink>
          <w:hyperlink w:anchor="_Toc532910030" w:history="1">
            <w:r w:rsidR="008A4508" w:rsidRPr="008A4508">
              <w:rPr>
                <w:rStyle w:val="Hyperlink"/>
                <w:rFonts w:ascii="Times New Roman" w:hAnsi="Times New Roman" w:cs="Times New Roman"/>
                <w:noProof/>
              </w:rPr>
              <w:t>Periodam līdz 2050.gada sagatavoto prognožu bāzes scenārijā ietvertās galvenās īstenotās rīcībpolitikas un galvenie to īstenošanas pasākumi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_Toc532910030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177</w:t>
            </w:r>
            <w:r w:rsidR="008A4508" w:rsidRPr="008A4508">
              <w:rPr>
                <w:rFonts w:ascii="Times New Roman" w:hAnsi="Times New Roman" w:cs="Times New Roman"/>
                <w:noProof/>
                <w:webHidden/>
              </w:rPr>
              <w:fldChar w:fldCharType="end"/>
            </w:r>
          </w:hyperlink>
        </w:p>
        <w:p w14:paraId="78B74538" w14:textId="0E101D6A" w:rsidR="008A4508" w:rsidRDefault="00C80B8F" w:rsidP="008A4508">
          <w:pPr>
            <w:pStyle w:val="TOC1"/>
            <w:tabs>
              <w:tab w:val="right" w:leader="dot" w:pos="9061"/>
            </w:tabs>
            <w:spacing w:after="0" w:line="240" w:lineRule="auto"/>
            <w:jc w:val="both"/>
            <w:rPr>
              <w:rFonts w:eastAsiaTheme="minorEastAsia"/>
              <w:noProof/>
              <w:sz w:val="22"/>
              <w:lang w:eastAsia="lv-LV"/>
            </w:rPr>
          </w:pPr>
          <w:hyperlink w:anchor="_Toc532910031" w:history="1">
            <w:r w:rsidR="008A4508" w:rsidRPr="008A4508">
              <w:rPr>
                <w:rStyle w:val="Hyperlink"/>
                <w:rFonts w:ascii="Times New Roman" w:hAnsi="Times New Roman" w:cs="Times New Roman"/>
                <w:noProof/>
              </w:rPr>
              <w:t>4.pielikums</w:t>
            </w:r>
            <w:r w:rsidR="008A4508">
              <w:rPr>
                <w:rStyle w:val="Hyperlink"/>
                <w:rFonts w:ascii="Times New Roman" w:hAnsi="Times New Roman" w:cs="Times New Roman"/>
                <w:noProof/>
              </w:rPr>
              <w:t xml:space="preserve"> </w:t>
            </w:r>
          </w:hyperlink>
          <w:hyperlink w:anchor="_Toc532910032" w:history="1">
            <w:r w:rsidR="008A4508" w:rsidRPr="008A4508">
              <w:rPr>
                <w:rStyle w:val="Hyperlink"/>
                <w:rFonts w:ascii="Times New Roman" w:eastAsia="Times New Roman" w:hAnsi="Times New Roman" w:cs="Times New Roman"/>
                <w:iCs/>
                <w:noProof/>
              </w:rPr>
              <w:t>Pārskats par identificētajiem potenciālajiem un šobrīd diskusijā esošajiem jauniem pasākumiem Plānā no</w:t>
            </w:r>
            <w:r w:rsidR="008A4508" w:rsidRPr="008A4508">
              <w:rPr>
                <w:rStyle w:val="Hyperlink"/>
                <w:rFonts w:ascii="Times New Roman" w:eastAsia="Times New Roman" w:hAnsi="Times New Roman" w:cs="Times New Roman"/>
                <w:iCs/>
                <w:noProof/>
              </w:rPr>
              <w:t>t</w:t>
            </w:r>
            <w:r w:rsidR="008A4508" w:rsidRPr="008A4508">
              <w:rPr>
                <w:rStyle w:val="Hyperlink"/>
                <w:rFonts w:ascii="Times New Roman" w:eastAsia="Times New Roman" w:hAnsi="Times New Roman" w:cs="Times New Roman"/>
                <w:iCs/>
                <w:noProof/>
              </w:rPr>
              <w:t>eikto mērķu izpildei</w:t>
            </w:r>
            <w:r w:rsidR="008A4508" w:rsidRPr="008A4508">
              <w:rPr>
                <w:rFonts w:ascii="Times New Roman" w:hAnsi="Times New Roman" w:cs="Times New Roman"/>
                <w:noProof/>
                <w:webHidden/>
              </w:rPr>
              <w:tab/>
            </w:r>
            <w:r w:rsidR="008A4508" w:rsidRPr="008A4508">
              <w:rPr>
                <w:rFonts w:ascii="Times New Roman" w:hAnsi="Times New Roman" w:cs="Times New Roman"/>
                <w:noProof/>
                <w:webHidden/>
              </w:rPr>
              <w:fldChar w:fldCharType="begin"/>
            </w:r>
            <w:r w:rsidR="008A4508" w:rsidRPr="008A4508">
              <w:rPr>
                <w:rFonts w:ascii="Times New Roman" w:hAnsi="Times New Roman" w:cs="Times New Roman"/>
                <w:noProof/>
                <w:webHidden/>
              </w:rPr>
              <w:instrText xml:space="preserve"> PAGEREF _Toc532910032 \h </w:instrText>
            </w:r>
            <w:r w:rsidR="008A4508" w:rsidRPr="008A4508">
              <w:rPr>
                <w:rFonts w:ascii="Times New Roman" w:hAnsi="Times New Roman" w:cs="Times New Roman"/>
                <w:noProof/>
                <w:webHidden/>
              </w:rPr>
            </w:r>
            <w:r w:rsidR="008A4508" w:rsidRPr="008A4508">
              <w:rPr>
                <w:rFonts w:ascii="Times New Roman" w:hAnsi="Times New Roman" w:cs="Times New Roman"/>
                <w:noProof/>
                <w:webHidden/>
              </w:rPr>
              <w:fldChar w:fldCharType="separate"/>
            </w:r>
            <w:r w:rsidR="00D9352A">
              <w:rPr>
                <w:rFonts w:ascii="Times New Roman" w:hAnsi="Times New Roman" w:cs="Times New Roman"/>
                <w:noProof/>
                <w:webHidden/>
              </w:rPr>
              <w:t>187</w:t>
            </w:r>
            <w:r w:rsidR="008A4508" w:rsidRPr="008A4508">
              <w:rPr>
                <w:rFonts w:ascii="Times New Roman" w:hAnsi="Times New Roman" w:cs="Times New Roman"/>
                <w:noProof/>
                <w:webHidden/>
              </w:rPr>
              <w:fldChar w:fldCharType="end"/>
            </w:r>
          </w:hyperlink>
        </w:p>
        <w:p w14:paraId="4961AC33" w14:textId="4E0D121C" w:rsidR="002729AC" w:rsidRPr="008B628A" w:rsidRDefault="001B503E" w:rsidP="00686B2A">
          <w:pPr>
            <w:pStyle w:val="TOC3"/>
            <w:tabs>
              <w:tab w:val="clear" w:pos="9016"/>
              <w:tab w:val="right" w:leader="dot" w:pos="9344"/>
            </w:tabs>
            <w:jc w:val="both"/>
          </w:pPr>
          <w:r w:rsidRPr="00686B2A">
            <w:rPr>
              <w:rFonts w:ascii="Times New Roman" w:hAnsi="Times New Roman" w:cs="Times New Roman"/>
            </w:rPr>
            <w:fldChar w:fldCharType="end"/>
          </w:r>
        </w:p>
      </w:sdtContent>
    </w:sdt>
    <w:p w14:paraId="43180202" w14:textId="23D5B451" w:rsidR="002729AC" w:rsidRPr="008B628A" w:rsidRDefault="002729AC" w:rsidP="001B678A">
      <w:pPr>
        <w:spacing w:after="0" w:line="240" w:lineRule="auto"/>
        <w:jc w:val="both"/>
        <w:rPr>
          <w:rFonts w:ascii="Times New Roman" w:hAnsi="Times New Roman" w:cs="Times New Roman"/>
        </w:rPr>
      </w:pPr>
      <w:r w:rsidRPr="008B628A">
        <w:rPr>
          <w:rFonts w:ascii="Times New Roman" w:hAnsi="Times New Roman" w:cs="Times New Roman"/>
        </w:rPr>
        <w:br w:type="page"/>
      </w:r>
    </w:p>
    <w:p w14:paraId="2D2ACF25" w14:textId="637A8C63" w:rsidR="00D07F6C" w:rsidRPr="008B628A" w:rsidRDefault="00D07F6C" w:rsidP="00573EBD">
      <w:pPr>
        <w:pStyle w:val="Heading1"/>
        <w:numPr>
          <w:ilvl w:val="0"/>
          <w:numId w:val="0"/>
        </w:numPr>
        <w:ind w:left="360"/>
      </w:pPr>
      <w:bookmarkStart w:id="1" w:name="_Toc520978790"/>
      <w:bookmarkStart w:id="2" w:name="_Toc527529411"/>
      <w:bookmarkStart w:id="3" w:name="_Toc532909993"/>
      <w:r w:rsidRPr="008B628A">
        <w:lastRenderedPageBreak/>
        <w:t>SAĪSINĀJUMI</w:t>
      </w:r>
      <w:bookmarkEnd w:id="1"/>
      <w:bookmarkEnd w:id="2"/>
      <w:bookmarkEnd w:id="3"/>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7750"/>
      </w:tblGrid>
      <w:tr w:rsidR="00C956C5" w:rsidRPr="008B628A" w14:paraId="61523230" w14:textId="77777777" w:rsidTr="0050180E">
        <w:trPr>
          <w:trHeight w:val="278"/>
        </w:trPr>
        <w:tc>
          <w:tcPr>
            <w:tcW w:w="1537" w:type="dxa"/>
            <w:vAlign w:val="center"/>
          </w:tcPr>
          <w:p w14:paraId="7059A8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ADAP2020</w:t>
            </w:r>
          </w:p>
        </w:tc>
        <w:tc>
          <w:tcPr>
            <w:tcW w:w="7750" w:type="dxa"/>
            <w:vAlign w:val="center"/>
          </w:tcPr>
          <w:p w14:paraId="3AB232C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Alternatīvo degvielu attīstības plāns 2017.–2020. gadam</w:t>
            </w:r>
          </w:p>
        </w:tc>
      </w:tr>
      <w:tr w:rsidR="00C956C5" w:rsidRPr="008B628A" w14:paraId="59DE7E9C" w14:textId="77777777" w:rsidTr="0050180E">
        <w:trPr>
          <w:trHeight w:val="278"/>
        </w:trPr>
        <w:tc>
          <w:tcPr>
            <w:tcW w:w="1537" w:type="dxa"/>
            <w:vAlign w:val="center"/>
          </w:tcPr>
          <w:p w14:paraId="295C42F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AE</w:t>
            </w:r>
          </w:p>
        </w:tc>
        <w:tc>
          <w:tcPr>
            <w:tcW w:w="7750" w:type="dxa"/>
            <w:vAlign w:val="center"/>
          </w:tcPr>
          <w:p w14:paraId="5382BEC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Atjaunojamā enerģija</w:t>
            </w:r>
          </w:p>
        </w:tc>
      </w:tr>
      <w:tr w:rsidR="00C956C5" w:rsidRPr="008B628A" w14:paraId="5D353F9D" w14:textId="77777777" w:rsidTr="0050180E">
        <w:trPr>
          <w:trHeight w:val="278"/>
        </w:trPr>
        <w:tc>
          <w:tcPr>
            <w:tcW w:w="1537" w:type="dxa"/>
            <w:vAlign w:val="center"/>
            <w:hideMark/>
          </w:tcPr>
          <w:p w14:paraId="47AC131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AER</w:t>
            </w:r>
          </w:p>
        </w:tc>
        <w:tc>
          <w:tcPr>
            <w:tcW w:w="7750" w:type="dxa"/>
            <w:vAlign w:val="center"/>
            <w:hideMark/>
          </w:tcPr>
          <w:p w14:paraId="2F65533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Atjaunojamie energoresursi</w:t>
            </w:r>
          </w:p>
        </w:tc>
      </w:tr>
      <w:tr w:rsidR="00C956C5" w:rsidRPr="008B628A" w14:paraId="631335F7" w14:textId="77777777" w:rsidTr="0050180E">
        <w:trPr>
          <w:trHeight w:val="278"/>
        </w:trPr>
        <w:tc>
          <w:tcPr>
            <w:tcW w:w="1537" w:type="dxa"/>
            <w:vAlign w:val="center"/>
            <w:hideMark/>
          </w:tcPr>
          <w:p w14:paraId="1D37728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ANO</w:t>
            </w:r>
          </w:p>
        </w:tc>
        <w:tc>
          <w:tcPr>
            <w:tcW w:w="7750" w:type="dxa"/>
            <w:vAlign w:val="center"/>
            <w:hideMark/>
          </w:tcPr>
          <w:p w14:paraId="73321316" w14:textId="3988DDA2"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 xml:space="preserve">Apvienoto Nāciju </w:t>
            </w:r>
            <w:r w:rsidR="003D156C" w:rsidRPr="008B628A">
              <w:rPr>
                <w:rFonts w:ascii="Times New Roman" w:eastAsia="Calibri" w:hAnsi="Times New Roman" w:cs="Times New Roman"/>
                <w:szCs w:val="24"/>
              </w:rPr>
              <w:t>O</w:t>
            </w:r>
            <w:r w:rsidRPr="008B628A">
              <w:rPr>
                <w:rFonts w:ascii="Times New Roman" w:eastAsia="Calibri" w:hAnsi="Times New Roman" w:cs="Times New Roman"/>
                <w:szCs w:val="24"/>
              </w:rPr>
              <w:t>rganizācija</w:t>
            </w:r>
          </w:p>
        </w:tc>
      </w:tr>
      <w:tr w:rsidR="00A77988" w:rsidRPr="008B628A" w14:paraId="039E421E" w14:textId="77777777" w:rsidTr="0050180E">
        <w:trPr>
          <w:trHeight w:val="278"/>
        </w:trPr>
        <w:tc>
          <w:tcPr>
            <w:tcW w:w="1537" w:type="dxa"/>
            <w:vAlign w:val="center"/>
          </w:tcPr>
          <w:p w14:paraId="5971CFF4" w14:textId="3F1410A5" w:rsidR="00A77988" w:rsidRPr="008B628A" w:rsidRDefault="00A7798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BEMIP</w:t>
            </w:r>
          </w:p>
        </w:tc>
        <w:tc>
          <w:tcPr>
            <w:tcW w:w="7750" w:type="dxa"/>
            <w:vAlign w:val="center"/>
          </w:tcPr>
          <w:p w14:paraId="7E43A1AC" w14:textId="06DAC71A" w:rsidR="00A77988" w:rsidRPr="008B628A" w:rsidRDefault="00A77988"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Baltijas enerģijas tirgus integrācijas plāns</w:t>
            </w:r>
          </w:p>
        </w:tc>
      </w:tr>
      <w:tr w:rsidR="00C956C5" w:rsidRPr="008B628A" w14:paraId="49C9E33B" w14:textId="77777777" w:rsidTr="0050180E">
        <w:trPr>
          <w:trHeight w:val="278"/>
        </w:trPr>
        <w:tc>
          <w:tcPr>
            <w:tcW w:w="1537" w:type="dxa"/>
            <w:vAlign w:val="center"/>
          </w:tcPr>
          <w:p w14:paraId="730A320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CO</w:t>
            </w:r>
            <w:r w:rsidRPr="008B628A">
              <w:rPr>
                <w:rFonts w:ascii="Times New Roman" w:eastAsia="Calibri" w:hAnsi="Times New Roman" w:cs="Times New Roman"/>
                <w:szCs w:val="24"/>
                <w:vertAlign w:val="subscript"/>
              </w:rPr>
              <w:t>2</w:t>
            </w:r>
          </w:p>
        </w:tc>
        <w:tc>
          <w:tcPr>
            <w:tcW w:w="7750" w:type="dxa"/>
            <w:vAlign w:val="center"/>
          </w:tcPr>
          <w:p w14:paraId="692EF71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Oglekļa dioksīds</w:t>
            </w:r>
          </w:p>
        </w:tc>
      </w:tr>
      <w:tr w:rsidR="00C956C5" w:rsidRPr="008B628A" w14:paraId="33DE0E40" w14:textId="77777777" w:rsidTr="0050180E">
        <w:trPr>
          <w:trHeight w:val="278"/>
        </w:trPr>
        <w:tc>
          <w:tcPr>
            <w:tcW w:w="1537" w:type="dxa"/>
            <w:vAlign w:val="center"/>
          </w:tcPr>
          <w:p w14:paraId="611F18E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CSA</w:t>
            </w:r>
          </w:p>
        </w:tc>
        <w:tc>
          <w:tcPr>
            <w:tcW w:w="7750" w:type="dxa"/>
            <w:vAlign w:val="center"/>
          </w:tcPr>
          <w:p w14:paraId="010B919E" w14:textId="12ACB93D"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Centrālā siltumapgāde</w:t>
            </w:r>
            <w:r w:rsidR="001B678A" w:rsidRPr="008B628A">
              <w:rPr>
                <w:rFonts w:ascii="Times New Roman" w:eastAsia="Calibri" w:hAnsi="Times New Roman" w:cs="Times New Roman"/>
                <w:szCs w:val="24"/>
              </w:rPr>
              <w:t xml:space="preserve">, kas saskaņā ar Enerģētikas likumu ir siltumavotu, pārvades un sadales siltumtīklu un siltumenerģijas lietotāju kopums, kas saskaņoti ražo, pārveido, pārvada, </w:t>
            </w:r>
            <w:r w:rsidR="00F53CCC" w:rsidRPr="008B628A">
              <w:rPr>
                <w:rFonts w:ascii="Times New Roman" w:eastAsia="Calibri" w:hAnsi="Times New Roman" w:cs="Times New Roman"/>
                <w:szCs w:val="24"/>
              </w:rPr>
              <w:t>sadala un patērē siltumenerģiju</w:t>
            </w:r>
          </w:p>
        </w:tc>
      </w:tr>
      <w:tr w:rsidR="00C956C5" w:rsidRPr="008B628A" w14:paraId="56314E19" w14:textId="77777777" w:rsidTr="0050180E">
        <w:trPr>
          <w:trHeight w:val="278"/>
        </w:trPr>
        <w:tc>
          <w:tcPr>
            <w:tcW w:w="1537" w:type="dxa"/>
            <w:vAlign w:val="center"/>
            <w:hideMark/>
          </w:tcPr>
          <w:p w14:paraId="68D57B6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CSP</w:t>
            </w:r>
          </w:p>
        </w:tc>
        <w:tc>
          <w:tcPr>
            <w:tcW w:w="7750" w:type="dxa"/>
            <w:vAlign w:val="center"/>
            <w:hideMark/>
          </w:tcPr>
          <w:p w14:paraId="60EBEEB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Centrālā statistikas pārvalde</w:t>
            </w:r>
          </w:p>
        </w:tc>
      </w:tr>
      <w:tr w:rsidR="00C956C5" w:rsidRPr="008B628A" w14:paraId="7C5B1EEE" w14:textId="77777777" w:rsidTr="0050180E">
        <w:trPr>
          <w:trHeight w:val="278"/>
        </w:trPr>
        <w:tc>
          <w:tcPr>
            <w:tcW w:w="1537" w:type="dxa"/>
            <w:vAlign w:val="center"/>
          </w:tcPr>
          <w:p w14:paraId="3C8E05B3" w14:textId="77777777" w:rsidR="00C956C5" w:rsidRPr="008B628A" w:rsidRDefault="00C956C5" w:rsidP="00F83DA8">
            <w:pPr>
              <w:spacing w:after="0" w:line="240" w:lineRule="auto"/>
              <w:rPr>
                <w:rFonts w:ascii="Times New Roman" w:eastAsia="Calibri" w:hAnsi="Times New Roman" w:cs="Times New Roman"/>
                <w:szCs w:val="24"/>
              </w:rPr>
            </w:pPr>
            <w:bookmarkStart w:id="4" w:name="_Hlk531553642"/>
            <w:r w:rsidRPr="008B628A">
              <w:rPr>
                <w:rFonts w:ascii="Times New Roman" w:eastAsia="Calibri" w:hAnsi="Times New Roman" w:cs="Times New Roman"/>
                <w:szCs w:val="24"/>
              </w:rPr>
              <w:t>EAP2020</w:t>
            </w:r>
          </w:p>
        </w:tc>
        <w:tc>
          <w:tcPr>
            <w:tcW w:w="7750" w:type="dxa"/>
            <w:vAlign w:val="center"/>
          </w:tcPr>
          <w:p w14:paraId="2F7D7E1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Enerģētikas attīstības pamatnostādnes 2016.–2020.gadam</w:t>
            </w:r>
          </w:p>
        </w:tc>
      </w:tr>
      <w:bookmarkEnd w:id="4"/>
      <w:tr w:rsidR="00C956C5" w:rsidRPr="008B628A" w14:paraId="73DF8563" w14:textId="77777777" w:rsidTr="0050180E">
        <w:trPr>
          <w:trHeight w:val="264"/>
        </w:trPr>
        <w:tc>
          <w:tcPr>
            <w:tcW w:w="1537" w:type="dxa"/>
            <w:vAlign w:val="center"/>
            <w:hideMark/>
          </w:tcPr>
          <w:p w14:paraId="104DF8B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w:t>
            </w:r>
          </w:p>
        </w:tc>
        <w:tc>
          <w:tcPr>
            <w:tcW w:w="7750" w:type="dxa"/>
            <w:vAlign w:val="center"/>
            <w:hideMark/>
          </w:tcPr>
          <w:p w14:paraId="1A4C1572"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Komisija</w:t>
            </w:r>
          </w:p>
        </w:tc>
      </w:tr>
      <w:tr w:rsidR="00C956C5" w:rsidRPr="008B628A" w14:paraId="559A4757" w14:textId="77777777" w:rsidTr="0050180E">
        <w:trPr>
          <w:trHeight w:val="259"/>
        </w:trPr>
        <w:tc>
          <w:tcPr>
            <w:tcW w:w="1537" w:type="dxa"/>
            <w:vAlign w:val="center"/>
            <w:hideMark/>
          </w:tcPr>
          <w:p w14:paraId="610D1209" w14:textId="7605C4AE" w:rsidR="00C956C5" w:rsidRPr="008B628A" w:rsidRDefault="001320E7"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EKI</w:t>
            </w:r>
            <w:r w:rsidR="00C956C5" w:rsidRPr="008B628A">
              <w:rPr>
                <w:rFonts w:ascii="Times New Roman" w:eastAsia="Calibri" w:hAnsi="Times New Roman" w:cs="Times New Roman"/>
                <w:szCs w:val="24"/>
              </w:rPr>
              <w:t>I</w:t>
            </w:r>
          </w:p>
        </w:tc>
        <w:tc>
          <w:tcPr>
            <w:tcW w:w="7750" w:type="dxa"/>
            <w:vAlign w:val="center"/>
            <w:hideMark/>
          </w:tcPr>
          <w:p w14:paraId="4D79D2D6" w14:textId="0690BCF0" w:rsidR="00C956C5" w:rsidRPr="008B628A" w:rsidRDefault="003D156C" w:rsidP="00F83DA8">
            <w:pPr>
              <w:spacing w:after="0" w:line="240" w:lineRule="auto"/>
              <w:rPr>
                <w:rFonts w:ascii="Times New Roman" w:eastAsia="Calibri" w:hAnsi="Times New Roman" w:cs="Times New Roman"/>
                <w:szCs w:val="24"/>
              </w:rPr>
            </w:pPr>
            <w:r w:rsidRPr="008B628A">
              <w:rPr>
                <w:rFonts w:ascii="Times New Roman" w:hAnsi="Times New Roman" w:cs="Times New Roman"/>
                <w:szCs w:val="24"/>
              </w:rPr>
              <w:t>Emisijas kvotu izsolīšanas instruments</w:t>
            </w:r>
          </w:p>
        </w:tc>
      </w:tr>
      <w:tr w:rsidR="00C956C5" w:rsidRPr="008B628A" w14:paraId="2F81EF91" w14:textId="77777777" w:rsidTr="0050180E">
        <w:trPr>
          <w:trHeight w:val="259"/>
        </w:trPr>
        <w:tc>
          <w:tcPr>
            <w:tcW w:w="1537" w:type="dxa"/>
            <w:vAlign w:val="center"/>
            <w:hideMark/>
          </w:tcPr>
          <w:p w14:paraId="1AAFA82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ELFLA</w:t>
            </w:r>
          </w:p>
        </w:tc>
        <w:tc>
          <w:tcPr>
            <w:tcW w:w="7750" w:type="dxa"/>
            <w:vAlign w:val="center"/>
            <w:hideMark/>
          </w:tcPr>
          <w:p w14:paraId="5FD2A7F3" w14:textId="77777777" w:rsidR="00C956C5" w:rsidRPr="008B628A" w:rsidRDefault="00C956C5" w:rsidP="00F83DA8">
            <w:pPr>
              <w:spacing w:after="0" w:line="240" w:lineRule="auto"/>
              <w:rPr>
                <w:rFonts w:ascii="Times New Roman" w:eastAsia="Calibri" w:hAnsi="Times New Roman" w:cs="Times New Roman"/>
                <w:szCs w:val="24"/>
              </w:rPr>
            </w:pPr>
            <w:r w:rsidRPr="008B628A">
              <w:rPr>
                <w:rStyle w:val="st"/>
                <w:rFonts w:ascii="Times New Roman" w:hAnsi="Times New Roman" w:cs="Times New Roman"/>
                <w:szCs w:val="24"/>
              </w:rPr>
              <w:t>Lauksaimniecības fondu lauku attīstībai</w:t>
            </w:r>
          </w:p>
        </w:tc>
      </w:tr>
      <w:tr w:rsidR="00C956C5" w:rsidRPr="008B628A" w14:paraId="580A3867" w14:textId="77777777" w:rsidTr="0050180E">
        <w:trPr>
          <w:trHeight w:val="259"/>
        </w:trPr>
        <w:tc>
          <w:tcPr>
            <w:tcW w:w="1537" w:type="dxa"/>
            <w:vAlign w:val="center"/>
            <w:hideMark/>
          </w:tcPr>
          <w:p w14:paraId="26D062C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EM</w:t>
            </w:r>
          </w:p>
        </w:tc>
        <w:tc>
          <w:tcPr>
            <w:tcW w:w="7750" w:type="dxa"/>
            <w:vAlign w:val="center"/>
            <w:hideMark/>
          </w:tcPr>
          <w:p w14:paraId="236AECC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Ekonomikas ministrija</w:t>
            </w:r>
          </w:p>
        </w:tc>
      </w:tr>
      <w:tr w:rsidR="00C956C5" w:rsidRPr="008B628A" w14:paraId="66DE431A" w14:textId="77777777" w:rsidTr="0050180E">
        <w:trPr>
          <w:trHeight w:val="278"/>
        </w:trPr>
        <w:tc>
          <w:tcPr>
            <w:tcW w:w="1537" w:type="dxa"/>
            <w:vAlign w:val="center"/>
          </w:tcPr>
          <w:p w14:paraId="1B22A46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EnS</w:t>
            </w:r>
          </w:p>
        </w:tc>
        <w:tc>
          <w:tcPr>
            <w:tcW w:w="7750" w:type="dxa"/>
            <w:vAlign w:val="center"/>
          </w:tcPr>
          <w:p w14:paraId="1B09ED3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Enerģētikas savienība</w:t>
            </w:r>
          </w:p>
        </w:tc>
      </w:tr>
      <w:tr w:rsidR="00FA0924" w:rsidRPr="008B628A" w14:paraId="4738E0CE" w14:textId="77777777" w:rsidTr="0050180E">
        <w:trPr>
          <w:trHeight w:val="278"/>
        </w:trPr>
        <w:tc>
          <w:tcPr>
            <w:tcW w:w="1537" w:type="dxa"/>
            <w:vAlign w:val="center"/>
          </w:tcPr>
          <w:p w14:paraId="62BD8A2D" w14:textId="19783177" w:rsidR="00FA0924" w:rsidRPr="008B628A" w:rsidRDefault="00FA0924"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EPAPP2020</w:t>
            </w:r>
          </w:p>
        </w:tc>
        <w:tc>
          <w:tcPr>
            <w:tcW w:w="7750" w:type="dxa"/>
            <w:vAlign w:val="center"/>
          </w:tcPr>
          <w:p w14:paraId="1C6AC5F4" w14:textId="1A95BED4" w:rsidR="00FA0924" w:rsidRPr="008B628A" w:rsidRDefault="00FA0924"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Energoefektivitātes politikas alternatīvo pasākumu plāns enerģijas galapatēriņa ietaupījuma mērķa 2014.–2020. gadam sasniegšanai</w:t>
            </w:r>
          </w:p>
        </w:tc>
      </w:tr>
      <w:tr w:rsidR="00741D8C" w:rsidRPr="008B628A" w14:paraId="789A9140" w14:textId="77777777" w:rsidTr="0050180E">
        <w:trPr>
          <w:trHeight w:val="278"/>
        </w:trPr>
        <w:tc>
          <w:tcPr>
            <w:tcW w:w="1537" w:type="dxa"/>
            <w:vAlign w:val="center"/>
          </w:tcPr>
          <w:p w14:paraId="115F1228" w14:textId="746583C5" w:rsidR="00741D8C" w:rsidRPr="008B628A" w:rsidRDefault="00741D8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EPS</w:t>
            </w:r>
          </w:p>
        </w:tc>
        <w:tc>
          <w:tcPr>
            <w:tcW w:w="7750" w:type="dxa"/>
            <w:vAlign w:val="center"/>
          </w:tcPr>
          <w:p w14:paraId="0748380A" w14:textId="355AA76F" w:rsidR="00741D8C" w:rsidRPr="008B628A" w:rsidRDefault="00741D8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Energoefektivitātes pienākumu shēma</w:t>
            </w:r>
          </w:p>
        </w:tc>
      </w:tr>
      <w:tr w:rsidR="00C956C5" w:rsidRPr="008B628A" w14:paraId="287AB141" w14:textId="77777777" w:rsidTr="0050180E">
        <w:trPr>
          <w:trHeight w:val="278"/>
        </w:trPr>
        <w:tc>
          <w:tcPr>
            <w:tcW w:w="1537" w:type="dxa"/>
            <w:vAlign w:val="center"/>
          </w:tcPr>
          <w:p w14:paraId="77C11A6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ERAF</w:t>
            </w:r>
          </w:p>
        </w:tc>
        <w:tc>
          <w:tcPr>
            <w:tcW w:w="7750" w:type="dxa"/>
            <w:vAlign w:val="center"/>
          </w:tcPr>
          <w:p w14:paraId="461ED9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szCs w:val="24"/>
              </w:rPr>
              <w:t>Eiropas reģionālās attīstības fonds</w:t>
            </w:r>
          </w:p>
        </w:tc>
      </w:tr>
      <w:tr w:rsidR="00C956C5" w:rsidRPr="008B628A" w14:paraId="475DE2A5" w14:textId="77777777" w:rsidTr="0050180E">
        <w:trPr>
          <w:trHeight w:val="278"/>
        </w:trPr>
        <w:tc>
          <w:tcPr>
            <w:tcW w:w="1537" w:type="dxa"/>
            <w:vAlign w:val="center"/>
            <w:hideMark/>
          </w:tcPr>
          <w:p w14:paraId="05EECE0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ES</w:t>
            </w:r>
          </w:p>
        </w:tc>
        <w:tc>
          <w:tcPr>
            <w:tcW w:w="7750" w:type="dxa"/>
            <w:vAlign w:val="center"/>
            <w:hideMark/>
          </w:tcPr>
          <w:p w14:paraId="35638E7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w:t>
            </w:r>
          </w:p>
        </w:tc>
      </w:tr>
      <w:tr w:rsidR="002C6E77" w:rsidRPr="008B628A" w14:paraId="5B513317" w14:textId="77777777" w:rsidTr="0050180E">
        <w:trPr>
          <w:trHeight w:val="278"/>
        </w:trPr>
        <w:tc>
          <w:tcPr>
            <w:tcW w:w="1537" w:type="dxa"/>
            <w:vAlign w:val="center"/>
          </w:tcPr>
          <w:p w14:paraId="4CB99BB7" w14:textId="082DAD4C" w:rsidR="002C6E77" w:rsidRPr="008B628A" w:rsidRDefault="002C6E77"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ESKO</w:t>
            </w:r>
          </w:p>
        </w:tc>
        <w:tc>
          <w:tcPr>
            <w:tcW w:w="7750" w:type="dxa"/>
            <w:vAlign w:val="center"/>
          </w:tcPr>
          <w:p w14:paraId="07978836" w14:textId="3C01E460" w:rsidR="002C6E77" w:rsidRPr="008B628A" w:rsidRDefault="002C6E77"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Energoservisa pakalpojumi</w:t>
            </w:r>
          </w:p>
        </w:tc>
      </w:tr>
      <w:tr w:rsidR="00C956C5" w:rsidRPr="008B628A" w14:paraId="07EC9940" w14:textId="77777777" w:rsidTr="0050180E">
        <w:trPr>
          <w:trHeight w:val="278"/>
        </w:trPr>
        <w:tc>
          <w:tcPr>
            <w:tcW w:w="1537" w:type="dxa"/>
            <w:vAlign w:val="center"/>
          </w:tcPr>
          <w:p w14:paraId="1F7920B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ETL</w:t>
            </w:r>
          </w:p>
        </w:tc>
        <w:tc>
          <w:tcPr>
            <w:tcW w:w="7750" w:type="dxa"/>
            <w:vAlign w:val="center"/>
          </w:tcPr>
          <w:p w14:paraId="04E95EF5" w14:textId="1F5568F3" w:rsidR="00C956C5"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w:t>
            </w:r>
            <w:r w:rsidR="00C956C5" w:rsidRPr="008B628A">
              <w:rPr>
                <w:rFonts w:ascii="Times New Roman" w:eastAsia="Calibri" w:hAnsi="Times New Roman" w:cs="Times New Roman"/>
                <w:szCs w:val="24"/>
              </w:rPr>
              <w:t>lektrotransportlīdzekļi</w:t>
            </w:r>
          </w:p>
        </w:tc>
      </w:tr>
      <w:tr w:rsidR="00C956C5" w:rsidRPr="008B628A" w14:paraId="29EDCDBA" w14:textId="77777777" w:rsidTr="0050180E">
        <w:trPr>
          <w:trHeight w:val="278"/>
        </w:trPr>
        <w:tc>
          <w:tcPr>
            <w:tcW w:w="1537" w:type="dxa"/>
            <w:vAlign w:val="center"/>
            <w:hideMark/>
          </w:tcPr>
          <w:p w14:paraId="1ABFE13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ETS</w:t>
            </w:r>
          </w:p>
        </w:tc>
        <w:tc>
          <w:tcPr>
            <w:tcW w:w="7750" w:type="dxa"/>
            <w:vAlign w:val="center"/>
            <w:hideMark/>
          </w:tcPr>
          <w:p w14:paraId="4E3031A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Savienības Emisijas kvotu tirdzniecības sistēma</w:t>
            </w:r>
          </w:p>
        </w:tc>
      </w:tr>
      <w:tr w:rsidR="00C956C5" w:rsidRPr="008B628A" w14:paraId="36F71003" w14:textId="77777777" w:rsidTr="0050180E">
        <w:trPr>
          <w:trHeight w:val="278"/>
        </w:trPr>
        <w:tc>
          <w:tcPr>
            <w:tcW w:w="1537" w:type="dxa"/>
            <w:vAlign w:val="center"/>
          </w:tcPr>
          <w:p w14:paraId="3F9804A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EUROSTAT</w:t>
            </w:r>
          </w:p>
        </w:tc>
        <w:tc>
          <w:tcPr>
            <w:tcW w:w="7750" w:type="dxa"/>
            <w:vAlign w:val="center"/>
          </w:tcPr>
          <w:p w14:paraId="45F72FF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Savienības Statistikas birojs</w:t>
            </w:r>
          </w:p>
        </w:tc>
      </w:tr>
      <w:tr w:rsidR="00C956C5" w:rsidRPr="008B628A" w14:paraId="20E60EC3" w14:textId="77777777" w:rsidTr="0050180E">
        <w:trPr>
          <w:trHeight w:val="278"/>
        </w:trPr>
        <w:tc>
          <w:tcPr>
            <w:tcW w:w="1537" w:type="dxa"/>
            <w:vAlign w:val="center"/>
            <w:hideMark/>
          </w:tcPr>
          <w:p w14:paraId="3F2E064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EVA</w:t>
            </w:r>
          </w:p>
        </w:tc>
        <w:tc>
          <w:tcPr>
            <w:tcW w:w="7750" w:type="dxa"/>
            <w:vAlign w:val="center"/>
            <w:hideMark/>
          </w:tcPr>
          <w:p w14:paraId="63B48F3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Vides aģentūra</w:t>
            </w:r>
          </w:p>
        </w:tc>
      </w:tr>
      <w:tr w:rsidR="00C956C5" w:rsidRPr="008B628A" w14:paraId="676C9798" w14:textId="77777777" w:rsidTr="0050180E">
        <w:trPr>
          <w:trHeight w:val="278"/>
        </w:trPr>
        <w:tc>
          <w:tcPr>
            <w:tcW w:w="1537" w:type="dxa"/>
            <w:vAlign w:val="center"/>
          </w:tcPr>
          <w:p w14:paraId="34D11F0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ĒAIS</w:t>
            </w:r>
          </w:p>
        </w:tc>
        <w:tc>
          <w:tcPr>
            <w:tcW w:w="7750" w:type="dxa"/>
            <w:vAlign w:val="center"/>
          </w:tcPr>
          <w:p w14:paraId="559F9D9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Ēku atjaunošanas ilgtermiņa stratēģija</w:t>
            </w:r>
          </w:p>
        </w:tc>
      </w:tr>
      <w:tr w:rsidR="00C956C5" w:rsidRPr="008B628A" w14:paraId="0F965DF0" w14:textId="77777777" w:rsidTr="0050180E">
        <w:trPr>
          <w:trHeight w:val="278"/>
        </w:trPr>
        <w:tc>
          <w:tcPr>
            <w:tcW w:w="1537" w:type="dxa"/>
            <w:vAlign w:val="center"/>
            <w:hideMark/>
          </w:tcPr>
          <w:p w14:paraId="0A3E8D5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FM</w:t>
            </w:r>
          </w:p>
        </w:tc>
        <w:tc>
          <w:tcPr>
            <w:tcW w:w="7750" w:type="dxa"/>
            <w:vAlign w:val="center"/>
            <w:hideMark/>
          </w:tcPr>
          <w:p w14:paraId="1CC0129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Finanšu ministrija</w:t>
            </w:r>
          </w:p>
        </w:tc>
      </w:tr>
      <w:tr w:rsidR="00C956C5" w:rsidRPr="008B628A" w14:paraId="66858492" w14:textId="77777777" w:rsidTr="0050180E">
        <w:trPr>
          <w:trHeight w:val="278"/>
        </w:trPr>
        <w:tc>
          <w:tcPr>
            <w:tcW w:w="1537" w:type="dxa"/>
            <w:vAlign w:val="center"/>
            <w:hideMark/>
          </w:tcPr>
          <w:p w14:paraId="169E785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F-gāzes</w:t>
            </w:r>
          </w:p>
        </w:tc>
        <w:tc>
          <w:tcPr>
            <w:tcW w:w="7750" w:type="dxa"/>
            <w:vAlign w:val="center"/>
            <w:hideMark/>
          </w:tcPr>
          <w:p w14:paraId="587A4A6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Fluorētās siltumnīcefekta gāzes</w:t>
            </w:r>
          </w:p>
        </w:tc>
      </w:tr>
      <w:tr w:rsidR="00F343DA" w:rsidRPr="008B628A" w14:paraId="02A7D182" w14:textId="77777777" w:rsidTr="0050180E">
        <w:trPr>
          <w:trHeight w:val="278"/>
        </w:trPr>
        <w:tc>
          <w:tcPr>
            <w:tcW w:w="1537" w:type="dxa"/>
            <w:vAlign w:val="center"/>
          </w:tcPr>
          <w:p w14:paraId="33158157" w14:textId="2A14A70B" w:rsidR="00F343DA"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HES</w:t>
            </w:r>
          </w:p>
        </w:tc>
        <w:tc>
          <w:tcPr>
            <w:tcW w:w="7750" w:type="dxa"/>
            <w:vAlign w:val="center"/>
          </w:tcPr>
          <w:p w14:paraId="5B0FA7DE" w14:textId="13702C9B" w:rsidR="00F343DA"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Hidroelektrostacija</w:t>
            </w:r>
          </w:p>
        </w:tc>
      </w:tr>
      <w:tr w:rsidR="00C956C5" w:rsidRPr="008B628A" w14:paraId="7B4E1595" w14:textId="77777777" w:rsidTr="0050180E">
        <w:trPr>
          <w:trHeight w:val="557"/>
        </w:trPr>
        <w:tc>
          <w:tcPr>
            <w:tcW w:w="1537" w:type="dxa"/>
            <w:vAlign w:val="center"/>
            <w:hideMark/>
          </w:tcPr>
          <w:p w14:paraId="2B3BBA7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IeM</w:t>
            </w:r>
          </w:p>
        </w:tc>
        <w:tc>
          <w:tcPr>
            <w:tcW w:w="7750" w:type="dxa"/>
            <w:vAlign w:val="center"/>
            <w:hideMark/>
          </w:tcPr>
          <w:p w14:paraId="2D6E4B5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Iekšlietu ministrija</w:t>
            </w:r>
          </w:p>
        </w:tc>
      </w:tr>
      <w:tr w:rsidR="00C956C5" w:rsidRPr="008B628A" w14:paraId="0BE579C1" w14:textId="77777777" w:rsidTr="0050180E">
        <w:trPr>
          <w:trHeight w:val="278"/>
        </w:trPr>
        <w:tc>
          <w:tcPr>
            <w:tcW w:w="1537" w:type="dxa"/>
            <w:vAlign w:val="center"/>
            <w:hideMark/>
          </w:tcPr>
          <w:p w14:paraId="7D9EFD6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IKP</w:t>
            </w:r>
          </w:p>
        </w:tc>
        <w:tc>
          <w:tcPr>
            <w:tcW w:w="7750" w:type="dxa"/>
            <w:vAlign w:val="center"/>
            <w:hideMark/>
          </w:tcPr>
          <w:p w14:paraId="576D01A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Iekšzemes kopprodukts</w:t>
            </w:r>
          </w:p>
        </w:tc>
      </w:tr>
      <w:tr w:rsidR="00C956C5" w:rsidRPr="008B628A" w14:paraId="4F86E23D" w14:textId="77777777" w:rsidTr="0050180E">
        <w:trPr>
          <w:trHeight w:val="278"/>
        </w:trPr>
        <w:tc>
          <w:tcPr>
            <w:tcW w:w="1537" w:type="dxa"/>
            <w:vAlign w:val="center"/>
            <w:hideMark/>
          </w:tcPr>
          <w:p w14:paraId="7D7C8D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IZM</w:t>
            </w:r>
          </w:p>
        </w:tc>
        <w:tc>
          <w:tcPr>
            <w:tcW w:w="7750" w:type="dxa"/>
            <w:vAlign w:val="center"/>
            <w:hideMark/>
          </w:tcPr>
          <w:p w14:paraId="2E5D620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Izglītības un zinātnes ministrija</w:t>
            </w:r>
          </w:p>
        </w:tc>
      </w:tr>
      <w:tr w:rsidR="0051536C" w:rsidRPr="008B628A" w14:paraId="7ACDCEA1" w14:textId="77777777" w:rsidTr="0050180E">
        <w:trPr>
          <w:trHeight w:val="278"/>
        </w:trPr>
        <w:tc>
          <w:tcPr>
            <w:tcW w:w="1537" w:type="dxa"/>
            <w:vAlign w:val="center"/>
          </w:tcPr>
          <w:p w14:paraId="2B4DCBD4" w14:textId="0EA59171" w:rsidR="0051536C" w:rsidRPr="008B628A" w:rsidRDefault="0051536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KEEPP</w:t>
            </w:r>
          </w:p>
        </w:tc>
        <w:tc>
          <w:tcPr>
            <w:tcW w:w="7750" w:type="dxa"/>
            <w:vAlign w:val="center"/>
          </w:tcPr>
          <w:p w14:paraId="629149EC" w14:textId="4E0BBDE9" w:rsidR="0051536C" w:rsidRPr="008B628A" w:rsidRDefault="0051536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Koncepcija par Eiropas Parlamenta un Padomes 2012.gada 25.oktobra Direktīvas 2012/27/ES par energoefektivitāti, ar ko groza Direktīvas 2009/125/EK un 2010/30/ES, un atceļ Direktīvas 2004/8/EK un 2006/32/EK, prasību pārņemšanu normatīvajos aktos</w:t>
            </w:r>
          </w:p>
        </w:tc>
      </w:tr>
      <w:tr w:rsidR="00C956C5" w:rsidRPr="008B628A" w14:paraId="34317654" w14:textId="77777777" w:rsidTr="0050180E">
        <w:trPr>
          <w:trHeight w:val="278"/>
        </w:trPr>
        <w:tc>
          <w:tcPr>
            <w:tcW w:w="1537" w:type="dxa"/>
            <w:vAlign w:val="center"/>
          </w:tcPr>
          <w:p w14:paraId="04A2186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KEP2020</w:t>
            </w:r>
          </w:p>
        </w:tc>
        <w:tc>
          <w:tcPr>
            <w:tcW w:w="7750" w:type="dxa"/>
            <w:vAlign w:val="center"/>
          </w:tcPr>
          <w:p w14:paraId="598DE90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Eiropadomes 2007. gada 2. maija prezidentvalsts secinājumi</w:t>
            </w:r>
          </w:p>
        </w:tc>
      </w:tr>
      <w:tr w:rsidR="00C956C5" w:rsidRPr="008B628A" w14:paraId="6B0B7B89" w14:textId="77777777" w:rsidTr="0050180E">
        <w:trPr>
          <w:trHeight w:val="278"/>
        </w:trPr>
        <w:tc>
          <w:tcPr>
            <w:tcW w:w="1537" w:type="dxa"/>
            <w:vAlign w:val="center"/>
          </w:tcPr>
          <w:p w14:paraId="6895449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KEPS2030</w:t>
            </w:r>
          </w:p>
        </w:tc>
        <w:tc>
          <w:tcPr>
            <w:tcW w:w="7750" w:type="dxa"/>
            <w:vAlign w:val="center"/>
          </w:tcPr>
          <w:p w14:paraId="41761B8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Eiropadomes 2014. gada 24. oktobra secinājumi “Klimata un enerģētikas politikas satvars laikposmam līdz 2030. gadam”</w:t>
            </w:r>
          </w:p>
        </w:tc>
      </w:tr>
      <w:tr w:rsidR="00C956C5" w:rsidRPr="008B628A" w14:paraId="6E121927" w14:textId="77777777" w:rsidTr="0050180E">
        <w:trPr>
          <w:trHeight w:val="278"/>
        </w:trPr>
        <w:tc>
          <w:tcPr>
            <w:tcW w:w="1537" w:type="dxa"/>
            <w:vAlign w:val="center"/>
          </w:tcPr>
          <w:p w14:paraId="328F210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KF</w:t>
            </w:r>
          </w:p>
        </w:tc>
        <w:tc>
          <w:tcPr>
            <w:tcW w:w="7750" w:type="dxa"/>
            <w:vAlign w:val="center"/>
          </w:tcPr>
          <w:p w14:paraId="37F2862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Kohēzijas fonds</w:t>
            </w:r>
          </w:p>
        </w:tc>
      </w:tr>
      <w:tr w:rsidR="00445E35" w:rsidRPr="008B628A" w14:paraId="55A1FB78" w14:textId="77777777" w:rsidTr="0050180E">
        <w:trPr>
          <w:trHeight w:val="278"/>
        </w:trPr>
        <w:tc>
          <w:tcPr>
            <w:tcW w:w="1537" w:type="dxa"/>
            <w:vAlign w:val="center"/>
          </w:tcPr>
          <w:p w14:paraId="22B5C20E" w14:textId="25C07882"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KIP</w:t>
            </w:r>
          </w:p>
        </w:tc>
        <w:tc>
          <w:tcPr>
            <w:tcW w:w="7750" w:type="dxa"/>
            <w:vAlign w:val="center"/>
          </w:tcPr>
          <w:p w14:paraId="31E2674E" w14:textId="66D00D87"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Kopīgu Interešu Projekts</w:t>
            </w:r>
          </w:p>
        </w:tc>
      </w:tr>
      <w:tr w:rsidR="00C956C5" w:rsidRPr="008B628A" w14:paraId="1EC8B08C" w14:textId="77777777" w:rsidTr="0050180E">
        <w:trPr>
          <w:trHeight w:val="278"/>
        </w:trPr>
        <w:tc>
          <w:tcPr>
            <w:tcW w:w="1537" w:type="dxa"/>
            <w:vAlign w:val="center"/>
            <w:hideMark/>
          </w:tcPr>
          <w:p w14:paraId="475BDED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KPFI</w:t>
            </w:r>
          </w:p>
        </w:tc>
        <w:tc>
          <w:tcPr>
            <w:tcW w:w="7750" w:type="dxa"/>
            <w:vAlign w:val="center"/>
            <w:hideMark/>
          </w:tcPr>
          <w:p w14:paraId="2A808059"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eastAsia="Calibri" w:hAnsi="Times New Roman" w:cs="Times New Roman"/>
                <w:szCs w:val="24"/>
              </w:rPr>
              <w:t>Klimata pārmaiņu finanšu instruments</w:t>
            </w:r>
          </w:p>
        </w:tc>
      </w:tr>
      <w:tr w:rsidR="00C956C5" w:rsidRPr="008B628A" w14:paraId="0E7C9D7A" w14:textId="77777777" w:rsidTr="0050180E">
        <w:trPr>
          <w:trHeight w:val="278"/>
        </w:trPr>
        <w:tc>
          <w:tcPr>
            <w:tcW w:w="1537" w:type="dxa"/>
            <w:vAlign w:val="center"/>
          </w:tcPr>
          <w:p w14:paraId="1429B90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LAP2020</w:t>
            </w:r>
          </w:p>
        </w:tc>
        <w:tc>
          <w:tcPr>
            <w:tcW w:w="7750" w:type="dxa"/>
            <w:vAlign w:val="center"/>
          </w:tcPr>
          <w:p w14:paraId="1FAB6CE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color w:val="000000"/>
                <w:szCs w:val="24"/>
              </w:rPr>
              <w:t>Lauku attīstības programma 2014.-2020.gadam</w:t>
            </w:r>
          </w:p>
        </w:tc>
      </w:tr>
      <w:tr w:rsidR="00C956C5" w:rsidRPr="008B628A" w14:paraId="3AD3BD51" w14:textId="77777777" w:rsidTr="0050180E">
        <w:trPr>
          <w:trHeight w:val="278"/>
        </w:trPr>
        <w:tc>
          <w:tcPr>
            <w:tcW w:w="1537" w:type="dxa"/>
            <w:vAlign w:val="center"/>
          </w:tcPr>
          <w:p w14:paraId="5DB20B7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LEIS2030</w:t>
            </w:r>
          </w:p>
        </w:tc>
        <w:tc>
          <w:tcPr>
            <w:tcW w:w="7750" w:type="dxa"/>
            <w:vAlign w:val="center"/>
          </w:tcPr>
          <w:p w14:paraId="126EAC46" w14:textId="1F501234" w:rsidR="00C956C5" w:rsidRPr="008B628A" w:rsidRDefault="00C956C5" w:rsidP="00F83DA8">
            <w:pPr>
              <w:spacing w:after="0" w:line="240" w:lineRule="auto"/>
              <w:rPr>
                <w:rFonts w:ascii="Times New Roman" w:hAnsi="Times New Roman" w:cs="Times New Roman"/>
                <w:color w:val="000000"/>
                <w:szCs w:val="24"/>
              </w:rPr>
            </w:pPr>
            <w:bookmarkStart w:id="5" w:name="_Hlk531553661"/>
            <w:r w:rsidRPr="008B628A">
              <w:rPr>
                <w:rFonts w:ascii="Times New Roman" w:hAnsi="Times New Roman" w:cs="Times New Roman"/>
                <w:color w:val="000000"/>
                <w:szCs w:val="24"/>
              </w:rPr>
              <w:t>Latvijas Enerģētikas il</w:t>
            </w:r>
            <w:r w:rsidR="003864B1" w:rsidRPr="008B628A">
              <w:rPr>
                <w:rFonts w:ascii="Times New Roman" w:hAnsi="Times New Roman" w:cs="Times New Roman"/>
                <w:color w:val="000000"/>
                <w:szCs w:val="24"/>
              </w:rPr>
              <w:t>g</w:t>
            </w:r>
            <w:r w:rsidRPr="008B628A">
              <w:rPr>
                <w:rFonts w:ascii="Times New Roman" w:hAnsi="Times New Roman" w:cs="Times New Roman"/>
                <w:color w:val="000000"/>
                <w:szCs w:val="24"/>
              </w:rPr>
              <w:t>termiņa stratēģija 2030 – konkurētspējīga enerģētika sabiedrībai</w:t>
            </w:r>
            <w:bookmarkEnd w:id="5"/>
          </w:p>
        </w:tc>
      </w:tr>
      <w:tr w:rsidR="00C956C5" w:rsidRPr="008B628A" w14:paraId="10E5788A" w14:textId="77777777" w:rsidTr="0050180E">
        <w:trPr>
          <w:trHeight w:val="278"/>
        </w:trPr>
        <w:tc>
          <w:tcPr>
            <w:tcW w:w="1537" w:type="dxa"/>
            <w:vAlign w:val="center"/>
          </w:tcPr>
          <w:p w14:paraId="681295A1" w14:textId="77777777" w:rsidR="00C956C5" w:rsidRPr="008B628A" w:rsidRDefault="00C956C5" w:rsidP="00F83DA8">
            <w:pPr>
              <w:spacing w:after="0" w:line="240" w:lineRule="auto"/>
              <w:rPr>
                <w:rFonts w:ascii="Times New Roman" w:eastAsia="Calibri" w:hAnsi="Times New Roman" w:cs="Times New Roman"/>
                <w:szCs w:val="24"/>
              </w:rPr>
            </w:pPr>
            <w:bookmarkStart w:id="6" w:name="_Hlk531553615"/>
            <w:r w:rsidRPr="008B628A">
              <w:rPr>
                <w:rFonts w:ascii="Times New Roman" w:eastAsia="Calibri" w:hAnsi="Times New Roman" w:cs="Times New Roman"/>
                <w:szCs w:val="24"/>
              </w:rPr>
              <w:t>LIAS2030</w:t>
            </w:r>
          </w:p>
        </w:tc>
        <w:tc>
          <w:tcPr>
            <w:tcW w:w="7750" w:type="dxa"/>
            <w:vAlign w:val="center"/>
          </w:tcPr>
          <w:p w14:paraId="2C032D16" w14:textId="124ADC46"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ilgtspējīgas attīstības stratēģija 2030.gadam</w:t>
            </w:r>
          </w:p>
        </w:tc>
      </w:tr>
      <w:bookmarkEnd w:id="6"/>
      <w:tr w:rsidR="00C956C5" w:rsidRPr="008B628A" w14:paraId="6643CCBA" w14:textId="77777777" w:rsidTr="0050180E">
        <w:trPr>
          <w:trHeight w:val="264"/>
        </w:trPr>
        <w:tc>
          <w:tcPr>
            <w:tcW w:w="1537" w:type="dxa"/>
            <w:vAlign w:val="center"/>
            <w:hideMark/>
          </w:tcPr>
          <w:p w14:paraId="4E4E0DE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lastRenderedPageBreak/>
              <w:t>LIFE</w:t>
            </w:r>
          </w:p>
        </w:tc>
        <w:tc>
          <w:tcPr>
            <w:tcW w:w="7750" w:type="dxa"/>
            <w:vAlign w:val="center"/>
            <w:hideMark/>
          </w:tcPr>
          <w:p w14:paraId="2378A44C"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Eiropas Savienības vides finanšu programma</w:t>
            </w:r>
          </w:p>
        </w:tc>
      </w:tr>
      <w:tr w:rsidR="00C956C5" w:rsidRPr="008B628A" w14:paraId="07236E13" w14:textId="77777777" w:rsidTr="0050180E">
        <w:trPr>
          <w:trHeight w:val="264"/>
        </w:trPr>
        <w:tc>
          <w:tcPr>
            <w:tcW w:w="1537" w:type="dxa"/>
            <w:vAlign w:val="center"/>
            <w:hideMark/>
          </w:tcPr>
          <w:p w14:paraId="5211E29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LLU</w:t>
            </w:r>
          </w:p>
        </w:tc>
        <w:tc>
          <w:tcPr>
            <w:tcW w:w="7750" w:type="dxa"/>
            <w:vAlign w:val="center"/>
            <w:hideMark/>
          </w:tcPr>
          <w:p w14:paraId="132ED80F"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Latvijas Lauksaimniecības universitāte</w:t>
            </w:r>
          </w:p>
        </w:tc>
      </w:tr>
      <w:tr w:rsidR="00C956C5" w:rsidRPr="008B628A" w14:paraId="6D43A2D1" w14:textId="77777777" w:rsidTr="0050180E">
        <w:trPr>
          <w:trHeight w:val="264"/>
        </w:trPr>
        <w:tc>
          <w:tcPr>
            <w:tcW w:w="1537" w:type="dxa"/>
            <w:vAlign w:val="center"/>
          </w:tcPr>
          <w:p w14:paraId="7542925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LNAP2020</w:t>
            </w:r>
          </w:p>
        </w:tc>
        <w:tc>
          <w:tcPr>
            <w:tcW w:w="7750" w:type="dxa"/>
            <w:vAlign w:val="center"/>
          </w:tcPr>
          <w:p w14:paraId="15F4D95E" w14:textId="28D7C2FD"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Nacionālais attīstības plāns 2014.–2020.gadam</w:t>
            </w:r>
          </w:p>
        </w:tc>
      </w:tr>
      <w:tr w:rsidR="00C956C5" w:rsidRPr="008B628A" w14:paraId="43039FD2" w14:textId="77777777" w:rsidTr="0050180E">
        <w:trPr>
          <w:trHeight w:val="264"/>
        </w:trPr>
        <w:tc>
          <w:tcPr>
            <w:tcW w:w="1537" w:type="dxa"/>
            <w:vAlign w:val="center"/>
          </w:tcPr>
          <w:p w14:paraId="56CA2A8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LNRP2020</w:t>
            </w:r>
          </w:p>
        </w:tc>
        <w:tc>
          <w:tcPr>
            <w:tcW w:w="7750" w:type="dxa"/>
            <w:vAlign w:val="center"/>
          </w:tcPr>
          <w:p w14:paraId="24CF6287" w14:textId="1E4D8A83"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Latvijas nacionālā reformu programma "ES 2020" stratēģijas īstenošanai</w:t>
            </w:r>
          </w:p>
        </w:tc>
      </w:tr>
      <w:tr w:rsidR="00C956C5" w:rsidRPr="008B628A" w14:paraId="2B3B3D42" w14:textId="77777777" w:rsidTr="0050180E">
        <w:trPr>
          <w:trHeight w:val="278"/>
        </w:trPr>
        <w:tc>
          <w:tcPr>
            <w:tcW w:w="1537" w:type="dxa"/>
            <w:vAlign w:val="center"/>
            <w:hideMark/>
          </w:tcPr>
          <w:p w14:paraId="7D171FC4"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eastAsia="Calibri" w:hAnsi="Times New Roman" w:cs="Times New Roman"/>
                <w:szCs w:val="24"/>
              </w:rPr>
              <w:t>LPS</w:t>
            </w:r>
          </w:p>
        </w:tc>
        <w:tc>
          <w:tcPr>
            <w:tcW w:w="7750" w:type="dxa"/>
            <w:vAlign w:val="center"/>
            <w:hideMark/>
          </w:tcPr>
          <w:p w14:paraId="7B2A924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Pašvaldību savienība</w:t>
            </w:r>
          </w:p>
        </w:tc>
      </w:tr>
      <w:tr w:rsidR="00D5028E" w:rsidRPr="008B628A" w14:paraId="5BEF6ACD" w14:textId="77777777" w:rsidTr="0050180E">
        <w:trPr>
          <w:trHeight w:val="278"/>
        </w:trPr>
        <w:tc>
          <w:tcPr>
            <w:tcW w:w="1537" w:type="dxa"/>
            <w:vAlign w:val="center"/>
          </w:tcPr>
          <w:p w14:paraId="2ABE659E" w14:textId="21B29866" w:rsidR="00D5028E" w:rsidRPr="008B628A" w:rsidRDefault="00D5028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LRRAEJ</w:t>
            </w:r>
          </w:p>
        </w:tc>
        <w:tc>
          <w:tcPr>
            <w:tcW w:w="7750" w:type="dxa"/>
            <w:vAlign w:val="center"/>
          </w:tcPr>
          <w:p w14:paraId="654D2774" w14:textId="63B759A2" w:rsidR="00D5028E" w:rsidRPr="008B628A" w:rsidRDefault="00D5028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123443" w:rsidRPr="008B628A" w14:paraId="1F6D7B10" w14:textId="77777777" w:rsidTr="0050180E">
        <w:trPr>
          <w:trHeight w:val="278"/>
        </w:trPr>
        <w:tc>
          <w:tcPr>
            <w:tcW w:w="1537" w:type="dxa"/>
            <w:vAlign w:val="center"/>
          </w:tcPr>
          <w:p w14:paraId="1A598BA9" w14:textId="6DB27B60" w:rsidR="00123443" w:rsidRPr="008B628A" w:rsidRDefault="00123443"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LSA</w:t>
            </w:r>
          </w:p>
        </w:tc>
        <w:tc>
          <w:tcPr>
            <w:tcW w:w="7750" w:type="dxa"/>
            <w:vAlign w:val="center"/>
          </w:tcPr>
          <w:p w14:paraId="784F90A8" w14:textId="65E2D2DE" w:rsidR="00123443" w:rsidRPr="008B628A" w:rsidRDefault="001B678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Lokālā siltumapgāde, kas saskaņā ar Enerģētikas likumu ir autonoma ražotāja, valsts vai pašvaldības iestāžu īpašumā esoša siltumapgādes sistēma, kas nodrošina siltumenerģiju paša vajadzībām un citiem enerģijas lietotājiem, kuriem siltumenerģija tiek sadalīta un piegādāta no siltumavota pa sadales sil</w:t>
            </w:r>
            <w:r w:rsidR="00F53CCC" w:rsidRPr="008B628A">
              <w:rPr>
                <w:rFonts w:ascii="Times New Roman" w:eastAsia="Calibri" w:hAnsi="Times New Roman" w:cs="Times New Roman"/>
                <w:szCs w:val="24"/>
              </w:rPr>
              <w:t>tumtīkliem vai bez tiem</w:t>
            </w:r>
          </w:p>
        </w:tc>
      </w:tr>
      <w:tr w:rsidR="00C956C5" w:rsidRPr="008B628A" w14:paraId="73AC4728" w14:textId="77777777" w:rsidTr="0050180E">
        <w:trPr>
          <w:trHeight w:val="278"/>
        </w:trPr>
        <w:tc>
          <w:tcPr>
            <w:tcW w:w="1537" w:type="dxa"/>
            <w:vAlign w:val="center"/>
            <w:hideMark/>
          </w:tcPr>
          <w:p w14:paraId="1AA9EA1D"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hAnsi="Times New Roman" w:cs="Times New Roman"/>
                <w:szCs w:val="24"/>
              </w:rPr>
              <w:t>LU</w:t>
            </w:r>
          </w:p>
        </w:tc>
        <w:tc>
          <w:tcPr>
            <w:tcW w:w="7750" w:type="dxa"/>
            <w:vAlign w:val="center"/>
            <w:hideMark/>
          </w:tcPr>
          <w:p w14:paraId="03872BE9"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eastAsia="Calibri" w:hAnsi="Times New Roman" w:cs="Times New Roman"/>
                <w:szCs w:val="24"/>
              </w:rPr>
              <w:t>Latvijas Universitāte</w:t>
            </w:r>
          </w:p>
        </w:tc>
      </w:tr>
      <w:tr w:rsidR="00C956C5" w:rsidRPr="008B628A" w14:paraId="36C9A061" w14:textId="77777777" w:rsidTr="0050180E">
        <w:trPr>
          <w:trHeight w:val="278"/>
        </w:trPr>
        <w:tc>
          <w:tcPr>
            <w:tcW w:w="1537" w:type="dxa"/>
            <w:vAlign w:val="center"/>
            <w:hideMark/>
          </w:tcPr>
          <w:p w14:paraId="3332CE9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LVĢMC</w:t>
            </w:r>
          </w:p>
        </w:tc>
        <w:tc>
          <w:tcPr>
            <w:tcW w:w="7750" w:type="dxa"/>
            <w:vAlign w:val="center"/>
            <w:hideMark/>
          </w:tcPr>
          <w:p w14:paraId="3F2CDA9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VSIA „Latvijas Vides, ģeoloģijas un meteoroloģijas centrs”</w:t>
            </w:r>
          </w:p>
        </w:tc>
      </w:tr>
      <w:tr w:rsidR="00C956C5" w:rsidRPr="008B628A" w14:paraId="4B45C4F8" w14:textId="77777777" w:rsidTr="0050180E">
        <w:trPr>
          <w:trHeight w:val="278"/>
        </w:trPr>
        <w:tc>
          <w:tcPr>
            <w:tcW w:w="1537" w:type="dxa"/>
            <w:vAlign w:val="center"/>
            <w:hideMark/>
          </w:tcPr>
          <w:p w14:paraId="701A6973" w14:textId="5A663CCE"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LVMI</w:t>
            </w:r>
            <w:r w:rsidR="00B90599">
              <w:rPr>
                <w:rFonts w:ascii="Times New Roman" w:eastAsia="Calibri" w:hAnsi="Times New Roman" w:cs="Times New Roman"/>
                <w:szCs w:val="24"/>
              </w:rPr>
              <w:t xml:space="preserve"> </w:t>
            </w:r>
            <w:r w:rsidRPr="008B628A">
              <w:rPr>
                <w:rFonts w:ascii="Times New Roman" w:eastAsia="Calibri" w:hAnsi="Times New Roman" w:cs="Times New Roman"/>
                <w:szCs w:val="24"/>
              </w:rPr>
              <w:t>"Silava"</w:t>
            </w:r>
          </w:p>
        </w:tc>
        <w:tc>
          <w:tcPr>
            <w:tcW w:w="7750" w:type="dxa"/>
            <w:vAlign w:val="center"/>
            <w:hideMark/>
          </w:tcPr>
          <w:p w14:paraId="404C542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Valsts mežzinātnes institūts „Silava”</w:t>
            </w:r>
          </w:p>
        </w:tc>
      </w:tr>
      <w:tr w:rsidR="00C956C5" w:rsidRPr="008B628A" w14:paraId="11249C85" w14:textId="77777777" w:rsidTr="0050180E">
        <w:trPr>
          <w:trHeight w:val="278"/>
        </w:trPr>
        <w:tc>
          <w:tcPr>
            <w:tcW w:w="1537" w:type="dxa"/>
            <w:vAlign w:val="center"/>
          </w:tcPr>
          <w:p w14:paraId="4EA245A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LVSS</w:t>
            </w:r>
          </w:p>
        </w:tc>
        <w:tc>
          <w:tcPr>
            <w:tcW w:w="7750" w:type="dxa"/>
            <w:vAlign w:val="center"/>
          </w:tcPr>
          <w:p w14:paraId="4256A5D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Viedās specializācijas stratēģija</w:t>
            </w:r>
          </w:p>
        </w:tc>
      </w:tr>
      <w:tr w:rsidR="00476419" w:rsidRPr="008B628A" w14:paraId="43E33536" w14:textId="77777777" w:rsidTr="0050180E">
        <w:trPr>
          <w:trHeight w:val="278"/>
        </w:trPr>
        <w:tc>
          <w:tcPr>
            <w:tcW w:w="1537" w:type="dxa"/>
            <w:vAlign w:val="center"/>
          </w:tcPr>
          <w:p w14:paraId="082B3A26" w14:textId="355BB8BC" w:rsidR="00476419" w:rsidRPr="008B628A" w:rsidRDefault="00476419"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MFF2027</w:t>
            </w:r>
          </w:p>
        </w:tc>
        <w:tc>
          <w:tcPr>
            <w:tcW w:w="7750" w:type="dxa"/>
            <w:vAlign w:val="center"/>
          </w:tcPr>
          <w:p w14:paraId="7D626C57" w14:textId="3880A07B" w:rsidR="00476419" w:rsidRPr="008B628A" w:rsidRDefault="00476419"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ES daudzgadu budžets 2021.-2027.gadam</w:t>
            </w:r>
          </w:p>
        </w:tc>
      </w:tr>
      <w:tr w:rsidR="00C956C5" w:rsidRPr="008B628A" w14:paraId="3F291525" w14:textId="77777777" w:rsidTr="0050180E">
        <w:trPr>
          <w:trHeight w:val="278"/>
        </w:trPr>
        <w:tc>
          <w:tcPr>
            <w:tcW w:w="1537" w:type="dxa"/>
            <w:vAlign w:val="center"/>
            <w:hideMark/>
          </w:tcPr>
          <w:p w14:paraId="4495606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MK</w:t>
            </w:r>
          </w:p>
        </w:tc>
        <w:tc>
          <w:tcPr>
            <w:tcW w:w="7750" w:type="dxa"/>
            <w:vAlign w:val="center"/>
            <w:hideMark/>
          </w:tcPr>
          <w:p w14:paraId="319F165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Ministru kabinets</w:t>
            </w:r>
          </w:p>
        </w:tc>
      </w:tr>
      <w:tr w:rsidR="00C956C5" w:rsidRPr="008B628A" w14:paraId="0EC0DEBD" w14:textId="77777777" w:rsidTr="0050180E">
        <w:trPr>
          <w:trHeight w:val="278"/>
        </w:trPr>
        <w:tc>
          <w:tcPr>
            <w:tcW w:w="1537" w:type="dxa"/>
            <w:vAlign w:val="center"/>
          </w:tcPr>
          <w:p w14:paraId="261D0AD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MSNP2020</w:t>
            </w:r>
          </w:p>
        </w:tc>
        <w:tc>
          <w:tcPr>
            <w:tcW w:w="7750" w:type="dxa"/>
            <w:vAlign w:val="center"/>
          </w:tcPr>
          <w:p w14:paraId="433621F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Meža un saistīto nozaru attīstības pamatnostādnes 2015.–2020. gadam</w:t>
            </w:r>
          </w:p>
        </w:tc>
      </w:tr>
      <w:tr w:rsidR="00B42DCE" w:rsidRPr="008B628A" w14:paraId="52ADDF5A" w14:textId="77777777" w:rsidTr="0050180E">
        <w:trPr>
          <w:trHeight w:val="278"/>
        </w:trPr>
        <w:tc>
          <w:tcPr>
            <w:tcW w:w="1537" w:type="dxa"/>
            <w:vAlign w:val="center"/>
          </w:tcPr>
          <w:p w14:paraId="0C6B0C92" w14:textId="1AD52D8F" w:rsidR="00B42DCE" w:rsidRPr="008B628A" w:rsidRDefault="00B42DC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NIPP2020</w:t>
            </w:r>
          </w:p>
        </w:tc>
        <w:tc>
          <w:tcPr>
            <w:tcW w:w="7750" w:type="dxa"/>
            <w:vAlign w:val="center"/>
          </w:tcPr>
          <w:p w14:paraId="01CDE3EE" w14:textId="29EB8FF0" w:rsidR="00B42DCE" w:rsidRPr="008B628A" w:rsidRDefault="00B42DC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Nacionālās industriālās politikas pamatnostādnes 2014-2020</w:t>
            </w:r>
          </w:p>
        </w:tc>
      </w:tr>
      <w:tr w:rsidR="00C956C5" w:rsidRPr="008B628A" w14:paraId="18C33973" w14:textId="77777777" w:rsidTr="0050180E">
        <w:trPr>
          <w:trHeight w:val="278"/>
        </w:trPr>
        <w:tc>
          <w:tcPr>
            <w:tcW w:w="1537" w:type="dxa"/>
            <w:vAlign w:val="center"/>
            <w:hideMark/>
          </w:tcPr>
          <w:p w14:paraId="711CEEB2"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hAnsi="Times New Roman" w:cs="Times New Roman"/>
                <w:szCs w:val="24"/>
              </w:rPr>
              <w:t>NVO</w:t>
            </w:r>
          </w:p>
        </w:tc>
        <w:tc>
          <w:tcPr>
            <w:tcW w:w="7750" w:type="dxa"/>
            <w:vAlign w:val="center"/>
            <w:hideMark/>
          </w:tcPr>
          <w:p w14:paraId="7DFE1D9E"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hAnsi="Times New Roman" w:cs="Times New Roman"/>
                <w:szCs w:val="24"/>
              </w:rPr>
              <w:t>Nevalstiskās organizācijas</w:t>
            </w:r>
          </w:p>
        </w:tc>
      </w:tr>
      <w:tr w:rsidR="00C956C5" w:rsidRPr="008B628A" w14:paraId="792DEE33" w14:textId="77777777" w:rsidTr="0050180E">
        <w:trPr>
          <w:trHeight w:val="264"/>
        </w:trPr>
        <w:tc>
          <w:tcPr>
            <w:tcW w:w="1537" w:type="dxa"/>
            <w:vAlign w:val="center"/>
          </w:tcPr>
          <w:p w14:paraId="147FBEC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Times New Roman" w:hAnsi="Times New Roman" w:cs="Times New Roman"/>
                <w:szCs w:val="24"/>
              </w:rPr>
              <w:t>NZIDIS</w:t>
            </w:r>
          </w:p>
        </w:tc>
        <w:tc>
          <w:tcPr>
            <w:tcW w:w="7750" w:type="dxa"/>
            <w:vAlign w:val="center"/>
          </w:tcPr>
          <w:p w14:paraId="03C6B582"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Nacionālā zinātniskās darbības informācijas sistēma</w:t>
            </w:r>
          </w:p>
        </w:tc>
      </w:tr>
      <w:tr w:rsidR="00C956C5" w:rsidRPr="008B628A" w14:paraId="56C305E0" w14:textId="77777777" w:rsidTr="0050180E">
        <w:trPr>
          <w:trHeight w:val="264"/>
        </w:trPr>
        <w:tc>
          <w:tcPr>
            <w:tcW w:w="1537" w:type="dxa"/>
            <w:vAlign w:val="center"/>
          </w:tcPr>
          <w:p w14:paraId="721820A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OMA</w:t>
            </w:r>
          </w:p>
        </w:tc>
        <w:tc>
          <w:tcPr>
            <w:tcW w:w="7750" w:type="dxa"/>
            <w:vAlign w:val="center"/>
          </w:tcPr>
          <w:p w14:paraId="22A95F8A"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Oglekļa mazietilpīgas attīstība</w:t>
            </w:r>
          </w:p>
        </w:tc>
      </w:tr>
      <w:tr w:rsidR="00C956C5" w:rsidRPr="008B628A" w14:paraId="3F84ACAD" w14:textId="77777777" w:rsidTr="0050180E">
        <w:trPr>
          <w:trHeight w:val="264"/>
        </w:trPr>
        <w:tc>
          <w:tcPr>
            <w:tcW w:w="1537" w:type="dxa"/>
            <w:vAlign w:val="center"/>
          </w:tcPr>
          <w:p w14:paraId="12C54CE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P&amp;A</w:t>
            </w:r>
          </w:p>
        </w:tc>
        <w:tc>
          <w:tcPr>
            <w:tcW w:w="7750" w:type="dxa"/>
            <w:vAlign w:val="center"/>
          </w:tcPr>
          <w:p w14:paraId="3624DED0"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Pētniecība un attīstība</w:t>
            </w:r>
          </w:p>
        </w:tc>
      </w:tr>
      <w:tr w:rsidR="00C956C5" w:rsidRPr="008B628A" w14:paraId="0BA36010" w14:textId="77777777" w:rsidTr="0050180E">
        <w:trPr>
          <w:trHeight w:val="278"/>
        </w:trPr>
        <w:tc>
          <w:tcPr>
            <w:tcW w:w="1537" w:type="dxa"/>
            <w:vAlign w:val="center"/>
            <w:hideMark/>
          </w:tcPr>
          <w:p w14:paraId="5FE13DE4" w14:textId="77777777" w:rsidR="00C956C5" w:rsidRPr="008B628A" w:rsidRDefault="00C956C5" w:rsidP="00F83DA8">
            <w:pPr>
              <w:spacing w:after="0" w:line="240" w:lineRule="auto"/>
              <w:rPr>
                <w:rFonts w:ascii="Times New Roman" w:eastAsia="TimesNewRoman" w:hAnsi="Times New Roman" w:cs="Times New Roman"/>
                <w:szCs w:val="24"/>
              </w:rPr>
            </w:pPr>
            <w:r w:rsidRPr="008B628A">
              <w:rPr>
                <w:rFonts w:ascii="Times New Roman" w:eastAsia="TimesNewRoman" w:hAnsi="Times New Roman" w:cs="Times New Roman"/>
                <w:szCs w:val="24"/>
              </w:rPr>
              <w:t>PKC</w:t>
            </w:r>
          </w:p>
        </w:tc>
        <w:tc>
          <w:tcPr>
            <w:tcW w:w="7750" w:type="dxa"/>
            <w:vAlign w:val="center"/>
            <w:hideMark/>
          </w:tcPr>
          <w:p w14:paraId="5F1033E2" w14:textId="77777777" w:rsidR="00C956C5" w:rsidRPr="008B628A" w:rsidRDefault="00C956C5" w:rsidP="00F83DA8">
            <w:pPr>
              <w:spacing w:after="0" w:line="240" w:lineRule="auto"/>
              <w:jc w:val="both"/>
              <w:rPr>
                <w:rFonts w:ascii="Times New Roman" w:eastAsia="Times New Roman" w:hAnsi="Times New Roman" w:cs="Times New Roman"/>
                <w:szCs w:val="24"/>
              </w:rPr>
            </w:pPr>
            <w:r w:rsidRPr="008B628A">
              <w:rPr>
                <w:rFonts w:ascii="Times New Roman" w:hAnsi="Times New Roman" w:cs="Times New Roman"/>
                <w:szCs w:val="24"/>
              </w:rPr>
              <w:t>Pārresoru koordinācijas centrs</w:t>
            </w:r>
          </w:p>
        </w:tc>
      </w:tr>
      <w:tr w:rsidR="00C956C5" w:rsidRPr="008B628A" w14:paraId="77EF37ED" w14:textId="77777777" w:rsidTr="0050180E">
        <w:trPr>
          <w:trHeight w:val="278"/>
        </w:trPr>
        <w:tc>
          <w:tcPr>
            <w:tcW w:w="1537" w:type="dxa"/>
            <w:vAlign w:val="center"/>
            <w:hideMark/>
          </w:tcPr>
          <w:p w14:paraId="15A8FC1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SEG</w:t>
            </w:r>
          </w:p>
        </w:tc>
        <w:tc>
          <w:tcPr>
            <w:tcW w:w="7750" w:type="dxa"/>
            <w:vAlign w:val="center"/>
            <w:hideMark/>
          </w:tcPr>
          <w:p w14:paraId="0EDAB8C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Siltumnīcefekta gāzes</w:t>
            </w:r>
          </w:p>
        </w:tc>
      </w:tr>
      <w:tr w:rsidR="002600FF" w:rsidRPr="008B628A" w14:paraId="1D3FD58E" w14:textId="77777777" w:rsidTr="0050180E">
        <w:trPr>
          <w:trHeight w:val="278"/>
        </w:trPr>
        <w:tc>
          <w:tcPr>
            <w:tcW w:w="1537" w:type="dxa"/>
            <w:vAlign w:val="center"/>
          </w:tcPr>
          <w:p w14:paraId="398CA160" w14:textId="69ABC5F2" w:rsidR="002600FF" w:rsidRPr="008B628A" w:rsidRDefault="002600FF"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OIK</w:t>
            </w:r>
          </w:p>
        </w:tc>
        <w:tc>
          <w:tcPr>
            <w:tcW w:w="7750" w:type="dxa"/>
            <w:vAlign w:val="center"/>
          </w:tcPr>
          <w:p w14:paraId="6317A5C8" w14:textId="692886E4" w:rsidR="002600FF" w:rsidRPr="008B628A" w:rsidRDefault="002600FF"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Obligātā iepirkuma komponente</w:t>
            </w:r>
          </w:p>
        </w:tc>
      </w:tr>
      <w:tr w:rsidR="00C956C5" w:rsidRPr="008B628A" w14:paraId="32F3A1EC" w14:textId="77777777" w:rsidTr="0050180E">
        <w:trPr>
          <w:trHeight w:val="264"/>
        </w:trPr>
        <w:tc>
          <w:tcPr>
            <w:tcW w:w="1537" w:type="dxa"/>
            <w:vAlign w:val="center"/>
          </w:tcPr>
          <w:p w14:paraId="2F41818D" w14:textId="1FC78528"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OMA2050</w:t>
            </w:r>
          </w:p>
        </w:tc>
        <w:tc>
          <w:tcPr>
            <w:tcW w:w="7750" w:type="dxa"/>
            <w:vAlign w:val="center"/>
          </w:tcPr>
          <w:p w14:paraId="7F13BAD6"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Stratēģija Latvijas oglekļa mazietilpīgai attīstībai līdz 2050.gadam</w:t>
            </w:r>
          </w:p>
        </w:tc>
      </w:tr>
      <w:tr w:rsidR="00C956C5" w:rsidRPr="008B628A" w14:paraId="4C6E09DA" w14:textId="77777777" w:rsidTr="0050180E">
        <w:trPr>
          <w:trHeight w:val="278"/>
        </w:trPr>
        <w:tc>
          <w:tcPr>
            <w:tcW w:w="1537" w:type="dxa"/>
            <w:vAlign w:val="center"/>
            <w:hideMark/>
          </w:tcPr>
          <w:p w14:paraId="4797B0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SM</w:t>
            </w:r>
          </w:p>
        </w:tc>
        <w:tc>
          <w:tcPr>
            <w:tcW w:w="7750" w:type="dxa"/>
            <w:vAlign w:val="center"/>
            <w:hideMark/>
          </w:tcPr>
          <w:p w14:paraId="214AC4D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Satiksmes ministrija</w:t>
            </w:r>
          </w:p>
        </w:tc>
      </w:tr>
      <w:tr w:rsidR="00445E35" w:rsidRPr="008B628A" w14:paraId="0A8A572C" w14:textId="77777777" w:rsidTr="0050180E">
        <w:trPr>
          <w:trHeight w:val="278"/>
        </w:trPr>
        <w:tc>
          <w:tcPr>
            <w:tcW w:w="1537" w:type="dxa"/>
            <w:vAlign w:val="center"/>
          </w:tcPr>
          <w:p w14:paraId="10DCB943" w14:textId="6531A528"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SPRK</w:t>
            </w:r>
          </w:p>
        </w:tc>
        <w:tc>
          <w:tcPr>
            <w:tcW w:w="7750" w:type="dxa"/>
            <w:vAlign w:val="center"/>
          </w:tcPr>
          <w:p w14:paraId="7EBBED44" w14:textId="6AEA55DD"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Sabiedrisko pakalpojumu regulēšanas komisija</w:t>
            </w:r>
          </w:p>
        </w:tc>
      </w:tr>
      <w:tr w:rsidR="009501EA" w:rsidRPr="008B628A" w14:paraId="68F956CB" w14:textId="77777777" w:rsidTr="0050180E">
        <w:trPr>
          <w:trHeight w:val="278"/>
        </w:trPr>
        <w:tc>
          <w:tcPr>
            <w:tcW w:w="1537" w:type="dxa"/>
            <w:vAlign w:val="center"/>
          </w:tcPr>
          <w:p w14:paraId="6DAC7BC1" w14:textId="0C17DDE6" w:rsidR="009501EA" w:rsidRPr="008B628A" w:rsidRDefault="009501E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tbu</w:t>
            </w:r>
          </w:p>
        </w:tc>
        <w:tc>
          <w:tcPr>
            <w:tcW w:w="7750" w:type="dxa"/>
            <w:vAlign w:val="center"/>
          </w:tcPr>
          <w:p w14:paraId="0D149088" w14:textId="425492D4" w:rsidR="009501EA" w:rsidRPr="008B628A" w:rsidRDefault="009501E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Tiks papildināts vai aktualizēts Plāna gala versijā</w:t>
            </w:r>
          </w:p>
        </w:tc>
      </w:tr>
      <w:tr w:rsidR="00C956C5" w:rsidRPr="008B628A" w14:paraId="245C66B6" w14:textId="77777777" w:rsidTr="0050180E">
        <w:trPr>
          <w:trHeight w:val="278"/>
        </w:trPr>
        <w:tc>
          <w:tcPr>
            <w:tcW w:w="1537" w:type="dxa"/>
            <w:vAlign w:val="center"/>
          </w:tcPr>
          <w:p w14:paraId="347CCE4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TAP2020</w:t>
            </w:r>
          </w:p>
        </w:tc>
        <w:tc>
          <w:tcPr>
            <w:tcW w:w="7750" w:type="dxa"/>
            <w:vAlign w:val="center"/>
          </w:tcPr>
          <w:p w14:paraId="33036592"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Transporta attīstības pamatnostādnes 2014.–2020.gadam</w:t>
            </w:r>
          </w:p>
        </w:tc>
      </w:tr>
      <w:tr w:rsidR="00C956C5" w:rsidRPr="008B628A" w14:paraId="53248101" w14:textId="77777777" w:rsidTr="0050180E">
        <w:trPr>
          <w:trHeight w:val="264"/>
        </w:trPr>
        <w:tc>
          <w:tcPr>
            <w:tcW w:w="1537" w:type="dxa"/>
            <w:vAlign w:val="center"/>
            <w:hideMark/>
          </w:tcPr>
          <w:p w14:paraId="07DD115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VARAM</w:t>
            </w:r>
          </w:p>
        </w:tc>
        <w:tc>
          <w:tcPr>
            <w:tcW w:w="7750" w:type="dxa"/>
            <w:vAlign w:val="center"/>
            <w:hideMark/>
          </w:tcPr>
          <w:p w14:paraId="46EED3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Vides aizsardzības un reģionālās attīstības ministrija</w:t>
            </w:r>
          </w:p>
        </w:tc>
      </w:tr>
      <w:tr w:rsidR="0058468D" w:rsidRPr="008B628A" w14:paraId="5F3871D5" w14:textId="77777777" w:rsidTr="0050180E">
        <w:trPr>
          <w:trHeight w:val="264"/>
        </w:trPr>
        <w:tc>
          <w:tcPr>
            <w:tcW w:w="1537" w:type="dxa"/>
            <w:vAlign w:val="center"/>
          </w:tcPr>
          <w:p w14:paraId="3671ACB4" w14:textId="77416200" w:rsidR="0058468D" w:rsidRPr="008B628A" w:rsidRDefault="0058468D"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VES</w:t>
            </w:r>
          </w:p>
        </w:tc>
        <w:tc>
          <w:tcPr>
            <w:tcW w:w="7750" w:type="dxa"/>
            <w:vAlign w:val="center"/>
          </w:tcPr>
          <w:p w14:paraId="41FB42A4" w14:textId="715B9BD6" w:rsidR="0058468D" w:rsidRPr="008B628A" w:rsidRDefault="0058468D"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Vēja elektrostacijas</w:t>
            </w:r>
          </w:p>
        </w:tc>
      </w:tr>
      <w:tr w:rsidR="000F38B8" w:rsidRPr="008B628A" w14:paraId="059E6F9E" w14:textId="77777777" w:rsidTr="0050180E">
        <w:trPr>
          <w:trHeight w:val="278"/>
        </w:trPr>
        <w:tc>
          <w:tcPr>
            <w:tcW w:w="1537" w:type="dxa"/>
            <w:vAlign w:val="center"/>
          </w:tcPr>
          <w:p w14:paraId="505D4590" w14:textId="4724EFEE" w:rsidR="000F38B8" w:rsidRPr="008B628A" w:rsidRDefault="000F38B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VPP</w:t>
            </w:r>
          </w:p>
        </w:tc>
        <w:tc>
          <w:tcPr>
            <w:tcW w:w="7750" w:type="dxa"/>
            <w:vAlign w:val="center"/>
          </w:tcPr>
          <w:p w14:paraId="25429016" w14:textId="03FCA852" w:rsidR="000F38B8" w:rsidRPr="008B628A" w:rsidRDefault="000F38B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Valsts pētījumu programma</w:t>
            </w:r>
          </w:p>
        </w:tc>
      </w:tr>
      <w:tr w:rsidR="00C956C5" w:rsidRPr="008B628A" w14:paraId="1CE52AB8" w14:textId="77777777" w:rsidTr="0050180E">
        <w:trPr>
          <w:trHeight w:val="278"/>
        </w:trPr>
        <w:tc>
          <w:tcPr>
            <w:tcW w:w="1537" w:type="dxa"/>
            <w:vAlign w:val="center"/>
          </w:tcPr>
          <w:p w14:paraId="42F989B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VPP2020</w:t>
            </w:r>
          </w:p>
        </w:tc>
        <w:tc>
          <w:tcPr>
            <w:tcW w:w="7750" w:type="dxa"/>
            <w:vAlign w:val="center"/>
          </w:tcPr>
          <w:p w14:paraId="7A25F2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Vides politikas pamatnostādnes 2014.–2020.gadam</w:t>
            </w:r>
          </w:p>
        </w:tc>
      </w:tr>
      <w:tr w:rsidR="00C956C5" w:rsidRPr="008B628A" w14:paraId="79AF5E19" w14:textId="77777777" w:rsidTr="0050180E">
        <w:trPr>
          <w:trHeight w:val="278"/>
        </w:trPr>
        <w:tc>
          <w:tcPr>
            <w:tcW w:w="1537" w:type="dxa"/>
            <w:vAlign w:val="center"/>
          </w:tcPr>
          <w:p w14:paraId="1EA4866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ZIZIMM</w:t>
            </w:r>
          </w:p>
        </w:tc>
        <w:tc>
          <w:tcPr>
            <w:tcW w:w="7750" w:type="dxa"/>
            <w:vAlign w:val="center"/>
          </w:tcPr>
          <w:p w14:paraId="28C3C6D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Zemes izmantošana, zemes izmantošanas maiņa un mežsaimniecība</w:t>
            </w:r>
          </w:p>
        </w:tc>
      </w:tr>
      <w:tr w:rsidR="00C956C5" w:rsidRPr="008B628A" w14:paraId="6CDE07FD" w14:textId="77777777" w:rsidTr="0050180E">
        <w:trPr>
          <w:trHeight w:val="278"/>
        </w:trPr>
        <w:tc>
          <w:tcPr>
            <w:tcW w:w="1537" w:type="dxa"/>
            <w:vAlign w:val="center"/>
            <w:hideMark/>
          </w:tcPr>
          <w:p w14:paraId="5FB2480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ZM</w:t>
            </w:r>
          </w:p>
        </w:tc>
        <w:tc>
          <w:tcPr>
            <w:tcW w:w="7750" w:type="dxa"/>
            <w:vAlign w:val="center"/>
            <w:hideMark/>
          </w:tcPr>
          <w:p w14:paraId="5581BA8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Zemkopības ministrija</w:t>
            </w:r>
          </w:p>
        </w:tc>
      </w:tr>
      <w:tr w:rsidR="00FF14AE" w:rsidRPr="008B628A" w14:paraId="556DAE24" w14:textId="77777777" w:rsidTr="0050180E">
        <w:trPr>
          <w:trHeight w:val="278"/>
        </w:trPr>
        <w:tc>
          <w:tcPr>
            <w:tcW w:w="1537" w:type="dxa"/>
            <w:vAlign w:val="center"/>
          </w:tcPr>
          <w:p w14:paraId="6400BD28" w14:textId="412D3C6C" w:rsidR="00FF14AE" w:rsidRPr="008B628A" w:rsidRDefault="00FF14AE"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ZPI</w:t>
            </w:r>
          </w:p>
        </w:tc>
        <w:tc>
          <w:tcPr>
            <w:tcW w:w="7750" w:type="dxa"/>
            <w:vAlign w:val="center"/>
          </w:tcPr>
          <w:p w14:paraId="0B65A4BD" w14:textId="5E5FDA80" w:rsidR="00FF14AE" w:rsidRPr="008B628A" w:rsidRDefault="00FF14AE" w:rsidP="00F83DA8">
            <w:pPr>
              <w:spacing w:after="0" w:line="240" w:lineRule="auto"/>
              <w:rPr>
                <w:rFonts w:ascii="Times New Roman" w:eastAsia="Calibri" w:hAnsi="Times New Roman" w:cs="Times New Roman"/>
                <w:szCs w:val="24"/>
              </w:rPr>
            </w:pPr>
            <w:r>
              <w:rPr>
                <w:rFonts w:ascii="Times New Roman" w:hAnsi="Times New Roman" w:cs="Times New Roman"/>
                <w:szCs w:val="24"/>
              </w:rPr>
              <w:t>Zaļais publiskais iepirkums</w:t>
            </w:r>
          </w:p>
        </w:tc>
      </w:tr>
      <w:tr w:rsidR="00B764D5" w:rsidRPr="008B628A" w14:paraId="5AB5061C" w14:textId="77777777" w:rsidTr="0050180E">
        <w:trPr>
          <w:trHeight w:val="278"/>
        </w:trPr>
        <w:tc>
          <w:tcPr>
            <w:tcW w:w="1537" w:type="dxa"/>
            <w:vAlign w:val="center"/>
          </w:tcPr>
          <w:p w14:paraId="533AAD65" w14:textId="6997BDCE" w:rsidR="00B764D5" w:rsidRPr="008B628A" w:rsidRDefault="00B764D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ZTAI</w:t>
            </w:r>
          </w:p>
        </w:tc>
        <w:tc>
          <w:tcPr>
            <w:tcW w:w="7750" w:type="dxa"/>
            <w:vAlign w:val="center"/>
          </w:tcPr>
          <w:p w14:paraId="0D1ADDA0" w14:textId="3FC16427" w:rsidR="00B764D5" w:rsidRPr="008B628A" w:rsidRDefault="00B764D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Zinātnes, tehnoloģijas attīstības un inovācija</w:t>
            </w:r>
          </w:p>
        </w:tc>
      </w:tr>
      <w:tr w:rsidR="00C956C5" w:rsidRPr="008B628A" w14:paraId="7783D48A" w14:textId="77777777" w:rsidTr="0050180E">
        <w:trPr>
          <w:trHeight w:val="278"/>
        </w:trPr>
        <w:tc>
          <w:tcPr>
            <w:tcW w:w="1537" w:type="dxa"/>
            <w:vAlign w:val="center"/>
          </w:tcPr>
          <w:p w14:paraId="1CE5562B" w14:textId="666BB383"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ZTAIP</w:t>
            </w:r>
            <w:r w:rsidR="00442D43" w:rsidRPr="008B628A">
              <w:rPr>
                <w:rFonts w:ascii="Times New Roman" w:eastAsia="Calibri" w:hAnsi="Times New Roman" w:cs="Times New Roman"/>
                <w:szCs w:val="24"/>
              </w:rPr>
              <w:t>2020</w:t>
            </w:r>
          </w:p>
        </w:tc>
        <w:tc>
          <w:tcPr>
            <w:tcW w:w="7750" w:type="dxa"/>
            <w:vAlign w:val="center"/>
          </w:tcPr>
          <w:p w14:paraId="252780C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Zinātnes, tehnoloģijas attīstības un inovācijas pamatnostādnes 2014.-2020. gadam</w:t>
            </w:r>
          </w:p>
        </w:tc>
      </w:tr>
    </w:tbl>
    <w:p w14:paraId="5ED6E24B" w14:textId="77777777" w:rsidR="00D07F6C" w:rsidRPr="008B628A" w:rsidRDefault="00D07F6C">
      <w:pPr>
        <w:rPr>
          <w:rFonts w:ascii="Times New Roman" w:eastAsiaTheme="majorEastAsia" w:hAnsi="Times New Roman" w:cs="Times New Roman"/>
          <w:b/>
          <w:sz w:val="28"/>
          <w:szCs w:val="32"/>
        </w:rPr>
      </w:pPr>
      <w:r w:rsidRPr="008B628A">
        <w:rPr>
          <w:rFonts w:ascii="Times New Roman" w:hAnsi="Times New Roman" w:cs="Times New Roman"/>
        </w:rPr>
        <w:br w:type="page"/>
      </w:r>
    </w:p>
    <w:p w14:paraId="49AFB787" w14:textId="4B23E147" w:rsidR="00581156" w:rsidRPr="008B628A" w:rsidRDefault="00581156" w:rsidP="00573EBD">
      <w:pPr>
        <w:pStyle w:val="Heading1"/>
      </w:pPr>
      <w:bookmarkStart w:id="7" w:name="_Toc520978791"/>
      <w:bookmarkStart w:id="8" w:name="_Toc527529412"/>
      <w:bookmarkStart w:id="9" w:name="_Toc532909994"/>
      <w:r w:rsidRPr="008B628A">
        <w:lastRenderedPageBreak/>
        <w:t>PĀRSKATS UN PLĀNA IZVEIDES PROCESS</w:t>
      </w:r>
      <w:bookmarkEnd w:id="7"/>
      <w:bookmarkEnd w:id="8"/>
      <w:bookmarkEnd w:id="9"/>
      <w:r w:rsidRPr="008B628A">
        <w:t xml:space="preserve"> </w:t>
      </w:r>
    </w:p>
    <w:p w14:paraId="7520841E" w14:textId="4BFA00FC" w:rsidR="00621553" w:rsidRPr="008B628A" w:rsidRDefault="00621553" w:rsidP="006F546A">
      <w:pPr>
        <w:pStyle w:val="Heading2"/>
      </w:pPr>
      <w:bookmarkStart w:id="10" w:name="_Toc520978792"/>
      <w:bookmarkStart w:id="11" w:name="_Toc527529413"/>
      <w:bookmarkStart w:id="12" w:name="_Toc532909995"/>
      <w:r w:rsidRPr="008B628A">
        <w:rPr>
          <w:rStyle w:val="normaltextrun"/>
        </w:rPr>
        <w:t>Kopsavilkums</w:t>
      </w:r>
      <w:bookmarkEnd w:id="10"/>
      <w:bookmarkEnd w:id="11"/>
      <w:bookmarkEnd w:id="12"/>
      <w:r w:rsidRPr="008B628A">
        <w:rPr>
          <w:rStyle w:val="eop"/>
        </w:rPr>
        <w:t> </w:t>
      </w:r>
    </w:p>
    <w:p w14:paraId="7B795713" w14:textId="444C0089" w:rsidR="00621553" w:rsidRPr="008B628A" w:rsidRDefault="00621553" w:rsidP="005F59CE">
      <w:pPr>
        <w:pStyle w:val="Heading3"/>
      </w:pPr>
      <w:bookmarkStart w:id="13" w:name="_Toc520978793"/>
      <w:bookmarkStart w:id="14" w:name="_Toc527529414"/>
      <w:r w:rsidRPr="008B628A">
        <w:rPr>
          <w:rStyle w:val="normaltextrun"/>
        </w:rPr>
        <w:t>Plāna politiskais, ekonomiskais, </w:t>
      </w:r>
      <w:r w:rsidRPr="008B628A">
        <w:rPr>
          <w:rStyle w:val="spellingerror"/>
        </w:rPr>
        <w:t>vid</w:t>
      </w:r>
      <w:r w:rsidR="00C673AF" w:rsidRPr="008B628A">
        <w:rPr>
          <w:rStyle w:val="spellingerror"/>
        </w:rPr>
        <w:t>es aizsardzības</w:t>
      </w:r>
      <w:r w:rsidRPr="008B628A">
        <w:rPr>
          <w:rStyle w:val="normaltextrun"/>
        </w:rPr>
        <w:t> un sociālais konteksts</w:t>
      </w:r>
      <w:bookmarkEnd w:id="13"/>
      <w:bookmarkEnd w:id="14"/>
      <w:r w:rsidRPr="008B628A">
        <w:rPr>
          <w:rStyle w:val="eop"/>
        </w:rPr>
        <w:t> </w:t>
      </w:r>
    </w:p>
    <w:p w14:paraId="790E6E8F" w14:textId="28221FB6" w:rsidR="00621553" w:rsidRPr="008B628A" w:rsidRDefault="00621553" w:rsidP="00907548">
      <w:pPr>
        <w:spacing w:before="120" w:after="120" w:line="240" w:lineRule="auto"/>
        <w:jc w:val="both"/>
        <w:rPr>
          <w:rFonts w:ascii="Times New Roman" w:hAnsi="Times New Roman" w:cs="Times New Roman"/>
          <w:szCs w:val="24"/>
        </w:rPr>
      </w:pPr>
      <w:bookmarkStart w:id="15" w:name="_Hlk524704878"/>
      <w:r w:rsidRPr="008B628A">
        <w:rPr>
          <w:rFonts w:ascii="Times New Roman" w:hAnsi="Times New Roman" w:cs="Times New Roman"/>
          <w:szCs w:val="24"/>
        </w:rPr>
        <w:t xml:space="preserve">Nacionālais enerģētikas un klimata plāns 2021.-2030.gadam (turpmāk – Plāns) ir dokuments </w:t>
      </w:r>
      <w:r w:rsidR="003F4596">
        <w:rPr>
          <w:rFonts w:ascii="Times New Roman" w:hAnsi="Times New Roman" w:cs="Times New Roman"/>
          <w:szCs w:val="24"/>
        </w:rPr>
        <w:t xml:space="preserve">ilgtermiņa </w:t>
      </w:r>
      <w:r w:rsidRPr="008B628A">
        <w:rPr>
          <w:rFonts w:ascii="Times New Roman" w:hAnsi="Times New Roman" w:cs="Times New Roman"/>
          <w:szCs w:val="24"/>
        </w:rPr>
        <w:t>termiņa politikas plānošanai, kas izstrādāts saskaņā ar Ministru kabineta 2016.gada 3.maija rīkojumu Nr.275 “Par Valdības rīcības plānu Deklarācijas par Māra Kučinska vadītā Ministru kabineta iecerēto darbību īstenošanai”</w:t>
      </w:r>
      <w:r w:rsidRPr="008B628A">
        <w:rPr>
          <w:rStyle w:val="FootnoteReference"/>
          <w:rFonts w:ascii="Times New Roman" w:hAnsi="Times New Roman" w:cs="Times New Roman"/>
          <w:szCs w:val="24"/>
        </w:rPr>
        <w:footnoteReference w:id="1"/>
      </w:r>
      <w:r w:rsidRPr="008B628A">
        <w:rPr>
          <w:rFonts w:ascii="Times New Roman" w:hAnsi="Times New Roman" w:cs="Times New Roman"/>
          <w:szCs w:val="24"/>
        </w:rPr>
        <w:t xml:space="preserve"> (deklarācijā dotā uzdevuma numurs 013, Pasākuma numurs 13.2).</w:t>
      </w:r>
    </w:p>
    <w:p w14:paraId="39B44B20" w14:textId="39D5CF17" w:rsidR="00621553" w:rsidRPr="008B628A" w:rsidRDefault="005A041E" w:rsidP="00907548">
      <w:pPr>
        <w:pStyle w:val="Default"/>
        <w:spacing w:before="120" w:after="120"/>
        <w:jc w:val="both"/>
        <w:rPr>
          <w:color w:val="auto"/>
        </w:rPr>
      </w:pPr>
      <w:r w:rsidRPr="008B628A">
        <w:rPr>
          <w:color w:val="auto"/>
        </w:rPr>
        <w:t>ES</w:t>
      </w:r>
      <w:r w:rsidR="00621553" w:rsidRPr="008B628A">
        <w:rPr>
          <w:color w:val="auto"/>
        </w:rPr>
        <w:t xml:space="preserve"> līmenī Plāna izstrādi</w:t>
      </w:r>
      <w:r w:rsidR="00F61989" w:rsidRPr="008B628A">
        <w:rPr>
          <w:color w:val="auto"/>
        </w:rPr>
        <w:t>, kā arī Plāna saturu, tajā iekļaujamo</w:t>
      </w:r>
      <w:r w:rsidR="008956C7" w:rsidRPr="008B628A">
        <w:rPr>
          <w:color w:val="auto"/>
        </w:rPr>
        <w:t xml:space="preserve">s nacionālos mērķrādītājus, mērķus un devumus ES mērķu sasniegšanā, </w:t>
      </w:r>
      <w:r w:rsidR="00F61989" w:rsidRPr="008B628A">
        <w:rPr>
          <w:color w:val="auto"/>
        </w:rPr>
        <w:t>informāciju un datus, kā arī rezultatīvos rādītājus</w:t>
      </w:r>
      <w:r w:rsidR="00621553" w:rsidRPr="008B628A">
        <w:rPr>
          <w:color w:val="auto"/>
        </w:rPr>
        <w:t xml:space="preserve"> nosaka:</w:t>
      </w:r>
    </w:p>
    <w:p w14:paraId="54B2E91C" w14:textId="74570660" w:rsidR="00621553" w:rsidRPr="008B628A" w:rsidRDefault="00604A74" w:rsidP="00283C85">
      <w:pPr>
        <w:pStyle w:val="Default"/>
        <w:numPr>
          <w:ilvl w:val="0"/>
          <w:numId w:val="137"/>
        </w:numPr>
        <w:spacing w:before="120" w:after="120"/>
        <w:ind w:left="397" w:hanging="397"/>
        <w:jc w:val="both"/>
        <w:rPr>
          <w:color w:val="auto"/>
        </w:rPr>
      </w:pPr>
      <w:r w:rsidRPr="008B628A">
        <w:rPr>
          <w:color w:val="auto"/>
        </w:rPr>
        <w:t>KEPS2030</w:t>
      </w:r>
      <w:r w:rsidR="00621553" w:rsidRPr="008B628A">
        <w:rPr>
          <w:rStyle w:val="FootnoteReference"/>
          <w:color w:val="auto"/>
        </w:rPr>
        <w:footnoteReference w:id="2"/>
      </w:r>
      <w:r w:rsidR="00621553" w:rsidRPr="008B628A">
        <w:rPr>
          <w:color w:val="auto"/>
        </w:rPr>
        <w:t>;</w:t>
      </w:r>
    </w:p>
    <w:p w14:paraId="6EA5B2E2" w14:textId="77777777" w:rsidR="00621553" w:rsidRPr="008B628A" w:rsidRDefault="00621553" w:rsidP="00283C85">
      <w:pPr>
        <w:pStyle w:val="Default"/>
        <w:numPr>
          <w:ilvl w:val="0"/>
          <w:numId w:val="137"/>
        </w:numPr>
        <w:spacing w:before="120" w:after="120"/>
        <w:ind w:left="397" w:hanging="397"/>
        <w:jc w:val="both"/>
        <w:rPr>
          <w:color w:val="auto"/>
        </w:rPr>
      </w:pPr>
      <w:r w:rsidRPr="008B628A">
        <w:rPr>
          <w:color w:val="auto"/>
        </w:rPr>
        <w:t>Transporta, telekomunikāciju un enerģētikas padomes 2015.gada 26.novembra secinājumi “Enerģētikas Savienības pārvaldības sistēma”</w:t>
      </w:r>
      <w:r w:rsidRPr="008B628A">
        <w:rPr>
          <w:rStyle w:val="FootnoteReference"/>
          <w:color w:val="auto"/>
        </w:rPr>
        <w:footnoteReference w:id="3"/>
      </w:r>
      <w:r w:rsidRPr="008B628A">
        <w:rPr>
          <w:color w:val="auto"/>
        </w:rPr>
        <w:t>;</w:t>
      </w:r>
    </w:p>
    <w:p w14:paraId="65CC6E87" w14:textId="12150606" w:rsidR="00621553" w:rsidRPr="008B628A" w:rsidRDefault="0050180E" w:rsidP="00283C85">
      <w:pPr>
        <w:pStyle w:val="Default"/>
        <w:numPr>
          <w:ilvl w:val="0"/>
          <w:numId w:val="137"/>
        </w:numPr>
        <w:spacing w:before="120" w:after="120"/>
        <w:ind w:left="397" w:hanging="397"/>
        <w:jc w:val="both"/>
        <w:rPr>
          <w:color w:val="auto"/>
        </w:rPr>
      </w:pPr>
      <w:r w:rsidRPr="008B628A">
        <w:rPr>
          <w:rFonts w:eastAsia="Calibri"/>
        </w:rPr>
        <w:t xml:space="preserve">Priekšlikums Eiropas Parlamenta un Padomes regulai </w:t>
      </w:r>
      <w:r w:rsidR="00FE6776" w:rsidRPr="00FE6776">
        <w:rPr>
          <w:rFonts w:eastAsia="Calibri"/>
        </w:rPr>
        <w:t>par enerģētikas savienības un rīcības klimata politikas jomā pārvaldību un ar ko groza Direktīvu 94/22/EK, Direktīvu 98/70/EK, Direktīvu 2009/31/EK, Regulu (EK) Nr. 663/2009, Regulu (EK) Nr. 715/2009, Direktīvu 2009/73/EK, Padomes Direktīvu 2009/119/EK, Direktīvu 2010/31/ES, Direktīvu 2012/27/ES, Direktīvu 2013/30/ES un Padomes Direktīvu (ES) 2015/652 un atceļ Regulu (ES) Nr. 525/2013</w:t>
      </w:r>
      <w:r w:rsidR="00621553" w:rsidRPr="008B628A">
        <w:rPr>
          <w:rStyle w:val="FootnoteReference"/>
          <w:color w:val="auto"/>
        </w:rPr>
        <w:footnoteReference w:id="4"/>
      </w:r>
      <w:r w:rsidRPr="008B628A">
        <w:rPr>
          <w:rFonts w:eastAsia="Calibri"/>
        </w:rPr>
        <w:t xml:space="preserve"> (turpmāk – EnS pārvaldības regulas priekšlikums)</w:t>
      </w:r>
      <w:r w:rsidR="008C3904" w:rsidRPr="008B628A">
        <w:rPr>
          <w:rStyle w:val="FootnoteReference"/>
          <w:rFonts w:eastAsia="Calibri"/>
        </w:rPr>
        <w:footnoteReference w:id="5"/>
      </w:r>
      <w:r w:rsidR="00621553" w:rsidRPr="008B628A">
        <w:rPr>
          <w:color w:val="auto"/>
        </w:rPr>
        <w:t>.</w:t>
      </w:r>
    </w:p>
    <w:bookmarkEnd w:id="15"/>
    <w:p w14:paraId="6EB91691" w14:textId="77777777" w:rsidR="00621553" w:rsidRPr="008B628A" w:rsidRDefault="00621553" w:rsidP="00907548">
      <w:pPr>
        <w:pStyle w:val="Default"/>
        <w:spacing w:before="120" w:after="120"/>
        <w:jc w:val="both"/>
        <w:rPr>
          <w:color w:val="auto"/>
        </w:rPr>
      </w:pPr>
      <w:r w:rsidRPr="008B628A">
        <w:rPr>
          <w:color w:val="auto"/>
        </w:rPr>
        <w:t>Katrā dalībvalstī un arī Latvijā Plāns tiek izstrādāts, lai sasniegtu E</w:t>
      </w:r>
      <w:r w:rsidR="00290F19" w:rsidRPr="008B628A">
        <w:rPr>
          <w:color w:val="auto"/>
        </w:rPr>
        <w:t>S</w:t>
      </w:r>
      <w:r w:rsidRPr="008B628A">
        <w:rPr>
          <w:color w:val="auto"/>
        </w:rPr>
        <w:t xml:space="preserve"> noteiktos mērķus vai izteiktās starptautiskās apņemšanās:</w:t>
      </w:r>
    </w:p>
    <w:p w14:paraId="4DA3BD99" w14:textId="34C3BAF6" w:rsidR="00621553" w:rsidRPr="008B628A" w:rsidRDefault="00621553" w:rsidP="00283C85">
      <w:pPr>
        <w:pStyle w:val="Default"/>
        <w:numPr>
          <w:ilvl w:val="0"/>
          <w:numId w:val="138"/>
        </w:numPr>
        <w:spacing w:before="120" w:after="120"/>
        <w:ind w:left="397" w:hanging="397"/>
        <w:jc w:val="both"/>
        <w:rPr>
          <w:color w:val="auto"/>
        </w:rPr>
      </w:pPr>
      <w:r w:rsidRPr="008B628A">
        <w:rPr>
          <w:color w:val="auto"/>
        </w:rPr>
        <w:t>ANO Vispārējās konvencijas par klimata pārmaiņām (turpmāk – Konvencija) Parīzes nolīgum</w:t>
      </w:r>
      <w:r w:rsidR="00AF3992" w:rsidRPr="008B628A">
        <w:rPr>
          <w:color w:val="auto"/>
        </w:rPr>
        <w:t>a</w:t>
      </w:r>
      <w:r w:rsidRPr="008B628A">
        <w:rPr>
          <w:color w:val="auto"/>
        </w:rPr>
        <w:t xml:space="preserve"> ietvaros izteiktās apņemšanās 2030.gadam attiecībā uz klimata pārmaiņu mazināšanu – SEG emisiju samazināšana un lielāka CO</w:t>
      </w:r>
      <w:r w:rsidRPr="008B628A">
        <w:rPr>
          <w:color w:val="auto"/>
          <w:vertAlign w:val="subscript"/>
        </w:rPr>
        <w:t>2</w:t>
      </w:r>
      <w:r w:rsidRPr="008B628A">
        <w:rPr>
          <w:color w:val="auto"/>
        </w:rPr>
        <w:t xml:space="preserve"> piesaiste visās nozarēs – izmaksu ziņā efektīvā veidā līdz 2030.gadam samazināt kopējās visu ES dalībvalstu SEG emisijas par vismaz 40% salīdzinot ar 1990.gadu.</w:t>
      </w:r>
    </w:p>
    <w:p w14:paraId="1DAD796A" w14:textId="3D5C5055" w:rsidR="00621553" w:rsidRPr="008B628A" w:rsidRDefault="00621553" w:rsidP="00283C85">
      <w:pPr>
        <w:pStyle w:val="Default"/>
        <w:numPr>
          <w:ilvl w:val="0"/>
          <w:numId w:val="138"/>
        </w:numPr>
        <w:spacing w:before="120" w:after="120"/>
        <w:ind w:left="397" w:hanging="397"/>
        <w:jc w:val="both"/>
        <w:rPr>
          <w:color w:val="auto"/>
        </w:rPr>
      </w:pPr>
      <w:r w:rsidRPr="008B628A">
        <w:rPr>
          <w:color w:val="auto"/>
        </w:rPr>
        <w:t>ES “Ceļvedis virzībai uz konkurētspējīgu ekonomiku ar zemu oglekļa dioksīda emisiju līmeni 2050. g.”</w:t>
      </w:r>
      <w:r w:rsidRPr="008B628A">
        <w:rPr>
          <w:rStyle w:val="FootnoteReference"/>
          <w:color w:val="auto"/>
        </w:rPr>
        <w:footnoteReference w:id="6"/>
      </w:r>
      <w:r w:rsidRPr="008B628A">
        <w:rPr>
          <w:color w:val="auto"/>
        </w:rPr>
        <w:t xml:space="preserve"> – ES 2050.gadā ir gatava savā iekšienē samazināt kopējās ES dalībvalstu emisijas par 80-95% salīdzinājumā ar 1990. g. līmeni, lai pārietu uz konkurētspējīgu ekonomiku ar zemu oglekļa dioksīda emisiju līmeni. </w:t>
      </w:r>
    </w:p>
    <w:p w14:paraId="198292F1" w14:textId="7B9D5EFD" w:rsidR="002E1762" w:rsidRPr="008B628A" w:rsidRDefault="002E1762" w:rsidP="00283C85">
      <w:pPr>
        <w:pStyle w:val="Default"/>
        <w:numPr>
          <w:ilvl w:val="0"/>
          <w:numId w:val="138"/>
        </w:numPr>
        <w:spacing w:before="120" w:after="120"/>
        <w:ind w:left="397" w:hanging="397"/>
        <w:jc w:val="both"/>
        <w:rPr>
          <w:color w:val="auto"/>
        </w:rPr>
      </w:pPr>
      <w:r w:rsidRPr="008B628A">
        <w:rPr>
          <w:color w:val="auto"/>
        </w:rPr>
        <w:t xml:space="preserve">ES “Tīra planēta visiem – Eiropas stratēģisks ilgtermiņa redzējums uz pārtikušu, modernu, konkurētspējīgu un klimatam neitrālu ekonomiku” </w:t>
      </w:r>
      <w:r w:rsidR="00C27397" w:rsidRPr="008B628A">
        <w:rPr>
          <w:color w:val="auto"/>
        </w:rPr>
        <w:t>–</w:t>
      </w:r>
      <w:r w:rsidRPr="008B628A">
        <w:rPr>
          <w:color w:val="auto"/>
        </w:rPr>
        <w:t xml:space="preserve"> </w:t>
      </w:r>
      <w:r w:rsidR="00C27397" w:rsidRPr="008B628A">
        <w:rPr>
          <w:color w:val="auto"/>
        </w:rPr>
        <w:t>ES 2050.gadā ir gatava panākt “klimata neitralitāti”</w:t>
      </w:r>
      <w:r w:rsidR="00C27397" w:rsidRPr="008B628A">
        <w:rPr>
          <w:rStyle w:val="FootnoteReference"/>
          <w:color w:val="auto"/>
        </w:rPr>
        <w:footnoteReference w:id="7"/>
      </w:r>
      <w:r w:rsidR="00C27397" w:rsidRPr="008B628A">
        <w:rPr>
          <w:color w:val="auto"/>
        </w:rPr>
        <w:t xml:space="preserve">, kas nosaka ES kopējo SEG emisiju apjoma </w:t>
      </w:r>
      <w:r w:rsidR="00C27397" w:rsidRPr="008B628A">
        <w:rPr>
          <w:i/>
          <w:color w:val="auto"/>
        </w:rPr>
        <w:t>ne</w:t>
      </w:r>
      <w:r w:rsidR="00FA6464">
        <w:rPr>
          <w:i/>
          <w:color w:val="auto"/>
        </w:rPr>
        <w:t>t</w:t>
      </w:r>
      <w:r w:rsidR="00C27397" w:rsidRPr="008B628A">
        <w:rPr>
          <w:i/>
          <w:color w:val="auto"/>
        </w:rPr>
        <w:t>-zero</w:t>
      </w:r>
      <w:r w:rsidR="00C27397" w:rsidRPr="008B628A">
        <w:rPr>
          <w:color w:val="auto"/>
        </w:rPr>
        <w:t xml:space="preserve"> principu, kur kopumā radītais SEG emisiju apjoms tiek pilnībā nosegts ar radīto CO</w:t>
      </w:r>
      <w:r w:rsidR="00C27397" w:rsidRPr="008B628A">
        <w:rPr>
          <w:color w:val="auto"/>
          <w:vertAlign w:val="subscript"/>
        </w:rPr>
        <w:t>2</w:t>
      </w:r>
      <w:r w:rsidR="00C27397" w:rsidRPr="008B628A">
        <w:rPr>
          <w:color w:val="auto"/>
        </w:rPr>
        <w:t xml:space="preserve"> piesaisti vai, izmantojot noteiktas tehnoloģijas, netiek pieļauta radītā SEG emisiju apjoma izlaide.</w:t>
      </w:r>
    </w:p>
    <w:p w14:paraId="6AF03854" w14:textId="34221635" w:rsidR="00886C5C" w:rsidRPr="008B628A" w:rsidRDefault="00886C5C" w:rsidP="00283C85">
      <w:pPr>
        <w:pStyle w:val="Default"/>
        <w:numPr>
          <w:ilvl w:val="0"/>
          <w:numId w:val="138"/>
        </w:numPr>
        <w:spacing w:before="120" w:after="120"/>
        <w:ind w:left="397" w:hanging="397"/>
        <w:jc w:val="both"/>
        <w:rPr>
          <w:color w:val="auto"/>
        </w:rPr>
      </w:pPr>
      <w:r w:rsidRPr="008B628A">
        <w:rPr>
          <w:color w:val="auto"/>
        </w:rPr>
        <w:t>KEPS2030.</w:t>
      </w:r>
    </w:p>
    <w:p w14:paraId="2317A164" w14:textId="77777777" w:rsidR="00621553" w:rsidRPr="008B628A" w:rsidRDefault="00621553" w:rsidP="00907548">
      <w:pPr>
        <w:pStyle w:val="Default"/>
        <w:spacing w:before="120" w:after="120"/>
        <w:jc w:val="both"/>
        <w:rPr>
          <w:color w:val="auto"/>
        </w:rPr>
      </w:pPr>
      <w:r w:rsidRPr="008B628A">
        <w:rPr>
          <w:color w:val="auto"/>
        </w:rPr>
        <w:t xml:space="preserve">Plāns ir politikas plānošanas dokuments, kas jāievieš ilgtermiņā, primāri ievērojot tautsaimniecības attīstības un enerģētikas un klimata mērķus. Plānā ir jāņem vērā daudzi </w:t>
      </w:r>
      <w:r w:rsidRPr="008B628A">
        <w:rPr>
          <w:color w:val="auto"/>
        </w:rPr>
        <w:lastRenderedPageBreak/>
        <w:t xml:space="preserve">paredzami faktori (ekonomiskais cikliskums) un neparedzami faktori, kā arī ģeopolitiskās attīstības scenāriji (politiskā mainība un neprognozējamā globālā situācija). </w:t>
      </w:r>
    </w:p>
    <w:p w14:paraId="2F17C407" w14:textId="67D21631" w:rsidR="00F60A85" w:rsidRPr="008B628A" w:rsidRDefault="00621553" w:rsidP="00F60A85">
      <w:pPr>
        <w:pStyle w:val="Default"/>
        <w:spacing w:before="120" w:after="120"/>
        <w:jc w:val="both"/>
        <w:rPr>
          <w:color w:val="auto"/>
        </w:rPr>
      </w:pPr>
      <w:r w:rsidRPr="008B628A">
        <w:rPr>
          <w:color w:val="auto"/>
        </w:rPr>
        <w:t xml:space="preserve">Plānā </w:t>
      </w:r>
      <w:r w:rsidR="00D37936" w:rsidRPr="008B628A">
        <w:rPr>
          <w:color w:val="auto"/>
        </w:rPr>
        <w:t>tiks</w:t>
      </w:r>
      <w:r w:rsidRPr="008B628A">
        <w:rPr>
          <w:color w:val="auto"/>
        </w:rPr>
        <w:t xml:space="preserve"> izvērtēts tā mērķu sasniegšanai noteikto pasākumu ekonomiskā ietekme – nepieciešamās investīcijas un iespējamie ieguvumi, izmaksu efektivitāte, līdz ar to </w:t>
      </w:r>
      <w:r w:rsidR="003F4596">
        <w:rPr>
          <w:color w:val="auto"/>
        </w:rPr>
        <w:t>būs</w:t>
      </w:r>
      <w:r w:rsidRPr="008B628A">
        <w:rPr>
          <w:color w:val="auto"/>
        </w:rPr>
        <w:t xml:space="preserve"> secināma, kāda ir plāna kopējā ietekme uz Latvijas tautsaimniecību (ietekme uz iekšzemes kopproduktu) un līdz ar to arī sociālekonomiskā ietekme uz Latvijas sabiedrību.</w:t>
      </w:r>
      <w:r w:rsidR="00AA74CA" w:rsidRPr="008B628A">
        <w:rPr>
          <w:color w:val="auto"/>
        </w:rPr>
        <w:t xml:space="preserve"> </w:t>
      </w:r>
      <w:r w:rsidR="00F60A85" w:rsidRPr="008B628A">
        <w:rPr>
          <w:color w:val="auto"/>
        </w:rPr>
        <w:t>Kopējās nozaru vajadzības un pasākumi, kuru īstenošanai plānots virzīt ES fondu līdzekļus, izrietēs no Nacionālā attīstības plāna 2021.-2027.gada plānošanas periodam, kā to nosaka Attīstības plānošanas sistēmas likuma 11.panta 3.</w:t>
      </w:r>
      <w:r w:rsidR="00F60A85" w:rsidRPr="008B628A">
        <w:rPr>
          <w:color w:val="auto"/>
          <w:vertAlign w:val="superscript"/>
        </w:rPr>
        <w:t>1</w:t>
      </w:r>
      <w:r w:rsidR="00F60A85" w:rsidRPr="008B628A">
        <w:rPr>
          <w:color w:val="auto"/>
        </w:rPr>
        <w:t xml:space="preserve"> daļa</w:t>
      </w:r>
      <w:r w:rsidR="00F60A85" w:rsidRPr="008B628A">
        <w:rPr>
          <w:rStyle w:val="FootnoteReference"/>
          <w:color w:val="auto"/>
        </w:rPr>
        <w:footnoteReference w:id="8"/>
      </w:r>
      <w:r w:rsidR="00F60A85" w:rsidRPr="008B628A">
        <w:rPr>
          <w:color w:val="auto"/>
        </w:rPr>
        <w:t xml:space="preserve">. Nacionālais attīstības plāns ir noteikts kā ilgtermiņa plānošanas dokuments, kas hierarhiski ir augstākais vidēja termiņa attīstības plānošanas dokuments. Savukārt ES politiku instrumentu un ārvalstu finanšu palīdzību regulējošos attīstības plānošanas dokumentos iekļaujamo saturu prioritāri balsta uz Nacionālajā attīstības plānā noteikto. </w:t>
      </w:r>
      <w:r w:rsidR="00E5146A" w:rsidRPr="008B628A">
        <w:rPr>
          <w:color w:val="auto"/>
        </w:rPr>
        <w:t>Tomēr jānorāda, ka Nacionālais attīstības plāns 2021.-2027.gadam tiks izstrādāts tikai sākot ar 2019.gada pavasari un tā galīgā apstiprināšana ir paredzēta tikai 2019.gada beigās – 2020.gadā, kad Plāna galīgai versijai ir jābūt apstiprinātai Latvijā un jābūt iesniegtai EK.</w:t>
      </w:r>
    </w:p>
    <w:p w14:paraId="2F2E660B" w14:textId="6DED657C" w:rsidR="00621553" w:rsidRPr="008B628A" w:rsidRDefault="00621553" w:rsidP="00907548">
      <w:pPr>
        <w:pStyle w:val="Default"/>
        <w:spacing w:before="120" w:after="120"/>
        <w:jc w:val="both"/>
        <w:rPr>
          <w:color w:val="auto"/>
        </w:rPr>
      </w:pPr>
      <w:r w:rsidRPr="008B628A">
        <w:rPr>
          <w:color w:val="auto"/>
        </w:rPr>
        <w:t xml:space="preserve">Plānā iekļautie pasākumi </w:t>
      </w:r>
      <w:r w:rsidR="00D37936" w:rsidRPr="008B628A">
        <w:rPr>
          <w:color w:val="auto"/>
        </w:rPr>
        <w:t>tiks</w:t>
      </w:r>
      <w:r w:rsidRPr="008B628A">
        <w:rPr>
          <w:color w:val="auto"/>
        </w:rPr>
        <w:t xml:space="preserve"> arī vērtēti pēc to ietekmes uz vidi un uz sabiedrību</w:t>
      </w:r>
      <w:r w:rsidR="003F4596">
        <w:rPr>
          <w:color w:val="auto"/>
        </w:rPr>
        <w:t xml:space="preserve">, lai gan jau Plāna projekta iesniegšanas EK brīdī ir </w:t>
      </w:r>
      <w:r w:rsidRPr="008B628A">
        <w:rPr>
          <w:color w:val="auto"/>
        </w:rPr>
        <w:t>secināms, ka, Plānā noteikto mērķu sasniegšanai būs pietiekami liela ietekme uz sabiedrību (gan pozitīva, gan negatīva ietekme), kur pozitīvā ietekme izpaužas, kā sabiedrības apkārtējās vides</w:t>
      </w:r>
      <w:r w:rsidR="00D37936" w:rsidRPr="008B628A">
        <w:rPr>
          <w:color w:val="auto"/>
        </w:rPr>
        <w:t>, t.sk. sociālās vides,</w:t>
      </w:r>
      <w:r w:rsidRPr="008B628A">
        <w:rPr>
          <w:color w:val="auto"/>
        </w:rPr>
        <w:t xml:space="preserve"> uzlabošanās, bet negatīvā izpaužas, kā ietekme uz sabiedrības (mājsaimniecību) </w:t>
      </w:r>
      <w:r w:rsidR="00232BFE">
        <w:rPr>
          <w:color w:val="auto"/>
        </w:rPr>
        <w:t>izmaksām</w:t>
      </w:r>
      <w:r w:rsidRPr="008B628A">
        <w:rPr>
          <w:color w:val="auto"/>
        </w:rPr>
        <w:t>. Tomēr ir jāņem vērā tas, ka Latvijas sabiedrība ļoti iespējams būtu gatava maksāt vairāk ilgtspējīgai Latvijas attīstībai.</w:t>
      </w:r>
    </w:p>
    <w:p w14:paraId="220D7F27" w14:textId="77777777" w:rsidR="00621553" w:rsidRPr="008B628A" w:rsidRDefault="00621553" w:rsidP="00907548">
      <w:pPr>
        <w:pStyle w:val="Default"/>
        <w:spacing w:before="120" w:after="120"/>
        <w:jc w:val="both"/>
      </w:pPr>
      <w:r w:rsidRPr="008B628A">
        <w:t>Plānam pēc tā pilnīgas izstrādes</w:t>
      </w:r>
      <w:r w:rsidR="00290F19" w:rsidRPr="008B628A">
        <w:t xml:space="preserve"> saskaņā ar grafiku, kas tika apstiprināts ar Ministru kabineta 2018.gada 26. jūnija sēdes protokola Nr.30 50.§ “Informatīvais ziņojums “Par Nacionālā enerģētikas un klimata plāna izstrādi””,</w:t>
      </w:r>
      <w:r w:rsidRPr="008B628A">
        <w:t xml:space="preserve"> tiks arī izstrādāts stratēģiskās ietekmes uz vidi novērtējums likums “Par ietekmes uz vidi novērtējumu” un Ministru kabineta 2004. gada 23. marta noteikumu Nr. 157 “Kārtība, kādā veicams ietekmes uz vidi stratēģiskais novērtējums” ietvaros, kā ietvaros tiks izvērtēts Plāna kā politikas plānošanas dokumenta ietekme uz vidi.</w:t>
      </w:r>
    </w:p>
    <w:p w14:paraId="7AD3B5C2" w14:textId="3AF5F69A" w:rsidR="00621553" w:rsidRPr="008B628A" w:rsidRDefault="00621553" w:rsidP="00907548">
      <w:pPr>
        <w:pStyle w:val="Default"/>
        <w:spacing w:before="120" w:after="120"/>
        <w:jc w:val="both"/>
      </w:pPr>
      <w:r w:rsidRPr="008B628A">
        <w:t xml:space="preserve">Plāns ir izstrādāts, ņemot vērā pieejamās un izstrādē esošās un prognozētās jaunākās tehnoloģijas, ekonomikas un tautsaimniecības sektoru attīstības tendences un plānus, enerģētikas un SEG emisiju prognozes, izmantojot pēdējos pieejamos datus, kā </w:t>
      </w:r>
      <w:r w:rsidR="0088202C" w:rsidRPr="008B628A">
        <w:t xml:space="preserve">pamata </w:t>
      </w:r>
      <w:r w:rsidRPr="008B628A">
        <w:t>gadu izvēloties 2016. gadu.</w:t>
      </w:r>
    </w:p>
    <w:p w14:paraId="26F0D554" w14:textId="07BFCBED" w:rsidR="00621553" w:rsidRPr="008B628A" w:rsidRDefault="00621553" w:rsidP="00907548">
      <w:pPr>
        <w:spacing w:before="120" w:after="120" w:line="240" w:lineRule="auto"/>
        <w:jc w:val="both"/>
        <w:rPr>
          <w:rFonts w:ascii="Times New Roman" w:eastAsia="Calibri" w:hAnsi="Times New Roman" w:cs="Times New Roman"/>
          <w:color w:val="000000"/>
          <w:szCs w:val="24"/>
        </w:rPr>
      </w:pPr>
      <w:r w:rsidRPr="008B628A">
        <w:rPr>
          <w:rFonts w:ascii="Times New Roman" w:eastAsia="Calibri" w:hAnsi="Times New Roman" w:cs="Times New Roman"/>
          <w:bCs/>
          <w:szCs w:val="24"/>
        </w:rPr>
        <w:t>Tā kā Plāna izs</w:t>
      </w:r>
      <w:r w:rsidR="0050180E" w:rsidRPr="008B628A">
        <w:rPr>
          <w:rFonts w:ascii="Times New Roman" w:eastAsia="Calibri" w:hAnsi="Times New Roman" w:cs="Times New Roman"/>
          <w:bCs/>
          <w:szCs w:val="24"/>
        </w:rPr>
        <w:t>trādi nosaka ES līmeņa dokuments</w:t>
      </w:r>
      <w:r w:rsidRPr="008B628A">
        <w:rPr>
          <w:rFonts w:ascii="Times New Roman" w:eastAsia="Calibri" w:hAnsi="Times New Roman" w:cs="Times New Roman"/>
          <w:bCs/>
          <w:szCs w:val="24"/>
        </w:rPr>
        <w:t xml:space="preserve"> </w:t>
      </w:r>
      <w:r w:rsidR="00290F19" w:rsidRPr="008B628A">
        <w:rPr>
          <w:rFonts w:ascii="Times New Roman" w:eastAsia="Calibri" w:hAnsi="Times New Roman" w:cs="Times New Roman"/>
          <w:bCs/>
          <w:szCs w:val="24"/>
        </w:rPr>
        <w:t>–</w:t>
      </w:r>
      <w:r w:rsidRPr="008B628A">
        <w:rPr>
          <w:rFonts w:ascii="Times New Roman" w:eastAsia="Calibri" w:hAnsi="Times New Roman" w:cs="Times New Roman"/>
          <w:bCs/>
          <w:szCs w:val="24"/>
        </w:rPr>
        <w:t xml:space="preserve"> </w:t>
      </w:r>
      <w:r w:rsidR="0050180E" w:rsidRPr="008B628A">
        <w:rPr>
          <w:rFonts w:ascii="Times New Roman" w:eastAsia="Calibri" w:hAnsi="Times New Roman" w:cs="Times New Roman"/>
        </w:rPr>
        <w:t>EnS pārvaldības regulas priekšlikums</w:t>
      </w:r>
      <w:r w:rsidRPr="008B628A">
        <w:rPr>
          <w:rFonts w:ascii="Times New Roman" w:eastAsia="Calibri" w:hAnsi="Times New Roman" w:cs="Times New Roman"/>
          <w:color w:val="000000"/>
          <w:szCs w:val="24"/>
        </w:rPr>
        <w:t>, tad šis politikas plānošanas dokuments ir sagatavots, ievērojot Ministru kabineta 2014. gada 2. decembra noteikumu Nr.737 “Attīstības plānošanas dokumentu izstrādes un ietekmes izvērtēšanas noteikumi” 6.punktu, pēc iespējas Plānu izstrādājot atbilstoši šajos Ministru kabineta noteikumos noteiktajiem nosacījumiem politikas plānošanas dokumenta veidam – plāns.</w:t>
      </w:r>
    </w:p>
    <w:p w14:paraId="63FEF9DE" w14:textId="3F93C67D" w:rsidR="002E1762" w:rsidRPr="008B628A" w:rsidRDefault="002E1762" w:rsidP="00907548">
      <w:pPr>
        <w:spacing w:before="120" w:after="120" w:line="240" w:lineRule="auto"/>
        <w:jc w:val="both"/>
        <w:rPr>
          <w:rFonts w:ascii="Times New Roman" w:eastAsia="Calibri" w:hAnsi="Times New Roman" w:cs="Times New Roman"/>
          <w:color w:val="000000"/>
          <w:szCs w:val="24"/>
        </w:rPr>
      </w:pPr>
      <w:r w:rsidRPr="008B628A">
        <w:rPr>
          <w:rFonts w:ascii="Times New Roman" w:eastAsia="Calibri" w:hAnsi="Times New Roman" w:cs="Times New Roman"/>
          <w:color w:val="000000"/>
          <w:szCs w:val="24"/>
        </w:rPr>
        <w:t xml:space="preserve">Saskaņā ar EnS pārvaldības regulas priekšlikumu Plāna projekts tiek iesniegts </w:t>
      </w:r>
      <w:r w:rsidR="00E94F3D" w:rsidRPr="008B628A">
        <w:rPr>
          <w:rFonts w:ascii="Times New Roman" w:eastAsia="Calibri" w:hAnsi="Times New Roman" w:cs="Times New Roman"/>
          <w:color w:val="000000"/>
          <w:szCs w:val="24"/>
        </w:rPr>
        <w:t>EK</w:t>
      </w:r>
      <w:r w:rsidRPr="008B628A">
        <w:rPr>
          <w:rFonts w:ascii="Times New Roman" w:eastAsia="Calibri" w:hAnsi="Times New Roman" w:cs="Times New Roman"/>
          <w:color w:val="000000"/>
          <w:szCs w:val="24"/>
        </w:rPr>
        <w:t xml:space="preserve"> sākotnējam izvērtējumam. Savukārt Plāna galaversija tiks apstiprināts atbilstoši Latvijas normatīvajiem aktiem un iesniegts </w:t>
      </w:r>
      <w:r w:rsidR="00E94F3D" w:rsidRPr="008B628A">
        <w:rPr>
          <w:rFonts w:ascii="Times New Roman" w:eastAsia="Calibri" w:hAnsi="Times New Roman" w:cs="Times New Roman"/>
          <w:color w:val="000000"/>
          <w:szCs w:val="24"/>
        </w:rPr>
        <w:t>EK</w:t>
      </w:r>
      <w:r w:rsidRPr="008B628A">
        <w:rPr>
          <w:rFonts w:ascii="Times New Roman" w:eastAsia="Calibri" w:hAnsi="Times New Roman" w:cs="Times New Roman"/>
          <w:color w:val="000000"/>
          <w:szCs w:val="24"/>
        </w:rPr>
        <w:t xml:space="preserve"> līdz 2019.gada 31.decembrim atbilstoši EnS pārvaldības regulas priekšlikumā noteiktajam</w:t>
      </w:r>
    </w:p>
    <w:p w14:paraId="04142FF6" w14:textId="10BBBEC2" w:rsidR="00621553" w:rsidRPr="008B628A" w:rsidRDefault="00621553" w:rsidP="005F59CE">
      <w:pPr>
        <w:pStyle w:val="Heading3"/>
        <w:rPr>
          <w:rStyle w:val="eop"/>
        </w:rPr>
      </w:pPr>
      <w:bookmarkStart w:id="16" w:name="_Toc520978794"/>
      <w:bookmarkStart w:id="17" w:name="_Toc527529415"/>
      <w:r w:rsidRPr="008B628A">
        <w:rPr>
          <w:rStyle w:val="normaltextrun"/>
        </w:rPr>
        <w:t xml:space="preserve">Stratēģija, kas attiecas uz </w:t>
      </w:r>
      <w:r w:rsidR="00290F19" w:rsidRPr="008B628A">
        <w:rPr>
          <w:rStyle w:val="normaltextrun"/>
        </w:rPr>
        <w:t xml:space="preserve">visām </w:t>
      </w:r>
      <w:r w:rsidRPr="008B628A">
        <w:rPr>
          <w:rStyle w:val="normaltextrun"/>
        </w:rPr>
        <w:t>E</w:t>
      </w:r>
      <w:r w:rsidR="00290F19" w:rsidRPr="008B628A">
        <w:rPr>
          <w:rStyle w:val="normaltextrun"/>
        </w:rPr>
        <w:t>nS</w:t>
      </w:r>
      <w:r w:rsidRPr="008B628A">
        <w:rPr>
          <w:rStyle w:val="normaltextrun"/>
        </w:rPr>
        <w:t xml:space="preserve"> dimensijām</w:t>
      </w:r>
      <w:bookmarkEnd w:id="16"/>
      <w:bookmarkEnd w:id="17"/>
      <w:r w:rsidRPr="008B628A">
        <w:rPr>
          <w:rStyle w:val="eop"/>
        </w:rPr>
        <w:t> </w:t>
      </w:r>
      <w:r w:rsidR="005E7380" w:rsidRPr="008B628A">
        <w:rPr>
          <w:rStyle w:val="eop"/>
        </w:rPr>
        <w:t>un Plāna galvenie mērķi</w:t>
      </w:r>
    </w:p>
    <w:p w14:paraId="01FB0273" w14:textId="1064B044" w:rsidR="0022638D" w:rsidRPr="008B628A" w:rsidRDefault="00621553" w:rsidP="0090754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Plāns ir izstrādāts, ievērojot </w:t>
      </w:r>
      <w:r w:rsidR="00EA0B60"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9"/>
      </w:r>
      <w:r w:rsidRPr="008B628A">
        <w:rPr>
          <w:rFonts w:ascii="Times New Roman" w:hAnsi="Times New Roman" w:cs="Times New Roman"/>
          <w:szCs w:val="24"/>
        </w:rPr>
        <w:t xml:space="preserve"> un </w:t>
      </w:r>
      <w:r w:rsidR="00EA0B60" w:rsidRPr="008B628A">
        <w:rPr>
          <w:rFonts w:ascii="Times New Roman" w:hAnsi="Times New Roman" w:cs="Times New Roman"/>
          <w:szCs w:val="24"/>
        </w:rPr>
        <w:t>LEIS2030</w:t>
      </w:r>
      <w:r w:rsidRPr="008B628A">
        <w:rPr>
          <w:rStyle w:val="FootnoteReference"/>
          <w:rFonts w:ascii="Times New Roman" w:hAnsi="Times New Roman" w:cs="Times New Roman"/>
          <w:szCs w:val="24"/>
        </w:rPr>
        <w:footnoteReference w:id="10"/>
      </w:r>
      <w:r w:rsidR="00EA0B60" w:rsidRPr="008B628A">
        <w:rPr>
          <w:rFonts w:ascii="Times New Roman" w:hAnsi="Times New Roman" w:cs="Times New Roman"/>
          <w:szCs w:val="24"/>
        </w:rPr>
        <w:t xml:space="preserve">, un tā </w:t>
      </w:r>
      <w:r w:rsidRPr="008B628A">
        <w:rPr>
          <w:rFonts w:ascii="Times New Roman" w:hAnsi="Times New Roman" w:cs="Times New Roman"/>
          <w:szCs w:val="24"/>
        </w:rPr>
        <w:t>galvenā stratēģija un mērķis:</w:t>
      </w:r>
    </w:p>
    <w:p w14:paraId="1599A998" w14:textId="43461F7A" w:rsidR="00621553" w:rsidRPr="008B628A" w:rsidRDefault="0022638D" w:rsidP="00907548">
      <w:pPr>
        <w:pBdr>
          <w:top w:val="single" w:sz="12" w:space="1" w:color="4472C4" w:themeColor="accent1"/>
          <w:bottom w:val="single" w:sz="12" w:space="1" w:color="4472C4" w:themeColor="accent1"/>
        </w:pBdr>
        <w:spacing w:before="120" w:after="120" w:line="240" w:lineRule="auto"/>
        <w:jc w:val="both"/>
        <w:rPr>
          <w:rFonts w:ascii="Times New Roman" w:hAnsi="Times New Roman" w:cs="Times New Roman"/>
          <w:szCs w:val="24"/>
        </w:rPr>
      </w:pPr>
      <w:r w:rsidRPr="008B628A">
        <w:rPr>
          <w:rFonts w:ascii="Times New Roman" w:hAnsi="Times New Roman" w:cs="Times New Roman"/>
          <w:b/>
          <w:sz w:val="26"/>
          <w:szCs w:val="26"/>
        </w:rPr>
        <w:lastRenderedPageBreak/>
        <w:t>I</w:t>
      </w:r>
      <w:r w:rsidR="00621553" w:rsidRPr="008B628A">
        <w:rPr>
          <w:rFonts w:ascii="Times New Roman" w:hAnsi="Times New Roman" w:cs="Times New Roman"/>
          <w:b/>
          <w:sz w:val="26"/>
          <w:szCs w:val="26"/>
        </w:rPr>
        <w:t xml:space="preserve">zmaksu efektīvā un dabas resursus saudzējošā veidā nodrošināt pāreju uz oglekļa mazietilpīgu un </w:t>
      </w:r>
      <w:r w:rsidR="00604A74" w:rsidRPr="008B628A">
        <w:rPr>
          <w:rFonts w:ascii="Times New Roman" w:hAnsi="Times New Roman" w:cs="Times New Roman"/>
          <w:b/>
          <w:sz w:val="26"/>
          <w:szCs w:val="26"/>
        </w:rPr>
        <w:t xml:space="preserve">reģionā un pasaulē </w:t>
      </w:r>
      <w:r w:rsidR="00621553" w:rsidRPr="008B628A">
        <w:rPr>
          <w:rFonts w:ascii="Times New Roman" w:hAnsi="Times New Roman" w:cs="Times New Roman"/>
          <w:b/>
          <w:sz w:val="26"/>
          <w:szCs w:val="26"/>
        </w:rPr>
        <w:t>konkurētspējīgu ekonomiku, veidojot sabalansētu, efektīvu, uz tirgus principiem balstītu enerģētikas politiku, kas nodrošina Latvijas ekonomikas attīstību</w:t>
      </w:r>
      <w:r w:rsidR="00B04363" w:rsidRPr="008B628A">
        <w:rPr>
          <w:rFonts w:ascii="Times New Roman" w:hAnsi="Times New Roman" w:cs="Times New Roman"/>
          <w:b/>
          <w:sz w:val="26"/>
          <w:szCs w:val="26"/>
        </w:rPr>
        <w:t xml:space="preserve"> un</w:t>
      </w:r>
      <w:r w:rsidR="00621553" w:rsidRPr="008B628A">
        <w:rPr>
          <w:rFonts w:ascii="Times New Roman" w:hAnsi="Times New Roman" w:cs="Times New Roman"/>
          <w:b/>
          <w:sz w:val="26"/>
          <w:szCs w:val="26"/>
        </w:rPr>
        <w:t xml:space="preserve"> sabiedrības labklājību.</w:t>
      </w:r>
    </w:p>
    <w:p w14:paraId="59772142" w14:textId="782816E3" w:rsidR="00E50C7C" w:rsidRPr="008B628A" w:rsidRDefault="00E50C7C" w:rsidP="00E50C7C">
      <w:pPr>
        <w:pStyle w:val="Default"/>
        <w:spacing w:before="120" w:after="120"/>
        <w:jc w:val="both"/>
        <w:rPr>
          <w:color w:val="auto"/>
        </w:rPr>
      </w:pPr>
      <w:r w:rsidRPr="008B628A">
        <w:rPr>
          <w:color w:val="auto"/>
        </w:rPr>
        <w:t>Plānā iekļautie pasākumi un tajā noteiktie principi tiek balstīti uz Līgumā par ES darbību noteiktā principa “piesārņotājs maksā” pilnīgu ieviešanu un īstenošanu.</w:t>
      </w:r>
    </w:p>
    <w:p w14:paraId="38ECFB0B" w14:textId="3400A9A3" w:rsidR="00E50C7C" w:rsidRPr="008B628A" w:rsidRDefault="00621553" w:rsidP="00E50C7C">
      <w:pPr>
        <w:spacing w:before="120" w:after="120" w:line="240" w:lineRule="auto"/>
        <w:jc w:val="both"/>
        <w:rPr>
          <w:rFonts w:ascii="Times New Roman" w:hAnsi="Times New Roman" w:cs="Times New Roman"/>
          <w:color w:val="000000" w:themeColor="text1"/>
          <w:szCs w:val="24"/>
          <w:shd w:val="clear" w:color="auto" w:fill="FFFFFF"/>
        </w:rPr>
      </w:pPr>
      <w:r w:rsidRPr="008B628A">
        <w:rPr>
          <w:rFonts w:ascii="Times New Roman" w:hAnsi="Times New Roman" w:cs="Times New Roman"/>
          <w:szCs w:val="24"/>
        </w:rPr>
        <w:t>Plānā ir iekļauti visu E</w:t>
      </w:r>
      <w:r w:rsidR="00290F19" w:rsidRPr="008B628A">
        <w:rPr>
          <w:rFonts w:ascii="Times New Roman" w:hAnsi="Times New Roman" w:cs="Times New Roman"/>
          <w:szCs w:val="24"/>
        </w:rPr>
        <w:t>nS</w:t>
      </w:r>
      <w:r w:rsidRPr="008B628A">
        <w:rPr>
          <w:rFonts w:ascii="Times New Roman" w:hAnsi="Times New Roman" w:cs="Times New Roman"/>
          <w:szCs w:val="24"/>
        </w:rPr>
        <w:t xml:space="preserve"> dimensiju mērķi un to sasniegšanai nepieciešamās rīcībpolitikas un pasākumi. </w:t>
      </w:r>
      <w:r w:rsidR="00E50C7C" w:rsidRPr="008B628A">
        <w:rPr>
          <w:rFonts w:ascii="Times New Roman" w:hAnsi="Times New Roman" w:cs="Times New Roman"/>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Latvijas Nacionālajā attīstības plānā 2021.-2027.gadam noteikto. Tāpēc Plānā minētais finansējuma avots atbalsta programmām, kuru īstenošanai plānots piesaistīt Kohēzijas politikas finansējumu ir indikatīvs.</w:t>
      </w:r>
    </w:p>
    <w:bookmarkStart w:id="18" w:name="_Hlk519784759"/>
    <w:bookmarkStart w:id="19" w:name="_Hlk531553230"/>
    <w:p w14:paraId="52C6D94B" w14:textId="5822870E" w:rsidR="00621553" w:rsidRPr="008B628A" w:rsidRDefault="002A59DA" w:rsidP="00CD366E">
      <w:pPr>
        <w:pStyle w:val="Caption"/>
      </w:pPr>
      <w:r w:rsidRPr="008B628A">
        <w:fldChar w:fldCharType="begin"/>
      </w:r>
      <w:r w:rsidRPr="008B628A">
        <w:instrText xml:space="preserve"> SEQ Tabula \* ARABIC </w:instrText>
      </w:r>
      <w:r w:rsidRPr="008B628A">
        <w:fldChar w:fldCharType="separate"/>
      </w:r>
      <w:bookmarkStart w:id="20" w:name="_Toc531333141"/>
      <w:r w:rsidR="006067D4">
        <w:rPr>
          <w:noProof/>
        </w:rPr>
        <w:t>1</w:t>
      </w:r>
      <w:r w:rsidRPr="008B628A">
        <w:fldChar w:fldCharType="end"/>
      </w:r>
      <w:r w:rsidRPr="008B628A">
        <w:t xml:space="preserve">. tabula. </w:t>
      </w:r>
      <w:r w:rsidR="00621553" w:rsidRPr="008B628A">
        <w:t xml:space="preserve">ES un Latvijas </w:t>
      </w:r>
      <w:r w:rsidR="00290F19" w:rsidRPr="008B628A">
        <w:t xml:space="preserve">EnS dimensiju </w:t>
      </w:r>
      <w:r w:rsidR="00621553" w:rsidRPr="008B628A">
        <w:t>politikas rezultāti un to rezultatīvie radītāji</w:t>
      </w:r>
      <w:bookmarkEnd w:id="20"/>
    </w:p>
    <w:tbl>
      <w:tblPr>
        <w:tblW w:w="100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2"/>
        <w:gridCol w:w="1027"/>
        <w:gridCol w:w="1027"/>
        <w:gridCol w:w="1027"/>
        <w:gridCol w:w="1027"/>
        <w:gridCol w:w="1199"/>
        <w:gridCol w:w="993"/>
      </w:tblGrid>
      <w:tr w:rsidR="00886C5C" w:rsidRPr="008B628A" w14:paraId="0CCDA945" w14:textId="77777777" w:rsidTr="00391410">
        <w:trPr>
          <w:tblHeader/>
          <w:jc w:val="center"/>
        </w:trPr>
        <w:tc>
          <w:tcPr>
            <w:tcW w:w="3762" w:type="dxa"/>
            <w:vMerge w:val="restart"/>
            <w:shd w:val="clear" w:color="auto" w:fill="F2F2F2" w:themeFill="background1" w:themeFillShade="F2"/>
            <w:vAlign w:val="center"/>
          </w:tcPr>
          <w:p w14:paraId="318AF275" w14:textId="77777777" w:rsidR="00886C5C" w:rsidRPr="008B628A" w:rsidRDefault="00886C5C" w:rsidP="00E115E3">
            <w:pPr>
              <w:spacing w:after="0" w:line="240" w:lineRule="auto"/>
              <w:rPr>
                <w:rFonts w:ascii="Times New Roman" w:hAnsi="Times New Roman" w:cs="Times New Roman"/>
                <w:b/>
                <w:color w:val="000000" w:themeColor="text1"/>
                <w:sz w:val="22"/>
              </w:rPr>
            </w:pPr>
            <w:bookmarkStart w:id="21" w:name="_Hlk531876169"/>
            <w:bookmarkStart w:id="22" w:name="_Hlk522202425"/>
            <w:bookmarkEnd w:id="18"/>
            <w:r w:rsidRPr="008B628A">
              <w:rPr>
                <w:rFonts w:ascii="Times New Roman" w:hAnsi="Times New Roman" w:cs="Times New Roman"/>
                <w:b/>
                <w:color w:val="000000" w:themeColor="text1"/>
                <w:sz w:val="22"/>
              </w:rPr>
              <w:t>Politikas rezultāts katrā Plāna dimensijā</w:t>
            </w:r>
          </w:p>
        </w:tc>
        <w:tc>
          <w:tcPr>
            <w:tcW w:w="2054" w:type="dxa"/>
            <w:gridSpan w:val="2"/>
            <w:shd w:val="clear" w:color="auto" w:fill="F2F2F2" w:themeFill="background1" w:themeFillShade="F2"/>
            <w:vAlign w:val="center"/>
          </w:tcPr>
          <w:p w14:paraId="3A842EAC"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ES</w:t>
            </w:r>
          </w:p>
        </w:tc>
        <w:tc>
          <w:tcPr>
            <w:tcW w:w="4246" w:type="dxa"/>
            <w:gridSpan w:val="4"/>
            <w:shd w:val="clear" w:color="auto" w:fill="F2F2F2" w:themeFill="background1" w:themeFillShade="F2"/>
            <w:vAlign w:val="center"/>
          </w:tcPr>
          <w:p w14:paraId="7BFF50DA" w14:textId="5DDC1D6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Latvija</w:t>
            </w:r>
          </w:p>
        </w:tc>
      </w:tr>
      <w:tr w:rsidR="00886C5C" w:rsidRPr="008B628A" w14:paraId="28BAF272" w14:textId="77777777" w:rsidTr="00391410">
        <w:trPr>
          <w:tblHeader/>
          <w:jc w:val="center"/>
        </w:trPr>
        <w:tc>
          <w:tcPr>
            <w:tcW w:w="3762" w:type="dxa"/>
            <w:vMerge/>
            <w:shd w:val="clear" w:color="auto" w:fill="F2F2F2" w:themeFill="background1" w:themeFillShade="F2"/>
            <w:vAlign w:val="center"/>
          </w:tcPr>
          <w:p w14:paraId="48E36919" w14:textId="77777777" w:rsidR="00886C5C" w:rsidRPr="008B628A" w:rsidRDefault="00886C5C" w:rsidP="00E115E3">
            <w:pPr>
              <w:spacing w:after="0" w:line="240" w:lineRule="auto"/>
              <w:rPr>
                <w:rFonts w:ascii="Times New Roman" w:hAnsi="Times New Roman" w:cs="Times New Roman"/>
                <w:b/>
                <w:color w:val="000000" w:themeColor="text1"/>
                <w:sz w:val="22"/>
              </w:rPr>
            </w:pPr>
          </w:p>
        </w:tc>
        <w:tc>
          <w:tcPr>
            <w:tcW w:w="2054" w:type="dxa"/>
            <w:gridSpan w:val="2"/>
            <w:shd w:val="clear" w:color="auto" w:fill="F2F2F2" w:themeFill="background1" w:themeFillShade="F2"/>
            <w:vAlign w:val="center"/>
          </w:tcPr>
          <w:p w14:paraId="5743C44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c>
          <w:tcPr>
            <w:tcW w:w="2054" w:type="dxa"/>
            <w:gridSpan w:val="2"/>
            <w:shd w:val="clear" w:color="auto" w:fill="F2F2F2" w:themeFill="background1" w:themeFillShade="F2"/>
            <w:vAlign w:val="center"/>
          </w:tcPr>
          <w:p w14:paraId="5DCE2D69"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Faktiskā vērtība</w:t>
            </w:r>
          </w:p>
        </w:tc>
        <w:tc>
          <w:tcPr>
            <w:tcW w:w="2192" w:type="dxa"/>
            <w:gridSpan w:val="2"/>
            <w:shd w:val="clear" w:color="auto" w:fill="F2F2F2" w:themeFill="background1" w:themeFillShade="F2"/>
            <w:vAlign w:val="center"/>
          </w:tcPr>
          <w:p w14:paraId="49B10FE0" w14:textId="6EAA7792"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r>
      <w:tr w:rsidR="00886C5C" w:rsidRPr="008B628A" w14:paraId="5C88ABC7" w14:textId="77777777" w:rsidTr="00391410">
        <w:trPr>
          <w:tblHeader/>
          <w:jc w:val="center"/>
        </w:trPr>
        <w:tc>
          <w:tcPr>
            <w:tcW w:w="3762" w:type="dxa"/>
            <w:vMerge/>
            <w:shd w:val="clear" w:color="auto" w:fill="F2F2F2" w:themeFill="background1" w:themeFillShade="F2"/>
            <w:vAlign w:val="center"/>
          </w:tcPr>
          <w:p w14:paraId="26F3D2BC" w14:textId="77777777" w:rsidR="00886C5C" w:rsidRPr="008B628A" w:rsidRDefault="00886C5C" w:rsidP="00E115E3">
            <w:pPr>
              <w:spacing w:after="0" w:line="240" w:lineRule="auto"/>
              <w:rPr>
                <w:rFonts w:ascii="Times New Roman" w:hAnsi="Times New Roman" w:cs="Times New Roman"/>
                <w:b/>
                <w:color w:val="000000" w:themeColor="text1"/>
                <w:sz w:val="22"/>
              </w:rPr>
            </w:pPr>
          </w:p>
        </w:tc>
        <w:tc>
          <w:tcPr>
            <w:tcW w:w="1027" w:type="dxa"/>
            <w:shd w:val="clear" w:color="auto" w:fill="F2F2F2" w:themeFill="background1" w:themeFillShade="F2"/>
            <w:vAlign w:val="center"/>
          </w:tcPr>
          <w:p w14:paraId="72E84F89"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1027" w:type="dxa"/>
            <w:shd w:val="clear" w:color="auto" w:fill="F2F2F2" w:themeFill="background1" w:themeFillShade="F2"/>
            <w:vAlign w:val="center"/>
          </w:tcPr>
          <w:p w14:paraId="5540216C"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c>
          <w:tcPr>
            <w:tcW w:w="1027" w:type="dxa"/>
            <w:shd w:val="clear" w:color="auto" w:fill="F2F2F2" w:themeFill="background1" w:themeFillShade="F2"/>
            <w:vAlign w:val="center"/>
          </w:tcPr>
          <w:p w14:paraId="184F0062" w14:textId="73DEB45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2016</w:t>
            </w:r>
          </w:p>
        </w:tc>
        <w:tc>
          <w:tcPr>
            <w:tcW w:w="1027" w:type="dxa"/>
            <w:shd w:val="clear" w:color="auto" w:fill="F2F2F2" w:themeFill="background1" w:themeFillShade="F2"/>
            <w:vAlign w:val="center"/>
          </w:tcPr>
          <w:p w14:paraId="29CE6268"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2017</w:t>
            </w:r>
            <w:r w:rsidRPr="008B628A">
              <w:rPr>
                <w:rStyle w:val="FootnoteReference"/>
                <w:rFonts w:ascii="Times New Roman" w:hAnsi="Times New Roman" w:cs="Times New Roman"/>
                <w:b/>
                <w:color w:val="000000" w:themeColor="text1"/>
                <w:sz w:val="22"/>
              </w:rPr>
              <w:footnoteReference w:id="11"/>
            </w:r>
          </w:p>
        </w:tc>
        <w:tc>
          <w:tcPr>
            <w:tcW w:w="1199" w:type="dxa"/>
            <w:shd w:val="clear" w:color="auto" w:fill="F2F2F2" w:themeFill="background1" w:themeFillShade="F2"/>
            <w:vAlign w:val="center"/>
          </w:tcPr>
          <w:p w14:paraId="6DA1E919"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993" w:type="dxa"/>
            <w:shd w:val="clear" w:color="auto" w:fill="F2F2F2" w:themeFill="background1" w:themeFillShade="F2"/>
            <w:vAlign w:val="center"/>
          </w:tcPr>
          <w:p w14:paraId="6069F92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r>
      <w:tr w:rsidR="00886C5C" w:rsidRPr="008B628A" w14:paraId="7F8D26E5" w14:textId="77777777" w:rsidTr="00391410">
        <w:trPr>
          <w:jc w:val="center"/>
        </w:trPr>
        <w:tc>
          <w:tcPr>
            <w:tcW w:w="3762" w:type="dxa"/>
            <w:vAlign w:val="center"/>
          </w:tcPr>
          <w:p w14:paraId="1630B5F2" w14:textId="4A60BD5D"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 SEG emisiju samazināšanas mērķis (% pret 1990.g.)</w:t>
            </w:r>
          </w:p>
        </w:tc>
        <w:tc>
          <w:tcPr>
            <w:tcW w:w="1027" w:type="dxa"/>
            <w:vAlign w:val="center"/>
          </w:tcPr>
          <w:p w14:paraId="65C0CE44" w14:textId="436BC47F"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12"/>
            </w:r>
          </w:p>
        </w:tc>
        <w:tc>
          <w:tcPr>
            <w:tcW w:w="1027" w:type="dxa"/>
            <w:vAlign w:val="center"/>
          </w:tcPr>
          <w:p w14:paraId="30B6003D" w14:textId="604F9C6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-40</w:t>
            </w:r>
            <w:r w:rsidRPr="008B628A">
              <w:rPr>
                <w:rStyle w:val="FootnoteReference"/>
                <w:rFonts w:ascii="Times New Roman" w:hAnsi="Times New Roman" w:cs="Times New Roman"/>
                <w:b/>
                <w:color w:val="000000" w:themeColor="text1"/>
                <w:sz w:val="22"/>
              </w:rPr>
              <w:footnoteReference w:id="13"/>
            </w:r>
          </w:p>
        </w:tc>
        <w:tc>
          <w:tcPr>
            <w:tcW w:w="1027" w:type="dxa"/>
            <w:vAlign w:val="center"/>
          </w:tcPr>
          <w:p w14:paraId="5133EF76" w14:textId="72F38101"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-57</w:t>
            </w:r>
          </w:p>
        </w:tc>
        <w:tc>
          <w:tcPr>
            <w:tcW w:w="1027" w:type="dxa"/>
            <w:vAlign w:val="center"/>
          </w:tcPr>
          <w:p w14:paraId="507670C3" w14:textId="02A51DDE"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-57</w:t>
            </w:r>
          </w:p>
        </w:tc>
        <w:tc>
          <w:tcPr>
            <w:tcW w:w="1199" w:type="dxa"/>
            <w:vAlign w:val="center"/>
          </w:tcPr>
          <w:p w14:paraId="6AD0BC15" w14:textId="03A8BAA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11157744" w14:textId="6B554E18"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-55</w:t>
            </w:r>
            <w:r w:rsidRPr="008B628A">
              <w:rPr>
                <w:rStyle w:val="FootnoteReference"/>
                <w:rFonts w:ascii="Times New Roman" w:hAnsi="Times New Roman" w:cs="Times New Roman"/>
                <w:b/>
                <w:color w:val="000000" w:themeColor="text1"/>
                <w:sz w:val="22"/>
              </w:rPr>
              <w:footnoteReference w:id="14"/>
            </w:r>
          </w:p>
        </w:tc>
      </w:tr>
      <w:tr w:rsidR="00886C5C" w:rsidRPr="008B628A" w14:paraId="771B706E" w14:textId="77777777" w:rsidTr="00391410">
        <w:trPr>
          <w:jc w:val="center"/>
        </w:trPr>
        <w:tc>
          <w:tcPr>
            <w:tcW w:w="3762" w:type="dxa"/>
            <w:vAlign w:val="center"/>
          </w:tcPr>
          <w:p w14:paraId="651A0C0F" w14:textId="41198279"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1.1.1. Ne-ETS darbības (% pret 2005.g.)</w:t>
            </w:r>
          </w:p>
        </w:tc>
        <w:tc>
          <w:tcPr>
            <w:tcW w:w="1027" w:type="dxa"/>
            <w:vAlign w:val="center"/>
          </w:tcPr>
          <w:p w14:paraId="334D98CE" w14:textId="24CCAB01"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15"/>
            </w:r>
          </w:p>
        </w:tc>
        <w:tc>
          <w:tcPr>
            <w:tcW w:w="1027" w:type="dxa"/>
            <w:vAlign w:val="center"/>
          </w:tcPr>
          <w:p w14:paraId="42EBEC41" w14:textId="144CED8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-30</w:t>
            </w:r>
            <w:r w:rsidRPr="008B628A">
              <w:rPr>
                <w:rStyle w:val="FootnoteReference"/>
                <w:rFonts w:ascii="Times New Roman" w:hAnsi="Times New Roman" w:cs="Times New Roman"/>
                <w:b/>
                <w:color w:val="000000" w:themeColor="text1"/>
                <w:sz w:val="22"/>
              </w:rPr>
              <w:footnoteReference w:id="16"/>
            </w:r>
          </w:p>
        </w:tc>
        <w:tc>
          <w:tcPr>
            <w:tcW w:w="1027" w:type="dxa"/>
            <w:vAlign w:val="center"/>
          </w:tcPr>
          <w:p w14:paraId="6FD35626" w14:textId="6C5FC4FF"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w:t>
            </w:r>
          </w:p>
        </w:tc>
        <w:tc>
          <w:tcPr>
            <w:tcW w:w="1027" w:type="dxa"/>
            <w:vAlign w:val="center"/>
          </w:tcPr>
          <w:p w14:paraId="199CD629" w14:textId="504F04A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+7</w:t>
            </w:r>
          </w:p>
        </w:tc>
        <w:tc>
          <w:tcPr>
            <w:tcW w:w="1199" w:type="dxa"/>
            <w:vAlign w:val="center"/>
          </w:tcPr>
          <w:p w14:paraId="30D09B2B" w14:textId="311550C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+17</w:t>
            </w:r>
            <w:r w:rsidRPr="008B628A">
              <w:rPr>
                <w:rStyle w:val="FootnoteReference"/>
                <w:rFonts w:ascii="Times New Roman" w:hAnsi="Times New Roman" w:cs="Times New Roman"/>
                <w:b/>
                <w:color w:val="000000" w:themeColor="text1"/>
                <w:sz w:val="22"/>
              </w:rPr>
              <w:footnoteReference w:id="17"/>
            </w:r>
          </w:p>
        </w:tc>
        <w:tc>
          <w:tcPr>
            <w:tcW w:w="993" w:type="dxa"/>
            <w:vAlign w:val="center"/>
          </w:tcPr>
          <w:p w14:paraId="461A3977" w14:textId="48EFF8F5"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w:t>
            </w:r>
            <w:r w:rsidRPr="008B628A">
              <w:rPr>
                <w:rStyle w:val="FootnoteReference"/>
                <w:rFonts w:ascii="Times New Roman" w:hAnsi="Times New Roman" w:cs="Times New Roman"/>
                <w:b/>
                <w:color w:val="000000" w:themeColor="text1"/>
                <w:sz w:val="22"/>
              </w:rPr>
              <w:footnoteReference w:id="18"/>
            </w:r>
          </w:p>
        </w:tc>
      </w:tr>
      <w:tr w:rsidR="00886C5C" w:rsidRPr="008B628A" w14:paraId="3BC8B120" w14:textId="77777777" w:rsidTr="00391410">
        <w:trPr>
          <w:jc w:val="center"/>
        </w:trPr>
        <w:tc>
          <w:tcPr>
            <w:tcW w:w="3762" w:type="dxa"/>
            <w:vAlign w:val="center"/>
          </w:tcPr>
          <w:p w14:paraId="72B522DF" w14:textId="7BE6C4DA"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1.1.2. ETS darbības (% pret 2005.g.)</w:t>
            </w:r>
          </w:p>
        </w:tc>
        <w:tc>
          <w:tcPr>
            <w:tcW w:w="1027" w:type="dxa"/>
            <w:vAlign w:val="center"/>
          </w:tcPr>
          <w:p w14:paraId="2A07A90B" w14:textId="29B4C27D"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-21</w:t>
            </w:r>
            <w:r w:rsidRPr="008B628A">
              <w:rPr>
                <w:rStyle w:val="FootnoteReference"/>
                <w:rFonts w:ascii="Times New Roman" w:hAnsi="Times New Roman" w:cs="Times New Roman"/>
                <w:b/>
                <w:color w:val="000000" w:themeColor="text1"/>
                <w:sz w:val="22"/>
              </w:rPr>
              <w:footnoteReference w:id="19"/>
            </w:r>
          </w:p>
        </w:tc>
        <w:tc>
          <w:tcPr>
            <w:tcW w:w="1027" w:type="dxa"/>
            <w:vAlign w:val="center"/>
          </w:tcPr>
          <w:p w14:paraId="02ECD15C" w14:textId="616229FC"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-43</w:t>
            </w:r>
            <w:r w:rsidRPr="008B628A">
              <w:rPr>
                <w:rStyle w:val="FootnoteReference"/>
                <w:rFonts w:ascii="Times New Roman" w:hAnsi="Times New Roman" w:cs="Times New Roman"/>
                <w:b/>
                <w:color w:val="000000" w:themeColor="text1"/>
                <w:sz w:val="22"/>
              </w:rPr>
              <w:footnoteReference w:id="20"/>
            </w:r>
          </w:p>
        </w:tc>
        <w:tc>
          <w:tcPr>
            <w:tcW w:w="1027" w:type="dxa"/>
            <w:vAlign w:val="center"/>
          </w:tcPr>
          <w:p w14:paraId="5228590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-23</w:t>
            </w:r>
          </w:p>
        </w:tc>
        <w:tc>
          <w:tcPr>
            <w:tcW w:w="1027" w:type="dxa"/>
            <w:vAlign w:val="center"/>
          </w:tcPr>
          <w:p w14:paraId="70ECAB53" w14:textId="1F5B9121" w:rsidR="00886C5C" w:rsidRPr="008B628A" w:rsidRDefault="000B3759"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r w:rsidR="00886C5C" w:rsidRPr="008B628A">
              <w:rPr>
                <w:rFonts w:ascii="Times New Roman" w:hAnsi="Times New Roman" w:cs="Times New Roman"/>
                <w:b/>
                <w:color w:val="000000" w:themeColor="text1"/>
                <w:sz w:val="22"/>
              </w:rPr>
              <w:t>28</w:t>
            </w:r>
          </w:p>
        </w:tc>
        <w:tc>
          <w:tcPr>
            <w:tcW w:w="1199" w:type="dxa"/>
            <w:vAlign w:val="center"/>
          </w:tcPr>
          <w:p w14:paraId="42758610" w14:textId="6AC7CA0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-21</w:t>
            </w:r>
            <w:r w:rsidRPr="008B628A">
              <w:rPr>
                <w:rStyle w:val="FootnoteReference"/>
                <w:rFonts w:ascii="Times New Roman" w:hAnsi="Times New Roman" w:cs="Times New Roman"/>
                <w:b/>
                <w:color w:val="000000" w:themeColor="text1"/>
                <w:sz w:val="22"/>
              </w:rPr>
              <w:footnoteReference w:id="21"/>
            </w:r>
          </w:p>
        </w:tc>
        <w:tc>
          <w:tcPr>
            <w:tcW w:w="993" w:type="dxa"/>
            <w:vAlign w:val="center"/>
          </w:tcPr>
          <w:p w14:paraId="20C4DFC1"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886C5C" w:rsidRPr="008B628A" w14:paraId="38ED54A3" w14:textId="77777777" w:rsidTr="00391410">
        <w:trPr>
          <w:jc w:val="center"/>
        </w:trPr>
        <w:tc>
          <w:tcPr>
            <w:tcW w:w="3762" w:type="dxa"/>
            <w:vAlign w:val="center"/>
          </w:tcPr>
          <w:p w14:paraId="1D3FF371" w14:textId="22D6F660"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1.1.3. ZIZIMM uzskaites kategorijas (milj.t.)</w:t>
            </w:r>
          </w:p>
        </w:tc>
        <w:tc>
          <w:tcPr>
            <w:tcW w:w="1027" w:type="dxa"/>
            <w:vAlign w:val="center"/>
          </w:tcPr>
          <w:p w14:paraId="396AEF39"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566827E3"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027" w:type="dxa"/>
            <w:vAlign w:val="center"/>
          </w:tcPr>
          <w:p w14:paraId="74CF028F" w14:textId="5F4C6944" w:rsidR="00886C5C" w:rsidRPr="008B628A" w:rsidRDefault="00B52AFA"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4A212A6" w14:textId="46B9DC89"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199" w:type="dxa"/>
            <w:vAlign w:val="center"/>
          </w:tcPr>
          <w:p w14:paraId="18B236F6"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993" w:type="dxa"/>
            <w:vAlign w:val="center"/>
          </w:tcPr>
          <w:p w14:paraId="164D922C" w14:textId="41B533BB" w:rsidR="00886C5C" w:rsidRPr="008B628A" w:rsidRDefault="00C573AD"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r w:rsidR="00886C5C" w:rsidRPr="008B628A">
              <w:rPr>
                <w:rFonts w:ascii="Times New Roman" w:hAnsi="Times New Roman" w:cs="Times New Roman"/>
                <w:b/>
                <w:color w:val="000000" w:themeColor="text1"/>
                <w:sz w:val="22"/>
              </w:rPr>
              <w:t>3,1</w:t>
            </w:r>
            <w:r w:rsidR="00886C5C" w:rsidRPr="008B628A">
              <w:rPr>
                <w:rStyle w:val="FootnoteReference"/>
                <w:rFonts w:ascii="Times New Roman" w:hAnsi="Times New Roman" w:cs="Times New Roman"/>
                <w:b/>
                <w:color w:val="000000" w:themeColor="text1"/>
                <w:sz w:val="22"/>
              </w:rPr>
              <w:footnoteReference w:id="22"/>
            </w:r>
          </w:p>
        </w:tc>
      </w:tr>
      <w:tr w:rsidR="00886C5C" w:rsidRPr="008B628A" w14:paraId="64DF5610" w14:textId="77777777" w:rsidTr="00391410">
        <w:trPr>
          <w:jc w:val="center"/>
        </w:trPr>
        <w:tc>
          <w:tcPr>
            <w:tcW w:w="3762" w:type="dxa"/>
            <w:vAlign w:val="center"/>
          </w:tcPr>
          <w:p w14:paraId="03D4C2F7" w14:textId="14F02BF6"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1.2.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 patēriņā (%)</w:t>
            </w:r>
          </w:p>
        </w:tc>
        <w:tc>
          <w:tcPr>
            <w:tcW w:w="1027" w:type="dxa"/>
            <w:vAlign w:val="center"/>
          </w:tcPr>
          <w:p w14:paraId="144837BA" w14:textId="5D3D6B09"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23"/>
            </w:r>
          </w:p>
        </w:tc>
        <w:tc>
          <w:tcPr>
            <w:tcW w:w="1027" w:type="dxa"/>
            <w:vAlign w:val="center"/>
          </w:tcPr>
          <w:p w14:paraId="318EA4AD" w14:textId="1822DF5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32</w:t>
            </w:r>
            <w:r w:rsidRPr="008B628A">
              <w:rPr>
                <w:rStyle w:val="FootnoteReference"/>
                <w:rFonts w:ascii="Times New Roman" w:hAnsi="Times New Roman" w:cs="Times New Roman"/>
                <w:b/>
                <w:color w:val="000000" w:themeColor="text1"/>
                <w:sz w:val="22"/>
              </w:rPr>
              <w:footnoteReference w:id="24"/>
            </w:r>
          </w:p>
        </w:tc>
        <w:tc>
          <w:tcPr>
            <w:tcW w:w="1027" w:type="dxa"/>
            <w:vAlign w:val="center"/>
          </w:tcPr>
          <w:p w14:paraId="48504CF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37,2</w:t>
            </w:r>
          </w:p>
        </w:tc>
        <w:tc>
          <w:tcPr>
            <w:tcW w:w="1027" w:type="dxa"/>
            <w:vAlign w:val="center"/>
          </w:tcPr>
          <w:p w14:paraId="4BA5DB47" w14:textId="3D36A036"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34D9FF12" w14:textId="0D6FCF5C"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40</w:t>
            </w:r>
            <w:r w:rsidRPr="008B628A">
              <w:rPr>
                <w:rStyle w:val="FootnoteReference"/>
                <w:rFonts w:ascii="Times New Roman" w:hAnsi="Times New Roman" w:cs="Times New Roman"/>
                <w:b/>
                <w:color w:val="000000" w:themeColor="text1"/>
                <w:sz w:val="22"/>
              </w:rPr>
              <w:footnoteReference w:id="25"/>
            </w:r>
          </w:p>
        </w:tc>
        <w:tc>
          <w:tcPr>
            <w:tcW w:w="993" w:type="dxa"/>
            <w:vAlign w:val="center"/>
          </w:tcPr>
          <w:p w14:paraId="6F7133DB" w14:textId="70F1AE38" w:rsidR="00886C5C" w:rsidRPr="008B628A" w:rsidRDefault="00B70CF8"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45</w:t>
            </w:r>
          </w:p>
        </w:tc>
      </w:tr>
      <w:tr w:rsidR="00886C5C" w:rsidRPr="008B628A" w14:paraId="0020B121" w14:textId="77777777" w:rsidTr="00391410">
        <w:trPr>
          <w:jc w:val="center"/>
        </w:trPr>
        <w:tc>
          <w:tcPr>
            <w:tcW w:w="3762" w:type="dxa"/>
            <w:vAlign w:val="center"/>
          </w:tcPr>
          <w:p w14:paraId="38197EBA" w14:textId="43CAD7B8" w:rsidR="00886C5C" w:rsidRPr="008B628A" w:rsidRDefault="00886C5C" w:rsidP="00104E5E">
            <w:pPr>
              <w:pStyle w:val="ListParagraph"/>
              <w:spacing w:after="0" w:line="240" w:lineRule="auto"/>
              <w:ind w:left="0"/>
              <w:contextualSpacing w:val="0"/>
              <w:rPr>
                <w:rFonts w:ascii="Times New Roman" w:hAnsi="Times New Roman" w:cs="Times New Roman"/>
                <w:bCs/>
                <w:color w:val="000000" w:themeColor="text1"/>
                <w:sz w:val="22"/>
              </w:rPr>
            </w:pPr>
            <w:bookmarkStart w:id="23" w:name="_Hlk531876153"/>
            <w:r w:rsidRPr="008B628A">
              <w:rPr>
                <w:rFonts w:ascii="Times New Roman" w:hAnsi="Times New Roman" w:cs="Times New Roman"/>
                <w:bCs/>
                <w:color w:val="000000" w:themeColor="text1"/>
                <w:sz w:val="22"/>
              </w:rPr>
              <w:t xml:space="preserve">1.3.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galapatēriņā transportā (%)</w:t>
            </w:r>
          </w:p>
        </w:tc>
        <w:tc>
          <w:tcPr>
            <w:tcW w:w="1027" w:type="dxa"/>
            <w:vAlign w:val="center"/>
          </w:tcPr>
          <w:p w14:paraId="451F88ED" w14:textId="06943560" w:rsidR="00886C5C" w:rsidRPr="008B628A" w:rsidRDefault="00886C5C"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26"/>
            </w:r>
          </w:p>
        </w:tc>
        <w:tc>
          <w:tcPr>
            <w:tcW w:w="1027" w:type="dxa"/>
            <w:vAlign w:val="center"/>
          </w:tcPr>
          <w:p w14:paraId="65D4C064" w14:textId="0DE874B3" w:rsidR="00886C5C" w:rsidRPr="008B628A" w:rsidRDefault="00886C5C"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w:t>
            </w:r>
            <w:r w:rsidRPr="008B628A">
              <w:rPr>
                <w:rStyle w:val="FootnoteReference"/>
                <w:rFonts w:ascii="Times New Roman" w:hAnsi="Times New Roman" w:cs="Times New Roman"/>
                <w:b/>
                <w:color w:val="000000" w:themeColor="text1"/>
                <w:sz w:val="22"/>
              </w:rPr>
              <w:footnoteReference w:id="27"/>
            </w:r>
          </w:p>
        </w:tc>
        <w:tc>
          <w:tcPr>
            <w:tcW w:w="1027" w:type="dxa"/>
            <w:vAlign w:val="center"/>
          </w:tcPr>
          <w:p w14:paraId="2DE5A36E" w14:textId="5B1A39C2"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2,8</w:t>
            </w:r>
          </w:p>
        </w:tc>
        <w:tc>
          <w:tcPr>
            <w:tcW w:w="1027" w:type="dxa"/>
            <w:vAlign w:val="center"/>
          </w:tcPr>
          <w:p w14:paraId="5DBB8A67" w14:textId="30572C14" w:rsidR="00886C5C" w:rsidRPr="008B628A" w:rsidRDefault="006805F2" w:rsidP="00104E5E">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7EB96A48" w14:textId="1826ACEF"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28"/>
            </w:r>
          </w:p>
        </w:tc>
        <w:tc>
          <w:tcPr>
            <w:tcW w:w="993" w:type="dxa"/>
            <w:vAlign w:val="center"/>
          </w:tcPr>
          <w:p w14:paraId="70441D30" w14:textId="63D06484"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w:t>
            </w:r>
            <w:r w:rsidRPr="008B628A">
              <w:rPr>
                <w:rStyle w:val="FootnoteReference"/>
                <w:rFonts w:ascii="Times New Roman" w:hAnsi="Times New Roman" w:cs="Times New Roman"/>
                <w:b/>
                <w:color w:val="000000" w:themeColor="text1"/>
                <w:sz w:val="22"/>
              </w:rPr>
              <w:footnoteReference w:id="29"/>
            </w:r>
          </w:p>
        </w:tc>
      </w:tr>
      <w:tr w:rsidR="00172540" w:rsidRPr="008B628A" w14:paraId="50293BC0" w14:textId="77777777" w:rsidTr="00391410">
        <w:trPr>
          <w:jc w:val="center"/>
        </w:trPr>
        <w:tc>
          <w:tcPr>
            <w:tcW w:w="3762" w:type="dxa"/>
            <w:vAlign w:val="center"/>
          </w:tcPr>
          <w:p w14:paraId="74E7E656" w14:textId="4636EA64" w:rsidR="00172540" w:rsidRPr="008B628A" w:rsidRDefault="00172540" w:rsidP="00104E5E">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1.4. Moderno biodegvielu īpatsvars</w:t>
            </w:r>
            <w:r w:rsidR="003961D3" w:rsidRPr="008B628A">
              <w:rPr>
                <w:rFonts w:ascii="Times New Roman" w:hAnsi="Times New Roman" w:cs="Times New Roman"/>
                <w:bCs/>
                <w:color w:val="000000" w:themeColor="text1"/>
                <w:sz w:val="22"/>
              </w:rPr>
              <w:t xml:space="preserve"> enerģijas bruto galapatēriņā transportā (%)</w:t>
            </w:r>
          </w:p>
        </w:tc>
        <w:tc>
          <w:tcPr>
            <w:tcW w:w="1027" w:type="dxa"/>
            <w:vAlign w:val="center"/>
          </w:tcPr>
          <w:p w14:paraId="7F7C62FB" w14:textId="2066B0BD" w:rsidR="00172540" w:rsidRPr="008B628A" w:rsidRDefault="00172540"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61EE2D32" w14:textId="7C7C6581" w:rsidR="00172540" w:rsidRPr="008B628A" w:rsidRDefault="009501EA"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w:t>
            </w:r>
            <w:r w:rsidRPr="008B628A">
              <w:rPr>
                <w:rStyle w:val="FootnoteReference"/>
                <w:rFonts w:ascii="Times New Roman" w:hAnsi="Times New Roman" w:cs="Times New Roman"/>
                <w:b/>
                <w:color w:val="000000" w:themeColor="text1"/>
                <w:sz w:val="22"/>
              </w:rPr>
              <w:footnoteReference w:id="30"/>
            </w:r>
          </w:p>
        </w:tc>
        <w:tc>
          <w:tcPr>
            <w:tcW w:w="1027" w:type="dxa"/>
            <w:vAlign w:val="center"/>
          </w:tcPr>
          <w:p w14:paraId="0948B44E" w14:textId="6953632E"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027" w:type="dxa"/>
            <w:vAlign w:val="center"/>
          </w:tcPr>
          <w:p w14:paraId="4539BF58" w14:textId="3F10BF97"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199" w:type="dxa"/>
            <w:vAlign w:val="center"/>
          </w:tcPr>
          <w:p w14:paraId="536E76D9" w14:textId="0092E292"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4FD2418A" w14:textId="32B99FB6" w:rsidR="00172540" w:rsidRPr="008B628A" w:rsidRDefault="009501EA"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w:t>
            </w:r>
            <w:r w:rsidRPr="008B628A">
              <w:rPr>
                <w:rStyle w:val="FootnoteReference"/>
                <w:rFonts w:ascii="Times New Roman" w:hAnsi="Times New Roman" w:cs="Times New Roman"/>
                <w:b/>
                <w:color w:val="000000" w:themeColor="text1"/>
                <w:sz w:val="22"/>
              </w:rPr>
              <w:footnoteReference w:id="31"/>
            </w:r>
          </w:p>
        </w:tc>
      </w:tr>
      <w:tr w:rsidR="00886C5C" w:rsidRPr="008B628A" w14:paraId="63936A14" w14:textId="77777777" w:rsidTr="00391410">
        <w:trPr>
          <w:jc w:val="center"/>
        </w:trPr>
        <w:tc>
          <w:tcPr>
            <w:tcW w:w="3762" w:type="dxa"/>
            <w:vAlign w:val="center"/>
          </w:tcPr>
          <w:p w14:paraId="39226C2C" w14:textId="0E4D9FBB"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lastRenderedPageBreak/>
              <w:t>1.</w:t>
            </w:r>
            <w:r w:rsidR="00172540" w:rsidRPr="008B628A">
              <w:rPr>
                <w:rFonts w:ascii="Times New Roman" w:hAnsi="Times New Roman" w:cs="Times New Roman"/>
                <w:bCs/>
                <w:color w:val="000000" w:themeColor="text1"/>
                <w:sz w:val="22"/>
              </w:rPr>
              <w:t>5</w:t>
            </w:r>
            <w:r w:rsidRPr="008B628A">
              <w:rPr>
                <w:rFonts w:ascii="Times New Roman" w:hAnsi="Times New Roman" w:cs="Times New Roman"/>
                <w:bCs/>
                <w:color w:val="000000" w:themeColor="text1"/>
                <w:sz w:val="22"/>
              </w:rPr>
              <w:t xml:space="preserve">.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 patēriņā elektroenerģijas ražošanā (%)</w:t>
            </w:r>
          </w:p>
        </w:tc>
        <w:tc>
          <w:tcPr>
            <w:tcW w:w="1027" w:type="dxa"/>
            <w:vAlign w:val="center"/>
          </w:tcPr>
          <w:p w14:paraId="789CAA73" w14:textId="7B6DDC2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D43EF25" w14:textId="40A3CB30"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23A318A" w14:textId="06F14C6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52</w:t>
            </w:r>
          </w:p>
        </w:tc>
        <w:tc>
          <w:tcPr>
            <w:tcW w:w="1027" w:type="dxa"/>
            <w:vAlign w:val="center"/>
          </w:tcPr>
          <w:p w14:paraId="2D8B3F78" w14:textId="2CBBE172"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w:t>
            </w:r>
            <w:r w:rsidR="00B52AFA" w:rsidRPr="008B628A">
              <w:rPr>
                <w:rFonts w:ascii="Times New Roman" w:hAnsi="Times New Roman" w:cs="Times New Roman"/>
                <w:i/>
                <w:color w:val="000000" w:themeColor="text1"/>
                <w:sz w:val="22"/>
              </w:rPr>
              <w:t>b</w:t>
            </w:r>
            <w:r w:rsidRPr="008B628A">
              <w:rPr>
                <w:rFonts w:ascii="Times New Roman" w:hAnsi="Times New Roman" w:cs="Times New Roman"/>
                <w:i/>
                <w:color w:val="000000" w:themeColor="text1"/>
                <w:sz w:val="22"/>
              </w:rPr>
              <w:t>u</w:t>
            </w:r>
          </w:p>
        </w:tc>
        <w:tc>
          <w:tcPr>
            <w:tcW w:w="1199" w:type="dxa"/>
            <w:vAlign w:val="center"/>
          </w:tcPr>
          <w:p w14:paraId="520EAB3F" w14:textId="4749BD1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53,4</w:t>
            </w:r>
          </w:p>
        </w:tc>
        <w:tc>
          <w:tcPr>
            <w:tcW w:w="993" w:type="dxa"/>
            <w:vAlign w:val="center"/>
          </w:tcPr>
          <w:p w14:paraId="16F58246" w14:textId="347BEA3D" w:rsidR="00886C5C" w:rsidRPr="008B628A" w:rsidRDefault="00B52AFA"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886C5C" w:rsidRPr="008B628A" w14:paraId="1DA24560" w14:textId="77777777" w:rsidTr="00391410">
        <w:trPr>
          <w:jc w:val="center"/>
        </w:trPr>
        <w:tc>
          <w:tcPr>
            <w:tcW w:w="3762" w:type="dxa"/>
            <w:vAlign w:val="center"/>
          </w:tcPr>
          <w:p w14:paraId="66F5873E" w14:textId="02ACD2E4" w:rsidR="00886C5C" w:rsidRPr="008B628A" w:rsidRDefault="00172540"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1.6</w:t>
            </w:r>
            <w:r w:rsidR="00886C5C" w:rsidRPr="008B628A">
              <w:rPr>
                <w:rFonts w:ascii="Times New Roman" w:hAnsi="Times New Roman" w:cs="Times New Roman"/>
                <w:bCs/>
                <w:color w:val="000000" w:themeColor="text1"/>
                <w:sz w:val="22"/>
              </w:rPr>
              <w:t xml:space="preserve">. Enerģijas, kas ražota no AER, īpatsvars </w:t>
            </w:r>
            <w:r w:rsidR="00886C5C" w:rsidRPr="008B628A">
              <w:rPr>
                <w:rFonts w:ascii="Times New Roman" w:hAnsi="Times New Roman" w:cs="Times New Roman"/>
                <w:color w:val="000000" w:themeColor="text1"/>
                <w:sz w:val="22"/>
              </w:rPr>
              <w:t xml:space="preserve">enerģijas </w:t>
            </w:r>
            <w:r w:rsidR="00886C5C" w:rsidRPr="008B628A">
              <w:rPr>
                <w:rFonts w:ascii="Times New Roman" w:hAnsi="Times New Roman" w:cs="Times New Roman"/>
                <w:bCs/>
                <w:color w:val="000000" w:themeColor="text1"/>
                <w:sz w:val="22"/>
              </w:rPr>
              <w:t xml:space="preserve">bruto </w:t>
            </w:r>
            <w:r w:rsidR="00886C5C" w:rsidRPr="008B628A">
              <w:rPr>
                <w:rFonts w:ascii="Times New Roman" w:hAnsi="Times New Roman" w:cs="Times New Roman"/>
                <w:color w:val="000000" w:themeColor="text1"/>
                <w:sz w:val="22"/>
              </w:rPr>
              <w:t>gala patēriņā siltumapgādē un aukstumapgādē ražošanā (%)</w:t>
            </w:r>
          </w:p>
        </w:tc>
        <w:tc>
          <w:tcPr>
            <w:tcW w:w="1027" w:type="dxa"/>
            <w:vAlign w:val="center"/>
          </w:tcPr>
          <w:p w14:paraId="745230C9" w14:textId="66B6D690"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0267201" w14:textId="0F524242"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DF041E4" w14:textId="418B37AF"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51</w:t>
            </w:r>
          </w:p>
        </w:tc>
        <w:tc>
          <w:tcPr>
            <w:tcW w:w="1027" w:type="dxa"/>
            <w:vAlign w:val="center"/>
          </w:tcPr>
          <w:p w14:paraId="751CA423" w14:textId="3A04E0E1"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66D1CA86" w14:textId="1B6D133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59,8</w:t>
            </w:r>
          </w:p>
        </w:tc>
        <w:tc>
          <w:tcPr>
            <w:tcW w:w="993" w:type="dxa"/>
            <w:vAlign w:val="center"/>
          </w:tcPr>
          <w:p w14:paraId="2ED43281" w14:textId="3FB257B6" w:rsidR="00886C5C" w:rsidRPr="008B628A" w:rsidRDefault="00FB757B" w:rsidP="00E115E3">
            <w:pPr>
              <w:spacing w:after="0" w:line="240" w:lineRule="auto"/>
              <w:jc w:val="center"/>
              <w:rPr>
                <w:rFonts w:ascii="Times New Roman" w:hAnsi="Times New Roman" w:cs="Times New Roman"/>
                <w:b/>
                <w:i/>
                <w:color w:val="000000" w:themeColor="text1"/>
                <w:sz w:val="22"/>
              </w:rPr>
            </w:pPr>
            <w:r w:rsidRPr="00F060A0">
              <w:rPr>
                <w:rFonts w:ascii="Times New Roman" w:hAnsi="Times New Roman" w:cs="Times New Roman"/>
                <w:b/>
                <w:color w:val="000000" w:themeColor="text1"/>
                <w:sz w:val="22"/>
              </w:rPr>
              <w:t>-</w:t>
            </w:r>
          </w:p>
        </w:tc>
      </w:tr>
      <w:tr w:rsidR="00886C5C" w:rsidRPr="008B628A" w14:paraId="1BF1724D" w14:textId="77777777" w:rsidTr="00391410">
        <w:trPr>
          <w:jc w:val="center"/>
        </w:trPr>
        <w:tc>
          <w:tcPr>
            <w:tcW w:w="3762" w:type="dxa"/>
            <w:vAlign w:val="center"/>
          </w:tcPr>
          <w:p w14:paraId="7918C2E0" w14:textId="5E656B22"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2. Energoefektivitātes pieaugums (%)</w:t>
            </w:r>
          </w:p>
        </w:tc>
        <w:tc>
          <w:tcPr>
            <w:tcW w:w="1027" w:type="dxa"/>
            <w:vAlign w:val="center"/>
          </w:tcPr>
          <w:p w14:paraId="45F8F852" w14:textId="72E03315"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32"/>
            </w:r>
          </w:p>
        </w:tc>
        <w:tc>
          <w:tcPr>
            <w:tcW w:w="1027" w:type="dxa"/>
            <w:vAlign w:val="center"/>
          </w:tcPr>
          <w:p w14:paraId="7B5B3FD2" w14:textId="040271B2"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32,5</w:t>
            </w:r>
            <w:r w:rsidRPr="008B628A">
              <w:rPr>
                <w:rStyle w:val="FootnoteReference"/>
                <w:rFonts w:ascii="Times New Roman" w:hAnsi="Times New Roman" w:cs="Times New Roman"/>
                <w:b/>
                <w:color w:val="000000" w:themeColor="text1"/>
                <w:sz w:val="22"/>
              </w:rPr>
              <w:footnoteReference w:id="33"/>
            </w:r>
          </w:p>
        </w:tc>
        <w:tc>
          <w:tcPr>
            <w:tcW w:w="1027" w:type="dxa"/>
            <w:vAlign w:val="center"/>
          </w:tcPr>
          <w:p w14:paraId="76AC59EA" w14:textId="6C470EDF"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D02654F" w14:textId="7D127EAA"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199" w:type="dxa"/>
            <w:vAlign w:val="center"/>
          </w:tcPr>
          <w:p w14:paraId="6FF578EA" w14:textId="49923120"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44481243" w14:textId="08736BB9"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A648C3" w:rsidRPr="008B628A" w14:paraId="69B343BA" w14:textId="77777777" w:rsidTr="00A648C3">
        <w:trPr>
          <w:jc w:val="center"/>
        </w:trPr>
        <w:tc>
          <w:tcPr>
            <w:tcW w:w="3762" w:type="dxa"/>
            <w:vAlign w:val="center"/>
          </w:tcPr>
          <w:p w14:paraId="42271E0E" w14:textId="04ED8BAE" w:rsidR="00A648C3" w:rsidRPr="008B628A" w:rsidRDefault="00A648C3" w:rsidP="00A648C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2.1. </w:t>
            </w:r>
            <w:r w:rsidR="00815510">
              <w:rPr>
                <w:rFonts w:ascii="Times New Roman" w:hAnsi="Times New Roman" w:cs="Times New Roman"/>
                <w:bCs/>
                <w:color w:val="000000" w:themeColor="text1"/>
                <w:sz w:val="22"/>
              </w:rPr>
              <w:t>Neobligātais</w:t>
            </w:r>
            <w:r w:rsidR="00815510" w:rsidRPr="008B628A">
              <w:rPr>
                <w:rFonts w:ascii="Times New Roman" w:hAnsi="Times New Roman" w:cs="Times New Roman"/>
                <w:bCs/>
                <w:color w:val="000000" w:themeColor="text1"/>
                <w:sz w:val="22"/>
              </w:rPr>
              <w:t xml:space="preserve"> </w:t>
            </w:r>
            <w:r w:rsidR="004B28BC" w:rsidRPr="008B628A">
              <w:rPr>
                <w:rFonts w:ascii="Times New Roman" w:hAnsi="Times New Roman" w:cs="Times New Roman"/>
                <w:bCs/>
                <w:color w:val="000000" w:themeColor="text1"/>
                <w:sz w:val="22"/>
              </w:rPr>
              <w:t xml:space="preserve">mērķis – </w:t>
            </w:r>
            <w:r w:rsidRPr="008B628A">
              <w:rPr>
                <w:rFonts w:ascii="Times New Roman" w:hAnsi="Times New Roman" w:cs="Times New Roman"/>
                <w:bCs/>
                <w:color w:val="000000" w:themeColor="text1"/>
                <w:sz w:val="22"/>
              </w:rPr>
              <w:t>primārās enerģijas patēriņš (Mtoe)</w:t>
            </w:r>
          </w:p>
        </w:tc>
        <w:tc>
          <w:tcPr>
            <w:tcW w:w="1027" w:type="dxa"/>
            <w:vAlign w:val="center"/>
          </w:tcPr>
          <w:p w14:paraId="71B8CBCF" w14:textId="7C810FFF"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1474</w:t>
            </w:r>
            <w:r w:rsidRPr="008B628A">
              <w:rPr>
                <w:rStyle w:val="FootnoteReference"/>
                <w:rFonts w:ascii="Times New Roman" w:hAnsi="Times New Roman" w:cs="Times New Roman"/>
                <w:color w:val="000000" w:themeColor="text1"/>
                <w:sz w:val="22"/>
              </w:rPr>
              <w:footnoteReference w:id="34"/>
            </w:r>
          </w:p>
        </w:tc>
        <w:tc>
          <w:tcPr>
            <w:tcW w:w="1027" w:type="dxa"/>
            <w:vAlign w:val="center"/>
          </w:tcPr>
          <w:p w14:paraId="596FC466" w14:textId="50281AF4"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1273</w:t>
            </w:r>
            <w:r w:rsidRPr="008B628A">
              <w:rPr>
                <w:rStyle w:val="FootnoteReference"/>
                <w:rFonts w:ascii="Times New Roman" w:hAnsi="Times New Roman" w:cs="Times New Roman"/>
                <w:color w:val="000000" w:themeColor="text1"/>
                <w:sz w:val="22"/>
              </w:rPr>
              <w:footnoteReference w:id="35"/>
            </w:r>
          </w:p>
        </w:tc>
        <w:tc>
          <w:tcPr>
            <w:tcW w:w="1027" w:type="dxa"/>
            <w:vAlign w:val="center"/>
          </w:tcPr>
          <w:p w14:paraId="2FCE752B" w14:textId="0DF8611C"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4,3</w:t>
            </w:r>
            <w:r w:rsidR="004B28BC" w:rsidRPr="008B628A">
              <w:rPr>
                <w:rFonts w:ascii="Times New Roman" w:hAnsi="Times New Roman" w:cs="Times New Roman"/>
                <w:b/>
                <w:sz w:val="22"/>
              </w:rPr>
              <w:t>2</w:t>
            </w:r>
          </w:p>
        </w:tc>
        <w:tc>
          <w:tcPr>
            <w:tcW w:w="1027" w:type="dxa"/>
            <w:vAlign w:val="center"/>
          </w:tcPr>
          <w:p w14:paraId="1E71AC9E" w14:textId="63318C00"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4,56</w:t>
            </w:r>
          </w:p>
        </w:tc>
        <w:tc>
          <w:tcPr>
            <w:tcW w:w="1199" w:type="dxa"/>
            <w:vAlign w:val="center"/>
          </w:tcPr>
          <w:p w14:paraId="09F7F382" w14:textId="09886DF8"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w:t>
            </w:r>
            <w:r w:rsidR="003961D3" w:rsidRPr="008B628A">
              <w:rPr>
                <w:rFonts w:ascii="Times New Roman" w:hAnsi="Times New Roman" w:cs="Times New Roman"/>
                <w:b/>
                <w:color w:val="000000" w:themeColor="text1"/>
                <w:sz w:val="22"/>
              </w:rPr>
              <w:t>4</w:t>
            </w:r>
            <w:r w:rsidRPr="008B628A">
              <w:rPr>
                <w:rStyle w:val="FootnoteReference"/>
                <w:rFonts w:ascii="Times New Roman" w:hAnsi="Times New Roman" w:cs="Times New Roman"/>
                <w:b/>
                <w:color w:val="000000" w:themeColor="text1"/>
                <w:sz w:val="22"/>
              </w:rPr>
              <w:footnoteReference w:id="36"/>
            </w:r>
          </w:p>
        </w:tc>
        <w:tc>
          <w:tcPr>
            <w:tcW w:w="993" w:type="dxa"/>
            <w:vAlign w:val="center"/>
          </w:tcPr>
          <w:p w14:paraId="084567FF" w14:textId="09FC37E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4,3</w:t>
            </w:r>
            <w:r w:rsidR="00B70CF8" w:rsidRPr="008B628A">
              <w:rPr>
                <w:rFonts w:ascii="Times New Roman" w:hAnsi="Times New Roman" w:cs="Times New Roman"/>
                <w:b/>
                <w:color w:val="000000" w:themeColor="text1"/>
                <w:sz w:val="22"/>
              </w:rPr>
              <w:t>3</w:t>
            </w:r>
          </w:p>
        </w:tc>
      </w:tr>
      <w:tr w:rsidR="00A648C3" w:rsidRPr="008B628A" w14:paraId="3117C025" w14:textId="77777777" w:rsidTr="00A648C3">
        <w:trPr>
          <w:jc w:val="center"/>
        </w:trPr>
        <w:tc>
          <w:tcPr>
            <w:tcW w:w="3762" w:type="dxa"/>
            <w:vAlign w:val="center"/>
          </w:tcPr>
          <w:p w14:paraId="5F9ED070" w14:textId="2A0AA1E8" w:rsidR="00A648C3" w:rsidRPr="008B628A" w:rsidRDefault="003961D3" w:rsidP="00A648C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2.2. </w:t>
            </w:r>
            <w:r w:rsidR="00815510">
              <w:rPr>
                <w:rFonts w:ascii="Times New Roman" w:hAnsi="Times New Roman" w:cs="Times New Roman"/>
                <w:bCs/>
                <w:color w:val="000000" w:themeColor="text1"/>
                <w:sz w:val="22"/>
              </w:rPr>
              <w:t>Neobligātais</w:t>
            </w:r>
            <w:r w:rsidR="00815510" w:rsidRPr="008B628A">
              <w:rPr>
                <w:rFonts w:ascii="Times New Roman" w:hAnsi="Times New Roman" w:cs="Times New Roman"/>
                <w:bCs/>
                <w:color w:val="000000" w:themeColor="text1"/>
                <w:sz w:val="22"/>
              </w:rPr>
              <w:t xml:space="preserve"> </w:t>
            </w:r>
            <w:r w:rsidR="004B28BC" w:rsidRPr="008B628A">
              <w:rPr>
                <w:rFonts w:ascii="Times New Roman" w:hAnsi="Times New Roman" w:cs="Times New Roman"/>
                <w:bCs/>
                <w:color w:val="000000" w:themeColor="text1"/>
                <w:sz w:val="22"/>
              </w:rPr>
              <w:t xml:space="preserve">mērķis – </w:t>
            </w:r>
            <w:r w:rsidR="00A648C3" w:rsidRPr="008B628A">
              <w:rPr>
                <w:rFonts w:ascii="Times New Roman" w:hAnsi="Times New Roman" w:cs="Times New Roman"/>
                <w:bCs/>
                <w:color w:val="000000" w:themeColor="text1"/>
                <w:sz w:val="22"/>
              </w:rPr>
              <w:t>enerģijas galapatēriņš (Mtoe)</w:t>
            </w:r>
          </w:p>
        </w:tc>
        <w:tc>
          <w:tcPr>
            <w:tcW w:w="1027" w:type="dxa"/>
            <w:vAlign w:val="center"/>
          </w:tcPr>
          <w:p w14:paraId="6AAF3E83" w14:textId="7BDCBFD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1078</w:t>
            </w:r>
            <w:r w:rsidRPr="008B628A">
              <w:rPr>
                <w:rStyle w:val="FootnoteReference"/>
                <w:rFonts w:ascii="Times New Roman" w:hAnsi="Times New Roman" w:cs="Times New Roman"/>
                <w:color w:val="000000" w:themeColor="text1"/>
                <w:sz w:val="22"/>
              </w:rPr>
              <w:footnoteReference w:id="37"/>
            </w:r>
          </w:p>
        </w:tc>
        <w:tc>
          <w:tcPr>
            <w:tcW w:w="1027" w:type="dxa"/>
            <w:vAlign w:val="center"/>
          </w:tcPr>
          <w:p w14:paraId="5FFE2205" w14:textId="62881E8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956</w:t>
            </w:r>
            <w:r w:rsidRPr="008B628A">
              <w:rPr>
                <w:rStyle w:val="FootnoteReference"/>
                <w:rFonts w:ascii="Times New Roman" w:hAnsi="Times New Roman" w:cs="Times New Roman"/>
                <w:color w:val="000000" w:themeColor="text1"/>
                <w:sz w:val="22"/>
              </w:rPr>
              <w:footnoteReference w:id="38"/>
            </w:r>
          </w:p>
        </w:tc>
        <w:tc>
          <w:tcPr>
            <w:tcW w:w="1027" w:type="dxa"/>
            <w:vAlign w:val="center"/>
          </w:tcPr>
          <w:p w14:paraId="336C1261" w14:textId="4222A156"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3,92</w:t>
            </w:r>
          </w:p>
        </w:tc>
        <w:tc>
          <w:tcPr>
            <w:tcW w:w="1027" w:type="dxa"/>
            <w:vAlign w:val="center"/>
          </w:tcPr>
          <w:p w14:paraId="5409D0AE" w14:textId="635F7F78"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4,11</w:t>
            </w:r>
          </w:p>
        </w:tc>
        <w:tc>
          <w:tcPr>
            <w:tcW w:w="1199" w:type="dxa"/>
            <w:vAlign w:val="center"/>
          </w:tcPr>
          <w:p w14:paraId="17977AF4" w14:textId="0B8D548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4,47</w:t>
            </w:r>
            <w:r w:rsidRPr="008B628A">
              <w:rPr>
                <w:rStyle w:val="FootnoteReference"/>
                <w:rFonts w:ascii="Times New Roman" w:hAnsi="Times New Roman" w:cs="Times New Roman"/>
                <w:b/>
                <w:color w:val="000000" w:themeColor="text1"/>
                <w:sz w:val="22"/>
              </w:rPr>
              <w:footnoteReference w:id="39"/>
            </w:r>
          </w:p>
        </w:tc>
        <w:tc>
          <w:tcPr>
            <w:tcW w:w="993" w:type="dxa"/>
            <w:vAlign w:val="center"/>
          </w:tcPr>
          <w:p w14:paraId="2954B104" w14:textId="403EA4FE"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3,57</w:t>
            </w:r>
          </w:p>
        </w:tc>
      </w:tr>
      <w:tr w:rsidR="00A648C3" w:rsidRPr="008B628A" w14:paraId="6226CC12" w14:textId="77777777" w:rsidTr="00391410">
        <w:trPr>
          <w:jc w:val="center"/>
        </w:trPr>
        <w:tc>
          <w:tcPr>
            <w:tcW w:w="3762" w:type="dxa"/>
            <w:vAlign w:val="center"/>
          </w:tcPr>
          <w:p w14:paraId="3797450B" w14:textId="37FC9D13" w:rsidR="00A648C3" w:rsidRPr="008B628A" w:rsidRDefault="003961D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2.3. V</w:t>
            </w:r>
            <w:r w:rsidR="00A648C3" w:rsidRPr="008B628A">
              <w:rPr>
                <w:rFonts w:ascii="Times New Roman" w:hAnsi="Times New Roman" w:cs="Times New Roman"/>
                <w:color w:val="000000" w:themeColor="text1"/>
                <w:sz w:val="22"/>
              </w:rPr>
              <w:t>alsts obligātais</w:t>
            </w:r>
            <w:r w:rsidR="004B28BC" w:rsidRPr="008B628A">
              <w:rPr>
                <w:rFonts w:ascii="Times New Roman" w:hAnsi="Times New Roman" w:cs="Times New Roman"/>
                <w:color w:val="000000" w:themeColor="text1"/>
                <w:sz w:val="22"/>
              </w:rPr>
              <w:t xml:space="preserve"> mērķis – </w:t>
            </w:r>
            <w:r w:rsidR="00A648C3" w:rsidRPr="008B628A">
              <w:rPr>
                <w:rFonts w:ascii="Times New Roman" w:hAnsi="Times New Roman" w:cs="Times New Roman"/>
                <w:color w:val="000000" w:themeColor="text1"/>
                <w:sz w:val="22"/>
              </w:rPr>
              <w:t>uzkrātais gala enerģijas ietaupījums (Mtoe)</w:t>
            </w:r>
          </w:p>
        </w:tc>
        <w:tc>
          <w:tcPr>
            <w:tcW w:w="1027" w:type="dxa"/>
            <w:vAlign w:val="center"/>
          </w:tcPr>
          <w:p w14:paraId="41408273" w14:textId="4429E47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62D94C3E" w14:textId="162EDBB6"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54ED7E4" w14:textId="36F05F77"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0,18</w:t>
            </w:r>
          </w:p>
        </w:tc>
        <w:tc>
          <w:tcPr>
            <w:tcW w:w="1027" w:type="dxa"/>
            <w:vAlign w:val="center"/>
          </w:tcPr>
          <w:p w14:paraId="7CBD18D8" w14:textId="5AD16D7B" w:rsidR="00A648C3" w:rsidRPr="008B628A" w:rsidRDefault="00A648C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w:t>
            </w:r>
            <w:r w:rsidR="004B28BC" w:rsidRPr="008B628A">
              <w:rPr>
                <w:rFonts w:ascii="Times New Roman" w:hAnsi="Times New Roman" w:cs="Times New Roman"/>
                <w:i/>
                <w:color w:val="000000" w:themeColor="text1"/>
                <w:sz w:val="22"/>
              </w:rPr>
              <w:t>u</w:t>
            </w:r>
          </w:p>
        </w:tc>
        <w:tc>
          <w:tcPr>
            <w:tcW w:w="1199" w:type="dxa"/>
            <w:vAlign w:val="center"/>
          </w:tcPr>
          <w:p w14:paraId="2B410529" w14:textId="6FDCA2CF" w:rsidR="00A648C3" w:rsidRPr="008B628A" w:rsidRDefault="003961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r w:rsidR="00D64B66" w:rsidRPr="008B628A">
              <w:rPr>
                <w:rFonts w:ascii="Times New Roman" w:hAnsi="Times New Roman" w:cs="Times New Roman"/>
                <w:b/>
                <w:color w:val="000000" w:themeColor="text1"/>
                <w:sz w:val="22"/>
              </w:rPr>
              <w:t>85</w:t>
            </w:r>
            <w:r w:rsidR="00A648C3" w:rsidRPr="008B628A">
              <w:rPr>
                <w:rStyle w:val="FootnoteReference"/>
                <w:rFonts w:ascii="Times New Roman" w:hAnsi="Times New Roman" w:cs="Times New Roman"/>
                <w:b/>
                <w:color w:val="000000" w:themeColor="text1"/>
                <w:sz w:val="22"/>
              </w:rPr>
              <w:footnoteReference w:id="40"/>
            </w:r>
          </w:p>
        </w:tc>
        <w:tc>
          <w:tcPr>
            <w:tcW w:w="993" w:type="dxa"/>
            <w:vAlign w:val="center"/>
          </w:tcPr>
          <w:p w14:paraId="7475B17C" w14:textId="71A53676" w:rsidR="00A648C3" w:rsidRPr="008B628A" w:rsidRDefault="00A648C3" w:rsidP="00A648C3">
            <w:pPr>
              <w:spacing w:after="0" w:line="240" w:lineRule="auto"/>
              <w:jc w:val="center"/>
              <w:rPr>
                <w:rFonts w:ascii="Times New Roman" w:hAnsi="Times New Roman" w:cs="Times New Roman"/>
                <w:b/>
                <w:i/>
                <w:color w:val="000000" w:themeColor="text1"/>
                <w:sz w:val="22"/>
              </w:rPr>
            </w:pPr>
            <w:r w:rsidRPr="008B628A">
              <w:rPr>
                <w:rFonts w:ascii="Times New Roman" w:hAnsi="Times New Roman" w:cs="Times New Roman"/>
                <w:b/>
                <w:i/>
                <w:color w:val="000000" w:themeColor="text1"/>
                <w:sz w:val="22"/>
              </w:rPr>
              <w:t>1,7</w:t>
            </w:r>
            <w:r w:rsidRPr="008B628A">
              <w:rPr>
                <w:rStyle w:val="FootnoteReference"/>
                <w:rFonts w:ascii="Times New Roman" w:hAnsi="Times New Roman" w:cs="Times New Roman"/>
                <w:b/>
                <w:i/>
                <w:color w:val="000000" w:themeColor="text1"/>
                <w:sz w:val="22"/>
              </w:rPr>
              <w:footnoteReference w:id="41"/>
            </w:r>
          </w:p>
        </w:tc>
      </w:tr>
      <w:bookmarkEnd w:id="23"/>
      <w:bookmarkEnd w:id="21"/>
      <w:tr w:rsidR="00A648C3" w:rsidRPr="008B628A" w14:paraId="7C694700" w14:textId="77777777" w:rsidTr="00391410">
        <w:trPr>
          <w:jc w:val="center"/>
        </w:trPr>
        <w:tc>
          <w:tcPr>
            <w:tcW w:w="3762" w:type="dxa"/>
            <w:vAlign w:val="center"/>
          </w:tcPr>
          <w:p w14:paraId="056FA948" w14:textId="3FDA009A" w:rsidR="00A648C3" w:rsidRPr="008B628A" w:rsidRDefault="003961D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eastAsia="Calibri" w:hAnsi="Times New Roman" w:cs="Times New Roman"/>
                <w:color w:val="000000" w:themeColor="text1"/>
                <w:sz w:val="22"/>
              </w:rPr>
              <w:t>2.4. Ē</w:t>
            </w:r>
            <w:r w:rsidR="00A648C3" w:rsidRPr="008B628A">
              <w:rPr>
                <w:rFonts w:ascii="Times New Roman" w:eastAsia="Calibri" w:hAnsi="Times New Roman" w:cs="Times New Roman"/>
                <w:color w:val="000000" w:themeColor="text1"/>
                <w:sz w:val="22"/>
              </w:rPr>
              <w:t xml:space="preserve">ku atjaunošanas mērķis (kopā renovēti, </w:t>
            </w:r>
            <w:r w:rsidR="00A648C3" w:rsidRPr="008B628A">
              <w:rPr>
                <w:rFonts w:ascii="Times New Roman" w:hAnsi="Times New Roman" w:cs="Times New Roman"/>
                <w:color w:val="000000" w:themeColor="text1"/>
                <w:sz w:val="22"/>
              </w:rPr>
              <w:t>m</w:t>
            </w:r>
            <w:r w:rsidR="00A648C3" w:rsidRPr="008B628A">
              <w:rPr>
                <w:rFonts w:ascii="Times New Roman" w:hAnsi="Times New Roman" w:cs="Times New Roman"/>
                <w:color w:val="000000" w:themeColor="text1"/>
                <w:sz w:val="22"/>
                <w:vertAlign w:val="superscript"/>
              </w:rPr>
              <w:t>2</w:t>
            </w:r>
            <w:r w:rsidR="00A648C3" w:rsidRPr="008B628A">
              <w:rPr>
                <w:rFonts w:ascii="Times New Roman" w:hAnsi="Times New Roman" w:cs="Times New Roman"/>
                <w:color w:val="000000" w:themeColor="text1"/>
                <w:sz w:val="22"/>
              </w:rPr>
              <w:t>)</w:t>
            </w:r>
          </w:p>
        </w:tc>
        <w:tc>
          <w:tcPr>
            <w:tcW w:w="1027" w:type="dxa"/>
            <w:vAlign w:val="center"/>
          </w:tcPr>
          <w:p w14:paraId="27BDE15C" w14:textId="1EAFA23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3A7B54B9" w14:textId="52EF14A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86E0FEE" w14:textId="1D15BAB6"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232 635</w:t>
            </w:r>
          </w:p>
        </w:tc>
        <w:tc>
          <w:tcPr>
            <w:tcW w:w="1027" w:type="dxa"/>
            <w:vAlign w:val="center"/>
          </w:tcPr>
          <w:p w14:paraId="2165E552" w14:textId="3BF7C5D0"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368 794</w:t>
            </w:r>
          </w:p>
        </w:tc>
        <w:tc>
          <w:tcPr>
            <w:tcW w:w="1199" w:type="dxa"/>
            <w:vAlign w:val="center"/>
          </w:tcPr>
          <w:p w14:paraId="5D1B35AE" w14:textId="451B4367"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678 460</w:t>
            </w:r>
            <w:r w:rsidRPr="008B628A">
              <w:rPr>
                <w:rStyle w:val="FootnoteReference"/>
                <w:rFonts w:ascii="Times New Roman" w:hAnsi="Times New Roman" w:cs="Times New Roman"/>
                <w:b/>
                <w:color w:val="000000" w:themeColor="text1"/>
                <w:sz w:val="22"/>
              </w:rPr>
              <w:footnoteReference w:id="42"/>
            </w:r>
            <w:r w:rsidRPr="008B628A">
              <w:rPr>
                <w:rFonts w:ascii="Times New Roman" w:hAnsi="Times New Roman" w:cs="Times New Roman"/>
                <w:b/>
                <w:color w:val="000000" w:themeColor="text1"/>
                <w:sz w:val="22"/>
              </w:rPr>
              <w:t> </w:t>
            </w:r>
          </w:p>
        </w:tc>
        <w:tc>
          <w:tcPr>
            <w:tcW w:w="993" w:type="dxa"/>
            <w:vAlign w:val="center"/>
          </w:tcPr>
          <w:p w14:paraId="7F4B0770" w14:textId="12C11FAB" w:rsidR="00A648C3" w:rsidRPr="008B628A" w:rsidRDefault="00A648C3" w:rsidP="00A648C3">
            <w:pPr>
              <w:spacing w:after="0" w:line="240" w:lineRule="auto"/>
              <w:jc w:val="center"/>
              <w:rPr>
                <w:rFonts w:ascii="Times New Roman" w:hAnsi="Times New Roman" w:cs="Times New Roman"/>
                <w:b/>
                <w:i/>
                <w:color w:val="000000" w:themeColor="text1"/>
                <w:sz w:val="22"/>
              </w:rPr>
            </w:pPr>
            <w:r w:rsidRPr="008B628A">
              <w:rPr>
                <w:rFonts w:ascii="Times New Roman" w:hAnsi="Times New Roman" w:cs="Times New Roman"/>
                <w:b/>
                <w:i/>
                <w:color w:val="000000" w:themeColor="text1"/>
                <w:sz w:val="22"/>
              </w:rPr>
              <w:t>tb</w:t>
            </w:r>
            <w:r w:rsidR="004B28BC" w:rsidRPr="008B628A">
              <w:rPr>
                <w:rFonts w:ascii="Times New Roman" w:hAnsi="Times New Roman" w:cs="Times New Roman"/>
                <w:b/>
                <w:i/>
                <w:color w:val="000000" w:themeColor="text1"/>
                <w:sz w:val="22"/>
              </w:rPr>
              <w:t>u</w:t>
            </w:r>
          </w:p>
        </w:tc>
      </w:tr>
      <w:tr w:rsidR="00A648C3" w:rsidRPr="008B628A" w14:paraId="07FB9C1D" w14:textId="77777777" w:rsidTr="00391410">
        <w:trPr>
          <w:jc w:val="center"/>
        </w:trPr>
        <w:tc>
          <w:tcPr>
            <w:tcW w:w="3762" w:type="dxa"/>
            <w:vAlign w:val="center"/>
          </w:tcPr>
          <w:p w14:paraId="6DD5B9D1"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2.5. Īpatnējais siltumenerģijas patēriņš ēkās (kWh/m</w:t>
            </w:r>
            <w:r w:rsidRPr="008B628A">
              <w:rPr>
                <w:rFonts w:ascii="Times New Roman" w:hAnsi="Times New Roman" w:cs="Times New Roman"/>
                <w:color w:val="000000" w:themeColor="text1"/>
                <w:sz w:val="22"/>
                <w:vertAlign w:val="superscript"/>
              </w:rPr>
              <w:t>2</w:t>
            </w:r>
            <w:r w:rsidRPr="008B628A">
              <w:rPr>
                <w:rFonts w:ascii="Times New Roman" w:hAnsi="Times New Roman" w:cs="Times New Roman"/>
                <w:color w:val="000000" w:themeColor="text1"/>
                <w:sz w:val="22"/>
              </w:rPr>
              <w:t>/gadā)</w:t>
            </w:r>
          </w:p>
        </w:tc>
        <w:tc>
          <w:tcPr>
            <w:tcW w:w="1027" w:type="dxa"/>
            <w:vAlign w:val="center"/>
          </w:tcPr>
          <w:p w14:paraId="3B4679A4" w14:textId="38F87AD3"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9B56604" w14:textId="2F8CCBE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5F176E55" w14:textId="72186E31" w:rsidR="00A648C3" w:rsidRPr="008B628A" w:rsidRDefault="007809D3" w:rsidP="00A648C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20F0ACA4" w14:textId="24478C52" w:rsidR="00A648C3" w:rsidRPr="008B628A" w:rsidRDefault="007809D3" w:rsidP="00A648C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4C1BC96C" w14:textId="6756DE29"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150</w:t>
            </w:r>
            <w:r w:rsidRPr="008B628A">
              <w:rPr>
                <w:rStyle w:val="FootnoteReference"/>
                <w:rFonts w:ascii="Times New Roman" w:hAnsi="Times New Roman" w:cs="Times New Roman"/>
                <w:color w:val="000000" w:themeColor="text1"/>
                <w:sz w:val="22"/>
              </w:rPr>
              <w:footnoteReference w:id="43"/>
            </w:r>
            <w:r w:rsidRPr="008B628A">
              <w:rPr>
                <w:rFonts w:ascii="Times New Roman" w:hAnsi="Times New Roman" w:cs="Times New Roman"/>
                <w:color w:val="000000" w:themeColor="text1"/>
                <w:sz w:val="22"/>
              </w:rPr>
              <w:t> </w:t>
            </w:r>
          </w:p>
        </w:tc>
        <w:tc>
          <w:tcPr>
            <w:tcW w:w="993" w:type="dxa"/>
            <w:vAlign w:val="center"/>
          </w:tcPr>
          <w:p w14:paraId="01753194" w14:textId="08F940C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100</w:t>
            </w:r>
            <w:r w:rsidRPr="008B628A">
              <w:rPr>
                <w:rStyle w:val="FootnoteReference"/>
                <w:rFonts w:ascii="Times New Roman" w:hAnsi="Times New Roman" w:cs="Times New Roman"/>
                <w:b/>
                <w:color w:val="000000" w:themeColor="text1"/>
                <w:sz w:val="22"/>
              </w:rPr>
              <w:footnoteReference w:id="44"/>
            </w:r>
          </w:p>
        </w:tc>
      </w:tr>
      <w:tr w:rsidR="00A648C3" w:rsidRPr="008B628A" w14:paraId="7807EB67" w14:textId="77777777" w:rsidTr="00391410">
        <w:trPr>
          <w:jc w:val="center"/>
        </w:trPr>
        <w:tc>
          <w:tcPr>
            <w:tcW w:w="3762" w:type="dxa"/>
            <w:vAlign w:val="center"/>
          </w:tcPr>
          <w:p w14:paraId="06E77DEE" w14:textId="77777777" w:rsidR="00A648C3" w:rsidRPr="008B628A" w:rsidRDefault="00A648C3" w:rsidP="00A648C3">
            <w:pPr>
              <w:pStyle w:val="ListParagraph"/>
              <w:spacing w:after="0" w:line="240" w:lineRule="auto"/>
              <w:ind w:left="0"/>
              <w:contextualSpacing w:val="0"/>
              <w:rPr>
                <w:rFonts w:ascii="Times New Roman" w:hAnsi="Times New Roman" w:cs="Times New Roman"/>
                <w:b/>
                <w:color w:val="000000" w:themeColor="text1"/>
                <w:sz w:val="22"/>
              </w:rPr>
            </w:pPr>
            <w:r w:rsidRPr="008B628A">
              <w:rPr>
                <w:rFonts w:ascii="Times New Roman" w:hAnsi="Times New Roman" w:cs="Times New Roman"/>
                <w:color w:val="000000" w:themeColor="text1"/>
                <w:sz w:val="22"/>
              </w:rPr>
              <w:t>3.1. Importa īpatsvars bruto iekšzemes enerģijas patēriņā (t.sk. bunkurēšana) (%)</w:t>
            </w:r>
          </w:p>
        </w:tc>
        <w:tc>
          <w:tcPr>
            <w:tcW w:w="1027" w:type="dxa"/>
            <w:vAlign w:val="center"/>
          </w:tcPr>
          <w:p w14:paraId="79D6D82B" w14:textId="4777B2FD"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22FD91D" w14:textId="561A6BBA"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0A9122A" w14:textId="77777777"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47,2</w:t>
            </w:r>
          </w:p>
        </w:tc>
        <w:tc>
          <w:tcPr>
            <w:tcW w:w="1027" w:type="dxa"/>
            <w:vAlign w:val="center"/>
          </w:tcPr>
          <w:p w14:paraId="312AACED" w14:textId="5B884728" w:rsidR="00A648C3" w:rsidRPr="008B628A" w:rsidRDefault="00A648C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w:t>
            </w:r>
            <w:r w:rsidR="004B28BC" w:rsidRPr="008B628A">
              <w:rPr>
                <w:rFonts w:ascii="Times New Roman" w:hAnsi="Times New Roman" w:cs="Times New Roman"/>
                <w:i/>
                <w:color w:val="000000" w:themeColor="text1"/>
                <w:sz w:val="22"/>
              </w:rPr>
              <w:t>u</w:t>
            </w:r>
          </w:p>
        </w:tc>
        <w:tc>
          <w:tcPr>
            <w:tcW w:w="1199" w:type="dxa"/>
            <w:vAlign w:val="center"/>
          </w:tcPr>
          <w:p w14:paraId="4D38C781" w14:textId="76C64C99"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44,1</w:t>
            </w:r>
            <w:r w:rsidRPr="008B628A">
              <w:rPr>
                <w:rStyle w:val="FootnoteReference"/>
                <w:rFonts w:ascii="Times New Roman" w:hAnsi="Times New Roman" w:cs="Times New Roman"/>
                <w:b/>
                <w:color w:val="000000" w:themeColor="text1"/>
                <w:sz w:val="22"/>
              </w:rPr>
              <w:footnoteReference w:id="45"/>
            </w:r>
          </w:p>
        </w:tc>
        <w:tc>
          <w:tcPr>
            <w:tcW w:w="993" w:type="dxa"/>
            <w:vAlign w:val="center"/>
          </w:tcPr>
          <w:p w14:paraId="42C41935" w14:textId="42A6C8DB"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30</w:t>
            </w:r>
            <w:r w:rsidR="000810A5" w:rsidRPr="008B628A">
              <w:rPr>
                <w:rStyle w:val="FootnoteReference"/>
                <w:rFonts w:ascii="Times New Roman" w:hAnsi="Times New Roman" w:cs="Times New Roman"/>
                <w:b/>
                <w:color w:val="000000" w:themeColor="text1"/>
                <w:sz w:val="22"/>
              </w:rPr>
              <w:footnoteReference w:id="46"/>
            </w:r>
          </w:p>
        </w:tc>
      </w:tr>
      <w:tr w:rsidR="00A648C3" w:rsidRPr="008B628A" w14:paraId="52E0287F" w14:textId="77777777" w:rsidTr="00391410">
        <w:trPr>
          <w:jc w:val="center"/>
        </w:trPr>
        <w:tc>
          <w:tcPr>
            <w:tcW w:w="3762" w:type="dxa"/>
            <w:vAlign w:val="center"/>
          </w:tcPr>
          <w:p w14:paraId="1B358A8F"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4.1. Starpsavienojumu jauda (% pret uzstādīto ģenerējošo jaudu)</w:t>
            </w:r>
          </w:p>
        </w:tc>
        <w:tc>
          <w:tcPr>
            <w:tcW w:w="1027" w:type="dxa"/>
            <w:vAlign w:val="center"/>
          </w:tcPr>
          <w:p w14:paraId="70115CE6" w14:textId="35403512"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47"/>
            </w:r>
          </w:p>
        </w:tc>
        <w:tc>
          <w:tcPr>
            <w:tcW w:w="1027" w:type="dxa"/>
            <w:vAlign w:val="center"/>
          </w:tcPr>
          <w:p w14:paraId="6525D24C" w14:textId="2BEB9A4E"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w:t>
            </w:r>
            <w:r w:rsidRPr="008B628A">
              <w:rPr>
                <w:rStyle w:val="FootnoteReference"/>
                <w:rFonts w:ascii="Times New Roman" w:hAnsi="Times New Roman" w:cs="Times New Roman"/>
                <w:b/>
                <w:color w:val="000000" w:themeColor="text1"/>
                <w:sz w:val="22"/>
              </w:rPr>
              <w:footnoteReference w:id="48"/>
            </w:r>
          </w:p>
        </w:tc>
        <w:tc>
          <w:tcPr>
            <w:tcW w:w="1027" w:type="dxa"/>
            <w:vAlign w:val="center"/>
          </w:tcPr>
          <w:p w14:paraId="7701996E" w14:textId="129FF700"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367F96A" w14:textId="7160D2BB"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80</w:t>
            </w:r>
          </w:p>
        </w:tc>
        <w:tc>
          <w:tcPr>
            <w:tcW w:w="1199" w:type="dxa"/>
            <w:vAlign w:val="center"/>
          </w:tcPr>
          <w:p w14:paraId="16D81314" w14:textId="586874B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49"/>
            </w:r>
          </w:p>
        </w:tc>
        <w:tc>
          <w:tcPr>
            <w:tcW w:w="993" w:type="dxa"/>
            <w:vAlign w:val="center"/>
          </w:tcPr>
          <w:p w14:paraId="6949E4EC" w14:textId="62AFF5C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w:t>
            </w:r>
            <w:r w:rsidRPr="008B628A">
              <w:rPr>
                <w:rStyle w:val="FootnoteReference"/>
                <w:rFonts w:ascii="Times New Roman" w:hAnsi="Times New Roman" w:cs="Times New Roman"/>
                <w:b/>
                <w:color w:val="000000" w:themeColor="text1"/>
                <w:sz w:val="22"/>
              </w:rPr>
              <w:footnoteReference w:id="50"/>
            </w:r>
          </w:p>
        </w:tc>
      </w:tr>
      <w:tr w:rsidR="00A648C3" w:rsidRPr="008B628A" w14:paraId="24BFA352" w14:textId="77777777" w:rsidTr="00391410">
        <w:trPr>
          <w:jc w:val="center"/>
        </w:trPr>
        <w:tc>
          <w:tcPr>
            <w:tcW w:w="3762" w:type="dxa"/>
            <w:vAlign w:val="center"/>
          </w:tcPr>
          <w:p w14:paraId="7C7E6627"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4.2. Iespējas pirkt dabasgāzi no dažādiem avotiem (</w:t>
            </w:r>
            <w:r w:rsidRPr="008B628A">
              <w:rPr>
                <w:rFonts w:ascii="Times New Roman" w:hAnsi="Times New Roman" w:cs="Times New Roman"/>
                <w:i/>
                <w:color w:val="000000" w:themeColor="text1"/>
                <w:sz w:val="22"/>
              </w:rPr>
              <w:t>avotu skaits</w:t>
            </w:r>
            <w:r w:rsidRPr="008B628A">
              <w:rPr>
                <w:rFonts w:ascii="Times New Roman" w:hAnsi="Times New Roman" w:cs="Times New Roman"/>
                <w:color w:val="000000" w:themeColor="text1"/>
                <w:sz w:val="22"/>
              </w:rPr>
              <w:t>)</w:t>
            </w:r>
          </w:p>
        </w:tc>
        <w:tc>
          <w:tcPr>
            <w:tcW w:w="1027" w:type="dxa"/>
            <w:vAlign w:val="center"/>
          </w:tcPr>
          <w:p w14:paraId="1821D417" w14:textId="77777777"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64D23BD0" w14:textId="77777777"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704D8303" w14:textId="01E555B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68A7EBDE" w14:textId="5B73BB4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&gt;2</w:t>
            </w:r>
          </w:p>
        </w:tc>
        <w:tc>
          <w:tcPr>
            <w:tcW w:w="1199" w:type="dxa"/>
            <w:vAlign w:val="center"/>
          </w:tcPr>
          <w:p w14:paraId="0D10A581" w14:textId="6CB3CA8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r w:rsidRPr="008B628A">
              <w:rPr>
                <w:rStyle w:val="FootnoteReference"/>
                <w:rFonts w:ascii="Times New Roman" w:hAnsi="Times New Roman" w:cs="Times New Roman"/>
                <w:b/>
                <w:color w:val="000000" w:themeColor="text1"/>
                <w:sz w:val="22"/>
              </w:rPr>
              <w:footnoteReference w:id="51"/>
            </w:r>
          </w:p>
        </w:tc>
        <w:tc>
          <w:tcPr>
            <w:tcW w:w="993" w:type="dxa"/>
            <w:vAlign w:val="center"/>
          </w:tcPr>
          <w:p w14:paraId="5C903EA2" w14:textId="548CA11E"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w:t>
            </w:r>
          </w:p>
        </w:tc>
      </w:tr>
      <w:tr w:rsidR="00A648C3" w:rsidRPr="008B628A" w14:paraId="2F003B28" w14:textId="77777777" w:rsidTr="00391410">
        <w:trPr>
          <w:jc w:val="center"/>
        </w:trPr>
        <w:tc>
          <w:tcPr>
            <w:tcW w:w="3762" w:type="dxa"/>
            <w:vAlign w:val="center"/>
          </w:tcPr>
          <w:p w14:paraId="639EABEE" w14:textId="30D16BDB"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5.1. Inovatīvu produktu apgrozījums (% no kopējā apgrozījuma)</w:t>
            </w:r>
          </w:p>
        </w:tc>
        <w:tc>
          <w:tcPr>
            <w:tcW w:w="1027" w:type="dxa"/>
            <w:vAlign w:val="center"/>
          </w:tcPr>
          <w:p w14:paraId="5936C099" w14:textId="2955E1A6" w:rsidR="00A648C3" w:rsidRPr="008B628A" w:rsidRDefault="003961D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4878015" w14:textId="5EBE5EA4" w:rsidR="00A648C3" w:rsidRPr="008B628A" w:rsidRDefault="003961D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7D495894" w14:textId="5750942C" w:rsidR="00A648C3" w:rsidRPr="008B628A" w:rsidRDefault="003961D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01D81364" w14:textId="6CC561A3" w:rsidR="00A648C3" w:rsidRPr="008B628A" w:rsidRDefault="003961D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596C8CE9" w14:textId="51E20040" w:rsidR="00A648C3" w:rsidRPr="008B628A" w:rsidRDefault="003961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64D0880D" w14:textId="025B24B4"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&gt;14</w:t>
            </w:r>
            <w:r w:rsidRPr="008B628A">
              <w:rPr>
                <w:rStyle w:val="FootnoteReference"/>
                <w:rFonts w:ascii="Times New Roman" w:hAnsi="Times New Roman" w:cs="Times New Roman"/>
                <w:b/>
                <w:color w:val="000000" w:themeColor="text1"/>
                <w:sz w:val="22"/>
              </w:rPr>
              <w:footnoteReference w:id="52"/>
            </w:r>
          </w:p>
        </w:tc>
      </w:tr>
      <w:tr w:rsidR="003961D3" w:rsidRPr="008B628A" w14:paraId="522BC8D3" w14:textId="77777777" w:rsidTr="00391410">
        <w:trPr>
          <w:jc w:val="center"/>
        </w:trPr>
        <w:tc>
          <w:tcPr>
            <w:tcW w:w="3762" w:type="dxa"/>
            <w:vAlign w:val="center"/>
          </w:tcPr>
          <w:p w14:paraId="36EA3E9B" w14:textId="3B8CC212" w:rsidR="003961D3" w:rsidRPr="008B628A" w:rsidRDefault="003961D3" w:rsidP="003961D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5.2. Inovatīvu uzņēmumu īpatsvars (%) no visiem uzņēmumiem)</w:t>
            </w:r>
          </w:p>
        </w:tc>
        <w:tc>
          <w:tcPr>
            <w:tcW w:w="1027" w:type="dxa"/>
            <w:vAlign w:val="center"/>
          </w:tcPr>
          <w:p w14:paraId="53708850" w14:textId="4EF5BE9B"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F2A5442" w14:textId="449E22FD"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35EF30BC" w14:textId="40D8AF1A"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342D5E16" w14:textId="53C25B6D"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4B7F37E6" w14:textId="623A3C69"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3F845132" w14:textId="7E865A2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&gt;40</w:t>
            </w:r>
            <w:r w:rsidRPr="008B628A">
              <w:rPr>
                <w:rStyle w:val="FootnoteReference"/>
                <w:rFonts w:ascii="Times New Roman" w:hAnsi="Times New Roman" w:cs="Times New Roman"/>
                <w:b/>
                <w:color w:val="000000" w:themeColor="text1"/>
                <w:sz w:val="22"/>
              </w:rPr>
              <w:footnoteReference w:id="53"/>
            </w:r>
          </w:p>
        </w:tc>
      </w:tr>
      <w:tr w:rsidR="003961D3" w:rsidRPr="008B628A" w14:paraId="7C6AFA4D" w14:textId="77777777" w:rsidTr="00391410">
        <w:trPr>
          <w:jc w:val="center"/>
        </w:trPr>
        <w:tc>
          <w:tcPr>
            <w:tcW w:w="3762" w:type="dxa"/>
            <w:vAlign w:val="center"/>
          </w:tcPr>
          <w:p w14:paraId="6E4A2DE7" w14:textId="1F4C83E1" w:rsidR="003961D3" w:rsidRPr="008B628A" w:rsidRDefault="003961D3" w:rsidP="003961D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5.3. Augsto tehnoloģiju nozaru eksporta īpatsvars (% no visa eksporta gadā)</w:t>
            </w:r>
          </w:p>
        </w:tc>
        <w:tc>
          <w:tcPr>
            <w:tcW w:w="1027" w:type="dxa"/>
            <w:vAlign w:val="center"/>
          </w:tcPr>
          <w:p w14:paraId="2ECFD840" w14:textId="01B12638"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76A7E74A" w14:textId="0413F1D0"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260EC22" w14:textId="62C1FA6B"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7B4F9DB4" w14:textId="46B0C079"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3861FBED" w14:textId="05D4C77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07A5BDB2" w14:textId="4B99AE7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&gt;15</w:t>
            </w:r>
            <w:r w:rsidRPr="008B628A">
              <w:rPr>
                <w:rStyle w:val="FootnoteReference"/>
                <w:rFonts w:ascii="Times New Roman" w:hAnsi="Times New Roman" w:cs="Times New Roman"/>
                <w:b/>
                <w:color w:val="000000" w:themeColor="text1"/>
                <w:sz w:val="22"/>
              </w:rPr>
              <w:footnoteReference w:id="54"/>
            </w:r>
          </w:p>
        </w:tc>
      </w:tr>
    </w:tbl>
    <w:p w14:paraId="26B8502B" w14:textId="77777777" w:rsidR="005E7380" w:rsidRPr="008B628A" w:rsidRDefault="005E7380" w:rsidP="00814C35">
      <w:bookmarkStart w:id="24" w:name="_Toc520978796"/>
      <w:bookmarkStart w:id="25" w:name="_Toc527529417"/>
      <w:bookmarkEnd w:id="22"/>
    </w:p>
    <w:p w14:paraId="1BA0D117" w14:textId="55BF4B4B" w:rsidR="00581156" w:rsidRPr="008B628A" w:rsidRDefault="00581156" w:rsidP="006F546A">
      <w:pPr>
        <w:pStyle w:val="Heading2"/>
      </w:pPr>
      <w:bookmarkStart w:id="26" w:name="_Toc532909996"/>
      <w:bookmarkEnd w:id="19"/>
      <w:r w:rsidRPr="008B628A">
        <w:t>Pašreizējā rīcībpolitikas stāvokļa apskats</w:t>
      </w:r>
      <w:bookmarkEnd w:id="24"/>
      <w:bookmarkEnd w:id="25"/>
      <w:bookmarkEnd w:id="26"/>
      <w:r w:rsidRPr="008B628A">
        <w:t xml:space="preserve"> </w:t>
      </w:r>
    </w:p>
    <w:p w14:paraId="03822185" w14:textId="7A8B7B30" w:rsidR="0063104B" w:rsidRPr="008B628A" w:rsidRDefault="0063104B" w:rsidP="005F59CE">
      <w:pPr>
        <w:pStyle w:val="Heading3"/>
        <w:rPr>
          <w:rStyle w:val="eop"/>
        </w:rPr>
      </w:pPr>
      <w:bookmarkStart w:id="27" w:name="_Toc520978797"/>
      <w:bookmarkStart w:id="28" w:name="_Toc527529418"/>
      <w:r w:rsidRPr="008B628A">
        <w:rPr>
          <w:rStyle w:val="normaltextrun"/>
        </w:rPr>
        <w:t>Nacionālā plāna politikas un Latvijas un ES energosistēma</w:t>
      </w:r>
      <w:r w:rsidRPr="008B628A">
        <w:rPr>
          <w:rStyle w:val="eop"/>
        </w:rPr>
        <w:t> </w:t>
      </w:r>
      <w:r w:rsidRPr="008B628A">
        <w:rPr>
          <w:rStyle w:val="normaltextrun"/>
        </w:rPr>
        <w:t>konteksts</w:t>
      </w:r>
      <w:bookmarkEnd w:id="27"/>
      <w:bookmarkEnd w:id="28"/>
      <w:r w:rsidRPr="008B628A">
        <w:rPr>
          <w:rStyle w:val="normaltextrun"/>
        </w:rPr>
        <w:t xml:space="preserve"> </w:t>
      </w:r>
    </w:p>
    <w:p w14:paraId="324CADB4" w14:textId="77777777" w:rsidR="0063104B" w:rsidRPr="008B628A" w:rsidRDefault="0063104B" w:rsidP="00863FD7">
      <w:pPr>
        <w:pStyle w:val="Heading4"/>
      </w:pPr>
      <w:bookmarkStart w:id="29" w:name="_Toc527529419"/>
      <w:r w:rsidRPr="008B628A">
        <w:t>Nacionālā plāna rīcībpolitikas konteksts</w:t>
      </w:r>
      <w:bookmarkEnd w:id="29"/>
    </w:p>
    <w:p w14:paraId="42B0A9AF" w14:textId="78E2932D" w:rsidR="0063104B" w:rsidRPr="008B628A" w:rsidRDefault="0063104B" w:rsidP="000641F0">
      <w:pPr>
        <w:autoSpaceDE w:val="0"/>
        <w:autoSpaceDN w:val="0"/>
        <w:adjustRightInd w:val="0"/>
        <w:spacing w:before="120" w:after="120" w:line="240" w:lineRule="auto"/>
        <w:jc w:val="both"/>
        <w:rPr>
          <w:rStyle w:val="Heading2Char"/>
          <w:sz w:val="24"/>
          <w:szCs w:val="24"/>
        </w:rPr>
      </w:pPr>
      <w:r w:rsidRPr="008B628A">
        <w:rPr>
          <w:rFonts w:ascii="Times New Roman" w:hAnsi="Times New Roman" w:cs="Times New Roman"/>
          <w:szCs w:val="24"/>
        </w:rPr>
        <w:t>ES mērogā enerģētikas politika periodam līdz 2050.gadam ir noteikt</w:t>
      </w:r>
      <w:r w:rsidR="00FD6161" w:rsidRPr="008B628A">
        <w:rPr>
          <w:rFonts w:ascii="Times New Roman" w:hAnsi="Times New Roman" w:cs="Times New Roman"/>
          <w:szCs w:val="24"/>
        </w:rPr>
        <w:t>a</w:t>
      </w:r>
      <w:r w:rsidRPr="008B628A">
        <w:rPr>
          <w:rFonts w:ascii="Times New Roman" w:hAnsi="Times New Roman" w:cs="Times New Roman"/>
          <w:szCs w:val="24"/>
        </w:rPr>
        <w:t xml:space="preserve"> EK paziņojumā “Ceļvedis virzībai uz konkurētspējīgu ekonomiku ar zemu oglekļa dioksīda emisiju līmeni 2050. g.”</w:t>
      </w:r>
      <w:r w:rsidRPr="008B628A">
        <w:rPr>
          <w:rStyle w:val="FootnoteReference"/>
          <w:rFonts w:ascii="Times New Roman" w:hAnsi="Times New Roman" w:cs="Times New Roman"/>
          <w:szCs w:val="24"/>
        </w:rPr>
        <w:footnoteReference w:id="55"/>
      </w:r>
      <w:r w:rsidRPr="008B628A">
        <w:rPr>
          <w:rStyle w:val="Heading2Char"/>
          <w:b w:val="0"/>
          <w:sz w:val="24"/>
          <w:szCs w:val="24"/>
        </w:rPr>
        <w:t>, kur attiecībā uz enerģētikas sektoru ir noteikta šāda politiskā virzība 2050.gadam:</w:t>
      </w:r>
    </w:p>
    <w:p w14:paraId="0E6A6982" w14:textId="77777777"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Droša konkurētspējīga enerģētika bez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emisijām;</w:t>
      </w:r>
    </w:p>
    <w:p w14:paraId="235E45EB" w14:textId="242CBC6C"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Mobilitātes ilgtspēja, paaugstinot kurināmā izmantošanas efektivitāti, izmantojot elektrifikāciju un cenu mehānismu</w:t>
      </w:r>
    </w:p>
    <w:p w14:paraId="72AD09DB" w14:textId="45FF435F"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Apbūvētā vide</w:t>
      </w:r>
      <w:r w:rsidR="001C3315" w:rsidRPr="008B628A">
        <w:t xml:space="preserve"> </w:t>
      </w:r>
      <w:r w:rsidR="001C3315" w:rsidRPr="008B628A">
        <w:rPr>
          <w:rFonts w:ascii="Times New Roman" w:hAnsi="Times New Roman" w:cs="Times New Roman"/>
          <w:szCs w:val="24"/>
        </w:rPr>
        <w:t>ēku energoefektivitātes paaugstināšanai;</w:t>
      </w:r>
    </w:p>
    <w:p w14:paraId="73600D51" w14:textId="790D5D1C"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Rūpniecības nozar</w:t>
      </w:r>
      <w:r w:rsidR="001C3315" w:rsidRPr="008B628A">
        <w:rPr>
          <w:rFonts w:ascii="Times New Roman" w:hAnsi="Times New Roman" w:cs="Times New Roman"/>
          <w:szCs w:val="24"/>
        </w:rPr>
        <w:t>u</w:t>
      </w:r>
      <w:r w:rsidRPr="008B628A">
        <w:rPr>
          <w:rFonts w:ascii="Times New Roman" w:hAnsi="Times New Roman" w:cs="Times New Roman"/>
          <w:szCs w:val="24"/>
        </w:rPr>
        <w:t>, tostarp energoietilpīgas rūpniecības nozar</w:t>
      </w:r>
      <w:r w:rsidR="001C3315" w:rsidRPr="008B628A">
        <w:rPr>
          <w:rFonts w:ascii="Times New Roman" w:hAnsi="Times New Roman" w:cs="Times New Roman"/>
          <w:szCs w:val="24"/>
        </w:rPr>
        <w:t>u SEG emisiju samazināšana, izmantojot progresīvākus resursus un energoefektīvākus ražošanas procesus un iekārtas, palielinot otrreizējās pārstrādes apjomus, un izmantojot  SEG emisiju samazināšanas tehnoloģijas;</w:t>
      </w:r>
    </w:p>
    <w:p w14:paraId="5471E194" w14:textId="1E96C05F" w:rsidR="001C3315" w:rsidRPr="008B628A" w:rsidRDefault="001C3315"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Zemes produktivitātes ilgtspējīga palielināšana.</w:t>
      </w:r>
    </w:p>
    <w:p w14:paraId="015E764A" w14:textId="27351F42" w:rsidR="0039583D" w:rsidRPr="008B628A" w:rsidRDefault="00FD6161" w:rsidP="0039583D">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Savukārt periodam līdz 2030.gadam enerģētikas politika ir noteikta EK paziņojumā “Tīru enerģiju ikvienam Eiropā”</w:t>
      </w:r>
      <w:r w:rsidR="0039583D" w:rsidRPr="008B628A">
        <w:rPr>
          <w:rStyle w:val="FootnoteReference"/>
          <w:rFonts w:ascii="Times New Roman" w:hAnsi="Times New Roman" w:cs="Times New Roman"/>
          <w:szCs w:val="24"/>
        </w:rPr>
        <w:footnoteReference w:id="56"/>
      </w:r>
      <w:r w:rsidR="0039583D" w:rsidRPr="008B628A">
        <w:rPr>
          <w:rFonts w:ascii="Times New Roman" w:hAnsi="Times New Roman" w:cs="Times New Roman"/>
          <w:szCs w:val="24"/>
        </w:rPr>
        <w:t>, kur ar iesniegto dokumentu pak</w:t>
      </w:r>
      <w:r w:rsidR="004A060F" w:rsidRPr="008B628A">
        <w:rPr>
          <w:rFonts w:ascii="Times New Roman" w:hAnsi="Times New Roman" w:cs="Times New Roman"/>
          <w:szCs w:val="24"/>
        </w:rPr>
        <w:t>otni</w:t>
      </w:r>
      <w:r w:rsidR="0039583D" w:rsidRPr="008B628A">
        <w:rPr>
          <w:rFonts w:ascii="Times New Roman" w:hAnsi="Times New Roman" w:cs="Times New Roman"/>
          <w:szCs w:val="24"/>
        </w:rPr>
        <w:t xml:space="preserve"> ir paredzēts sasniegt trīs galvenos mērķus:</w:t>
      </w:r>
    </w:p>
    <w:p w14:paraId="54098E58" w14:textId="6322C99C" w:rsidR="0039583D"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izvirzīt energoefektivitāti pirmajā vietā;</w:t>
      </w:r>
    </w:p>
    <w:p w14:paraId="4FF25FDE" w14:textId="656D02B0" w:rsidR="0039583D"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iegūt vadošo lomu </w:t>
      </w:r>
      <w:r w:rsidR="00C432CC">
        <w:rPr>
          <w:rFonts w:ascii="Times New Roman" w:hAnsi="Times New Roman" w:cs="Times New Roman"/>
          <w:szCs w:val="24"/>
        </w:rPr>
        <w:t>AER</w:t>
      </w:r>
      <w:r w:rsidRPr="008B628A">
        <w:rPr>
          <w:rFonts w:ascii="Times New Roman" w:hAnsi="Times New Roman" w:cs="Times New Roman"/>
          <w:szCs w:val="24"/>
        </w:rPr>
        <w:t xml:space="preserve"> jomā pasaules mērogā;</w:t>
      </w:r>
    </w:p>
    <w:p w14:paraId="433CCFBA" w14:textId="1D067A2A" w:rsidR="00FD6161"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nodrošināt taisnīgus nosacījumus patērētājiem.</w:t>
      </w:r>
    </w:p>
    <w:p w14:paraId="46EBD8E2" w14:textId="490F07A3" w:rsidR="0063104B" w:rsidRPr="008B628A" w:rsidRDefault="0063104B" w:rsidP="000641F0">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Plāns Latvijas attīstības sistēmas plānošanas ietvarā ir pakārtojams </w:t>
      </w:r>
      <w:r w:rsidR="00C70BC2" w:rsidRPr="008B628A">
        <w:rPr>
          <w:rFonts w:ascii="Times New Roman" w:hAnsi="Times New Roman" w:cs="Times New Roman"/>
          <w:szCs w:val="24"/>
        </w:rPr>
        <w:t>LIAS2030</w:t>
      </w:r>
      <w:r w:rsidRPr="008B628A">
        <w:rPr>
          <w:rFonts w:ascii="Times New Roman" w:hAnsi="Times New Roman" w:cs="Times New Roman"/>
          <w:szCs w:val="24"/>
        </w:rPr>
        <w:t>.</w:t>
      </w:r>
    </w:p>
    <w:p w14:paraId="5E48D59F" w14:textId="77777777" w:rsidR="0063104B" w:rsidRPr="008B628A" w:rsidRDefault="0063104B" w:rsidP="00863FD7">
      <w:pPr>
        <w:pStyle w:val="Heading4"/>
        <w:rPr>
          <w:rFonts w:eastAsia="Times New Roman"/>
          <w:lang w:eastAsia="lv-LV"/>
        </w:rPr>
      </w:pPr>
      <w:bookmarkStart w:id="30" w:name="_Toc527529420"/>
      <w:r w:rsidRPr="008B628A">
        <w:rPr>
          <w:rFonts w:eastAsia="Times New Roman"/>
          <w:lang w:eastAsia="lv-LV"/>
        </w:rPr>
        <w:t>Nacionālā plāna Latvijas un ES energosistēmas konteksts</w:t>
      </w:r>
      <w:bookmarkEnd w:id="30"/>
    </w:p>
    <w:p w14:paraId="20A7B0F1" w14:textId="77777777" w:rsidR="00DB43C5" w:rsidRPr="008B628A" w:rsidRDefault="00DB43C5" w:rsidP="00DB43C5">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w:t>
      </w:r>
    </w:p>
    <w:p w14:paraId="2B381280" w14:textId="5D56AF2A" w:rsidR="00640042" w:rsidRPr="008B628A" w:rsidRDefault="0003780C" w:rsidP="000641F0">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Kopējais </w:t>
      </w:r>
      <w:r w:rsidR="00A54AC9">
        <w:rPr>
          <w:rFonts w:ascii="Times New Roman" w:hAnsi="Times New Roman" w:cs="Times New Roman"/>
          <w:szCs w:val="24"/>
        </w:rPr>
        <w:t>primār</w:t>
      </w:r>
      <w:r w:rsidR="00C432CC">
        <w:rPr>
          <w:rFonts w:ascii="Times New Roman" w:hAnsi="Times New Roman" w:cs="Times New Roman"/>
          <w:szCs w:val="24"/>
        </w:rPr>
        <w:t xml:space="preserve">ās enerģijas </w:t>
      </w:r>
      <w:r w:rsidRPr="008B628A">
        <w:rPr>
          <w:rFonts w:ascii="Times New Roman" w:hAnsi="Times New Roman" w:cs="Times New Roman"/>
          <w:szCs w:val="24"/>
        </w:rPr>
        <w:t>patēriņš 2016. gadā Latvijā bija 184,5 PJ, kas ir tikai par 0,3 % vairāk nekā 2015. gadā, bet</w:t>
      </w:r>
      <w:r w:rsidR="0063104B" w:rsidRPr="008B628A">
        <w:rPr>
          <w:rFonts w:ascii="Times New Roman" w:hAnsi="Times New Roman" w:cs="Times New Roman"/>
          <w:szCs w:val="24"/>
        </w:rPr>
        <w:t xml:space="preserve"> 2017. gadā</w:t>
      </w:r>
      <w:r w:rsidRPr="008B628A">
        <w:rPr>
          <w:rFonts w:ascii="Times New Roman" w:hAnsi="Times New Roman" w:cs="Times New Roman"/>
          <w:szCs w:val="24"/>
        </w:rPr>
        <w:t xml:space="preserve"> – </w:t>
      </w:r>
      <w:r w:rsidR="0063104B" w:rsidRPr="008B628A">
        <w:rPr>
          <w:rFonts w:ascii="Times New Roman" w:hAnsi="Times New Roman" w:cs="Times New Roman"/>
          <w:szCs w:val="24"/>
        </w:rPr>
        <w:t>194,9 PJ, kas ir par 5,5 % vairāk nekā 2016. gadā</w:t>
      </w:r>
      <w:r w:rsidR="0063104B" w:rsidRPr="008B628A">
        <w:rPr>
          <w:rStyle w:val="FootnoteReference"/>
          <w:rFonts w:ascii="Times New Roman" w:hAnsi="Times New Roman" w:cs="Times New Roman"/>
          <w:szCs w:val="24"/>
        </w:rPr>
        <w:footnoteReference w:id="57"/>
      </w:r>
      <w:r w:rsidR="0063104B" w:rsidRPr="008B628A">
        <w:rPr>
          <w:rFonts w:ascii="Times New Roman" w:hAnsi="Times New Roman" w:cs="Times New Roman"/>
          <w:szCs w:val="24"/>
        </w:rPr>
        <w:t>.</w:t>
      </w:r>
      <w:r w:rsidR="006922CA" w:rsidRPr="008B628A">
        <w:rPr>
          <w:rFonts w:ascii="Times New Roman" w:hAnsi="Times New Roman" w:cs="Times New Roman"/>
          <w:szCs w:val="24"/>
        </w:rPr>
        <w:t xml:space="preserve"> Pēdējo piecu gadu laikā no 2013. gada līdz 2017. gadam kopējais </w:t>
      </w:r>
      <w:r w:rsidR="00A54AC9">
        <w:rPr>
          <w:rFonts w:ascii="Times New Roman" w:hAnsi="Times New Roman" w:cs="Times New Roman"/>
          <w:szCs w:val="24"/>
        </w:rPr>
        <w:t>primār</w:t>
      </w:r>
      <w:r w:rsidR="00C432CC">
        <w:rPr>
          <w:rFonts w:ascii="Times New Roman" w:hAnsi="Times New Roman" w:cs="Times New Roman"/>
          <w:szCs w:val="24"/>
        </w:rPr>
        <w:t>ās enerģijas pa</w:t>
      </w:r>
      <w:r w:rsidR="006922CA" w:rsidRPr="008B628A">
        <w:rPr>
          <w:rFonts w:ascii="Times New Roman" w:hAnsi="Times New Roman" w:cs="Times New Roman"/>
          <w:szCs w:val="24"/>
        </w:rPr>
        <w:t xml:space="preserve">tēriņš nav būtiski mainījies, bet par 2,55% </w:t>
      </w:r>
      <w:r w:rsidR="00D93019" w:rsidRPr="008B628A">
        <w:rPr>
          <w:rFonts w:ascii="Times New Roman" w:hAnsi="Times New Roman" w:cs="Times New Roman"/>
          <w:szCs w:val="24"/>
        </w:rPr>
        <w:t xml:space="preserve">ir palielinājies </w:t>
      </w:r>
      <w:r w:rsidR="006922CA" w:rsidRPr="008B628A">
        <w:rPr>
          <w:rFonts w:ascii="Times New Roman" w:hAnsi="Times New Roman" w:cs="Times New Roman"/>
          <w:szCs w:val="24"/>
        </w:rPr>
        <w:t>AER īpatsvars.</w:t>
      </w:r>
      <w:r w:rsidR="0063104B" w:rsidRPr="008B628A">
        <w:rPr>
          <w:rFonts w:ascii="Times New Roman" w:hAnsi="Times New Roman" w:cs="Times New Roman"/>
          <w:szCs w:val="24"/>
        </w:rPr>
        <w:t xml:space="preserve"> </w:t>
      </w:r>
    </w:p>
    <w:p w14:paraId="661C1F26" w14:textId="71FE8480" w:rsidR="009A1F2B" w:rsidRPr="008B628A" w:rsidRDefault="009A1F2B" w:rsidP="000641F0">
      <w:pPr>
        <w:autoSpaceDE w:val="0"/>
        <w:autoSpaceDN w:val="0"/>
        <w:adjustRightInd w:val="0"/>
        <w:spacing w:before="120" w:after="120" w:line="240" w:lineRule="auto"/>
        <w:jc w:val="both"/>
        <w:rPr>
          <w:rFonts w:ascii="Times New Roman" w:hAnsi="Times New Roman" w:cs="Times New Roman"/>
          <w:b/>
          <w:sz w:val="20"/>
          <w:szCs w:val="20"/>
        </w:rPr>
      </w:pPr>
      <w:r w:rsidRPr="008B628A">
        <w:rPr>
          <w:rFonts w:ascii="Times New Roman" w:hAnsi="Times New Roman" w:cs="Times New Roman"/>
          <w:szCs w:val="24"/>
        </w:rPr>
        <w:t>Latvijā atšķirībā no ES ir novērojams būtisks gan kopēj</w:t>
      </w:r>
      <w:r w:rsidR="00C432CC">
        <w:rPr>
          <w:rFonts w:ascii="Times New Roman" w:hAnsi="Times New Roman" w:cs="Times New Roman"/>
          <w:szCs w:val="24"/>
        </w:rPr>
        <w:t xml:space="preserve">ās primārās enerģijas </w:t>
      </w:r>
      <w:r w:rsidRPr="008B628A">
        <w:rPr>
          <w:rFonts w:ascii="Times New Roman" w:hAnsi="Times New Roman" w:cs="Times New Roman"/>
          <w:szCs w:val="24"/>
        </w:rPr>
        <w:t>patēriņa samazinājums</w:t>
      </w:r>
      <w:r w:rsidR="00D93019" w:rsidRPr="008B628A">
        <w:rPr>
          <w:rFonts w:ascii="Times New Roman" w:hAnsi="Times New Roman" w:cs="Times New Roman"/>
          <w:szCs w:val="24"/>
        </w:rPr>
        <w:t>,</w:t>
      </w:r>
      <w:r w:rsidRPr="008B628A">
        <w:rPr>
          <w:rFonts w:ascii="Times New Roman" w:hAnsi="Times New Roman" w:cs="Times New Roman"/>
          <w:szCs w:val="24"/>
        </w:rPr>
        <w:t xml:space="preserve"> gan</w:t>
      </w:r>
      <w:r w:rsidR="00A54AC9">
        <w:rPr>
          <w:rFonts w:ascii="Times New Roman" w:hAnsi="Times New Roman" w:cs="Times New Roman"/>
          <w:szCs w:val="24"/>
        </w:rPr>
        <w:t xml:space="preserve"> enerģijas </w:t>
      </w:r>
      <w:r w:rsidRPr="008B628A">
        <w:rPr>
          <w:rFonts w:ascii="Times New Roman" w:hAnsi="Times New Roman" w:cs="Times New Roman"/>
          <w:szCs w:val="24"/>
        </w:rPr>
        <w:t xml:space="preserve">galapatēriņa samazinājums periodā no 1990.gada līdz 2000.gadam un arī periodā pēc 2011.gada, kur ES periodā pēc 2014.gada ir vērojams </w:t>
      </w:r>
      <w:r w:rsidR="00C432CC">
        <w:rPr>
          <w:rFonts w:ascii="Times New Roman" w:hAnsi="Times New Roman" w:cs="Times New Roman"/>
          <w:szCs w:val="24"/>
        </w:rPr>
        <w:t xml:space="preserve">enerģijas </w:t>
      </w:r>
      <w:r w:rsidRPr="008B628A">
        <w:rPr>
          <w:rFonts w:ascii="Times New Roman" w:hAnsi="Times New Roman" w:cs="Times New Roman"/>
          <w:szCs w:val="24"/>
        </w:rPr>
        <w:t>patēriņa palielinājums, kas ir st</w:t>
      </w:r>
      <w:r w:rsidR="006922CA" w:rsidRPr="008B628A">
        <w:rPr>
          <w:rFonts w:ascii="Times New Roman" w:hAnsi="Times New Roman" w:cs="Times New Roman"/>
          <w:szCs w:val="24"/>
        </w:rPr>
        <w:t xml:space="preserve">raujāks </w:t>
      </w:r>
      <w:r w:rsidR="00C70BC2" w:rsidRPr="008B628A">
        <w:rPr>
          <w:rFonts w:ascii="Times New Roman" w:hAnsi="Times New Roman" w:cs="Times New Roman"/>
          <w:szCs w:val="24"/>
        </w:rPr>
        <w:t>nekā Latvijā novērotais.</w:t>
      </w:r>
    </w:p>
    <w:p w14:paraId="5FE3EF9C" w14:textId="0BA68722" w:rsidR="004E6B8C" w:rsidRPr="008B628A" w:rsidRDefault="00C432CC" w:rsidP="000641F0">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lastRenderedPageBreak/>
        <w:drawing>
          <wp:inline distT="0" distB="0" distL="0" distR="0" wp14:anchorId="3E1D6897" wp14:editId="36E76ECF">
            <wp:extent cx="4590121" cy="2628289"/>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1214" cy="2634641"/>
                    </a:xfrm>
                    <a:prstGeom prst="rect">
                      <a:avLst/>
                    </a:prstGeom>
                    <a:noFill/>
                  </pic:spPr>
                </pic:pic>
              </a:graphicData>
            </a:graphic>
          </wp:inline>
        </w:drawing>
      </w:r>
    </w:p>
    <w:p w14:paraId="466C28B6" w14:textId="3DDA1598" w:rsidR="004E6B8C"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 w:name="_Toc531333083"/>
      <w:r w:rsidR="006067D4">
        <w:rPr>
          <w:noProof/>
        </w:rPr>
        <w:t>1</w:t>
      </w:r>
      <w:r w:rsidRPr="008B628A">
        <w:rPr>
          <w:noProof/>
        </w:rPr>
        <w:fldChar w:fldCharType="end"/>
      </w:r>
      <w:r w:rsidR="002A59DA" w:rsidRPr="008B628A">
        <w:t xml:space="preserve">. attēls. </w:t>
      </w:r>
      <w:r w:rsidR="004E6B8C" w:rsidRPr="008B628A">
        <w:t>Kopēj</w:t>
      </w:r>
      <w:r w:rsidR="00C432CC">
        <w:t xml:space="preserve">ais primārās enerģijas patēriņa un enerģijas </w:t>
      </w:r>
      <w:r w:rsidR="004E6B8C" w:rsidRPr="008B628A">
        <w:t>galapatēriņa izmaiņas ES un Latvijā 1990-201</w:t>
      </w:r>
      <w:r w:rsidR="0003780C" w:rsidRPr="008B628A">
        <w:t>6</w:t>
      </w:r>
      <w:r w:rsidR="004E6B8C" w:rsidRPr="008B628A">
        <w:t>.g. (</w:t>
      </w:r>
      <w:r w:rsidR="009A1F2B" w:rsidRPr="008B628A">
        <w:t>1990 = 1</w:t>
      </w:r>
      <w:r w:rsidR="004E6B8C" w:rsidRPr="008B628A">
        <w:t>)</w:t>
      </w:r>
      <w:r w:rsidR="00875C71" w:rsidRPr="00C432CC">
        <w:rPr>
          <w:rStyle w:val="FootnoteReference"/>
          <w:b w:val="0"/>
        </w:rPr>
        <w:footnoteReference w:id="58"/>
      </w:r>
      <w:bookmarkEnd w:id="31"/>
    </w:p>
    <w:p w14:paraId="3E629D51" w14:textId="409F4C36" w:rsidR="0063104B" w:rsidRPr="008B628A" w:rsidRDefault="004C78D4" w:rsidP="000641F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Pēdējos gados novērotas</w:t>
      </w:r>
      <w:r w:rsidR="00A54AC9">
        <w:rPr>
          <w:rFonts w:ascii="Times New Roman" w:hAnsi="Times New Roman" w:cs="Times New Roman"/>
          <w:szCs w:val="24"/>
        </w:rPr>
        <w:t xml:space="preserve"> primār</w:t>
      </w:r>
      <w:r w:rsidR="00C432CC">
        <w:rPr>
          <w:rFonts w:ascii="Times New Roman" w:hAnsi="Times New Roman" w:cs="Times New Roman"/>
          <w:szCs w:val="24"/>
        </w:rPr>
        <w:t xml:space="preserve">ās enerģijas </w:t>
      </w:r>
      <w:r w:rsidRPr="008B628A">
        <w:rPr>
          <w:rFonts w:ascii="Times New Roman" w:hAnsi="Times New Roman" w:cs="Times New Roman"/>
          <w:szCs w:val="24"/>
        </w:rPr>
        <w:t>patēriņa struktūras izmaiņas – samazinoties dabasgāzes patēriņa īpatsvaram, palielinās AER īpatsvars kopējā</w:t>
      </w:r>
      <w:r w:rsidR="005C76FC">
        <w:rPr>
          <w:rFonts w:ascii="Times New Roman" w:hAnsi="Times New Roman" w:cs="Times New Roman"/>
          <w:szCs w:val="24"/>
        </w:rPr>
        <w:t xml:space="preserve">s primārās enerģijas </w:t>
      </w:r>
      <w:r w:rsidRPr="008B628A">
        <w:rPr>
          <w:rFonts w:ascii="Times New Roman" w:hAnsi="Times New Roman" w:cs="Times New Roman"/>
          <w:szCs w:val="24"/>
        </w:rPr>
        <w:t xml:space="preserve">patēriņā, kur </w:t>
      </w:r>
      <w:r w:rsidR="00FB01B4" w:rsidRPr="008B628A">
        <w:rPr>
          <w:rFonts w:ascii="Times New Roman" w:hAnsi="Times New Roman" w:cs="Times New Roman"/>
          <w:szCs w:val="24"/>
        </w:rPr>
        <w:t xml:space="preserve">desmit gadu laikā dabasgāzes patēriņa īpatsvars samazinājās par 4,2 %, un 2016. gadā </w:t>
      </w:r>
      <w:r w:rsidR="001C76E8" w:rsidRPr="008B628A">
        <w:rPr>
          <w:rFonts w:ascii="Times New Roman" w:hAnsi="Times New Roman" w:cs="Times New Roman"/>
          <w:szCs w:val="24"/>
        </w:rPr>
        <w:t xml:space="preserve">tas </w:t>
      </w:r>
      <w:r w:rsidR="00FB01B4" w:rsidRPr="008B628A">
        <w:rPr>
          <w:rFonts w:ascii="Times New Roman" w:hAnsi="Times New Roman" w:cs="Times New Roman"/>
          <w:szCs w:val="24"/>
        </w:rPr>
        <w:t>bija 25,4 %</w:t>
      </w:r>
      <w:r w:rsidR="001C76E8" w:rsidRPr="008B628A">
        <w:rPr>
          <w:rFonts w:ascii="Times New Roman" w:hAnsi="Times New Roman" w:cs="Times New Roman"/>
          <w:szCs w:val="24"/>
        </w:rPr>
        <w:t xml:space="preserve">, bet </w:t>
      </w:r>
      <w:r w:rsidRPr="008B628A">
        <w:rPr>
          <w:rFonts w:ascii="Times New Roman" w:hAnsi="Times New Roman" w:cs="Times New Roman"/>
          <w:szCs w:val="24"/>
        </w:rPr>
        <w:t>2017. gadā</w:t>
      </w:r>
      <w:r w:rsidR="001C76E8" w:rsidRPr="008B628A">
        <w:rPr>
          <w:rFonts w:ascii="Times New Roman" w:hAnsi="Times New Roman" w:cs="Times New Roman"/>
          <w:szCs w:val="24"/>
        </w:rPr>
        <w:t xml:space="preserve"> – </w:t>
      </w:r>
      <w:r w:rsidRPr="008B628A">
        <w:rPr>
          <w:rFonts w:ascii="Times New Roman" w:hAnsi="Times New Roman" w:cs="Times New Roman"/>
          <w:szCs w:val="24"/>
        </w:rPr>
        <w:t>23,4 %</w:t>
      </w:r>
      <w:r w:rsidR="001D7C9F" w:rsidRPr="008B628A">
        <w:rPr>
          <w:rFonts w:ascii="Times New Roman" w:hAnsi="Times New Roman" w:cs="Times New Roman"/>
          <w:szCs w:val="24"/>
        </w:rPr>
        <w:t>. Latvijā izmantojamie AER ir vietējie energoresursi, tāpēc, p</w:t>
      </w:r>
      <w:r w:rsidRPr="008B628A">
        <w:rPr>
          <w:rFonts w:ascii="Times New Roman" w:hAnsi="Times New Roman" w:cs="Times New Roman"/>
          <w:szCs w:val="24"/>
        </w:rPr>
        <w:t xml:space="preserve">alielinoties AER kopējam patēriņam, </w:t>
      </w:r>
      <w:r w:rsidR="006F61E6" w:rsidRPr="008B628A">
        <w:rPr>
          <w:rFonts w:ascii="Times New Roman" w:hAnsi="Times New Roman" w:cs="Times New Roman"/>
          <w:szCs w:val="24"/>
        </w:rPr>
        <w:t xml:space="preserve">ir </w:t>
      </w:r>
      <w:r w:rsidRPr="008B628A">
        <w:rPr>
          <w:rFonts w:ascii="Times New Roman" w:hAnsi="Times New Roman" w:cs="Times New Roman"/>
          <w:szCs w:val="24"/>
        </w:rPr>
        <w:t>samazinā</w:t>
      </w:r>
      <w:r w:rsidR="006F61E6" w:rsidRPr="008B628A">
        <w:rPr>
          <w:rFonts w:ascii="Times New Roman" w:hAnsi="Times New Roman" w:cs="Times New Roman"/>
          <w:szCs w:val="24"/>
        </w:rPr>
        <w:t>jusie</w:t>
      </w:r>
      <w:r w:rsidRPr="008B628A">
        <w:rPr>
          <w:rFonts w:ascii="Times New Roman" w:hAnsi="Times New Roman" w:cs="Times New Roman"/>
          <w:szCs w:val="24"/>
        </w:rPr>
        <w:t>s Latvijas enerģētiskā atkarīb</w:t>
      </w:r>
      <w:r w:rsidR="005347C2" w:rsidRPr="008B628A">
        <w:rPr>
          <w:rFonts w:ascii="Times New Roman" w:hAnsi="Times New Roman" w:cs="Times New Roman"/>
          <w:szCs w:val="24"/>
        </w:rPr>
        <w:t>a</w:t>
      </w:r>
      <w:r w:rsidR="005347C2" w:rsidRPr="008B628A">
        <w:rPr>
          <w:rStyle w:val="FootnoteReference"/>
          <w:rFonts w:ascii="Times New Roman" w:hAnsi="Times New Roman" w:cs="Times New Roman"/>
          <w:szCs w:val="24"/>
        </w:rPr>
        <w:footnoteReference w:id="59"/>
      </w:r>
      <w:r w:rsidRPr="008B628A">
        <w:rPr>
          <w:rFonts w:ascii="Times New Roman" w:hAnsi="Times New Roman" w:cs="Times New Roman"/>
          <w:szCs w:val="24"/>
        </w:rPr>
        <w:t xml:space="preserve"> no importētiem energoresursiem no 63,9 % 2005. gadā līdz 47,2 % 2016. gadā.</w:t>
      </w:r>
    </w:p>
    <w:p w14:paraId="683A060A" w14:textId="56520DE4" w:rsidR="0003780C" w:rsidRPr="008B628A" w:rsidRDefault="00F060A0" w:rsidP="00F060A0">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6FE6B9ED" wp14:editId="3F37A094">
            <wp:extent cx="4062517" cy="315626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3940" cy="3165142"/>
                    </a:xfrm>
                    <a:prstGeom prst="rect">
                      <a:avLst/>
                    </a:prstGeom>
                    <a:noFill/>
                  </pic:spPr>
                </pic:pic>
              </a:graphicData>
            </a:graphic>
          </wp:inline>
        </w:drawing>
      </w:r>
    </w:p>
    <w:p w14:paraId="150690C4" w14:textId="44317AFD" w:rsidR="0063104B" w:rsidRPr="008B628A" w:rsidRDefault="003E5526" w:rsidP="00F060A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 w:name="_Toc531333084"/>
      <w:r w:rsidR="006067D4">
        <w:rPr>
          <w:noProof/>
        </w:rPr>
        <w:t>2</w:t>
      </w:r>
      <w:r w:rsidRPr="008B628A">
        <w:rPr>
          <w:noProof/>
        </w:rPr>
        <w:fldChar w:fldCharType="end"/>
      </w:r>
      <w:r w:rsidR="002A59DA" w:rsidRPr="008B628A">
        <w:t xml:space="preserve">. attēls. </w:t>
      </w:r>
      <w:r w:rsidR="0063104B" w:rsidRPr="008B628A">
        <w:t>Latvijas un ES kopējā</w:t>
      </w:r>
      <w:r w:rsidR="00F060A0">
        <w:t>s primārās enerģijas patēriņs un enerģijas galapatēriņš</w:t>
      </w:r>
      <w:r w:rsidR="005E7380" w:rsidRPr="008B628A">
        <w:t xml:space="preserve"> </w:t>
      </w:r>
      <w:r w:rsidR="0063104B" w:rsidRPr="008B628A">
        <w:t>201</w:t>
      </w:r>
      <w:r w:rsidR="0003780C" w:rsidRPr="008B628A">
        <w:t>6</w:t>
      </w:r>
      <w:r w:rsidR="0063104B" w:rsidRPr="008B628A">
        <w:t>.gadā</w:t>
      </w:r>
      <w:r w:rsidR="0003780C" w:rsidRPr="008B628A">
        <w:t xml:space="preserve"> (%)</w:t>
      </w:r>
      <w:r w:rsidR="00875C71" w:rsidRPr="008B628A">
        <w:rPr>
          <w:rStyle w:val="FootnoteReference"/>
        </w:rPr>
        <w:footnoteReference w:id="60"/>
      </w:r>
      <w:bookmarkEnd w:id="32"/>
    </w:p>
    <w:p w14:paraId="37EC6E98" w14:textId="3715BCC0" w:rsidR="00A7477E" w:rsidRPr="008B628A" w:rsidRDefault="00A7477E" w:rsidP="00F060A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Ener</w:t>
      </w:r>
      <w:r w:rsidR="00A54AC9">
        <w:rPr>
          <w:rFonts w:ascii="Times New Roman" w:hAnsi="Times New Roman" w:cs="Times New Roman"/>
          <w:szCs w:val="24"/>
        </w:rPr>
        <w:t xml:space="preserve">ģijas </w:t>
      </w:r>
      <w:r w:rsidRPr="008B628A">
        <w:rPr>
          <w:rFonts w:ascii="Times New Roman" w:hAnsi="Times New Roman" w:cs="Times New Roman"/>
          <w:szCs w:val="24"/>
        </w:rPr>
        <w:t xml:space="preserve">galapatēriņš 2016. gadā palicis gandrīz nemainīgs, salīdzinot ar 2015. gadu – 163,6 PJ, kas ir par 0,1 % vairāk nekā 2015. gadā. </w:t>
      </w:r>
      <w:r w:rsidR="00EB3045">
        <w:rPr>
          <w:rFonts w:ascii="Times New Roman" w:hAnsi="Times New Roman" w:cs="Times New Roman"/>
          <w:szCs w:val="24"/>
        </w:rPr>
        <w:t xml:space="preserve">2006.-2016.g. periodā </w:t>
      </w:r>
      <w:r w:rsidRPr="008B628A">
        <w:rPr>
          <w:rFonts w:ascii="Times New Roman" w:hAnsi="Times New Roman" w:cs="Times New Roman"/>
          <w:szCs w:val="24"/>
        </w:rPr>
        <w:t>nav novērotas būtiskas izmaiņas ener</w:t>
      </w:r>
      <w:r w:rsidR="00A54AC9">
        <w:rPr>
          <w:rFonts w:ascii="Times New Roman" w:hAnsi="Times New Roman" w:cs="Times New Roman"/>
          <w:szCs w:val="24"/>
        </w:rPr>
        <w:t xml:space="preserve">ģijas </w:t>
      </w:r>
      <w:r w:rsidRPr="008B628A">
        <w:rPr>
          <w:rFonts w:ascii="Times New Roman" w:hAnsi="Times New Roman" w:cs="Times New Roman"/>
          <w:szCs w:val="24"/>
        </w:rPr>
        <w:t>galapatēriņā</w:t>
      </w:r>
      <w:r w:rsidR="006D2DDB">
        <w:rPr>
          <w:rFonts w:ascii="Times New Roman" w:hAnsi="Times New Roman" w:cs="Times New Roman"/>
          <w:szCs w:val="24"/>
        </w:rPr>
        <w:t>, bet 2016.-2017.gadā ener</w:t>
      </w:r>
      <w:r w:rsidR="00EB042B">
        <w:rPr>
          <w:rFonts w:ascii="Times New Roman" w:hAnsi="Times New Roman" w:cs="Times New Roman"/>
          <w:szCs w:val="24"/>
        </w:rPr>
        <w:t>ģijas</w:t>
      </w:r>
      <w:r w:rsidR="006D2DDB">
        <w:rPr>
          <w:rFonts w:ascii="Times New Roman" w:hAnsi="Times New Roman" w:cs="Times New Roman"/>
          <w:szCs w:val="24"/>
        </w:rPr>
        <w:t xml:space="preserve"> galapatēriņš palielinājās par </w:t>
      </w:r>
      <w:r w:rsidR="006D2DDB">
        <w:rPr>
          <w:rFonts w:ascii="Times New Roman" w:hAnsi="Times New Roman" w:cs="Times New Roman"/>
          <w:szCs w:val="24"/>
        </w:rPr>
        <w:lastRenderedPageBreak/>
        <w:t>apmēram 6%</w:t>
      </w:r>
      <w:r w:rsidRPr="008B628A">
        <w:rPr>
          <w:rFonts w:ascii="Times New Roman" w:hAnsi="Times New Roman" w:cs="Times New Roman"/>
          <w:szCs w:val="24"/>
        </w:rPr>
        <w:t>. Lielākais ener</w:t>
      </w:r>
      <w:r w:rsidR="00A54AC9">
        <w:rPr>
          <w:rFonts w:ascii="Times New Roman" w:hAnsi="Times New Roman" w:cs="Times New Roman"/>
          <w:szCs w:val="24"/>
        </w:rPr>
        <w:t xml:space="preserve">ģijas </w:t>
      </w:r>
      <w:r w:rsidRPr="008B628A">
        <w:rPr>
          <w:rFonts w:ascii="Times New Roman" w:hAnsi="Times New Roman" w:cs="Times New Roman"/>
          <w:szCs w:val="24"/>
        </w:rPr>
        <w:t>patērētājs 2016. un 2017. gadā ir transports, kas patērēja attiecīgi 30,4 % un 30 %, tad mājsaimniecības – 29 % un 29,2 % patēriņš, un rūpniecība – 20,8 % un 21 % patēriņš. Salīdzinot ar 2016. gadu, ener</w:t>
      </w:r>
      <w:r w:rsidR="00A54AC9">
        <w:rPr>
          <w:rFonts w:ascii="Times New Roman" w:hAnsi="Times New Roman" w:cs="Times New Roman"/>
          <w:szCs w:val="24"/>
        </w:rPr>
        <w:t xml:space="preserve">ģijas </w:t>
      </w:r>
      <w:r w:rsidRPr="008B628A">
        <w:rPr>
          <w:rFonts w:ascii="Times New Roman" w:hAnsi="Times New Roman" w:cs="Times New Roman"/>
          <w:szCs w:val="24"/>
        </w:rPr>
        <w:t>galapatēriņa pieaugums 2017. gadā ir vērojams visos sektoros, kur vislielākais pieaugums 2017. gadā salīdzinot ar 2016. gadu – +11,9 %, bija lauksaimniecībā un mežsaimniecībā.</w:t>
      </w:r>
    </w:p>
    <w:p w14:paraId="045B8A53" w14:textId="08125884" w:rsidR="0063104B" w:rsidRPr="008B628A" w:rsidRDefault="00F060A0" w:rsidP="00EB042B">
      <w:pPr>
        <w:spacing w:before="120" w:after="120" w:line="240" w:lineRule="auto"/>
        <w:jc w:val="center"/>
        <w:rPr>
          <w:rFonts w:ascii="Times New Roman" w:eastAsia="Times New Roman" w:hAnsi="Times New Roman" w:cs="Times New Roman"/>
          <w:color w:val="000000"/>
          <w:szCs w:val="24"/>
          <w:lang w:eastAsia="lv-LV"/>
        </w:rPr>
      </w:pPr>
      <w:r>
        <w:rPr>
          <w:rFonts w:ascii="Times New Roman" w:eastAsia="Times New Roman" w:hAnsi="Times New Roman" w:cs="Times New Roman"/>
          <w:noProof/>
          <w:color w:val="000000"/>
          <w:szCs w:val="24"/>
          <w:lang w:eastAsia="lv-LV"/>
        </w:rPr>
        <w:drawing>
          <wp:inline distT="0" distB="0" distL="0" distR="0" wp14:anchorId="05EB2D4B" wp14:editId="4E9BC76C">
            <wp:extent cx="4370133" cy="2828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456" cy="2856969"/>
                    </a:xfrm>
                    <a:prstGeom prst="rect">
                      <a:avLst/>
                    </a:prstGeom>
                    <a:noFill/>
                  </pic:spPr>
                </pic:pic>
              </a:graphicData>
            </a:graphic>
          </wp:inline>
        </w:drawing>
      </w:r>
    </w:p>
    <w:p w14:paraId="46D6421B" w14:textId="53342BEC" w:rsidR="000641F0" w:rsidRDefault="003E5526" w:rsidP="00EB042B">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3" w:name="_Toc531333085"/>
      <w:r w:rsidR="006067D4">
        <w:rPr>
          <w:noProof/>
        </w:rPr>
        <w:t>3</w:t>
      </w:r>
      <w:r w:rsidRPr="008B628A">
        <w:rPr>
          <w:noProof/>
        </w:rPr>
        <w:fldChar w:fldCharType="end"/>
      </w:r>
      <w:r w:rsidR="002A59DA" w:rsidRPr="008B628A">
        <w:t xml:space="preserve">. attēls. </w:t>
      </w:r>
      <w:r w:rsidR="000641F0" w:rsidRPr="008B628A">
        <w:t>Latvijas un ES ener</w:t>
      </w:r>
      <w:r w:rsidR="00EB042B">
        <w:t xml:space="preserve">ģijas </w:t>
      </w:r>
      <w:r w:rsidR="000641F0" w:rsidRPr="008B628A">
        <w:t>galapatēriņš nozarēs 2016.gadā (%)</w:t>
      </w:r>
      <w:r w:rsidR="00875C71" w:rsidRPr="008B628A">
        <w:rPr>
          <w:rStyle w:val="FootnoteReference"/>
        </w:rPr>
        <w:footnoteReference w:id="61"/>
      </w:r>
      <w:bookmarkEnd w:id="33"/>
    </w:p>
    <w:p w14:paraId="040A51E3" w14:textId="77777777" w:rsidR="00EB042B" w:rsidRPr="00EB042B" w:rsidRDefault="00EB042B" w:rsidP="00EB042B">
      <w:pPr>
        <w:spacing w:before="120" w:after="120" w:line="240" w:lineRule="auto"/>
      </w:pPr>
    </w:p>
    <w:p w14:paraId="7EAAA46B" w14:textId="489D28E3" w:rsidR="0063104B" w:rsidRPr="008B628A" w:rsidRDefault="0063104B" w:rsidP="005F59CE">
      <w:pPr>
        <w:pStyle w:val="Heading3"/>
      </w:pPr>
      <w:bookmarkStart w:id="34" w:name="_Toc520978798"/>
      <w:bookmarkStart w:id="35" w:name="_Toc527529421"/>
      <w:r w:rsidRPr="008B628A">
        <w:rPr>
          <w:rStyle w:val="normaltextrun"/>
        </w:rPr>
        <w:t>Pašreizējās enerģētikas un klimata </w:t>
      </w:r>
      <w:r w:rsidRPr="008B628A">
        <w:rPr>
          <w:rStyle w:val="spellingerror"/>
        </w:rPr>
        <w:t>rīcībpolitikas</w:t>
      </w:r>
      <w:r w:rsidRPr="008B628A">
        <w:rPr>
          <w:rStyle w:val="normaltextrun"/>
        </w:rPr>
        <w:t> un pasākumi, kas attiecas uz E</w:t>
      </w:r>
      <w:r w:rsidR="000641F0" w:rsidRPr="008B628A">
        <w:rPr>
          <w:rStyle w:val="normaltextrun"/>
        </w:rPr>
        <w:t>nS</w:t>
      </w:r>
      <w:r w:rsidRPr="008B628A">
        <w:rPr>
          <w:rStyle w:val="normaltextrun"/>
        </w:rPr>
        <w:t xml:space="preserve"> dimensijām</w:t>
      </w:r>
      <w:bookmarkEnd w:id="34"/>
      <w:bookmarkEnd w:id="35"/>
      <w:r w:rsidRPr="008B628A">
        <w:rPr>
          <w:rStyle w:val="eop"/>
        </w:rPr>
        <w:t> </w:t>
      </w:r>
    </w:p>
    <w:p w14:paraId="4AD0722B" w14:textId="1F7A026C" w:rsidR="00B915F3" w:rsidRPr="008B628A" w:rsidRDefault="00B915F3" w:rsidP="00863FD7">
      <w:pPr>
        <w:pStyle w:val="Heading4"/>
      </w:pPr>
      <w:bookmarkStart w:id="36" w:name="_Toc527529422"/>
      <w:r w:rsidRPr="008B628A">
        <w:t>ES rīcībpolitikas, kas attiecas uz Latvijas EnS dimensijām</w:t>
      </w:r>
      <w:bookmarkEnd w:id="36"/>
    </w:p>
    <w:p w14:paraId="4F16933B" w14:textId="77777777" w:rsidR="00A05903" w:rsidRPr="008B628A" w:rsidRDefault="00B4235B" w:rsidP="00A05903">
      <w:pPr>
        <w:spacing w:before="120" w:after="120" w:line="240" w:lineRule="auto"/>
        <w:jc w:val="both"/>
        <w:rPr>
          <w:rFonts w:ascii="Times New Roman" w:hAnsi="Times New Roman" w:cs="Times New Roman"/>
        </w:rPr>
      </w:pPr>
      <w:r w:rsidRPr="008B628A">
        <w:rPr>
          <w:rFonts w:ascii="Times New Roman" w:hAnsi="Times New Roman" w:cs="Times New Roman"/>
        </w:rPr>
        <w:t xml:space="preserve">Plāna kontekstu ES līmenī nosaka vairāki </w:t>
      </w:r>
      <w:r w:rsidR="00A05903" w:rsidRPr="008B628A">
        <w:rPr>
          <w:rFonts w:ascii="Times New Roman" w:hAnsi="Times New Roman" w:cs="Times New Roman"/>
        </w:rPr>
        <w:t xml:space="preserve">Eiropadomes secinājumi – KEP2020 un KEPS2030, kā arī vairāki EK paziņojumi: </w:t>
      </w:r>
    </w:p>
    <w:p w14:paraId="27C1238C" w14:textId="72493AE8"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color w:val="000000"/>
          <w:shd w:val="clear" w:color="auto" w:fill="FFFFFF"/>
        </w:rPr>
        <w:t>2006. gada 19. oktobra paziņojums “Energoefektivitātes rīcības plāns: potenciāla izmantošana”;</w:t>
      </w:r>
    </w:p>
    <w:p w14:paraId="16DB59D5" w14:textId="77777777"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2007. gada 10. janvāra paziņojums “Atjaunojamo energoresursu ceļa karte – Atjaunojamie energoresursi 21. gadsimtā: ilgtspējīgākas nākotnes veidošana”;</w:t>
      </w:r>
    </w:p>
    <w:p w14:paraId="6702C9CA" w14:textId="2C9322D7"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2008.gada 23.janvāra paziņojums “20 20 līdz 2020, Eiropas klimata pārmaiņu iespējas”</w:t>
      </w:r>
      <w:r w:rsidR="008C247D" w:rsidRPr="008B628A">
        <w:rPr>
          <w:rFonts w:ascii="Times New Roman" w:hAnsi="Times New Roman" w:cs="Times New Roman"/>
        </w:rPr>
        <w:t>;</w:t>
      </w:r>
    </w:p>
    <w:p w14:paraId="5BCACC2B" w14:textId="7777777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2011.gada 8. marta paziņojums “Ceļvedis virzībai uz konkurētspējīgu ekonomiku ar zemu oglekļa dioksīda emisiju līmeni 2050. g.”;</w:t>
      </w:r>
    </w:p>
    <w:p w14:paraId="23AC56D1" w14:textId="0D3A8B69"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2011. gada 28. marta paziņojums “Ceļvedis uz Eiropas vienoto transporta telpu — virzība uz konkurētspējīgu un resursefektīvu transporta sistēmu”;</w:t>
      </w:r>
    </w:p>
    <w:p w14:paraId="14C7E57A" w14:textId="50623112" w:rsidR="00542C10" w:rsidRPr="008B628A" w:rsidRDefault="00542C10"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2014. gada 22. janvāra paziņojums “Klimata un enerģētikas politikas satvars laikposmam no 2020. gada līdz 2030. gadam”;</w:t>
      </w:r>
    </w:p>
    <w:p w14:paraId="62015136" w14:textId="3BB08557" w:rsidR="00FD6161" w:rsidRPr="008B628A" w:rsidRDefault="00FD6161"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2015.gada 25.februāra paziņojums “Pamatstratēģija spēcīgai Enerģētikas savienībai ar tālredzīgu klimata pārmaiņu politiku”;</w:t>
      </w:r>
    </w:p>
    <w:p w14:paraId="432D3059" w14:textId="0C96EB2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bookmarkStart w:id="37" w:name="_Hlk523127143"/>
      <w:r w:rsidRPr="008B628A">
        <w:rPr>
          <w:rFonts w:ascii="Times New Roman" w:hAnsi="Times New Roman" w:cs="Times New Roman"/>
        </w:rPr>
        <w:t>2016. gada 30. novembra paziņojums “Tīru enerģiju ikvienam Eiropā”;</w:t>
      </w:r>
    </w:p>
    <w:bookmarkEnd w:id="37"/>
    <w:p w14:paraId="5C37391D" w14:textId="79EAE3AC"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lastRenderedPageBreak/>
        <w:t>2017. gada 31. maija paziņojums “Programma sociāli taisnīgai pārejai uz tīru, konkurētspējīgu un savienotu mobilitāti visiem”;</w:t>
      </w:r>
    </w:p>
    <w:p w14:paraId="625A521D" w14:textId="05C53765"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2017. gada 8. novembra paziņojums “Mazemisiju mobilitātes realizācija. Eiropas Savienība, kas sargā mūsu planētu, dod iespējas saviem patērētājiem un aizsargā savus ražotājus un darba ņēmējus”;</w:t>
      </w:r>
    </w:p>
    <w:p w14:paraId="1A02FD3C" w14:textId="54BFC6B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2018. gada 17. maija paziņojums “Ilgtspējīga mobilitāte Eiropai: droša, satīklota un tīra”</w:t>
      </w:r>
    </w:p>
    <w:p w14:paraId="6F484BB7" w14:textId="77777777" w:rsidR="0050180E" w:rsidRPr="008B628A" w:rsidRDefault="003864B1" w:rsidP="00F71A59">
      <w:pPr>
        <w:spacing w:before="120" w:after="120" w:line="240" w:lineRule="auto"/>
        <w:jc w:val="both"/>
        <w:rPr>
          <w:rFonts w:ascii="Times New Roman" w:hAnsi="Times New Roman" w:cs="Times New Roman"/>
        </w:rPr>
      </w:pPr>
      <w:r w:rsidRPr="008B628A">
        <w:rPr>
          <w:rFonts w:ascii="Times New Roman" w:hAnsi="Times New Roman" w:cs="Times New Roman"/>
        </w:rPr>
        <w:t>Tāpat Plāna izstrādes un tajā iekļauto politiku un pasākumu kontekstu nosak</w:t>
      </w:r>
      <w:r w:rsidR="00542C10" w:rsidRPr="008B628A">
        <w:rPr>
          <w:rFonts w:ascii="Times New Roman" w:hAnsi="Times New Roman" w:cs="Times New Roman"/>
        </w:rPr>
        <w:t xml:space="preserve">a liels daudzums </w:t>
      </w:r>
      <w:r w:rsidRPr="008B628A">
        <w:rPr>
          <w:rFonts w:ascii="Times New Roman" w:hAnsi="Times New Roman" w:cs="Times New Roman"/>
        </w:rPr>
        <w:t>ES tiesību akt</w:t>
      </w:r>
      <w:r w:rsidR="00542C10" w:rsidRPr="008B628A">
        <w:rPr>
          <w:rFonts w:ascii="Times New Roman" w:hAnsi="Times New Roman" w:cs="Times New Roman"/>
        </w:rPr>
        <w:t>u, no kuriem galvenie ir:</w:t>
      </w:r>
      <w:r w:rsidRPr="008B628A">
        <w:rPr>
          <w:rFonts w:ascii="Times New Roman" w:hAnsi="Times New Roman" w:cs="Times New Roman"/>
        </w:rPr>
        <w:t xml:space="preserve"> </w:t>
      </w:r>
    </w:p>
    <w:p w14:paraId="173E5B0E" w14:textId="51B240AE"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bookmarkStart w:id="38" w:name="_Hlk527378161"/>
      <w:r w:rsidRPr="008B628A">
        <w:rPr>
          <w:rFonts w:ascii="Times New Roman" w:eastAsia="Calibri" w:hAnsi="Times New Roman" w:cs="Times New Roman"/>
        </w:rPr>
        <w:t>EnS pārvaldības regulas priekšlikums;</w:t>
      </w:r>
    </w:p>
    <w:p w14:paraId="2AB2E4E9" w14:textId="6DA3DA8F"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2003. gada 13 .oktobra direktīva Nr. 2003/87/EK, ar kuru nosaka sistēmu siltumnīcas efektu izraisošo gāzu emisijas kvotu tirdzniecībai Kopienā un groza Padomes Direktīvu 96/61/EK (turpmāk – Direktīva 2003/87/EK);</w:t>
      </w:r>
    </w:p>
    <w:p w14:paraId="2EB612AA" w14:textId="177B3316"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C639F91" w14:textId="67C3CFEC"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E0C75E3" w14:textId="2DB1E448" w:rsidR="00883D54" w:rsidRPr="008B628A" w:rsidRDefault="00883D54"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0A6F3B18" w14:textId="2829FB8B" w:rsidR="00883D54" w:rsidRPr="008B628A" w:rsidRDefault="00883D54"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2009. gada 23. aprīļa direktīva Nr. 2009/28/EK par atjaunojamo energoresursu izmantošanas veicināšanu un ar ko groza un sekojoši atceļ Direktīvas 2001/77/EK un 2003/30/EK (turpmāk – Direktīva 2009/28/EK);</w:t>
      </w:r>
    </w:p>
    <w:p w14:paraId="54F6F268" w14:textId="6243BD05"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Priekšlikums Eiropas Parlamenta un Padomes direktīvai par atjaunojamo energoresursu enerģijas izmantošanas veicināšanu (pārstrādāta redakcija)</w:t>
      </w:r>
      <w:r w:rsidR="00FE6776">
        <w:rPr>
          <w:rStyle w:val="FootnoteReference"/>
          <w:rFonts w:ascii="Times New Roman" w:eastAsia="Calibri" w:hAnsi="Times New Roman" w:cs="Times New Roman"/>
          <w:szCs w:val="24"/>
        </w:rPr>
        <w:footnoteReference w:id="62"/>
      </w:r>
      <w:r w:rsidRPr="008B628A">
        <w:rPr>
          <w:rFonts w:ascii="Times New Roman" w:eastAsia="Calibri" w:hAnsi="Times New Roman" w:cs="Times New Roman"/>
          <w:szCs w:val="24"/>
        </w:rPr>
        <w:t xml:space="preserve"> (turpmāk – priekšlikums Direktīvas 2009/28/EK grozījumiem)</w:t>
      </w:r>
    </w:p>
    <w:p w14:paraId="4CA05EB4" w14:textId="7423CE4D"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2012. gada 25.oktobra direktīva Nr. 2012/27/ES par energoefektivitāti, ar ko groza Direktīvas 2009/125/EK un 2010/30/ES un atceļ Direktīvas 2004/8/EK un 2006/32/EK (turpmāk – Direktīva 2012/27/ES);</w:t>
      </w:r>
    </w:p>
    <w:p w14:paraId="1CAE63ED" w14:textId="0D34E18C"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Priekšlikums Eiropas Parlamenta un Padomes direktīvai, ar ko groza Direktīvu 2012/27/ES par energoefektivitāti</w:t>
      </w:r>
      <w:r w:rsidR="00FE6776">
        <w:rPr>
          <w:rStyle w:val="FootnoteReference"/>
          <w:rFonts w:ascii="Times New Roman" w:eastAsia="Calibri" w:hAnsi="Times New Roman" w:cs="Times New Roman"/>
          <w:szCs w:val="24"/>
        </w:rPr>
        <w:footnoteReference w:id="63"/>
      </w:r>
      <w:r w:rsidRPr="008B628A">
        <w:rPr>
          <w:rFonts w:ascii="Times New Roman" w:eastAsia="Calibri" w:hAnsi="Times New Roman" w:cs="Times New Roman"/>
          <w:szCs w:val="24"/>
        </w:rPr>
        <w:t xml:space="preserve"> (turpmāk – priekšlikums Direktīvas 2012/27/ES grozījumiem);</w:t>
      </w:r>
    </w:p>
    <w:p w14:paraId="0B402FA9" w14:textId="2B9755D0"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2010. gada 19. maija direktīva Nr. 2010/31/ES par ēku energoefektivitāti (pārstrādāta versija) (turpmāk – Direktīva 2010/31/ES)</w:t>
      </w:r>
      <w:r w:rsidR="00883D54" w:rsidRPr="008B628A">
        <w:rPr>
          <w:rFonts w:ascii="Times New Roman" w:eastAsia="Calibri" w:hAnsi="Times New Roman" w:cs="Times New Roman"/>
          <w:szCs w:val="24"/>
        </w:rPr>
        <w:t>;</w:t>
      </w:r>
    </w:p>
    <w:p w14:paraId="0B468F80" w14:textId="3B96B3BC" w:rsidR="00B915F3" w:rsidRPr="008B628A" w:rsidRDefault="00B915F3" w:rsidP="00863FD7">
      <w:pPr>
        <w:pStyle w:val="Heading4"/>
      </w:pPr>
      <w:bookmarkStart w:id="39" w:name="_Toc527529423"/>
      <w:bookmarkEnd w:id="38"/>
      <w:r w:rsidRPr="008B628A">
        <w:lastRenderedPageBreak/>
        <w:t>Latvijas rīcībpolitikas, kas attiecas uz EnS dimensijām</w:t>
      </w:r>
      <w:bookmarkEnd w:id="39"/>
    </w:p>
    <w:p w14:paraId="2253E6D6" w14:textId="575FFF4B" w:rsidR="00573EBD" w:rsidRPr="008B628A" w:rsidRDefault="0063104B"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Latvijā pašlaik </w:t>
      </w:r>
      <w:r w:rsidR="00C519E0" w:rsidRPr="008B628A">
        <w:rPr>
          <w:rFonts w:ascii="Times New Roman" w:hAnsi="Times New Roman" w:cs="Times New Roman"/>
          <w:szCs w:val="24"/>
        </w:rPr>
        <w:t xml:space="preserve">ir spēkā </w:t>
      </w:r>
      <w:r w:rsidRPr="008B628A">
        <w:rPr>
          <w:rFonts w:ascii="Times New Roman" w:hAnsi="Times New Roman" w:cs="Times New Roman"/>
          <w:szCs w:val="24"/>
        </w:rPr>
        <w:t>vairāki politikas plānošanas dokumenti</w:t>
      </w:r>
      <w:r w:rsidR="00C519E0" w:rsidRPr="008B628A">
        <w:rPr>
          <w:rFonts w:ascii="Times New Roman" w:hAnsi="Times New Roman" w:cs="Times New Roman"/>
          <w:szCs w:val="24"/>
        </w:rPr>
        <w:t xml:space="preserve"> (tai skaitā </w:t>
      </w:r>
      <w:r w:rsidR="00D93019" w:rsidRPr="008B628A">
        <w:rPr>
          <w:rFonts w:ascii="Times New Roman" w:hAnsi="Times New Roman" w:cs="Times New Roman"/>
          <w:szCs w:val="24"/>
        </w:rPr>
        <w:t>i</w:t>
      </w:r>
      <w:r w:rsidR="00C519E0" w:rsidRPr="008B628A">
        <w:rPr>
          <w:rFonts w:ascii="Times New Roman" w:hAnsi="Times New Roman" w:cs="Times New Roman"/>
          <w:szCs w:val="24"/>
        </w:rPr>
        <w:t>nformatīvie ziņojumi)</w:t>
      </w:r>
      <w:r w:rsidRPr="008B628A">
        <w:rPr>
          <w:rFonts w:ascii="Times New Roman" w:hAnsi="Times New Roman" w:cs="Times New Roman"/>
          <w:szCs w:val="24"/>
        </w:rPr>
        <w:t>, kas skar enerģētikas sektora attīstību un klimata pārmaiņu mazināšanas jautājumus, kuros ir noteikti enerģētikas sektora un klimata pārmaiņu mazināšanas mērķi un arī noteikta rīcī</w:t>
      </w:r>
      <w:r w:rsidR="00C519E0" w:rsidRPr="008B628A">
        <w:rPr>
          <w:rFonts w:ascii="Times New Roman" w:hAnsi="Times New Roman" w:cs="Times New Roman"/>
          <w:szCs w:val="24"/>
        </w:rPr>
        <w:t>bpolitika šo mērķu sasni</w:t>
      </w:r>
      <w:r w:rsidR="00573EBD" w:rsidRPr="008B628A">
        <w:rPr>
          <w:rFonts w:ascii="Times New Roman" w:hAnsi="Times New Roman" w:cs="Times New Roman"/>
          <w:szCs w:val="24"/>
        </w:rPr>
        <w:t>egšanai</w:t>
      </w:r>
      <w:r w:rsidR="00E825E8" w:rsidRPr="008B628A">
        <w:rPr>
          <w:rFonts w:ascii="Times New Roman" w:hAnsi="Times New Roman" w:cs="Times New Roman"/>
          <w:szCs w:val="24"/>
        </w:rPr>
        <w:t>.</w:t>
      </w:r>
    </w:p>
    <w:p w14:paraId="64876685" w14:textId="54C3E1D2" w:rsidR="00E825E8"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1) </w:t>
      </w:r>
      <w:r w:rsidR="00E825E8" w:rsidRPr="008B628A">
        <w:rPr>
          <w:rFonts w:ascii="Times New Roman" w:hAnsi="Times New Roman" w:cs="Times New Roman"/>
          <w:szCs w:val="24"/>
        </w:rPr>
        <w:t>LIAS2030 ir noteikti šādi Plāna konteksta mērķi:</w:t>
      </w:r>
    </w:p>
    <w:p w14:paraId="4361F88F" w14:textId="002F0104" w:rsidR="00E825E8" w:rsidRPr="008B628A" w:rsidRDefault="00E825E8" w:rsidP="00283C85">
      <w:pPr>
        <w:pStyle w:val="ListParagraph"/>
        <w:numPr>
          <w:ilvl w:val="0"/>
          <w:numId w:val="27"/>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Nodrošināt valsts enerģētisko neatkarību, palielinot energoresursu pašnodrošinājumu un in</w:t>
      </w:r>
      <w:r w:rsidR="004E451F" w:rsidRPr="008B628A">
        <w:rPr>
          <w:rFonts w:ascii="Times New Roman" w:hAnsi="Times New Roman" w:cs="Times New Roman"/>
          <w:szCs w:val="24"/>
        </w:rPr>
        <w:t>tegrējoties ES enerģijas tīklos;</w:t>
      </w:r>
    </w:p>
    <w:p w14:paraId="1BFDA322" w14:textId="19BA6B55" w:rsidR="00E825E8" w:rsidRPr="008B628A" w:rsidRDefault="00E825E8" w:rsidP="00283C85">
      <w:pPr>
        <w:pStyle w:val="ListParagraph"/>
        <w:numPr>
          <w:ilvl w:val="0"/>
          <w:numId w:val="27"/>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Būt ES līderei dabas kapitāla saglabāšanā, palielināšanā un ilgtspējīgā izmantošanā</w:t>
      </w:r>
      <w:r w:rsidR="004E451F" w:rsidRPr="008B628A">
        <w:rPr>
          <w:rFonts w:ascii="Times New Roman" w:hAnsi="Times New Roman" w:cs="Times New Roman"/>
          <w:szCs w:val="24"/>
        </w:rPr>
        <w:t>;</w:t>
      </w:r>
    </w:p>
    <w:p w14:paraId="0363854E" w14:textId="6C67FFC1" w:rsidR="00E825E8" w:rsidRPr="008B628A" w:rsidRDefault="00E825E8" w:rsidP="00283C85">
      <w:pPr>
        <w:pStyle w:val="ListParagraph"/>
        <w:numPr>
          <w:ilvl w:val="0"/>
          <w:numId w:val="27"/>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Saglabāt Latvijas savdabību – daudzveidīgo dabas un kultūras mantojumu, tipiskās un unikālās ainavas.</w:t>
      </w:r>
    </w:p>
    <w:p w14:paraId="78F83ACD" w14:textId="1FCFEDA7" w:rsidR="00E825E8"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LIAS2030 ir </w:t>
      </w:r>
      <w:r w:rsidR="00947EE1" w:rsidRPr="008B628A">
        <w:rPr>
          <w:rFonts w:ascii="Times New Roman" w:hAnsi="Times New Roman" w:cs="Times New Roman"/>
          <w:szCs w:val="24"/>
        </w:rPr>
        <w:t>n</w:t>
      </w:r>
      <w:r w:rsidR="00E825E8" w:rsidRPr="008B628A">
        <w:rPr>
          <w:rFonts w:ascii="Times New Roman" w:hAnsi="Times New Roman" w:cs="Times New Roman"/>
          <w:szCs w:val="24"/>
        </w:rPr>
        <w:t>o</w:t>
      </w:r>
      <w:r w:rsidR="00573EBD" w:rsidRPr="008B628A">
        <w:rPr>
          <w:rFonts w:ascii="Times New Roman" w:hAnsi="Times New Roman" w:cs="Times New Roman"/>
          <w:szCs w:val="24"/>
        </w:rPr>
        <w:t xml:space="preserve">teikti </w:t>
      </w:r>
      <w:r w:rsidR="00E825E8" w:rsidRPr="008B628A">
        <w:rPr>
          <w:rFonts w:ascii="Times New Roman" w:hAnsi="Times New Roman" w:cs="Times New Roman"/>
          <w:szCs w:val="24"/>
        </w:rPr>
        <w:t xml:space="preserve">skaitliski </w:t>
      </w:r>
      <w:r w:rsidR="00573EBD" w:rsidRPr="008B628A">
        <w:rPr>
          <w:rFonts w:ascii="Times New Roman" w:hAnsi="Times New Roman" w:cs="Times New Roman"/>
          <w:szCs w:val="24"/>
        </w:rPr>
        <w:t>SEG emisiju samazināšanas, AER īpatsvara un energointenstitātes mērķi, kā arī inovāciju mērķi</w:t>
      </w:r>
      <w:r w:rsidR="00DC7E13" w:rsidRPr="008B628A">
        <w:rPr>
          <w:rFonts w:ascii="Times New Roman" w:hAnsi="Times New Roman" w:cs="Times New Roman"/>
          <w:szCs w:val="24"/>
        </w:rPr>
        <w:t xml:space="preserve"> 2030.gadam</w:t>
      </w:r>
      <w:r w:rsidR="00E825E8" w:rsidRPr="008B628A">
        <w:rPr>
          <w:rFonts w:ascii="Times New Roman" w:hAnsi="Times New Roman" w:cs="Times New Roman"/>
          <w:szCs w:val="24"/>
        </w:rPr>
        <w:t>.</w:t>
      </w:r>
    </w:p>
    <w:p w14:paraId="2F795307" w14:textId="45993D13" w:rsidR="008D2284"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 LNAP2020 ir noteikti šādi Plāna konteksta mērķi:</w:t>
      </w:r>
    </w:p>
    <w:p w14:paraId="4E8C8174" w14:textId="04C517E1" w:rsidR="008D2284" w:rsidRPr="008B628A" w:rsidRDefault="008D2284" w:rsidP="00283C85">
      <w:pPr>
        <w:pStyle w:val="Default"/>
        <w:numPr>
          <w:ilvl w:val="0"/>
          <w:numId w:val="28"/>
        </w:numPr>
        <w:spacing w:before="120" w:after="120"/>
        <w:ind w:left="397" w:hanging="397"/>
        <w:jc w:val="both"/>
        <w:rPr>
          <w:iCs/>
        </w:rPr>
      </w:pPr>
      <w:r w:rsidRPr="008B628A">
        <w:rPr>
          <w:iCs/>
        </w:rPr>
        <w:t xml:space="preserve">Nodrošināt tautas saimniecībai nepieciešamo energoresursu ilgtspējīgu izmantošanu, veicinot resursu tirgu pieejamību, sektoru energointensitātes un emisiju intensitātes samazināšanos un vietējo </w:t>
      </w:r>
      <w:r w:rsidR="004C7936" w:rsidRPr="008B628A">
        <w:rPr>
          <w:iCs/>
        </w:rPr>
        <w:t xml:space="preserve">AER </w:t>
      </w:r>
      <w:r w:rsidRPr="008B628A">
        <w:rPr>
          <w:iCs/>
        </w:rPr>
        <w:t>īpatsvara palielināšanos kopējā patērētajā apjomā, fokusējoties uz konkurētspējīgām enerģijas cenām</w:t>
      </w:r>
      <w:r w:rsidR="00DC7E13" w:rsidRPr="008B628A">
        <w:rPr>
          <w:iCs/>
        </w:rPr>
        <w:t>.</w:t>
      </w:r>
    </w:p>
    <w:p w14:paraId="134276B8" w14:textId="01ADC442" w:rsidR="008D2284" w:rsidRPr="008B628A" w:rsidRDefault="008D2284" w:rsidP="00283C85">
      <w:pPr>
        <w:pStyle w:val="Default"/>
        <w:numPr>
          <w:ilvl w:val="0"/>
          <w:numId w:val="28"/>
        </w:numPr>
        <w:spacing w:before="120" w:after="120"/>
        <w:ind w:left="397" w:hanging="397"/>
        <w:jc w:val="both"/>
        <w:rPr>
          <w:iCs/>
        </w:rPr>
      </w:pPr>
      <w:r w:rsidRPr="008B628A">
        <w:rPr>
          <w:iCs/>
        </w:rPr>
        <w:t>Saglabāt dabas kapitālu kā bāzi ilgtspējīgai ekonomiskajai izaugsmei un sekmēt tā ilgtspējīgu izmantošanu, mazinot dabas un cilvēka darbības radītos riskus vides kvalitātei</w:t>
      </w:r>
      <w:r w:rsidR="00DC7E13" w:rsidRPr="008B628A">
        <w:rPr>
          <w:iCs/>
        </w:rPr>
        <w:t>.</w:t>
      </w:r>
    </w:p>
    <w:p w14:paraId="25B008A0" w14:textId="0E2D937A" w:rsidR="00C82AF4" w:rsidRPr="008B628A" w:rsidRDefault="00C82AF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LNAP2020 ir noteikti skaitliski tautsaimniecības SEG emisiju intensitātes, AER īpatsvara un enerģijas patēriņa un energoneatkarības mērķi, kā arī lauksaimniecības, mežsaimniecības un atkritumu apsaimniekošanas mērķi</w:t>
      </w:r>
      <w:r w:rsidR="00DC7E13" w:rsidRPr="008B628A">
        <w:rPr>
          <w:rFonts w:ascii="Times New Roman" w:hAnsi="Times New Roman" w:cs="Times New Roman"/>
          <w:szCs w:val="24"/>
        </w:rPr>
        <w:t xml:space="preserve"> 2020.gadam</w:t>
      </w:r>
      <w:r w:rsidRPr="008B628A">
        <w:rPr>
          <w:rFonts w:ascii="Times New Roman" w:hAnsi="Times New Roman" w:cs="Times New Roman"/>
          <w:szCs w:val="24"/>
        </w:rPr>
        <w:t>.</w:t>
      </w:r>
    </w:p>
    <w:p w14:paraId="6320D1AE" w14:textId="6198C9B5" w:rsidR="008D2284"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3) </w:t>
      </w:r>
      <w:r w:rsidR="00947EE1" w:rsidRPr="008B628A">
        <w:rPr>
          <w:rFonts w:ascii="Times New Roman" w:hAnsi="Times New Roman" w:cs="Times New Roman"/>
          <w:szCs w:val="24"/>
        </w:rPr>
        <w:t>LEIS2030 ir noteikts šāds Plāna konteksta mērķis:</w:t>
      </w:r>
    </w:p>
    <w:p w14:paraId="1FE4E561" w14:textId="0579AD68" w:rsidR="00947EE1" w:rsidRPr="008B628A" w:rsidRDefault="00947EE1" w:rsidP="00283C85">
      <w:pPr>
        <w:pStyle w:val="Default"/>
        <w:numPr>
          <w:ilvl w:val="0"/>
          <w:numId w:val="28"/>
        </w:numPr>
        <w:spacing w:before="120" w:after="120"/>
        <w:ind w:left="397" w:hanging="397"/>
        <w:jc w:val="both"/>
        <w:rPr>
          <w:iCs/>
        </w:rPr>
      </w:pPr>
      <w:r w:rsidRPr="008B628A">
        <w:rPr>
          <w:iCs/>
        </w:rPr>
        <w:t>Konkurētspējīga ekonomika ar ilgtspējīgu enerģētiku un energo</w:t>
      </w:r>
      <w:r w:rsidR="00DC7E13" w:rsidRPr="008B628A">
        <w:rPr>
          <w:iCs/>
        </w:rPr>
        <w:t>apgādes drošības paaugstināšanu.</w:t>
      </w:r>
    </w:p>
    <w:p w14:paraId="382FE159" w14:textId="4ABE3702" w:rsidR="00947EE1"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w:t>
      </w:r>
      <w:r w:rsidR="00F71A59" w:rsidRPr="008B628A">
        <w:rPr>
          <w:rFonts w:ascii="Times New Roman" w:hAnsi="Times New Roman" w:cs="Times New Roman"/>
          <w:szCs w:val="24"/>
        </w:rPr>
        <w:t>EIS2030</w:t>
      </w:r>
      <w:r w:rsidRPr="008B628A">
        <w:rPr>
          <w:rFonts w:ascii="Times New Roman" w:hAnsi="Times New Roman" w:cs="Times New Roman"/>
          <w:szCs w:val="24"/>
        </w:rPr>
        <w:t xml:space="preserve"> ir noteikti skaitliski AER izmantošanas, enerģijas un energoresursu izmantošanas un importa īpatsvara </w:t>
      </w:r>
      <w:r w:rsidR="00815510">
        <w:rPr>
          <w:rFonts w:ascii="Times New Roman" w:hAnsi="Times New Roman" w:cs="Times New Roman"/>
          <w:szCs w:val="24"/>
        </w:rPr>
        <w:t xml:space="preserve">neobligāti </w:t>
      </w:r>
      <w:r w:rsidRPr="008B628A">
        <w:rPr>
          <w:rFonts w:ascii="Times New Roman" w:hAnsi="Times New Roman" w:cs="Times New Roman"/>
          <w:szCs w:val="24"/>
        </w:rPr>
        <w:t>un nesaistoši mērķi 2030.gadam.</w:t>
      </w:r>
    </w:p>
    <w:p w14:paraId="72E13335" w14:textId="0BCEE65F"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4) EAP2020 ir noteikts šāds Plāna konteksta mērķis:</w:t>
      </w:r>
    </w:p>
    <w:p w14:paraId="0F939430" w14:textId="03C56CB6" w:rsidR="00DC7E13" w:rsidRPr="008B628A" w:rsidRDefault="00DC7E13" w:rsidP="00283C85">
      <w:pPr>
        <w:pStyle w:val="Default"/>
        <w:numPr>
          <w:ilvl w:val="0"/>
          <w:numId w:val="28"/>
        </w:numPr>
        <w:spacing w:before="120" w:after="120"/>
        <w:ind w:left="397" w:hanging="397"/>
        <w:jc w:val="both"/>
        <w:rPr>
          <w:iCs/>
        </w:rPr>
      </w:pPr>
      <w:r w:rsidRPr="008B628A">
        <w:rPr>
          <w:iCs/>
        </w:rPr>
        <w:t>Paaugstināt tautsaimniecības konkurētspēju, sekmējot piegāžu drošumu, brīvā tirgus un konkurences noteiktu energoresursu un enerģijas cenu veidošanos, ilgtspējīgu enerģijas ražošanu un patēriņu.</w:t>
      </w:r>
    </w:p>
    <w:p w14:paraId="58546A2B" w14:textId="4955FACA"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EAP2030 ir noteikti skaitliski AER izmantošanas, energoefektivitātes pieauguma, enerģijas patēriņa un ietaupījuma mērķi 2020. gadam, kā arī starpsavienojumu un energoneatkarības mērķi 2030. gadam.</w:t>
      </w:r>
    </w:p>
    <w:p w14:paraId="57596506" w14:textId="16F42E6F"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5) VPP2020</w:t>
      </w:r>
      <w:r w:rsidR="00C43A73" w:rsidRPr="008B628A">
        <w:rPr>
          <w:rStyle w:val="FootnoteReference"/>
          <w:rFonts w:ascii="Times New Roman" w:hAnsi="Times New Roman" w:cs="Times New Roman"/>
        </w:rPr>
        <w:footnoteReference w:id="64"/>
      </w:r>
      <w:r w:rsidRPr="008B628A">
        <w:rPr>
          <w:rFonts w:ascii="Times New Roman" w:hAnsi="Times New Roman" w:cs="Times New Roman"/>
          <w:szCs w:val="24"/>
        </w:rPr>
        <w:t xml:space="preserve"> ir noteikti šādi Plāna konteksta mērķi:</w:t>
      </w:r>
    </w:p>
    <w:p w14:paraId="1159E68F" w14:textId="77777777" w:rsidR="00DC7E13" w:rsidRPr="008B628A" w:rsidRDefault="00DC7E13" w:rsidP="00283C85">
      <w:pPr>
        <w:pStyle w:val="ListParagraph"/>
        <w:numPr>
          <w:ilvl w:val="0"/>
          <w:numId w:val="28"/>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nodrošināt Latvijas ieguldījumu globālo klimata pārmaiņu samazināšanā, ņemot vērā Latvijas vides, sociālās un ekonomiskās intereses</w:t>
      </w:r>
    </w:p>
    <w:p w14:paraId="3458798C" w14:textId="40EEB92A" w:rsidR="00DC7E13" w:rsidRPr="008B628A" w:rsidRDefault="00DC7E13" w:rsidP="00283C85">
      <w:pPr>
        <w:pStyle w:val="ListParagraph"/>
        <w:numPr>
          <w:ilvl w:val="0"/>
          <w:numId w:val="28"/>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veicināt Latvijas gatavību pielāgoties klimata pārmaiņām un to izraisītajai ietekmei.</w:t>
      </w:r>
    </w:p>
    <w:p w14:paraId="68EEC2C1" w14:textId="20A5AF09" w:rsidR="00DC7E13" w:rsidRPr="008B628A" w:rsidRDefault="00DC7E13" w:rsidP="00DC7E13">
      <w:pPr>
        <w:autoSpaceDE w:val="0"/>
        <w:autoSpaceDN w:val="0"/>
        <w:adjustRightInd w:val="0"/>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VPP2020 ir noteikti skaitliski SEG emisiju samazināšanas mērķi 2020.gadam.</w:t>
      </w:r>
    </w:p>
    <w:p w14:paraId="521A53DE" w14:textId="77777777" w:rsidR="00573EBD" w:rsidRPr="008B628A" w:rsidRDefault="00C519E0" w:rsidP="00DC7E13">
      <w:pPr>
        <w:autoSpaceDE w:val="0"/>
        <w:autoSpaceDN w:val="0"/>
        <w:adjustRightInd w:val="0"/>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lastRenderedPageBreak/>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r w:rsidR="00573EBD" w:rsidRPr="008B628A">
        <w:rPr>
          <w:rFonts w:ascii="Times New Roman" w:hAnsi="Times New Roman" w:cs="Times New Roman"/>
          <w:color w:val="000000" w:themeColor="text1"/>
          <w:szCs w:val="24"/>
        </w:rPr>
        <w:t>.</w:t>
      </w:r>
      <w:bookmarkStart w:id="40" w:name="_Toc520978799"/>
    </w:p>
    <w:p w14:paraId="62C77FF1" w14:textId="4A76FED0" w:rsidR="0063104B" w:rsidRPr="008B628A" w:rsidRDefault="0063104B" w:rsidP="005F59CE">
      <w:pPr>
        <w:pStyle w:val="Heading3"/>
        <w:rPr>
          <w:rStyle w:val="eop"/>
          <w:color w:val="000000" w:themeColor="text1"/>
        </w:rPr>
      </w:pPr>
      <w:bookmarkStart w:id="41" w:name="_Toc527529424"/>
      <w:r w:rsidRPr="008B628A">
        <w:rPr>
          <w:rStyle w:val="normaltextrun"/>
          <w:color w:val="000000" w:themeColor="text1"/>
        </w:rPr>
        <w:t>Pārrobežu kontekstā svarīgie jautājumi</w:t>
      </w:r>
      <w:bookmarkEnd w:id="40"/>
      <w:bookmarkEnd w:id="41"/>
      <w:r w:rsidRPr="008B628A">
        <w:rPr>
          <w:rStyle w:val="eop"/>
          <w:color w:val="000000" w:themeColor="text1"/>
        </w:rPr>
        <w:t> </w:t>
      </w:r>
    </w:p>
    <w:p w14:paraId="1CC32FBF" w14:textId="7E51163F" w:rsidR="00D12693" w:rsidRPr="008B628A" w:rsidRDefault="00D12693"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Plāna kontekstā svarīgākie īstenotie pasākumi attiecas uz Baltijas enerģijas tirgus starpsavienojumiem un enerģētiskās drošības jautājumiem.</w:t>
      </w:r>
    </w:p>
    <w:p w14:paraId="5AE3A9C1" w14:textId="68303737" w:rsidR="0063104B" w:rsidRPr="008B628A" w:rsidRDefault="0063104B"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42" w:name="_Hlk520283543"/>
      <w:r w:rsidRPr="008B628A">
        <w:rPr>
          <w:rFonts w:ascii="Times New Roman" w:hAnsi="Times New Roman" w:cs="Times New Roman"/>
          <w:color w:val="000000" w:themeColor="text1"/>
          <w:szCs w:val="24"/>
        </w:rPr>
        <w:t>(gan fosilo energoresursu, gan biomasas un biodegvielas)</w:t>
      </w:r>
      <w:bookmarkEnd w:id="42"/>
      <w:r w:rsidRPr="008B628A">
        <w:rPr>
          <w:rFonts w:ascii="Times New Roman" w:hAnsi="Times New Roman" w:cs="Times New Roman"/>
          <w:color w:val="000000" w:themeColor="text1"/>
          <w:szCs w:val="24"/>
        </w:rPr>
        <w:t xml:space="preserve"> plūsmu starp Baltijas valstīm.</w:t>
      </w:r>
    </w:p>
    <w:p w14:paraId="6AF43E95" w14:textId="77777777" w:rsidR="0063104B" w:rsidRPr="008B628A" w:rsidRDefault="0063104B"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5943F959" w14:textId="6FAF06BC" w:rsidR="0063104B" w:rsidRPr="008B628A" w:rsidRDefault="0063104B" w:rsidP="005F59CE">
      <w:pPr>
        <w:pStyle w:val="Heading3"/>
        <w:rPr>
          <w:rStyle w:val="normaltextrun"/>
        </w:rPr>
      </w:pPr>
      <w:bookmarkStart w:id="43" w:name="_Toc520978800"/>
      <w:bookmarkStart w:id="44" w:name="_Toc527529425"/>
      <w:r w:rsidRPr="008B628A">
        <w:rPr>
          <w:rStyle w:val="normaltextrun"/>
        </w:rPr>
        <w:t>Nacionālo enerģētikas un klimata rīcībpolitiku īstenošanas administratīvā struktūra</w:t>
      </w:r>
      <w:bookmarkEnd w:id="43"/>
      <w:bookmarkEnd w:id="44"/>
      <w:r w:rsidRPr="008B628A">
        <w:rPr>
          <w:rStyle w:val="normaltextrun"/>
        </w:rPr>
        <w:t> </w:t>
      </w:r>
    </w:p>
    <w:p w14:paraId="1FC1B6C8" w14:textId="77777777" w:rsidR="008A3D8E" w:rsidRPr="008B628A" w:rsidRDefault="008A3D8E" w:rsidP="008A3D8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Nozaru ministriju kompetences tiek atrunātas ministriju nolikumos</w:t>
      </w:r>
      <w:r w:rsidR="00B8598C" w:rsidRPr="008B628A">
        <w:rPr>
          <w:rStyle w:val="FootnoteReference"/>
          <w:rFonts w:ascii="Times New Roman" w:hAnsi="Times New Roman" w:cs="Times New Roman"/>
          <w:szCs w:val="24"/>
        </w:rPr>
        <w:footnoteReference w:id="65"/>
      </w:r>
      <w:r w:rsidRPr="008B628A">
        <w:rPr>
          <w:rFonts w:ascii="Times New Roman" w:hAnsi="Times New Roman" w:cs="Times New Roman"/>
          <w:szCs w:val="24"/>
        </w:rPr>
        <w:t>, kas tiek apstiprināti Ministru kabinetā (kā Ministru kabineta noteikumi).</w:t>
      </w:r>
    </w:p>
    <w:p w14:paraId="658DDC43" w14:textId="334CA5FC" w:rsidR="0063104B" w:rsidRPr="008B628A" w:rsidRDefault="005464B2" w:rsidP="008A3D8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AER</w:t>
      </w:r>
      <w:r w:rsidR="00B8598C" w:rsidRPr="008B628A">
        <w:rPr>
          <w:rFonts w:ascii="Times New Roman" w:hAnsi="Times New Roman" w:cs="Times New Roman"/>
          <w:szCs w:val="24"/>
        </w:rPr>
        <w:t xml:space="preserve"> izmantošanas, energoefektivitātes veicināšanas kā arī enerģētiskās drošības un iekšējā enerģijas tirgus politikas izstrāde kopumā ir EM kompetence. </w:t>
      </w:r>
      <w:r w:rsidR="00D93019" w:rsidRPr="008B628A">
        <w:rPr>
          <w:rFonts w:ascii="Times New Roman" w:hAnsi="Times New Roman" w:cs="Times New Roman"/>
          <w:szCs w:val="24"/>
        </w:rPr>
        <w:t>SEG emisiju samazināšanas t.sk. CO</w:t>
      </w:r>
      <w:r w:rsidR="00D93019" w:rsidRPr="008B628A">
        <w:rPr>
          <w:rFonts w:ascii="Times New Roman" w:hAnsi="Times New Roman" w:cs="Times New Roman"/>
          <w:szCs w:val="24"/>
          <w:vertAlign w:val="subscript"/>
        </w:rPr>
        <w:t>2</w:t>
      </w:r>
      <w:r w:rsidR="00D93019" w:rsidRPr="008B628A">
        <w:rPr>
          <w:rFonts w:ascii="Times New Roman" w:hAnsi="Times New Roman" w:cs="Times New Roman"/>
          <w:szCs w:val="24"/>
        </w:rPr>
        <w:t>, apjoma nodrošināšanai politiku izstrādā VARAM. Savukārt izglītības un zinātnes jomā kompetentā iestāde Latvijā ir IZM, bet inovāciju un konkurētspējas jautājumi ir EM un VARAM kompetencē.</w:t>
      </w:r>
    </w:p>
    <w:p w14:paraId="68068F55" w14:textId="77777777" w:rsidR="00581156" w:rsidRPr="008B628A" w:rsidRDefault="00581156" w:rsidP="002729AC">
      <w:pPr>
        <w:spacing w:before="120" w:after="120" w:line="240" w:lineRule="auto"/>
        <w:rPr>
          <w:rFonts w:ascii="Times New Roman" w:hAnsi="Times New Roman" w:cs="Times New Roman"/>
        </w:rPr>
      </w:pPr>
    </w:p>
    <w:p w14:paraId="5EB599E7" w14:textId="39927A5C" w:rsidR="00581156" w:rsidRPr="008B628A" w:rsidRDefault="00581156" w:rsidP="006F546A">
      <w:pPr>
        <w:pStyle w:val="Heading2"/>
      </w:pPr>
      <w:bookmarkStart w:id="45" w:name="_Toc520978801"/>
      <w:bookmarkStart w:id="46" w:name="_Toc527529426"/>
      <w:bookmarkStart w:id="47" w:name="_Toc532909997"/>
      <w:bookmarkStart w:id="48" w:name="_Hlk531554403"/>
      <w:r w:rsidRPr="008B628A">
        <w:t>Apspriede ar valsts un ES struktūrām, to iesaiste un attiecīgie rezultāti</w:t>
      </w:r>
      <w:bookmarkEnd w:id="45"/>
      <w:bookmarkEnd w:id="46"/>
      <w:bookmarkEnd w:id="47"/>
      <w:r w:rsidRPr="008B628A">
        <w:t xml:space="preserve"> </w:t>
      </w:r>
    </w:p>
    <w:p w14:paraId="1CBBDEBA" w14:textId="6F21E220" w:rsidR="00581156" w:rsidRPr="008B628A" w:rsidRDefault="002729AC" w:rsidP="005F59CE">
      <w:pPr>
        <w:pStyle w:val="Heading3"/>
      </w:pPr>
      <w:bookmarkStart w:id="49" w:name="_Toc520978802"/>
      <w:bookmarkStart w:id="50" w:name="_Toc527529427"/>
      <w:r w:rsidRPr="008B628A">
        <w:t xml:space="preserve">Latvijas republikas Saeimas un Ministru kabineta </w:t>
      </w:r>
      <w:r w:rsidR="00581156" w:rsidRPr="008B628A">
        <w:t>iesaiste</w:t>
      </w:r>
      <w:bookmarkEnd w:id="49"/>
      <w:bookmarkEnd w:id="50"/>
      <w:r w:rsidR="00581156" w:rsidRPr="008B628A">
        <w:t xml:space="preserve"> </w:t>
      </w:r>
    </w:p>
    <w:p w14:paraId="6E5C5810" w14:textId="172C34F2" w:rsidR="00581156" w:rsidRPr="008B628A" w:rsidRDefault="009C75A3" w:rsidP="00DB63CE">
      <w:pPr>
        <w:spacing w:before="120" w:after="120" w:line="240" w:lineRule="auto"/>
        <w:jc w:val="both"/>
        <w:rPr>
          <w:rFonts w:ascii="Times New Roman" w:hAnsi="Times New Roman" w:cs="Times New Roman"/>
        </w:rPr>
      </w:pPr>
      <w:r w:rsidRPr="008B628A">
        <w:rPr>
          <w:rFonts w:ascii="Times New Roman" w:hAnsi="Times New Roman" w:cs="Times New Roman"/>
        </w:rPr>
        <w:t>2018.gada 26.jūnijā Ministru kabinetā tika apstiprināts informatīvais ziņojums “Par Nacionālā enerģētikas un klimata plāna izstrādi” un Ministru kabineta sēdes protokollēmums “Informatīvais ziņojums "Par Nacionālā enerģētikas un klimata plāna izstrādi"” (Ministru kabineta 2018.gada 26.jūnija protokola Nr.30 50.§), kas noteica</w:t>
      </w:r>
      <w:r w:rsidR="0005622B" w:rsidRPr="008B628A">
        <w:rPr>
          <w:rFonts w:ascii="Times New Roman" w:hAnsi="Times New Roman" w:cs="Times New Roman"/>
        </w:rPr>
        <w:t xml:space="preserve"> Plāna</w:t>
      </w:r>
      <w:r w:rsidR="00DB63CE" w:rsidRPr="008B628A">
        <w:rPr>
          <w:rFonts w:ascii="Times New Roman" w:hAnsi="Times New Roman" w:cs="Times New Roman"/>
        </w:rPr>
        <w:t xml:space="preserve"> saturiskos elementus un laika ietvaru, kā arī Plāna izstrādes principus un informācijas sagatavošanas atbildības.</w:t>
      </w:r>
    </w:p>
    <w:p w14:paraId="15F7D912" w14:textId="3E387601" w:rsidR="004E451F" w:rsidRPr="008B628A" w:rsidRDefault="004E451F" w:rsidP="00DB63CE">
      <w:pPr>
        <w:spacing w:before="120" w:after="120" w:line="240" w:lineRule="auto"/>
        <w:jc w:val="both"/>
        <w:rPr>
          <w:rFonts w:ascii="Times New Roman" w:hAnsi="Times New Roman" w:cs="Times New Roman"/>
        </w:rPr>
      </w:pPr>
      <w:r w:rsidRPr="008B628A">
        <w:rPr>
          <w:rFonts w:ascii="Times New Roman" w:hAnsi="Times New Roman" w:cs="Times New Roman"/>
        </w:rPr>
        <w:t xml:space="preserve">Saskaņā ar minēto informatīvo ziņojumu, Ministru kabineta iesaiste ir paredzēta pirms Plāna projekta iesniegšanas </w:t>
      </w:r>
      <w:r w:rsidR="00445E35" w:rsidRPr="008B628A">
        <w:rPr>
          <w:rFonts w:ascii="Times New Roman" w:hAnsi="Times New Roman" w:cs="Times New Roman"/>
        </w:rPr>
        <w:t>EK</w:t>
      </w:r>
      <w:r w:rsidRPr="008B628A">
        <w:rPr>
          <w:rFonts w:ascii="Times New Roman" w:hAnsi="Times New Roman" w:cs="Times New Roman"/>
        </w:rPr>
        <w:t xml:space="preserve"> </w:t>
      </w:r>
      <w:r w:rsidR="00D93019" w:rsidRPr="008B628A">
        <w:rPr>
          <w:rFonts w:ascii="Times New Roman" w:hAnsi="Times New Roman" w:cs="Times New Roman"/>
        </w:rPr>
        <w:t xml:space="preserve">t.i. </w:t>
      </w:r>
      <w:r w:rsidRPr="008B628A">
        <w:rPr>
          <w:rFonts w:ascii="Times New Roman" w:hAnsi="Times New Roman" w:cs="Times New Roman"/>
        </w:rPr>
        <w:t>2018.gada decembrī.</w:t>
      </w:r>
    </w:p>
    <w:p w14:paraId="67AB5D7D" w14:textId="57A02572" w:rsidR="00581156" w:rsidRPr="008B628A" w:rsidRDefault="00581156" w:rsidP="005F59CE">
      <w:pPr>
        <w:pStyle w:val="Heading3"/>
      </w:pPr>
      <w:bookmarkStart w:id="51" w:name="_Toc520978803"/>
      <w:bookmarkStart w:id="52" w:name="_Toc527529428"/>
      <w:r w:rsidRPr="008B628A">
        <w:lastRenderedPageBreak/>
        <w:t>Vietējo un reģionālo iestāžu iesaiste</w:t>
      </w:r>
      <w:bookmarkEnd w:id="51"/>
      <w:bookmarkEnd w:id="52"/>
      <w:r w:rsidRPr="008B628A">
        <w:t xml:space="preserve"> </w:t>
      </w:r>
    </w:p>
    <w:p w14:paraId="342E7208" w14:textId="442CA983" w:rsidR="00581156" w:rsidRPr="008B628A" w:rsidRDefault="005B4611"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23.augustā Plāna izstrādes aktualitātes Ekonomikas ministrija prezentēja Rīgas plānošanas reģiona īstenotā projekta “Nodrošināt neitrālu oglekļa emisiju reģionos līdz 2050. gadam” (C -TRACK-50), kura mērķis ir – mobilizēt un atbalstīt valsts pārvaldes iestādes, pārskatot un izstrādājot enerģētikas politikas prioritātes oglekļa mazietilpīgai attīstībai līdz 2050. gadam, kā arī sekmēt starpnozaru sadarbību un iedrošināt pašvaldības rast finansējumu, izstrādāt un īstenot enerģijas un klimata plānus ar mērķi sasniegt neitrālas oglekļa emisijas līdz 2050. gadam</w:t>
      </w:r>
      <w:r w:rsidR="00D93019" w:rsidRPr="008B628A">
        <w:rPr>
          <w:rFonts w:ascii="Times New Roman" w:hAnsi="Times New Roman" w:cs="Times New Roman"/>
        </w:rPr>
        <w:t>. S</w:t>
      </w:r>
      <w:r w:rsidRPr="008B628A">
        <w:rPr>
          <w:rFonts w:ascii="Times New Roman" w:hAnsi="Times New Roman" w:cs="Times New Roman"/>
        </w:rPr>
        <w:t>anāksmes ietvaros</w:t>
      </w:r>
      <w:r w:rsidR="00D93019" w:rsidRPr="008B628A">
        <w:rPr>
          <w:rFonts w:ascii="Times New Roman" w:hAnsi="Times New Roman" w:cs="Times New Roman"/>
        </w:rPr>
        <w:t xml:space="preserve"> t</w:t>
      </w:r>
      <w:r w:rsidRPr="008B628A">
        <w:rPr>
          <w:rFonts w:ascii="Times New Roman" w:hAnsi="Times New Roman" w:cs="Times New Roman"/>
        </w:rPr>
        <w:t>ika sniegta informācija par Plāna saturu, sagatavošanas un īstenošanas atbildībām, Plānā iekļaujamajiem mērķiem, kā arī informējot par projekta ieguldījumu Plāna sagatavošanā un īstenošanā.</w:t>
      </w:r>
    </w:p>
    <w:p w14:paraId="4010D758" w14:textId="6A475682" w:rsidR="00D93019" w:rsidRPr="008B628A" w:rsidRDefault="00D93019"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19.septembrī Plāna izstrādes aktualitātes Rīgas plānošanas reģiona īstenotā projekta “Nodrošināt neitrālu oglekļa emisiju reģionos līdz 2050. gadam” (C-TRACK-50) ietvaros Ekonomikas ministrija prezentēja arī vairāku pašvaldību pārstāvjiem.</w:t>
      </w:r>
    </w:p>
    <w:p w14:paraId="4DCE984F" w14:textId="203C97A2" w:rsidR="005E7380" w:rsidRPr="008B628A" w:rsidRDefault="005E7380"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30.oktobrī Plāna izstrādes aktualitātes un tajā iekļaujamo nosacījumu īstenošanā nepieciešamā pašvaldību iesaiste tika pārrunāta ar visu Latvijas plānošanas reģionu pārstāvjiem</w:t>
      </w:r>
      <w:r w:rsidR="00304C82" w:rsidRPr="008B628A">
        <w:rPr>
          <w:rFonts w:ascii="Times New Roman" w:hAnsi="Times New Roman" w:cs="Times New Roman"/>
        </w:rPr>
        <w:t>.</w:t>
      </w:r>
    </w:p>
    <w:p w14:paraId="74D96CC7" w14:textId="0719B444" w:rsidR="00581156" w:rsidRPr="008B628A" w:rsidRDefault="002729AC" w:rsidP="005F59CE">
      <w:pPr>
        <w:pStyle w:val="Heading3"/>
      </w:pPr>
      <w:bookmarkStart w:id="53" w:name="_Toc520978804"/>
      <w:bookmarkStart w:id="54" w:name="_Toc527529429"/>
      <w:r w:rsidRPr="008B628A">
        <w:t>A</w:t>
      </w:r>
      <w:r w:rsidR="00581156" w:rsidRPr="008B628A">
        <w:t>pspriedes ar ieinteresētajām personām, tostarp ar sociālajiem partneriem, un pilsoniskās sabiedrības iesaistīšana</w:t>
      </w:r>
      <w:bookmarkEnd w:id="53"/>
      <w:bookmarkEnd w:id="54"/>
      <w:r w:rsidR="00581156" w:rsidRPr="008B628A">
        <w:t xml:space="preserve"> </w:t>
      </w:r>
    </w:p>
    <w:p w14:paraId="542F0042" w14:textId="51D9CF84" w:rsidR="00581156" w:rsidRPr="008B628A" w:rsidRDefault="004E451F" w:rsidP="004E451F">
      <w:pPr>
        <w:spacing w:before="120" w:after="120" w:line="240" w:lineRule="auto"/>
        <w:jc w:val="both"/>
        <w:rPr>
          <w:rFonts w:ascii="Times New Roman" w:hAnsi="Times New Roman" w:cs="Times New Roman"/>
        </w:rPr>
      </w:pPr>
      <w:r w:rsidRPr="008B628A">
        <w:rPr>
          <w:rFonts w:ascii="Times New Roman" w:hAnsi="Times New Roman" w:cs="Times New Roman"/>
        </w:rPr>
        <w:t>Plāna izstrādes aktualitātes</w:t>
      </w:r>
      <w:r w:rsidR="005B4611" w:rsidRPr="008B628A">
        <w:rPr>
          <w:rFonts w:ascii="Times New Roman" w:hAnsi="Times New Roman" w:cs="Times New Roman"/>
        </w:rPr>
        <w:t xml:space="preserve"> 2018.gada 31.augustā</w:t>
      </w:r>
      <w:r w:rsidRPr="008B628A">
        <w:rPr>
          <w:rFonts w:ascii="Times New Roman" w:hAnsi="Times New Roman" w:cs="Times New Roman"/>
        </w:rPr>
        <w:t xml:space="preserve"> </w:t>
      </w:r>
      <w:r w:rsidR="00B84290" w:rsidRPr="008B628A">
        <w:rPr>
          <w:rFonts w:ascii="Times New Roman" w:hAnsi="Times New Roman" w:cs="Times New Roman"/>
        </w:rPr>
        <w:t xml:space="preserve">un 2018.gada 31.oktobrī </w:t>
      </w:r>
      <w:r w:rsidRPr="008B628A">
        <w:rPr>
          <w:rFonts w:ascii="Times New Roman" w:hAnsi="Times New Roman" w:cs="Times New Roman"/>
        </w:rPr>
        <w:t>tika prezentētas Ekonomikas ministrijas izveidotajā Tautsaimniecības padomes Enerģētikas komitejā</w:t>
      </w:r>
      <w:r w:rsidRPr="008B628A">
        <w:rPr>
          <w:rStyle w:val="FootnoteReference"/>
          <w:rFonts w:ascii="Times New Roman" w:hAnsi="Times New Roman" w:cs="Times New Roman"/>
        </w:rPr>
        <w:footnoteReference w:id="66"/>
      </w:r>
      <w:r w:rsidRPr="008B628A">
        <w:rPr>
          <w:rFonts w:ascii="Times New Roman" w:hAnsi="Times New Roman" w:cs="Times New Roman"/>
        </w:rPr>
        <w:t>, kurā cita starpā kā komitejas locekļi ir iesaistīti šādi sociālie partneri – Latvijas darba devēju konfederācija, Latvijas Tirdzniecības un rūpniecības kamera, Latvijas Pašvaldību savienība, Latvijas atjaunojamās enerģijas federācija, Latvijas Kokrūpniecības federācija, Latvijas Energoefektivitātes asociācija, Latvijas Siltumuzņēmumu asociācija</w:t>
      </w:r>
      <w:r w:rsidR="00D93019" w:rsidRPr="008B628A">
        <w:rPr>
          <w:rFonts w:ascii="Times New Roman" w:hAnsi="Times New Roman" w:cs="Times New Roman"/>
        </w:rPr>
        <w:t xml:space="preserve"> u.c</w:t>
      </w:r>
      <w:r w:rsidR="00E03990" w:rsidRPr="008B628A">
        <w:rPr>
          <w:rFonts w:ascii="Times New Roman" w:hAnsi="Times New Roman" w:cs="Times New Roman"/>
        </w:rPr>
        <w:t>.</w:t>
      </w:r>
    </w:p>
    <w:p w14:paraId="6BB029A9" w14:textId="563E2535" w:rsidR="00D93019" w:rsidRPr="008B628A" w:rsidRDefault="00D93019"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13.septembrī ekonomikas ministrs, sniedzot prezentāciju konferences “Enerģētika 2018” ietvaros, informēja konferences dalībniekus cita starpā arī par Plāna izstrādi un tajā iekļaujamajiem nosacījumiem.</w:t>
      </w:r>
    </w:p>
    <w:p w14:paraId="2926404A" w14:textId="0E0E920F" w:rsidR="007872B8" w:rsidRPr="008B628A" w:rsidRDefault="007872B8"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10.oktobrī Ekonomikas ministrijas valsts sekretāra vietnieks</w:t>
      </w:r>
      <w:r w:rsidR="00731434" w:rsidRPr="008B628A">
        <w:rPr>
          <w:rFonts w:ascii="Times New Roman" w:hAnsi="Times New Roman" w:cs="Times New Roman"/>
        </w:rPr>
        <w:t xml:space="preserve"> konferencē “Siltuma ražošanas ekonomika ilgtspējīgā valstī” un 2018.gada 18.oktobrī konferencē “Ziemeļvalstu un Baltijas valstu enerģētikas un klimata izaicinājumi. Mobilitāte un aprites ekonomika”</w:t>
      </w:r>
      <w:r w:rsidRPr="008B628A">
        <w:rPr>
          <w:rFonts w:ascii="Times New Roman" w:hAnsi="Times New Roman" w:cs="Times New Roman"/>
        </w:rPr>
        <w:t xml:space="preserve"> prezentēja Plāna izstrādes gaitu, tajā iekļautos nosacījumus un mērķrādītājus, kā arī šā brīža situāci</w:t>
      </w:r>
      <w:r w:rsidR="00731434" w:rsidRPr="008B628A">
        <w:rPr>
          <w:rFonts w:ascii="Times New Roman" w:hAnsi="Times New Roman" w:cs="Times New Roman"/>
        </w:rPr>
        <w:t>ju un prognozes bāzes scenārijā.</w:t>
      </w:r>
    </w:p>
    <w:p w14:paraId="60060CA9" w14:textId="7852664F" w:rsidR="00B84290" w:rsidRPr="008B628A" w:rsidRDefault="00B84290"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w:t>
      </w:r>
      <w:r w:rsidR="00304C82" w:rsidRPr="008B628A">
        <w:rPr>
          <w:rFonts w:ascii="Times New Roman" w:hAnsi="Times New Roman" w:cs="Times New Roman"/>
        </w:rPr>
        <w:t xml:space="preserve"> Konferences prezentācijas un video tiešraides ieraksts ir pieejams Ekonomikas ministrijas tīmekļa vietnē</w:t>
      </w:r>
      <w:r w:rsidR="00304C82" w:rsidRPr="008B628A">
        <w:rPr>
          <w:rStyle w:val="FootnoteReference"/>
          <w:rFonts w:ascii="Times New Roman" w:hAnsi="Times New Roman" w:cs="Times New Roman"/>
        </w:rPr>
        <w:footnoteReference w:id="67"/>
      </w:r>
      <w:r w:rsidR="00304C82" w:rsidRPr="008B628A">
        <w:rPr>
          <w:rFonts w:ascii="Times New Roman" w:hAnsi="Times New Roman" w:cs="Times New Roman"/>
        </w:rPr>
        <w:t>.</w:t>
      </w:r>
    </w:p>
    <w:p w14:paraId="77BCA2F3" w14:textId="1B47016E" w:rsidR="00D93019" w:rsidRPr="008B628A" w:rsidRDefault="00D93019"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17.septembrī Plāna projekta 1.redakcija tika publicēt</w:t>
      </w:r>
      <w:r w:rsidR="00B84290" w:rsidRPr="008B628A">
        <w:rPr>
          <w:rFonts w:ascii="Times New Roman" w:hAnsi="Times New Roman" w:cs="Times New Roman"/>
        </w:rPr>
        <w:t>a</w:t>
      </w:r>
      <w:r w:rsidRPr="008B628A">
        <w:rPr>
          <w:rFonts w:ascii="Times New Roman" w:hAnsi="Times New Roman" w:cs="Times New Roman"/>
        </w:rPr>
        <w:t xml:space="preserve"> Ekonomikas ministrijas tīmekļa vietnē sabiedrības līdzdalības nodrošināšanai.</w:t>
      </w:r>
      <w:r w:rsidR="005E7380" w:rsidRPr="008B628A">
        <w:rPr>
          <w:rFonts w:ascii="Times New Roman" w:hAnsi="Times New Roman" w:cs="Times New Roman"/>
        </w:rPr>
        <w:t xml:space="preserve"> Savukārt Plāna projekta 2.redakcija tika publicēta Ekonomikas ministrijas tīmekļa vietnē </w:t>
      </w:r>
      <w:r w:rsidR="00B84290" w:rsidRPr="008B628A">
        <w:rPr>
          <w:rFonts w:ascii="Times New Roman" w:hAnsi="Times New Roman" w:cs="Times New Roman"/>
        </w:rPr>
        <w:t>2018.gada 5.novembrī.</w:t>
      </w:r>
    </w:p>
    <w:p w14:paraId="2A29C875" w14:textId="03EC702B" w:rsidR="00581156" w:rsidRPr="008B628A" w:rsidRDefault="00581156" w:rsidP="005F59CE">
      <w:pPr>
        <w:pStyle w:val="Heading3"/>
      </w:pPr>
      <w:bookmarkStart w:id="55" w:name="_Toc520978805"/>
      <w:bookmarkStart w:id="56" w:name="_Toc527529430"/>
      <w:r w:rsidRPr="008B628A">
        <w:lastRenderedPageBreak/>
        <w:t>Apspriedes ar citām dalībvalstīm</w:t>
      </w:r>
      <w:bookmarkEnd w:id="55"/>
      <w:bookmarkEnd w:id="56"/>
      <w:r w:rsidRPr="008B628A">
        <w:t xml:space="preserve"> </w:t>
      </w:r>
    </w:p>
    <w:p w14:paraId="1FFBFA3C" w14:textId="13831B69" w:rsidR="00581156" w:rsidRPr="008B628A" w:rsidRDefault="00DB43C5" w:rsidP="00795580">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w:t>
      </w:r>
      <w:r w:rsidR="00387782" w:rsidRPr="008B628A">
        <w:rPr>
          <w:rFonts w:ascii="Times New Roman" w:hAnsi="Times New Roman" w:cs="Times New Roman"/>
        </w:rPr>
        <w:t>23.-24.maijā</w:t>
      </w:r>
      <w:r w:rsidRPr="008B628A">
        <w:rPr>
          <w:rFonts w:ascii="Times New Roman" w:hAnsi="Times New Roman" w:cs="Times New Roman"/>
        </w:rPr>
        <w:t xml:space="preserve"> </w:t>
      </w:r>
      <w:r w:rsidR="009C75A3" w:rsidRPr="008B628A">
        <w:rPr>
          <w:rFonts w:ascii="Times New Roman" w:hAnsi="Times New Roman" w:cs="Times New Roman"/>
        </w:rPr>
        <w:t xml:space="preserve">Baltijas vides ministru sanāksmē Baltijas vides ministri un eksperti apmainījās ar viedokļiem un dalījās pieredzē par Plāna izstrādi un </w:t>
      </w:r>
      <w:r w:rsidRPr="008B628A">
        <w:rPr>
          <w:rFonts w:ascii="Times New Roman" w:hAnsi="Times New Roman" w:cs="Times New Roman"/>
        </w:rPr>
        <w:t>tajā iekļautās dekarbonizācijas klimata pārmaiņu mazināšanas nosacījumi</w:t>
      </w:r>
      <w:r w:rsidR="009C75A3" w:rsidRPr="008B628A">
        <w:rPr>
          <w:rFonts w:ascii="Times New Roman" w:hAnsi="Times New Roman" w:cs="Times New Roman"/>
        </w:rPr>
        <w:t>em.</w:t>
      </w:r>
    </w:p>
    <w:p w14:paraId="27BF4C8F" w14:textId="15787497" w:rsidR="0051088C" w:rsidRPr="008B628A" w:rsidRDefault="0051088C" w:rsidP="00795580">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9.augustā Baltijas ministru padomes </w:t>
      </w:r>
      <w:r w:rsidR="00795580" w:rsidRPr="008B628A">
        <w:rPr>
          <w:rFonts w:ascii="Times New Roman" w:hAnsi="Times New Roman" w:cs="Times New Roman"/>
        </w:rPr>
        <w:t>vecāko amatpersonu enerģētikas komitejas ietvaros Latvijas, Lietuvas, Igaunijas un arī Somijas eksperti pārrunāja pārrobežu sadarbības jautājumus enerģētikas nozarē un apmainījās ar viedokļiem par nosacījumiem turpmākai reģionālajai sadarbībai Plāna izstrādes laikā un arī Plāna īstenošanas ietvaros.</w:t>
      </w:r>
    </w:p>
    <w:p w14:paraId="491D8DAF" w14:textId="5834E8E6" w:rsidR="00731434" w:rsidRPr="008B628A" w:rsidRDefault="00731434" w:rsidP="00795580">
      <w:pPr>
        <w:spacing w:before="120" w:after="120" w:line="240" w:lineRule="auto"/>
        <w:jc w:val="both"/>
        <w:rPr>
          <w:rFonts w:ascii="Times New Roman" w:hAnsi="Times New Roman" w:cs="Times New Roman"/>
        </w:rPr>
      </w:pPr>
      <w:r w:rsidRPr="008B628A">
        <w:rPr>
          <w:rFonts w:ascii="Times New Roman" w:hAnsi="Times New Roman" w:cs="Times New Roman"/>
        </w:rPr>
        <w:t>2018.gada 27.septembrī Latvijas, Lietuvas un Igaunijas eksperti, kas ir atbildīgi par Plāna izstrādi, tikās Tallinā, lai pārrunātu Plāna reģionālās konsultācijas un turpmākās sadarbības iespējas Plāna aptvēruma dimensijās.</w:t>
      </w:r>
    </w:p>
    <w:p w14:paraId="00D7ACF4" w14:textId="38B7473A" w:rsidR="00731434" w:rsidRPr="008B628A" w:rsidRDefault="00731434" w:rsidP="00795580">
      <w:pPr>
        <w:spacing w:before="120" w:after="120" w:line="240" w:lineRule="auto"/>
        <w:jc w:val="both"/>
        <w:rPr>
          <w:rFonts w:ascii="Times New Roman" w:hAnsi="Times New Roman" w:cs="Times New Roman"/>
        </w:rPr>
      </w:pPr>
      <w:r w:rsidRPr="008B628A">
        <w:rPr>
          <w:rFonts w:ascii="Times New Roman" w:hAnsi="Times New Roman" w:cs="Times New Roman"/>
        </w:rPr>
        <w:t>2018.gada 30.oktobrī Baltijas ministru padomes ietvaros Baltijas ministru padomes vecāko amatpersonu enerģētikas komitejas ietvaros Latvijas, Lietuvas</w:t>
      </w:r>
      <w:r w:rsidR="00266881" w:rsidRPr="008B628A">
        <w:rPr>
          <w:rFonts w:ascii="Times New Roman" w:hAnsi="Times New Roman" w:cs="Times New Roman"/>
        </w:rPr>
        <w:t xml:space="preserve"> un</w:t>
      </w:r>
      <w:r w:rsidRPr="008B628A">
        <w:rPr>
          <w:rFonts w:ascii="Times New Roman" w:hAnsi="Times New Roman" w:cs="Times New Roman"/>
        </w:rPr>
        <w:t xml:space="preserve"> Igaunijas </w:t>
      </w:r>
      <w:r w:rsidR="00266881" w:rsidRPr="008B628A">
        <w:rPr>
          <w:rFonts w:ascii="Times New Roman" w:hAnsi="Times New Roman" w:cs="Times New Roman"/>
        </w:rPr>
        <w:t>eksperti pārrunāja jau konkrētos Plānā iekļautos pasākumus, kuru īstenošanai ir reģionāla ietekme.</w:t>
      </w:r>
    </w:p>
    <w:p w14:paraId="20BB9F73" w14:textId="5466D5D9" w:rsidR="00581156" w:rsidRPr="008B628A" w:rsidRDefault="00581156" w:rsidP="005F59CE">
      <w:pPr>
        <w:pStyle w:val="Heading3"/>
      </w:pPr>
      <w:bookmarkStart w:id="57" w:name="_Toc520978806"/>
      <w:bookmarkStart w:id="58" w:name="_Toc527529431"/>
      <w:bookmarkEnd w:id="48"/>
      <w:r w:rsidRPr="008B628A">
        <w:t xml:space="preserve">Iteratīvs process ar </w:t>
      </w:r>
      <w:bookmarkEnd w:id="57"/>
      <w:r w:rsidR="00445E35" w:rsidRPr="008B628A">
        <w:t>EK</w:t>
      </w:r>
      <w:bookmarkEnd w:id="58"/>
      <w:r w:rsidRPr="008B628A">
        <w:t xml:space="preserve"> </w:t>
      </w:r>
    </w:p>
    <w:p w14:paraId="46E423EA" w14:textId="6DF1738F" w:rsidR="002F0416" w:rsidRPr="008B628A" w:rsidRDefault="00B26946" w:rsidP="002F0416">
      <w:pPr>
        <w:spacing w:before="120" w:after="120" w:line="240" w:lineRule="auto"/>
        <w:rPr>
          <w:rFonts w:ascii="Times New Roman" w:hAnsi="Times New Roman" w:cs="Times New Roman"/>
        </w:rPr>
      </w:pPr>
      <w:r w:rsidRPr="008B628A">
        <w:rPr>
          <w:rFonts w:ascii="Times New Roman" w:hAnsi="Times New Roman" w:cs="Times New Roman"/>
        </w:rPr>
        <w:t>Nav noticis.</w:t>
      </w:r>
    </w:p>
    <w:p w14:paraId="4283928C" w14:textId="77777777" w:rsidR="00457914" w:rsidRPr="008B628A" w:rsidRDefault="00457914" w:rsidP="002F0416">
      <w:pPr>
        <w:spacing w:before="120" w:after="120" w:line="240" w:lineRule="auto"/>
        <w:rPr>
          <w:rFonts w:ascii="Times New Roman" w:hAnsi="Times New Roman" w:cs="Times New Roman"/>
        </w:rPr>
      </w:pPr>
    </w:p>
    <w:p w14:paraId="3F9ED3B9" w14:textId="026433C9" w:rsidR="00581156" w:rsidRPr="008B628A" w:rsidRDefault="00581156" w:rsidP="006F546A">
      <w:pPr>
        <w:pStyle w:val="Heading2"/>
      </w:pPr>
      <w:bookmarkStart w:id="59" w:name="_Toc520978807"/>
      <w:bookmarkStart w:id="60" w:name="_Toc527529432"/>
      <w:bookmarkStart w:id="61" w:name="_Toc532909998"/>
      <w:r w:rsidRPr="008B628A">
        <w:t>Reģionālā sadarbība plāna sagatavošanā</w:t>
      </w:r>
      <w:bookmarkEnd w:id="59"/>
      <w:bookmarkEnd w:id="60"/>
      <w:bookmarkEnd w:id="61"/>
      <w:r w:rsidRPr="008B628A">
        <w:t xml:space="preserve"> </w:t>
      </w:r>
    </w:p>
    <w:p w14:paraId="2E624D98" w14:textId="519CB797" w:rsidR="00D12693" w:rsidRPr="008B628A" w:rsidRDefault="00D12693" w:rsidP="00D12693">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Šobrīd reģionālajai sadarbībai starp Baltijas valstīm ir īpaša nozīme un loma ne vien trīs valstu enerģētikas politikas un enerģijas tirgu attīstībā, bet arī plašāk – ietverot Somiju, Zviedriju, Poliju, Dāniju un Vāciju. ES līmenī ir izveidots Baltijas enerģijas tirgu starpsavienojumu plāns (BEMIP), kas aptver gan infrastruktūras plānošanu, gan palīdz piesaistīt un efektīvi izmantot finansiālos līdzekļus tostarp 2014. gadā paredzēto Eiropas Infrastruktūras Savienojumu instrumentu, kura ietvaros tiks atbalstīti tikai pārrobežu enerģētikas projekti, padarot sadarbību Baltijas reģiona ietvaros vēl ciešāka. </w:t>
      </w:r>
    </w:p>
    <w:p w14:paraId="5F00373D" w14:textId="7FDD1F2F" w:rsidR="00B84290" w:rsidRPr="008B628A" w:rsidRDefault="00B84290" w:rsidP="00B84290">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Baltijas reģiona gāzes apgādes drošuma uzlabošanai un efektīvai tirgus attīstībai tiek īstenoti vairāki projekti attiecībā uz starpsavienojumu nodrošināšanu, Inčukalna pazemes gāzes </w:t>
      </w:r>
      <w:r w:rsidR="00FC2856" w:rsidRPr="008B628A">
        <w:rPr>
          <w:rFonts w:ascii="Times New Roman" w:hAnsi="Times New Roman" w:cs="Times New Roman"/>
          <w:color w:val="000000" w:themeColor="text1"/>
          <w:szCs w:val="24"/>
        </w:rPr>
        <w:t>krātuves</w:t>
      </w:r>
      <w:r w:rsidRPr="008B628A">
        <w:rPr>
          <w:rFonts w:ascii="Times New Roman" w:hAnsi="Times New Roman" w:cs="Times New Roman"/>
          <w:color w:val="000000" w:themeColor="text1"/>
          <w:szCs w:val="24"/>
        </w:rPr>
        <w:t xml:space="preserve"> modernizāciju.</w:t>
      </w:r>
    </w:p>
    <w:p w14:paraId="486D7D12" w14:textId="50E32126" w:rsidR="00D12693" w:rsidRPr="008B628A" w:rsidRDefault="00B84290" w:rsidP="00D12693">
      <w:pPr>
        <w:spacing w:before="120" w:after="120" w:line="240" w:lineRule="auto"/>
        <w:jc w:val="both"/>
        <w:rPr>
          <w:rFonts w:ascii="Times New Roman" w:hAnsi="Times New Roman" w:cs="Times New Roman"/>
          <w:szCs w:val="24"/>
        </w:rPr>
      </w:pPr>
      <w:r w:rsidRPr="008B628A">
        <w:rPr>
          <w:rFonts w:ascii="Times New Roman" w:hAnsi="Times New Roman" w:cs="Times New Roman"/>
          <w:color w:val="000000" w:themeColor="text1"/>
          <w:szCs w:val="24"/>
        </w:rPr>
        <w:t xml:space="preserve">Reģionālo konsultāciju ietvaros tika identificēta reģionālās sadarbības iespēja arī </w:t>
      </w:r>
      <w:r w:rsidR="00EB042B">
        <w:rPr>
          <w:rFonts w:ascii="Times New Roman" w:hAnsi="Times New Roman" w:cs="Times New Roman"/>
          <w:color w:val="000000" w:themeColor="text1"/>
          <w:szCs w:val="24"/>
        </w:rPr>
        <w:t>AER</w:t>
      </w:r>
      <w:r w:rsidRPr="008B628A">
        <w:rPr>
          <w:rFonts w:ascii="Times New Roman" w:hAnsi="Times New Roman" w:cs="Times New Roman"/>
          <w:color w:val="000000" w:themeColor="text1"/>
          <w:szCs w:val="24"/>
        </w:rPr>
        <w:t xml:space="preserve"> un to tehnoloģiju jomā. </w:t>
      </w:r>
      <w:r w:rsidR="00D12693" w:rsidRPr="008B628A">
        <w:rPr>
          <w:rFonts w:ascii="Times New Roman" w:hAnsi="Times New Roman" w:cs="Times New Roman"/>
          <w:szCs w:val="24"/>
        </w:rPr>
        <w:t>Līdzšinējā sadarbība infrastruktūras attīstības jomā būtu jāpaplašina arī uz kopīgu rīcību ener</w:t>
      </w:r>
      <w:r w:rsidR="00011268">
        <w:rPr>
          <w:rFonts w:ascii="Times New Roman" w:hAnsi="Times New Roman" w:cs="Times New Roman"/>
          <w:szCs w:val="24"/>
        </w:rPr>
        <w:t>go</w:t>
      </w:r>
      <w:r w:rsidR="00D12693" w:rsidRPr="008B628A">
        <w:rPr>
          <w:rFonts w:ascii="Times New Roman" w:hAnsi="Times New Roman" w:cs="Times New Roman"/>
          <w:szCs w:val="24"/>
        </w:rPr>
        <w:t xml:space="preserve">efektivitātes un </w:t>
      </w:r>
      <w:r w:rsidR="004C7936" w:rsidRPr="008B628A">
        <w:rPr>
          <w:rFonts w:ascii="Times New Roman" w:hAnsi="Times New Roman" w:cs="Times New Roman"/>
          <w:szCs w:val="24"/>
        </w:rPr>
        <w:t>AE</w:t>
      </w:r>
      <w:r w:rsidR="00D12693" w:rsidRPr="008B628A">
        <w:rPr>
          <w:rFonts w:ascii="Times New Roman" w:hAnsi="Times New Roman" w:cs="Times New Roman"/>
          <w:szCs w:val="24"/>
        </w:rPr>
        <w:t xml:space="preserve"> attīstības jomās,  piemēram, transporta nozares dekarbonizācija, </w:t>
      </w:r>
      <w:r w:rsidR="004C7936" w:rsidRPr="008B628A">
        <w:rPr>
          <w:rFonts w:ascii="Times New Roman" w:hAnsi="Times New Roman" w:cs="Times New Roman"/>
          <w:szCs w:val="24"/>
        </w:rPr>
        <w:t>AE</w:t>
      </w:r>
      <w:r w:rsidR="00D12693" w:rsidRPr="008B628A">
        <w:rPr>
          <w:rFonts w:ascii="Times New Roman" w:hAnsi="Times New Roman" w:cs="Times New Roman"/>
          <w:szCs w:val="24"/>
        </w:rPr>
        <w:t xml:space="preserve"> (piemēram, elektroenerģijas un biodegvielu) izmantošana transportā </w:t>
      </w:r>
      <w:r w:rsidR="004C7936" w:rsidRPr="008B628A">
        <w:rPr>
          <w:rFonts w:ascii="Times New Roman" w:hAnsi="Times New Roman" w:cs="Times New Roman"/>
          <w:szCs w:val="24"/>
        </w:rPr>
        <w:t>–</w:t>
      </w:r>
      <w:r w:rsidR="00D12693" w:rsidRPr="008B628A">
        <w:rPr>
          <w:rFonts w:ascii="Times New Roman" w:hAnsi="Times New Roman" w:cs="Times New Roman"/>
          <w:szCs w:val="24"/>
        </w:rPr>
        <w:t xml:space="preserve"> tie ir pietiekami izaicinoši jautājumi </w:t>
      </w:r>
      <w:r w:rsidR="004C7936" w:rsidRPr="008B628A">
        <w:rPr>
          <w:rFonts w:ascii="Times New Roman" w:hAnsi="Times New Roman" w:cs="Times New Roman"/>
          <w:szCs w:val="24"/>
        </w:rPr>
        <w:t>Baltijas v</w:t>
      </w:r>
      <w:r w:rsidR="00D12693" w:rsidRPr="008B628A">
        <w:rPr>
          <w:rFonts w:ascii="Times New Roman" w:hAnsi="Times New Roman" w:cs="Times New Roman"/>
          <w:szCs w:val="24"/>
        </w:rPr>
        <w:t xml:space="preserve">alstīm. </w:t>
      </w:r>
    </w:p>
    <w:p w14:paraId="318D5342" w14:textId="70A2D61B" w:rsidR="00E94CBD" w:rsidRPr="008B628A" w:rsidRDefault="00D12693" w:rsidP="00B26946">
      <w:pPr>
        <w:spacing w:before="120" w:after="120" w:line="240" w:lineRule="auto"/>
        <w:jc w:val="both"/>
        <w:rPr>
          <w:rFonts w:ascii="Times New Roman" w:eastAsiaTheme="majorEastAsia" w:hAnsi="Times New Roman" w:cs="Times New Roman"/>
          <w:b/>
          <w:sz w:val="28"/>
          <w:szCs w:val="32"/>
        </w:rPr>
      </w:pPr>
      <w:r w:rsidRPr="008B628A">
        <w:rPr>
          <w:rFonts w:ascii="Times New Roman" w:hAnsi="Times New Roman" w:cs="Times New Roman"/>
          <w:szCs w:val="24"/>
        </w:rPr>
        <w:t xml:space="preserve">Arī plānojot ilgtermiņa enerģētikas politikas plānus, piemēram, 2030.gadam un vēl tālākai nākotnei, ir nepieciešama iespēja abpusēji dalīties ar pieredzi un zināšanām, kas palīdzētu izvēlēties piemērotākos instrumentus un rīcību konkrēto mērķu sasniegšanai. Prioritārs uzdevums ir pārnest un dalīties arī ar zināšanām oglekļa emisiju samazināšanas, un energoefektivitātes veicināšanas jomās. </w:t>
      </w:r>
      <w:r w:rsidR="00E94CBD" w:rsidRPr="008B628A">
        <w:rPr>
          <w:rFonts w:ascii="Times New Roman" w:hAnsi="Times New Roman" w:cs="Times New Roman"/>
        </w:rPr>
        <w:br w:type="page"/>
      </w:r>
    </w:p>
    <w:p w14:paraId="2082E76F" w14:textId="733AA751" w:rsidR="00581156" w:rsidRPr="008B628A" w:rsidRDefault="00581156" w:rsidP="00573EBD">
      <w:pPr>
        <w:pStyle w:val="Heading1"/>
      </w:pPr>
      <w:bookmarkStart w:id="62" w:name="_Toc520978810"/>
      <w:bookmarkStart w:id="63" w:name="_Toc527529435"/>
      <w:bookmarkStart w:id="64" w:name="_Toc532909999"/>
      <w:r w:rsidRPr="008B628A">
        <w:lastRenderedPageBreak/>
        <w:t>NACIONĀLIE MĒRĶI UN MĒRĶRĀDĪTĀJI</w:t>
      </w:r>
      <w:bookmarkEnd w:id="62"/>
      <w:bookmarkEnd w:id="63"/>
      <w:bookmarkEnd w:id="64"/>
    </w:p>
    <w:p w14:paraId="58F550AF" w14:textId="07CF7CE1" w:rsidR="00581156" w:rsidRPr="008B628A" w:rsidRDefault="003D760C" w:rsidP="006F546A">
      <w:pPr>
        <w:pStyle w:val="Heading2"/>
      </w:pPr>
      <w:bookmarkStart w:id="65" w:name="_Toc520978811"/>
      <w:bookmarkStart w:id="66" w:name="_Toc527529436"/>
      <w:bookmarkStart w:id="67" w:name="_Toc532910000"/>
      <w:r>
        <w:t>D</w:t>
      </w:r>
      <w:r w:rsidR="00581156" w:rsidRPr="008B628A">
        <w:t>ekarbonizācija</w:t>
      </w:r>
      <w:bookmarkEnd w:id="65"/>
      <w:bookmarkEnd w:id="66"/>
      <w:bookmarkEnd w:id="67"/>
      <w:r w:rsidR="00581156" w:rsidRPr="008B628A">
        <w:t xml:space="preserve"> </w:t>
      </w:r>
    </w:p>
    <w:p w14:paraId="56252EBA" w14:textId="77777777" w:rsidR="002729AC" w:rsidRPr="008B628A" w:rsidRDefault="002729AC" w:rsidP="005F59CE">
      <w:pPr>
        <w:pStyle w:val="Heading3"/>
      </w:pPr>
      <w:bookmarkStart w:id="68" w:name="_Toc520978812"/>
      <w:bookmarkStart w:id="69" w:name="_Toc527529437"/>
      <w:bookmarkStart w:id="70" w:name="_Toc503213253"/>
      <w:r w:rsidRPr="008B628A">
        <w:t>SEG emisijas un CO</w:t>
      </w:r>
      <w:r w:rsidRPr="008B628A">
        <w:rPr>
          <w:vertAlign w:val="subscript"/>
        </w:rPr>
        <w:t>2</w:t>
      </w:r>
      <w:r w:rsidRPr="008B628A">
        <w:t xml:space="preserve"> piesaiste</w:t>
      </w:r>
      <w:bookmarkEnd w:id="68"/>
      <w:bookmarkEnd w:id="69"/>
    </w:p>
    <w:p w14:paraId="6B7E77A6" w14:textId="75857622" w:rsidR="002729AC" w:rsidRPr="008B628A" w:rsidRDefault="002729AC" w:rsidP="00FD6D1E">
      <w:pPr>
        <w:pStyle w:val="Heading4"/>
      </w:pPr>
      <w:bookmarkStart w:id="71" w:name="_Toc527529438"/>
      <w:bookmarkEnd w:id="70"/>
      <w:r w:rsidRPr="008B628A">
        <w:t>Latvijas ne-ETS darbību SEG emisiju samazināšanas mērķis 2030.gadam un ikgadējie mērķi 2021.-2030.gada</w:t>
      </w:r>
      <w:r w:rsidR="00D95610" w:rsidRPr="008B628A">
        <w:t>m</w:t>
      </w:r>
      <w:bookmarkEnd w:id="71"/>
    </w:p>
    <w:p w14:paraId="1287D9BF" w14:textId="77777777" w:rsidR="009370F1" w:rsidRPr="008B628A" w:rsidRDefault="009370F1" w:rsidP="00EB133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 periodā līdz 2030.gadam ir noteikts SEG emisiju samazināšanas mērķis – 2030.gada kopējam Latvijas SEG emisiju apjomam ir jābūt mazākam par 45% no 1990.gada Latvijas kopējā SEG emisiju apjoma.</w:t>
      </w:r>
    </w:p>
    <w:p w14:paraId="309E5FD4" w14:textId="0A771F30" w:rsidR="00A16795" w:rsidRPr="008B628A" w:rsidRDefault="00A16795" w:rsidP="00EB1337">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VPP2020 ir noteikti nacionālie SEG emisiju samazināšanas un CO</w:t>
      </w:r>
      <w:r w:rsidRPr="008B628A">
        <w:rPr>
          <w:rStyle w:val="normaltextrun"/>
          <w:rFonts w:eastAsiaTheme="majorEastAsia"/>
          <w:vertAlign w:val="subscript"/>
        </w:rPr>
        <w:t>2</w:t>
      </w:r>
      <w:r w:rsidRPr="008B628A">
        <w:rPr>
          <w:rStyle w:val="normaltextrun"/>
          <w:rFonts w:eastAsiaTheme="majorEastAsia"/>
        </w:rPr>
        <w:t xml:space="preserve"> piesaistes nodrošināšanas mērķi, kas ir saskanīgi ar tiem mērķiem, kas šajā jomā ir noteikti ES tiesību aktos.</w:t>
      </w:r>
    </w:p>
    <w:p w14:paraId="2BC00B7F" w14:textId="51D3858F" w:rsidR="00C27144" w:rsidRPr="008B628A" w:rsidRDefault="00D95610" w:rsidP="00C2714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2018. gada 30. augustā Valsts sekretāru sanāksmē</w:t>
      </w:r>
      <w:r w:rsidRPr="008B628A" w:rsidDel="004B4588">
        <w:rPr>
          <w:rFonts w:ascii="Times New Roman" w:hAnsi="Times New Roman" w:cs="Times New Roman"/>
          <w:szCs w:val="24"/>
        </w:rPr>
        <w:t xml:space="preserve"> </w:t>
      </w:r>
      <w:r w:rsidRPr="008B628A">
        <w:rPr>
          <w:rFonts w:ascii="Times New Roman" w:hAnsi="Times New Roman" w:cs="Times New Roman"/>
          <w:szCs w:val="24"/>
        </w:rPr>
        <w:t>ir izsludināts OMA2050 informatīvais ziņojums</w:t>
      </w:r>
      <w:r w:rsidR="00C27144" w:rsidRPr="008B628A">
        <w:rPr>
          <w:rStyle w:val="FootnoteReference"/>
          <w:rFonts w:ascii="Times New Roman" w:hAnsi="Times New Roman" w:cs="Times New Roman"/>
          <w:szCs w:val="24"/>
        </w:rPr>
        <w:footnoteReference w:id="68"/>
      </w:r>
      <w:r w:rsidRPr="008B628A">
        <w:rPr>
          <w:rFonts w:ascii="Times New Roman" w:hAnsi="Times New Roman" w:cs="Times New Roman"/>
          <w:szCs w:val="24"/>
        </w:rPr>
        <w:t xml:space="preserve">, kurā ir izvirzīti </w:t>
      </w:r>
      <w:r w:rsidR="00815510">
        <w:rPr>
          <w:rFonts w:ascii="Times New Roman" w:hAnsi="Times New Roman" w:cs="Times New Roman"/>
          <w:szCs w:val="24"/>
        </w:rPr>
        <w:t>neobligāti</w:t>
      </w:r>
      <w:r w:rsidR="00815510" w:rsidRPr="008B628A">
        <w:rPr>
          <w:rFonts w:ascii="Times New Roman" w:hAnsi="Times New Roman" w:cs="Times New Roman"/>
          <w:szCs w:val="24"/>
        </w:rPr>
        <w:t xml:space="preserve"> </w:t>
      </w:r>
      <w:r w:rsidRPr="008B628A">
        <w:rPr>
          <w:rFonts w:ascii="Times New Roman" w:hAnsi="Times New Roman" w:cs="Times New Roman"/>
          <w:szCs w:val="24"/>
        </w:rPr>
        <w:t>mērķi</w:t>
      </w:r>
      <w:r w:rsidR="00A4543D" w:rsidRPr="008B628A">
        <w:rPr>
          <w:rFonts w:ascii="Times New Roman" w:hAnsi="Times New Roman" w:cs="Times New Roman"/>
          <w:szCs w:val="24"/>
        </w:rPr>
        <w:t xml:space="preserve"> 2030., 2040. un 2050.gadam. </w:t>
      </w:r>
      <w:r w:rsidR="00C27144" w:rsidRPr="008B628A">
        <w:rPr>
          <w:rFonts w:ascii="Times New Roman" w:hAnsi="Times New Roman" w:cs="Times New Roman"/>
          <w:szCs w:val="24"/>
        </w:rPr>
        <w:t>Šie</w:t>
      </w:r>
      <w:r w:rsidR="00A4543D" w:rsidRPr="008B628A">
        <w:rPr>
          <w:rFonts w:ascii="Times New Roman" w:hAnsi="Times New Roman" w:cs="Times New Roman"/>
          <w:szCs w:val="24"/>
        </w:rPr>
        <w:t xml:space="preserve"> mērķi Plāna projekta iesniegšanas brīdī vēl nav</w:t>
      </w:r>
      <w:r w:rsidR="00C27144" w:rsidRPr="008B628A">
        <w:rPr>
          <w:rFonts w:ascii="Times New Roman" w:hAnsi="Times New Roman" w:cs="Times New Roman"/>
          <w:szCs w:val="24"/>
        </w:rPr>
        <w:t xml:space="preserve"> apstiprināti, kā arī nav nodrošināta </w:t>
      </w:r>
      <w:r w:rsidR="00815510">
        <w:rPr>
          <w:rFonts w:ascii="Times New Roman" w:hAnsi="Times New Roman" w:cs="Times New Roman"/>
          <w:szCs w:val="24"/>
        </w:rPr>
        <w:t xml:space="preserve">sākotnējā </w:t>
      </w:r>
      <w:r w:rsidR="00C27144" w:rsidRPr="008B628A">
        <w:rPr>
          <w:rFonts w:ascii="Times New Roman" w:hAnsi="Times New Roman" w:cs="Times New Roman"/>
          <w:szCs w:val="24"/>
        </w:rPr>
        <w:t xml:space="preserve">vienošanās par tiem. </w:t>
      </w:r>
    </w:p>
    <w:p w14:paraId="6DC11297" w14:textId="21D653E2" w:rsidR="002729AC" w:rsidRPr="008B628A" w:rsidRDefault="002729AC" w:rsidP="00EB1337">
      <w:pPr>
        <w:spacing w:before="120" w:after="120" w:line="240" w:lineRule="auto"/>
        <w:jc w:val="both"/>
        <w:rPr>
          <w:rFonts w:ascii="Times New Roman" w:hAnsi="Times New Roman" w:cs="Times New Roman"/>
          <w:szCs w:val="24"/>
        </w:rPr>
      </w:pPr>
      <w:r w:rsidRPr="008B628A">
        <w:rPr>
          <w:rFonts w:ascii="Times New Roman" w:eastAsia="Times New Roman" w:hAnsi="Times New Roman" w:cs="Times New Roman"/>
          <w:szCs w:val="24"/>
        </w:rPr>
        <w:t>Ņemot vērā Latvijas dalību ES</w:t>
      </w:r>
      <w:r w:rsidR="00463E03" w:rsidRPr="008B628A">
        <w:rPr>
          <w:rFonts w:ascii="Times New Roman" w:eastAsia="Times New Roman" w:hAnsi="Times New Roman" w:cs="Times New Roman"/>
          <w:szCs w:val="24"/>
        </w:rPr>
        <w:t>,</w:t>
      </w:r>
      <w:r w:rsidRPr="008B628A">
        <w:rPr>
          <w:rFonts w:ascii="Times New Roman" w:eastAsia="Times New Roman" w:hAnsi="Times New Roman" w:cs="Times New Roman"/>
          <w:szCs w:val="24"/>
        </w:rPr>
        <w:t xml:space="preserve"> Latvijas klimata politikas mērķi ir saistīti ar ES klimata politikas mērķiem, kā arī ar starptautisko klimata politiku – </w:t>
      </w:r>
      <w:r w:rsidRPr="008B628A">
        <w:rPr>
          <w:rFonts w:ascii="Times New Roman" w:hAnsi="Times New Roman" w:cs="Times New Roman"/>
          <w:szCs w:val="24"/>
        </w:rPr>
        <w:t>Konvenciju, tās Kioto protokolu un Parīzes nolīgumu.</w:t>
      </w:r>
    </w:p>
    <w:p w14:paraId="2285C4E0"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Parīzes nolīgums tika pieņemts ANO Vispārējās konvencijas par klimata pārmaiņām Pušu konferences 21. sesijā 2015. gada 12. decembrī, Parīzē. Likums par Parīzes nolīguma ratifikācijai tika pieņemts Saeimā 2017. gada 2. februārī un Valsts prezidents likumu izsludināja 8. februārī. </w:t>
      </w:r>
    </w:p>
    <w:p w14:paraId="00DE7855"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Parīzes nolīgumā ir noteikti vairāki mērķi, kas arī Latvijai, kā Parīzes nolīguma pusei ir jāņem vērā. Parīzes nolīguma mērķis ir stiprināt globālo rīcību klimata pārmaiņu novēršanai un:</w:t>
      </w:r>
    </w:p>
    <w:p w14:paraId="71BAF5C5"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 xml:space="preserve">noturēt globālo sasilšanu būtiski zem 2° C robežas salīdzinot ar pirmsindustriālo līmeni un censties ierobežot temperatūras pieaugumu 1.5°C robežās, jo tas būtiski samazinās klimata pārmaiņu izraisītos riskus un ietekmes; </w:t>
      </w:r>
    </w:p>
    <w:p w14:paraId="2C737CCE"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 xml:space="preserve">uzlabot pielāgošanos klimata pārmaiņu negatīvajām ietekmēm un sekmēt noturīgumu pret klimata pārmaiņām; </w:t>
      </w:r>
    </w:p>
    <w:p w14:paraId="6587C1FA"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sekmēt investīciju novirzi saskaņā ar oglekļa mazietilpīgu un pret klimata pārmaiņām noturīgu attīstību.</w:t>
      </w:r>
    </w:p>
    <w:p w14:paraId="2429772D"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Parīzes nolīgumā ir noteikts mērķis gadsimta otrajā pusē panākt līdzsvaru starp SEG antropogēnajām emisijām no dažādiem avotiem un to piesaisti dažādās piesaistītājsistēmās. Tāpat ir noteikts mērķis saistībā ar pielāgošanos – palielināt pielāgošanās spējas, stiprināt noturību un mazināt neaizsargātību pret klimata pārmaiņām nolūkā sekmēt ilgtspējīgu attīstību un nodrošināt pienācīgu pielāgošanos, ievērojot Parīzes nolīgumā noteikto temperatūras kāpuma iegrožošanas mērķi</w:t>
      </w:r>
    </w:p>
    <w:p w14:paraId="22F30B4A" w14:textId="46844283" w:rsidR="002729AC" w:rsidRPr="008B628A" w:rsidRDefault="002729AC" w:rsidP="00EB1337">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6104E707" w14:textId="0B8F4E2D" w:rsidR="002729AC" w:rsidRPr="008B628A" w:rsidRDefault="002729AC" w:rsidP="00283C85">
      <w:pPr>
        <w:pStyle w:val="ListParagraph"/>
        <w:numPr>
          <w:ilvl w:val="0"/>
          <w:numId w:val="3"/>
        </w:numPr>
        <w:spacing w:before="120" w:after="120" w:line="240" w:lineRule="auto"/>
        <w:ind w:left="340" w:hanging="340"/>
        <w:contextualSpacing w:val="0"/>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ETS operatoriem kopīgi visā ES ir jāsamazina SEG emisiju apjoms par 43 % periodā (salīdzinot ar šo ETS operatoru SEG emisiju apjomu 2005. gadā). </w:t>
      </w:r>
    </w:p>
    <w:p w14:paraId="141FECE2" w14:textId="77777777" w:rsidR="002729AC" w:rsidRPr="008B628A" w:rsidRDefault="002729AC" w:rsidP="00283C85">
      <w:pPr>
        <w:pStyle w:val="ListParagraph"/>
        <w:numPr>
          <w:ilvl w:val="0"/>
          <w:numId w:val="3"/>
        </w:numPr>
        <w:spacing w:before="120" w:after="120" w:line="240" w:lineRule="auto"/>
        <w:ind w:left="340" w:hanging="340"/>
        <w:contextualSpacing w:val="0"/>
        <w:jc w:val="both"/>
        <w:rPr>
          <w:rFonts w:ascii="Times New Roman" w:eastAsia="Times New Roman" w:hAnsi="Times New Roman" w:cs="Times New Roman"/>
          <w:szCs w:val="24"/>
        </w:rPr>
      </w:pPr>
      <w:r w:rsidRPr="008B628A">
        <w:rPr>
          <w:rFonts w:ascii="Times New Roman" w:eastAsia="Times New Roman" w:hAnsi="Times New Roman" w:cs="Times New Roman"/>
          <w:szCs w:val="24"/>
        </w:rPr>
        <w:lastRenderedPageBreak/>
        <w:t>kopējais ES ne-ETS SEG emisiju apjoms ir jāsamazina par 30 % periodā (salīdzinot ar šo ne-ETS darbību SEG emisiju apjomu 2005. gadā).</w:t>
      </w:r>
    </w:p>
    <w:p w14:paraId="27CF5ED0" w14:textId="44FE46C2" w:rsidR="002729AC" w:rsidRPr="008B628A" w:rsidRDefault="002729AC" w:rsidP="002729AC">
      <w:pPr>
        <w:spacing w:before="120" w:after="120" w:line="240" w:lineRule="auto"/>
        <w:jc w:val="both"/>
        <w:rPr>
          <w:rFonts w:ascii="Times New Roman" w:hAnsi="Times New Roman" w:cs="Times New Roman"/>
          <w:szCs w:val="24"/>
        </w:rPr>
      </w:pPr>
      <w:r w:rsidRPr="008B628A">
        <w:rPr>
          <w:rFonts w:ascii="Times New Roman" w:eastAsia="Times New Roman" w:hAnsi="Times New Roman" w:cs="Times New Roman"/>
          <w:szCs w:val="24"/>
        </w:rPr>
        <w:t>ETS mērķa izpildes organizēšana ir EK atbildība. Šī mērķa izpildei ar ES normatīvo regulējumu</w:t>
      </w:r>
      <w:r w:rsidRPr="008B628A" w:rsidDel="00CB5C99">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t xml:space="preserve">ir apstiprināti ETS darbības nosacījumi un noteikta ETS operatoru atbildība. ETS operatoru SEG emisiju apjoma samazināšanas pasākumi </w:t>
      </w:r>
      <w:r w:rsidR="00140C65" w:rsidRPr="008B628A">
        <w:rPr>
          <w:rFonts w:ascii="Times New Roman" w:eastAsia="Times New Roman" w:hAnsi="Times New Roman" w:cs="Times New Roman"/>
          <w:szCs w:val="24"/>
        </w:rPr>
        <w:t xml:space="preserve">ir </w:t>
      </w:r>
      <w:r w:rsidRPr="008B628A">
        <w:rPr>
          <w:rFonts w:ascii="Times New Roman" w:eastAsia="Times New Roman" w:hAnsi="Times New Roman" w:cs="Times New Roman"/>
          <w:szCs w:val="24"/>
        </w:rPr>
        <w:t>harmonizētā veidā</w:t>
      </w:r>
      <w:r w:rsidR="00140C65" w:rsidRPr="008B628A">
        <w:rPr>
          <w:rFonts w:ascii="Times New Roman" w:eastAsia="Times New Roman" w:hAnsi="Times New Roman" w:cs="Times New Roman"/>
          <w:szCs w:val="24"/>
        </w:rPr>
        <w:t xml:space="preserve"> noteikti </w:t>
      </w:r>
      <w:r w:rsidR="0050180E" w:rsidRPr="008B628A">
        <w:rPr>
          <w:rFonts w:ascii="Times New Roman" w:eastAsia="Calibri" w:hAnsi="Times New Roman" w:cs="Times New Roman"/>
          <w:szCs w:val="24"/>
        </w:rPr>
        <w:t>Direktīvā 2003/87/EK</w:t>
      </w:r>
      <w:r w:rsidR="0050180E" w:rsidRPr="008B628A">
        <w:rPr>
          <w:rStyle w:val="FootnoteReference"/>
          <w:rFonts w:ascii="Times New Roman" w:eastAsia="Times New Roman" w:hAnsi="Times New Roman" w:cs="Times New Roman"/>
          <w:szCs w:val="24"/>
        </w:rPr>
        <w:t xml:space="preserve"> </w:t>
      </w:r>
      <w:r w:rsidRPr="008B628A">
        <w:rPr>
          <w:rStyle w:val="FootnoteReference"/>
          <w:rFonts w:ascii="Times New Roman" w:eastAsia="Times New Roman" w:hAnsi="Times New Roman" w:cs="Times New Roman"/>
          <w:szCs w:val="24"/>
        </w:rPr>
        <w:footnoteReference w:id="69"/>
      </w:r>
      <w:r w:rsidRPr="008B628A">
        <w:rPr>
          <w:rFonts w:ascii="Times New Roman" w:eastAsia="Times New Roman" w:hAnsi="Times New Roman" w:cs="Times New Roman"/>
          <w:szCs w:val="24"/>
        </w:rPr>
        <w:t xml:space="preserve">, un šo pasākumu izstrādi un īstenošanu nodrošina EK kopā </w:t>
      </w:r>
      <w:r w:rsidR="0050180E" w:rsidRPr="008B628A">
        <w:rPr>
          <w:rFonts w:ascii="Times New Roman" w:eastAsia="Times New Roman" w:hAnsi="Times New Roman" w:cs="Times New Roman"/>
          <w:szCs w:val="24"/>
        </w:rPr>
        <w:t xml:space="preserve">ar ES dalībvalstīm, īstenojot </w:t>
      </w:r>
      <w:r w:rsidR="0050180E" w:rsidRPr="008B628A">
        <w:rPr>
          <w:rFonts w:ascii="Times New Roman" w:eastAsia="Calibri" w:hAnsi="Times New Roman" w:cs="Times New Roman"/>
          <w:szCs w:val="24"/>
        </w:rPr>
        <w:t>Direktīvā 2003/87/EK</w:t>
      </w:r>
      <w:r w:rsidRPr="008B628A">
        <w:rPr>
          <w:rFonts w:ascii="Times New Roman" w:eastAsia="Times New Roman" w:hAnsi="Times New Roman" w:cs="Times New Roman"/>
          <w:szCs w:val="24"/>
        </w:rPr>
        <w:t xml:space="preserve"> noteiktās prasības un nosacījumus. ETS piedalās arī Latvijas komersanti.</w:t>
      </w:r>
    </w:p>
    <w:p w14:paraId="59751AB1" w14:textId="37143380" w:rsidR="002729AC" w:rsidRPr="008B628A" w:rsidRDefault="002729AC" w:rsidP="002729AC">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0050180E" w:rsidRPr="008B628A">
        <w:rPr>
          <w:rFonts w:ascii="Times New Roman" w:eastAsia="Calibri" w:hAnsi="Times New Roman" w:cs="Times New Roman"/>
          <w:szCs w:val="24"/>
        </w:rPr>
        <w:t>Regulā 2018/842</w:t>
      </w:r>
      <w:r w:rsidRPr="008B628A">
        <w:rPr>
          <w:rStyle w:val="FootnoteReference"/>
          <w:rFonts w:ascii="Times New Roman" w:eastAsia="Times New Roman" w:hAnsi="Times New Roman" w:cs="Times New Roman"/>
          <w:szCs w:val="24"/>
        </w:rPr>
        <w:footnoteReference w:id="70"/>
      </w:r>
      <w:r w:rsidRPr="008B628A">
        <w:rPr>
          <w:rFonts w:ascii="Times New Roman" w:eastAsia="Times New Roman" w:hAnsi="Times New Roman" w:cs="Times New Roman"/>
          <w:szCs w:val="24"/>
        </w:rPr>
        <w:t>. Latvijai periodā no 2021. gada līdz 2030.gadam Latvijai ir nepieciešams nodrošināt 6% ne-ETS darbību SEG emisiju samazinājumu salīdzinot ar Latvijas ne-ETS darbību SEG emisiju apjomu 2005. gadā. Perioda kopējais mērķis ir sadalīts arī ikgadējos saistošos mērķos.</w:t>
      </w:r>
    </w:p>
    <w:p w14:paraId="7C8DDCED" w14:textId="3AB79B09" w:rsidR="002729AC" w:rsidRPr="008B628A" w:rsidRDefault="002729AC" w:rsidP="002729AC">
      <w:pPr>
        <w:spacing w:before="120" w:after="120" w:line="240" w:lineRule="auto"/>
        <w:jc w:val="both"/>
        <w:rPr>
          <w:rFonts w:ascii="Times New Roman" w:eastAsia="Times New Roman" w:hAnsi="Times New Roman" w:cs="Times New Roman"/>
          <w:b/>
          <w:szCs w:val="24"/>
        </w:rPr>
      </w:pPr>
      <w:r w:rsidRPr="008B628A">
        <w:rPr>
          <w:rFonts w:ascii="Times New Roman" w:eastAsia="Times New Roman" w:hAnsi="Times New Roman" w:cs="Times New Roman"/>
          <w:b/>
          <w:szCs w:val="24"/>
        </w:rPr>
        <w:t>Ikgadējie 2021.-2030.gada perioda ne-ETS darbību SEG emisiju samazināšanas mērķi Latvijai tiks noteikti</w:t>
      </w:r>
      <w:r w:rsidR="00156CAD" w:rsidRPr="008B628A">
        <w:rPr>
          <w:rFonts w:ascii="Times New Roman" w:eastAsia="Times New Roman" w:hAnsi="Times New Roman" w:cs="Times New Roman"/>
          <w:b/>
          <w:szCs w:val="24"/>
        </w:rPr>
        <w:t>, izmantojot jaunākās pieejamās pārbaudītās SEG inventarizācijas datus 2005.gadam un 2016., 2017. un 2018.gadam,</w:t>
      </w:r>
      <w:r w:rsidRPr="008B628A">
        <w:rPr>
          <w:rFonts w:ascii="Times New Roman" w:eastAsia="Times New Roman" w:hAnsi="Times New Roman" w:cs="Times New Roman"/>
          <w:b/>
          <w:szCs w:val="24"/>
        </w:rPr>
        <w:t xml:space="preserve"> </w:t>
      </w:r>
      <w:r w:rsidR="00304C82" w:rsidRPr="008B628A">
        <w:rPr>
          <w:rFonts w:ascii="Times New Roman" w:eastAsia="Times New Roman" w:hAnsi="Times New Roman" w:cs="Times New Roman"/>
          <w:b/>
          <w:szCs w:val="24"/>
        </w:rPr>
        <w:t xml:space="preserve">tikai </w:t>
      </w:r>
      <w:r w:rsidR="00156CAD" w:rsidRPr="008B628A">
        <w:rPr>
          <w:rFonts w:ascii="Times New Roman" w:eastAsia="Times New Roman" w:hAnsi="Times New Roman" w:cs="Times New Roman"/>
          <w:b/>
          <w:szCs w:val="24"/>
        </w:rPr>
        <w:t xml:space="preserve">2020.gadā un </w:t>
      </w:r>
      <w:r w:rsidRPr="008B628A">
        <w:rPr>
          <w:rFonts w:ascii="Times New Roman" w:eastAsia="Times New Roman" w:hAnsi="Times New Roman" w:cs="Times New Roman"/>
          <w:b/>
          <w:szCs w:val="24"/>
        </w:rPr>
        <w:t xml:space="preserve">pēc tam, kad tiks pieņemts </w:t>
      </w:r>
      <w:r w:rsidR="0050180E" w:rsidRPr="008B628A">
        <w:rPr>
          <w:rFonts w:ascii="Times New Roman" w:eastAsia="Calibri" w:hAnsi="Times New Roman" w:cs="Times New Roman"/>
          <w:b/>
          <w:szCs w:val="24"/>
        </w:rPr>
        <w:t>Regulas 2018/842</w:t>
      </w:r>
      <w:r w:rsidRPr="008B628A">
        <w:rPr>
          <w:rFonts w:ascii="Times New Roman" w:eastAsia="Times New Roman" w:hAnsi="Times New Roman" w:cs="Times New Roman"/>
          <w:b/>
          <w:szCs w:val="24"/>
        </w:rPr>
        <w:t xml:space="preserve"> 4.pantā minētais </w:t>
      </w:r>
      <w:r w:rsidR="00445E35" w:rsidRPr="008B628A">
        <w:rPr>
          <w:rFonts w:ascii="Times New Roman" w:eastAsia="Times New Roman" w:hAnsi="Times New Roman" w:cs="Times New Roman"/>
          <w:b/>
          <w:szCs w:val="24"/>
        </w:rPr>
        <w:t>EK</w:t>
      </w:r>
      <w:r w:rsidRPr="008B628A">
        <w:rPr>
          <w:rFonts w:ascii="Times New Roman" w:eastAsia="Times New Roman" w:hAnsi="Times New Roman" w:cs="Times New Roman"/>
          <w:b/>
          <w:szCs w:val="24"/>
        </w:rPr>
        <w:t xml:space="preserve"> Īstenošanas akts.</w:t>
      </w:r>
      <w:r w:rsidR="00304C82" w:rsidRPr="008B628A">
        <w:rPr>
          <w:rFonts w:ascii="Times New Roman" w:eastAsia="Times New Roman" w:hAnsi="Times New Roman" w:cs="Times New Roman"/>
          <w:b/>
          <w:szCs w:val="24"/>
        </w:rPr>
        <w:t xml:space="preserve"> Tāpēc Plānā iekļautie ikgadējie SEG emisiju samazinājumi ir indikatīvi rādītāji.</w:t>
      </w:r>
    </w:p>
    <w:p w14:paraId="126F6503" w14:textId="02E6C4A9" w:rsidR="00071E13" w:rsidRPr="008B628A" w:rsidRDefault="00A16795" w:rsidP="002729AC">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Tomēr saskaņā ar EK rekomendācijām un ņemot vērā </w:t>
      </w:r>
      <w:r w:rsidR="0050180E" w:rsidRPr="008B628A">
        <w:rPr>
          <w:rFonts w:ascii="Times New Roman" w:eastAsia="Calibri" w:hAnsi="Times New Roman" w:cs="Times New Roman"/>
        </w:rPr>
        <w:t>EnS pārvaldības regulas priekšlikuma</w:t>
      </w:r>
      <w:r w:rsidRPr="008B628A">
        <w:rPr>
          <w:rFonts w:ascii="Times New Roman" w:eastAsia="Times New Roman" w:hAnsi="Times New Roman" w:cs="Times New Roman"/>
          <w:szCs w:val="24"/>
        </w:rPr>
        <w:t xml:space="preserve"> 4.panta (a) apakšpunkta 1.punktu</w:t>
      </w:r>
      <w:r w:rsidR="00156CAD" w:rsidRPr="008B628A">
        <w:rPr>
          <w:rFonts w:ascii="Times New Roman" w:eastAsia="Times New Roman" w:hAnsi="Times New Roman" w:cs="Times New Roman"/>
          <w:szCs w:val="24"/>
        </w:rPr>
        <w:t xml:space="preserve"> Latvijai ir jāaprēķina ikgadējie saistošie emisiju sadales apjomi 2021.-2030.gadam saskaņā ar </w:t>
      </w:r>
      <w:r w:rsidR="0050180E" w:rsidRPr="008B628A">
        <w:rPr>
          <w:rFonts w:ascii="Times New Roman" w:eastAsia="Calibri" w:hAnsi="Times New Roman" w:cs="Times New Roman"/>
          <w:szCs w:val="24"/>
        </w:rPr>
        <w:t>Regulā 2018/842</w:t>
      </w:r>
      <w:r w:rsidR="00156CAD" w:rsidRPr="008B628A">
        <w:rPr>
          <w:rFonts w:ascii="Times New Roman" w:eastAsia="Times New Roman" w:hAnsi="Times New Roman" w:cs="Times New Roman"/>
          <w:szCs w:val="24"/>
        </w:rPr>
        <w:t xml:space="preserve"> noteikto formulu:</w:t>
      </w:r>
    </w:p>
    <w:p w14:paraId="70786824" w14:textId="5D803521" w:rsidR="00156CAD" w:rsidRPr="008B628A" w:rsidRDefault="00156CAD" w:rsidP="00156CAD">
      <w:pPr>
        <w:spacing w:before="120" w:after="120" w:line="240" w:lineRule="auto"/>
        <w:ind w:left="720"/>
        <w:jc w:val="both"/>
        <w:rPr>
          <w:rFonts w:ascii="Times New Roman" w:eastAsia="Times New Roman" w:hAnsi="Times New Roman" w:cs="Times New Roman"/>
          <w:i/>
          <w:szCs w:val="24"/>
        </w:rPr>
      </w:pPr>
      <w:r w:rsidRPr="008B628A">
        <w:rPr>
          <w:rFonts w:ascii="Times New Roman" w:hAnsi="Times New Roman" w:cs="Times New Roman"/>
          <w:i/>
          <w:color w:val="000000"/>
          <w:shd w:val="clear" w:color="auto" w:fill="FFFFFF"/>
        </w:rPr>
        <w:t>katra dalībvalsts nodrošina, ka tās siltumnīcefekta gāzu emisijas ik gadu laikposmā no 2021. līdz 2029. gadam nepārsniedz ierobežojumu, kas noteikts lineārā trajektorijā, kuras izejas punkts ir 2016., 2017. un 2018. gada vidējais siltumnīcefekta gāzu emisiju apjoms, kas noteikts, ievērojot šā panta 3. punktu, bet beigu punkts – šīs regulas I pielikumā attiecīgajai dalībvalstij 2030. gadā noteiktais ierobežojums. Dalībvalsts lineārās trajektorijas izejas punkts ir vai nu piecās divpadsmitajās daļās no laika perioda starp 2019. un 2020. gadu vai 2020. gadā – atkarībā no tā, kurš no abiem attiecīgajai dalībvalstij aprēķina rezultātā dod mazāku sadales apjomu.</w:t>
      </w:r>
    </w:p>
    <w:bookmarkStart w:id="72" w:name="_Hlk517706990"/>
    <w:p w14:paraId="123B823E" w14:textId="22B6C5E2" w:rsidR="00875C71" w:rsidRPr="008B628A" w:rsidRDefault="00875C71" w:rsidP="00CD366E">
      <w:pPr>
        <w:pStyle w:val="Caption"/>
      </w:pPr>
      <w:r w:rsidRPr="008B628A">
        <w:fldChar w:fldCharType="begin"/>
      </w:r>
      <w:r w:rsidRPr="008B628A">
        <w:instrText xml:space="preserve"> SEQ Tabula \* ARABIC </w:instrText>
      </w:r>
      <w:r w:rsidRPr="008B628A">
        <w:fldChar w:fldCharType="separate"/>
      </w:r>
      <w:bookmarkStart w:id="73" w:name="_Toc531333142"/>
      <w:r w:rsidR="006067D4">
        <w:rPr>
          <w:noProof/>
        </w:rPr>
        <w:t>2</w:t>
      </w:r>
      <w:r w:rsidRPr="008B628A">
        <w:fldChar w:fldCharType="end"/>
      </w:r>
      <w:r w:rsidRPr="008B628A">
        <w:t xml:space="preserve">.tabula. Latvijas aprēķinātie </w:t>
      </w:r>
      <w:r w:rsidR="00B84290" w:rsidRPr="008B628A">
        <w:rPr>
          <w:u w:val="single"/>
        </w:rPr>
        <w:t>indikatīvie</w:t>
      </w:r>
      <w:r w:rsidR="00B84290" w:rsidRPr="008B628A">
        <w:t xml:space="preserve"> </w:t>
      </w:r>
      <w:r w:rsidRPr="008B628A">
        <w:t>saistošie ne-ETS darbību ikgadējie SEG emisiju samazinājumi 2021.-2030.gadam</w:t>
      </w:r>
      <w:r w:rsidR="00B84290" w:rsidRPr="008B628A">
        <w:rPr>
          <w:rStyle w:val="FootnoteReference"/>
        </w:rPr>
        <w:footnoteReference w:id="71"/>
      </w:r>
      <w:bookmarkEnd w:id="73"/>
    </w:p>
    <w:tbl>
      <w:tblPr>
        <w:tblW w:w="8505" w:type="dxa"/>
        <w:jc w:val="center"/>
        <w:tblLook w:val="04A0" w:firstRow="1" w:lastRow="0" w:firstColumn="1" w:lastColumn="0" w:noHBand="0" w:noVBand="1"/>
      </w:tblPr>
      <w:tblGrid>
        <w:gridCol w:w="869"/>
        <w:gridCol w:w="2647"/>
        <w:gridCol w:w="2149"/>
        <w:gridCol w:w="2840"/>
      </w:tblGrid>
      <w:tr w:rsidR="00E93D26" w:rsidRPr="008B628A" w14:paraId="2AB5A4A4" w14:textId="77777777" w:rsidTr="00FD6D1E">
        <w:trPr>
          <w:trHeight w:val="630"/>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B078B" w14:textId="77777777" w:rsidR="00E93D26" w:rsidRPr="008B628A" w:rsidRDefault="00E93D26" w:rsidP="00E93D26">
            <w:pPr>
              <w:spacing w:after="0" w:line="240" w:lineRule="auto"/>
              <w:jc w:val="both"/>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 </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14:paraId="6E2D13DE" w14:textId="3B4B9AA7" w:rsidR="00E93D26" w:rsidRPr="008B628A" w:rsidRDefault="00E93D26"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Ne-ETS darbību SEG emisiju apjoms (tonnas)</w:t>
            </w:r>
            <w:r w:rsidR="007473D0" w:rsidRPr="008B628A">
              <w:rPr>
                <w:rStyle w:val="FootnoteReference"/>
                <w:rFonts w:ascii="Times New Roman" w:eastAsiaTheme="majorEastAsia" w:hAnsi="Times New Roman" w:cs="Times New Roman"/>
                <w:b/>
                <w:bCs/>
                <w:color w:val="000000"/>
                <w:sz w:val="22"/>
                <w:lang w:eastAsia="lv-LV"/>
              </w:rPr>
              <w:t xml:space="preserve"> </w:t>
            </w:r>
            <w:r w:rsidR="007473D0" w:rsidRPr="008B628A">
              <w:rPr>
                <w:rStyle w:val="FootnoteReference"/>
                <w:rFonts w:ascii="Times New Roman" w:eastAsiaTheme="majorEastAsia" w:hAnsi="Times New Roman" w:cs="Times New Roman"/>
                <w:b/>
                <w:bCs/>
                <w:color w:val="000000"/>
                <w:sz w:val="22"/>
                <w:lang w:eastAsia="lv-LV"/>
              </w:rPr>
              <w:footnoteReference w:id="72"/>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52602A94" w14:textId="6086F5A5" w:rsidR="00E93D26" w:rsidRPr="008B628A" w:rsidRDefault="00400B29"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e</w:t>
            </w:r>
            <w:r w:rsidR="00E93D26" w:rsidRPr="008B628A">
              <w:rPr>
                <w:rFonts w:ascii="Times New Roman" w:eastAsia="Times New Roman" w:hAnsi="Times New Roman" w:cs="Times New Roman"/>
                <w:b/>
                <w:bCs/>
                <w:color w:val="000000"/>
                <w:sz w:val="22"/>
                <w:lang w:eastAsia="lv-LV"/>
              </w:rPr>
              <w:t>misiju sadales apjoms 2020.gadā</w:t>
            </w:r>
            <w:r w:rsidR="00912935" w:rsidRPr="008B628A">
              <w:rPr>
                <w:rStyle w:val="FootnoteReference"/>
                <w:rFonts w:ascii="Times New Roman" w:hAnsi="Times New Roman" w:cs="Times New Roman"/>
                <w:b/>
                <w:color w:val="000000" w:themeColor="text1"/>
              </w:rPr>
              <w:footnoteReference w:id="73"/>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4E4E3E37" w14:textId="486E354C" w:rsidR="00E93D26" w:rsidRPr="008B628A" w:rsidRDefault="00400B29"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i</w:t>
            </w:r>
            <w:r w:rsidR="00E93D26" w:rsidRPr="008B628A">
              <w:rPr>
                <w:rFonts w:ascii="Times New Roman" w:eastAsiaTheme="majorEastAsia" w:hAnsi="Times New Roman" w:cs="Times New Roman"/>
                <w:b/>
                <w:bCs/>
                <w:color w:val="000000"/>
                <w:sz w:val="22"/>
                <w:lang w:eastAsia="lv-LV"/>
              </w:rPr>
              <w:t>kgadējie emisiju sadales apjomi 2021.-2030.gadam</w:t>
            </w:r>
            <w:r w:rsidR="00912935" w:rsidRPr="008B628A">
              <w:rPr>
                <w:rStyle w:val="FootnoteReference"/>
                <w:rFonts w:ascii="Times New Roman" w:eastAsiaTheme="majorEastAsia" w:hAnsi="Times New Roman" w:cs="Times New Roman"/>
                <w:b/>
                <w:bCs/>
                <w:color w:val="000000"/>
                <w:sz w:val="22"/>
                <w:lang w:eastAsia="lv-LV"/>
              </w:rPr>
              <w:footnoteReference w:id="74"/>
            </w:r>
          </w:p>
        </w:tc>
      </w:tr>
      <w:tr w:rsidR="00E93D26" w:rsidRPr="008B628A" w14:paraId="1A7B1C69"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1579E732" w14:textId="77777777" w:rsidR="00E93D26" w:rsidRPr="008B628A" w:rsidRDefault="00E93D26" w:rsidP="00400B29">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2005</w:t>
            </w:r>
          </w:p>
        </w:tc>
        <w:tc>
          <w:tcPr>
            <w:tcW w:w="2647" w:type="dxa"/>
            <w:tcBorders>
              <w:top w:val="nil"/>
              <w:left w:val="nil"/>
              <w:bottom w:val="single" w:sz="4" w:space="0" w:color="auto"/>
              <w:right w:val="single" w:sz="4" w:space="0" w:color="auto"/>
            </w:tcBorders>
            <w:shd w:val="clear" w:color="auto" w:fill="auto"/>
            <w:vAlign w:val="center"/>
            <w:hideMark/>
          </w:tcPr>
          <w:p w14:paraId="00A724D0" w14:textId="30C38B2D" w:rsidR="00E93D26" w:rsidRPr="008B628A" w:rsidRDefault="0011587F"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8</w:t>
            </w:r>
            <w:r w:rsidR="007473D0" w:rsidRPr="008B628A">
              <w:rPr>
                <w:rFonts w:ascii="Times New Roman" w:eastAsiaTheme="majorEastAsia" w:hAnsi="Times New Roman" w:cs="Times New Roman"/>
                <w:color w:val="000000"/>
                <w:szCs w:val="24"/>
                <w:lang w:eastAsia="lv-LV"/>
              </w:rPr>
              <w:t xml:space="preserve"> </w:t>
            </w:r>
            <w:r w:rsidRPr="008B628A">
              <w:rPr>
                <w:rFonts w:ascii="Times New Roman" w:eastAsiaTheme="majorEastAsia" w:hAnsi="Times New Roman" w:cs="Times New Roman"/>
                <w:color w:val="000000"/>
                <w:szCs w:val="24"/>
                <w:lang w:eastAsia="lv-LV"/>
              </w:rPr>
              <w:t>599</w:t>
            </w:r>
            <w:r w:rsidR="007473D0" w:rsidRPr="008B628A">
              <w:rPr>
                <w:rFonts w:ascii="Times New Roman" w:eastAsiaTheme="majorEastAsia" w:hAnsi="Times New Roman" w:cs="Times New Roman"/>
                <w:color w:val="000000"/>
                <w:szCs w:val="24"/>
                <w:lang w:eastAsia="lv-LV"/>
              </w:rPr>
              <w:t xml:space="preserve"> </w:t>
            </w:r>
            <w:r w:rsidRPr="008B628A">
              <w:rPr>
                <w:rFonts w:ascii="Times New Roman" w:eastAsiaTheme="majorEastAsia" w:hAnsi="Times New Roman" w:cs="Times New Roman"/>
                <w:color w:val="000000"/>
                <w:szCs w:val="24"/>
                <w:lang w:eastAsia="lv-LV"/>
              </w:rPr>
              <w:t>626</w:t>
            </w:r>
          </w:p>
        </w:tc>
        <w:tc>
          <w:tcPr>
            <w:tcW w:w="2149" w:type="dxa"/>
            <w:tcBorders>
              <w:top w:val="nil"/>
              <w:left w:val="nil"/>
              <w:bottom w:val="single" w:sz="4" w:space="0" w:color="auto"/>
              <w:right w:val="single" w:sz="4" w:space="0" w:color="auto"/>
            </w:tcBorders>
            <w:shd w:val="clear" w:color="auto" w:fill="auto"/>
            <w:vAlign w:val="center"/>
            <w:hideMark/>
          </w:tcPr>
          <w:p w14:paraId="273BE328" w14:textId="77777777" w:rsidR="00E93D26" w:rsidRPr="008B628A" w:rsidRDefault="00E93D26"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F8633B9" w14:textId="77777777" w:rsidR="00E93D26" w:rsidRPr="008B628A" w:rsidRDefault="00E93D26" w:rsidP="00E93D26">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400B29" w:rsidRPr="008B628A" w14:paraId="62C7F364"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hideMark/>
          </w:tcPr>
          <w:p w14:paraId="4042EE97" w14:textId="692B2E70" w:rsidR="00400B29" w:rsidRPr="008B628A" w:rsidRDefault="00400B29" w:rsidP="00400B29">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b/>
                <w:bCs/>
                <w:color w:val="000000"/>
                <w:szCs w:val="24"/>
                <w:lang w:eastAsia="lv-LV"/>
              </w:rPr>
              <w:t> </w:t>
            </w:r>
          </w:p>
        </w:tc>
      </w:tr>
      <w:tr w:rsidR="007473D0" w:rsidRPr="008B628A" w14:paraId="1E95EA6E"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BD129AF"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2016</w:t>
            </w:r>
          </w:p>
        </w:tc>
        <w:tc>
          <w:tcPr>
            <w:tcW w:w="2647" w:type="dxa"/>
            <w:tcBorders>
              <w:top w:val="nil"/>
              <w:left w:val="nil"/>
              <w:bottom w:val="single" w:sz="4" w:space="0" w:color="auto"/>
              <w:right w:val="single" w:sz="4" w:space="0" w:color="auto"/>
            </w:tcBorders>
            <w:shd w:val="clear" w:color="auto" w:fill="auto"/>
            <w:vAlign w:val="center"/>
            <w:hideMark/>
          </w:tcPr>
          <w:p w14:paraId="1238D6B3" w14:textId="1EBE021E"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9 107 440</w:t>
            </w:r>
          </w:p>
        </w:tc>
        <w:tc>
          <w:tcPr>
            <w:tcW w:w="2149" w:type="dxa"/>
            <w:tcBorders>
              <w:top w:val="nil"/>
              <w:left w:val="nil"/>
              <w:bottom w:val="single" w:sz="4" w:space="0" w:color="auto"/>
              <w:right w:val="single" w:sz="4" w:space="0" w:color="auto"/>
            </w:tcBorders>
            <w:shd w:val="clear" w:color="auto" w:fill="auto"/>
            <w:vAlign w:val="center"/>
            <w:hideMark/>
          </w:tcPr>
          <w:p w14:paraId="29914661"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545B74D"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7473D0" w:rsidRPr="008B628A" w14:paraId="55067E11"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84F2F30"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lastRenderedPageBreak/>
              <w:t>2017</w:t>
            </w:r>
          </w:p>
        </w:tc>
        <w:tc>
          <w:tcPr>
            <w:tcW w:w="2647" w:type="dxa"/>
            <w:tcBorders>
              <w:top w:val="nil"/>
              <w:left w:val="nil"/>
              <w:bottom w:val="single" w:sz="4" w:space="0" w:color="auto"/>
              <w:right w:val="single" w:sz="4" w:space="0" w:color="auto"/>
            </w:tcBorders>
            <w:shd w:val="clear" w:color="auto" w:fill="auto"/>
            <w:vAlign w:val="center"/>
            <w:hideMark/>
          </w:tcPr>
          <w:p w14:paraId="10D22B3E" w14:textId="58BF0E32"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i/>
                <w:color w:val="000000"/>
                <w:szCs w:val="24"/>
                <w:lang w:eastAsia="lv-LV"/>
              </w:rPr>
              <w:t>9 203 420</w:t>
            </w:r>
          </w:p>
        </w:tc>
        <w:tc>
          <w:tcPr>
            <w:tcW w:w="2149" w:type="dxa"/>
            <w:tcBorders>
              <w:top w:val="nil"/>
              <w:left w:val="nil"/>
              <w:bottom w:val="single" w:sz="4" w:space="0" w:color="auto"/>
              <w:right w:val="single" w:sz="4" w:space="0" w:color="auto"/>
            </w:tcBorders>
            <w:shd w:val="clear" w:color="auto" w:fill="auto"/>
            <w:vAlign w:val="center"/>
            <w:hideMark/>
          </w:tcPr>
          <w:p w14:paraId="69D1A517"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2AB74CB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7473D0" w:rsidRPr="008B628A" w14:paraId="50786BFE"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51F227F"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2018</w:t>
            </w:r>
          </w:p>
        </w:tc>
        <w:tc>
          <w:tcPr>
            <w:tcW w:w="2647" w:type="dxa"/>
            <w:tcBorders>
              <w:top w:val="nil"/>
              <w:left w:val="nil"/>
              <w:bottom w:val="single" w:sz="4" w:space="0" w:color="auto"/>
              <w:right w:val="single" w:sz="4" w:space="0" w:color="auto"/>
            </w:tcBorders>
            <w:shd w:val="clear" w:color="auto" w:fill="auto"/>
            <w:vAlign w:val="center"/>
            <w:hideMark/>
          </w:tcPr>
          <w:p w14:paraId="467B578D" w14:textId="34906DA1" w:rsidR="007473D0" w:rsidRPr="008B628A" w:rsidRDefault="007473D0" w:rsidP="007473D0">
            <w:pPr>
              <w:spacing w:after="0" w:line="240" w:lineRule="auto"/>
              <w:jc w:val="center"/>
              <w:rPr>
                <w:rFonts w:ascii="Times New Roman" w:eastAsia="Times New Roman" w:hAnsi="Times New Roman" w:cs="Times New Roman"/>
                <w:i/>
                <w:color w:val="000000"/>
                <w:szCs w:val="24"/>
                <w:lang w:eastAsia="lv-LV"/>
              </w:rPr>
            </w:pPr>
            <w:r w:rsidRPr="00F060A0">
              <w:rPr>
                <w:rFonts w:ascii="Times New Roman" w:eastAsia="Times New Roman" w:hAnsi="Times New Roman" w:cs="Times New Roman"/>
                <w:i/>
                <w:color w:val="000000"/>
                <w:szCs w:val="24"/>
                <w:lang w:eastAsia="lv-LV"/>
              </w:rPr>
              <w:t> </w:t>
            </w:r>
            <w:r w:rsidRPr="008B628A">
              <w:rPr>
                <w:rFonts w:ascii="Times New Roman" w:eastAsia="Times New Roman" w:hAnsi="Times New Roman" w:cs="Times New Roman"/>
                <w:i/>
                <w:color w:val="000000"/>
                <w:szCs w:val="24"/>
                <w:lang w:eastAsia="lv-LV"/>
              </w:rPr>
              <w:t>9 011 555</w:t>
            </w:r>
          </w:p>
        </w:tc>
        <w:tc>
          <w:tcPr>
            <w:tcW w:w="2149" w:type="dxa"/>
            <w:tcBorders>
              <w:top w:val="nil"/>
              <w:left w:val="nil"/>
              <w:bottom w:val="single" w:sz="4" w:space="0" w:color="auto"/>
              <w:right w:val="single" w:sz="4" w:space="0" w:color="auto"/>
            </w:tcBorders>
            <w:shd w:val="clear" w:color="auto" w:fill="auto"/>
            <w:vAlign w:val="center"/>
            <w:hideMark/>
          </w:tcPr>
          <w:p w14:paraId="04DA87FB"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E9F4DC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400B29" w:rsidRPr="008B628A" w14:paraId="2CB02EEB"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tcPr>
          <w:p w14:paraId="122B92EC" w14:textId="0F19B913" w:rsidR="00400B29" w:rsidRPr="008B628A" w:rsidRDefault="00400B29" w:rsidP="00E93D26">
            <w:pPr>
              <w:spacing w:after="0" w:line="240" w:lineRule="auto"/>
              <w:jc w:val="both"/>
              <w:rPr>
                <w:rFonts w:ascii="Times New Roman" w:eastAsia="Times New Roman" w:hAnsi="Times New Roman" w:cs="Times New Roman"/>
                <w:color w:val="000000"/>
                <w:szCs w:val="24"/>
                <w:lang w:eastAsia="lv-LV"/>
              </w:rPr>
            </w:pPr>
          </w:p>
        </w:tc>
      </w:tr>
      <w:tr w:rsidR="00E93D26" w:rsidRPr="008B628A" w14:paraId="26238A65"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E04B646" w14:textId="77777777" w:rsidR="00E93D26" w:rsidRPr="008B628A" w:rsidRDefault="00E93D26" w:rsidP="00400B29">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2020</w:t>
            </w:r>
          </w:p>
        </w:tc>
        <w:tc>
          <w:tcPr>
            <w:tcW w:w="2647" w:type="dxa"/>
            <w:tcBorders>
              <w:top w:val="nil"/>
              <w:left w:val="nil"/>
              <w:bottom w:val="single" w:sz="4" w:space="0" w:color="auto"/>
              <w:right w:val="single" w:sz="4" w:space="0" w:color="auto"/>
            </w:tcBorders>
            <w:shd w:val="clear" w:color="auto" w:fill="auto"/>
            <w:vAlign w:val="center"/>
            <w:hideMark/>
          </w:tcPr>
          <w:p w14:paraId="15D19185" w14:textId="77777777" w:rsidR="00E93D26" w:rsidRPr="008B628A" w:rsidRDefault="00E93D26" w:rsidP="00E93D26">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23C858FC" w14:textId="77777777" w:rsidR="00E93D26" w:rsidRPr="008B628A" w:rsidRDefault="00E93D26"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9 991 829</w:t>
            </w:r>
          </w:p>
        </w:tc>
        <w:tc>
          <w:tcPr>
            <w:tcW w:w="2840" w:type="dxa"/>
            <w:tcBorders>
              <w:top w:val="nil"/>
              <w:left w:val="nil"/>
              <w:bottom w:val="single" w:sz="4" w:space="0" w:color="auto"/>
              <w:right w:val="single" w:sz="4" w:space="0" w:color="auto"/>
            </w:tcBorders>
            <w:shd w:val="clear" w:color="auto" w:fill="auto"/>
            <w:noWrap/>
            <w:vAlign w:val="bottom"/>
            <w:hideMark/>
          </w:tcPr>
          <w:p w14:paraId="580A81D4" w14:textId="77777777" w:rsidR="00E93D26" w:rsidRPr="008B628A" w:rsidRDefault="00E93D26" w:rsidP="00E93D26">
            <w:pPr>
              <w:spacing w:after="0" w:line="240" w:lineRule="auto"/>
              <w:rPr>
                <w:rFonts w:ascii="Calibri" w:eastAsia="Times New Roman" w:hAnsi="Calibri" w:cs="Times New Roman"/>
                <w:color w:val="000000"/>
                <w:sz w:val="22"/>
                <w:lang w:eastAsia="lv-LV"/>
              </w:rPr>
            </w:pPr>
            <w:r w:rsidRPr="008B628A">
              <w:rPr>
                <w:rFonts w:ascii="Calibri" w:eastAsia="Times New Roman" w:hAnsi="Calibri" w:cs="Times New Roman"/>
                <w:color w:val="000000"/>
                <w:sz w:val="22"/>
                <w:lang w:eastAsia="lv-LV"/>
              </w:rPr>
              <w:t> </w:t>
            </w:r>
          </w:p>
        </w:tc>
      </w:tr>
      <w:tr w:rsidR="00400B29" w:rsidRPr="008B628A" w14:paraId="62832699"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tcPr>
          <w:p w14:paraId="00E4BF15" w14:textId="4B9654D3" w:rsidR="00400B29" w:rsidRPr="008B628A" w:rsidRDefault="00400B29" w:rsidP="00E93D26">
            <w:pPr>
              <w:spacing w:after="0" w:line="240" w:lineRule="auto"/>
              <w:rPr>
                <w:rFonts w:ascii="Calibri" w:eastAsia="Times New Roman" w:hAnsi="Calibri" w:cs="Times New Roman"/>
                <w:color w:val="000000"/>
                <w:sz w:val="22"/>
                <w:lang w:eastAsia="lv-LV"/>
              </w:rPr>
            </w:pPr>
          </w:p>
        </w:tc>
      </w:tr>
      <w:tr w:rsidR="007473D0" w:rsidRPr="008B628A" w14:paraId="744F5ADF"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C6CAE99"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2021</w:t>
            </w:r>
          </w:p>
        </w:tc>
        <w:tc>
          <w:tcPr>
            <w:tcW w:w="2647" w:type="dxa"/>
            <w:tcBorders>
              <w:top w:val="nil"/>
              <w:left w:val="nil"/>
              <w:bottom w:val="single" w:sz="4" w:space="0" w:color="auto"/>
              <w:right w:val="single" w:sz="4" w:space="0" w:color="auto"/>
            </w:tcBorders>
            <w:shd w:val="clear" w:color="auto" w:fill="auto"/>
            <w:vAlign w:val="center"/>
            <w:hideMark/>
          </w:tcPr>
          <w:p w14:paraId="507301EB"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671D622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6D4B141C" w14:textId="547587EE"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8 954 301</w:t>
            </w:r>
          </w:p>
        </w:tc>
      </w:tr>
      <w:tr w:rsidR="007473D0" w:rsidRPr="008B628A" w14:paraId="73D33128"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35E2203"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2022</w:t>
            </w:r>
          </w:p>
        </w:tc>
        <w:tc>
          <w:tcPr>
            <w:tcW w:w="2647" w:type="dxa"/>
            <w:tcBorders>
              <w:top w:val="nil"/>
              <w:left w:val="nil"/>
              <w:bottom w:val="single" w:sz="4" w:space="0" w:color="auto"/>
              <w:right w:val="single" w:sz="4" w:space="0" w:color="auto"/>
            </w:tcBorders>
            <w:shd w:val="clear" w:color="auto" w:fill="auto"/>
            <w:vAlign w:val="center"/>
            <w:hideMark/>
          </w:tcPr>
          <w:p w14:paraId="6D4B9073"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6F170EF"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77863CB0" w14:textId="7CC3D455"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8 857 562</w:t>
            </w:r>
          </w:p>
        </w:tc>
      </w:tr>
      <w:tr w:rsidR="007473D0" w:rsidRPr="008B628A" w14:paraId="540FC401"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811CA3D"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2023</w:t>
            </w:r>
          </w:p>
        </w:tc>
        <w:tc>
          <w:tcPr>
            <w:tcW w:w="2647" w:type="dxa"/>
            <w:tcBorders>
              <w:top w:val="nil"/>
              <w:left w:val="nil"/>
              <w:bottom w:val="single" w:sz="4" w:space="0" w:color="auto"/>
              <w:right w:val="single" w:sz="4" w:space="0" w:color="auto"/>
            </w:tcBorders>
            <w:shd w:val="clear" w:color="auto" w:fill="auto"/>
            <w:vAlign w:val="center"/>
            <w:hideMark/>
          </w:tcPr>
          <w:p w14:paraId="2D883FA2"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5EFDE98A"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DF53C1B" w14:textId="79196741"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8 760 822</w:t>
            </w:r>
          </w:p>
        </w:tc>
      </w:tr>
      <w:tr w:rsidR="007473D0" w:rsidRPr="008B628A" w14:paraId="41982F8B"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BDF3F4A"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2024</w:t>
            </w:r>
          </w:p>
        </w:tc>
        <w:tc>
          <w:tcPr>
            <w:tcW w:w="2647" w:type="dxa"/>
            <w:tcBorders>
              <w:top w:val="nil"/>
              <w:left w:val="nil"/>
              <w:bottom w:val="single" w:sz="4" w:space="0" w:color="auto"/>
              <w:right w:val="single" w:sz="4" w:space="0" w:color="auto"/>
            </w:tcBorders>
            <w:shd w:val="clear" w:color="auto" w:fill="auto"/>
            <w:vAlign w:val="center"/>
            <w:hideMark/>
          </w:tcPr>
          <w:p w14:paraId="3E8BED6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192025A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151FE5F" w14:textId="00A4F53F"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8 664 083</w:t>
            </w:r>
          </w:p>
        </w:tc>
      </w:tr>
      <w:tr w:rsidR="007473D0" w:rsidRPr="008B628A" w14:paraId="7423314B"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664C7B6"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2025</w:t>
            </w:r>
          </w:p>
        </w:tc>
        <w:tc>
          <w:tcPr>
            <w:tcW w:w="2647" w:type="dxa"/>
            <w:tcBorders>
              <w:top w:val="nil"/>
              <w:left w:val="nil"/>
              <w:bottom w:val="single" w:sz="4" w:space="0" w:color="auto"/>
              <w:right w:val="single" w:sz="4" w:space="0" w:color="auto"/>
            </w:tcBorders>
            <w:shd w:val="clear" w:color="auto" w:fill="auto"/>
            <w:vAlign w:val="center"/>
            <w:hideMark/>
          </w:tcPr>
          <w:p w14:paraId="634E3262"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49EFCC51"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F7E1CCA" w14:textId="51928A92"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8 567 344</w:t>
            </w:r>
          </w:p>
        </w:tc>
      </w:tr>
      <w:tr w:rsidR="007473D0" w:rsidRPr="008B628A" w14:paraId="0CCE072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5270821"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2026</w:t>
            </w:r>
          </w:p>
        </w:tc>
        <w:tc>
          <w:tcPr>
            <w:tcW w:w="2647" w:type="dxa"/>
            <w:tcBorders>
              <w:top w:val="nil"/>
              <w:left w:val="nil"/>
              <w:bottom w:val="single" w:sz="4" w:space="0" w:color="auto"/>
              <w:right w:val="single" w:sz="4" w:space="0" w:color="auto"/>
            </w:tcBorders>
            <w:shd w:val="clear" w:color="auto" w:fill="auto"/>
            <w:vAlign w:val="center"/>
            <w:hideMark/>
          </w:tcPr>
          <w:p w14:paraId="456F937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6478D58E"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AA59190" w14:textId="7DDAD2AF"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8 470 605</w:t>
            </w:r>
          </w:p>
        </w:tc>
      </w:tr>
      <w:tr w:rsidR="007473D0" w:rsidRPr="008B628A" w14:paraId="6CF5F417"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6F4FB5E"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2027</w:t>
            </w:r>
          </w:p>
        </w:tc>
        <w:tc>
          <w:tcPr>
            <w:tcW w:w="2647" w:type="dxa"/>
            <w:tcBorders>
              <w:top w:val="nil"/>
              <w:left w:val="nil"/>
              <w:bottom w:val="single" w:sz="4" w:space="0" w:color="auto"/>
              <w:right w:val="single" w:sz="4" w:space="0" w:color="auto"/>
            </w:tcBorders>
            <w:shd w:val="clear" w:color="auto" w:fill="auto"/>
            <w:vAlign w:val="center"/>
            <w:hideMark/>
          </w:tcPr>
          <w:p w14:paraId="0F5C38B1"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5FF79539"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8248B04" w14:textId="5734D58D"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8 373 866</w:t>
            </w:r>
          </w:p>
        </w:tc>
      </w:tr>
      <w:tr w:rsidR="007473D0" w:rsidRPr="008B628A" w14:paraId="65253E99"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32A1F5D1"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2028</w:t>
            </w:r>
          </w:p>
        </w:tc>
        <w:tc>
          <w:tcPr>
            <w:tcW w:w="2647" w:type="dxa"/>
            <w:tcBorders>
              <w:top w:val="nil"/>
              <w:left w:val="nil"/>
              <w:bottom w:val="single" w:sz="4" w:space="0" w:color="auto"/>
              <w:right w:val="single" w:sz="4" w:space="0" w:color="auto"/>
            </w:tcBorders>
            <w:shd w:val="clear" w:color="auto" w:fill="auto"/>
            <w:vAlign w:val="center"/>
            <w:hideMark/>
          </w:tcPr>
          <w:p w14:paraId="0A60164A"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2343D3AD"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7C1C4F90" w14:textId="6A9B92FC"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8 277 126</w:t>
            </w:r>
          </w:p>
        </w:tc>
      </w:tr>
      <w:tr w:rsidR="007473D0" w:rsidRPr="008B628A" w14:paraId="5995E03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60DF5403"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2029</w:t>
            </w:r>
          </w:p>
        </w:tc>
        <w:tc>
          <w:tcPr>
            <w:tcW w:w="2647" w:type="dxa"/>
            <w:tcBorders>
              <w:top w:val="nil"/>
              <w:left w:val="nil"/>
              <w:bottom w:val="single" w:sz="4" w:space="0" w:color="auto"/>
              <w:right w:val="single" w:sz="4" w:space="0" w:color="auto"/>
            </w:tcBorders>
            <w:shd w:val="clear" w:color="auto" w:fill="auto"/>
            <w:vAlign w:val="center"/>
            <w:hideMark/>
          </w:tcPr>
          <w:p w14:paraId="72A6EE86"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919790E"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145B0A1" w14:textId="00CA03F4"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8 180 387</w:t>
            </w:r>
          </w:p>
        </w:tc>
      </w:tr>
      <w:tr w:rsidR="007473D0" w:rsidRPr="008B628A" w14:paraId="50664C6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65C75BA5"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2030</w:t>
            </w:r>
          </w:p>
        </w:tc>
        <w:tc>
          <w:tcPr>
            <w:tcW w:w="2647" w:type="dxa"/>
            <w:tcBorders>
              <w:top w:val="nil"/>
              <w:left w:val="nil"/>
              <w:bottom w:val="single" w:sz="4" w:space="0" w:color="auto"/>
              <w:right w:val="single" w:sz="4" w:space="0" w:color="auto"/>
            </w:tcBorders>
            <w:shd w:val="clear" w:color="auto" w:fill="auto"/>
            <w:vAlign w:val="center"/>
            <w:hideMark/>
          </w:tcPr>
          <w:p w14:paraId="2C13B597"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B2A23DF"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6AAED676" w14:textId="4D18D19B"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8 083 648</w:t>
            </w:r>
          </w:p>
        </w:tc>
      </w:tr>
    </w:tbl>
    <w:p w14:paraId="59CAAF8B" w14:textId="0E68296B" w:rsidR="002729AC" w:rsidRPr="008B628A" w:rsidRDefault="00C27144" w:rsidP="00C27144">
      <w:pPr>
        <w:pStyle w:val="Heading4"/>
      </w:pPr>
      <w:bookmarkStart w:id="74" w:name="_Toc527529439"/>
      <w:r w:rsidRPr="008B628A">
        <w:t>ZIZIMM sektora SEG emisiju un piesaistes uzskaite periodā no 2020. gada līdz 2030. gadam</w:t>
      </w:r>
      <w:bookmarkEnd w:id="74"/>
      <w:r w:rsidR="002729AC" w:rsidRPr="008B628A">
        <w:t> </w:t>
      </w:r>
    </w:p>
    <w:p w14:paraId="0411AD8E" w14:textId="414BA2AC" w:rsidR="00C27144" w:rsidRPr="008B628A" w:rsidRDefault="00635828" w:rsidP="0077072F">
      <w:pPr>
        <w:spacing w:before="120" w:after="120" w:line="240" w:lineRule="auto"/>
        <w:jc w:val="both"/>
        <w:rPr>
          <w:rFonts w:ascii="Times New Roman" w:hAnsi="Times New Roman" w:cs="Times New Roman"/>
        </w:rPr>
      </w:pPr>
      <w:r w:rsidRPr="008B628A">
        <w:rPr>
          <w:rFonts w:ascii="Times New Roman" w:hAnsi="Times New Roman" w:cs="Times New Roman"/>
        </w:rPr>
        <w:t>ES dalībvalstīm periodam pēc 2020. gada ar Regulu 2018/841 ir noteiktas saistības un SEG emisiju un CO</w:t>
      </w:r>
      <w:r w:rsidRPr="008B628A">
        <w:rPr>
          <w:rFonts w:ascii="Times New Roman" w:hAnsi="Times New Roman" w:cs="Times New Roman"/>
          <w:vertAlign w:val="subscript"/>
        </w:rPr>
        <w:t xml:space="preserve">2 </w:t>
      </w:r>
      <w:r w:rsidRPr="008B628A">
        <w:rPr>
          <w:rFonts w:ascii="Times New Roman" w:hAnsi="Times New Roman" w:cs="Times New Roman"/>
        </w:rPr>
        <w:t>uzskaites noteikumi ZIZIMM sektorā.</w:t>
      </w:r>
      <w:r w:rsidR="00C47F55" w:rsidRPr="008B628A">
        <w:rPr>
          <w:rFonts w:ascii="Times New Roman" w:hAnsi="Times New Roman" w:cs="Times New Roman"/>
        </w:rPr>
        <w:t xml:space="preserve"> </w:t>
      </w:r>
      <w:r w:rsidRPr="008B628A">
        <w:rPr>
          <w:rFonts w:ascii="Times New Roman" w:hAnsi="Times New Roman" w:cs="Times New Roman"/>
        </w:rPr>
        <w:t>Saskaņā ar Regulas 2018/841 4. pantā noteikto, Latvijai, ņemot vērā noteiktās elastības iespējas, ir jānodrošina, ka atbilstoši regulā noteiktajiem uzskaites noteikumiem uzskaitīto SEG emisiju summa nepārsniedz uzskaitītās</w:t>
      </w:r>
      <w:r w:rsidR="00C47F55" w:rsidRPr="008B628A">
        <w:rPr>
          <w:rFonts w:ascii="Times New Roman" w:hAnsi="Times New Roman" w:cs="Times New Roman"/>
        </w:rPr>
        <w:t xml:space="preserve"> CO</w:t>
      </w:r>
      <w:r w:rsidR="00C47F55" w:rsidRPr="008B628A">
        <w:rPr>
          <w:rFonts w:ascii="Times New Roman" w:hAnsi="Times New Roman" w:cs="Times New Roman"/>
          <w:vertAlign w:val="subscript"/>
        </w:rPr>
        <w:t>2</w:t>
      </w:r>
      <w:r w:rsidRPr="008B628A">
        <w:rPr>
          <w:rFonts w:ascii="Times New Roman" w:hAnsi="Times New Roman" w:cs="Times New Roman"/>
        </w:rPr>
        <w:t xml:space="preserve"> piesaistes summu  Regulas 2018/841 2.pantā minētajās zemes uzskaites kategorijās </w:t>
      </w:r>
      <w:r w:rsidR="00C47F55" w:rsidRPr="008B628A">
        <w:rPr>
          <w:rFonts w:ascii="Times New Roman" w:hAnsi="Times New Roman" w:cs="Times New Roman"/>
        </w:rPr>
        <w:t>–</w:t>
      </w:r>
      <w:r w:rsidRPr="008B628A">
        <w:rPr>
          <w:rFonts w:ascii="Times New Roman" w:hAnsi="Times New Roman" w:cs="Times New Roman"/>
        </w:rPr>
        <w:t xml:space="preserve"> “apmežota zeme”, “atmežota zeme”, “apsaimniekota aramzeme”, “apsaimniekoti zālāji”, “apsaimniekota meža zeme”, “apsaimniekoti mitrāji” (uzskaitē no 2026.gada) ”.</w:t>
      </w:r>
      <w:r w:rsidRPr="008B628A">
        <w:t xml:space="preserve"> </w:t>
      </w:r>
      <w:bookmarkStart w:id="75" w:name="_Hlk527544850"/>
      <w:r w:rsidR="00C27144" w:rsidRPr="008B628A">
        <w:rPr>
          <w:rFonts w:ascii="Times New Roman" w:hAnsi="Times New Roman" w:cs="Times New Roman"/>
        </w:rPr>
        <w:t>Emisiju un piesaistes uzskaite tiek veikta atbilstoši Regulas 2018/841 nosacījumiem</w:t>
      </w:r>
      <w:r w:rsidR="0077072F" w:rsidRPr="008B628A">
        <w:rPr>
          <w:rFonts w:ascii="Times New Roman" w:hAnsi="Times New Roman" w:cs="Times New Roman"/>
        </w:rPr>
        <w:t xml:space="preserve">, </w:t>
      </w:r>
      <w:r w:rsidR="00C27144" w:rsidRPr="008B628A">
        <w:rPr>
          <w:rFonts w:ascii="Times New Roman" w:hAnsi="Times New Roman" w:cs="Times New Roman"/>
        </w:rPr>
        <w:t>rēķinot</w:t>
      </w:r>
      <w:r w:rsidR="0077072F" w:rsidRPr="008B628A">
        <w:rPr>
          <w:rFonts w:ascii="Times New Roman" w:hAnsi="Times New Roman" w:cs="Times New Roman"/>
        </w:rPr>
        <w:t xml:space="preserve"> SEG emisiju apjoma un/vai CO</w:t>
      </w:r>
      <w:r w:rsidR="0077072F" w:rsidRPr="008B628A">
        <w:rPr>
          <w:rFonts w:ascii="Times New Roman" w:hAnsi="Times New Roman" w:cs="Times New Roman"/>
          <w:vertAlign w:val="subscript"/>
        </w:rPr>
        <w:t>2</w:t>
      </w:r>
      <w:r w:rsidR="0077072F" w:rsidRPr="008B628A">
        <w:rPr>
          <w:rFonts w:ascii="Times New Roman" w:hAnsi="Times New Roman" w:cs="Times New Roman"/>
        </w:rPr>
        <w:t xml:space="preserve"> piesaistes apjoma </w:t>
      </w:r>
      <w:r w:rsidR="00C27144" w:rsidRPr="008B628A">
        <w:rPr>
          <w:rFonts w:ascii="Times New Roman" w:hAnsi="Times New Roman" w:cs="Times New Roman"/>
        </w:rPr>
        <w:t xml:space="preserve">izmaiņas pret </w:t>
      </w:r>
      <w:r w:rsidR="0077072F" w:rsidRPr="008B628A">
        <w:rPr>
          <w:rFonts w:ascii="Times New Roman" w:hAnsi="Times New Roman" w:cs="Times New Roman"/>
        </w:rPr>
        <w:t>Regulā 2018/841</w:t>
      </w:r>
      <w:r w:rsidR="00C27144" w:rsidRPr="008B628A">
        <w:rPr>
          <w:rFonts w:ascii="Times New Roman" w:hAnsi="Times New Roman" w:cs="Times New Roman"/>
        </w:rPr>
        <w:t xml:space="preserve"> noteiktajiem atskaites līmeņiem, izņemot apmežotas un atmežotas zemes uzskaites kategorijas, kurām </w:t>
      </w:r>
      <w:r w:rsidR="0077072F" w:rsidRPr="008B628A">
        <w:rPr>
          <w:rFonts w:ascii="Times New Roman" w:hAnsi="Times New Roman" w:cs="Times New Roman"/>
        </w:rPr>
        <w:t>tiek piemērota “</w:t>
      </w:r>
      <w:r w:rsidR="00C27144" w:rsidRPr="008B628A">
        <w:rPr>
          <w:rFonts w:ascii="Times New Roman" w:hAnsi="Times New Roman" w:cs="Times New Roman"/>
          <w:i/>
        </w:rPr>
        <w:t>gross-net</w:t>
      </w:r>
      <w:r w:rsidR="0077072F" w:rsidRPr="008B628A">
        <w:rPr>
          <w:rFonts w:ascii="Times New Roman" w:hAnsi="Times New Roman" w:cs="Times New Roman"/>
        </w:rPr>
        <w:t>”</w:t>
      </w:r>
      <w:r w:rsidR="00C27144" w:rsidRPr="008B628A">
        <w:rPr>
          <w:rFonts w:ascii="Times New Roman" w:hAnsi="Times New Roman" w:cs="Times New Roman"/>
        </w:rPr>
        <w:t xml:space="preserve"> pieej</w:t>
      </w:r>
      <w:r w:rsidR="0077072F" w:rsidRPr="008B628A">
        <w:rPr>
          <w:rFonts w:ascii="Times New Roman" w:hAnsi="Times New Roman" w:cs="Times New Roman"/>
        </w:rPr>
        <w:t xml:space="preserve">a, kur </w:t>
      </w:r>
      <w:r w:rsidR="00C27144" w:rsidRPr="008B628A">
        <w:rPr>
          <w:rFonts w:ascii="Times New Roman" w:hAnsi="Times New Roman" w:cs="Times New Roman"/>
        </w:rPr>
        <w:t>netiek noteikts atskaites līmenis</w:t>
      </w:r>
      <w:r w:rsidR="0077072F" w:rsidRPr="008B628A">
        <w:rPr>
          <w:rFonts w:ascii="Times New Roman" w:hAnsi="Times New Roman" w:cs="Times New Roman"/>
        </w:rPr>
        <w:t>,</w:t>
      </w:r>
      <w:r w:rsidR="00C27144" w:rsidRPr="008B628A">
        <w:rPr>
          <w:rFonts w:ascii="Times New Roman" w:hAnsi="Times New Roman" w:cs="Times New Roman"/>
        </w:rPr>
        <w:t xml:space="preserve"> un uzskaitē tiek ietverts viss attiecīgajā periodā rad</w:t>
      </w:r>
      <w:r w:rsidR="0077072F" w:rsidRPr="008B628A">
        <w:rPr>
          <w:rFonts w:ascii="Times New Roman" w:hAnsi="Times New Roman" w:cs="Times New Roman"/>
        </w:rPr>
        <w:t>ītais SEG emisiju un CO</w:t>
      </w:r>
      <w:r w:rsidR="0077072F" w:rsidRPr="008B628A">
        <w:rPr>
          <w:rFonts w:ascii="Times New Roman" w:hAnsi="Times New Roman" w:cs="Times New Roman"/>
          <w:vertAlign w:val="subscript"/>
        </w:rPr>
        <w:t>2</w:t>
      </w:r>
      <w:r w:rsidR="0077072F" w:rsidRPr="008B628A">
        <w:rPr>
          <w:rFonts w:ascii="Times New Roman" w:hAnsi="Times New Roman" w:cs="Times New Roman"/>
        </w:rPr>
        <w:t xml:space="preserve"> piesaistes apjoms</w:t>
      </w:r>
      <w:r w:rsidR="00C27144" w:rsidRPr="008B628A">
        <w:rPr>
          <w:rFonts w:ascii="Times New Roman" w:hAnsi="Times New Roman" w:cs="Times New Roman"/>
        </w:rPr>
        <w:t xml:space="preserve">.  </w:t>
      </w:r>
    </w:p>
    <w:p w14:paraId="0DAC81E3" w14:textId="6E725BF9" w:rsidR="007473D0" w:rsidRDefault="007473D0" w:rsidP="007473D0">
      <w:pPr>
        <w:pStyle w:val="Caption"/>
      </w:pPr>
      <w:r w:rsidRPr="008B628A">
        <w:rPr>
          <w:noProof/>
        </w:rPr>
        <w:fldChar w:fldCharType="begin"/>
      </w:r>
      <w:r w:rsidRPr="008B628A">
        <w:rPr>
          <w:noProof/>
        </w:rPr>
        <w:instrText xml:space="preserve"> SEQ Tabula \* ARABIC </w:instrText>
      </w:r>
      <w:r w:rsidRPr="008B628A">
        <w:rPr>
          <w:noProof/>
        </w:rPr>
        <w:fldChar w:fldCharType="separate"/>
      </w:r>
      <w:r w:rsidR="006067D4">
        <w:rPr>
          <w:noProof/>
        </w:rPr>
        <w:t>3</w:t>
      </w:r>
      <w:r w:rsidRPr="008B628A">
        <w:rPr>
          <w:noProof/>
        </w:rPr>
        <w:fldChar w:fldCharType="end"/>
      </w:r>
      <w:r w:rsidRPr="008B628A">
        <w:t>.tabula.</w:t>
      </w:r>
      <w:bookmarkStart w:id="76" w:name="_Toc531333086"/>
      <w:r w:rsidRPr="008B628A">
        <w:t xml:space="preserve"> Latvijai noteikto mērķu kopsavilkums</w:t>
      </w:r>
      <w:r w:rsidRPr="008B628A">
        <w:rPr>
          <w:rStyle w:val="FootnoteReference"/>
        </w:rPr>
        <w:footnoteReference w:id="75"/>
      </w:r>
      <w:bookmarkEnd w:id="76"/>
    </w:p>
    <w:tbl>
      <w:tblPr>
        <w:tblStyle w:val="TableGrid1"/>
        <w:tblpPr w:leftFromText="180" w:rightFromText="180" w:vertAnchor="text" w:horzAnchor="margin" w:tblpXSpec="center" w:tblpY="16"/>
        <w:tblW w:w="9072" w:type="dxa"/>
        <w:tblLayout w:type="fixed"/>
        <w:tblLook w:val="04A0" w:firstRow="1" w:lastRow="0" w:firstColumn="1" w:lastColumn="0" w:noHBand="0" w:noVBand="1"/>
      </w:tblPr>
      <w:tblGrid>
        <w:gridCol w:w="667"/>
        <w:gridCol w:w="2271"/>
        <w:gridCol w:w="2564"/>
        <w:gridCol w:w="1852"/>
        <w:gridCol w:w="1718"/>
      </w:tblGrid>
      <w:tr w:rsidR="00FA6464" w:rsidRPr="008B628A" w14:paraId="5ED9280A" w14:textId="77777777" w:rsidTr="00F060A0">
        <w:trPr>
          <w:trHeight w:val="181"/>
          <w:tblHeader/>
        </w:trPr>
        <w:tc>
          <w:tcPr>
            <w:tcW w:w="2497" w:type="dxa"/>
            <w:gridSpan w:val="2"/>
            <w:shd w:val="clear" w:color="auto" w:fill="D9D9D9"/>
            <w:vAlign w:val="center"/>
          </w:tcPr>
          <w:p w14:paraId="28519A85" w14:textId="77777777" w:rsidR="00FA6464" w:rsidRPr="008B628A" w:rsidRDefault="00FA6464" w:rsidP="008000C9">
            <w:pPr>
              <w:spacing w:before="60" w:after="60"/>
              <w:jc w:val="center"/>
              <w:rPr>
                <w:rFonts w:ascii="Times New Roman" w:eastAsia="Calibri" w:hAnsi="Times New Roman" w:cs="Times New Roman"/>
                <w:b/>
                <w:szCs w:val="20"/>
              </w:rPr>
            </w:pPr>
          </w:p>
        </w:tc>
        <w:tc>
          <w:tcPr>
            <w:tcW w:w="2179" w:type="dxa"/>
            <w:shd w:val="clear" w:color="auto" w:fill="D9D9D9"/>
            <w:vAlign w:val="center"/>
          </w:tcPr>
          <w:p w14:paraId="5DA1A613"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2013 - 2020</w:t>
            </w:r>
          </w:p>
        </w:tc>
        <w:tc>
          <w:tcPr>
            <w:tcW w:w="1574" w:type="dxa"/>
            <w:shd w:val="clear" w:color="auto" w:fill="D9D9D9"/>
            <w:vAlign w:val="center"/>
          </w:tcPr>
          <w:p w14:paraId="1D6D04DD"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2021-2025</w:t>
            </w:r>
          </w:p>
        </w:tc>
        <w:tc>
          <w:tcPr>
            <w:tcW w:w="1460" w:type="dxa"/>
            <w:shd w:val="clear" w:color="auto" w:fill="D9D9D9"/>
            <w:vAlign w:val="center"/>
          </w:tcPr>
          <w:p w14:paraId="7A606394"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2026 - 2030</w:t>
            </w:r>
          </w:p>
        </w:tc>
      </w:tr>
      <w:tr w:rsidR="00FA6464" w:rsidRPr="008B628A" w14:paraId="5DAB6F98" w14:textId="77777777" w:rsidTr="00F060A0">
        <w:trPr>
          <w:trHeight w:val="1233"/>
        </w:trPr>
        <w:tc>
          <w:tcPr>
            <w:tcW w:w="567" w:type="dxa"/>
            <w:vMerge w:val="restart"/>
            <w:textDirection w:val="btLr"/>
            <w:vAlign w:val="center"/>
          </w:tcPr>
          <w:p w14:paraId="4BE1EA76" w14:textId="77777777" w:rsidR="00FA6464" w:rsidRPr="008B628A" w:rsidRDefault="00FA6464" w:rsidP="008000C9">
            <w:pPr>
              <w:spacing w:before="60" w:after="60"/>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SEG emisiju samazināšana</w:t>
            </w:r>
          </w:p>
        </w:tc>
        <w:tc>
          <w:tcPr>
            <w:tcW w:w="1930" w:type="dxa"/>
            <w:tcBorders>
              <w:bottom w:val="single" w:sz="4" w:space="0" w:color="auto"/>
            </w:tcBorders>
            <w:vAlign w:val="center"/>
          </w:tcPr>
          <w:p w14:paraId="34ECA11C"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Latvijas ne-ETS emisijas</w:t>
            </w:r>
          </w:p>
        </w:tc>
        <w:tc>
          <w:tcPr>
            <w:tcW w:w="2179" w:type="dxa"/>
            <w:tcBorders>
              <w:bottom w:val="single" w:sz="4" w:space="0" w:color="auto"/>
            </w:tcBorders>
            <w:shd w:val="clear" w:color="auto" w:fill="FFFFFF"/>
            <w:vAlign w:val="center"/>
          </w:tcPr>
          <w:p w14:paraId="74ED8CC1"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vertAlign w:val="superscript"/>
                <w:lang w:eastAsia="lv-LV"/>
              </w:rPr>
            </w:pPr>
            <w:r w:rsidRPr="008B628A">
              <w:rPr>
                <w:rFonts w:ascii="Times New Roman" w:eastAsia="Times New Roman" w:hAnsi="Times New Roman" w:cs="Times New Roman"/>
                <w:b/>
                <w:bCs/>
                <w:color w:val="000000"/>
                <w:kern w:val="24"/>
                <w:sz w:val="20"/>
                <w:szCs w:val="20"/>
                <w:lang w:eastAsia="lv-LV"/>
              </w:rPr>
              <w:t>+17%</w:t>
            </w:r>
            <w:r w:rsidRPr="008B628A">
              <w:rPr>
                <w:rFonts w:ascii="Times New Roman" w:eastAsia="Times New Roman" w:hAnsi="Times New Roman" w:cs="Times New Roman"/>
                <w:color w:val="000000"/>
                <w:kern w:val="24"/>
                <w:sz w:val="20"/>
                <w:szCs w:val="20"/>
                <w:vertAlign w:val="superscript"/>
                <w:lang w:eastAsia="lv-LV"/>
              </w:rPr>
              <w:t>1</w:t>
            </w:r>
          </w:p>
          <w:p w14:paraId="583DC34B"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color w:val="000000"/>
                <w:kern w:val="24"/>
                <w:sz w:val="20"/>
                <w:szCs w:val="20"/>
                <w:lang w:eastAsia="lv-LV"/>
              </w:rPr>
              <w:t>(sadalīts arī ikgadējos mērķos)</w:t>
            </w:r>
            <w:r w:rsidRPr="008B628A">
              <w:rPr>
                <w:rFonts w:ascii="Times New Roman" w:eastAsia="Times New Roman" w:hAnsi="Times New Roman" w:cs="Times New Roman"/>
                <w:color w:val="000000"/>
                <w:kern w:val="24"/>
                <w:sz w:val="20"/>
                <w:szCs w:val="20"/>
                <w:vertAlign w:val="superscript"/>
                <w:lang w:eastAsia="lv-LV"/>
              </w:rPr>
              <w:t>2</w:t>
            </w:r>
          </w:p>
        </w:tc>
        <w:tc>
          <w:tcPr>
            <w:tcW w:w="3034" w:type="dxa"/>
            <w:gridSpan w:val="2"/>
            <w:tcBorders>
              <w:bottom w:val="single" w:sz="4" w:space="0" w:color="auto"/>
            </w:tcBorders>
            <w:shd w:val="clear" w:color="auto" w:fill="FFFFFF"/>
            <w:vAlign w:val="center"/>
          </w:tcPr>
          <w:p w14:paraId="547A05C3"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b/>
                <w:bCs/>
                <w:color w:val="000000"/>
                <w:kern w:val="24"/>
                <w:sz w:val="20"/>
                <w:szCs w:val="20"/>
                <w:lang w:eastAsia="lv-LV"/>
              </w:rPr>
              <w:t>-6%</w:t>
            </w:r>
            <w:r w:rsidRPr="008B628A">
              <w:rPr>
                <w:rFonts w:ascii="Times New Roman" w:eastAsia="Times New Roman" w:hAnsi="Times New Roman" w:cs="Times New Roman"/>
                <w:color w:val="000000"/>
                <w:kern w:val="24"/>
                <w:sz w:val="20"/>
                <w:szCs w:val="20"/>
                <w:vertAlign w:val="superscript"/>
                <w:lang w:eastAsia="lv-LV"/>
              </w:rPr>
              <w:t>1</w:t>
            </w:r>
          </w:p>
          <w:p w14:paraId="683BEACC"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(tiks sadalīts arī ikgadējos mērķos)</w:t>
            </w:r>
            <w:r w:rsidRPr="008B628A">
              <w:rPr>
                <w:rFonts w:ascii="Times New Roman" w:eastAsia="Times New Roman" w:hAnsi="Times New Roman" w:cs="Times New Roman"/>
                <w:color w:val="000000"/>
                <w:kern w:val="24"/>
                <w:sz w:val="20"/>
                <w:szCs w:val="20"/>
                <w:vertAlign w:val="superscript"/>
                <w:lang w:eastAsia="lv-LV"/>
              </w:rPr>
              <w:t>6</w:t>
            </w:r>
          </w:p>
        </w:tc>
      </w:tr>
      <w:tr w:rsidR="00FA6464" w:rsidRPr="008B628A" w14:paraId="47C70BA6" w14:textId="77777777" w:rsidTr="00F060A0">
        <w:trPr>
          <w:trHeight w:val="830"/>
        </w:trPr>
        <w:tc>
          <w:tcPr>
            <w:tcW w:w="567" w:type="dxa"/>
            <w:vMerge/>
            <w:vAlign w:val="center"/>
          </w:tcPr>
          <w:p w14:paraId="14E5121B"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32F46143"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ES ETS emisijas</w:t>
            </w:r>
          </w:p>
        </w:tc>
        <w:tc>
          <w:tcPr>
            <w:tcW w:w="2179" w:type="dxa"/>
            <w:shd w:val="clear" w:color="auto" w:fill="FFFFFF"/>
            <w:vAlign w:val="center"/>
          </w:tcPr>
          <w:p w14:paraId="64441DC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vertAlign w:val="superscript"/>
                <w:lang w:eastAsia="lv-LV"/>
              </w:rPr>
            </w:pPr>
            <w:r w:rsidRPr="008B628A">
              <w:rPr>
                <w:rFonts w:ascii="Times New Roman" w:eastAsia="Times New Roman" w:hAnsi="Times New Roman" w:cs="Times New Roman"/>
                <w:b/>
                <w:bCs/>
                <w:color w:val="000000"/>
                <w:kern w:val="24"/>
                <w:sz w:val="20"/>
                <w:szCs w:val="20"/>
                <w:lang w:eastAsia="lv-LV"/>
              </w:rPr>
              <w:t>-21%</w:t>
            </w:r>
            <w:r w:rsidRPr="008B628A">
              <w:rPr>
                <w:rFonts w:ascii="Times New Roman" w:eastAsia="Times New Roman" w:hAnsi="Times New Roman" w:cs="Times New Roman"/>
                <w:color w:val="000000"/>
                <w:kern w:val="24"/>
                <w:sz w:val="20"/>
                <w:szCs w:val="20"/>
                <w:vertAlign w:val="superscript"/>
                <w:lang w:eastAsia="lv-LV"/>
              </w:rPr>
              <w:t>1</w:t>
            </w:r>
          </w:p>
          <w:p w14:paraId="24385934"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color w:val="000000"/>
                <w:kern w:val="24"/>
                <w:sz w:val="20"/>
                <w:szCs w:val="20"/>
                <w:lang w:eastAsia="lv-LV"/>
              </w:rPr>
              <w:t>(sadalīts ikgadējos mērķos konkrētām iekārtām)</w:t>
            </w:r>
            <w:r w:rsidRPr="008B628A">
              <w:rPr>
                <w:rFonts w:ascii="Times New Roman" w:eastAsia="Times New Roman" w:hAnsi="Times New Roman" w:cs="Times New Roman"/>
                <w:color w:val="000000"/>
                <w:kern w:val="24"/>
                <w:sz w:val="20"/>
                <w:szCs w:val="20"/>
                <w:vertAlign w:val="superscript"/>
                <w:lang w:eastAsia="lv-LV"/>
              </w:rPr>
              <w:t>3</w:t>
            </w:r>
          </w:p>
        </w:tc>
        <w:tc>
          <w:tcPr>
            <w:tcW w:w="3034" w:type="dxa"/>
            <w:gridSpan w:val="2"/>
            <w:shd w:val="clear" w:color="auto" w:fill="FFFFFF"/>
            <w:vAlign w:val="center"/>
          </w:tcPr>
          <w:p w14:paraId="20C2F2EA"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b/>
                <w:bCs/>
                <w:color w:val="000000"/>
                <w:kern w:val="24"/>
                <w:sz w:val="20"/>
                <w:szCs w:val="20"/>
                <w:lang w:eastAsia="lv-LV"/>
              </w:rPr>
              <w:t>-43%</w:t>
            </w:r>
            <w:r w:rsidRPr="008B628A">
              <w:rPr>
                <w:rFonts w:ascii="Times New Roman" w:eastAsia="Times New Roman" w:hAnsi="Times New Roman" w:cs="Times New Roman"/>
                <w:color w:val="000000"/>
                <w:kern w:val="24"/>
                <w:sz w:val="20"/>
                <w:szCs w:val="20"/>
                <w:vertAlign w:val="superscript"/>
                <w:lang w:eastAsia="lv-LV"/>
              </w:rPr>
              <w:t>1</w:t>
            </w:r>
          </w:p>
          <w:p w14:paraId="71EDB85F"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Times New Roman" w:hAnsi="Times New Roman" w:cs="Times New Roman"/>
                <w:color w:val="000000"/>
                <w:kern w:val="24"/>
                <w:sz w:val="20"/>
                <w:szCs w:val="20"/>
                <w:lang w:eastAsia="lv-LV"/>
              </w:rPr>
              <w:t>(tiks sadalīts ikgadējos mērķos konkrētām iekārtām)</w:t>
            </w:r>
            <w:r w:rsidRPr="008B628A">
              <w:rPr>
                <w:rFonts w:ascii="Times New Roman" w:eastAsia="Times New Roman" w:hAnsi="Times New Roman" w:cs="Times New Roman"/>
                <w:color w:val="000000"/>
                <w:kern w:val="24"/>
                <w:sz w:val="20"/>
                <w:szCs w:val="20"/>
                <w:vertAlign w:val="superscript"/>
                <w:lang w:eastAsia="lv-LV"/>
              </w:rPr>
              <w:t>7</w:t>
            </w:r>
          </w:p>
        </w:tc>
      </w:tr>
      <w:tr w:rsidR="00FA6464" w:rsidRPr="008B628A" w14:paraId="6A29713D" w14:textId="77777777" w:rsidTr="00F060A0">
        <w:trPr>
          <w:trHeight w:val="553"/>
        </w:trPr>
        <w:tc>
          <w:tcPr>
            <w:tcW w:w="567" w:type="dxa"/>
            <w:vMerge w:val="restart"/>
            <w:textDirection w:val="btLr"/>
            <w:vAlign w:val="center"/>
          </w:tcPr>
          <w:p w14:paraId="3A16B1F4" w14:textId="77777777" w:rsidR="00FA6464" w:rsidRPr="008B628A" w:rsidRDefault="00FA6464" w:rsidP="008000C9">
            <w:pPr>
              <w:spacing w:before="60" w:after="60"/>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ZIZIMM</w:t>
            </w:r>
          </w:p>
        </w:tc>
        <w:tc>
          <w:tcPr>
            <w:tcW w:w="1930" w:type="dxa"/>
            <w:vAlign w:val="center"/>
          </w:tcPr>
          <w:p w14:paraId="13B59E88"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Apmežota zeme</w:t>
            </w:r>
          </w:p>
        </w:tc>
        <w:tc>
          <w:tcPr>
            <w:tcW w:w="2179" w:type="dxa"/>
            <w:vMerge w:val="restart"/>
            <w:shd w:val="clear" w:color="auto" w:fill="FFFFFF"/>
            <w:vAlign w:val="center"/>
          </w:tcPr>
          <w:p w14:paraId="398F866C"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5</w:t>
            </w:r>
          </w:p>
        </w:tc>
        <w:tc>
          <w:tcPr>
            <w:tcW w:w="1574" w:type="dxa"/>
            <w:vMerge w:val="restart"/>
            <w:shd w:val="clear" w:color="auto" w:fill="FFFFFF"/>
            <w:vAlign w:val="center"/>
          </w:tcPr>
          <w:p w14:paraId="5224ADDB"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8</w:t>
            </w:r>
          </w:p>
        </w:tc>
        <w:tc>
          <w:tcPr>
            <w:tcW w:w="1460" w:type="dxa"/>
            <w:vMerge w:val="restart"/>
            <w:shd w:val="clear" w:color="auto" w:fill="FFFFFF"/>
            <w:vAlign w:val="center"/>
          </w:tcPr>
          <w:p w14:paraId="642E957B"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8</w:t>
            </w:r>
          </w:p>
        </w:tc>
      </w:tr>
      <w:tr w:rsidR="00FA6464" w:rsidRPr="008B628A" w14:paraId="3DD8F022" w14:textId="77777777" w:rsidTr="00F060A0">
        <w:trPr>
          <w:trHeight w:val="553"/>
        </w:trPr>
        <w:tc>
          <w:tcPr>
            <w:tcW w:w="567" w:type="dxa"/>
            <w:vMerge/>
            <w:vAlign w:val="center"/>
          </w:tcPr>
          <w:p w14:paraId="52EA1E08"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7A8EEFD2"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Atmežota zeme</w:t>
            </w:r>
          </w:p>
        </w:tc>
        <w:tc>
          <w:tcPr>
            <w:tcW w:w="2179" w:type="dxa"/>
            <w:vMerge/>
            <w:shd w:val="clear" w:color="auto" w:fill="FFFFFF"/>
            <w:vAlign w:val="center"/>
          </w:tcPr>
          <w:p w14:paraId="5893401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240F062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6F6CD94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3EFC6F15" w14:textId="77777777" w:rsidTr="00F060A0">
        <w:trPr>
          <w:trHeight w:val="553"/>
        </w:trPr>
        <w:tc>
          <w:tcPr>
            <w:tcW w:w="567" w:type="dxa"/>
            <w:vMerge/>
            <w:vAlign w:val="center"/>
          </w:tcPr>
          <w:p w14:paraId="468112C1"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60B95E1D"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 meža zeme</w:t>
            </w:r>
          </w:p>
          <w:p w14:paraId="425C5CDF"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w:t>
            </w:r>
            <w:r w:rsidRPr="008B628A">
              <w:rPr>
                <w:rFonts w:ascii="Times New Roman" w:eastAsia="Calibri" w:hAnsi="Times New Roman" w:cs="Times New Roman"/>
                <w:i/>
                <w:iCs/>
                <w:sz w:val="20"/>
                <w:szCs w:val="20"/>
              </w:rPr>
              <w:t>Meža references līmenis</w:t>
            </w:r>
            <w:r w:rsidRPr="008B628A">
              <w:rPr>
                <w:rFonts w:ascii="Times New Roman" w:eastAsia="Calibri" w:hAnsi="Times New Roman" w:cs="Times New Roman"/>
                <w:sz w:val="20"/>
                <w:szCs w:val="20"/>
              </w:rPr>
              <w:t>)</w:t>
            </w:r>
            <w:r w:rsidRPr="008B628A">
              <w:rPr>
                <w:rFonts w:ascii="Times New Roman" w:eastAsia="Calibri" w:hAnsi="Times New Roman" w:cs="Times New Roman"/>
                <w:sz w:val="20"/>
                <w:szCs w:val="20"/>
                <w:vertAlign w:val="superscript"/>
              </w:rPr>
              <w:t>4</w:t>
            </w:r>
          </w:p>
        </w:tc>
        <w:tc>
          <w:tcPr>
            <w:tcW w:w="2179" w:type="dxa"/>
            <w:vMerge/>
            <w:shd w:val="clear" w:color="auto" w:fill="FFFFFF"/>
            <w:vAlign w:val="center"/>
          </w:tcPr>
          <w:p w14:paraId="6C63A4C9"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45B5A1B0"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6408C1B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45611DBF" w14:textId="77777777" w:rsidTr="00F060A0">
        <w:trPr>
          <w:trHeight w:val="553"/>
        </w:trPr>
        <w:tc>
          <w:tcPr>
            <w:tcW w:w="567" w:type="dxa"/>
            <w:vMerge/>
            <w:vAlign w:val="center"/>
          </w:tcPr>
          <w:p w14:paraId="753E5E27"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74AF0316"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 aramzeme</w:t>
            </w:r>
          </w:p>
        </w:tc>
        <w:tc>
          <w:tcPr>
            <w:tcW w:w="2179" w:type="dxa"/>
            <w:shd w:val="clear" w:color="auto" w:fill="D9D9D9"/>
            <w:vAlign w:val="center"/>
          </w:tcPr>
          <w:p w14:paraId="79166C2F"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6C413764"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1CF6DBF6"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1121A005" w14:textId="77777777" w:rsidTr="00F060A0">
        <w:trPr>
          <w:trHeight w:val="553"/>
        </w:trPr>
        <w:tc>
          <w:tcPr>
            <w:tcW w:w="567" w:type="dxa"/>
            <w:vMerge/>
            <w:vAlign w:val="center"/>
          </w:tcPr>
          <w:p w14:paraId="39BEF6C3"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6E0D7087"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Apsaimniekoti zālāji</w:t>
            </w:r>
          </w:p>
        </w:tc>
        <w:tc>
          <w:tcPr>
            <w:tcW w:w="2179" w:type="dxa"/>
            <w:shd w:val="clear" w:color="auto" w:fill="D9D9D9"/>
            <w:vAlign w:val="center"/>
          </w:tcPr>
          <w:p w14:paraId="14A2D525"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45D7A7B6"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7D49BE9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056B3D1A" w14:textId="77777777" w:rsidTr="00F060A0">
        <w:trPr>
          <w:trHeight w:val="553"/>
        </w:trPr>
        <w:tc>
          <w:tcPr>
            <w:tcW w:w="567" w:type="dxa"/>
            <w:vMerge/>
            <w:tcBorders>
              <w:bottom w:val="single" w:sz="4" w:space="0" w:color="auto"/>
            </w:tcBorders>
            <w:vAlign w:val="center"/>
          </w:tcPr>
          <w:p w14:paraId="5204885A"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tcBorders>
              <w:bottom w:val="single" w:sz="4" w:space="0" w:color="auto"/>
            </w:tcBorders>
            <w:vAlign w:val="center"/>
          </w:tcPr>
          <w:p w14:paraId="12EFC8CD"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Apsaimniekotas mitrzemes</w:t>
            </w:r>
          </w:p>
        </w:tc>
        <w:tc>
          <w:tcPr>
            <w:tcW w:w="2179" w:type="dxa"/>
            <w:tcBorders>
              <w:bottom w:val="single" w:sz="4" w:space="0" w:color="auto"/>
            </w:tcBorders>
            <w:shd w:val="clear" w:color="auto" w:fill="D9D9D9"/>
            <w:vAlign w:val="center"/>
          </w:tcPr>
          <w:p w14:paraId="13F72DB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tcBorders>
              <w:bottom w:val="single" w:sz="4" w:space="0" w:color="auto"/>
            </w:tcBorders>
            <w:shd w:val="clear" w:color="auto" w:fill="D9D9D9"/>
            <w:vAlign w:val="center"/>
          </w:tcPr>
          <w:p w14:paraId="0CA1F67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tcBorders>
              <w:bottom w:val="single" w:sz="4" w:space="0" w:color="auto"/>
            </w:tcBorders>
            <w:shd w:val="clear" w:color="auto" w:fill="FFFFFF"/>
            <w:vAlign w:val="center"/>
          </w:tcPr>
          <w:p w14:paraId="3C78E80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bl>
    <w:p w14:paraId="7903F818" w14:textId="77777777" w:rsidR="00FA6464" w:rsidRPr="00761F1D" w:rsidRDefault="00FA6464" w:rsidP="00F060A0"/>
    <w:p w14:paraId="75095119" w14:textId="77777777" w:rsidR="002729AC" w:rsidRPr="008B628A" w:rsidRDefault="002729AC" w:rsidP="004A4CA1">
      <w:pPr>
        <w:pStyle w:val="Heading4"/>
        <w:jc w:val="both"/>
      </w:pPr>
      <w:bookmarkStart w:id="78" w:name="_Toc527529440"/>
      <w:bookmarkStart w:id="79" w:name="_Hlk517705641"/>
      <w:bookmarkEnd w:id="75"/>
      <w:r w:rsidRPr="008B628A">
        <w:t>Citi saistošie mērķi šajā dimensijas kategorijā un citi nacionālie mērķi un mērķrādītāji</w:t>
      </w:r>
      <w:bookmarkEnd w:id="78"/>
      <w:r w:rsidRPr="008B628A">
        <w:t> </w:t>
      </w:r>
    </w:p>
    <w:bookmarkEnd w:id="79"/>
    <w:p w14:paraId="1C71AEA3" w14:textId="04CD4427" w:rsidR="002729AC" w:rsidRPr="008B628A" w:rsidRDefault="002729AC" w:rsidP="00EB133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w:t>
      </w:r>
      <w:r w:rsidR="00D232F4" w:rsidRPr="008B628A">
        <w:rPr>
          <w:rFonts w:ascii="Times New Roman" w:hAnsi="Times New Roman" w:cs="Times New Roman"/>
          <w:szCs w:val="24"/>
        </w:rPr>
        <w:t>NAP2020</w:t>
      </w:r>
      <w:r w:rsidRPr="008B628A">
        <w:rPr>
          <w:rStyle w:val="FootnoteReference"/>
          <w:rFonts w:ascii="Times New Roman" w:hAnsi="Times New Roman" w:cs="Times New Roman"/>
          <w:szCs w:val="24"/>
        </w:rPr>
        <w:footnoteReference w:id="76"/>
      </w:r>
      <w:r w:rsidRPr="008B628A">
        <w:rPr>
          <w:rFonts w:ascii="Times New Roman" w:hAnsi="Times New Roman" w:cs="Times New Roman"/>
          <w:szCs w:val="24"/>
        </w:rPr>
        <w:t xml:space="preserve"> ir noteikts Latvijas tautsaimniecības siltumnīcefekta gāzu emisiju intensitātes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uz 1000 LVL no IKP) mērķis 2020.gadam un 2030.gadam – 1,13 un 1,07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uz 1000 LVL no IKP attiecīgi.</w:t>
      </w:r>
      <w:r w:rsidR="00DB2D42" w:rsidRPr="008B628A">
        <w:rPr>
          <w:rFonts w:ascii="Times New Roman" w:hAnsi="Times New Roman" w:cs="Times New Roman"/>
          <w:szCs w:val="24"/>
        </w:rPr>
        <w:t xml:space="preserve"> </w:t>
      </w:r>
    </w:p>
    <w:p w14:paraId="11186A96" w14:textId="4EAB237F" w:rsidR="002729AC" w:rsidRPr="008B628A" w:rsidRDefault="00EB1337" w:rsidP="00EB1337">
      <w:pPr>
        <w:spacing w:before="120" w:after="120" w:line="240" w:lineRule="auto"/>
        <w:jc w:val="both"/>
        <w:rPr>
          <w:rStyle w:val="normaltextrun"/>
          <w:rFonts w:ascii="Times New Roman" w:eastAsiaTheme="majorEastAsia" w:hAnsi="Times New Roman" w:cs="Times New Roman"/>
        </w:rPr>
      </w:pPr>
      <w:r w:rsidRPr="008B628A">
        <w:rPr>
          <w:rFonts w:ascii="Times New Roman" w:hAnsi="Times New Roman" w:cs="Times New Roman"/>
          <w:szCs w:val="24"/>
        </w:rPr>
        <w:t>VARAM ir uzsākts darbs pie Latvijas pielāgošanās klimata pārmaiņām stratēģijas laika posmam līdz 2030. gadam sagatavošanas</w:t>
      </w:r>
      <w:r w:rsidR="008F01F9" w:rsidRPr="008B628A">
        <w:rPr>
          <w:rFonts w:ascii="Times New Roman" w:hAnsi="Times New Roman" w:cs="Times New Roman"/>
          <w:szCs w:val="24"/>
        </w:rPr>
        <w:t xml:space="preserve">, kurā </w:t>
      </w:r>
      <w:r w:rsidRPr="008B628A">
        <w:rPr>
          <w:rFonts w:ascii="Times New Roman" w:hAnsi="Times New Roman" w:cs="Times New Roman"/>
          <w:szCs w:val="24"/>
        </w:rPr>
        <w:t xml:space="preserve">izvirzīts virsmērķis – </w:t>
      </w:r>
      <w:r w:rsidR="002729AC" w:rsidRPr="008B628A">
        <w:rPr>
          <w:rStyle w:val="normaltextrun"/>
          <w:rFonts w:ascii="Times New Roman" w:eastAsiaTheme="majorEastAsia" w:hAnsi="Times New Roman" w:cs="Times New Roman"/>
        </w:rPr>
        <w:t>“Mazināt Latvijas cilvēku, tautsaimniecības, infrastruktūras, apbūves un dabas ievainojamību pret klimata pārmaiņu ietekmēm un veicināt klimata pārmaiņu radīto iespēju izmantošanu”, un tā sasniegšanai ir noteikti vairāki apakšmērķi:</w:t>
      </w:r>
    </w:p>
    <w:p w14:paraId="70BDBDAD" w14:textId="167D90E3"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Cilvēka dzīvība, veselība un labklājība, neatkarīgi no dzimuma, vecuma un sociālās piederības tiek pasargāt</w:t>
      </w:r>
      <w:r w:rsidR="008F01F9" w:rsidRPr="008B628A">
        <w:rPr>
          <w:rStyle w:val="normaltextrun"/>
          <w:rFonts w:eastAsiaTheme="majorEastAsia"/>
        </w:rPr>
        <w:t>a</w:t>
      </w:r>
      <w:r w:rsidRPr="008B628A">
        <w:rPr>
          <w:rStyle w:val="normaltextrun"/>
          <w:rFonts w:eastAsiaTheme="majorEastAsia"/>
        </w:rPr>
        <w:t xml:space="preserve"> no klimata pārmaiņu nelabvēlīgas ietekmes</w:t>
      </w:r>
      <w:r w:rsidR="008F01F9" w:rsidRPr="008B628A">
        <w:rPr>
          <w:rStyle w:val="normaltextrun"/>
          <w:rFonts w:eastAsiaTheme="majorEastAsia"/>
        </w:rPr>
        <w:t>;</w:t>
      </w:r>
    </w:p>
    <w:p w14:paraId="3A22971A" w14:textId="0F080D31"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Tautsaimniecība spēj pielāgoties negatīvajām klimata pārmaiņām un izmantot klimata pārmaiņu sniegtās iespējas</w:t>
      </w:r>
      <w:r w:rsidR="008F01F9" w:rsidRPr="008B628A">
        <w:rPr>
          <w:rStyle w:val="normaltextrun"/>
          <w:rFonts w:eastAsiaTheme="majorEastAsia"/>
        </w:rPr>
        <w:t>;</w:t>
      </w:r>
    </w:p>
    <w:p w14:paraId="5C0B80A8" w14:textId="42EEC327"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Infrastruktūra un apbūve ir klimatnoturīga un plānota atbilstoši iespējamiem klimata riskiem</w:t>
      </w:r>
      <w:r w:rsidR="008F01F9" w:rsidRPr="008B628A">
        <w:rPr>
          <w:rStyle w:val="normaltextrun"/>
          <w:rFonts w:eastAsiaTheme="majorEastAsia"/>
        </w:rPr>
        <w:t>;</w:t>
      </w:r>
    </w:p>
    <w:p w14:paraId="4053A06C" w14:textId="6A2C0E75"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 xml:space="preserve">Latvijas daba un kultūrvēsturiskās vērtības tiek saglabātas un klimata pārmaiņu negatīvā ietekme uz tām </w:t>
      </w:r>
      <w:r w:rsidR="008F01F9" w:rsidRPr="008B628A">
        <w:rPr>
          <w:rStyle w:val="normaltextrun"/>
          <w:rFonts w:eastAsiaTheme="majorEastAsia"/>
        </w:rPr>
        <w:t>–</w:t>
      </w:r>
      <w:r w:rsidRPr="008B628A">
        <w:rPr>
          <w:rStyle w:val="normaltextrun"/>
          <w:rFonts w:eastAsiaTheme="majorEastAsia"/>
        </w:rPr>
        <w:t xml:space="preserve"> mazināta</w:t>
      </w:r>
      <w:r w:rsidR="008F01F9" w:rsidRPr="008B628A">
        <w:rPr>
          <w:rStyle w:val="normaltextrun"/>
          <w:rFonts w:eastAsiaTheme="majorEastAsia"/>
        </w:rPr>
        <w:t>;</w:t>
      </w:r>
    </w:p>
    <w:p w14:paraId="633E1E95" w14:textId="77777777"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Ir nodrošināta un pieejama jaunākajā zinātniskajā argumentācijā bāzēta pielāgošanās klimata pārmaiņu politika, nodrošinot ieviešanai nepieciešamo informāciju, zināšanas un izpratni.</w:t>
      </w:r>
    </w:p>
    <w:p w14:paraId="612821AE" w14:textId="4897EEAF" w:rsidR="002729AC" w:rsidRPr="008B628A" w:rsidRDefault="00D232F4" w:rsidP="00EB1337">
      <w:pPr>
        <w:spacing w:before="120" w:after="120" w:line="240" w:lineRule="auto"/>
        <w:jc w:val="both"/>
        <w:rPr>
          <w:rFonts w:ascii="Times New Roman" w:hAnsi="Times New Roman" w:cs="Times New Roman"/>
          <w:color w:val="000000"/>
          <w:szCs w:val="24"/>
        </w:rPr>
      </w:pPr>
      <w:r w:rsidRPr="008B628A">
        <w:rPr>
          <w:rFonts w:ascii="Times New Roman" w:hAnsi="Times New Roman" w:cs="Times New Roman"/>
          <w:color w:val="000000"/>
          <w:szCs w:val="24"/>
        </w:rPr>
        <w:lastRenderedPageBreak/>
        <w:t>LAP</w:t>
      </w:r>
      <w:r w:rsidR="002729AC" w:rsidRPr="008B628A">
        <w:rPr>
          <w:rFonts w:ascii="Times New Roman" w:hAnsi="Times New Roman" w:cs="Times New Roman"/>
          <w:color w:val="000000"/>
          <w:szCs w:val="24"/>
        </w:rPr>
        <w:t>2020</w:t>
      </w:r>
      <w:r w:rsidR="007C346F" w:rsidRPr="008B628A">
        <w:rPr>
          <w:rStyle w:val="FootnoteReference"/>
          <w:rFonts w:ascii="Times New Roman" w:hAnsi="Times New Roman" w:cs="Times New Roman"/>
          <w:color w:val="000000"/>
          <w:szCs w:val="24"/>
        </w:rPr>
        <w:footnoteReference w:id="77"/>
      </w:r>
      <w:r w:rsidR="002729AC" w:rsidRPr="008B628A">
        <w:rPr>
          <w:rFonts w:ascii="Times New Roman" w:hAnsi="Times New Roman" w:cs="Times New Roman"/>
          <w:color w:val="000000"/>
          <w:szCs w:val="24"/>
        </w:rPr>
        <w:t xml:space="preserve"> ir būtisks instruments līdzsvarotas lauku teritoriju attīstības, konkurētspējas un dabas resursu ilgtspējīgas izmantošanas nodrošināšanai valstī. Ir izvirzīti šādi ilgtermiņa stratēģiskie lauku attīstības politikas mērķi :</w:t>
      </w:r>
    </w:p>
    <w:p w14:paraId="5BA0EB19"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lauksaimniecības konkurētspēja;</w:t>
      </w:r>
    </w:p>
    <w:p w14:paraId="47680495"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dabas resursu ilgtspējīgas apsaimniekošanas un klimata politika;</w:t>
      </w:r>
    </w:p>
    <w:p w14:paraId="7C84B48C"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līdzsvarota teritoriālā attīstība lauku apvidos.</w:t>
      </w:r>
    </w:p>
    <w:p w14:paraId="0A0F58B2" w14:textId="77777777" w:rsidR="002729AC" w:rsidRPr="008B628A" w:rsidRDefault="002729AC" w:rsidP="00EB1337">
      <w:pPr>
        <w:spacing w:before="120" w:after="120" w:line="240" w:lineRule="auto"/>
        <w:jc w:val="both"/>
        <w:rPr>
          <w:rFonts w:ascii="Times New Roman" w:hAnsi="Times New Roman" w:cs="Times New Roman"/>
          <w:color w:val="000000"/>
          <w:szCs w:val="24"/>
        </w:rPr>
      </w:pPr>
      <w:r w:rsidRPr="008B628A">
        <w:rPr>
          <w:rFonts w:ascii="Times New Roman" w:hAnsi="Times New Roman" w:cs="Times New Roman"/>
          <w:color w:val="000000"/>
          <w:szCs w:val="24"/>
        </w:rPr>
        <w:t>Lai sasniegtu lauku attīstības politikas mērķus, ir noteiktas šādas kopīgās ES lauku attīstības prioritātes:</w:t>
      </w:r>
    </w:p>
    <w:p w14:paraId="09CA65A1"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zināšanu pārnesi un inovāciju lauksaimniecībā, mežsaimniecībā un lauku apvidos;</w:t>
      </w:r>
    </w:p>
    <w:p w14:paraId="34A99779"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uzlabot visu lauksaimniecības veidu konkurētspēju un stiprināt saimniecību dzīvotspēju;</w:t>
      </w:r>
    </w:p>
    <w:p w14:paraId="6924C975"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pārtikas aprites organizēšanu un riska pārvaldību lauksaimniecībā;</w:t>
      </w:r>
    </w:p>
    <w:p w14:paraId="435178CD"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atjaunot, saglabāt un uzlabot no lauksaimniecības un mežsaimniecības atkarīgās ekosistēmas;</w:t>
      </w:r>
    </w:p>
    <w:p w14:paraId="27942E82"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resursu efektīvu izmantošanu un atbalstīt pret klimata pārmaiņām noturīgu ekonomiku ar zemu oglekļa dioksīda emisiju līmeni lauksaimniecības, pārtikas un mežsaimniecības nozarē;</w:t>
      </w:r>
      <w:r w:rsidRPr="008B628A">
        <w:rPr>
          <w:rFonts w:ascii="Times New Roman" w:hAnsi="Times New Roman" w:cs="Times New Roman"/>
          <w:color w:val="000000"/>
          <w:szCs w:val="24"/>
        </w:rPr>
        <w:tab/>
      </w:r>
    </w:p>
    <w:p w14:paraId="7AC9097D"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sociālo iekļautību, nabadzības samazināšanu un ekonomisko attīstību lauku apvidos.</w:t>
      </w:r>
    </w:p>
    <w:p w14:paraId="4AE9D1D2" w14:textId="115B9FDB" w:rsidR="003015F7" w:rsidRPr="008B628A" w:rsidRDefault="003015F7" w:rsidP="00EB1337">
      <w:pPr>
        <w:pStyle w:val="BodyText"/>
        <w:spacing w:before="120" w:line="240" w:lineRule="auto"/>
        <w:jc w:val="both"/>
        <w:rPr>
          <w:rFonts w:ascii="Times New Roman" w:hAnsi="Times New Roman" w:cs="Times New Roman"/>
          <w:szCs w:val="24"/>
        </w:rPr>
      </w:pPr>
      <w:r w:rsidRPr="008B628A">
        <w:rPr>
          <w:rFonts w:ascii="Times New Roman" w:hAnsi="Times New Roman" w:cs="Times New Roman"/>
          <w:color w:val="000000"/>
          <w:szCs w:val="24"/>
        </w:rPr>
        <w:t>MSNP2020</w:t>
      </w:r>
      <w:r w:rsidRPr="008B628A">
        <w:rPr>
          <w:rStyle w:val="FootnoteReference"/>
          <w:rFonts w:ascii="Times New Roman" w:hAnsi="Times New Roman" w:cs="Times New Roman"/>
          <w:szCs w:val="24"/>
        </w:rPr>
        <w:footnoteReference w:id="78"/>
      </w:r>
      <w:r w:rsidRPr="008B628A">
        <w:rPr>
          <w:rFonts w:ascii="Times New Roman" w:hAnsi="Times New Roman" w:cs="Times New Roman"/>
          <w:color w:val="000000"/>
          <w:szCs w:val="24"/>
        </w:rPr>
        <w:t xml:space="preserve"> i</w:t>
      </w:r>
      <w:r w:rsidRPr="008B628A">
        <w:rPr>
          <w:rFonts w:ascii="Times New Roman" w:hAnsi="Times New Roman" w:cs="Times New Roman"/>
          <w:szCs w:val="24"/>
        </w:rPr>
        <w:t>r vidēja termiņa politikas plānošanas dokuments, kur ir minēti meža nozares attīstības vidēja termiņa (2015.–2020.) stratēģiskie mērķi, vadlīnijas politikas attīstībai, rīcības virzieni minēto mērķu sasniegšanai, problēmas, kas kavē šo mērķu sasniegšanu, kā arī politikas rezultāti. MSNP2020 ir formulēti šādi meža nozares attīstības politikas virzieni:</w:t>
      </w:r>
    </w:p>
    <w:p w14:paraId="35C21A98" w14:textId="77777777" w:rsidR="002729AC"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Latvijas mežu apsaimniekošana ir ilgtspējīga un starptautiski atzīta</w:t>
      </w:r>
    </w:p>
    <w:p w14:paraId="7283068B" w14:textId="77777777" w:rsidR="002729AC"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Latvijas meža nozares produkcija ir konkurētspējīga ar augstu pievienoto vērtību un atbilst klienta vajadzībām</w:t>
      </w:r>
    </w:p>
    <w:p w14:paraId="167C502E" w14:textId="65CDCDA4" w:rsidR="00912935"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bookmarkStart w:id="80" w:name="OLE_LINK3"/>
      <w:bookmarkStart w:id="81" w:name="OLE_LINK4"/>
      <w:r w:rsidRPr="008B628A">
        <w:rPr>
          <w:rFonts w:ascii="Times New Roman" w:hAnsi="Times New Roman" w:cs="Times New Roman"/>
          <w:color w:val="000000"/>
          <w:szCs w:val="24"/>
        </w:rPr>
        <w:t>Meža un saistīto nozaru attīstībai atbilstošs izglītības un zinātniskais potenciāls un cilvēkresursu prasmju līmenis</w:t>
      </w:r>
      <w:bookmarkEnd w:id="80"/>
      <w:bookmarkEnd w:id="81"/>
      <w:r w:rsidR="00912935" w:rsidRPr="008B628A">
        <w:rPr>
          <w:rFonts w:ascii="Times New Roman" w:hAnsi="Times New Roman" w:cs="Times New Roman"/>
          <w:color w:val="000000"/>
          <w:szCs w:val="24"/>
        </w:rPr>
        <w:t>.</w:t>
      </w:r>
    </w:p>
    <w:p w14:paraId="2356F3AE" w14:textId="77777777" w:rsidR="00C47F55" w:rsidRPr="008B628A" w:rsidRDefault="00C47F55" w:rsidP="00C47F55">
      <w:pPr>
        <w:pStyle w:val="ListParagraph"/>
        <w:tabs>
          <w:tab w:val="left" w:pos="426"/>
          <w:tab w:val="left" w:pos="993"/>
          <w:tab w:val="left" w:pos="1276"/>
        </w:tabs>
        <w:spacing w:before="120" w:after="120" w:line="240" w:lineRule="auto"/>
        <w:ind w:left="397"/>
        <w:contextualSpacing w:val="0"/>
        <w:jc w:val="both"/>
        <w:rPr>
          <w:rFonts w:ascii="Times New Roman" w:hAnsi="Times New Roman" w:cs="Times New Roman"/>
          <w:color w:val="000000"/>
          <w:szCs w:val="24"/>
        </w:rPr>
      </w:pPr>
    </w:p>
    <w:p w14:paraId="171282FD" w14:textId="261CB906" w:rsidR="002729AC"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82" w:name="_Toc531333143"/>
      <w:r w:rsidR="006067D4">
        <w:rPr>
          <w:noProof/>
        </w:rPr>
        <w:t>4</w:t>
      </w:r>
      <w:r w:rsidRPr="008B628A">
        <w:rPr>
          <w:noProof/>
        </w:rPr>
        <w:fldChar w:fldCharType="end"/>
      </w:r>
      <w:r w:rsidR="00526D4F" w:rsidRPr="008B628A">
        <w:t xml:space="preserve">. tabula. </w:t>
      </w:r>
      <w:r w:rsidR="002729AC" w:rsidRPr="008B628A">
        <w:t>Latvijas SEG emisiju un CO</w:t>
      </w:r>
      <w:r w:rsidR="002729AC" w:rsidRPr="008B628A">
        <w:rPr>
          <w:vertAlign w:val="subscript"/>
        </w:rPr>
        <w:t>2</w:t>
      </w:r>
      <w:r w:rsidR="002729AC" w:rsidRPr="008B628A">
        <w:t xml:space="preserve"> piesaistes politikas mērķi un to rezultatīvie radītāji</w:t>
      </w:r>
      <w:bookmarkEnd w:id="82"/>
    </w:p>
    <w:tbl>
      <w:tblPr>
        <w:tblW w:w="95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1328"/>
        <w:gridCol w:w="1100"/>
        <w:gridCol w:w="1217"/>
        <w:gridCol w:w="1080"/>
      </w:tblGrid>
      <w:tr w:rsidR="00DB6D12" w:rsidRPr="008B628A" w14:paraId="46079459" w14:textId="77777777" w:rsidTr="00DB6D12">
        <w:trPr>
          <w:tblHeader/>
          <w:jc w:val="center"/>
        </w:trPr>
        <w:tc>
          <w:tcPr>
            <w:tcW w:w="4806" w:type="dxa"/>
            <w:vMerge w:val="restart"/>
            <w:shd w:val="clear" w:color="auto" w:fill="F2F2F2" w:themeFill="background1" w:themeFillShade="F2"/>
            <w:vAlign w:val="center"/>
          </w:tcPr>
          <w:p w14:paraId="70FE9248" w14:textId="7487AB06" w:rsidR="00DB6D12" w:rsidRPr="008B628A" w:rsidRDefault="00DB6D12" w:rsidP="002729AC">
            <w:pPr>
              <w:spacing w:before="60" w:after="60"/>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Politikas rezultāts dekarbonizācijas dimensijas SEG emisiju samazināšanas un CO</w:t>
            </w:r>
            <w:r w:rsidRPr="008B628A">
              <w:rPr>
                <w:rFonts w:ascii="Times New Roman" w:hAnsi="Times New Roman" w:cs="Times New Roman"/>
                <w:b/>
                <w:color w:val="000000" w:themeColor="text1"/>
                <w:sz w:val="20"/>
                <w:szCs w:val="20"/>
                <w:vertAlign w:val="subscript"/>
              </w:rPr>
              <w:t>2</w:t>
            </w:r>
            <w:r w:rsidRPr="008B628A">
              <w:rPr>
                <w:rFonts w:ascii="Times New Roman" w:hAnsi="Times New Roman" w:cs="Times New Roman"/>
                <w:b/>
                <w:color w:val="000000" w:themeColor="text1"/>
                <w:sz w:val="20"/>
                <w:szCs w:val="20"/>
              </w:rPr>
              <w:t xml:space="preserve"> piesaistes apakšdimensijā</w:t>
            </w:r>
          </w:p>
        </w:tc>
        <w:tc>
          <w:tcPr>
            <w:tcW w:w="2428" w:type="dxa"/>
            <w:gridSpan w:val="2"/>
            <w:shd w:val="clear" w:color="auto" w:fill="F2F2F2" w:themeFill="background1" w:themeFillShade="F2"/>
            <w:vAlign w:val="center"/>
          </w:tcPr>
          <w:p w14:paraId="713ED362"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Faktiskā vērtība</w:t>
            </w:r>
          </w:p>
        </w:tc>
        <w:tc>
          <w:tcPr>
            <w:tcW w:w="2297" w:type="dxa"/>
            <w:gridSpan w:val="2"/>
            <w:shd w:val="clear" w:color="auto" w:fill="F2F2F2" w:themeFill="background1" w:themeFillShade="F2"/>
            <w:vAlign w:val="center"/>
          </w:tcPr>
          <w:p w14:paraId="124040EE" w14:textId="7973B0CC"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Mērķa vērtība</w:t>
            </w:r>
          </w:p>
        </w:tc>
      </w:tr>
      <w:tr w:rsidR="00DB6D12" w:rsidRPr="008B628A" w14:paraId="40BD25D4" w14:textId="77777777" w:rsidTr="00DB6D12">
        <w:trPr>
          <w:tblHeader/>
          <w:jc w:val="center"/>
        </w:trPr>
        <w:tc>
          <w:tcPr>
            <w:tcW w:w="4806" w:type="dxa"/>
            <w:vMerge/>
            <w:shd w:val="clear" w:color="auto" w:fill="F2F2F2" w:themeFill="background1" w:themeFillShade="F2"/>
            <w:vAlign w:val="center"/>
          </w:tcPr>
          <w:p w14:paraId="2BD2E26A" w14:textId="77777777" w:rsidR="00DB6D12" w:rsidRPr="008B628A" w:rsidRDefault="00DB6D12" w:rsidP="002729AC">
            <w:pPr>
              <w:spacing w:before="60" w:after="60"/>
              <w:rPr>
                <w:rFonts w:ascii="Times New Roman" w:hAnsi="Times New Roman" w:cs="Times New Roman"/>
                <w:b/>
                <w:color w:val="000000" w:themeColor="text1"/>
                <w:sz w:val="20"/>
                <w:szCs w:val="20"/>
              </w:rPr>
            </w:pPr>
          </w:p>
        </w:tc>
        <w:tc>
          <w:tcPr>
            <w:tcW w:w="1328" w:type="dxa"/>
            <w:shd w:val="clear" w:color="auto" w:fill="F2F2F2" w:themeFill="background1" w:themeFillShade="F2"/>
            <w:vAlign w:val="center"/>
          </w:tcPr>
          <w:p w14:paraId="5444CC4E"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Bāzes vērtība (2016)</w:t>
            </w:r>
          </w:p>
        </w:tc>
        <w:tc>
          <w:tcPr>
            <w:tcW w:w="1100" w:type="dxa"/>
            <w:shd w:val="clear" w:color="auto" w:fill="F2F2F2" w:themeFill="background1" w:themeFillShade="F2"/>
            <w:vAlign w:val="center"/>
          </w:tcPr>
          <w:p w14:paraId="6E5EB755"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2017</w:t>
            </w:r>
            <w:r w:rsidRPr="008B628A">
              <w:rPr>
                <w:rStyle w:val="FootnoteReference"/>
                <w:rFonts w:ascii="Times New Roman" w:hAnsi="Times New Roman" w:cs="Times New Roman"/>
                <w:b/>
                <w:color w:val="000000" w:themeColor="text1"/>
                <w:sz w:val="20"/>
                <w:szCs w:val="20"/>
              </w:rPr>
              <w:footnoteReference w:id="79"/>
            </w:r>
          </w:p>
        </w:tc>
        <w:tc>
          <w:tcPr>
            <w:tcW w:w="1217" w:type="dxa"/>
            <w:shd w:val="clear" w:color="auto" w:fill="F2F2F2" w:themeFill="background1" w:themeFillShade="F2"/>
            <w:vAlign w:val="center"/>
          </w:tcPr>
          <w:p w14:paraId="42AC2067"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2020</w:t>
            </w:r>
          </w:p>
        </w:tc>
        <w:tc>
          <w:tcPr>
            <w:tcW w:w="1080" w:type="dxa"/>
            <w:shd w:val="clear" w:color="auto" w:fill="F2F2F2" w:themeFill="background1" w:themeFillShade="F2"/>
            <w:vAlign w:val="center"/>
          </w:tcPr>
          <w:p w14:paraId="763740C8"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2030</w:t>
            </w:r>
          </w:p>
        </w:tc>
      </w:tr>
      <w:tr w:rsidR="00DB6D12" w:rsidRPr="008B628A" w14:paraId="3988E924" w14:textId="77777777" w:rsidTr="00DB6D12">
        <w:trPr>
          <w:jc w:val="center"/>
        </w:trPr>
        <w:tc>
          <w:tcPr>
            <w:tcW w:w="4806" w:type="dxa"/>
            <w:vAlign w:val="center"/>
          </w:tcPr>
          <w:p w14:paraId="33610285"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1. SEG emisiju samazināšana (% pret 1990.g.)</w:t>
            </w:r>
          </w:p>
        </w:tc>
        <w:tc>
          <w:tcPr>
            <w:tcW w:w="1328" w:type="dxa"/>
            <w:vAlign w:val="center"/>
          </w:tcPr>
          <w:p w14:paraId="2BAA6D41" w14:textId="7FF4100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-57,3</w:t>
            </w:r>
          </w:p>
        </w:tc>
        <w:tc>
          <w:tcPr>
            <w:tcW w:w="1100" w:type="dxa"/>
            <w:vAlign w:val="center"/>
          </w:tcPr>
          <w:p w14:paraId="442E0E49" w14:textId="57E7B4D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-57,4</w:t>
            </w:r>
          </w:p>
        </w:tc>
        <w:tc>
          <w:tcPr>
            <w:tcW w:w="1217" w:type="dxa"/>
            <w:vAlign w:val="center"/>
          </w:tcPr>
          <w:p w14:paraId="35E6DEC9" w14:textId="0F75683B"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c>
          <w:tcPr>
            <w:tcW w:w="1080" w:type="dxa"/>
            <w:vAlign w:val="center"/>
          </w:tcPr>
          <w:p w14:paraId="409BF16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-55</w:t>
            </w:r>
            <w:r w:rsidRPr="008B628A">
              <w:rPr>
                <w:rStyle w:val="FootnoteReference"/>
                <w:rFonts w:ascii="Times New Roman" w:hAnsi="Times New Roman" w:cs="Times New Roman"/>
                <w:color w:val="000000" w:themeColor="text1"/>
              </w:rPr>
              <w:footnoteReference w:id="80"/>
            </w:r>
          </w:p>
        </w:tc>
      </w:tr>
      <w:tr w:rsidR="00DB6D12" w:rsidRPr="008B628A" w14:paraId="62B65771" w14:textId="77777777" w:rsidTr="00DB6D12">
        <w:trPr>
          <w:jc w:val="center"/>
        </w:trPr>
        <w:tc>
          <w:tcPr>
            <w:tcW w:w="4806" w:type="dxa"/>
            <w:vAlign w:val="center"/>
          </w:tcPr>
          <w:p w14:paraId="5464D30F"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2. SEG emisiju samazināšana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3B01BD24"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11,3</w:t>
            </w:r>
          </w:p>
        </w:tc>
        <w:tc>
          <w:tcPr>
            <w:tcW w:w="1100" w:type="dxa"/>
            <w:vAlign w:val="center"/>
          </w:tcPr>
          <w:p w14:paraId="4CC1EDFC" w14:textId="1379360D"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11,3</w:t>
            </w:r>
          </w:p>
        </w:tc>
        <w:tc>
          <w:tcPr>
            <w:tcW w:w="1217" w:type="dxa"/>
            <w:vAlign w:val="center"/>
          </w:tcPr>
          <w:p w14:paraId="46D3C991"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12,13</w:t>
            </w:r>
            <w:r w:rsidRPr="008B628A">
              <w:rPr>
                <w:rStyle w:val="FootnoteReference"/>
                <w:rFonts w:ascii="Times New Roman" w:hAnsi="Times New Roman" w:cs="Times New Roman"/>
                <w:color w:val="000000" w:themeColor="text1"/>
              </w:rPr>
              <w:footnoteReference w:id="81"/>
            </w:r>
          </w:p>
        </w:tc>
        <w:tc>
          <w:tcPr>
            <w:tcW w:w="1080" w:type="dxa"/>
            <w:vAlign w:val="center"/>
          </w:tcPr>
          <w:p w14:paraId="08FCBB9E" w14:textId="7529C076"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22BA1404" w14:textId="77777777" w:rsidTr="00DB6D12">
        <w:trPr>
          <w:jc w:val="center"/>
        </w:trPr>
        <w:tc>
          <w:tcPr>
            <w:tcW w:w="4806" w:type="dxa"/>
            <w:vAlign w:val="center"/>
          </w:tcPr>
          <w:p w14:paraId="084568FD" w14:textId="2C083A2D" w:rsidR="00DB6D12" w:rsidRPr="008B628A" w:rsidRDefault="008432A1"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lastRenderedPageBreak/>
              <w:t>3. n</w:t>
            </w:r>
            <w:r w:rsidR="00DB6D12" w:rsidRPr="008B628A">
              <w:rPr>
                <w:rFonts w:ascii="Times New Roman" w:hAnsi="Times New Roman" w:cs="Times New Roman"/>
                <w:color w:val="000000" w:themeColor="text1"/>
              </w:rPr>
              <w:t>e-ETS darbības (% pret 2005.g.)</w:t>
            </w:r>
          </w:p>
        </w:tc>
        <w:tc>
          <w:tcPr>
            <w:tcW w:w="1328" w:type="dxa"/>
            <w:vAlign w:val="center"/>
          </w:tcPr>
          <w:p w14:paraId="69D96AB4" w14:textId="2C1B57A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+6</w:t>
            </w:r>
          </w:p>
        </w:tc>
        <w:tc>
          <w:tcPr>
            <w:tcW w:w="1100" w:type="dxa"/>
            <w:vAlign w:val="center"/>
          </w:tcPr>
          <w:p w14:paraId="54DF6F74" w14:textId="79274B7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+7</w:t>
            </w:r>
          </w:p>
        </w:tc>
        <w:tc>
          <w:tcPr>
            <w:tcW w:w="1217" w:type="dxa"/>
            <w:vAlign w:val="center"/>
          </w:tcPr>
          <w:p w14:paraId="1AC39CD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+17</w:t>
            </w:r>
            <w:r w:rsidRPr="008B628A">
              <w:rPr>
                <w:rStyle w:val="FootnoteReference"/>
                <w:rFonts w:ascii="Times New Roman" w:hAnsi="Times New Roman" w:cs="Times New Roman"/>
                <w:color w:val="000000" w:themeColor="text1"/>
              </w:rPr>
              <w:footnoteReference w:id="82"/>
            </w:r>
          </w:p>
        </w:tc>
        <w:tc>
          <w:tcPr>
            <w:tcW w:w="1080" w:type="dxa"/>
            <w:vAlign w:val="center"/>
          </w:tcPr>
          <w:p w14:paraId="7F16A4B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-6</w:t>
            </w:r>
            <w:r w:rsidRPr="008B628A">
              <w:rPr>
                <w:rStyle w:val="FootnoteReference"/>
                <w:rFonts w:ascii="Times New Roman" w:hAnsi="Times New Roman" w:cs="Times New Roman"/>
                <w:color w:val="000000" w:themeColor="text1"/>
              </w:rPr>
              <w:footnoteReference w:id="83"/>
            </w:r>
          </w:p>
        </w:tc>
      </w:tr>
      <w:tr w:rsidR="00DB6D12" w:rsidRPr="008B628A" w14:paraId="1C15935B" w14:textId="77777777" w:rsidTr="00DB6D12">
        <w:trPr>
          <w:jc w:val="center"/>
        </w:trPr>
        <w:tc>
          <w:tcPr>
            <w:tcW w:w="4806" w:type="dxa"/>
            <w:vAlign w:val="center"/>
          </w:tcPr>
          <w:p w14:paraId="579EA9F4"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4. ne-ETS darbības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7CEAE0EF"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9,1</w:t>
            </w:r>
          </w:p>
        </w:tc>
        <w:tc>
          <w:tcPr>
            <w:tcW w:w="1100" w:type="dxa"/>
            <w:vAlign w:val="center"/>
          </w:tcPr>
          <w:p w14:paraId="59C43539" w14:textId="0E357FF9"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9,2</w:t>
            </w:r>
          </w:p>
        </w:tc>
        <w:tc>
          <w:tcPr>
            <w:tcW w:w="1217" w:type="dxa"/>
            <w:vAlign w:val="center"/>
          </w:tcPr>
          <w:p w14:paraId="4A6257AF"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9,9</w:t>
            </w:r>
            <w:r w:rsidRPr="008B628A">
              <w:rPr>
                <w:rStyle w:val="FootnoteReference"/>
                <w:rFonts w:ascii="Times New Roman" w:hAnsi="Times New Roman" w:cs="Times New Roman"/>
                <w:color w:val="000000" w:themeColor="text1"/>
              </w:rPr>
              <w:footnoteReference w:id="84"/>
            </w:r>
          </w:p>
          <w:p w14:paraId="573AA40C" w14:textId="2B9F3D6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10</w:t>
            </w:r>
            <w:r w:rsidRPr="008B628A">
              <w:rPr>
                <w:rStyle w:val="FootnoteReference"/>
                <w:rFonts w:ascii="Times New Roman" w:hAnsi="Times New Roman" w:cs="Times New Roman"/>
                <w:b/>
                <w:color w:val="000000" w:themeColor="text1"/>
              </w:rPr>
              <w:footnoteReference w:id="85"/>
            </w:r>
          </w:p>
        </w:tc>
        <w:tc>
          <w:tcPr>
            <w:tcW w:w="1080" w:type="dxa"/>
            <w:vAlign w:val="center"/>
          </w:tcPr>
          <w:p w14:paraId="410C9DFC" w14:textId="5DC952AC"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63C4EA71" w14:textId="77777777" w:rsidTr="00DB6D12">
        <w:trPr>
          <w:jc w:val="center"/>
        </w:trPr>
        <w:tc>
          <w:tcPr>
            <w:tcW w:w="4806" w:type="dxa"/>
            <w:vAlign w:val="center"/>
          </w:tcPr>
          <w:p w14:paraId="02C2D67D"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5. ETS darbības (% pret 2005.g.)</w:t>
            </w:r>
          </w:p>
        </w:tc>
        <w:tc>
          <w:tcPr>
            <w:tcW w:w="1328" w:type="dxa"/>
            <w:vAlign w:val="center"/>
          </w:tcPr>
          <w:p w14:paraId="07AB3761"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-23</w:t>
            </w:r>
          </w:p>
        </w:tc>
        <w:tc>
          <w:tcPr>
            <w:tcW w:w="1100" w:type="dxa"/>
            <w:vAlign w:val="center"/>
          </w:tcPr>
          <w:p w14:paraId="4E784008" w14:textId="511C6423"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-28</w:t>
            </w:r>
          </w:p>
        </w:tc>
        <w:tc>
          <w:tcPr>
            <w:tcW w:w="1217" w:type="dxa"/>
            <w:vAlign w:val="center"/>
          </w:tcPr>
          <w:p w14:paraId="763D61CA"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-21</w:t>
            </w:r>
            <w:r w:rsidRPr="008B628A">
              <w:rPr>
                <w:rStyle w:val="FootnoteReference"/>
                <w:rFonts w:ascii="Times New Roman" w:hAnsi="Times New Roman" w:cs="Times New Roman"/>
                <w:color w:val="000000" w:themeColor="text1"/>
              </w:rPr>
              <w:footnoteReference w:id="86"/>
            </w:r>
          </w:p>
        </w:tc>
        <w:tc>
          <w:tcPr>
            <w:tcW w:w="1080" w:type="dxa"/>
            <w:vAlign w:val="center"/>
          </w:tcPr>
          <w:p w14:paraId="68A02C00"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1FF6A6D4" w14:textId="77777777" w:rsidTr="00DB6D12">
        <w:trPr>
          <w:jc w:val="center"/>
        </w:trPr>
        <w:tc>
          <w:tcPr>
            <w:tcW w:w="4806" w:type="dxa"/>
            <w:vAlign w:val="center"/>
          </w:tcPr>
          <w:p w14:paraId="1462E737"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6. ETS darbības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314CED9E"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2,1</w:t>
            </w:r>
          </w:p>
        </w:tc>
        <w:tc>
          <w:tcPr>
            <w:tcW w:w="1100" w:type="dxa"/>
            <w:vAlign w:val="center"/>
          </w:tcPr>
          <w:p w14:paraId="6F44888F" w14:textId="3ACA9E5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2,0</w:t>
            </w:r>
          </w:p>
        </w:tc>
        <w:tc>
          <w:tcPr>
            <w:tcW w:w="1217" w:type="dxa"/>
            <w:vAlign w:val="center"/>
          </w:tcPr>
          <w:p w14:paraId="3337BEB3"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2,26</w:t>
            </w:r>
            <w:r w:rsidRPr="008B628A">
              <w:rPr>
                <w:rStyle w:val="FootnoteReference"/>
                <w:rFonts w:ascii="Times New Roman" w:hAnsi="Times New Roman" w:cs="Times New Roman"/>
                <w:color w:val="000000" w:themeColor="text1"/>
              </w:rPr>
              <w:footnoteReference w:id="87"/>
            </w:r>
          </w:p>
        </w:tc>
        <w:tc>
          <w:tcPr>
            <w:tcW w:w="1080" w:type="dxa"/>
            <w:vAlign w:val="center"/>
          </w:tcPr>
          <w:p w14:paraId="7BCDC475" w14:textId="5483A721" w:rsidR="00DB6D12" w:rsidRPr="008B628A" w:rsidRDefault="00304C8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6F029BB9" w14:textId="77777777" w:rsidTr="00DB6D12">
        <w:trPr>
          <w:jc w:val="center"/>
        </w:trPr>
        <w:tc>
          <w:tcPr>
            <w:tcW w:w="4806" w:type="dxa"/>
            <w:vAlign w:val="center"/>
          </w:tcPr>
          <w:p w14:paraId="546AE343" w14:textId="25A042D5" w:rsidR="00DB6D12" w:rsidRPr="008B628A" w:rsidRDefault="00DB6D12" w:rsidP="00DB6D12">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7. ZIZIMM uzskaites kategorijas (milj.</w:t>
            </w:r>
            <w:r w:rsidR="00DA459F">
              <w:rPr>
                <w:rFonts w:ascii="Times New Roman" w:hAnsi="Times New Roman" w:cs="Times New Roman"/>
                <w:color w:val="000000" w:themeColor="text1"/>
              </w:rPr>
              <w:t>vienību</w:t>
            </w:r>
            <w:r w:rsidRPr="008B628A">
              <w:rPr>
                <w:rFonts w:ascii="Times New Roman" w:hAnsi="Times New Roman" w:cs="Times New Roman"/>
                <w:color w:val="000000" w:themeColor="text1"/>
              </w:rPr>
              <w:t>)</w:t>
            </w:r>
          </w:p>
        </w:tc>
        <w:tc>
          <w:tcPr>
            <w:tcW w:w="1328" w:type="dxa"/>
            <w:vAlign w:val="center"/>
          </w:tcPr>
          <w:p w14:paraId="239D6FC9" w14:textId="577136E5" w:rsidR="00DB6D12" w:rsidRPr="008B628A" w:rsidRDefault="00970407"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r w:rsidRPr="008B628A">
              <w:rPr>
                <w:rStyle w:val="FootnoteReference"/>
                <w:rFonts w:ascii="Times New Roman" w:hAnsi="Times New Roman" w:cs="Times New Roman"/>
                <w:color w:val="000000" w:themeColor="text1"/>
              </w:rPr>
              <w:footnoteReference w:id="88"/>
            </w:r>
          </w:p>
        </w:tc>
        <w:tc>
          <w:tcPr>
            <w:tcW w:w="1100" w:type="dxa"/>
            <w:vAlign w:val="center"/>
          </w:tcPr>
          <w:p w14:paraId="69D641D1" w14:textId="146FD682" w:rsidR="00DB6D12" w:rsidRPr="008B628A" w:rsidRDefault="00970407"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r w:rsidRPr="008B628A">
              <w:rPr>
                <w:rStyle w:val="FootnoteReference"/>
                <w:rFonts w:ascii="Times New Roman" w:hAnsi="Times New Roman" w:cs="Times New Roman"/>
                <w:color w:val="000000" w:themeColor="text1"/>
              </w:rPr>
              <w:footnoteReference w:id="89"/>
            </w:r>
          </w:p>
        </w:tc>
        <w:tc>
          <w:tcPr>
            <w:tcW w:w="1217" w:type="dxa"/>
            <w:vAlign w:val="center"/>
          </w:tcPr>
          <w:p w14:paraId="5BA7D9EC" w14:textId="77777777" w:rsidR="00DB6D12" w:rsidRPr="008B628A" w:rsidRDefault="00DB6D12"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0</w:t>
            </w:r>
          </w:p>
        </w:tc>
        <w:tc>
          <w:tcPr>
            <w:tcW w:w="1080" w:type="dxa"/>
            <w:vAlign w:val="center"/>
          </w:tcPr>
          <w:p w14:paraId="51601B42" w14:textId="0D156BD8" w:rsidR="00DB6D12" w:rsidRPr="008B628A" w:rsidRDefault="00DB6D12" w:rsidP="00DB6D12">
            <w:pPr>
              <w:spacing w:before="60" w:after="60" w:line="240" w:lineRule="auto"/>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3,1</w:t>
            </w:r>
            <w:r w:rsidRPr="008B628A">
              <w:rPr>
                <w:rStyle w:val="FootnoteReference"/>
                <w:rFonts w:ascii="Times New Roman" w:hAnsi="Times New Roman" w:cs="Times New Roman"/>
                <w:color w:val="000000" w:themeColor="text1"/>
              </w:rPr>
              <w:footnoteReference w:id="90"/>
            </w:r>
          </w:p>
        </w:tc>
      </w:tr>
    </w:tbl>
    <w:p w14:paraId="7CB0AC88" w14:textId="77777777" w:rsidR="00C47F55" w:rsidRPr="008B628A" w:rsidRDefault="00C47F55" w:rsidP="00FC1FD5">
      <w:bookmarkStart w:id="84" w:name="_Toc520978813"/>
      <w:bookmarkStart w:id="85" w:name="_Toc527529441"/>
      <w:bookmarkEnd w:id="72"/>
    </w:p>
    <w:p w14:paraId="5AC5776E" w14:textId="59CF31A7" w:rsidR="002E51E3" w:rsidRPr="008B628A" w:rsidRDefault="00EB541A" w:rsidP="005F59CE">
      <w:pPr>
        <w:pStyle w:val="Heading3"/>
      </w:pPr>
      <w:r w:rsidRPr="008B628A">
        <w:t>AER</w:t>
      </w:r>
      <w:r w:rsidR="002E51E3" w:rsidRPr="008B628A">
        <w:t xml:space="preserve"> enerģija</w:t>
      </w:r>
      <w:bookmarkEnd w:id="84"/>
      <w:bookmarkEnd w:id="85"/>
      <w:r w:rsidR="002E51E3" w:rsidRPr="008B628A">
        <w:t> </w:t>
      </w:r>
    </w:p>
    <w:p w14:paraId="4112C561" w14:textId="62A052E6" w:rsidR="00AB5272" w:rsidRPr="008B628A" w:rsidRDefault="00AB5272" w:rsidP="00863FD7">
      <w:pPr>
        <w:pStyle w:val="Heading4"/>
      </w:pPr>
      <w:bookmarkStart w:id="86" w:name="_Toc527529442"/>
      <w:r w:rsidRPr="008B628A">
        <w:t xml:space="preserve">Latvijas AER </w:t>
      </w:r>
      <w:r w:rsidR="00E106AD" w:rsidRPr="008B628A">
        <w:t xml:space="preserve">devuma </w:t>
      </w:r>
      <w:r w:rsidRPr="008B628A">
        <w:t>nosacījumi</w:t>
      </w:r>
      <w:bookmarkEnd w:id="86"/>
    </w:p>
    <w:p w14:paraId="7E6E883B" w14:textId="51C09E05" w:rsidR="001F3F22" w:rsidRPr="008B628A" w:rsidRDefault="001F3F22" w:rsidP="001F3F22">
      <w:pPr>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ES ietvaros visām dalībvalstīm kopējs saistošs mērķis ES AE 2030.gadam no ES kopējā enerģijas gala patēriņa ir noteikts </w:t>
      </w:r>
      <w:r w:rsidR="00B224CF" w:rsidRPr="008B628A">
        <w:rPr>
          <w:rFonts w:ascii="Times New Roman" w:eastAsia="Calibri" w:hAnsi="Times New Roman" w:cs="Times New Roman"/>
          <w:szCs w:val="24"/>
        </w:rPr>
        <w:t>priekšlikumā Direktīvas 2009/28/EK grozījumiem</w:t>
      </w:r>
      <w:r w:rsidRPr="008B628A">
        <w:rPr>
          <w:rStyle w:val="FootnoteReference"/>
          <w:rFonts w:ascii="Times New Roman" w:hAnsi="Times New Roman" w:cs="Times New Roman"/>
          <w:szCs w:val="24"/>
        </w:rPr>
        <w:footnoteReference w:id="91"/>
      </w:r>
      <w:r w:rsidRPr="008B628A">
        <w:rPr>
          <w:rFonts w:ascii="Times New Roman" w:hAnsi="Times New Roman" w:cs="Times New Roman"/>
          <w:szCs w:val="24"/>
          <w:vertAlign w:val="superscript"/>
          <w:lang w:eastAsia="lv-LV"/>
        </w:rPr>
        <w:t>,</w:t>
      </w:r>
      <w:r w:rsidRPr="008B628A">
        <w:rPr>
          <w:rStyle w:val="FootnoteReference"/>
          <w:rFonts w:ascii="Times New Roman" w:hAnsi="Times New Roman" w:cs="Times New Roman"/>
          <w:szCs w:val="24"/>
        </w:rPr>
        <w:footnoteReference w:id="92"/>
      </w:r>
      <w:r w:rsidRPr="008B628A">
        <w:rPr>
          <w:rFonts w:ascii="Times New Roman" w:hAnsi="Times New Roman" w:cs="Times New Roman"/>
          <w:szCs w:val="24"/>
          <w:lang w:eastAsia="lv-LV"/>
        </w:rPr>
        <w:t xml:space="preserve"> - 32% AER īpatsvars kopējā ES enerģijas gala patēriņā</w:t>
      </w:r>
      <w:r w:rsidR="00A54AC9">
        <w:rPr>
          <w:rFonts w:ascii="Times New Roman" w:hAnsi="Times New Roman" w:cs="Times New Roman"/>
          <w:szCs w:val="24"/>
          <w:lang w:eastAsia="lv-LV"/>
        </w:rPr>
        <w:t xml:space="preserve"> (ieskaitot elektroenerģiju, siltumapgādi un transportu)</w:t>
      </w:r>
      <w:r w:rsidRPr="008B628A">
        <w:rPr>
          <w:rFonts w:ascii="Times New Roman" w:hAnsi="Times New Roman" w:cs="Times New Roman"/>
          <w:szCs w:val="24"/>
          <w:lang w:eastAsia="lv-LV"/>
        </w:rPr>
        <w:t xml:space="preserve">, kur 2020.gada nacionālie mērķi ir bāzes līnija (AER daļa enerģijas gala patēriņā dalībvalstīm no 2021.gada nevar būt mazāka par 2020.gada nacionālajiem mērķiem). Visām ES </w:t>
      </w:r>
      <w:r w:rsidR="00A54AC9">
        <w:rPr>
          <w:rFonts w:ascii="Times New Roman" w:hAnsi="Times New Roman" w:cs="Times New Roman"/>
          <w:szCs w:val="24"/>
          <w:lang w:eastAsia="lv-LV"/>
        </w:rPr>
        <w:t>dalībvalstīm</w:t>
      </w:r>
      <w:r w:rsidR="00A54AC9" w:rsidRPr="008B628A">
        <w:rPr>
          <w:rFonts w:ascii="Times New Roman" w:hAnsi="Times New Roman" w:cs="Times New Roman"/>
          <w:szCs w:val="24"/>
          <w:lang w:eastAsia="lv-LV"/>
        </w:rPr>
        <w:t xml:space="preserve"> </w:t>
      </w:r>
      <w:r w:rsidRPr="008B628A">
        <w:rPr>
          <w:rFonts w:ascii="Times New Roman" w:hAnsi="Times New Roman" w:cs="Times New Roman"/>
          <w:szCs w:val="24"/>
          <w:lang w:eastAsia="lv-LV"/>
        </w:rPr>
        <w:t>ir jānosaka savi nacionālie devumi kopējā ES mērķa izpildei.</w:t>
      </w:r>
    </w:p>
    <w:p w14:paraId="6483AAE0" w14:textId="657AFBFB" w:rsidR="002E51E3" w:rsidRPr="008B628A" w:rsidRDefault="002E51E3" w:rsidP="00CA5C91">
      <w:pPr>
        <w:pStyle w:val="Heading4"/>
      </w:pPr>
      <w:bookmarkStart w:id="87" w:name="_Toc527529443"/>
      <w:r w:rsidRPr="008B628A">
        <w:t xml:space="preserve">Latvijas </w:t>
      </w:r>
      <w:r w:rsidR="00E106AD" w:rsidRPr="008B628A">
        <w:t>devums</w:t>
      </w:r>
      <w:r w:rsidRPr="008B628A">
        <w:t xml:space="preserve"> </w:t>
      </w:r>
      <w:r w:rsidR="00FE69E7" w:rsidRPr="008B628A">
        <w:t xml:space="preserve">ES AER </w:t>
      </w:r>
      <w:r w:rsidRPr="008B628A">
        <w:t>mērķa izpildē</w:t>
      </w:r>
      <w:bookmarkEnd w:id="87"/>
      <w:r w:rsidRPr="008B628A">
        <w:t> </w:t>
      </w:r>
    </w:p>
    <w:p w14:paraId="319069A1" w14:textId="7E45D808" w:rsidR="002E51E3" w:rsidRPr="008B628A" w:rsidRDefault="002E51E3" w:rsidP="00CA5C91">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Saskaņā ar </w:t>
      </w:r>
      <w:r w:rsidR="00B224CF" w:rsidRPr="008B628A">
        <w:rPr>
          <w:rFonts w:ascii="Times New Roman" w:eastAsia="Calibri" w:hAnsi="Times New Roman" w:cs="Times New Roman"/>
          <w:szCs w:val="24"/>
        </w:rPr>
        <w:t>priekšlikumu Direktīvas 2009/28/EK grozījumiem</w:t>
      </w:r>
      <w:r w:rsidR="00B224CF" w:rsidRPr="008B628A">
        <w:rPr>
          <w:rFonts w:ascii="Times New Roman" w:hAnsi="Times New Roman" w:cs="Times New Roman"/>
          <w:szCs w:val="24"/>
          <w:lang w:eastAsia="lv-LV"/>
        </w:rPr>
        <w:t xml:space="preserve"> </w:t>
      </w:r>
      <w:r w:rsidRPr="008B628A">
        <w:rPr>
          <w:rFonts w:ascii="Times New Roman" w:hAnsi="Times New Roman" w:cs="Times New Roman"/>
          <w:szCs w:val="24"/>
          <w:lang w:eastAsia="lv-LV"/>
        </w:rPr>
        <w:t>Latvija</w:t>
      </w:r>
      <w:r w:rsidR="00C61774" w:rsidRPr="008B628A">
        <w:rPr>
          <w:rFonts w:ascii="Times New Roman" w:hAnsi="Times New Roman" w:cs="Times New Roman"/>
          <w:szCs w:val="24"/>
          <w:lang w:eastAsia="lv-LV"/>
        </w:rPr>
        <w:t xml:space="preserve"> piedāvā šādu </w:t>
      </w:r>
      <w:r w:rsidRPr="008B628A">
        <w:rPr>
          <w:rFonts w:ascii="Times New Roman" w:hAnsi="Times New Roman" w:cs="Times New Roman"/>
          <w:szCs w:val="24"/>
          <w:lang w:eastAsia="lv-LV"/>
        </w:rPr>
        <w:t xml:space="preserve">nacionālo devumu kopējā ES saistošā AER mērķa izpildei – </w:t>
      </w:r>
      <w:r w:rsidRPr="008B628A">
        <w:rPr>
          <w:rFonts w:ascii="Times New Roman" w:hAnsi="Times New Roman" w:cs="Times New Roman"/>
          <w:b/>
          <w:szCs w:val="24"/>
          <w:lang w:eastAsia="lv-LV"/>
        </w:rPr>
        <w:t xml:space="preserve">2030.gadā nodrošināt vismaz </w:t>
      </w:r>
      <w:r w:rsidR="003723A4" w:rsidRPr="008B628A">
        <w:rPr>
          <w:rFonts w:ascii="Times New Roman" w:hAnsi="Times New Roman" w:cs="Times New Roman"/>
          <w:b/>
          <w:szCs w:val="24"/>
          <w:lang w:eastAsia="lv-LV"/>
        </w:rPr>
        <w:t>45</w:t>
      </w:r>
      <w:r w:rsidRPr="008B628A">
        <w:rPr>
          <w:rFonts w:ascii="Times New Roman" w:hAnsi="Times New Roman" w:cs="Times New Roman"/>
          <w:b/>
          <w:szCs w:val="24"/>
          <w:lang w:eastAsia="lv-LV"/>
        </w:rPr>
        <w:t xml:space="preserve">% AER īpatsvaru </w:t>
      </w:r>
      <w:r w:rsidR="00F57AD9" w:rsidRPr="008B628A">
        <w:rPr>
          <w:rFonts w:ascii="Times New Roman" w:hAnsi="Times New Roman" w:cs="Times New Roman"/>
          <w:b/>
          <w:szCs w:val="24"/>
          <w:lang w:eastAsia="lv-LV"/>
        </w:rPr>
        <w:t>Latvijas enerģijas galapatēriņā</w:t>
      </w:r>
      <w:r w:rsidRPr="008B628A">
        <w:rPr>
          <w:rFonts w:ascii="Times New Roman" w:hAnsi="Times New Roman" w:cs="Times New Roman"/>
          <w:szCs w:val="24"/>
          <w:lang w:eastAsia="lv-LV"/>
        </w:rPr>
        <w:t>.</w:t>
      </w:r>
    </w:p>
    <w:p w14:paraId="166B6233" w14:textId="35427101" w:rsidR="00E901F7" w:rsidRPr="008B628A" w:rsidRDefault="00E901F7" w:rsidP="00CA5C91">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Latvija sava devuma kopējā ES AER mērķa izpild</w:t>
      </w:r>
      <w:r w:rsidR="00D518DE" w:rsidRPr="008B628A">
        <w:rPr>
          <w:rFonts w:ascii="Times New Roman" w:hAnsi="Times New Roman" w:cs="Times New Roman"/>
          <w:szCs w:val="24"/>
          <w:lang w:eastAsia="lv-LV"/>
        </w:rPr>
        <w:t>ē noteikšanā ir ņēmusi vērā šādas Latvijas īpatnības</w:t>
      </w:r>
      <w:r w:rsidR="00A71BC9" w:rsidRPr="008B628A">
        <w:rPr>
          <w:rFonts w:ascii="Times New Roman" w:hAnsi="Times New Roman" w:cs="Times New Roman"/>
          <w:szCs w:val="24"/>
          <w:lang w:eastAsia="lv-LV"/>
        </w:rPr>
        <w:t xml:space="preserve"> un iespējamos šķēršļus:</w:t>
      </w:r>
    </w:p>
    <w:p w14:paraId="50F5F839" w14:textId="11464507" w:rsidR="00A71BC9" w:rsidRPr="008B628A" w:rsidRDefault="00CE7710"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bookmarkStart w:id="88" w:name="_Hlk531883687"/>
      <w:r w:rsidRPr="008B628A">
        <w:rPr>
          <w:rFonts w:ascii="Times New Roman" w:hAnsi="Times New Roman" w:cs="Times New Roman"/>
          <w:szCs w:val="24"/>
          <w:lang w:eastAsia="lv-LV"/>
        </w:rPr>
        <w:t>Latvijai 2020.gada AER īpatsvara mērķis</w:t>
      </w:r>
      <w:r w:rsidR="003C2350" w:rsidRPr="008B628A">
        <w:rPr>
          <w:rFonts w:ascii="Times New Roman" w:hAnsi="Times New Roman" w:cs="Times New Roman"/>
          <w:szCs w:val="24"/>
          <w:lang w:eastAsia="lv-LV"/>
        </w:rPr>
        <w:t xml:space="preserve"> – 40% AER īpatsvars enerģija galapatēriņā,</w:t>
      </w:r>
      <w:r w:rsidRPr="008B628A">
        <w:rPr>
          <w:rFonts w:ascii="Times New Roman" w:hAnsi="Times New Roman" w:cs="Times New Roman"/>
          <w:szCs w:val="24"/>
          <w:lang w:eastAsia="lv-LV"/>
        </w:rPr>
        <w:t xml:space="preserve"> ir 2.augstākais ES</w:t>
      </w:r>
      <w:r w:rsidR="00777A19" w:rsidRPr="008B628A">
        <w:rPr>
          <w:rFonts w:ascii="Times New Roman" w:hAnsi="Times New Roman" w:cs="Times New Roman"/>
          <w:szCs w:val="24"/>
          <w:lang w:eastAsia="lv-LV"/>
        </w:rPr>
        <w:t>,</w:t>
      </w:r>
      <w:r w:rsidRPr="008B628A">
        <w:rPr>
          <w:rFonts w:ascii="Times New Roman" w:hAnsi="Times New Roman" w:cs="Times New Roman"/>
          <w:szCs w:val="24"/>
          <w:lang w:eastAsia="lv-LV"/>
        </w:rPr>
        <w:t xml:space="preserve"> bet IKP/iedz. rādītājs 2017.gadā bija 4.zemākais ES</w:t>
      </w:r>
      <w:r w:rsidRPr="008B628A">
        <w:rPr>
          <w:rStyle w:val="FootnoteReference"/>
          <w:rFonts w:ascii="Times New Roman" w:hAnsi="Times New Roman" w:cs="Times New Roman"/>
          <w:szCs w:val="24"/>
          <w:lang w:eastAsia="lv-LV"/>
        </w:rPr>
        <w:footnoteReference w:id="93"/>
      </w:r>
      <w:r w:rsidR="00777A19" w:rsidRPr="008B628A">
        <w:rPr>
          <w:rFonts w:ascii="Times New Roman" w:hAnsi="Times New Roman" w:cs="Times New Roman"/>
          <w:szCs w:val="24"/>
          <w:lang w:eastAsia="lv-LV"/>
        </w:rPr>
        <w:t>. Latvija plāno savu 2020.gada mērķi sasniegt</w:t>
      </w:r>
      <w:r w:rsidR="00C62D11" w:rsidRPr="008B628A">
        <w:rPr>
          <w:rFonts w:ascii="Times New Roman" w:hAnsi="Times New Roman" w:cs="Times New Roman"/>
          <w:szCs w:val="24"/>
          <w:lang w:eastAsia="lv-LV"/>
        </w:rPr>
        <w:t>;</w:t>
      </w:r>
    </w:p>
    <w:p w14:paraId="203C65C3" w14:textId="7C53FCBC" w:rsidR="006800DD" w:rsidRPr="008B628A" w:rsidRDefault="00C62D11"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Latvijā jau </w:t>
      </w:r>
      <w:r w:rsidR="00E41930">
        <w:rPr>
          <w:rFonts w:ascii="Times New Roman" w:hAnsi="Times New Roman" w:cs="Times New Roman"/>
          <w:szCs w:val="24"/>
          <w:lang w:eastAsia="lv-LV"/>
        </w:rPr>
        <w:t>2016.-2017.gadā</w:t>
      </w:r>
      <w:r w:rsidRPr="008B628A">
        <w:rPr>
          <w:rFonts w:ascii="Times New Roman" w:hAnsi="Times New Roman" w:cs="Times New Roman"/>
          <w:szCs w:val="24"/>
          <w:lang w:eastAsia="lv-LV"/>
        </w:rPr>
        <w:t xml:space="preserve"> ir būtiski liels AER īpatsvars enerģijas ražošanā</w:t>
      </w:r>
      <w:r w:rsidR="00C34D89" w:rsidRPr="008B628A">
        <w:rPr>
          <w:rFonts w:ascii="Times New Roman" w:hAnsi="Times New Roman" w:cs="Times New Roman"/>
          <w:szCs w:val="24"/>
          <w:lang w:eastAsia="lv-LV"/>
        </w:rPr>
        <w:t xml:space="preserve"> (otrs lielākais ES)</w:t>
      </w:r>
      <w:r w:rsidR="009B6947" w:rsidRPr="008B628A">
        <w:rPr>
          <w:rFonts w:ascii="Times New Roman" w:hAnsi="Times New Roman" w:cs="Times New Roman"/>
          <w:szCs w:val="24"/>
          <w:lang w:eastAsia="lv-LV"/>
        </w:rPr>
        <w:t xml:space="preserve"> un tā turpmāka būtiska palielināšana ir īpaši apgrūtinoša. Latvijā </w:t>
      </w:r>
      <w:r w:rsidR="00EA29FA" w:rsidRPr="008B628A">
        <w:rPr>
          <w:rFonts w:ascii="Times New Roman" w:hAnsi="Times New Roman" w:cs="Times New Roman"/>
          <w:szCs w:val="24"/>
          <w:lang w:eastAsia="lv-LV"/>
        </w:rPr>
        <w:t xml:space="preserve">AER īpatsvars elektroenerģijā un </w:t>
      </w:r>
      <w:r w:rsidR="009B6947" w:rsidRPr="008B628A">
        <w:rPr>
          <w:rFonts w:ascii="Times New Roman" w:hAnsi="Times New Roman" w:cs="Times New Roman"/>
          <w:szCs w:val="24"/>
          <w:lang w:eastAsia="lv-LV"/>
        </w:rPr>
        <w:t xml:space="preserve">siltumapgādē </w:t>
      </w:r>
      <w:r w:rsidR="003C2350" w:rsidRPr="008B628A">
        <w:rPr>
          <w:rFonts w:ascii="Times New Roman" w:hAnsi="Times New Roman" w:cs="Times New Roman"/>
          <w:szCs w:val="24"/>
          <w:lang w:eastAsia="lv-LV"/>
        </w:rPr>
        <w:t>un</w:t>
      </w:r>
      <w:r w:rsidR="009B6947" w:rsidRPr="008B628A">
        <w:rPr>
          <w:rFonts w:ascii="Times New Roman" w:hAnsi="Times New Roman" w:cs="Times New Roman"/>
          <w:szCs w:val="24"/>
          <w:lang w:eastAsia="lv-LV"/>
        </w:rPr>
        <w:t xml:space="preserve"> aukstumapgādē pārsniedz 50% (šie abi rādītāji pārsniedz 50% vēl tikai Zviedrijai), bet ES 28 </w:t>
      </w:r>
      <w:r w:rsidR="00A54AC9">
        <w:rPr>
          <w:rFonts w:ascii="Times New Roman" w:hAnsi="Times New Roman" w:cs="Times New Roman"/>
          <w:szCs w:val="24"/>
          <w:lang w:eastAsia="lv-LV"/>
        </w:rPr>
        <w:t>dalībvalstu</w:t>
      </w:r>
      <w:r w:rsidR="009B6947" w:rsidRPr="008B628A">
        <w:rPr>
          <w:rFonts w:ascii="Times New Roman" w:hAnsi="Times New Roman" w:cs="Times New Roman"/>
          <w:szCs w:val="24"/>
          <w:lang w:eastAsia="lv-LV"/>
        </w:rPr>
        <w:t xml:space="preserve"> vidējais rādītājs AER </w:t>
      </w:r>
      <w:r w:rsidR="009B6947" w:rsidRPr="008B628A">
        <w:rPr>
          <w:rFonts w:ascii="Times New Roman" w:hAnsi="Times New Roman" w:cs="Times New Roman"/>
          <w:szCs w:val="24"/>
          <w:lang w:eastAsia="lv-LV"/>
        </w:rPr>
        <w:lastRenderedPageBreak/>
        <w:t>elektroenerģijā ir zem 30%, bet AER siltumapgādē &amp; aukstumapgādē nepārsniedz 20%</w:t>
      </w:r>
      <w:r w:rsidR="00A0492D" w:rsidRPr="008B628A">
        <w:rPr>
          <w:rFonts w:ascii="Times New Roman" w:hAnsi="Times New Roman" w:cs="Times New Roman"/>
          <w:szCs w:val="24"/>
          <w:lang w:eastAsia="lv-LV"/>
        </w:rPr>
        <w:t>. Šobrīd ir gandrīz izsmeltas iespējas palielināt AER īpatsvaru elektroenerģijā par saprātīgiem un optimāliem līdzekļiem, neradot nesamērīgi lielu slogu uz elektroenerģijas cenu.</w:t>
      </w:r>
    </w:p>
    <w:p w14:paraId="76720C88" w14:textId="16545D0C" w:rsidR="006800DD" w:rsidRPr="008B628A" w:rsidRDefault="006800DD"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74,1% no visa mājsaimniecībās izmantotā kurināmā apjoma un 42,2% no visa</w:t>
      </w:r>
      <w:r w:rsidR="008000C9">
        <w:rPr>
          <w:rFonts w:ascii="Times New Roman" w:hAnsi="Times New Roman" w:cs="Times New Roman"/>
          <w:szCs w:val="24"/>
          <w:lang w:eastAsia="lv-LV"/>
        </w:rPr>
        <w:t>s</w:t>
      </w:r>
      <w:r w:rsidRPr="008B628A">
        <w:rPr>
          <w:rFonts w:ascii="Times New Roman" w:hAnsi="Times New Roman" w:cs="Times New Roman"/>
          <w:szCs w:val="24"/>
          <w:lang w:eastAsia="lv-LV"/>
        </w:rPr>
        <w:t xml:space="preserve"> mājsaimniecībā izmantot</w:t>
      </w:r>
      <w:r w:rsidR="008000C9">
        <w:rPr>
          <w:rFonts w:ascii="Times New Roman" w:hAnsi="Times New Roman" w:cs="Times New Roman"/>
          <w:szCs w:val="24"/>
          <w:lang w:eastAsia="lv-LV"/>
        </w:rPr>
        <w:t xml:space="preserve">ās enerģijas </w:t>
      </w:r>
      <w:r w:rsidRPr="008B628A">
        <w:rPr>
          <w:rFonts w:ascii="Times New Roman" w:hAnsi="Times New Roman" w:cs="Times New Roman"/>
          <w:szCs w:val="24"/>
          <w:lang w:eastAsia="lv-LV"/>
        </w:rPr>
        <w:t xml:space="preserve">apjoma (ieskaitot siltumenerģiju un elektroenerģiju) </w:t>
      </w:r>
      <w:r w:rsidR="00C34D89" w:rsidRPr="008B628A">
        <w:rPr>
          <w:rFonts w:ascii="Times New Roman" w:hAnsi="Times New Roman" w:cs="Times New Roman"/>
          <w:szCs w:val="24"/>
          <w:lang w:eastAsia="lv-LV"/>
        </w:rPr>
        <w:t xml:space="preserve">jau tagad </w:t>
      </w:r>
      <w:r w:rsidRPr="008B628A">
        <w:rPr>
          <w:rFonts w:ascii="Times New Roman" w:hAnsi="Times New Roman" w:cs="Times New Roman"/>
          <w:szCs w:val="24"/>
          <w:lang w:eastAsia="lv-LV"/>
        </w:rPr>
        <w:t>ir biomasa;</w:t>
      </w:r>
    </w:p>
    <w:p w14:paraId="6C1541A0" w14:textId="2AC3702D" w:rsidR="00AB7AFC" w:rsidRPr="008B628A" w:rsidRDefault="00AB7AFC"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Lai sasniegtu Latvijas izvēlēto devumu ES AER mērķa izpildē – </w:t>
      </w:r>
      <w:r w:rsidR="00FB42B1" w:rsidRPr="008B628A">
        <w:rPr>
          <w:rFonts w:ascii="Times New Roman" w:hAnsi="Times New Roman" w:cs="Times New Roman"/>
          <w:szCs w:val="24"/>
          <w:lang w:eastAsia="lv-LV"/>
        </w:rPr>
        <w:t>45</w:t>
      </w:r>
      <w:r w:rsidR="00F64BD7" w:rsidRPr="008B628A">
        <w:rPr>
          <w:rFonts w:ascii="Times New Roman" w:hAnsi="Times New Roman" w:cs="Times New Roman"/>
          <w:szCs w:val="24"/>
          <w:lang w:eastAsia="lv-LV"/>
        </w:rPr>
        <w:t>%</w:t>
      </w:r>
      <w:r w:rsidRPr="008B628A">
        <w:rPr>
          <w:rFonts w:ascii="Times New Roman" w:hAnsi="Times New Roman" w:cs="Times New Roman"/>
          <w:szCs w:val="24"/>
          <w:lang w:eastAsia="lv-LV"/>
        </w:rPr>
        <w:t>, Latvijai Plāna aptvertajā periodā būs jāiegulda vismaz 0,</w:t>
      </w:r>
      <w:r w:rsidR="00777A19" w:rsidRPr="008B628A">
        <w:rPr>
          <w:rFonts w:ascii="Times New Roman" w:hAnsi="Times New Roman" w:cs="Times New Roman"/>
          <w:szCs w:val="24"/>
          <w:lang w:eastAsia="lv-LV"/>
        </w:rPr>
        <w:t>21</w:t>
      </w:r>
      <w:r w:rsidRPr="008B628A">
        <w:rPr>
          <w:rFonts w:ascii="Times New Roman" w:hAnsi="Times New Roman" w:cs="Times New Roman"/>
          <w:szCs w:val="24"/>
          <w:lang w:eastAsia="lv-LV"/>
        </w:rPr>
        <w:t xml:space="preserve"> % no IKP papildus tam apjomam, ko Latvijai jāiegulda bāzes scenārija – </w:t>
      </w:r>
      <w:r w:rsidR="002C2BBC" w:rsidRPr="008B628A">
        <w:rPr>
          <w:rFonts w:ascii="Times New Roman" w:hAnsi="Times New Roman" w:cs="Times New Roman"/>
          <w:szCs w:val="24"/>
          <w:lang w:eastAsia="lv-LV"/>
        </w:rPr>
        <w:t>4</w:t>
      </w:r>
      <w:r w:rsidR="00777A19" w:rsidRPr="008B628A">
        <w:rPr>
          <w:rFonts w:ascii="Times New Roman" w:hAnsi="Times New Roman" w:cs="Times New Roman"/>
          <w:szCs w:val="24"/>
          <w:lang w:eastAsia="lv-LV"/>
        </w:rPr>
        <w:t>1,2</w:t>
      </w:r>
      <w:r w:rsidRPr="008B628A">
        <w:rPr>
          <w:rFonts w:ascii="Times New Roman" w:hAnsi="Times New Roman" w:cs="Times New Roman"/>
          <w:szCs w:val="24"/>
          <w:lang w:eastAsia="lv-LV"/>
        </w:rPr>
        <w:t>% AER īpatsvars Latvijas enerģijas galapatēriņā, nodrošināšanā;</w:t>
      </w:r>
    </w:p>
    <w:p w14:paraId="6A75F478" w14:textId="5BD84F53" w:rsidR="0017515F" w:rsidRPr="008B628A" w:rsidRDefault="0017515F"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Ņemot vērā, ka Latvijā ES ETS aptver mazāk nekā 20% no Latvijas kopējā SEG emisiju apjo</w:t>
      </w:r>
      <w:r w:rsidR="00DB2D42" w:rsidRPr="008B628A">
        <w:rPr>
          <w:rFonts w:ascii="Times New Roman" w:hAnsi="Times New Roman" w:cs="Times New Roman"/>
          <w:szCs w:val="24"/>
          <w:lang w:eastAsia="lv-LV"/>
        </w:rPr>
        <w:t>m</w:t>
      </w:r>
      <w:r w:rsidRPr="008B628A">
        <w:rPr>
          <w:rFonts w:ascii="Times New Roman" w:hAnsi="Times New Roman" w:cs="Times New Roman"/>
          <w:szCs w:val="24"/>
          <w:lang w:eastAsia="lv-LV"/>
        </w:rPr>
        <w:t>a, Latvijai ir pieejams neliels ES ETS ietvaros izveidoto finansēšanas mehānismu – EKII, Modernizācijas fonds, apjoms. Latvija arī kā</w:t>
      </w:r>
      <w:r w:rsidR="000D741E" w:rsidRPr="008B628A">
        <w:rPr>
          <w:rFonts w:ascii="Times New Roman" w:hAnsi="Times New Roman" w:cs="Times New Roman"/>
          <w:szCs w:val="24"/>
          <w:lang w:eastAsia="lv-LV"/>
        </w:rPr>
        <w:t xml:space="preserve"> mazā ES dalībvalsts saņem salīdzinošu nelielu apjomu ES fondu, un šis apjoms MFF 2021.-2027.gada </w:t>
      </w:r>
      <w:r w:rsidR="00A307C2" w:rsidRPr="008B628A">
        <w:rPr>
          <w:rFonts w:ascii="Times New Roman" w:hAnsi="Times New Roman" w:cs="Times New Roman"/>
          <w:szCs w:val="24"/>
          <w:lang w:eastAsia="lv-LV"/>
        </w:rPr>
        <w:t>periodā tiks samazināts, salīdzinot ar plānošanas periodu līdz 2020.gadam. Ņemot vērā šos nosacījumus, ir secināts, ka Latvijai ir pieejami ļoti ierobežoti līdzekļi, lai īstenotu pasākum</w:t>
      </w:r>
      <w:r w:rsidR="00121062" w:rsidRPr="008B628A">
        <w:rPr>
          <w:rFonts w:ascii="Times New Roman" w:hAnsi="Times New Roman" w:cs="Times New Roman"/>
          <w:szCs w:val="24"/>
          <w:lang w:eastAsia="lv-LV"/>
        </w:rPr>
        <w:t>us ambiciozu mērķu sasniegšanai;</w:t>
      </w:r>
    </w:p>
    <w:p w14:paraId="290D4DB2" w14:textId="6A3F9E45" w:rsidR="006800DD" w:rsidRPr="008B628A" w:rsidRDefault="006800DD"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Latvijai ir nepieciešams nodrošināt Latvijas starpsavienojumu jaudu, kas ir 80% (starpsavienojumu jauda pret Latvijā uzstādīto elektroenerģijas jaudu), un </w:t>
      </w:r>
      <w:r w:rsidR="00C34D89" w:rsidRPr="008B628A">
        <w:rPr>
          <w:rFonts w:ascii="Times New Roman" w:hAnsi="Times New Roman" w:cs="Times New Roman"/>
          <w:szCs w:val="24"/>
          <w:lang w:eastAsia="lv-LV"/>
        </w:rPr>
        <w:t>nepieciešams ņemt vērā kaimiņvalstu, ar kurām ir izveidoti minētie starpsavienojumi, pieprasījuma pēc elektroenerģijas palielinājumu;</w:t>
      </w:r>
    </w:p>
    <w:p w14:paraId="5CEB63AC" w14:textId="08B7138E" w:rsidR="00C34D89" w:rsidRPr="008B628A" w:rsidRDefault="00C34D89"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jāspēj nodrošināt pašnodrošinājums ar saražoto elektroenerģiju un Latvijai ir jāņem vērā arvien pieaugošais pieprasījums pēc elektroenerģijas;</w:t>
      </w:r>
    </w:p>
    <w:p w14:paraId="6FBFA86B" w14:textId="113982E6" w:rsidR="00777A19" w:rsidRPr="008B628A" w:rsidRDefault="00777A19"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nepieciešams nodrošināt pastāvīgu jaudu enerģētiskās drošības nodrošināšanai, kur Latvijas ģeogrāfiskā novietojuma dēļ Latvijai var būt nepieciešams būtisks papildu jaudu apjoms gada aukstākajos mēnešos</w:t>
      </w:r>
      <w:r w:rsidR="006D57B6" w:rsidRPr="008B628A">
        <w:rPr>
          <w:rFonts w:ascii="Times New Roman" w:hAnsi="Times New Roman" w:cs="Times New Roman"/>
          <w:szCs w:val="24"/>
          <w:lang w:eastAsia="lv-LV"/>
        </w:rPr>
        <w:t>.</w:t>
      </w:r>
    </w:p>
    <w:p w14:paraId="45B5D159" w14:textId="3D13C2C4" w:rsidR="002E51E3" w:rsidRPr="008B628A" w:rsidRDefault="002E51E3" w:rsidP="00E1356B">
      <w:pPr>
        <w:pStyle w:val="Heading4"/>
      </w:pPr>
      <w:bookmarkStart w:id="89" w:name="_Toc527529444"/>
      <w:bookmarkEnd w:id="88"/>
      <w:r w:rsidRPr="008B628A">
        <w:t xml:space="preserve">AER sektorālā īpatsvara </w:t>
      </w:r>
      <w:r w:rsidR="00A54AC9">
        <w:t>līknes</w:t>
      </w:r>
      <w:r w:rsidRPr="008B628A">
        <w:t xml:space="preserve"> 2021.-2030.gadam</w:t>
      </w:r>
      <w:bookmarkEnd w:id="89"/>
      <w:r w:rsidRPr="008B628A">
        <w:t> </w:t>
      </w:r>
    </w:p>
    <w:p w14:paraId="06B99EDB" w14:textId="16162FB1" w:rsidR="00E1356B" w:rsidRPr="008B628A" w:rsidRDefault="00E1356B" w:rsidP="00E1356B">
      <w:pPr>
        <w:spacing w:before="120" w:after="120" w:line="240" w:lineRule="auto"/>
        <w:jc w:val="both"/>
        <w:rPr>
          <w:rFonts w:ascii="Times New Roman" w:hAnsi="Times New Roman" w:cs="Times New Roman"/>
          <w:bCs/>
          <w:szCs w:val="26"/>
        </w:rPr>
      </w:pPr>
      <w:r w:rsidRPr="008B628A">
        <w:rPr>
          <w:rFonts w:ascii="Times New Roman" w:hAnsi="Times New Roman" w:cs="Times New Roman"/>
          <w:bCs/>
          <w:szCs w:val="26"/>
        </w:rPr>
        <w:t xml:space="preserve">Saskaņā ar EnS pārvaldības regulas priekšlikumu Latvijas AER devums kopējā ES AER mērķa izpildē tiek sadalīts </w:t>
      </w:r>
      <w:r w:rsidR="00815510">
        <w:rPr>
          <w:rFonts w:ascii="Times New Roman" w:hAnsi="Times New Roman" w:cs="Times New Roman"/>
          <w:bCs/>
          <w:szCs w:val="26"/>
        </w:rPr>
        <w:t>neobligātā</w:t>
      </w:r>
      <w:r w:rsidR="00815510" w:rsidRPr="008B628A">
        <w:rPr>
          <w:rFonts w:ascii="Times New Roman" w:hAnsi="Times New Roman" w:cs="Times New Roman"/>
          <w:bCs/>
          <w:szCs w:val="26"/>
        </w:rPr>
        <w:t xml:space="preserve"> </w:t>
      </w:r>
      <w:r w:rsidR="00A54AC9">
        <w:rPr>
          <w:rFonts w:ascii="Times New Roman" w:hAnsi="Times New Roman" w:cs="Times New Roman"/>
          <w:bCs/>
          <w:szCs w:val="26"/>
        </w:rPr>
        <w:t>līknē</w:t>
      </w:r>
      <w:r w:rsidR="00A54AC9" w:rsidRPr="008B628A">
        <w:rPr>
          <w:rFonts w:ascii="Times New Roman" w:hAnsi="Times New Roman" w:cs="Times New Roman"/>
          <w:bCs/>
          <w:szCs w:val="26"/>
        </w:rPr>
        <w:t xml:space="preserve"> </w:t>
      </w:r>
      <w:r w:rsidRPr="008B628A">
        <w:rPr>
          <w:rFonts w:ascii="Times New Roman" w:hAnsi="Times New Roman" w:cs="Times New Roman"/>
          <w:bCs/>
          <w:szCs w:val="26"/>
        </w:rPr>
        <w:t>šādā veidā:</w:t>
      </w:r>
    </w:p>
    <w:p w14:paraId="782133FD" w14:textId="145FFB92"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2022.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 xml:space="preserve">līkne </w:t>
      </w:r>
      <w:r w:rsidRPr="008B628A">
        <w:rPr>
          <w:rFonts w:ascii="Times New Roman" w:hAnsi="Times New Roman" w:cs="Times New Roman"/>
          <w:bCs/>
        </w:rPr>
        <w:t>sasniedz atsauces punktu vismaz 18 % apmērā no kopējā pieauguma atjaunojamās enerģijas īpatsvarā, ja salīdzina saistošo nacionālo mērķrādītāju 2020. gadam un devumu 2030. gada mērķrādītāja sasniegšanā.</w:t>
      </w:r>
    </w:p>
    <w:p w14:paraId="6AE42578" w14:textId="3B41DA62"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2025.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līkne</w:t>
      </w:r>
      <w:r w:rsidR="00A54AC9" w:rsidRPr="008B628A">
        <w:rPr>
          <w:rFonts w:ascii="Times New Roman" w:hAnsi="Times New Roman" w:cs="Times New Roman"/>
          <w:bCs/>
        </w:rPr>
        <w:t xml:space="preserve"> </w:t>
      </w:r>
      <w:r w:rsidRPr="008B628A">
        <w:rPr>
          <w:rFonts w:ascii="Times New Roman" w:hAnsi="Times New Roman" w:cs="Times New Roman"/>
          <w:bCs/>
        </w:rPr>
        <w:t>sasniedz atsauces punktu vismaz 43 % apmērā no kopējā pieauguma atjaunojamās enerģijas īpatsvarā, ja salīdzina saistošo nacionālo mērķrādītāju 2020. gadam un devumu 2030. gada mērķrādītāja sasniegšanā.</w:t>
      </w:r>
    </w:p>
    <w:p w14:paraId="61C432BC" w14:textId="524C100E"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2027.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līkne</w:t>
      </w:r>
      <w:r w:rsidR="00A54AC9" w:rsidRPr="008B628A">
        <w:rPr>
          <w:rFonts w:ascii="Times New Roman" w:hAnsi="Times New Roman" w:cs="Times New Roman"/>
          <w:bCs/>
        </w:rPr>
        <w:t xml:space="preserve"> </w:t>
      </w:r>
      <w:r w:rsidRPr="008B628A">
        <w:rPr>
          <w:rFonts w:ascii="Times New Roman" w:hAnsi="Times New Roman" w:cs="Times New Roman"/>
          <w:bCs/>
        </w:rPr>
        <w:t>sasniedz atsauces punktu vismaz 65 % apmērā no kopējā pieauguma atjaunojamās enerģijas īpatsvarā, ja salīdzina saistošo nacionālo mērķrādītāju 2020. gadam un tās devumu 2030. gada mērķrādītāja sasniegšanā.</w:t>
      </w:r>
    </w:p>
    <w:p w14:paraId="789EB994" w14:textId="39845AAA" w:rsidR="005D22A9" w:rsidRPr="008B628A" w:rsidRDefault="005D22A9" w:rsidP="00E1356B">
      <w:pPr>
        <w:spacing w:before="120" w:after="120" w:line="240" w:lineRule="auto"/>
        <w:jc w:val="both"/>
        <w:rPr>
          <w:rFonts w:ascii="Times New Roman" w:hAnsi="Times New Roman" w:cs="Times New Roman"/>
          <w:bCs/>
          <w:szCs w:val="26"/>
        </w:rPr>
      </w:pPr>
      <w:r w:rsidRPr="008B628A">
        <w:rPr>
          <w:rFonts w:ascii="Times New Roman" w:hAnsi="Times New Roman" w:cs="Times New Roman"/>
          <w:bCs/>
          <w:szCs w:val="26"/>
        </w:rPr>
        <w:t xml:space="preserve">Elektroenerģijas sektorā atsevišķs mērķis nav izvirzīts. </w:t>
      </w:r>
      <w:r w:rsidR="00B224CF" w:rsidRPr="008B628A">
        <w:rPr>
          <w:rFonts w:ascii="Times New Roman" w:eastAsia="Calibri" w:hAnsi="Times New Roman" w:cs="Times New Roman"/>
          <w:szCs w:val="24"/>
        </w:rPr>
        <w:t>Priekšlikums Direktīvas 2009/28/EK grozījumiem</w:t>
      </w:r>
      <w:r w:rsidR="00B224CF" w:rsidRPr="008B628A">
        <w:rPr>
          <w:rFonts w:ascii="Times New Roman" w:hAnsi="Times New Roman" w:cs="Times New Roman"/>
          <w:bCs/>
          <w:szCs w:val="26"/>
        </w:rPr>
        <w:t xml:space="preserve"> </w:t>
      </w:r>
      <w:r w:rsidRPr="008B628A">
        <w:rPr>
          <w:rFonts w:ascii="Times New Roman" w:hAnsi="Times New Roman" w:cs="Times New Roman"/>
          <w:bCs/>
          <w:szCs w:val="26"/>
        </w:rPr>
        <w:t xml:space="preserve">vērsts uz elektroenerģijas pašpatēriņa veicināšanu, tomēr saskaņā ar provizoriskiem aprēķiniem un pašreizējo elektroenerģijas pašpatēriņa sistēmas attīstības līmeni, tā devums AER mērķī 2030.gadā nepārsniegtu 0,01 </w:t>
      </w:r>
      <w:r w:rsidR="00A81304" w:rsidRPr="008B628A">
        <w:rPr>
          <w:rFonts w:ascii="Times New Roman" w:hAnsi="Times New Roman" w:cs="Times New Roman"/>
          <w:bCs/>
          <w:szCs w:val="26"/>
        </w:rPr>
        <w:t>%</w:t>
      </w:r>
      <w:r w:rsidRPr="008B628A">
        <w:rPr>
          <w:rFonts w:ascii="Times New Roman" w:hAnsi="Times New Roman" w:cs="Times New Roman"/>
          <w:bCs/>
          <w:szCs w:val="26"/>
        </w:rPr>
        <w:t>.</w:t>
      </w:r>
      <w:r w:rsidR="00C34D89" w:rsidRPr="008B628A">
        <w:rPr>
          <w:rFonts w:ascii="Times New Roman" w:hAnsi="Times New Roman" w:cs="Times New Roman"/>
          <w:bCs/>
          <w:szCs w:val="26"/>
        </w:rPr>
        <w:t xml:space="preserve"> Tā kā pašpatēriņam </w:t>
      </w:r>
      <w:r w:rsidR="00C34D89" w:rsidRPr="008B628A">
        <w:rPr>
          <w:rFonts w:ascii="Times New Roman" w:hAnsi="Times New Roman" w:cs="Times New Roman"/>
        </w:rPr>
        <w:t>ir liela loma arī sabiedrības izpratnes un atbalsta v</w:t>
      </w:r>
      <w:r w:rsidR="00FC36C8" w:rsidRPr="008B628A">
        <w:rPr>
          <w:rFonts w:ascii="Times New Roman" w:hAnsi="Times New Roman" w:cs="Times New Roman"/>
        </w:rPr>
        <w:t>eicināšanai AER, Latvija ir noteikusi nosacījumi pašpatēriņa veicināšanai.</w:t>
      </w:r>
    </w:p>
    <w:p w14:paraId="4505B6DF" w14:textId="59B353F4" w:rsidR="00A67F51" w:rsidRPr="008B628A" w:rsidRDefault="00A67F51" w:rsidP="00EA5B69">
      <w:pPr>
        <w:spacing w:before="120" w:after="120" w:line="240" w:lineRule="auto"/>
        <w:jc w:val="both"/>
        <w:rPr>
          <w:rFonts w:ascii="Times New Roman" w:eastAsia="Times New Roman" w:hAnsi="Times New Roman" w:cs="Times New Roman"/>
          <w:szCs w:val="26"/>
        </w:rPr>
      </w:pPr>
      <w:r w:rsidRPr="008B628A">
        <w:rPr>
          <w:rFonts w:ascii="Times New Roman" w:hAnsi="Times New Roman" w:cs="Times New Roman"/>
          <w:bCs/>
          <w:szCs w:val="26"/>
        </w:rPr>
        <w:lastRenderedPageBreak/>
        <w:t>Siltumenerģija</w:t>
      </w:r>
      <w:r w:rsidRPr="008B628A">
        <w:rPr>
          <w:rFonts w:ascii="Times New Roman" w:hAnsi="Times New Roman" w:cs="Times New Roman"/>
          <w:szCs w:val="26"/>
        </w:rPr>
        <w:t xml:space="preserve">s sektorā noteikts, ka dalībvalstīm jāievieš pasākumi, lai censtos nodrošināt ikgadēju 1,1 </w:t>
      </w:r>
      <w:r w:rsidR="00A81304" w:rsidRPr="008B628A">
        <w:rPr>
          <w:rFonts w:ascii="Times New Roman" w:hAnsi="Times New Roman" w:cs="Times New Roman"/>
          <w:szCs w:val="26"/>
        </w:rPr>
        <w:t>%</w:t>
      </w:r>
      <w:r w:rsidRPr="008B628A">
        <w:rPr>
          <w:rFonts w:ascii="Times New Roman" w:hAnsi="Times New Roman" w:cs="Times New Roman"/>
          <w:szCs w:val="26"/>
        </w:rPr>
        <w:t xml:space="preserve"> AER īpatsvara pieaugumu (ja atlikumu siltums vai aukstums netiek izmantots) siltumapgādes un aukstumapgādes sektorā, kas rēķināts kā vidējais periodā no 2021. gada līdz 2025. gadam un no 2026. gada līdz 2030.gadam. Tomēr valstīm ar AER īpatsvaru šajā sektorā virs 60% ir pieļaujams jebkāds AER īpatsvara pieaugums, bet valstīm ar AER īpatsvaru virs 50% pieļaujams sasniegt pusi no šī mērķa.</w:t>
      </w:r>
    </w:p>
    <w:p w14:paraId="0745585D" w14:textId="253195DA" w:rsidR="00A67F51" w:rsidRPr="008B628A" w:rsidRDefault="00A67F51" w:rsidP="00EA5B69">
      <w:pPr>
        <w:spacing w:before="120" w:after="120" w:line="240" w:lineRule="auto"/>
        <w:jc w:val="both"/>
        <w:rPr>
          <w:rFonts w:ascii="Times New Roman" w:eastAsia="Times New Roman" w:hAnsi="Times New Roman" w:cs="Times New Roman"/>
          <w:szCs w:val="26"/>
        </w:rPr>
      </w:pPr>
      <w:r w:rsidRPr="008B628A">
        <w:rPr>
          <w:rFonts w:ascii="Times New Roman" w:hAnsi="Times New Roman" w:cs="Times New Roman"/>
          <w:szCs w:val="26"/>
        </w:rPr>
        <w:t xml:space="preserve">2014. – 2016.gadā AER īpatsvars siltumenerģijas sektorā Latvijā saskaņā ar </w:t>
      </w:r>
      <w:r w:rsidR="00A81304" w:rsidRPr="008B628A">
        <w:rPr>
          <w:rFonts w:ascii="Times New Roman" w:hAnsi="Times New Roman" w:cs="Times New Roman"/>
          <w:szCs w:val="26"/>
        </w:rPr>
        <w:t>EUROSTAT</w:t>
      </w:r>
      <w:r w:rsidRPr="008B628A">
        <w:rPr>
          <w:rFonts w:ascii="Times New Roman" w:hAnsi="Times New Roman" w:cs="Times New Roman"/>
          <w:szCs w:val="26"/>
        </w:rPr>
        <w:t xml:space="preserve"> aprēķiniem svārstījies ap 52% (attiecīgi 52,2%, 51,8%, 51,9%). Paredzams, ka pēc 2020.gada Latvijai no AER saražotās siltumenerģijas īpatsvars būs virs 50%, bet nebūs pārsniedzis 60%. Attiecīgi Latvijai būs indikatīvi jānodrošina vismaz 0,55 </w:t>
      </w:r>
      <w:r w:rsidR="00FC189A" w:rsidRPr="008B628A">
        <w:rPr>
          <w:rFonts w:ascii="Times New Roman" w:hAnsi="Times New Roman" w:cs="Times New Roman"/>
          <w:szCs w:val="26"/>
        </w:rPr>
        <w:t>%</w:t>
      </w:r>
      <w:r w:rsidRPr="008B628A">
        <w:rPr>
          <w:rFonts w:ascii="Times New Roman" w:hAnsi="Times New Roman" w:cs="Times New Roman"/>
          <w:szCs w:val="26"/>
        </w:rPr>
        <w:t xml:space="preserve"> ikgadējs pieaugums vidēji piecu gadu periodā. Ja par atskaites punktu 2020.gadā uzskata 52%, tas nozīmē, ka līdz 2025.gadam AER īpatsvaram siltumenerģijas sektorā būs indikatīvi jāsasniedz vismaz 54,75%, savukārt līdz 2030.gadam –  vismaz 57,5%.</w:t>
      </w:r>
    </w:p>
    <w:p w14:paraId="7DB4E5ED" w14:textId="2E12F085" w:rsidR="005D22A9" w:rsidRPr="008B628A" w:rsidRDefault="00CA1FAB" w:rsidP="00EA5B69">
      <w:pPr>
        <w:spacing w:before="120" w:after="120" w:line="240" w:lineRule="auto"/>
        <w:jc w:val="both"/>
        <w:rPr>
          <w:rFonts w:ascii="Times New Roman" w:hAnsi="Times New Roman" w:cs="Times New Roman"/>
          <w:szCs w:val="26"/>
        </w:rPr>
      </w:pPr>
      <w:r>
        <w:rPr>
          <w:rFonts w:ascii="Times New Roman" w:hAnsi="Times New Roman" w:cs="Times New Roman"/>
          <w:szCs w:val="26"/>
        </w:rPr>
        <w:t>T</w:t>
      </w:r>
      <w:r w:rsidR="005D22A9" w:rsidRPr="008B628A">
        <w:rPr>
          <w:rFonts w:ascii="Times New Roman" w:hAnsi="Times New Roman" w:cs="Times New Roman"/>
          <w:szCs w:val="26"/>
        </w:rPr>
        <w:t>ransporta sektorā 2030.gadā Latvijai līdz ar citām ES dalībvalstīm jānodrošina 14% AER īpatsvars</w:t>
      </w:r>
      <w:r>
        <w:rPr>
          <w:rFonts w:ascii="Times New Roman" w:hAnsi="Times New Roman" w:cs="Times New Roman"/>
          <w:szCs w:val="26"/>
        </w:rPr>
        <w:t xml:space="preserve"> enerģijas galapatēriņā</w:t>
      </w:r>
      <w:r w:rsidR="005D22A9" w:rsidRPr="008B628A">
        <w:rPr>
          <w:rFonts w:ascii="Times New Roman" w:hAnsi="Times New Roman" w:cs="Times New Roman"/>
          <w:szCs w:val="26"/>
        </w:rPr>
        <w:t>, uzliekot pienākumu degvielas piegādātājiem</w:t>
      </w:r>
      <w:r w:rsidR="00EA5B69" w:rsidRPr="008B628A">
        <w:rPr>
          <w:rFonts w:ascii="Times New Roman" w:hAnsi="Times New Roman" w:cs="Times New Roman"/>
          <w:szCs w:val="26"/>
        </w:rPr>
        <w:t xml:space="preserve"> (2020.gadā šī īpatsvara mērķis ir 10%</w:t>
      </w:r>
      <w:r w:rsidR="00A54AC9">
        <w:rPr>
          <w:rFonts w:ascii="Times New Roman" w:hAnsi="Times New Roman" w:cs="Times New Roman"/>
          <w:szCs w:val="26"/>
        </w:rPr>
        <w:t>)</w:t>
      </w:r>
      <w:r w:rsidR="005D22A9" w:rsidRPr="008B628A">
        <w:rPr>
          <w:rFonts w:ascii="Times New Roman" w:hAnsi="Times New Roman" w:cs="Times New Roman"/>
          <w:szCs w:val="26"/>
        </w:rPr>
        <w:t>.</w:t>
      </w:r>
      <w:r w:rsidR="00EA5B69" w:rsidRPr="008B628A">
        <w:rPr>
          <w:rFonts w:ascii="Times New Roman" w:hAnsi="Times New Roman" w:cs="Times New Roman"/>
          <w:szCs w:val="26"/>
        </w:rPr>
        <w:t xml:space="preserve"> </w:t>
      </w:r>
      <w:r w:rsidR="005D22A9" w:rsidRPr="008B628A">
        <w:rPr>
          <w:rFonts w:ascii="Times New Roman" w:hAnsi="Times New Roman" w:cs="Times New Roman"/>
          <w:szCs w:val="26"/>
        </w:rPr>
        <w:t xml:space="preserve">Vienlaikus ieviesti arī </w:t>
      </w:r>
      <w:r w:rsidR="00D21D0A">
        <w:rPr>
          <w:rFonts w:ascii="Times New Roman" w:hAnsi="Times New Roman" w:cs="Times New Roman"/>
          <w:szCs w:val="26"/>
        </w:rPr>
        <w:t>saistoši</w:t>
      </w:r>
      <w:r w:rsidR="00D21D0A" w:rsidRPr="008B628A">
        <w:rPr>
          <w:rFonts w:ascii="Times New Roman" w:hAnsi="Times New Roman" w:cs="Times New Roman"/>
          <w:szCs w:val="26"/>
        </w:rPr>
        <w:t xml:space="preserve"> </w:t>
      </w:r>
      <w:r w:rsidR="005D22A9" w:rsidRPr="008B628A">
        <w:rPr>
          <w:rFonts w:ascii="Times New Roman" w:hAnsi="Times New Roman" w:cs="Times New Roman"/>
          <w:szCs w:val="26"/>
        </w:rPr>
        <w:t>mērķi modernajām biodegvielām</w:t>
      </w:r>
      <w:r w:rsidR="00DA763E" w:rsidRPr="008B628A">
        <w:rPr>
          <w:rStyle w:val="FootnoteReference"/>
          <w:rFonts w:ascii="Times New Roman" w:hAnsi="Times New Roman" w:cs="Times New Roman"/>
          <w:szCs w:val="26"/>
        </w:rPr>
        <w:footnoteReference w:id="94"/>
      </w:r>
      <w:r w:rsidR="005D22A9" w:rsidRPr="008B628A">
        <w:rPr>
          <w:rFonts w:ascii="Times New Roman" w:hAnsi="Times New Roman" w:cs="Times New Roman"/>
          <w:szCs w:val="26"/>
        </w:rPr>
        <w:t xml:space="preserve">, paredzot, ka 2022.gadā 0,2% no kopējā AER īpatsvara transporta sektorā jāveido moderno biodegvielu patēriņam, tam pieaugot līdz 3,5% 2030.gadā. Nosakot AER īpatsvaru transportā </w:t>
      </w:r>
      <w:r w:rsidR="00D21D0A">
        <w:rPr>
          <w:rFonts w:ascii="Times New Roman" w:hAnsi="Times New Roman" w:cs="Times New Roman"/>
          <w:szCs w:val="26"/>
        </w:rPr>
        <w:t xml:space="preserve">tā saucamo </w:t>
      </w:r>
      <w:r w:rsidR="005D22A9" w:rsidRPr="008B628A">
        <w:rPr>
          <w:rFonts w:ascii="Times New Roman" w:hAnsi="Times New Roman" w:cs="Times New Roman"/>
          <w:szCs w:val="26"/>
        </w:rPr>
        <w:t xml:space="preserve">pirmās paaudzes jeb to biodegvielu, kas ražotas no </w:t>
      </w:r>
      <w:r w:rsidR="00615E2C" w:rsidRPr="00615E2C">
        <w:rPr>
          <w:rFonts w:ascii="Times New Roman" w:hAnsi="Times New Roman" w:cs="Times New Roman"/>
          <w:szCs w:val="26"/>
        </w:rPr>
        <w:t>pārtikas un lopbarības kultūrām</w:t>
      </w:r>
      <w:r w:rsidR="005D22A9" w:rsidRPr="008B628A">
        <w:rPr>
          <w:rFonts w:ascii="Times New Roman" w:hAnsi="Times New Roman" w:cs="Times New Roman"/>
          <w:szCs w:val="26"/>
        </w:rPr>
        <w:t xml:space="preserve">, īpatsvars par ne vairāk kā 1% drīkst pārsniegt </w:t>
      </w:r>
      <w:r w:rsidR="00F20591">
        <w:rPr>
          <w:rFonts w:ascii="Times New Roman" w:hAnsi="Times New Roman" w:cs="Times New Roman"/>
          <w:szCs w:val="26"/>
        </w:rPr>
        <w:t>šādu biodegvielu īpatsvaru</w:t>
      </w:r>
      <w:r w:rsidR="005D22A9" w:rsidRPr="008B628A">
        <w:rPr>
          <w:rFonts w:ascii="Times New Roman" w:hAnsi="Times New Roman" w:cs="Times New Roman"/>
          <w:szCs w:val="26"/>
        </w:rPr>
        <w:t xml:space="preserve"> 2020.gadā attiecīgajā dalībvalstī, vienlaikus pirmās paaudzes biodegvielas maksimālais īpatsvars nedrīkst būt augstāks par 7%. Tomēr, ja valsts izlemj, ka pirmās paaudzes biodegvielu ieskaite AER mērķī transportā ir jāierobežo zem 7%, tā par proporcionālu daļu var samazināt AER mērķi transportā. </w:t>
      </w:r>
      <w:r w:rsidR="00F20591">
        <w:rPr>
          <w:rFonts w:ascii="Times New Roman" w:hAnsi="Times New Roman" w:cs="Times New Roman"/>
          <w:szCs w:val="26"/>
        </w:rPr>
        <w:t>Turklāt p</w:t>
      </w:r>
      <w:r w:rsidRPr="00CA1FAB">
        <w:rPr>
          <w:rFonts w:ascii="Times New Roman" w:hAnsi="Times New Roman" w:cs="Times New Roman"/>
          <w:szCs w:val="26"/>
        </w:rPr>
        <w:t>riekšlikums Direktīvas 2009/28/EK grozījumiem</w:t>
      </w:r>
      <w:r>
        <w:rPr>
          <w:rFonts w:ascii="Times New Roman" w:hAnsi="Times New Roman" w:cs="Times New Roman"/>
          <w:szCs w:val="26"/>
        </w:rPr>
        <w:t xml:space="preserve"> paredz, ka </w:t>
      </w:r>
      <w:r w:rsidR="00F20591">
        <w:rPr>
          <w:rFonts w:ascii="Times New Roman" w:hAnsi="Times New Roman" w:cs="Times New Roman"/>
          <w:szCs w:val="26"/>
        </w:rPr>
        <w:t xml:space="preserve">dalībvalstīm </w:t>
      </w:r>
      <w:r>
        <w:rPr>
          <w:rFonts w:ascii="Times New Roman" w:hAnsi="Times New Roman" w:cs="Times New Roman"/>
          <w:szCs w:val="26"/>
        </w:rPr>
        <w:t xml:space="preserve">no 2023.gada pakāpeniski </w:t>
      </w:r>
      <w:r w:rsidR="00F20591">
        <w:rPr>
          <w:rFonts w:ascii="Times New Roman" w:hAnsi="Times New Roman" w:cs="Times New Roman"/>
          <w:szCs w:val="26"/>
        </w:rPr>
        <w:t xml:space="preserve">līdz 2030.gadam pilnībā </w:t>
      </w:r>
      <w:r>
        <w:rPr>
          <w:rFonts w:ascii="Times New Roman" w:hAnsi="Times New Roman" w:cs="Times New Roman"/>
          <w:szCs w:val="26"/>
        </w:rPr>
        <w:t xml:space="preserve">ir jāatsakās no tādu biodegvielu izmantošanas, </w:t>
      </w:r>
      <w:r w:rsidR="00F20591">
        <w:rPr>
          <w:rFonts w:ascii="Times New Roman" w:hAnsi="Times New Roman" w:cs="Times New Roman"/>
          <w:szCs w:val="26"/>
        </w:rPr>
        <w:t>kurām</w:t>
      </w:r>
      <w:r w:rsidR="00F20591" w:rsidRPr="00F20591">
        <w:rPr>
          <w:rFonts w:ascii="Times New Roman" w:hAnsi="Times New Roman" w:cs="Times New Roman"/>
          <w:szCs w:val="26"/>
        </w:rPr>
        <w:t xml:space="preserve"> ir augsts netiešas zemes izmantošanas maiņas risks un </w:t>
      </w:r>
      <w:r w:rsidR="00F20591">
        <w:rPr>
          <w:rFonts w:ascii="Times New Roman" w:hAnsi="Times New Roman" w:cs="Times New Roman"/>
          <w:szCs w:val="26"/>
        </w:rPr>
        <w:t xml:space="preserve">kuru izejvielu audzēšana </w:t>
      </w:r>
      <w:r w:rsidR="00F20591" w:rsidRPr="00F20591">
        <w:rPr>
          <w:rFonts w:ascii="Times New Roman" w:hAnsi="Times New Roman" w:cs="Times New Roman"/>
          <w:szCs w:val="26"/>
        </w:rPr>
        <w:t xml:space="preserve">ir </w:t>
      </w:r>
      <w:r w:rsidR="00F20591">
        <w:rPr>
          <w:rFonts w:ascii="Times New Roman" w:hAnsi="Times New Roman" w:cs="Times New Roman"/>
          <w:szCs w:val="26"/>
        </w:rPr>
        <w:t>saistīta ar</w:t>
      </w:r>
      <w:r w:rsidR="00F20591" w:rsidRPr="00F20591">
        <w:rPr>
          <w:rFonts w:ascii="Times New Roman" w:hAnsi="Times New Roman" w:cs="Times New Roman"/>
          <w:szCs w:val="26"/>
        </w:rPr>
        <w:t xml:space="preserve"> ievērojam</w:t>
      </w:r>
      <w:r w:rsidR="00F20591">
        <w:rPr>
          <w:rFonts w:ascii="Times New Roman" w:hAnsi="Times New Roman" w:cs="Times New Roman"/>
          <w:szCs w:val="26"/>
        </w:rPr>
        <w:t>u</w:t>
      </w:r>
      <w:r w:rsidR="00F20591" w:rsidRPr="00F20591">
        <w:rPr>
          <w:rFonts w:ascii="Times New Roman" w:hAnsi="Times New Roman" w:cs="Times New Roman"/>
          <w:szCs w:val="26"/>
        </w:rPr>
        <w:t xml:space="preserve"> ražošanas platīb</w:t>
      </w:r>
      <w:r w:rsidR="00F20591">
        <w:rPr>
          <w:rFonts w:ascii="Times New Roman" w:hAnsi="Times New Roman" w:cs="Times New Roman"/>
          <w:szCs w:val="26"/>
        </w:rPr>
        <w:t>u</w:t>
      </w:r>
      <w:r w:rsidR="00F20591" w:rsidRPr="00F20591">
        <w:rPr>
          <w:rFonts w:ascii="Times New Roman" w:hAnsi="Times New Roman" w:cs="Times New Roman"/>
          <w:szCs w:val="26"/>
        </w:rPr>
        <w:t xml:space="preserve"> izplešan</w:t>
      </w:r>
      <w:r w:rsidR="00F20591">
        <w:rPr>
          <w:rFonts w:ascii="Times New Roman" w:hAnsi="Times New Roman" w:cs="Times New Roman"/>
          <w:szCs w:val="26"/>
        </w:rPr>
        <w:t>os</w:t>
      </w:r>
      <w:r w:rsidR="00F20591" w:rsidRPr="00F20591">
        <w:rPr>
          <w:rFonts w:ascii="Times New Roman" w:hAnsi="Times New Roman" w:cs="Times New Roman"/>
          <w:szCs w:val="26"/>
        </w:rPr>
        <w:t xml:space="preserve"> zemes platībās ar augstu oglekļa koncentrāciju</w:t>
      </w:r>
      <w:r w:rsidR="007540BD">
        <w:rPr>
          <w:rFonts w:ascii="Times New Roman" w:hAnsi="Times New Roman" w:cs="Times New Roman"/>
          <w:szCs w:val="26"/>
        </w:rPr>
        <w:t xml:space="preserve"> un šādu</w:t>
      </w:r>
      <w:r w:rsidR="00F20591">
        <w:rPr>
          <w:rFonts w:ascii="Times New Roman" w:hAnsi="Times New Roman" w:cs="Times New Roman"/>
          <w:szCs w:val="26"/>
        </w:rPr>
        <w:t xml:space="preserve"> biodegvielu </w:t>
      </w:r>
      <w:r w:rsidR="007540BD">
        <w:rPr>
          <w:rFonts w:ascii="Times New Roman" w:hAnsi="Times New Roman" w:cs="Times New Roman"/>
          <w:szCs w:val="26"/>
        </w:rPr>
        <w:t>patēriņa līmenis nedrīkst būt augstāks kā 2019.gadā. Līdz 2019.gada 1.februārim Eiropas Komisijai ir jāpieņem deleģētais akts, kurā tiks noteikti</w:t>
      </w:r>
      <w:r w:rsidR="007540BD" w:rsidRPr="007540BD">
        <w:rPr>
          <w:rFonts w:ascii="Times New Roman" w:hAnsi="Times New Roman" w:cs="Times New Roman"/>
          <w:szCs w:val="26"/>
        </w:rPr>
        <w:t xml:space="preserve"> sertifikācijas kritērij</w:t>
      </w:r>
      <w:r w:rsidR="007540BD">
        <w:rPr>
          <w:rFonts w:ascii="Times New Roman" w:hAnsi="Times New Roman" w:cs="Times New Roman"/>
          <w:szCs w:val="26"/>
        </w:rPr>
        <w:t>i</w:t>
      </w:r>
      <w:r w:rsidR="007540BD" w:rsidRPr="007540BD">
        <w:rPr>
          <w:rFonts w:ascii="Times New Roman" w:hAnsi="Times New Roman" w:cs="Times New Roman"/>
          <w:szCs w:val="26"/>
        </w:rPr>
        <w:t xml:space="preserve"> biodegvielām, kur</w:t>
      </w:r>
      <w:r w:rsidR="007540BD">
        <w:rPr>
          <w:rFonts w:ascii="Times New Roman" w:hAnsi="Times New Roman" w:cs="Times New Roman"/>
          <w:szCs w:val="26"/>
        </w:rPr>
        <w:t>as</w:t>
      </w:r>
      <w:r w:rsidR="007540BD" w:rsidRPr="007540BD">
        <w:rPr>
          <w:rFonts w:ascii="Times New Roman" w:hAnsi="Times New Roman" w:cs="Times New Roman"/>
          <w:szCs w:val="26"/>
        </w:rPr>
        <w:t xml:space="preserve"> rada zemu netiešās zemes izmantošanas maiņas risku, un izejvielas, kas rada augstu netiešās zemes izmantošanas maiņas risku un kurām ir novērota ievērojama ražošanas platības izplešanās zemes platībās ar augstu oglekļa koncentrāciju.</w:t>
      </w:r>
      <w:r w:rsidR="00655BAD">
        <w:rPr>
          <w:rFonts w:ascii="Times New Roman" w:hAnsi="Times New Roman" w:cs="Times New Roman"/>
          <w:szCs w:val="26"/>
        </w:rPr>
        <w:t xml:space="preserve">  </w:t>
      </w:r>
    </w:p>
    <w:p w14:paraId="1A7F1F19" w14:textId="5B5FFA5F" w:rsidR="003C3B44" w:rsidRPr="008B628A" w:rsidRDefault="005D22A9" w:rsidP="00565E98">
      <w:pPr>
        <w:pStyle w:val="paragraph"/>
        <w:spacing w:before="120" w:beforeAutospacing="0" w:after="120" w:afterAutospacing="0"/>
        <w:jc w:val="both"/>
        <w:textAlignment w:val="baseline"/>
        <w:rPr>
          <w:rFonts w:eastAsiaTheme="minorHAnsi"/>
          <w:szCs w:val="26"/>
          <w:lang w:eastAsia="en-US"/>
        </w:rPr>
      </w:pPr>
      <w:r w:rsidRPr="008B628A">
        <w:rPr>
          <w:rFonts w:eastAsiaTheme="minorHAnsi"/>
          <w:szCs w:val="26"/>
          <w:lang w:eastAsia="en-US"/>
        </w:rPr>
        <w:t>2014. – 2016.gadā pirmās paaudzes biodegvielu īpatsvars transporta sektorā Latvijā svārstījies ap 2% (attiecīgi 2,4%, 2,3%, 1,1%). Piemēram, ja 2020.gadā pirmās paaudzes biodegvielu īpatsva</w:t>
      </w:r>
      <w:r w:rsidR="002F6EA4" w:rsidRPr="008B628A">
        <w:rPr>
          <w:rFonts w:eastAsiaTheme="minorHAnsi"/>
          <w:szCs w:val="26"/>
          <w:lang w:eastAsia="en-US"/>
        </w:rPr>
        <w:t>rs transportā būs sasniedzis 5%,</w:t>
      </w:r>
      <w:r w:rsidRPr="008B628A">
        <w:rPr>
          <w:rFonts w:eastAsiaTheme="minorHAnsi"/>
          <w:szCs w:val="26"/>
          <w:lang w:eastAsia="en-US"/>
        </w:rPr>
        <w:t xml:space="preserve"> Latvija turpmāk varēs </w:t>
      </w:r>
      <w:r w:rsidR="00D21D0A">
        <w:rPr>
          <w:rFonts w:eastAsiaTheme="minorHAnsi"/>
          <w:szCs w:val="26"/>
          <w:lang w:eastAsia="en-US"/>
        </w:rPr>
        <w:t>atļaut pirmās paaudzes biodegvielu ieskaiti AER mērķi</w:t>
      </w:r>
      <w:r w:rsidRPr="008B628A">
        <w:rPr>
          <w:rFonts w:eastAsiaTheme="minorHAnsi"/>
          <w:szCs w:val="26"/>
          <w:lang w:eastAsia="en-US"/>
        </w:rPr>
        <w:t xml:space="preserve"> ne vairāk kā līdz 6% (5%+1%), vienlaikus kopējais transporta mērķis varēs tikt samazināts par 1% (7%-6%) un būs 13%. Paredzams, ka Latvija varēs pieņemt lēmumu par zemāku slieksni pirmās paaudzes biodegvielai, samazinot kopējo mērķi vēl vairāk (5% griesti – 12% mērķis, 4% griesti – 11% mērķis, 3% griesti – 10% mērķis).</w:t>
      </w:r>
    </w:p>
    <w:p w14:paraId="0ACBE9E1" w14:textId="77777777" w:rsidR="009501EA" w:rsidRPr="008B628A" w:rsidRDefault="009501EA" w:rsidP="00565E98">
      <w:pPr>
        <w:pStyle w:val="paragraph"/>
        <w:spacing w:before="120" w:beforeAutospacing="0" w:after="120" w:afterAutospacing="0"/>
        <w:jc w:val="both"/>
        <w:textAlignment w:val="baseline"/>
        <w:rPr>
          <w:rFonts w:eastAsiaTheme="minorHAnsi"/>
          <w:szCs w:val="26"/>
          <w:lang w:eastAsia="en-US"/>
        </w:rPr>
      </w:pPr>
    </w:p>
    <w:p w14:paraId="1174F38A" w14:textId="0097D665" w:rsidR="009E5C91"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90" w:name="_Toc531333144"/>
      <w:r w:rsidR="006067D4">
        <w:rPr>
          <w:noProof/>
        </w:rPr>
        <w:t>5</w:t>
      </w:r>
      <w:r w:rsidRPr="008B628A">
        <w:rPr>
          <w:noProof/>
        </w:rPr>
        <w:fldChar w:fldCharType="end"/>
      </w:r>
      <w:r w:rsidR="009E5C91" w:rsidRPr="008B628A">
        <w:t>. tabula. Latvijas AER izmantošanas politikas mērķi un to rezultatīvie radītāji</w:t>
      </w:r>
      <w:bookmarkEnd w:id="90"/>
    </w:p>
    <w:tbl>
      <w:tblPr>
        <w:tblW w:w="89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93"/>
        <w:gridCol w:w="1031"/>
        <w:gridCol w:w="996"/>
        <w:gridCol w:w="776"/>
        <w:gridCol w:w="764"/>
        <w:gridCol w:w="764"/>
        <w:gridCol w:w="833"/>
        <w:gridCol w:w="14"/>
      </w:tblGrid>
      <w:tr w:rsidR="004414B5" w:rsidRPr="008B628A" w14:paraId="15B902BA" w14:textId="77777777" w:rsidTr="002F6EA4">
        <w:trPr>
          <w:tblHeader/>
          <w:jc w:val="center"/>
        </w:trPr>
        <w:tc>
          <w:tcPr>
            <w:tcW w:w="3793" w:type="dxa"/>
            <w:vMerge w:val="restart"/>
            <w:shd w:val="clear" w:color="auto" w:fill="F2F2F2" w:themeFill="background1" w:themeFillShade="F2"/>
            <w:vAlign w:val="center"/>
          </w:tcPr>
          <w:p w14:paraId="292BFAE8" w14:textId="0716361A" w:rsidR="004414B5" w:rsidRPr="008B628A" w:rsidRDefault="004414B5" w:rsidP="003C3B44">
            <w:pPr>
              <w:spacing w:before="60" w:after="60"/>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Politikas rezultāts dekarbonizācijas dimensijas AER enerģijas apakšdimensijā</w:t>
            </w:r>
          </w:p>
        </w:tc>
        <w:tc>
          <w:tcPr>
            <w:tcW w:w="1031" w:type="dxa"/>
            <w:shd w:val="clear" w:color="auto" w:fill="F2F2F2" w:themeFill="background1" w:themeFillShade="F2"/>
            <w:vAlign w:val="center"/>
          </w:tcPr>
          <w:p w14:paraId="174564CF" w14:textId="404F4B6D" w:rsidR="004414B5" w:rsidRPr="008B628A" w:rsidRDefault="004414B5"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Faktiskā vērtība</w:t>
            </w:r>
          </w:p>
        </w:tc>
        <w:tc>
          <w:tcPr>
            <w:tcW w:w="4147" w:type="dxa"/>
            <w:gridSpan w:val="6"/>
            <w:shd w:val="clear" w:color="auto" w:fill="F2F2F2" w:themeFill="background1" w:themeFillShade="F2"/>
            <w:vAlign w:val="center"/>
          </w:tcPr>
          <w:p w14:paraId="5C391A76" w14:textId="77777777" w:rsidR="004414B5" w:rsidRPr="008B628A" w:rsidRDefault="004414B5"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Mērķa vērtība</w:t>
            </w:r>
          </w:p>
        </w:tc>
      </w:tr>
      <w:tr w:rsidR="00710BDC" w:rsidRPr="008B628A" w14:paraId="35B1AE13" w14:textId="77777777" w:rsidTr="002F6EA4">
        <w:trPr>
          <w:gridAfter w:val="1"/>
          <w:wAfter w:w="14" w:type="dxa"/>
          <w:tblHeader/>
          <w:jc w:val="center"/>
        </w:trPr>
        <w:tc>
          <w:tcPr>
            <w:tcW w:w="3793" w:type="dxa"/>
            <w:vMerge/>
            <w:shd w:val="clear" w:color="auto" w:fill="F2F2F2" w:themeFill="background1" w:themeFillShade="F2"/>
            <w:vAlign w:val="center"/>
          </w:tcPr>
          <w:p w14:paraId="75AA5596" w14:textId="77777777" w:rsidR="00710BDC" w:rsidRPr="008B628A" w:rsidRDefault="00710BDC" w:rsidP="003C3B44">
            <w:pPr>
              <w:spacing w:before="60" w:after="60"/>
              <w:rPr>
                <w:rFonts w:ascii="Times New Roman" w:hAnsi="Times New Roman" w:cs="Times New Roman"/>
                <w:b/>
                <w:color w:val="000000" w:themeColor="text1"/>
                <w:sz w:val="20"/>
                <w:szCs w:val="20"/>
              </w:rPr>
            </w:pPr>
          </w:p>
        </w:tc>
        <w:tc>
          <w:tcPr>
            <w:tcW w:w="1031" w:type="dxa"/>
            <w:shd w:val="clear" w:color="auto" w:fill="F2F2F2" w:themeFill="background1" w:themeFillShade="F2"/>
            <w:vAlign w:val="center"/>
          </w:tcPr>
          <w:p w14:paraId="46BC0ED5" w14:textId="2FE5BE95" w:rsidR="00710BDC" w:rsidRPr="008B628A" w:rsidRDefault="00710BDC" w:rsidP="00710BD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2016</w:t>
            </w:r>
          </w:p>
        </w:tc>
        <w:tc>
          <w:tcPr>
            <w:tcW w:w="996" w:type="dxa"/>
            <w:shd w:val="clear" w:color="auto" w:fill="F2F2F2" w:themeFill="background1" w:themeFillShade="F2"/>
            <w:vAlign w:val="center"/>
          </w:tcPr>
          <w:p w14:paraId="3791D3F3"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2020</w:t>
            </w:r>
          </w:p>
        </w:tc>
        <w:tc>
          <w:tcPr>
            <w:tcW w:w="776" w:type="dxa"/>
            <w:shd w:val="clear" w:color="auto" w:fill="F2F2F2" w:themeFill="background1" w:themeFillShade="F2"/>
            <w:vAlign w:val="center"/>
          </w:tcPr>
          <w:p w14:paraId="707CF18F"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2022</w:t>
            </w:r>
          </w:p>
        </w:tc>
        <w:tc>
          <w:tcPr>
            <w:tcW w:w="764" w:type="dxa"/>
            <w:shd w:val="clear" w:color="auto" w:fill="F2F2F2" w:themeFill="background1" w:themeFillShade="F2"/>
            <w:vAlign w:val="center"/>
          </w:tcPr>
          <w:p w14:paraId="044BE474"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2025</w:t>
            </w:r>
          </w:p>
        </w:tc>
        <w:tc>
          <w:tcPr>
            <w:tcW w:w="764" w:type="dxa"/>
            <w:shd w:val="clear" w:color="auto" w:fill="F2F2F2" w:themeFill="background1" w:themeFillShade="F2"/>
            <w:vAlign w:val="center"/>
          </w:tcPr>
          <w:p w14:paraId="6E87E006"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2027</w:t>
            </w:r>
          </w:p>
        </w:tc>
        <w:tc>
          <w:tcPr>
            <w:tcW w:w="833" w:type="dxa"/>
            <w:shd w:val="clear" w:color="auto" w:fill="F2F2F2" w:themeFill="background1" w:themeFillShade="F2"/>
            <w:vAlign w:val="center"/>
          </w:tcPr>
          <w:p w14:paraId="6DAA349F"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2030</w:t>
            </w:r>
          </w:p>
        </w:tc>
      </w:tr>
      <w:tr w:rsidR="00FB42B1" w:rsidRPr="008B628A" w14:paraId="24940A9E" w14:textId="77777777" w:rsidTr="00FB42B1">
        <w:trPr>
          <w:gridAfter w:val="1"/>
          <w:wAfter w:w="14" w:type="dxa"/>
          <w:jc w:val="center"/>
        </w:trPr>
        <w:tc>
          <w:tcPr>
            <w:tcW w:w="3793" w:type="dxa"/>
            <w:vAlign w:val="center"/>
          </w:tcPr>
          <w:p w14:paraId="7C6FE18B" w14:textId="3FB87AB4" w:rsidR="00FB42B1" w:rsidRPr="008B628A" w:rsidRDefault="00FB42B1" w:rsidP="00FB42B1">
            <w:pPr>
              <w:pStyle w:val="ListParagraph"/>
              <w:spacing w:before="60" w:after="60"/>
              <w:ind w:left="0"/>
              <w:contextualSpacing w:val="0"/>
              <w:rPr>
                <w:rFonts w:ascii="Times New Roman" w:hAnsi="Times New Roman" w:cs="Times New Roman"/>
                <w:bCs/>
                <w:color w:val="000000" w:themeColor="text1"/>
              </w:rPr>
            </w:pPr>
            <w:r w:rsidRPr="008B628A">
              <w:rPr>
                <w:rFonts w:ascii="Times New Roman" w:hAnsi="Times New Roman" w:cs="Times New Roman"/>
                <w:bCs/>
                <w:color w:val="000000" w:themeColor="text1"/>
              </w:rPr>
              <w:t xml:space="preserve">1. </w:t>
            </w:r>
            <w:r w:rsidR="003D760C">
              <w:rPr>
                <w:rFonts w:ascii="Times New Roman" w:hAnsi="Times New Roman" w:cs="Times New Roman"/>
                <w:bCs/>
                <w:color w:val="000000" w:themeColor="text1"/>
              </w:rPr>
              <w:t xml:space="preserve">AE </w:t>
            </w:r>
            <w:r w:rsidRPr="008B628A">
              <w:rPr>
                <w:rFonts w:ascii="Times New Roman" w:hAnsi="Times New Roman" w:cs="Times New Roman"/>
                <w:bCs/>
                <w:color w:val="000000" w:themeColor="text1"/>
              </w:rPr>
              <w:t xml:space="preserve">īpatsvars </w:t>
            </w:r>
            <w:r w:rsidRPr="008B628A">
              <w:rPr>
                <w:rFonts w:ascii="Times New Roman" w:hAnsi="Times New Roman" w:cs="Times New Roman"/>
                <w:color w:val="000000" w:themeColor="text1"/>
              </w:rPr>
              <w:t>enerģijas galapatēriņā (%)</w:t>
            </w:r>
          </w:p>
        </w:tc>
        <w:tc>
          <w:tcPr>
            <w:tcW w:w="1031" w:type="dxa"/>
            <w:vAlign w:val="center"/>
          </w:tcPr>
          <w:p w14:paraId="29E0DAB4" w14:textId="660271B5"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37,2</w:t>
            </w:r>
          </w:p>
        </w:tc>
        <w:tc>
          <w:tcPr>
            <w:tcW w:w="996" w:type="dxa"/>
            <w:vAlign w:val="center"/>
          </w:tcPr>
          <w:p w14:paraId="3232E3AA" w14:textId="77777777"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40</w:t>
            </w:r>
            <w:r w:rsidRPr="008B628A">
              <w:rPr>
                <w:rStyle w:val="FootnoteReference"/>
                <w:rFonts w:ascii="Times New Roman" w:hAnsi="Times New Roman" w:cs="Times New Roman"/>
                <w:color w:val="000000" w:themeColor="text1"/>
              </w:rPr>
              <w:footnoteReference w:id="95"/>
            </w:r>
          </w:p>
        </w:tc>
        <w:tc>
          <w:tcPr>
            <w:tcW w:w="776" w:type="dxa"/>
            <w:vAlign w:val="center"/>
          </w:tcPr>
          <w:p w14:paraId="6554B40B" w14:textId="7DD71FFF"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41,25</w:t>
            </w:r>
          </w:p>
        </w:tc>
        <w:tc>
          <w:tcPr>
            <w:tcW w:w="764" w:type="dxa"/>
            <w:vAlign w:val="center"/>
          </w:tcPr>
          <w:p w14:paraId="7D8BE82D" w14:textId="5531BA79"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42,5</w:t>
            </w:r>
          </w:p>
        </w:tc>
        <w:tc>
          <w:tcPr>
            <w:tcW w:w="764" w:type="dxa"/>
            <w:vAlign w:val="center"/>
          </w:tcPr>
          <w:p w14:paraId="7B5712E9" w14:textId="7061AD64"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43,75</w:t>
            </w:r>
          </w:p>
        </w:tc>
        <w:tc>
          <w:tcPr>
            <w:tcW w:w="833" w:type="dxa"/>
            <w:vAlign w:val="center"/>
          </w:tcPr>
          <w:p w14:paraId="567D6B8E" w14:textId="0B38CA1E"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45</w:t>
            </w:r>
          </w:p>
        </w:tc>
      </w:tr>
      <w:tr w:rsidR="00E1356B" w:rsidRPr="008B628A" w14:paraId="681C3891" w14:textId="77777777" w:rsidTr="002F6EA4">
        <w:trPr>
          <w:gridAfter w:val="1"/>
          <w:wAfter w:w="14" w:type="dxa"/>
          <w:jc w:val="center"/>
        </w:trPr>
        <w:tc>
          <w:tcPr>
            <w:tcW w:w="3793" w:type="dxa"/>
            <w:vAlign w:val="center"/>
          </w:tcPr>
          <w:p w14:paraId="1212D2D3" w14:textId="35278DE7" w:rsidR="00E1356B" w:rsidRPr="008B628A" w:rsidRDefault="003F4596" w:rsidP="00DF5D8B">
            <w:pPr>
              <w:pStyle w:val="ListParagraph"/>
              <w:spacing w:before="60" w:after="60"/>
              <w:ind w:left="0"/>
              <w:contextualSpacing w:val="0"/>
              <w:rPr>
                <w:rFonts w:ascii="Times New Roman" w:hAnsi="Times New Roman" w:cs="Times New Roman"/>
                <w:bCs/>
                <w:color w:val="000000" w:themeColor="text1"/>
                <w:szCs w:val="24"/>
              </w:rPr>
            </w:pPr>
            <w:r>
              <w:rPr>
                <w:rFonts w:ascii="Times New Roman" w:hAnsi="Times New Roman" w:cs="Times New Roman"/>
                <w:bCs/>
                <w:color w:val="000000" w:themeColor="text1"/>
                <w:szCs w:val="24"/>
              </w:rPr>
              <w:t>2</w:t>
            </w:r>
            <w:r w:rsidR="00E1356B" w:rsidRPr="008B628A">
              <w:rPr>
                <w:rFonts w:ascii="Times New Roman" w:hAnsi="Times New Roman" w:cs="Times New Roman"/>
                <w:bCs/>
                <w:color w:val="000000" w:themeColor="text1"/>
                <w:szCs w:val="24"/>
              </w:rPr>
              <w:t>.</w:t>
            </w:r>
            <w:r w:rsidR="003D760C">
              <w:rPr>
                <w:rFonts w:ascii="Times New Roman" w:hAnsi="Times New Roman" w:cs="Times New Roman"/>
                <w:bCs/>
                <w:color w:val="000000" w:themeColor="text1"/>
                <w:szCs w:val="24"/>
              </w:rPr>
              <w:t xml:space="preserve"> AE </w:t>
            </w:r>
            <w:r w:rsidR="00E1356B" w:rsidRPr="008B628A">
              <w:rPr>
                <w:rFonts w:ascii="Times New Roman" w:hAnsi="Times New Roman" w:cs="Times New Roman"/>
                <w:bCs/>
                <w:color w:val="000000" w:themeColor="text1"/>
                <w:szCs w:val="24"/>
              </w:rPr>
              <w:t xml:space="preserve">īpatsvars </w:t>
            </w:r>
            <w:r w:rsidR="00E1356B" w:rsidRPr="008B628A">
              <w:rPr>
                <w:rFonts w:ascii="Times New Roman" w:hAnsi="Times New Roman" w:cs="Times New Roman"/>
                <w:color w:val="000000" w:themeColor="text1"/>
                <w:szCs w:val="24"/>
              </w:rPr>
              <w:t>enerģijas galapatēriņā transportā (%)</w:t>
            </w:r>
          </w:p>
        </w:tc>
        <w:tc>
          <w:tcPr>
            <w:tcW w:w="1031" w:type="dxa"/>
            <w:vAlign w:val="center"/>
          </w:tcPr>
          <w:p w14:paraId="772EA0D8"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2,8</w:t>
            </w:r>
          </w:p>
        </w:tc>
        <w:tc>
          <w:tcPr>
            <w:tcW w:w="996" w:type="dxa"/>
            <w:vAlign w:val="center"/>
          </w:tcPr>
          <w:p w14:paraId="52DD8783" w14:textId="4BB9B854"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10</w:t>
            </w:r>
            <w:r w:rsidR="008F7719" w:rsidRPr="008B628A">
              <w:rPr>
                <w:rStyle w:val="FootnoteReference"/>
                <w:rFonts w:ascii="Times New Roman" w:hAnsi="Times New Roman" w:cs="Times New Roman"/>
                <w:color w:val="000000" w:themeColor="text1"/>
                <w:szCs w:val="24"/>
              </w:rPr>
              <w:footnoteReference w:id="96"/>
            </w:r>
          </w:p>
        </w:tc>
        <w:tc>
          <w:tcPr>
            <w:tcW w:w="776" w:type="dxa"/>
            <w:vAlign w:val="center"/>
          </w:tcPr>
          <w:p w14:paraId="17A48EF9"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64" w:type="dxa"/>
            <w:vAlign w:val="center"/>
          </w:tcPr>
          <w:p w14:paraId="1F0DACE4"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64" w:type="dxa"/>
            <w:vAlign w:val="center"/>
          </w:tcPr>
          <w:p w14:paraId="6AAE76C6"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833" w:type="dxa"/>
            <w:vAlign w:val="center"/>
          </w:tcPr>
          <w:p w14:paraId="420F82DD" w14:textId="75E388D7" w:rsidR="00E1356B" w:rsidRPr="008B628A" w:rsidRDefault="00E1356B" w:rsidP="00DF5D8B">
            <w:pPr>
              <w:spacing w:before="60" w:after="60" w:line="240" w:lineRule="auto"/>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14</w:t>
            </w:r>
            <w:r w:rsidR="008F7719" w:rsidRPr="008B628A">
              <w:rPr>
                <w:rStyle w:val="FootnoteReference"/>
                <w:rFonts w:ascii="Times New Roman" w:hAnsi="Times New Roman" w:cs="Times New Roman"/>
                <w:color w:val="000000" w:themeColor="text1"/>
                <w:szCs w:val="24"/>
              </w:rPr>
              <w:footnoteReference w:id="97"/>
            </w:r>
          </w:p>
        </w:tc>
      </w:tr>
      <w:tr w:rsidR="00E1356B" w:rsidRPr="008B628A" w14:paraId="6670D7C7" w14:textId="77777777" w:rsidTr="002F6EA4">
        <w:trPr>
          <w:gridAfter w:val="1"/>
          <w:wAfter w:w="14" w:type="dxa"/>
          <w:jc w:val="center"/>
        </w:trPr>
        <w:tc>
          <w:tcPr>
            <w:tcW w:w="3793" w:type="dxa"/>
            <w:vAlign w:val="center"/>
          </w:tcPr>
          <w:p w14:paraId="48A29D0C" w14:textId="25114400" w:rsidR="00E1356B" w:rsidRPr="008B628A" w:rsidRDefault="00E1356B" w:rsidP="003C3B44">
            <w:pPr>
              <w:pStyle w:val="Default"/>
            </w:pPr>
            <w:r w:rsidRPr="008B628A">
              <w:t>5. Moderno biodegvielu un biogāzes īpatsvars</w:t>
            </w:r>
            <w:r w:rsidRPr="008B628A">
              <w:rPr>
                <w:color w:val="000000" w:themeColor="text1"/>
              </w:rPr>
              <w:t xml:space="preserve"> enerģijas galapatēriņā transportā</w:t>
            </w:r>
            <w:r w:rsidR="00EA43A3" w:rsidRPr="008B628A">
              <w:rPr>
                <w:rStyle w:val="FootnoteReference"/>
                <w:color w:val="000000" w:themeColor="text1"/>
              </w:rPr>
              <w:footnoteReference w:id="98"/>
            </w:r>
            <w:r w:rsidRPr="008B628A">
              <w:rPr>
                <w:color w:val="000000" w:themeColor="text1"/>
              </w:rPr>
              <w:t xml:space="preserve"> (%)</w:t>
            </w:r>
          </w:p>
        </w:tc>
        <w:tc>
          <w:tcPr>
            <w:tcW w:w="1031" w:type="dxa"/>
            <w:vAlign w:val="center"/>
          </w:tcPr>
          <w:p w14:paraId="216FB0ED" w14:textId="4184C62B" w:rsidR="00E1356B" w:rsidRPr="008B628A" w:rsidRDefault="00117E73" w:rsidP="00710BDC">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0</w:t>
            </w:r>
          </w:p>
        </w:tc>
        <w:tc>
          <w:tcPr>
            <w:tcW w:w="996" w:type="dxa"/>
            <w:vAlign w:val="center"/>
          </w:tcPr>
          <w:p w14:paraId="54E32639" w14:textId="29BE7025"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76" w:type="dxa"/>
            <w:vAlign w:val="center"/>
          </w:tcPr>
          <w:p w14:paraId="293E4667" w14:textId="7A5B66F6"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0,2</w:t>
            </w:r>
          </w:p>
        </w:tc>
        <w:tc>
          <w:tcPr>
            <w:tcW w:w="764" w:type="dxa"/>
            <w:vAlign w:val="center"/>
          </w:tcPr>
          <w:p w14:paraId="551FB442" w14:textId="06F16AE1"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w:t>
            </w:r>
          </w:p>
        </w:tc>
        <w:tc>
          <w:tcPr>
            <w:tcW w:w="764" w:type="dxa"/>
            <w:vAlign w:val="center"/>
          </w:tcPr>
          <w:p w14:paraId="3C5335D2" w14:textId="33891EBA" w:rsidR="00E1356B" w:rsidRPr="008B628A" w:rsidRDefault="00117E73"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833" w:type="dxa"/>
            <w:vAlign w:val="center"/>
          </w:tcPr>
          <w:p w14:paraId="5F449E11" w14:textId="316B468F"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3,5</w:t>
            </w:r>
            <w:r w:rsidR="008F7719" w:rsidRPr="008B628A">
              <w:rPr>
                <w:rStyle w:val="FootnoteReference"/>
                <w:rFonts w:ascii="Times New Roman" w:hAnsi="Times New Roman" w:cs="Times New Roman"/>
                <w:color w:val="000000" w:themeColor="text1"/>
                <w:szCs w:val="24"/>
              </w:rPr>
              <w:footnoteReference w:id="99"/>
            </w:r>
          </w:p>
        </w:tc>
      </w:tr>
    </w:tbl>
    <w:p w14:paraId="288DB3EA" w14:textId="77777777" w:rsidR="002E51E3" w:rsidRPr="008B628A" w:rsidRDefault="002E51E3" w:rsidP="00FD6D1E">
      <w:pPr>
        <w:pStyle w:val="paragraph"/>
        <w:spacing w:before="120" w:beforeAutospacing="0" w:after="120" w:afterAutospacing="0"/>
        <w:textAlignment w:val="baseline"/>
        <w:rPr>
          <w:sz w:val="18"/>
          <w:szCs w:val="18"/>
        </w:rPr>
      </w:pPr>
    </w:p>
    <w:p w14:paraId="29466BBE" w14:textId="226A83A7" w:rsidR="00FB49E8" w:rsidRPr="008B628A" w:rsidRDefault="00FB49E8" w:rsidP="00FB49E8">
      <w:pPr>
        <w:pStyle w:val="Heading4"/>
      </w:pPr>
      <w:bookmarkStart w:id="91" w:name="_Toc527529445"/>
      <w:r w:rsidRPr="008B628A">
        <w:t xml:space="preserve">AE tehnoloģiju </w:t>
      </w:r>
      <w:r w:rsidR="00A54AC9">
        <w:t>līknes</w:t>
      </w:r>
    </w:p>
    <w:bookmarkEnd w:id="91"/>
    <w:p w14:paraId="1A0A6062" w14:textId="29D3E5F4" w:rsidR="004922AC" w:rsidRPr="008B628A" w:rsidRDefault="00E47703">
      <w:pPr>
        <w:pStyle w:val="paragraph"/>
        <w:spacing w:before="120" w:beforeAutospacing="0" w:after="120" w:afterAutospacing="0"/>
        <w:textAlignment w:val="baseline"/>
        <w:rPr>
          <w:rStyle w:val="normaltextrun"/>
          <w:rFonts w:asciiTheme="minorHAnsi" w:eastAsiaTheme="majorEastAsia" w:hAnsiTheme="minorHAnsi" w:cstheme="minorBidi"/>
          <w:i/>
          <w:szCs w:val="22"/>
          <w:lang w:eastAsia="en-US"/>
        </w:rPr>
      </w:pPr>
      <w:r w:rsidRPr="008B628A">
        <w:rPr>
          <w:rStyle w:val="normaltextrun"/>
          <w:rFonts w:eastAsiaTheme="majorEastAsia"/>
          <w:i/>
        </w:rPr>
        <w:t>T</w:t>
      </w:r>
      <w:r w:rsidR="00262BD2" w:rsidRPr="008B628A">
        <w:rPr>
          <w:rStyle w:val="normaltextrun"/>
          <w:rFonts w:eastAsiaTheme="majorEastAsia"/>
          <w:i/>
        </w:rPr>
        <w:t>iks papildināts</w:t>
      </w:r>
      <w:r w:rsidRPr="008B628A">
        <w:rPr>
          <w:rStyle w:val="normaltextrun"/>
          <w:rFonts w:eastAsiaTheme="majorEastAsia"/>
          <w:i/>
        </w:rPr>
        <w:t xml:space="preserve"> Plāna galaversijā.</w:t>
      </w:r>
    </w:p>
    <w:p w14:paraId="25478D5F" w14:textId="77777777" w:rsidR="004922AC" w:rsidRPr="008B628A" w:rsidRDefault="004922AC" w:rsidP="00FD6D1E">
      <w:pPr>
        <w:spacing w:before="120" w:after="120" w:line="240" w:lineRule="auto"/>
        <w:rPr>
          <w:rFonts w:ascii="Times New Roman" w:hAnsi="Times New Roman" w:cs="Times New Roman"/>
        </w:rPr>
      </w:pPr>
    </w:p>
    <w:p w14:paraId="1432CF01" w14:textId="7DC90FC1" w:rsidR="002E51E3" w:rsidRPr="008B628A" w:rsidRDefault="002E51E3">
      <w:pPr>
        <w:pStyle w:val="Heading4"/>
      </w:pPr>
      <w:bookmarkStart w:id="92" w:name="_Toc527529446"/>
      <w:r w:rsidRPr="008B628A">
        <w:t xml:space="preserve">Bioenerģijas pieprasījuma </w:t>
      </w:r>
      <w:bookmarkEnd w:id="92"/>
      <w:r w:rsidR="00A54AC9">
        <w:t>līknes</w:t>
      </w:r>
      <w:r w:rsidR="00A54AC9" w:rsidRPr="008B628A">
        <w:t> </w:t>
      </w:r>
    </w:p>
    <w:p w14:paraId="1A19FB28" w14:textId="1F2D8C8F" w:rsidR="00262BD2" w:rsidRPr="008B628A" w:rsidRDefault="00E47703" w:rsidP="00262BD2">
      <w:pPr>
        <w:pStyle w:val="paragraph"/>
        <w:spacing w:before="120" w:beforeAutospacing="0" w:after="120" w:afterAutospacing="0"/>
        <w:textAlignment w:val="baseline"/>
        <w:rPr>
          <w:rStyle w:val="normaltextrun"/>
          <w:rFonts w:asciiTheme="minorHAnsi" w:eastAsiaTheme="majorEastAsia" w:hAnsiTheme="minorHAnsi" w:cstheme="minorBidi"/>
          <w:i/>
          <w:szCs w:val="22"/>
          <w:lang w:eastAsia="en-US"/>
        </w:rPr>
      </w:pPr>
      <w:r w:rsidRPr="008B628A">
        <w:rPr>
          <w:rStyle w:val="normaltextrun"/>
          <w:rFonts w:eastAsiaTheme="majorEastAsia"/>
          <w:i/>
        </w:rPr>
        <w:t>T</w:t>
      </w:r>
      <w:r w:rsidR="00262BD2" w:rsidRPr="008B628A">
        <w:rPr>
          <w:rStyle w:val="normaltextrun"/>
          <w:rFonts w:eastAsiaTheme="majorEastAsia"/>
          <w:i/>
        </w:rPr>
        <w:t>iks papildināts</w:t>
      </w:r>
      <w:r w:rsidRPr="008B628A">
        <w:rPr>
          <w:rStyle w:val="normaltextrun"/>
          <w:rFonts w:eastAsiaTheme="majorEastAsia"/>
          <w:i/>
        </w:rPr>
        <w:t xml:space="preserve"> Plāna galaversijā.</w:t>
      </w:r>
    </w:p>
    <w:p w14:paraId="388F6BA2" w14:textId="77777777" w:rsidR="002E51E3" w:rsidRPr="008B628A" w:rsidRDefault="002E51E3" w:rsidP="002E51E3">
      <w:pPr>
        <w:pStyle w:val="paragraph"/>
        <w:spacing w:before="0" w:beforeAutospacing="0" w:after="0" w:afterAutospacing="0"/>
        <w:textAlignment w:val="baseline"/>
        <w:rPr>
          <w:rStyle w:val="normaltextrun"/>
        </w:rPr>
      </w:pPr>
    </w:p>
    <w:p w14:paraId="19946A81" w14:textId="256E488A" w:rsidR="00D96A54" w:rsidRPr="008B628A" w:rsidRDefault="003D760C" w:rsidP="006F546A">
      <w:pPr>
        <w:pStyle w:val="Heading2"/>
      </w:pPr>
      <w:bookmarkStart w:id="93" w:name="_Toc520978814"/>
      <w:bookmarkStart w:id="94" w:name="_Toc527529447"/>
      <w:bookmarkStart w:id="95" w:name="_Toc532910001"/>
      <w:r>
        <w:t>E</w:t>
      </w:r>
      <w:r w:rsidR="00D96A54" w:rsidRPr="008B628A">
        <w:t>nergoefektivitāte</w:t>
      </w:r>
      <w:bookmarkEnd w:id="93"/>
      <w:bookmarkEnd w:id="94"/>
      <w:bookmarkEnd w:id="95"/>
      <w:r w:rsidR="00D96A54" w:rsidRPr="008B628A">
        <w:t> </w:t>
      </w:r>
    </w:p>
    <w:p w14:paraId="6DC69F9E" w14:textId="12B78443" w:rsidR="00D96A54" w:rsidRPr="008B628A" w:rsidRDefault="00D96A54" w:rsidP="005F59CE">
      <w:pPr>
        <w:pStyle w:val="Heading3"/>
      </w:pPr>
      <w:bookmarkStart w:id="96" w:name="_Toc520978815"/>
      <w:bookmarkStart w:id="97" w:name="_Toc527529448"/>
      <w:r w:rsidRPr="008B628A">
        <w:t xml:space="preserve">Latvijas energoefektivitātes </w:t>
      </w:r>
      <w:r w:rsidR="00E106AD" w:rsidRPr="008B628A">
        <w:t>devums</w:t>
      </w:r>
      <w:r w:rsidRPr="008B628A">
        <w:t xml:space="preserve"> ES energoefektivitātes mērķa izpildē</w:t>
      </w:r>
      <w:bookmarkEnd w:id="96"/>
      <w:bookmarkEnd w:id="97"/>
      <w:r w:rsidRPr="008B628A">
        <w:t> </w:t>
      </w:r>
    </w:p>
    <w:p w14:paraId="5AF0FD1F" w14:textId="0E7ACE42" w:rsidR="00077550" w:rsidRPr="008B628A" w:rsidRDefault="00077550" w:rsidP="00863FD7">
      <w:pPr>
        <w:pStyle w:val="Heading4"/>
      </w:pPr>
      <w:bookmarkStart w:id="98" w:name="_Toc527529449"/>
      <w:r w:rsidRPr="008B628A">
        <w:t xml:space="preserve">Latvijas energoefektivitātes </w:t>
      </w:r>
      <w:r w:rsidR="00E106AD" w:rsidRPr="008B628A">
        <w:t>devuma</w:t>
      </w:r>
      <w:r w:rsidRPr="008B628A">
        <w:t xml:space="preserve"> nosacījumi</w:t>
      </w:r>
      <w:bookmarkEnd w:id="98"/>
    </w:p>
    <w:p w14:paraId="3300169D" w14:textId="73A483C3" w:rsidR="00F771FD" w:rsidRPr="008B628A" w:rsidRDefault="00B224CF" w:rsidP="00EB2204">
      <w:pPr>
        <w:pStyle w:val="Default"/>
        <w:spacing w:before="120" w:after="120"/>
        <w:jc w:val="both"/>
      </w:pPr>
      <w:r w:rsidRPr="008B628A">
        <w:rPr>
          <w:rFonts w:eastAsia="Calibri"/>
        </w:rPr>
        <w:t>Priekšlikumā Direktīvas 2012/27/ES grozījumiem</w:t>
      </w:r>
      <w:r w:rsidRPr="008B628A">
        <w:rPr>
          <w:color w:val="auto"/>
        </w:rPr>
        <w:t xml:space="preserve"> </w:t>
      </w:r>
      <w:r w:rsidR="00EB2204" w:rsidRPr="008B628A">
        <w:rPr>
          <w:color w:val="auto"/>
        </w:rPr>
        <w:t xml:space="preserve">ir noteikts ES līmenī saistošs energoefektivitātes mērķi 2030. gadam – 32,5%, un katrai ES </w:t>
      </w:r>
      <w:r w:rsidR="00A54AC9">
        <w:rPr>
          <w:color w:val="auto"/>
        </w:rPr>
        <w:t>dalībvalstij</w:t>
      </w:r>
      <w:r w:rsidR="00A54AC9" w:rsidRPr="008B628A">
        <w:rPr>
          <w:color w:val="auto"/>
        </w:rPr>
        <w:t xml:space="preserve"> </w:t>
      </w:r>
      <w:r w:rsidR="00EB2204" w:rsidRPr="008B628A">
        <w:rPr>
          <w:color w:val="auto"/>
        </w:rPr>
        <w:t>ir jāizstrādā sav</w:t>
      </w:r>
      <w:r w:rsidR="004922AC" w:rsidRPr="008B628A">
        <w:rPr>
          <w:color w:val="auto"/>
        </w:rPr>
        <w:t>i</w:t>
      </w:r>
      <w:r w:rsidR="00EB2204" w:rsidRPr="008B628A">
        <w:rPr>
          <w:color w:val="auto"/>
        </w:rPr>
        <w:t xml:space="preserve"> nacionālie </w:t>
      </w:r>
      <w:r w:rsidR="00E106AD" w:rsidRPr="008B628A">
        <w:rPr>
          <w:color w:val="auto"/>
        </w:rPr>
        <w:t>devumi</w:t>
      </w:r>
      <w:r w:rsidR="00EB2204" w:rsidRPr="008B628A">
        <w:rPr>
          <w:color w:val="auto"/>
        </w:rPr>
        <w:t xml:space="preserve"> ES kopējā mērķa izpildei</w:t>
      </w:r>
      <w:r w:rsidR="00F771FD" w:rsidRPr="008B628A">
        <w:rPr>
          <w:color w:val="auto"/>
        </w:rPr>
        <w:t xml:space="preserve">, ņemot vērā, ka ES kopējam primārās enerģijas patēriņam 2030. gadā ir jābūt ne vairāk kā 1273 Mtoe, bet </w:t>
      </w:r>
      <w:r w:rsidR="008000C9">
        <w:rPr>
          <w:color w:val="auto"/>
        </w:rPr>
        <w:t xml:space="preserve">enerģijas </w:t>
      </w:r>
      <w:r w:rsidR="00F771FD" w:rsidRPr="008B628A">
        <w:rPr>
          <w:color w:val="auto"/>
        </w:rPr>
        <w:t>galapatēriņam – ne vairāk kā 956 Mtoe</w:t>
      </w:r>
      <w:r w:rsidR="00F771FD" w:rsidRPr="008B628A">
        <w:t>.</w:t>
      </w:r>
    </w:p>
    <w:p w14:paraId="3322EC4C" w14:textId="59C48389" w:rsidR="00333FAF" w:rsidRPr="008B628A" w:rsidRDefault="00B224CF" w:rsidP="00E106AD">
      <w:pPr>
        <w:pStyle w:val="Default"/>
        <w:spacing w:before="120" w:after="120"/>
        <w:jc w:val="both"/>
        <w:rPr>
          <w:color w:val="auto"/>
        </w:rPr>
      </w:pPr>
      <w:r w:rsidRPr="008B628A">
        <w:rPr>
          <w:rFonts w:eastAsia="Calibri"/>
        </w:rPr>
        <w:t>Priekšlikumā Direktīvas 2012/27/ES grozījumiem</w:t>
      </w:r>
      <w:r w:rsidRPr="008B628A">
        <w:rPr>
          <w:color w:val="auto"/>
        </w:rPr>
        <w:t xml:space="preserve"> </w:t>
      </w:r>
      <w:r w:rsidR="00F771FD" w:rsidRPr="008B628A">
        <w:rPr>
          <w:color w:val="auto"/>
        </w:rPr>
        <w:t>ir noteikts pienākums panākt jaunus enerģijas galapatēriņa ikgadējo</w:t>
      </w:r>
      <w:r w:rsidR="00EB2204" w:rsidRPr="008B628A">
        <w:rPr>
          <w:color w:val="auto"/>
        </w:rPr>
        <w:t xml:space="preserve">s ietaupījumus </w:t>
      </w:r>
      <w:r w:rsidR="00F771FD" w:rsidRPr="008B628A">
        <w:rPr>
          <w:color w:val="auto"/>
        </w:rPr>
        <w:t xml:space="preserve">0,8% </w:t>
      </w:r>
      <w:r w:rsidR="00EB2204" w:rsidRPr="008B628A">
        <w:rPr>
          <w:color w:val="auto"/>
        </w:rPr>
        <w:t>apmērā</w:t>
      </w:r>
      <w:r w:rsidR="00F771FD" w:rsidRPr="008B628A">
        <w:rPr>
          <w:color w:val="auto"/>
        </w:rPr>
        <w:t xml:space="preserve"> 2021.-2030.gada periodā un arī</w:t>
      </w:r>
      <w:r w:rsidR="00EB2204" w:rsidRPr="008B628A">
        <w:rPr>
          <w:color w:val="auto"/>
        </w:rPr>
        <w:t xml:space="preserve"> desm</w:t>
      </w:r>
      <w:r w:rsidR="005157CD" w:rsidRPr="008B628A">
        <w:rPr>
          <w:color w:val="auto"/>
        </w:rPr>
        <w:t>it gadu periodos pēc 2030. gada</w:t>
      </w:r>
      <w:r w:rsidR="00ED221A" w:rsidRPr="008B628A">
        <w:rPr>
          <w:color w:val="auto"/>
        </w:rPr>
        <w:t>, no ietaupījumu bāzes scenārija aprēķina pilnībā vai daļēji izslēdzot transporta sektoru</w:t>
      </w:r>
      <w:r w:rsidR="005157CD" w:rsidRPr="008B628A">
        <w:rPr>
          <w:color w:val="auto"/>
        </w:rPr>
        <w:t>.</w:t>
      </w:r>
      <w:r w:rsidR="00FD764E" w:rsidRPr="008B628A">
        <w:rPr>
          <w:color w:val="auto"/>
        </w:rPr>
        <w:t xml:space="preserve"> </w:t>
      </w:r>
    </w:p>
    <w:p w14:paraId="7672E12B" w14:textId="1222E954" w:rsidR="00D96A54" w:rsidRPr="008B628A" w:rsidRDefault="00077550" w:rsidP="00E106AD">
      <w:pPr>
        <w:pStyle w:val="Heading4"/>
      </w:pPr>
      <w:bookmarkStart w:id="99" w:name="_Toc527529450"/>
      <w:r w:rsidRPr="008B628A">
        <w:t xml:space="preserve">Latvijas </w:t>
      </w:r>
      <w:r w:rsidR="00E106AD" w:rsidRPr="008B628A">
        <w:t>devums</w:t>
      </w:r>
      <w:r w:rsidRPr="008B628A">
        <w:t xml:space="preserve"> ES energoefektivitātes mērķī</w:t>
      </w:r>
      <w:bookmarkEnd w:id="99"/>
    </w:p>
    <w:p w14:paraId="6DF4890F" w14:textId="75C152BD" w:rsidR="00077550" w:rsidRPr="008B628A" w:rsidRDefault="00077550" w:rsidP="00E106A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Atbilstoši </w:t>
      </w:r>
      <w:r w:rsidR="00883D54" w:rsidRPr="008B628A">
        <w:rPr>
          <w:rFonts w:ascii="Times New Roman" w:eastAsia="Calibri" w:hAnsi="Times New Roman" w:cs="Times New Roman"/>
          <w:szCs w:val="24"/>
        </w:rPr>
        <w:t>Direktīvas 2012/27/ES</w:t>
      </w:r>
      <w:r w:rsidRPr="008B628A">
        <w:rPr>
          <w:rFonts w:ascii="Times New Roman" w:hAnsi="Times New Roman" w:cs="Times New Roman"/>
          <w:szCs w:val="24"/>
        </w:rPr>
        <w:t xml:space="preserve"> 3. panta prasībām noteiktais Latvijas </w:t>
      </w:r>
      <w:r w:rsidR="00815510">
        <w:rPr>
          <w:rFonts w:ascii="Times New Roman" w:hAnsi="Times New Roman" w:cs="Times New Roman"/>
          <w:szCs w:val="24"/>
        </w:rPr>
        <w:t>neobligātais</w:t>
      </w:r>
      <w:r w:rsidR="00815510" w:rsidRPr="008B628A">
        <w:rPr>
          <w:rFonts w:ascii="Times New Roman" w:hAnsi="Times New Roman" w:cs="Times New Roman"/>
          <w:szCs w:val="24"/>
        </w:rPr>
        <w:t xml:space="preserve"> </w:t>
      </w:r>
      <w:r w:rsidRPr="008B628A">
        <w:rPr>
          <w:rFonts w:ascii="Times New Roman" w:hAnsi="Times New Roman" w:cs="Times New Roman"/>
          <w:szCs w:val="24"/>
        </w:rPr>
        <w:t>valsts energoefektivitātes mērķis 2020.gadam ir primārās enerģijas patēriņš (neieskaitot enerģijas patēriņu ne-enerģētiskajām vajadzībām), kas izteikts absolūtās vienībās – 225 PJ (5</w:t>
      </w:r>
      <w:r w:rsidR="00EE7827">
        <w:rPr>
          <w:rFonts w:ascii="Times New Roman" w:hAnsi="Times New Roman" w:cs="Times New Roman"/>
          <w:szCs w:val="24"/>
        </w:rPr>
        <w:t>,</w:t>
      </w:r>
      <w:r w:rsidRPr="008B628A">
        <w:rPr>
          <w:rFonts w:ascii="Times New Roman" w:hAnsi="Times New Roman" w:cs="Times New Roman"/>
          <w:szCs w:val="24"/>
        </w:rPr>
        <w:t>4 Mtoe). Atbilstošais enerģijas galapatēriņa mērķis, neņemot vērā enerģijas patēriņu ne-enerģētiskajām vajadzībām,  2020.gadā ir 187 PJ (4</w:t>
      </w:r>
      <w:r w:rsidR="00EE7827">
        <w:rPr>
          <w:rFonts w:ascii="Times New Roman" w:hAnsi="Times New Roman" w:cs="Times New Roman"/>
          <w:szCs w:val="24"/>
        </w:rPr>
        <w:t>,</w:t>
      </w:r>
      <w:r w:rsidRPr="008B628A">
        <w:rPr>
          <w:rFonts w:ascii="Times New Roman" w:hAnsi="Times New Roman" w:cs="Times New Roman"/>
          <w:szCs w:val="24"/>
        </w:rPr>
        <w:t xml:space="preserve">47 Mtoe). Šie </w:t>
      </w:r>
      <w:r w:rsidR="00815510">
        <w:rPr>
          <w:rFonts w:ascii="Times New Roman" w:hAnsi="Times New Roman" w:cs="Times New Roman"/>
          <w:szCs w:val="24"/>
        </w:rPr>
        <w:t>neobligātie</w:t>
      </w:r>
      <w:r w:rsidR="00815510" w:rsidRPr="008B628A">
        <w:rPr>
          <w:rFonts w:ascii="Times New Roman" w:hAnsi="Times New Roman" w:cs="Times New Roman"/>
          <w:szCs w:val="24"/>
        </w:rPr>
        <w:t xml:space="preserve"> </w:t>
      </w:r>
      <w:r w:rsidRPr="008B628A">
        <w:rPr>
          <w:rFonts w:ascii="Times New Roman" w:hAnsi="Times New Roman" w:cs="Times New Roman"/>
          <w:szCs w:val="24"/>
        </w:rPr>
        <w:t xml:space="preserve">mērķi paredz attiecīgi primārās </w:t>
      </w:r>
      <w:r w:rsidRPr="008B628A">
        <w:rPr>
          <w:rFonts w:ascii="Times New Roman" w:hAnsi="Times New Roman" w:cs="Times New Roman"/>
          <w:szCs w:val="24"/>
        </w:rPr>
        <w:lastRenderedPageBreak/>
        <w:t>enerģijas ietaupījumu 2020.gadā 28 PJ (0,670 Mtoe) un enerģijas galapatēriņa ietaupījumu 19 PJ (0</w:t>
      </w:r>
      <w:r w:rsidR="00EE7827">
        <w:rPr>
          <w:rFonts w:ascii="Times New Roman" w:hAnsi="Times New Roman" w:cs="Times New Roman"/>
          <w:szCs w:val="24"/>
        </w:rPr>
        <w:t>,</w:t>
      </w:r>
      <w:r w:rsidRPr="008B628A">
        <w:rPr>
          <w:rFonts w:ascii="Times New Roman" w:hAnsi="Times New Roman" w:cs="Times New Roman"/>
          <w:szCs w:val="24"/>
        </w:rPr>
        <w:t>457</w:t>
      </w:r>
      <w:r w:rsidR="00BF133C" w:rsidRPr="008B628A">
        <w:rPr>
          <w:rFonts w:ascii="Times New Roman" w:hAnsi="Times New Roman" w:cs="Times New Roman"/>
          <w:szCs w:val="24"/>
        </w:rPr>
        <w:t xml:space="preserve"> Mtoe</w:t>
      </w:r>
      <w:r w:rsidRPr="008B628A">
        <w:rPr>
          <w:rFonts w:ascii="Times New Roman" w:hAnsi="Times New Roman" w:cs="Times New Roman"/>
          <w:szCs w:val="24"/>
        </w:rPr>
        <w:t>).</w:t>
      </w:r>
    </w:p>
    <w:p w14:paraId="601DF97B" w14:textId="2D543E4A" w:rsidR="007B48F5" w:rsidRPr="008B628A" w:rsidRDefault="007B48F5" w:rsidP="007651B6">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Atbilstoši </w:t>
      </w:r>
      <w:r w:rsidR="00883D54" w:rsidRPr="008B628A">
        <w:rPr>
          <w:rFonts w:ascii="Times New Roman" w:eastAsia="Calibri" w:hAnsi="Times New Roman" w:cs="Times New Roman"/>
          <w:szCs w:val="24"/>
        </w:rPr>
        <w:t>Direktīvas 2012/27/ES</w:t>
      </w:r>
      <w:r w:rsidRPr="008B628A">
        <w:rPr>
          <w:rFonts w:ascii="Times New Roman" w:hAnsi="Times New Roman" w:cs="Times New Roman"/>
          <w:szCs w:val="24"/>
        </w:rPr>
        <w:t xml:space="preserve"> 7. panta prasībām Latvijas obligātais uzkrātais enerģijas galapatēriņa ietaupījuma mērķis 2020. gadā – 0,850 Mtoe (kas atbilst uzkrātam enerģijas ietaupījumam 9896 GWh visā 2014.–2020. gada periodā).</w:t>
      </w:r>
    </w:p>
    <w:p w14:paraId="466D7EE0" w14:textId="3ABDE556" w:rsidR="00AD416F" w:rsidRPr="008B628A" w:rsidRDefault="007651B6" w:rsidP="007651B6">
      <w:pPr>
        <w:pBdr>
          <w:top w:val="nil"/>
          <w:left w:val="nil"/>
          <w:bottom w:val="nil"/>
          <w:right w:val="nil"/>
          <w:between w:val="nil"/>
          <w:bar w:val="nil"/>
        </w:pBdr>
        <w:spacing w:before="120" w:after="120" w:line="240" w:lineRule="auto"/>
        <w:jc w:val="both"/>
        <w:rPr>
          <w:rFonts w:ascii="Times New Roman" w:hAnsi="Times New Roman" w:cs="Times New Roman"/>
          <w:b/>
          <w:szCs w:val="24"/>
        </w:rPr>
      </w:pPr>
      <w:r w:rsidRPr="008B628A">
        <w:rPr>
          <w:rFonts w:ascii="Times New Roman" w:hAnsi="Times New Roman" w:cs="Times New Roman"/>
          <w:szCs w:val="24"/>
        </w:rPr>
        <w:t>Ņemot vērā, ka bāzes scenārijs paredz ener</w:t>
      </w:r>
      <w:r w:rsidR="00011268">
        <w:rPr>
          <w:rFonts w:ascii="Times New Roman" w:hAnsi="Times New Roman" w:cs="Times New Roman"/>
          <w:szCs w:val="24"/>
        </w:rPr>
        <w:t>go</w:t>
      </w:r>
      <w:r w:rsidRPr="008B628A">
        <w:rPr>
          <w:rFonts w:ascii="Times New Roman" w:hAnsi="Times New Roman" w:cs="Times New Roman"/>
          <w:szCs w:val="24"/>
        </w:rPr>
        <w:t xml:space="preserve">efektivitātes pasākumu īstenošanu, salīdzinot ar atsauces līniju, var teikt, ka šis scenārijs nosaka Latvijas devumu ES energoefektivitātes mērķa sasniegšanai atbilstoši EnS pārvaldības regulas priekšlikumam un Direktīvas 2012/27/ES. Tāpēc </w:t>
      </w:r>
      <w:r w:rsidR="00AD416F" w:rsidRPr="008B628A">
        <w:rPr>
          <w:rFonts w:ascii="Times New Roman" w:hAnsi="Times New Roman" w:cs="Times New Roman"/>
          <w:b/>
          <w:szCs w:val="24"/>
        </w:rPr>
        <w:t xml:space="preserve">Latvija piedāvā šādu devumu ES </w:t>
      </w:r>
      <w:r w:rsidR="006366D6">
        <w:rPr>
          <w:rFonts w:ascii="Times New Roman" w:hAnsi="Times New Roman" w:cs="Times New Roman"/>
          <w:b/>
          <w:szCs w:val="24"/>
        </w:rPr>
        <w:t>energoefektivitātes</w:t>
      </w:r>
      <w:r w:rsidR="00AD416F" w:rsidRPr="008B628A">
        <w:rPr>
          <w:rFonts w:ascii="Times New Roman" w:hAnsi="Times New Roman" w:cs="Times New Roman"/>
          <w:b/>
          <w:szCs w:val="24"/>
        </w:rPr>
        <w:t xml:space="preserve"> mērķu sasniegšanā periodā no 2021.gada līdz 2030.gadam:</w:t>
      </w:r>
    </w:p>
    <w:p w14:paraId="69357070" w14:textId="7683C854" w:rsidR="00C61774" w:rsidRPr="008B628A" w:rsidRDefault="00C61774" w:rsidP="00283C85">
      <w:pPr>
        <w:pStyle w:val="ListParagraph"/>
        <w:numPr>
          <w:ilvl w:val="0"/>
          <w:numId w:val="53"/>
        </w:numPr>
        <w:spacing w:before="120" w:after="120" w:line="240" w:lineRule="auto"/>
        <w:ind w:left="397" w:hanging="397"/>
        <w:contextualSpacing w:val="0"/>
        <w:jc w:val="both"/>
        <w:rPr>
          <w:rFonts w:ascii="Times New Roman" w:hAnsi="Times New Roman"/>
          <w:szCs w:val="24"/>
        </w:rPr>
      </w:pPr>
      <w:r w:rsidRPr="008B628A">
        <w:rPr>
          <w:rFonts w:ascii="Times New Roman" w:hAnsi="Times New Roman"/>
          <w:szCs w:val="24"/>
        </w:rPr>
        <w:t xml:space="preserve">Latvijas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devums – primārās enerģijas patēriņš: 180,98 PJ (4,325 Mtoe, 49 950,5 GWh), kas ir par 19,56% zemāks apjoms kā 2020.gada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Latvijas mērķis. Šis Latvijas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devums, izteikts kā enerģijas galapatēriņš (neņemot vērā enerģijas patēriņu ne-enerģētiskajām vajadzībām) ir 149,3 PJ (3,57 Mtoe), kas ir par 20,2% zemāks apjoms kā 2020.gada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Latvijas mērķis.</w:t>
      </w:r>
    </w:p>
    <w:p w14:paraId="7386418E" w14:textId="38A92505" w:rsidR="00C61774" w:rsidRPr="008B628A" w:rsidRDefault="00C61774" w:rsidP="00283C85">
      <w:pPr>
        <w:pStyle w:val="paragraph"/>
        <w:numPr>
          <w:ilvl w:val="0"/>
          <w:numId w:val="53"/>
        </w:numPr>
        <w:spacing w:before="120" w:beforeAutospacing="0" w:after="120" w:afterAutospacing="0"/>
        <w:ind w:left="397" w:hanging="397"/>
        <w:jc w:val="both"/>
        <w:textAlignment w:val="baseline"/>
        <w:rPr>
          <w:rStyle w:val="normaltextrun"/>
          <w:rFonts w:eastAsiaTheme="majorEastAsia"/>
        </w:rPr>
      </w:pPr>
      <w:r w:rsidRPr="008B628A">
        <w:t xml:space="preserve">Latvijai aprēķinātais obligātais mērķis – 2021.-2030. gada periodā uzkrātais enerģijas galapatēriņa ietaupījums: </w:t>
      </w:r>
      <w:r w:rsidRPr="008B628A">
        <w:rPr>
          <w:rStyle w:val="normaltextrun"/>
          <w:rFonts w:eastAsiaTheme="majorEastAsia"/>
        </w:rPr>
        <w:t>19871 GWh (71,53 PJ, 1,71 Mtoe)</w:t>
      </w:r>
      <w:r w:rsidRPr="008B628A">
        <w:t xml:space="preserve">, kas ir par 100,9% lielāks apjoms nekā 2014.-2020.gada periodā. </w:t>
      </w:r>
      <w:r w:rsidRPr="008B628A">
        <w:rPr>
          <w:rStyle w:val="normaltextrun"/>
          <w:rFonts w:eastAsiaTheme="majorEastAsia"/>
        </w:rPr>
        <w:t xml:space="preserve">Ņemot vērā, ka </w:t>
      </w:r>
      <w:r w:rsidR="00E41930">
        <w:rPr>
          <w:rStyle w:val="normaltextrun"/>
          <w:rFonts w:eastAsiaTheme="majorEastAsia"/>
        </w:rPr>
        <w:t xml:space="preserve">2018.gada decembrī </w:t>
      </w:r>
      <w:r w:rsidRPr="008B628A">
        <w:rPr>
          <w:rStyle w:val="normaltextrun"/>
          <w:rFonts w:eastAsiaTheme="majorEastAsia"/>
        </w:rPr>
        <w:t>nav pieejami oficiālie statistikas dati par enerģijas galapatēriņu 2018.gadā, noteiktais ikgadējais jaunu ietaupījumu apjoms un uzkrātais enerģijas ietaupījumu apjoms ir indikatīvs un tiks pārskatīts līdz 2019.gada 31.decembrim pirms Plāna galaversijas iesniegšanas EK.</w:t>
      </w:r>
    </w:p>
    <w:p w14:paraId="1421B9CB" w14:textId="4BFDF6E0" w:rsidR="00A307C2" w:rsidRPr="008B628A" w:rsidRDefault="008F3999" w:rsidP="00E106A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Izstrādājot savu </w:t>
      </w:r>
      <w:r w:rsidR="00EE7827">
        <w:rPr>
          <w:rFonts w:ascii="Times New Roman" w:hAnsi="Times New Roman" w:cs="Times New Roman"/>
          <w:szCs w:val="24"/>
        </w:rPr>
        <w:t>neobligāto</w:t>
      </w:r>
      <w:r w:rsidR="00EE7827" w:rsidRPr="008B628A">
        <w:rPr>
          <w:rFonts w:ascii="Times New Roman" w:hAnsi="Times New Roman" w:cs="Times New Roman"/>
          <w:szCs w:val="24"/>
        </w:rPr>
        <w:t xml:space="preserve"> </w:t>
      </w:r>
      <w:r w:rsidRPr="008B628A">
        <w:rPr>
          <w:rFonts w:ascii="Times New Roman" w:hAnsi="Times New Roman" w:cs="Times New Roman"/>
          <w:szCs w:val="24"/>
        </w:rPr>
        <w:t>devumu – primārās enerģijas patēriņa apjomu, Latvija ņem vērā, ka</w:t>
      </w:r>
      <w:r w:rsidR="00A307C2" w:rsidRPr="008B628A">
        <w:rPr>
          <w:rFonts w:ascii="Times New Roman" w:hAnsi="Times New Roman" w:cs="Times New Roman"/>
          <w:szCs w:val="24"/>
        </w:rPr>
        <w:t>:</w:t>
      </w:r>
    </w:p>
    <w:p w14:paraId="18E99B7A" w14:textId="69352601" w:rsidR="00F6729F" w:rsidRPr="008B628A" w:rsidRDefault="008F3999"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Latvijai ir nepieciešams nodrošināt Latvijas starpsavienojumu jaudu, kas ir 80% (starpsavienojumu jauda pret Latvijā uzstādīto elektroenerģijas jaudu), un nodrošināt Lietuvas un Igaunijas plānus attiecībā uz elektroenerģijas importu un starpsavienojumu izmantošanu.</w:t>
      </w:r>
    </w:p>
    <w:p w14:paraId="2BD0E452" w14:textId="77777777" w:rsidR="006D57B6" w:rsidRPr="008B628A" w:rsidRDefault="00A307C2"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pieejami ļoti ierobežoti līdzekļi, lai īstenotu pasākumus ambiciozu mērķu sasniegšanai. Ņemot vērā, ka Latvijā ES ETS aptver mazāk nekā 20% no Latvijas kopējā SEG emisiju apjo</w:t>
      </w:r>
      <w:r w:rsidR="00DB2D42" w:rsidRPr="008B628A">
        <w:rPr>
          <w:rFonts w:ascii="Times New Roman" w:hAnsi="Times New Roman" w:cs="Times New Roman"/>
          <w:szCs w:val="24"/>
          <w:lang w:eastAsia="lv-LV"/>
        </w:rPr>
        <w:t>m</w:t>
      </w:r>
      <w:r w:rsidRPr="008B628A">
        <w:rPr>
          <w:rFonts w:ascii="Times New Roman" w:hAnsi="Times New Roman" w:cs="Times New Roman"/>
          <w:szCs w:val="24"/>
          <w:lang w:eastAsia="lv-LV"/>
        </w:rPr>
        <w:t xml:space="preserve">a, Latvijai ir pieejams neliels ES ETS ietvaros izveidoto finansēšanas mehānismu – EKII, Modernizācijas fonds, apjoms. Latvija arī kā mazā ES dalībvalsts saņem salīdzinošu nelielu apjomu ES fondu, un šis apjoms MFF 2021.-2027.gada periodā tiks samazināts, salīdzinot ar plānošanas periodu līdz 2020.gadam. </w:t>
      </w:r>
    </w:p>
    <w:p w14:paraId="504C301D" w14:textId="0ADF52CE" w:rsidR="006D57B6" w:rsidRPr="008B628A" w:rsidRDefault="006D57B6"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nepieciešams nodrošināt pastāvīgu jaudu enerģētiskās drošības nodrošināšanai, kur Latvijas ģeogrāfiskā novietojuma dēļ Latvijai var būt nepieciešams būtisks papildu jaudu apjoms gada aukstākajos mēnešos.</w:t>
      </w:r>
    </w:p>
    <w:p w14:paraId="3478677A" w14:textId="77777777" w:rsidR="009501EA" w:rsidRPr="008B628A" w:rsidRDefault="009501EA" w:rsidP="009501EA">
      <w:pPr>
        <w:pStyle w:val="ListParagraph"/>
        <w:spacing w:before="120" w:after="120" w:line="240" w:lineRule="auto"/>
        <w:ind w:left="397"/>
        <w:contextualSpacing w:val="0"/>
        <w:jc w:val="both"/>
        <w:rPr>
          <w:rFonts w:ascii="Times New Roman" w:hAnsi="Times New Roman" w:cs="Times New Roman"/>
          <w:szCs w:val="24"/>
          <w:lang w:eastAsia="lv-LV"/>
        </w:rPr>
      </w:pPr>
    </w:p>
    <w:p w14:paraId="4F9ED84B" w14:textId="75E755E6" w:rsidR="008432A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100" w:name="_Toc531333145"/>
      <w:r w:rsidR="006067D4">
        <w:rPr>
          <w:noProof/>
        </w:rPr>
        <w:t>6</w:t>
      </w:r>
      <w:r w:rsidRPr="008B628A">
        <w:rPr>
          <w:noProof/>
        </w:rPr>
        <w:fldChar w:fldCharType="end"/>
      </w:r>
      <w:r w:rsidR="008432A1" w:rsidRPr="008B628A">
        <w:t>. tabula. Latvijas energoefektivitātes uzlabošanas politikas mērķi un to rezultatīvie radītāji</w:t>
      </w:r>
      <w:bookmarkEnd w:id="100"/>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134"/>
        <w:gridCol w:w="2406"/>
        <w:gridCol w:w="1134"/>
      </w:tblGrid>
      <w:tr w:rsidR="00AD416F" w:rsidRPr="008B628A" w14:paraId="24F0C9D4" w14:textId="77777777" w:rsidTr="00AD416F">
        <w:trPr>
          <w:tblHeader/>
          <w:jc w:val="center"/>
        </w:trPr>
        <w:tc>
          <w:tcPr>
            <w:tcW w:w="4395" w:type="dxa"/>
            <w:vMerge w:val="restart"/>
            <w:shd w:val="clear" w:color="auto" w:fill="F2F2F2" w:themeFill="background1" w:themeFillShade="F2"/>
            <w:vAlign w:val="center"/>
          </w:tcPr>
          <w:p w14:paraId="05D533F0" w14:textId="1F9CB190" w:rsidR="00AD416F" w:rsidRPr="008B628A" w:rsidRDefault="00AD416F" w:rsidP="00F96F33">
            <w:pPr>
              <w:spacing w:after="0" w:line="240" w:lineRule="auto"/>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Politikas rezultāts energoefektivitātes dimensijā</w:t>
            </w:r>
          </w:p>
        </w:tc>
        <w:tc>
          <w:tcPr>
            <w:tcW w:w="1134" w:type="dxa"/>
            <w:shd w:val="clear" w:color="auto" w:fill="F2F2F2" w:themeFill="background1" w:themeFillShade="F2"/>
            <w:vAlign w:val="center"/>
          </w:tcPr>
          <w:p w14:paraId="5ECB6A1C"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Faktiskā vērtība</w:t>
            </w:r>
          </w:p>
        </w:tc>
        <w:tc>
          <w:tcPr>
            <w:tcW w:w="3540" w:type="dxa"/>
            <w:gridSpan w:val="2"/>
            <w:shd w:val="clear" w:color="auto" w:fill="F2F2F2" w:themeFill="background1" w:themeFillShade="F2"/>
            <w:vAlign w:val="center"/>
          </w:tcPr>
          <w:p w14:paraId="3EB44611" w14:textId="49F122A8"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r>
      <w:tr w:rsidR="00AD416F" w:rsidRPr="008B628A" w14:paraId="78CAF030" w14:textId="77777777" w:rsidTr="00F060A0">
        <w:trPr>
          <w:tblHeader/>
          <w:jc w:val="center"/>
        </w:trPr>
        <w:tc>
          <w:tcPr>
            <w:tcW w:w="4395" w:type="dxa"/>
            <w:vMerge/>
            <w:shd w:val="clear" w:color="auto" w:fill="F2F2F2" w:themeFill="background1" w:themeFillShade="F2"/>
            <w:vAlign w:val="center"/>
          </w:tcPr>
          <w:p w14:paraId="447B80B7" w14:textId="77777777" w:rsidR="00AD416F" w:rsidRPr="008B628A" w:rsidRDefault="00AD416F" w:rsidP="00F96F33">
            <w:pPr>
              <w:spacing w:after="0" w:line="240" w:lineRule="auto"/>
              <w:rPr>
                <w:rFonts w:ascii="Times New Roman" w:hAnsi="Times New Roman" w:cs="Times New Roman"/>
                <w:b/>
                <w:color w:val="000000" w:themeColor="text1"/>
                <w:sz w:val="22"/>
              </w:rPr>
            </w:pPr>
          </w:p>
        </w:tc>
        <w:tc>
          <w:tcPr>
            <w:tcW w:w="1134" w:type="dxa"/>
            <w:shd w:val="clear" w:color="auto" w:fill="F2F2F2" w:themeFill="background1" w:themeFillShade="F2"/>
            <w:vAlign w:val="center"/>
          </w:tcPr>
          <w:p w14:paraId="5105B6E2" w14:textId="7AD42C2E"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2016</w:t>
            </w:r>
          </w:p>
        </w:tc>
        <w:tc>
          <w:tcPr>
            <w:tcW w:w="2406" w:type="dxa"/>
            <w:shd w:val="clear" w:color="auto" w:fill="F2F2F2" w:themeFill="background1" w:themeFillShade="F2"/>
            <w:vAlign w:val="center"/>
          </w:tcPr>
          <w:p w14:paraId="0B4C97C9"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1134" w:type="dxa"/>
            <w:shd w:val="clear" w:color="auto" w:fill="F2F2F2" w:themeFill="background1" w:themeFillShade="F2"/>
            <w:vAlign w:val="center"/>
          </w:tcPr>
          <w:p w14:paraId="66A8E7A1"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r>
      <w:tr w:rsidR="00AD416F" w:rsidRPr="008B628A" w14:paraId="0DC8D27B" w14:textId="77777777" w:rsidTr="00F060A0">
        <w:trPr>
          <w:jc w:val="center"/>
        </w:trPr>
        <w:tc>
          <w:tcPr>
            <w:tcW w:w="4395" w:type="dxa"/>
            <w:vAlign w:val="center"/>
          </w:tcPr>
          <w:p w14:paraId="7C9E9D94" w14:textId="68F4C2D8" w:rsidR="00AD416F" w:rsidRPr="008B628A" w:rsidRDefault="00EE7827" w:rsidP="00F96F33">
            <w:pPr>
              <w:spacing w:after="0" w:line="240" w:lineRule="auto"/>
              <w:rPr>
                <w:rFonts w:ascii="Times New Roman" w:hAnsi="Times New Roman" w:cs="Times New Roman"/>
                <w:color w:val="000000" w:themeColor="text1"/>
                <w:szCs w:val="24"/>
              </w:rPr>
            </w:pPr>
            <w:r>
              <w:rPr>
                <w:rFonts w:ascii="Times New Roman" w:hAnsi="Times New Roman" w:cs="Times New Roman"/>
                <w:bCs/>
                <w:color w:val="000000" w:themeColor="text1"/>
                <w:szCs w:val="24"/>
              </w:rPr>
              <w:t xml:space="preserve">neobligātais </w:t>
            </w:r>
            <w:r w:rsidR="009501EA" w:rsidRPr="008B628A">
              <w:rPr>
                <w:rFonts w:ascii="Times New Roman" w:hAnsi="Times New Roman" w:cs="Times New Roman"/>
                <w:bCs/>
                <w:color w:val="000000" w:themeColor="text1"/>
                <w:szCs w:val="24"/>
              </w:rPr>
              <w:t>mērķis – primārās enerģijas patēriņš</w:t>
            </w:r>
            <w:r w:rsidR="009501EA" w:rsidRPr="008B628A">
              <w:rPr>
                <w:rStyle w:val="FootnoteReference"/>
                <w:rFonts w:ascii="Times New Roman" w:hAnsi="Times New Roman" w:cs="Times New Roman"/>
                <w:bCs/>
                <w:color w:val="000000" w:themeColor="text1"/>
                <w:szCs w:val="24"/>
              </w:rPr>
              <w:footnoteReference w:id="100"/>
            </w:r>
            <w:r w:rsidR="009501EA" w:rsidRPr="008B628A">
              <w:rPr>
                <w:rFonts w:ascii="Times New Roman" w:hAnsi="Times New Roman" w:cs="Times New Roman"/>
                <w:bCs/>
                <w:color w:val="000000" w:themeColor="text1"/>
                <w:szCs w:val="24"/>
              </w:rPr>
              <w:t xml:space="preserve"> (Mtoe)</w:t>
            </w:r>
          </w:p>
        </w:tc>
        <w:tc>
          <w:tcPr>
            <w:tcW w:w="1134" w:type="dxa"/>
            <w:vAlign w:val="center"/>
          </w:tcPr>
          <w:p w14:paraId="6C103026" w14:textId="28232CCB"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4,3</w:t>
            </w:r>
            <w:r w:rsidR="00250178" w:rsidRPr="008B628A">
              <w:rPr>
                <w:rFonts w:ascii="Times New Roman" w:hAnsi="Times New Roman" w:cs="Times New Roman"/>
                <w:color w:val="000000" w:themeColor="text1"/>
                <w:szCs w:val="24"/>
              </w:rPr>
              <w:t>9</w:t>
            </w:r>
          </w:p>
        </w:tc>
        <w:tc>
          <w:tcPr>
            <w:tcW w:w="2406" w:type="dxa"/>
            <w:vAlign w:val="center"/>
          </w:tcPr>
          <w:p w14:paraId="4F25299E" w14:textId="6D8E46F4"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5,4</w:t>
            </w:r>
          </w:p>
        </w:tc>
        <w:tc>
          <w:tcPr>
            <w:tcW w:w="1134" w:type="dxa"/>
            <w:vAlign w:val="center"/>
          </w:tcPr>
          <w:p w14:paraId="5FBA6BDC" w14:textId="127445B1" w:rsidR="00AD416F" w:rsidRPr="008B628A" w:rsidRDefault="000C1569"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4,3</w:t>
            </w:r>
            <w:r w:rsidR="009501EA" w:rsidRPr="008B628A">
              <w:rPr>
                <w:rFonts w:ascii="Times New Roman" w:hAnsi="Times New Roman" w:cs="Times New Roman"/>
                <w:color w:val="000000" w:themeColor="text1"/>
                <w:szCs w:val="24"/>
              </w:rPr>
              <w:t>3</w:t>
            </w:r>
          </w:p>
        </w:tc>
      </w:tr>
      <w:tr w:rsidR="00AD416F" w:rsidRPr="008B628A" w14:paraId="449CE000" w14:textId="77777777" w:rsidTr="00F060A0">
        <w:trPr>
          <w:jc w:val="center"/>
        </w:trPr>
        <w:tc>
          <w:tcPr>
            <w:tcW w:w="4395" w:type="dxa"/>
            <w:vAlign w:val="center"/>
          </w:tcPr>
          <w:p w14:paraId="742BB08B" w14:textId="10E3BFA6" w:rsidR="00AD416F" w:rsidRPr="008B628A" w:rsidRDefault="00EE7827" w:rsidP="00F96F33">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neobligātais </w:t>
            </w:r>
            <w:r w:rsidR="009501EA" w:rsidRPr="008B628A">
              <w:rPr>
                <w:rFonts w:ascii="Times New Roman" w:hAnsi="Times New Roman" w:cs="Times New Roman"/>
                <w:color w:val="000000" w:themeColor="text1"/>
                <w:szCs w:val="24"/>
              </w:rPr>
              <w:t>mērķis – e</w:t>
            </w:r>
            <w:r w:rsidR="00AD416F" w:rsidRPr="008B628A">
              <w:rPr>
                <w:rFonts w:ascii="Times New Roman" w:hAnsi="Times New Roman" w:cs="Times New Roman"/>
                <w:color w:val="000000" w:themeColor="text1"/>
                <w:szCs w:val="24"/>
              </w:rPr>
              <w:t>nerģijas galapatēriņš (Mtoe)</w:t>
            </w:r>
          </w:p>
        </w:tc>
        <w:tc>
          <w:tcPr>
            <w:tcW w:w="1134" w:type="dxa"/>
            <w:vAlign w:val="center"/>
          </w:tcPr>
          <w:p w14:paraId="4B20A78D" w14:textId="5CA71F9A"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3,9</w:t>
            </w:r>
            <w:r w:rsidR="009501EA" w:rsidRPr="008B628A">
              <w:rPr>
                <w:rFonts w:ascii="Times New Roman" w:hAnsi="Times New Roman" w:cs="Times New Roman"/>
                <w:color w:val="000000" w:themeColor="text1"/>
                <w:szCs w:val="24"/>
              </w:rPr>
              <w:t>2</w:t>
            </w:r>
          </w:p>
        </w:tc>
        <w:tc>
          <w:tcPr>
            <w:tcW w:w="2406" w:type="dxa"/>
            <w:vAlign w:val="center"/>
          </w:tcPr>
          <w:p w14:paraId="3EC8AB28" w14:textId="70482FC3" w:rsidR="00AD416F" w:rsidRPr="008B628A" w:rsidRDefault="006C0888"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w:t>
            </w:r>
          </w:p>
        </w:tc>
        <w:tc>
          <w:tcPr>
            <w:tcW w:w="1134" w:type="dxa"/>
            <w:vAlign w:val="center"/>
          </w:tcPr>
          <w:p w14:paraId="335AFCB1" w14:textId="7FBBB9BE" w:rsidR="00AD416F" w:rsidRPr="008B628A" w:rsidRDefault="006C0888"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3,</w:t>
            </w:r>
            <w:r w:rsidR="009501EA" w:rsidRPr="008B628A">
              <w:rPr>
                <w:rFonts w:ascii="Times New Roman" w:hAnsi="Times New Roman" w:cs="Times New Roman"/>
                <w:color w:val="000000" w:themeColor="text1"/>
                <w:szCs w:val="24"/>
              </w:rPr>
              <w:t>57</w:t>
            </w:r>
          </w:p>
        </w:tc>
      </w:tr>
      <w:tr w:rsidR="00AD416F" w:rsidRPr="008B628A" w14:paraId="5F6B9B00" w14:textId="77777777" w:rsidTr="00F060A0">
        <w:trPr>
          <w:jc w:val="center"/>
        </w:trPr>
        <w:tc>
          <w:tcPr>
            <w:tcW w:w="4395" w:type="dxa"/>
            <w:vAlign w:val="center"/>
          </w:tcPr>
          <w:p w14:paraId="450AC718" w14:textId="0C3BFB5B" w:rsidR="00AD416F" w:rsidRPr="008B628A" w:rsidRDefault="009501EA" w:rsidP="00F96F33">
            <w:pPr>
              <w:spacing w:after="0" w:line="240" w:lineRule="auto"/>
              <w:rPr>
                <w:rFonts w:ascii="Times New Roman" w:hAnsi="Times New Roman" w:cs="Times New Roman"/>
                <w:szCs w:val="24"/>
              </w:rPr>
            </w:pPr>
            <w:r w:rsidRPr="008B628A">
              <w:rPr>
                <w:rFonts w:ascii="Times New Roman" w:hAnsi="Times New Roman" w:cs="Times New Roman"/>
                <w:szCs w:val="24"/>
              </w:rPr>
              <w:lastRenderedPageBreak/>
              <w:t>v</w:t>
            </w:r>
            <w:r w:rsidR="00AD416F" w:rsidRPr="008B628A">
              <w:rPr>
                <w:rFonts w:ascii="Times New Roman" w:hAnsi="Times New Roman" w:cs="Times New Roman"/>
                <w:szCs w:val="24"/>
              </w:rPr>
              <w:t>alsts obligātais</w:t>
            </w:r>
            <w:r w:rsidRPr="008B628A">
              <w:rPr>
                <w:rFonts w:ascii="Times New Roman" w:hAnsi="Times New Roman" w:cs="Times New Roman"/>
                <w:szCs w:val="24"/>
              </w:rPr>
              <w:t xml:space="preserve"> mērķis – </w:t>
            </w:r>
            <w:r w:rsidR="00AD416F" w:rsidRPr="008B628A">
              <w:rPr>
                <w:rFonts w:ascii="Times New Roman" w:hAnsi="Times New Roman" w:cs="Times New Roman"/>
                <w:szCs w:val="24"/>
              </w:rPr>
              <w:t>uzkrātais gala enerģ</w:t>
            </w:r>
            <w:r w:rsidRPr="008B628A">
              <w:rPr>
                <w:rFonts w:ascii="Times New Roman" w:hAnsi="Times New Roman" w:cs="Times New Roman"/>
                <w:szCs w:val="24"/>
              </w:rPr>
              <w:t>ijas ietaupījums</w:t>
            </w:r>
            <w:r w:rsidR="006366D6">
              <w:rPr>
                <w:rFonts w:ascii="Times New Roman" w:hAnsi="Times New Roman" w:cs="Times New Roman"/>
                <w:szCs w:val="24"/>
              </w:rPr>
              <w:t xml:space="preserve"> (</w:t>
            </w:r>
            <w:r w:rsidRPr="008B628A">
              <w:rPr>
                <w:rFonts w:ascii="Times New Roman" w:hAnsi="Times New Roman" w:cs="Times New Roman"/>
                <w:szCs w:val="24"/>
              </w:rPr>
              <w:t>Mtoe</w:t>
            </w:r>
            <w:r w:rsidR="006366D6">
              <w:rPr>
                <w:rFonts w:ascii="Times New Roman" w:hAnsi="Times New Roman" w:cs="Times New Roman"/>
                <w:szCs w:val="24"/>
              </w:rPr>
              <w:t>)</w:t>
            </w:r>
          </w:p>
        </w:tc>
        <w:tc>
          <w:tcPr>
            <w:tcW w:w="1134" w:type="dxa"/>
            <w:vAlign w:val="center"/>
          </w:tcPr>
          <w:p w14:paraId="4984AC8C" w14:textId="1121DBAA" w:rsidR="00AD416F" w:rsidRPr="008B628A" w:rsidRDefault="007809D3"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0,18</w:t>
            </w:r>
          </w:p>
        </w:tc>
        <w:tc>
          <w:tcPr>
            <w:tcW w:w="2406" w:type="dxa"/>
            <w:vAlign w:val="center"/>
          </w:tcPr>
          <w:p w14:paraId="7F410FF8" w14:textId="363664BE" w:rsidR="00AD416F" w:rsidRPr="008B628A" w:rsidRDefault="003D16FF" w:rsidP="00F96F33">
            <w:pPr>
              <w:pStyle w:val="ListParagraph"/>
              <w:spacing w:after="0" w:line="240" w:lineRule="auto"/>
              <w:ind w:left="0"/>
              <w:contextualSpacing w:val="0"/>
              <w:jc w:val="center"/>
              <w:rPr>
                <w:rFonts w:ascii="Times New Roman" w:eastAsiaTheme="majorEastAsia" w:hAnsi="Times New Roman" w:cs="Times New Roman"/>
                <w:bCs/>
                <w:color w:val="000000" w:themeColor="text1"/>
                <w:szCs w:val="24"/>
              </w:rPr>
            </w:pPr>
            <w:r w:rsidRPr="008B628A">
              <w:rPr>
                <w:rFonts w:ascii="Times New Roman" w:hAnsi="Times New Roman" w:cs="Times New Roman"/>
                <w:color w:val="000000" w:themeColor="text1"/>
                <w:szCs w:val="24"/>
              </w:rPr>
              <w:t>0,85</w:t>
            </w:r>
          </w:p>
        </w:tc>
        <w:tc>
          <w:tcPr>
            <w:tcW w:w="1134" w:type="dxa"/>
            <w:vAlign w:val="center"/>
          </w:tcPr>
          <w:p w14:paraId="0EB8B7B0" w14:textId="59CCA3C9" w:rsidR="003F3F14" w:rsidRPr="008B628A" w:rsidRDefault="003F3F14" w:rsidP="009501EA">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w:t>
            </w:r>
            <w:r w:rsidR="000C1569" w:rsidRPr="008B628A">
              <w:rPr>
                <w:rFonts w:ascii="Times New Roman" w:hAnsi="Times New Roman" w:cs="Times New Roman"/>
                <w:color w:val="000000" w:themeColor="text1"/>
                <w:szCs w:val="24"/>
              </w:rPr>
              <w:t>71</w:t>
            </w:r>
          </w:p>
        </w:tc>
      </w:tr>
      <w:tr w:rsidR="00AD416F" w:rsidRPr="008B628A" w14:paraId="4FFF0D2F" w14:textId="77777777" w:rsidTr="00F060A0">
        <w:trPr>
          <w:jc w:val="center"/>
        </w:trPr>
        <w:tc>
          <w:tcPr>
            <w:tcW w:w="4395" w:type="dxa"/>
            <w:vAlign w:val="center"/>
          </w:tcPr>
          <w:p w14:paraId="3E263474" w14:textId="43FD7E1A" w:rsidR="00AD416F" w:rsidRPr="008B628A" w:rsidRDefault="00AD416F" w:rsidP="00F96F33">
            <w:pPr>
              <w:spacing w:after="0" w:line="240" w:lineRule="auto"/>
              <w:rPr>
                <w:rFonts w:ascii="Times New Roman" w:hAnsi="Times New Roman" w:cs="Times New Roman"/>
                <w:szCs w:val="24"/>
              </w:rPr>
            </w:pPr>
            <w:r w:rsidRPr="008B628A">
              <w:rPr>
                <w:rFonts w:ascii="Times New Roman" w:hAnsi="Times New Roman" w:cs="Times New Roman"/>
                <w:szCs w:val="24"/>
              </w:rPr>
              <w:t>katru gadu renovētas 3% no tiešās pārvaldes ēku platības (kopā renovēti, m</w:t>
            </w:r>
            <w:r w:rsidRPr="008B628A">
              <w:rPr>
                <w:rFonts w:ascii="Times New Roman" w:hAnsi="Times New Roman" w:cs="Times New Roman"/>
                <w:szCs w:val="24"/>
                <w:vertAlign w:val="superscript"/>
              </w:rPr>
              <w:t>2</w:t>
            </w:r>
            <w:r w:rsidRPr="008B628A">
              <w:rPr>
                <w:rFonts w:ascii="Times New Roman" w:hAnsi="Times New Roman" w:cs="Times New Roman"/>
                <w:szCs w:val="24"/>
              </w:rPr>
              <w:t>)</w:t>
            </w:r>
          </w:p>
        </w:tc>
        <w:tc>
          <w:tcPr>
            <w:tcW w:w="1134" w:type="dxa"/>
            <w:vAlign w:val="center"/>
          </w:tcPr>
          <w:p w14:paraId="5AB71DBB" w14:textId="4617DF9E" w:rsidR="00AD416F" w:rsidRPr="008B628A" w:rsidRDefault="007809D3"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232 635</w:t>
            </w:r>
          </w:p>
        </w:tc>
        <w:tc>
          <w:tcPr>
            <w:tcW w:w="2406" w:type="dxa"/>
            <w:vAlign w:val="center"/>
          </w:tcPr>
          <w:p w14:paraId="193D8F3B" w14:textId="339BA53C" w:rsidR="00AD416F" w:rsidRPr="008B628A" w:rsidRDefault="003D16FF" w:rsidP="00F96F33">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678 460</w:t>
            </w:r>
          </w:p>
        </w:tc>
        <w:tc>
          <w:tcPr>
            <w:tcW w:w="1134" w:type="dxa"/>
            <w:vAlign w:val="center"/>
          </w:tcPr>
          <w:p w14:paraId="1BBA2A8C" w14:textId="64847F94" w:rsidR="00AD416F" w:rsidRPr="008B628A" w:rsidRDefault="009501EA" w:rsidP="00F96F33">
            <w:pPr>
              <w:spacing w:after="0" w:line="240" w:lineRule="auto"/>
              <w:jc w:val="center"/>
              <w:rPr>
                <w:rFonts w:ascii="Times New Roman" w:hAnsi="Times New Roman" w:cs="Times New Roman"/>
                <w:i/>
                <w:color w:val="000000" w:themeColor="text1"/>
                <w:szCs w:val="24"/>
              </w:rPr>
            </w:pPr>
            <w:r w:rsidRPr="008B628A">
              <w:rPr>
                <w:rFonts w:ascii="Times New Roman" w:hAnsi="Times New Roman" w:cs="Times New Roman"/>
                <w:i/>
                <w:color w:val="000000" w:themeColor="text1"/>
                <w:szCs w:val="24"/>
              </w:rPr>
              <w:t>tbu</w:t>
            </w:r>
          </w:p>
        </w:tc>
      </w:tr>
      <w:tr w:rsidR="007B11E4" w:rsidRPr="008B628A" w14:paraId="162B288C" w14:textId="77777777" w:rsidTr="00F060A0">
        <w:trPr>
          <w:jc w:val="center"/>
        </w:trPr>
        <w:tc>
          <w:tcPr>
            <w:tcW w:w="4395" w:type="dxa"/>
            <w:vAlign w:val="center"/>
          </w:tcPr>
          <w:p w14:paraId="152AFCCD" w14:textId="58645716" w:rsidR="007B11E4" w:rsidRPr="008B628A" w:rsidRDefault="007B11E4" w:rsidP="007B11E4">
            <w:pPr>
              <w:spacing w:after="0" w:line="240" w:lineRule="auto"/>
              <w:rPr>
                <w:rFonts w:ascii="Times New Roman" w:hAnsi="Times New Roman" w:cs="Times New Roman"/>
                <w:szCs w:val="24"/>
              </w:rPr>
            </w:pPr>
            <w:r w:rsidRPr="008B628A">
              <w:rPr>
                <w:rFonts w:ascii="Times New Roman" w:hAnsi="Times New Roman" w:cs="Times New Roman"/>
                <w:szCs w:val="24"/>
              </w:rPr>
              <w:t>īpatnējais siltumenerģijas patēriņš ēkās (kWh/m2/gadā)</w:t>
            </w:r>
          </w:p>
        </w:tc>
        <w:tc>
          <w:tcPr>
            <w:tcW w:w="1134" w:type="dxa"/>
            <w:vAlign w:val="center"/>
          </w:tcPr>
          <w:p w14:paraId="2D311060" w14:textId="5F9E896E"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c>
          <w:tcPr>
            <w:tcW w:w="2406" w:type="dxa"/>
            <w:vAlign w:val="center"/>
          </w:tcPr>
          <w:p w14:paraId="234D7A06"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150</w:t>
            </w:r>
          </w:p>
        </w:tc>
        <w:tc>
          <w:tcPr>
            <w:tcW w:w="1134" w:type="dxa"/>
            <w:vAlign w:val="center"/>
          </w:tcPr>
          <w:p w14:paraId="69C3C360" w14:textId="2192195F"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r w:rsidR="007B11E4" w:rsidRPr="008B628A" w14:paraId="30453551" w14:textId="77777777" w:rsidTr="00F060A0">
        <w:trPr>
          <w:jc w:val="center"/>
        </w:trPr>
        <w:tc>
          <w:tcPr>
            <w:tcW w:w="4395" w:type="dxa"/>
            <w:vAlign w:val="center"/>
          </w:tcPr>
          <w:p w14:paraId="10BF4134" w14:textId="77777777" w:rsidR="007B11E4" w:rsidRPr="008B628A" w:rsidRDefault="007B11E4" w:rsidP="007B11E4">
            <w:pPr>
              <w:spacing w:after="0" w:line="240" w:lineRule="auto"/>
              <w:jc w:val="both"/>
              <w:rPr>
                <w:rFonts w:ascii="Times New Roman" w:hAnsi="Times New Roman" w:cs="Times New Roman"/>
                <w:szCs w:val="24"/>
              </w:rPr>
            </w:pPr>
            <w:r w:rsidRPr="008B628A">
              <w:rPr>
                <w:rFonts w:ascii="Times New Roman" w:hAnsi="Times New Roman" w:cs="Times New Roman"/>
                <w:szCs w:val="24"/>
              </w:rPr>
              <w:t>mērķis gandrīz nulles enerģijas ēku</w:t>
            </w:r>
            <w:r w:rsidRPr="008B628A">
              <w:rPr>
                <w:rStyle w:val="FootnoteReference"/>
                <w:rFonts w:ascii="Times New Roman" w:hAnsi="Times New Roman" w:cs="Times New Roman"/>
                <w:szCs w:val="24"/>
              </w:rPr>
              <w:footnoteReference w:id="101"/>
            </w:r>
            <w:r w:rsidRPr="008B628A">
              <w:rPr>
                <w:rFonts w:ascii="Times New Roman" w:hAnsi="Times New Roman" w:cs="Times New Roman"/>
                <w:szCs w:val="24"/>
              </w:rPr>
              <w:t xml:space="preserve"> attīstība (gandrīz nulles enerģijas ēkas patēriņa līmeņi)</w:t>
            </w:r>
          </w:p>
        </w:tc>
        <w:tc>
          <w:tcPr>
            <w:tcW w:w="1134" w:type="dxa"/>
            <w:vAlign w:val="center"/>
          </w:tcPr>
          <w:p w14:paraId="1435202A" w14:textId="0568E3C6"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c>
          <w:tcPr>
            <w:tcW w:w="2406" w:type="dxa"/>
            <w:vAlign w:val="center"/>
          </w:tcPr>
          <w:p w14:paraId="3B77E8AE"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szCs w:val="24"/>
              </w:rPr>
            </w:pPr>
            <w:r w:rsidRPr="008B628A">
              <w:rPr>
                <w:rFonts w:ascii="Times New Roman" w:hAnsi="Times New Roman" w:cs="Times New Roman"/>
                <w:szCs w:val="24"/>
              </w:rPr>
              <w:t>no 2019.gada valsts ēkām</w:t>
            </w:r>
            <w:r w:rsidRPr="008B628A">
              <w:rPr>
                <w:rStyle w:val="FootnoteReference"/>
                <w:rFonts w:ascii="Times New Roman" w:hAnsi="Times New Roman" w:cs="Times New Roman"/>
                <w:szCs w:val="24"/>
              </w:rPr>
              <w:footnoteReference w:id="102"/>
            </w:r>
          </w:p>
          <w:p w14:paraId="0226416B"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szCs w:val="24"/>
              </w:rPr>
              <w:t>no 2021.gada pārējām jaunbūvēm</w:t>
            </w:r>
            <w:r w:rsidRPr="008B628A">
              <w:rPr>
                <w:rStyle w:val="FootnoteReference"/>
                <w:rFonts w:ascii="Times New Roman" w:hAnsi="Times New Roman" w:cs="Times New Roman"/>
                <w:szCs w:val="24"/>
              </w:rPr>
              <w:footnoteReference w:id="103"/>
            </w:r>
            <w:r w:rsidRPr="008B628A">
              <w:rPr>
                <w:rFonts w:ascii="Times New Roman" w:hAnsi="Times New Roman" w:cs="Times New Roman"/>
                <w:szCs w:val="24"/>
              </w:rPr>
              <w:t xml:space="preserve"> </w:t>
            </w:r>
          </w:p>
        </w:tc>
        <w:tc>
          <w:tcPr>
            <w:tcW w:w="1134" w:type="dxa"/>
            <w:vAlign w:val="center"/>
          </w:tcPr>
          <w:p w14:paraId="24140D0B" w14:textId="5A0B1C76"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r w:rsidR="007B11E4" w:rsidRPr="008B628A" w14:paraId="36AF8583" w14:textId="77777777" w:rsidTr="00F060A0">
        <w:trPr>
          <w:jc w:val="center"/>
        </w:trPr>
        <w:tc>
          <w:tcPr>
            <w:tcW w:w="4395" w:type="dxa"/>
            <w:vAlign w:val="center"/>
          </w:tcPr>
          <w:p w14:paraId="64DFE283" w14:textId="0C41FDF6" w:rsidR="007B11E4" w:rsidRPr="008B628A" w:rsidRDefault="007B11E4" w:rsidP="007B11E4">
            <w:pPr>
              <w:spacing w:after="0" w:line="240" w:lineRule="auto"/>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Energointensitāte ekonomikā – enerģijas patēriņš IKP radīšanai (kg toe uz 1</w:t>
            </w:r>
            <w:r w:rsidR="00442C65" w:rsidRPr="008B628A">
              <w:rPr>
                <w:rFonts w:ascii="Times New Roman" w:hAnsi="Times New Roman" w:cs="Times New Roman"/>
                <w:color w:val="000000" w:themeColor="text1"/>
                <w:szCs w:val="24"/>
              </w:rPr>
              <w:t xml:space="preserve">milj. </w:t>
            </w:r>
            <w:r w:rsidRPr="008B628A">
              <w:rPr>
                <w:rFonts w:ascii="Times New Roman" w:hAnsi="Times New Roman" w:cs="Times New Roman"/>
                <w:color w:val="000000" w:themeColor="text1"/>
                <w:szCs w:val="24"/>
              </w:rPr>
              <w:t>EUR IKP</w:t>
            </w:r>
            <w:r w:rsidRPr="008B628A">
              <w:rPr>
                <w:rStyle w:val="FootnoteReference"/>
                <w:rFonts w:ascii="Times New Roman" w:hAnsi="Times New Roman" w:cs="Times New Roman"/>
                <w:color w:val="000000" w:themeColor="text1"/>
                <w:szCs w:val="24"/>
              </w:rPr>
              <w:footnoteReference w:id="104"/>
            </w:r>
            <w:r w:rsidRPr="008B628A">
              <w:rPr>
                <w:rFonts w:ascii="Times New Roman" w:hAnsi="Times New Roman" w:cs="Times New Roman"/>
                <w:color w:val="000000" w:themeColor="text1"/>
                <w:szCs w:val="24"/>
              </w:rPr>
              <w:t>)</w:t>
            </w:r>
          </w:p>
        </w:tc>
        <w:tc>
          <w:tcPr>
            <w:tcW w:w="1134" w:type="dxa"/>
            <w:vAlign w:val="center"/>
          </w:tcPr>
          <w:p w14:paraId="7C019AD2" w14:textId="36FF445A" w:rsidR="007B11E4" w:rsidRPr="008B628A" w:rsidRDefault="00442C65"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193</w:t>
            </w:r>
          </w:p>
        </w:tc>
        <w:tc>
          <w:tcPr>
            <w:tcW w:w="2406" w:type="dxa"/>
            <w:vAlign w:val="center"/>
          </w:tcPr>
          <w:p w14:paraId="0544DE86" w14:textId="77777777"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195</w:t>
            </w:r>
          </w:p>
        </w:tc>
        <w:tc>
          <w:tcPr>
            <w:tcW w:w="1134" w:type="dxa"/>
            <w:vAlign w:val="center"/>
          </w:tcPr>
          <w:p w14:paraId="6F47F5D9" w14:textId="2BD92625"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bl>
    <w:p w14:paraId="036365A1" w14:textId="17F97680" w:rsidR="00D96A54" w:rsidRPr="008B628A" w:rsidRDefault="00D96A54" w:rsidP="005F59CE">
      <w:pPr>
        <w:pStyle w:val="Heading3"/>
      </w:pPr>
      <w:bookmarkStart w:id="101" w:name="_Toc520978816"/>
      <w:bookmarkStart w:id="102" w:name="_Toc527529451"/>
      <w:r w:rsidRPr="008B628A">
        <w:t>Kopējais enerģijas ietaupījuma apjoms</w:t>
      </w:r>
      <w:bookmarkEnd w:id="101"/>
      <w:bookmarkEnd w:id="102"/>
    </w:p>
    <w:p w14:paraId="103C160F" w14:textId="14FAAE23" w:rsidR="00F5246A" w:rsidRPr="008B628A" w:rsidRDefault="00F46F07" w:rsidP="001B6FE0">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Latvijas obligāto energoefektivitātes mērķi</w:t>
      </w:r>
      <w:r w:rsidR="005B70C5" w:rsidRPr="008B628A">
        <w:rPr>
          <w:rStyle w:val="normaltextrun"/>
          <w:rFonts w:eastAsiaTheme="majorEastAsia"/>
        </w:rPr>
        <w:t xml:space="preserve"> – kopējo enerģijas ietaupījumu apjomu visā periodā,</w:t>
      </w:r>
      <w:r w:rsidRPr="008B628A">
        <w:rPr>
          <w:rStyle w:val="normaltextrun"/>
          <w:rFonts w:eastAsiaTheme="majorEastAsia"/>
        </w:rPr>
        <w:t xml:space="preserve"> nosaka Direktīva 2012/27/ES un </w:t>
      </w:r>
      <w:r w:rsidR="00414B97" w:rsidRPr="008B628A">
        <w:rPr>
          <w:rFonts w:eastAsia="Calibri"/>
        </w:rPr>
        <w:t>priekšlikums Direktīvas 2012/27/EK grozījumiem</w:t>
      </w:r>
      <w:r w:rsidR="005B70C5" w:rsidRPr="008B628A">
        <w:rPr>
          <w:rStyle w:val="normaltextrun"/>
          <w:rFonts w:eastAsiaTheme="majorEastAsia"/>
        </w:rPr>
        <w:t>, kur tiek dota arī metode kopējā kumulatīvā uzkrājuma aprēķināšanai</w:t>
      </w:r>
      <w:r w:rsidRPr="008B628A">
        <w:rPr>
          <w:rStyle w:val="normaltextrun"/>
          <w:rFonts w:eastAsiaTheme="majorEastAsia"/>
        </w:rPr>
        <w:t>.</w:t>
      </w:r>
      <w:r w:rsidR="00F5246A" w:rsidRPr="008B628A">
        <w:rPr>
          <w:rStyle w:val="normaltextrun"/>
          <w:rFonts w:eastAsiaTheme="majorEastAsia"/>
        </w:rPr>
        <w:t xml:space="preserve"> </w:t>
      </w:r>
      <w:r w:rsidR="00414B97" w:rsidRPr="008B628A">
        <w:rPr>
          <w:rStyle w:val="normaltextrun"/>
          <w:rFonts w:eastAsiaTheme="majorEastAsia"/>
        </w:rPr>
        <w:t>P</w:t>
      </w:r>
      <w:r w:rsidR="00414B97" w:rsidRPr="008B628A">
        <w:rPr>
          <w:rFonts w:eastAsia="Calibri"/>
        </w:rPr>
        <w:t>riekšlikumā Direktīvas 2012/27/EK grozījumiem</w:t>
      </w:r>
      <w:r w:rsidR="00414B97" w:rsidRPr="008B628A">
        <w:rPr>
          <w:rStyle w:val="normaltextrun"/>
          <w:rFonts w:eastAsiaTheme="majorEastAsia"/>
        </w:rPr>
        <w:t xml:space="preserve"> </w:t>
      </w:r>
      <w:r w:rsidR="00F5246A" w:rsidRPr="008B628A">
        <w:rPr>
          <w:rStyle w:val="normaltextrun"/>
          <w:rFonts w:eastAsiaTheme="majorEastAsia"/>
        </w:rPr>
        <w:t>ir noteikts, ka Latvijai katru gadu ir jānodrošina jauni ietaupījumi 0,8% apmērā no ikgadējā enerģijas galapatēriņa, aprēķinot to kā vidējo no pēdējo triju gadu rādītājiem pirms 2019. gada 1. janvāra.</w:t>
      </w:r>
    </w:p>
    <w:p w14:paraId="22B03D17" w14:textId="6FF72FC1" w:rsidR="00F5246A" w:rsidRPr="008B628A" w:rsidRDefault="00F5246A" w:rsidP="001B6FE0">
      <w:pPr>
        <w:pStyle w:val="paragraph"/>
        <w:spacing w:before="120" w:beforeAutospacing="0" w:after="120" w:afterAutospacing="0"/>
        <w:jc w:val="both"/>
        <w:textAlignment w:val="baseline"/>
        <w:rPr>
          <w:rStyle w:val="normaltextrun"/>
          <w:rFonts w:eastAsiaTheme="majorEastAsia"/>
          <w:b/>
        </w:rPr>
      </w:pPr>
      <w:r w:rsidRPr="008B628A">
        <w:rPr>
          <w:rStyle w:val="normaltextrun"/>
          <w:rFonts w:eastAsiaTheme="majorEastAsia"/>
          <w:b/>
        </w:rPr>
        <w:t xml:space="preserve">Ņemot vērā, ka </w:t>
      </w:r>
      <w:r w:rsidR="00E41930">
        <w:rPr>
          <w:rStyle w:val="normaltextrun"/>
          <w:rFonts w:eastAsiaTheme="majorEastAsia"/>
          <w:b/>
        </w:rPr>
        <w:t>uz Plāna projekta iesniegšanas EK brīdi</w:t>
      </w:r>
      <w:r w:rsidR="00E41930" w:rsidRPr="008B628A">
        <w:rPr>
          <w:rStyle w:val="normaltextrun"/>
          <w:rFonts w:eastAsiaTheme="majorEastAsia"/>
          <w:b/>
        </w:rPr>
        <w:t xml:space="preserve"> </w:t>
      </w:r>
      <w:r w:rsidRPr="008B628A">
        <w:rPr>
          <w:rStyle w:val="normaltextrun"/>
          <w:rFonts w:eastAsiaTheme="majorEastAsia"/>
          <w:b/>
        </w:rPr>
        <w:t>nav pieejami oficiālie statistikas dati par enerģijas galapatēriņu 2018.gadā, Plānā noteiktais ikgadējais jaunu ietaupījumu apjoms un kopējais enerģijas ietaupījumu apjoms ir indikatīvs un tiks pārskatīts līdz 2019.gada 31.decembrim pirms Plāna galaversijas iesniegšanas EK.</w:t>
      </w:r>
    </w:p>
    <w:p w14:paraId="181D80EE" w14:textId="29D04168" w:rsidR="005B70C5" w:rsidRPr="008B628A" w:rsidRDefault="005B70C5" w:rsidP="005B70C5">
      <w:pPr>
        <w:pStyle w:val="paragraph"/>
        <w:spacing w:before="120" w:beforeAutospacing="0" w:after="120" w:afterAutospacing="0"/>
        <w:jc w:val="center"/>
        <w:textAlignment w:val="baseline"/>
        <w:rPr>
          <w:rStyle w:val="normaltextrun"/>
          <w:rFonts w:eastAsiaTheme="majorEastAsia"/>
        </w:rPr>
      </w:pPr>
      <w:r w:rsidRPr="008B628A">
        <w:rPr>
          <w:rStyle w:val="normaltextrun"/>
          <w:rFonts w:eastAsiaTheme="majorEastAsia"/>
          <w:noProof/>
        </w:rPr>
        <w:drawing>
          <wp:inline distT="0" distB="0" distL="0" distR="0" wp14:anchorId="54431759" wp14:editId="71BAE42B">
            <wp:extent cx="4547870" cy="276722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112" cy="2774068"/>
                    </a:xfrm>
                    <a:prstGeom prst="rect">
                      <a:avLst/>
                    </a:prstGeom>
                    <a:noFill/>
                  </pic:spPr>
                </pic:pic>
              </a:graphicData>
            </a:graphic>
          </wp:inline>
        </w:drawing>
      </w:r>
    </w:p>
    <w:p w14:paraId="3569E8F5" w14:textId="510D6845" w:rsidR="005B70C5" w:rsidRPr="008B628A" w:rsidRDefault="005B70C5" w:rsidP="005B70C5">
      <w:pPr>
        <w:pStyle w:val="Caption"/>
        <w:rPr>
          <w:rStyle w:val="normaltextrun"/>
        </w:rPr>
      </w:pPr>
      <w:r w:rsidRPr="008B628A">
        <w:rPr>
          <w:rStyle w:val="normaltextrun"/>
        </w:rPr>
        <w:lastRenderedPageBreak/>
        <w:fldChar w:fldCharType="begin"/>
      </w:r>
      <w:r w:rsidRPr="008B628A">
        <w:rPr>
          <w:rStyle w:val="normaltextrun"/>
        </w:rPr>
        <w:instrText xml:space="preserve"> SEQ Ilustrācija \* ARABIC </w:instrText>
      </w:r>
      <w:r w:rsidRPr="008B628A">
        <w:rPr>
          <w:rStyle w:val="normaltextrun"/>
        </w:rPr>
        <w:fldChar w:fldCharType="separate"/>
      </w:r>
      <w:bookmarkStart w:id="103" w:name="_Toc531333088"/>
      <w:r w:rsidR="006067D4">
        <w:rPr>
          <w:rStyle w:val="normaltextrun"/>
          <w:noProof/>
        </w:rPr>
        <w:t>4</w:t>
      </w:r>
      <w:r w:rsidRPr="008B628A">
        <w:rPr>
          <w:rStyle w:val="normaltextrun"/>
        </w:rPr>
        <w:fldChar w:fldCharType="end"/>
      </w:r>
      <w:r w:rsidRPr="008B628A">
        <w:t xml:space="preserve">.attēls. Obligātā mērķa – </w:t>
      </w:r>
      <w:r w:rsidR="00250178" w:rsidRPr="008B628A">
        <w:t xml:space="preserve">enerģijas galapatēriņa </w:t>
      </w:r>
      <w:r w:rsidRPr="008B628A">
        <w:t xml:space="preserve">kumulatīvais </w:t>
      </w:r>
      <w:r w:rsidR="00250178" w:rsidRPr="008B628A">
        <w:t>ietaupījums</w:t>
      </w:r>
      <w:r w:rsidRPr="008B628A">
        <w:t>, teorētiskais aprēķins 2021.-2030.g. (PJ)</w:t>
      </w:r>
      <w:bookmarkEnd w:id="103"/>
    </w:p>
    <w:p w14:paraId="2CBD5978" w14:textId="1287B352" w:rsidR="00F46F07" w:rsidRPr="008B628A" w:rsidRDefault="001B439E" w:rsidP="001B6FE0">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 xml:space="preserve">Ņemot vērā Direktīvas </w:t>
      </w:r>
      <w:r w:rsidR="00414B97" w:rsidRPr="008B628A">
        <w:rPr>
          <w:rFonts w:eastAsia="Calibri"/>
        </w:rPr>
        <w:t>priekšlikumā Direktīvas 2012/27/EK grozījumiem</w:t>
      </w:r>
      <w:r w:rsidRPr="008B628A">
        <w:rPr>
          <w:rStyle w:val="normaltextrun"/>
          <w:rFonts w:eastAsiaTheme="majorEastAsia"/>
        </w:rPr>
        <w:t xml:space="preserve"> noteikto metodoloģiju, Latvijas ikgadējais jauno ietaupījumu apjoms tiek noteikts 1,3 PJ apjomā, bet </w:t>
      </w:r>
      <w:r w:rsidR="00F46F07" w:rsidRPr="008B628A">
        <w:rPr>
          <w:rStyle w:val="normaltextrun"/>
          <w:rFonts w:eastAsiaTheme="majorEastAsia"/>
        </w:rPr>
        <w:t xml:space="preserve">Latvijas kopējais enerģijas ietaupījuma apjoms 2021.-2030.gada periodā </w:t>
      </w:r>
      <w:r w:rsidR="00044658" w:rsidRPr="008B628A">
        <w:rPr>
          <w:rStyle w:val="normaltextrun"/>
          <w:rFonts w:eastAsiaTheme="majorEastAsia"/>
        </w:rPr>
        <w:t xml:space="preserve">tiek noteikts kā Latvijas obligātais mērķis, kas ir – </w:t>
      </w:r>
      <w:r w:rsidR="00F46F07" w:rsidRPr="008B628A">
        <w:rPr>
          <w:rStyle w:val="normaltextrun"/>
          <w:rFonts w:eastAsiaTheme="majorEastAsia"/>
        </w:rPr>
        <w:t xml:space="preserve">uzkrāt gala enerģijas ietaupījumu </w:t>
      </w:r>
      <w:r w:rsidR="00154A78" w:rsidRPr="008B628A">
        <w:rPr>
          <w:rStyle w:val="normaltextrun"/>
          <w:rFonts w:eastAsiaTheme="majorEastAsia"/>
          <w:b/>
        </w:rPr>
        <w:t>19871</w:t>
      </w:r>
      <w:r w:rsidR="00F46F07" w:rsidRPr="008B628A">
        <w:rPr>
          <w:rStyle w:val="normaltextrun"/>
          <w:rFonts w:eastAsiaTheme="majorEastAsia"/>
          <w:b/>
        </w:rPr>
        <w:t xml:space="preserve"> GWh (</w:t>
      </w:r>
      <w:r w:rsidR="008F7027" w:rsidRPr="008B628A">
        <w:rPr>
          <w:rStyle w:val="normaltextrun"/>
          <w:rFonts w:eastAsiaTheme="majorEastAsia"/>
          <w:b/>
        </w:rPr>
        <w:t>7</w:t>
      </w:r>
      <w:r w:rsidR="00154A78" w:rsidRPr="008B628A">
        <w:rPr>
          <w:rStyle w:val="normaltextrun"/>
          <w:rFonts w:eastAsiaTheme="majorEastAsia"/>
          <w:b/>
        </w:rPr>
        <w:t>1,53</w:t>
      </w:r>
      <w:r w:rsidR="00F46F07" w:rsidRPr="008B628A">
        <w:rPr>
          <w:rStyle w:val="normaltextrun"/>
          <w:rFonts w:eastAsiaTheme="majorEastAsia"/>
          <w:b/>
        </w:rPr>
        <w:t xml:space="preserve"> PJ) apjomā</w:t>
      </w:r>
      <w:r w:rsidR="00F46F07" w:rsidRPr="008B628A">
        <w:rPr>
          <w:rStyle w:val="normaltextrun"/>
          <w:rFonts w:eastAsiaTheme="majorEastAsia"/>
        </w:rPr>
        <w:t>.</w:t>
      </w:r>
    </w:p>
    <w:p w14:paraId="3991CEAF" w14:textId="30AE542C" w:rsidR="00D96A54" w:rsidRPr="008B628A" w:rsidRDefault="00114C00" w:rsidP="005F59CE">
      <w:pPr>
        <w:pStyle w:val="Heading3"/>
      </w:pPr>
      <w:bookmarkStart w:id="104" w:name="_Toc520978817"/>
      <w:bookmarkStart w:id="105" w:name="_Toc527529452"/>
      <w:r w:rsidRPr="008B628A">
        <w:t>Ē</w:t>
      </w:r>
      <w:r w:rsidR="00D96A54" w:rsidRPr="008B628A">
        <w:t>ku atjaunošanas ilgtermiņa stratēģija</w:t>
      </w:r>
      <w:bookmarkEnd w:id="104"/>
      <w:bookmarkEnd w:id="105"/>
      <w:r w:rsidR="00D96A54" w:rsidRPr="008B628A">
        <w:t> </w:t>
      </w:r>
    </w:p>
    <w:p w14:paraId="2FCC4C17" w14:textId="15F81547" w:rsidR="00D873F8" w:rsidRPr="008B628A" w:rsidRDefault="00D873F8" w:rsidP="00153172">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05"/>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4B8FEB31" w14:textId="497140D4" w:rsidR="00D873F8" w:rsidRPr="008B628A" w:rsidRDefault="00D873F8" w:rsidP="00153172">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Pr="008B628A">
        <w:rPr>
          <w:color w:val="000000" w:themeColor="text1"/>
        </w:rPr>
        <w:t xml:space="preserve"> noteiktajā termiņā.</w:t>
      </w:r>
    </w:p>
    <w:p w14:paraId="57B82A5A" w14:textId="52817A02" w:rsidR="00D96A54" w:rsidRPr="008B628A" w:rsidRDefault="00D96A54" w:rsidP="00153172">
      <w:pPr>
        <w:pStyle w:val="paragraph"/>
        <w:spacing w:before="120" w:beforeAutospacing="0" w:after="120" w:afterAutospacing="0"/>
        <w:jc w:val="both"/>
        <w:textAlignment w:val="baseline"/>
        <w:rPr>
          <w:rFonts w:eastAsiaTheme="minorHAnsi"/>
          <w:lang w:eastAsia="en-US"/>
        </w:rPr>
      </w:pPr>
      <w:r w:rsidRPr="008B628A">
        <w:rPr>
          <w:color w:val="000000" w:themeColor="text1"/>
        </w:rPr>
        <w:t>Aktuālā spēkā esošā Ēku atjaunošanas ilgtermiņa stratēģija</w:t>
      </w:r>
      <w:r w:rsidRPr="008B628A">
        <w:rPr>
          <w:rStyle w:val="FootnoteReference"/>
          <w:rFonts w:eastAsiaTheme="majorEastAsia"/>
          <w:color w:val="000000" w:themeColor="text1"/>
        </w:rPr>
        <w:footnoteReference w:id="106"/>
      </w:r>
      <w:r w:rsidRPr="008B628A">
        <w:rPr>
          <w:color w:val="000000" w:themeColor="text1"/>
        </w:rPr>
        <w:t xml:space="preserve"> nosaka šādus mērķus</w:t>
      </w:r>
      <w:r w:rsidRPr="008B628A">
        <w:t xml:space="preserve"> ēku energoefektivitātes jomā:</w:t>
      </w:r>
    </w:p>
    <w:p w14:paraId="4F3DAAE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finansējuma pieejamība ekonomiski pamatotiem projektiem visā Latvijas teritorijā, t.sk. reģionos;</w:t>
      </w:r>
    </w:p>
    <w:p w14:paraId="0BD1D1C3"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kvalitatīva projektu vadība un uzraudzība;</w:t>
      </w:r>
    </w:p>
    <w:p w14:paraId="0B68CCA8"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aktivitāšu uzraudzības fokusēšana uz rezultātu, tai skaitā enerģijas ietaupījumu, sasniegšanu;</w:t>
      </w:r>
    </w:p>
    <w:p w14:paraId="4E7FFFF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augstas energoefektivitātes un kvalitatīvas būvniecības sasniegšana;</w:t>
      </w:r>
    </w:p>
    <w:p w14:paraId="1F8B12F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būvkomersanta atlases procedūras uzlabošana;</w:t>
      </w:r>
    </w:p>
    <w:p w14:paraId="3562CFEA" w14:textId="7A865CC2"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resursu izmaksu samazināšana.</w:t>
      </w:r>
    </w:p>
    <w:p w14:paraId="0C14112D" w14:textId="22B6A563" w:rsidR="00153172" w:rsidRPr="008B628A" w:rsidRDefault="00153172" w:rsidP="008432A1">
      <w:pPr>
        <w:spacing w:before="120" w:after="120" w:line="240" w:lineRule="auto"/>
        <w:jc w:val="both"/>
        <w:rPr>
          <w:rFonts w:ascii="Times New Roman" w:hAnsi="Times New Roman"/>
          <w:sz w:val="22"/>
        </w:rPr>
      </w:pPr>
      <w:r w:rsidRPr="008B628A">
        <w:rPr>
          <w:rFonts w:ascii="Times New Roman" w:eastAsia="Calibri" w:hAnsi="Times New Roman" w:cs="Times New Roman"/>
          <w:szCs w:val="24"/>
        </w:rPr>
        <w:t xml:space="preserve">Saskaņā ar </w:t>
      </w:r>
      <w:r w:rsidR="00883D54" w:rsidRPr="008B628A">
        <w:rPr>
          <w:rFonts w:ascii="Times New Roman" w:eastAsia="Calibri" w:hAnsi="Times New Roman" w:cs="Times New Roman"/>
          <w:szCs w:val="24"/>
        </w:rPr>
        <w:t>Direktīvu 2012/27/ES</w:t>
      </w:r>
      <w:r w:rsidR="007B48F5" w:rsidRPr="008B628A">
        <w:rPr>
          <w:rFonts w:ascii="Times New Roman" w:eastAsia="Calibri" w:hAnsi="Times New Roman" w:cs="Times New Roman"/>
          <w:szCs w:val="24"/>
        </w:rPr>
        <w:t xml:space="preserve"> </w:t>
      </w:r>
      <w:r w:rsidRPr="008B628A">
        <w:rPr>
          <w:rFonts w:ascii="Times New Roman" w:eastAsia="Calibri" w:hAnsi="Times New Roman" w:cs="Times New Roman"/>
          <w:szCs w:val="24"/>
        </w:rPr>
        <w:t xml:space="preserve">Latvijas saistības ēku atjaunošanas kontekstā ir </w:t>
      </w:r>
      <w:r w:rsidRPr="008B628A">
        <w:rPr>
          <w:rFonts w:ascii="Times New Roman" w:hAnsi="Times New Roman"/>
        </w:rPr>
        <w:t>ikgadējs 3 % centrālās valdības ēku platības atjaunošanas mērķis (maksimālās aplēses – kopā 678 460 m</w:t>
      </w:r>
      <w:r w:rsidRPr="008B628A">
        <w:rPr>
          <w:rFonts w:ascii="Times New Roman" w:hAnsi="Times New Roman"/>
          <w:vertAlign w:val="superscript"/>
        </w:rPr>
        <w:t>2</w:t>
      </w:r>
      <w:r w:rsidRPr="008B628A">
        <w:rPr>
          <w:rFonts w:ascii="Times New Roman" w:hAnsi="Times New Roman"/>
        </w:rPr>
        <w:t>).</w:t>
      </w:r>
    </w:p>
    <w:p w14:paraId="1E31EF75" w14:textId="4A5B8EF7" w:rsidR="008432A1" w:rsidRPr="008B628A" w:rsidRDefault="008432A1" w:rsidP="00CD366E">
      <w:pPr>
        <w:pStyle w:val="Caption"/>
        <w:rPr>
          <w:rFonts w:eastAsia="Calibri"/>
        </w:rPr>
      </w:pPr>
      <w:r w:rsidRPr="008B628A">
        <w:rPr>
          <w:rFonts w:eastAsia="Calibri"/>
        </w:rPr>
        <w:fldChar w:fldCharType="begin"/>
      </w:r>
      <w:r w:rsidRPr="008B628A">
        <w:rPr>
          <w:rFonts w:eastAsia="Calibri"/>
        </w:rPr>
        <w:instrText xml:space="preserve"> SEQ Tabula \* ARABIC </w:instrText>
      </w:r>
      <w:r w:rsidRPr="008B628A">
        <w:rPr>
          <w:rFonts w:eastAsia="Calibri"/>
        </w:rPr>
        <w:fldChar w:fldCharType="separate"/>
      </w:r>
      <w:bookmarkStart w:id="106" w:name="_Toc531333146"/>
      <w:r w:rsidR="006067D4">
        <w:rPr>
          <w:rFonts w:eastAsia="Calibri"/>
          <w:noProof/>
        </w:rPr>
        <w:t>7</w:t>
      </w:r>
      <w:r w:rsidRPr="008B628A">
        <w:rPr>
          <w:rFonts w:eastAsia="Calibri"/>
        </w:rPr>
        <w:fldChar w:fldCharType="end"/>
      </w:r>
      <w:r w:rsidRPr="008B628A">
        <w:t xml:space="preserve">.tabula. </w:t>
      </w:r>
      <w:r w:rsidRPr="008B628A">
        <w:rPr>
          <w:rFonts w:eastAsia="Calibri"/>
        </w:rPr>
        <w:t>Latvijas ēku energoefektivitātes ilgtermiņa mērķi</w:t>
      </w:r>
      <w:bookmarkEnd w:id="106"/>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3472"/>
        <w:gridCol w:w="2085"/>
        <w:gridCol w:w="976"/>
      </w:tblGrid>
      <w:tr w:rsidR="008432A1" w:rsidRPr="004B6F90" w14:paraId="14D9E752" w14:textId="77777777" w:rsidTr="008432A1">
        <w:trPr>
          <w:tblHeader/>
          <w:jc w:val="center"/>
        </w:trPr>
        <w:tc>
          <w:tcPr>
            <w:tcW w:w="3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CF821" w14:textId="77777777" w:rsidR="004B6F90"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Mērķis</w:t>
            </w:r>
          </w:p>
          <w:p w14:paraId="55D6C202" w14:textId="67D2066A" w:rsidR="008432A1" w:rsidRPr="004B6F90" w:rsidRDefault="004B6F90" w:rsidP="00E93D26">
            <w:pPr>
              <w:spacing w:after="0" w:line="240" w:lineRule="auto"/>
              <w:contextualSpacing/>
              <w:jc w:val="center"/>
              <w:rPr>
                <w:rFonts w:ascii="Times New Roman" w:eastAsia="Calibri" w:hAnsi="Times New Roman" w:cs="Times New Roman"/>
                <w:b/>
                <w:sz w:val="22"/>
              </w:rPr>
            </w:pPr>
            <w:r w:rsidRPr="00F060A0">
              <w:rPr>
                <w:rFonts w:ascii="Times New Roman" w:eastAsia="Calibri" w:hAnsi="Times New Roman" w:cs="Times New Roman"/>
                <w:sz w:val="22"/>
              </w:rPr>
              <w:t>2014-2020.gada ES fondu plānošanas periods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DDB88B" w14:textId="77777777"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Sasniedzami rādītāji</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FD82F7" w14:textId="128E03CE"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Indikatīvais finansējums (EUR)</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9608BD" w14:textId="77777777"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Izpildes termiņš</w:t>
            </w:r>
          </w:p>
        </w:tc>
      </w:tr>
      <w:tr w:rsidR="008432A1" w:rsidRPr="008B628A" w14:paraId="238BB481"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tcPr>
          <w:p w14:paraId="068BF229" w14:textId="78F00468"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Obligātā centrālās valdības ēku 3% platības atjaunošana,  pašvaldību, industriālo ēku un daudzdzīvokļu dzīvojamo ēku atjaunošana ()</w:t>
            </w:r>
          </w:p>
          <w:p w14:paraId="41D5B94E" w14:textId="77777777" w:rsidR="008432A1" w:rsidRPr="008B628A" w:rsidRDefault="008432A1" w:rsidP="00E93D26">
            <w:pPr>
              <w:spacing w:after="0" w:line="240" w:lineRule="auto"/>
              <w:contextualSpacing/>
              <w:rPr>
                <w:rFonts w:ascii="Times New Roman" w:eastAsia="Calibri" w:hAnsi="Times New Roman" w:cs="Times New Roman"/>
                <w:szCs w:val="24"/>
              </w:rPr>
            </w:pPr>
          </w:p>
        </w:tc>
        <w:tc>
          <w:tcPr>
            <w:tcW w:w="3544" w:type="dxa"/>
            <w:tcBorders>
              <w:top w:val="single" w:sz="4" w:space="0" w:color="auto"/>
              <w:left w:val="single" w:sz="4" w:space="0" w:color="auto"/>
              <w:bottom w:val="single" w:sz="4" w:space="0" w:color="auto"/>
              <w:right w:val="single" w:sz="4" w:space="0" w:color="auto"/>
            </w:tcBorders>
            <w:hideMark/>
          </w:tcPr>
          <w:p w14:paraId="3F32B7D5"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Ietaupījums 1 690 GWh gadā, vidējais siltumenerģijas patēriņš apkurei 120 kWh/m</w:t>
            </w:r>
            <w:r w:rsidRPr="008B628A">
              <w:rPr>
                <w:rFonts w:ascii="Times New Roman" w:eastAsia="Calibri" w:hAnsi="Times New Roman" w:cs="Times New Roman"/>
                <w:szCs w:val="24"/>
                <w:vertAlign w:val="superscript"/>
              </w:rPr>
              <w:t>2</w:t>
            </w:r>
            <w:r w:rsidRPr="008B628A">
              <w:rPr>
                <w:rFonts w:ascii="Times New Roman" w:eastAsia="Calibri" w:hAnsi="Times New Roman" w:cs="Times New Roman"/>
                <w:szCs w:val="24"/>
              </w:rPr>
              <w:t xml:space="preserve">  </w:t>
            </w:r>
          </w:p>
          <w:p w14:paraId="17C33FB2"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Mājsaimniecību skaits ar uzlabotu energopatēriņu  14 286 (2023.g.)</w:t>
            </w:r>
          </w:p>
          <w:p w14:paraId="7A198A94"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Primārais energopatēriņa samazinājums gadā – 52 000 000 kWh.</w:t>
            </w:r>
          </w:p>
          <w:p w14:paraId="386F56EC" w14:textId="0998D7BF"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lastRenderedPageBreak/>
              <w:t>Enerģijas patēriņš iekšzemes kopprodukta radīšanai 263,9 kg toe uz 1 000 EUR no IKP (ražošanas ēkām uz 2023.gadu)</w:t>
            </w:r>
          </w:p>
        </w:tc>
        <w:tc>
          <w:tcPr>
            <w:tcW w:w="2126" w:type="dxa"/>
            <w:tcBorders>
              <w:top w:val="single" w:sz="4" w:space="0" w:color="auto"/>
              <w:left w:val="single" w:sz="4" w:space="0" w:color="auto"/>
              <w:bottom w:val="single" w:sz="4" w:space="0" w:color="auto"/>
              <w:right w:val="single" w:sz="4" w:space="0" w:color="auto"/>
            </w:tcBorders>
          </w:tcPr>
          <w:p w14:paraId="22666B9C" w14:textId="3DDE0094" w:rsidR="008432A1" w:rsidRPr="008B628A" w:rsidRDefault="008432A1" w:rsidP="00E93D26">
            <w:pPr>
              <w:spacing w:after="0" w:line="240" w:lineRule="auto"/>
              <w:ind w:firstLine="34"/>
              <w:contextualSpacing/>
              <w:rPr>
                <w:rFonts w:ascii="Times New Roman" w:eastAsia="Calibri" w:hAnsi="Times New Roman" w:cs="Times New Roman"/>
                <w:szCs w:val="24"/>
              </w:rPr>
            </w:pPr>
            <w:r w:rsidRPr="008B628A">
              <w:rPr>
                <w:rFonts w:ascii="Times New Roman" w:eastAsia="Calibri" w:hAnsi="Times New Roman" w:cs="Times New Roman"/>
                <w:szCs w:val="24"/>
              </w:rPr>
              <w:lastRenderedPageBreak/>
              <w:t>384 milj. EUR</w:t>
            </w:r>
            <w:r w:rsidRPr="008B628A">
              <w:rPr>
                <w:rFonts w:ascii="Times New Roman" w:eastAsia="Calibri" w:hAnsi="Times New Roman" w:cs="Times New Roman"/>
                <w:i/>
                <w:szCs w:val="24"/>
              </w:rPr>
              <w:t xml:space="preserve"> </w:t>
            </w:r>
            <w:r w:rsidRPr="008B628A">
              <w:rPr>
                <w:rFonts w:ascii="Times New Roman" w:eastAsia="Calibri" w:hAnsi="Times New Roman" w:cs="Times New Roman"/>
                <w:szCs w:val="24"/>
              </w:rPr>
              <w:t>kopējais finansējums, tajā skaitā 323 milj</w:t>
            </w:r>
            <w:r w:rsidR="004922AC" w:rsidRPr="008B628A">
              <w:rPr>
                <w:rFonts w:ascii="Times New Roman" w:eastAsia="Calibri" w:hAnsi="Times New Roman" w:cs="Times New Roman"/>
                <w:szCs w:val="24"/>
              </w:rPr>
              <w:t>.</w:t>
            </w:r>
            <w:r w:rsidRPr="008B628A">
              <w:rPr>
                <w:rFonts w:ascii="Times New Roman" w:eastAsia="Calibri" w:hAnsi="Times New Roman" w:cs="Times New Roman"/>
                <w:szCs w:val="24"/>
              </w:rPr>
              <w:t xml:space="preserve"> EUR ES fondu finansējums un 57 milj. EUR Latvijas publiskais</w:t>
            </w:r>
            <w:r w:rsidR="00D8045E" w:rsidRPr="008B628A">
              <w:rPr>
                <w:rFonts w:ascii="Times New Roman" w:eastAsia="Calibri" w:hAnsi="Times New Roman" w:cs="Times New Roman"/>
                <w:szCs w:val="24"/>
              </w:rPr>
              <w:t xml:space="preserve"> </w:t>
            </w:r>
            <w:r w:rsidRPr="008B628A">
              <w:rPr>
                <w:rFonts w:ascii="Times New Roman" w:eastAsia="Calibri" w:hAnsi="Times New Roman" w:cs="Times New Roman"/>
                <w:szCs w:val="24"/>
              </w:rPr>
              <w:t>finansējums</w:t>
            </w:r>
            <w:r w:rsidR="00D8045E" w:rsidRPr="008B628A">
              <w:rPr>
                <w:rStyle w:val="FootnoteReference"/>
                <w:rFonts w:ascii="Times New Roman" w:eastAsia="Calibri" w:hAnsi="Times New Roman" w:cs="Times New Roman"/>
                <w:szCs w:val="24"/>
              </w:rPr>
              <w:footnoteReference w:id="107"/>
            </w:r>
          </w:p>
          <w:p w14:paraId="4E3B0B46" w14:textId="77777777" w:rsidR="008432A1" w:rsidRPr="008B628A" w:rsidRDefault="008432A1" w:rsidP="00E93D26">
            <w:pPr>
              <w:spacing w:after="0" w:line="240" w:lineRule="auto"/>
              <w:ind w:firstLine="34"/>
              <w:contextualSpacing/>
              <w:rPr>
                <w:rFonts w:ascii="Times New Roman" w:eastAsia="Calibri"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2C60D5"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r w:rsidR="008432A1" w:rsidRPr="008B628A" w14:paraId="08865AC4"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hideMark/>
          </w:tcPr>
          <w:p w14:paraId="70311008" w14:textId="77777777" w:rsidR="004B6F90"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Energoefektivitātes un vietējo AER izmantošanas centrālajā siltumapgādē veicināšana. </w:t>
            </w:r>
          </w:p>
          <w:p w14:paraId="41988CA2" w14:textId="56E8D0FB" w:rsidR="008432A1" w:rsidRPr="008B628A" w:rsidRDefault="004C7936"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AE</w:t>
            </w:r>
            <w:r w:rsidR="008432A1" w:rsidRPr="008B628A">
              <w:rPr>
                <w:rFonts w:ascii="Times New Roman" w:eastAsia="Calibri" w:hAnsi="Times New Roman" w:cs="Times New Roman"/>
                <w:szCs w:val="24"/>
              </w:rPr>
              <w:t xml:space="preserve"> īpatsvars</w:t>
            </w:r>
            <w:r w:rsidR="004B6F90">
              <w:rPr>
                <w:rFonts w:ascii="Times New Roman" w:eastAsia="Calibri" w:hAnsi="Times New Roman" w:cs="Times New Roman"/>
                <w:szCs w:val="24"/>
              </w:rPr>
              <w:t xml:space="preserve"> CSA</w:t>
            </w:r>
            <w:r w:rsidR="008432A1" w:rsidRPr="008B628A">
              <w:rPr>
                <w:rFonts w:ascii="Times New Roman" w:eastAsia="Calibri" w:hAnsi="Times New Roman" w:cs="Times New Roman"/>
                <w:szCs w:val="24"/>
              </w:rPr>
              <w:t xml:space="preserve"> – 60%</w:t>
            </w:r>
          </w:p>
        </w:tc>
        <w:tc>
          <w:tcPr>
            <w:tcW w:w="3544" w:type="dxa"/>
            <w:tcBorders>
              <w:top w:val="single" w:sz="4" w:space="0" w:color="auto"/>
              <w:left w:val="single" w:sz="4" w:space="0" w:color="auto"/>
              <w:bottom w:val="single" w:sz="4" w:space="0" w:color="auto"/>
              <w:right w:val="single" w:sz="4" w:space="0" w:color="auto"/>
            </w:tcBorders>
            <w:hideMark/>
          </w:tcPr>
          <w:p w14:paraId="1457FF8A" w14:textId="49E3D665" w:rsidR="008432A1" w:rsidRPr="008B628A" w:rsidRDefault="008432A1" w:rsidP="008432A1">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No </w:t>
            </w:r>
            <w:r w:rsidR="004C7936" w:rsidRPr="008B628A">
              <w:rPr>
                <w:rFonts w:ascii="Times New Roman" w:eastAsia="Calibri" w:hAnsi="Times New Roman" w:cs="Times New Roman"/>
                <w:szCs w:val="24"/>
              </w:rPr>
              <w:t>AER</w:t>
            </w:r>
            <w:r w:rsidRPr="008B628A">
              <w:rPr>
                <w:rFonts w:ascii="Times New Roman" w:eastAsia="Calibri" w:hAnsi="Times New Roman" w:cs="Times New Roman"/>
                <w:szCs w:val="24"/>
              </w:rPr>
              <w:t xml:space="preserve"> saražotās jaudas pieaugums – 70 MW. Rekonstruētie siltumtīkli – 70 km (2023.gadā)</w:t>
            </w:r>
          </w:p>
        </w:tc>
        <w:tc>
          <w:tcPr>
            <w:tcW w:w="2126" w:type="dxa"/>
            <w:tcBorders>
              <w:top w:val="single" w:sz="4" w:space="0" w:color="auto"/>
              <w:left w:val="single" w:sz="4" w:space="0" w:color="auto"/>
              <w:bottom w:val="single" w:sz="4" w:space="0" w:color="auto"/>
              <w:right w:val="single" w:sz="4" w:space="0" w:color="auto"/>
            </w:tcBorders>
            <w:hideMark/>
          </w:tcPr>
          <w:p w14:paraId="0EF31F10" w14:textId="13DAB41C"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53 milj. </w:t>
            </w:r>
            <w:r w:rsidR="00E23B5E" w:rsidRPr="008B628A">
              <w:rPr>
                <w:rFonts w:ascii="Times New Roman" w:eastAsia="Calibri" w:hAnsi="Times New Roman" w:cs="Times New Roman"/>
                <w:szCs w:val="24"/>
              </w:rPr>
              <w:t>EUR</w:t>
            </w:r>
            <w:r w:rsidRPr="008B628A">
              <w:rPr>
                <w:rFonts w:ascii="Times New Roman" w:eastAsia="Calibri" w:hAnsi="Times New Roman" w:cs="Times New Roman"/>
                <w:szCs w:val="24"/>
              </w:rPr>
              <w:t xml:space="preserve"> ES fondu finansējums</w:t>
            </w:r>
            <w:r w:rsidR="00D8045E" w:rsidRPr="008B628A">
              <w:rPr>
                <w:rStyle w:val="FootnoteReference"/>
                <w:rFonts w:ascii="Times New Roman" w:eastAsia="Calibri" w:hAnsi="Times New Roman" w:cs="Times New Roman"/>
                <w:szCs w:val="24"/>
              </w:rPr>
              <w:footnoteReference w:id="108"/>
            </w:r>
            <w:r w:rsidRPr="008B628A">
              <w:rPr>
                <w:rFonts w:ascii="Times New Roman" w:eastAsia="Calibri" w:hAnsi="Times New Roman" w:cs="Times New Roman"/>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FB58B2"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r w:rsidR="008432A1" w:rsidRPr="008B628A" w14:paraId="5CE9240F"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hideMark/>
          </w:tcPr>
          <w:p w14:paraId="2554CA3A" w14:textId="3CA617BB"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Sabiedrības informēšana par dažādām energoefektivitātes palielināšanas iespējām un praksi</w:t>
            </w:r>
          </w:p>
        </w:tc>
        <w:tc>
          <w:tcPr>
            <w:tcW w:w="3544" w:type="dxa"/>
            <w:tcBorders>
              <w:top w:val="single" w:sz="4" w:space="0" w:color="auto"/>
              <w:left w:val="single" w:sz="4" w:space="0" w:color="auto"/>
              <w:bottom w:val="single" w:sz="4" w:space="0" w:color="auto"/>
              <w:right w:val="single" w:sz="4" w:space="0" w:color="auto"/>
            </w:tcBorders>
            <w:hideMark/>
          </w:tcPr>
          <w:p w14:paraId="40DECF50" w14:textId="77777777" w:rsidR="008432A1" w:rsidRPr="008B628A" w:rsidRDefault="008432A1" w:rsidP="008432A1">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50 informācijas pasākumi gadā (Publicitātes pasākumi paredzēti kampaņas „Dzīvo siltāk” ietvaros)</w:t>
            </w:r>
          </w:p>
        </w:tc>
        <w:tc>
          <w:tcPr>
            <w:tcW w:w="2126" w:type="dxa"/>
            <w:tcBorders>
              <w:top w:val="single" w:sz="4" w:space="0" w:color="auto"/>
              <w:left w:val="single" w:sz="4" w:space="0" w:color="auto"/>
              <w:bottom w:val="single" w:sz="4" w:space="0" w:color="auto"/>
              <w:right w:val="single" w:sz="4" w:space="0" w:color="auto"/>
            </w:tcBorders>
            <w:hideMark/>
          </w:tcPr>
          <w:p w14:paraId="3EC40B67" w14:textId="580E1D3D"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260 tūkst. </w:t>
            </w:r>
            <w:r w:rsidR="00E23B5E" w:rsidRPr="008B628A">
              <w:rPr>
                <w:rFonts w:ascii="Times New Roman" w:eastAsia="Calibri" w:hAnsi="Times New Roman" w:cs="Times New Roman"/>
                <w:szCs w:val="24"/>
              </w:rPr>
              <w:t>EUR</w:t>
            </w:r>
            <w:r w:rsidRPr="008B628A">
              <w:rPr>
                <w:rFonts w:ascii="Times New Roman" w:eastAsia="Calibri" w:hAnsi="Times New Roman" w:cs="Times New Roman"/>
                <w:szCs w:val="24"/>
              </w:rPr>
              <w:t xml:space="preserve"> ES fondu Tehniskās palīdzības finansējums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F63202"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bl>
    <w:p w14:paraId="58D4570B" w14:textId="43912785" w:rsidR="00D96A54" w:rsidRPr="008B628A" w:rsidRDefault="00D96A54" w:rsidP="005F59CE">
      <w:pPr>
        <w:pStyle w:val="Heading3"/>
      </w:pPr>
      <w:bookmarkStart w:id="107" w:name="_Toc520978818"/>
      <w:bookmarkStart w:id="108" w:name="_Toc527529453"/>
      <w:r w:rsidRPr="008B628A">
        <w:t>Kopējā atjaunojamā platība vai līdzvērtīgs ikgadējais enerģijas ietaupījums</w:t>
      </w:r>
      <w:bookmarkEnd w:id="107"/>
      <w:bookmarkEnd w:id="108"/>
      <w:r w:rsidRPr="008B628A">
        <w:t> </w:t>
      </w:r>
    </w:p>
    <w:p w14:paraId="01699EFD" w14:textId="77777777" w:rsidR="00D96A54" w:rsidRPr="008B628A" w:rsidRDefault="00D96A54" w:rsidP="00250D4A">
      <w:pPr>
        <w:pStyle w:val="paragraph"/>
        <w:spacing w:before="120" w:beforeAutospacing="0" w:after="120" w:afterAutospacing="0"/>
        <w:jc w:val="both"/>
        <w:textAlignment w:val="baseline"/>
      </w:pPr>
      <w:r w:rsidRPr="008B628A">
        <w:rPr>
          <w:color w:val="000000" w:themeColor="text1"/>
        </w:rPr>
        <w:t>Aktuālā spēkā esošā Ēku atjaunošanas ilgtermiņa stratēģija</w:t>
      </w:r>
      <w:r w:rsidRPr="008B628A">
        <w:rPr>
          <w:rStyle w:val="FootnoteReference"/>
          <w:rFonts w:eastAsiaTheme="majorEastAsia"/>
          <w:color w:val="000000" w:themeColor="text1"/>
        </w:rPr>
        <w:footnoteReference w:id="109"/>
      </w:r>
      <w:r w:rsidRPr="008B628A">
        <w:rPr>
          <w:color w:val="000000" w:themeColor="text1"/>
        </w:rPr>
        <w:t xml:space="preserve"> nosaka šādus ikgadējos mērķus</w:t>
      </w:r>
      <w:r w:rsidRPr="008B628A">
        <w:t xml:space="preserve"> attiecībā uz kopējo atjaunojamo platību periodā līdz 2020.gada, ņemot vērā galveno mērķi – katru gadu renovētas 3% no tiešās pārvaldes ēku platības (kopā renovēti, m</w:t>
      </w:r>
      <w:r w:rsidRPr="008B628A">
        <w:rPr>
          <w:vertAlign w:val="superscript"/>
        </w:rPr>
        <w:t>2</w:t>
      </w:r>
      <w:r w:rsidRPr="008B628A">
        <w:t>):</w:t>
      </w:r>
    </w:p>
    <w:p w14:paraId="4C0500FD" w14:textId="4AE94603" w:rsidR="00D96A54" w:rsidRPr="008B628A" w:rsidRDefault="00D96A54" w:rsidP="00283C85">
      <w:pPr>
        <w:pStyle w:val="paragraph"/>
        <w:numPr>
          <w:ilvl w:val="0"/>
          <w:numId w:val="9"/>
        </w:numPr>
        <w:spacing w:before="120" w:beforeAutospacing="0" w:after="120" w:afterAutospacing="0"/>
        <w:jc w:val="both"/>
        <w:textAlignment w:val="baseline"/>
      </w:pPr>
      <w:r w:rsidRPr="008B628A">
        <w:t>2014.gads – 77</w:t>
      </w:r>
      <w:r w:rsidR="006D694D" w:rsidRPr="008B628A">
        <w:t xml:space="preserve"> </w:t>
      </w:r>
      <w:r w:rsidRPr="008B628A">
        <w:t>67</w:t>
      </w:r>
      <w:r w:rsidR="00856C8D">
        <w:t>80</w:t>
      </w:r>
      <w:r w:rsidRPr="008B628A">
        <w:t xml:space="preserve"> m</w:t>
      </w:r>
      <w:r w:rsidRPr="008B628A">
        <w:rPr>
          <w:vertAlign w:val="superscript"/>
        </w:rPr>
        <w:t>2</w:t>
      </w:r>
    </w:p>
    <w:p w14:paraId="7703C2C6" w14:textId="2C53EBF0" w:rsidR="00D96A54" w:rsidRPr="008B628A" w:rsidRDefault="00D96A54" w:rsidP="00283C85">
      <w:pPr>
        <w:pStyle w:val="paragraph"/>
        <w:numPr>
          <w:ilvl w:val="0"/>
          <w:numId w:val="9"/>
        </w:numPr>
        <w:spacing w:before="120" w:beforeAutospacing="0" w:after="120" w:afterAutospacing="0"/>
        <w:jc w:val="both"/>
        <w:textAlignment w:val="baseline"/>
      </w:pPr>
      <w:r w:rsidRPr="008B628A">
        <w:t>2015.gads – 74</w:t>
      </w:r>
      <w:r w:rsidR="006D694D" w:rsidRPr="008B628A">
        <w:t xml:space="preserve"> </w:t>
      </w:r>
      <w:r w:rsidRPr="008B628A">
        <w:t>90</w:t>
      </w:r>
      <w:r w:rsidR="00856C8D">
        <w:t>9</w:t>
      </w:r>
      <w:r w:rsidRPr="008B628A">
        <w:t xml:space="preserve"> m</w:t>
      </w:r>
      <w:r w:rsidRPr="008B628A">
        <w:rPr>
          <w:vertAlign w:val="superscript"/>
        </w:rPr>
        <w:t>2</w:t>
      </w:r>
      <w:r w:rsidR="006D694D" w:rsidRPr="008B628A">
        <w:t xml:space="preserve"> (renovētā platība – 232 635 m</w:t>
      </w:r>
      <w:r w:rsidR="006D694D" w:rsidRPr="008B628A">
        <w:rPr>
          <w:vertAlign w:val="superscript"/>
        </w:rPr>
        <w:t>2</w:t>
      </w:r>
      <w:r w:rsidR="006D694D" w:rsidRPr="008B628A">
        <w:t>)</w:t>
      </w:r>
    </w:p>
    <w:p w14:paraId="66541B91" w14:textId="2A8F0FF5" w:rsidR="00D96A54" w:rsidRPr="008B628A" w:rsidRDefault="00D96A54" w:rsidP="00283C85">
      <w:pPr>
        <w:pStyle w:val="paragraph"/>
        <w:numPr>
          <w:ilvl w:val="0"/>
          <w:numId w:val="9"/>
        </w:numPr>
        <w:spacing w:before="120" w:beforeAutospacing="0" w:after="120" w:afterAutospacing="0"/>
        <w:jc w:val="both"/>
        <w:textAlignment w:val="baseline"/>
      </w:pPr>
      <w:r w:rsidRPr="008B628A">
        <w:t>2016.gads – 66</w:t>
      </w:r>
      <w:r w:rsidR="006D694D" w:rsidRPr="008B628A">
        <w:t xml:space="preserve"> </w:t>
      </w:r>
      <w:r w:rsidRPr="008B628A">
        <w:t>175 m</w:t>
      </w:r>
      <w:r w:rsidRPr="008B628A">
        <w:rPr>
          <w:vertAlign w:val="superscript"/>
        </w:rPr>
        <w:t>2</w:t>
      </w:r>
    </w:p>
    <w:p w14:paraId="5183832B" w14:textId="1136642B" w:rsidR="006D694D" w:rsidRPr="008B628A" w:rsidRDefault="00D96A54" w:rsidP="00283C85">
      <w:pPr>
        <w:pStyle w:val="paragraph"/>
        <w:numPr>
          <w:ilvl w:val="0"/>
          <w:numId w:val="9"/>
        </w:numPr>
        <w:spacing w:before="120" w:beforeAutospacing="0" w:after="120" w:afterAutospacing="0"/>
        <w:jc w:val="both"/>
        <w:textAlignment w:val="baseline"/>
      </w:pPr>
      <w:r w:rsidRPr="008B628A">
        <w:t>2017.gads – 59</w:t>
      </w:r>
      <w:r w:rsidR="006D694D" w:rsidRPr="008B628A">
        <w:t xml:space="preserve"> </w:t>
      </w:r>
      <w:r w:rsidRPr="008B628A">
        <w:t>980 m</w:t>
      </w:r>
      <w:r w:rsidRPr="008B628A">
        <w:rPr>
          <w:vertAlign w:val="superscript"/>
        </w:rPr>
        <w:t>2</w:t>
      </w:r>
      <w:r w:rsidR="006D694D" w:rsidRPr="008B628A">
        <w:t xml:space="preserve"> (renovētā platība – 136 155 m</w:t>
      </w:r>
      <w:r w:rsidR="006D694D" w:rsidRPr="008B628A">
        <w:rPr>
          <w:vertAlign w:val="superscript"/>
        </w:rPr>
        <w:t>2</w:t>
      </w:r>
      <w:r w:rsidR="006D694D" w:rsidRPr="008B628A">
        <w:t>)</w:t>
      </w:r>
    </w:p>
    <w:p w14:paraId="43B26A69" w14:textId="6EAD8CF3" w:rsidR="00D96A54" w:rsidRPr="008B628A" w:rsidRDefault="006D694D" w:rsidP="00283C85">
      <w:pPr>
        <w:pStyle w:val="paragraph"/>
        <w:numPr>
          <w:ilvl w:val="0"/>
          <w:numId w:val="9"/>
        </w:numPr>
        <w:spacing w:before="120" w:beforeAutospacing="0" w:after="120" w:afterAutospacing="0"/>
        <w:jc w:val="both"/>
        <w:textAlignment w:val="baseline"/>
      </w:pPr>
      <w:r w:rsidRPr="008B628A">
        <w:t>2018.gads – 57 313 m</w:t>
      </w:r>
      <w:r w:rsidRPr="008B628A">
        <w:rPr>
          <w:vertAlign w:val="superscript"/>
        </w:rPr>
        <w:t>2</w:t>
      </w:r>
      <w:r w:rsidR="00D96A54" w:rsidRPr="008B628A">
        <w:t>.</w:t>
      </w:r>
    </w:p>
    <w:p w14:paraId="00607D86" w14:textId="2A7A0215"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10"/>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10BC28B1" w14:textId="3630CFD3"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0050180E" w:rsidRPr="008B628A">
        <w:rPr>
          <w:color w:val="000000" w:themeColor="text1"/>
        </w:rPr>
        <w:t xml:space="preserve"> </w:t>
      </w:r>
      <w:r w:rsidRPr="008B628A">
        <w:rPr>
          <w:color w:val="000000" w:themeColor="text1"/>
        </w:rPr>
        <w:t>noteiktajā termiņā.</w:t>
      </w:r>
    </w:p>
    <w:p w14:paraId="370F11AD" w14:textId="1305437C" w:rsidR="00D96A54" w:rsidRPr="008B628A" w:rsidRDefault="00EE7827" w:rsidP="005F59CE">
      <w:pPr>
        <w:pStyle w:val="Heading3"/>
      </w:pPr>
      <w:bookmarkStart w:id="109" w:name="_Toc520978819"/>
      <w:bookmarkStart w:id="110" w:name="_Toc527529454"/>
      <w:r>
        <w:t>Neobligātie</w:t>
      </w:r>
      <w:r w:rsidRPr="008B628A">
        <w:t xml:space="preserve"> </w:t>
      </w:r>
      <w:r w:rsidR="00D96A54" w:rsidRPr="008B628A">
        <w:t>starpposma mērķi 2030., 2040. un 2050. gadam</w:t>
      </w:r>
      <w:bookmarkEnd w:id="109"/>
      <w:bookmarkEnd w:id="110"/>
      <w:r w:rsidR="00D96A54" w:rsidRPr="008B628A">
        <w:t> </w:t>
      </w:r>
    </w:p>
    <w:p w14:paraId="21B139B1" w14:textId="77199A67"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11"/>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26FF0029" w14:textId="138F6F61"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007F0025" w:rsidRPr="008B628A">
        <w:rPr>
          <w:color w:val="000000" w:themeColor="text1"/>
        </w:rPr>
        <w:t xml:space="preserve"> </w:t>
      </w:r>
      <w:r w:rsidRPr="008B628A">
        <w:rPr>
          <w:color w:val="000000" w:themeColor="text1"/>
        </w:rPr>
        <w:t>noteiktajā termiņā.</w:t>
      </w:r>
    </w:p>
    <w:p w14:paraId="467EA773" w14:textId="0396429D" w:rsidR="00D96A54" w:rsidRPr="008B628A" w:rsidRDefault="00250D4A" w:rsidP="005F59CE">
      <w:pPr>
        <w:pStyle w:val="Heading3"/>
      </w:pPr>
      <w:bookmarkStart w:id="111" w:name="_Toc520978820"/>
      <w:bookmarkStart w:id="112" w:name="_Toc527529455"/>
      <w:r w:rsidRPr="008B628A">
        <w:lastRenderedPageBreak/>
        <w:t>C</w:t>
      </w:r>
      <w:r w:rsidR="00D96A54" w:rsidRPr="008B628A">
        <w:t>iti nacionālie mērķi</w:t>
      </w:r>
      <w:bookmarkEnd w:id="111"/>
      <w:bookmarkEnd w:id="112"/>
      <w:r w:rsidR="00D96A54" w:rsidRPr="008B628A">
        <w:t> </w:t>
      </w:r>
    </w:p>
    <w:p w14:paraId="5F0C0928" w14:textId="4394F402" w:rsidR="00D96A54" w:rsidRPr="008B628A" w:rsidRDefault="00B42DCE" w:rsidP="00D309F1">
      <w:pPr>
        <w:spacing w:before="120" w:after="120" w:line="240" w:lineRule="auto"/>
        <w:jc w:val="both"/>
        <w:rPr>
          <w:rFonts w:ascii="Times New Roman" w:hAnsi="Times New Roman" w:cs="Times New Roman"/>
          <w:color w:val="000000"/>
        </w:rPr>
      </w:pPr>
      <w:r w:rsidRPr="008B628A">
        <w:rPr>
          <w:rFonts w:ascii="Times New Roman" w:eastAsia="Times New Roman" w:hAnsi="Times New Roman" w:cs="Times New Roman"/>
          <w:color w:val="000000"/>
        </w:rPr>
        <w:t>NIPP2020 kā L</w:t>
      </w:r>
      <w:r w:rsidR="00D96A54" w:rsidRPr="008B628A">
        <w:rPr>
          <w:rFonts w:ascii="Times New Roman" w:eastAsia="Times New Roman" w:hAnsi="Times New Roman" w:cs="Times New Roman"/>
          <w:color w:val="000000"/>
        </w:rPr>
        <w:t xml:space="preserve">atvijas Nacionālās industriālās politikas mērķis – </w:t>
      </w:r>
      <w:r w:rsidR="00D96A54" w:rsidRPr="008B628A">
        <w:rPr>
          <w:rFonts w:ascii="Times New Roman" w:hAnsi="Times New Roman" w:cs="Times New Roman"/>
          <w:color w:val="000000"/>
        </w:rPr>
        <w:t xml:space="preserve">Veicināt ekonomikas strukturālās izmaiņas par labu preču un pakalpojumu ar augstāku pievienoto vērtību ražošanai, t.sk. rūpniecības lomas palielināšanai, rūpniecības un pakalpojumu modernizācijai un </w:t>
      </w:r>
      <w:r w:rsidR="00512EEA" w:rsidRPr="008B628A">
        <w:rPr>
          <w:rFonts w:ascii="Times New Roman" w:hAnsi="Times New Roman" w:cs="Times New Roman"/>
        </w:rPr>
        <w:t xml:space="preserve">sarežģītāku preču ar augstāku pievienoto vērtību </w:t>
      </w:r>
      <w:r w:rsidR="00D96A54" w:rsidRPr="008B628A">
        <w:rPr>
          <w:rFonts w:ascii="Times New Roman" w:hAnsi="Times New Roman" w:cs="Times New Roman"/>
          <w:color w:val="000000"/>
        </w:rPr>
        <w:t>eksporta attīstībai.</w:t>
      </w:r>
    </w:p>
    <w:p w14:paraId="42129CBF" w14:textId="77777777" w:rsidR="00D309F1" w:rsidRPr="008B628A" w:rsidRDefault="00D309F1" w:rsidP="00D309F1">
      <w:pPr>
        <w:spacing w:before="120" w:after="120" w:line="240" w:lineRule="auto"/>
        <w:jc w:val="both"/>
        <w:rPr>
          <w:rFonts w:ascii="Times New Roman" w:eastAsia="Times New Roman" w:hAnsi="Times New Roman" w:cs="Times New Roman"/>
          <w:color w:val="000000"/>
        </w:rPr>
      </w:pPr>
    </w:p>
    <w:p w14:paraId="29C481B8" w14:textId="3D6D5D83" w:rsidR="00581156" w:rsidRPr="008B628A" w:rsidRDefault="003D760C" w:rsidP="0006202C">
      <w:pPr>
        <w:pStyle w:val="Heading2"/>
        <w:spacing w:before="120" w:after="120" w:line="240" w:lineRule="auto"/>
      </w:pPr>
      <w:bookmarkStart w:id="113" w:name="_Toc520978821"/>
      <w:bookmarkStart w:id="114" w:name="_Toc527529456"/>
      <w:bookmarkStart w:id="115" w:name="_Toc532910002"/>
      <w:r>
        <w:t>E</w:t>
      </w:r>
      <w:r w:rsidR="00581156" w:rsidRPr="008B628A">
        <w:t>nerģētiskā drošība</w:t>
      </w:r>
      <w:bookmarkEnd w:id="113"/>
      <w:bookmarkEnd w:id="114"/>
      <w:bookmarkEnd w:id="115"/>
      <w:r w:rsidR="00581156" w:rsidRPr="008B628A">
        <w:t xml:space="preserve"> </w:t>
      </w:r>
    </w:p>
    <w:p w14:paraId="15D7B696" w14:textId="728C4545" w:rsidR="00581156" w:rsidRPr="008B628A" w:rsidRDefault="00623E08" w:rsidP="0006202C">
      <w:pPr>
        <w:pStyle w:val="Heading3"/>
      </w:pPr>
      <w:bookmarkStart w:id="116" w:name="_Toc520978822"/>
      <w:bookmarkStart w:id="117" w:name="_Toc527529457"/>
      <w:r w:rsidRPr="008B628A">
        <w:t>N</w:t>
      </w:r>
      <w:r w:rsidR="00581156" w:rsidRPr="008B628A">
        <w:t>acionālie mērķi vai nosacījumi</w:t>
      </w:r>
      <w:bookmarkEnd w:id="116"/>
      <w:bookmarkEnd w:id="117"/>
      <w:r w:rsidR="00581156" w:rsidRPr="008B628A">
        <w:t xml:space="preserve"> </w:t>
      </w:r>
    </w:p>
    <w:p w14:paraId="49359ACB" w14:textId="27079796" w:rsidR="0006202C" w:rsidRPr="008B628A" w:rsidRDefault="0006202C" w:rsidP="0006202C">
      <w:pPr>
        <w:pStyle w:val="Default"/>
        <w:spacing w:before="120" w:after="120"/>
        <w:jc w:val="both"/>
      </w:pPr>
      <w:bookmarkStart w:id="118" w:name="_Toc520978823"/>
      <w:bookmarkStart w:id="119" w:name="_Toc527529458"/>
      <w:r w:rsidRPr="008B628A">
        <w:t>2013. gadā Baltijas</w:t>
      </w:r>
      <w:r w:rsidR="00250178" w:rsidRPr="008B628A">
        <w:t xml:space="preserve"> pārvades sistēmas operatori (turpmāk – </w:t>
      </w:r>
      <w:r w:rsidRPr="008B628A">
        <w:t>P</w:t>
      </w:r>
      <w:r w:rsidR="00250178" w:rsidRPr="008B628A">
        <w:t>S</w:t>
      </w:r>
      <w:r w:rsidRPr="008B628A">
        <w:t>O</w:t>
      </w:r>
      <w:r w:rsidR="00250178" w:rsidRPr="008B628A">
        <w:t>)</w:t>
      </w:r>
      <w:r w:rsidRPr="008B628A">
        <w:t xml:space="preserve"> noslēdza vienošanos, ka elektroenerģijas tirdzniecība ar trešajām valstīm Baltijas valstīs norit tikai caur Lietuvas tirdzniecības apgabalu. Šī vienošanās paredz, ka Baltijas PSO tirdzniecībai uz Krievijas-Igaunijas un Krievijas-Latvijas starpsavienojumiem piešķir 0 MW, bet uz Baltkrievijas-Lietuvas un Kaļiņingradas-Lietuvas starpsavienojumiem piešķir tirdzniecības kapacitāti, kuru aprēķina saskaņā ar, Baltijas regulatoru apstiprinātu metodiku.</w:t>
      </w:r>
    </w:p>
    <w:p w14:paraId="57E19E2F" w14:textId="15E9C0D3" w:rsidR="0006202C" w:rsidRPr="008B628A" w:rsidRDefault="00856C8D" w:rsidP="0006202C">
      <w:pPr>
        <w:pStyle w:val="Default"/>
        <w:spacing w:before="120" w:after="120"/>
        <w:jc w:val="both"/>
      </w:pPr>
      <w:r>
        <w:t>2018.gadā</w:t>
      </w:r>
      <w:r w:rsidRPr="008B628A">
        <w:t xml:space="preserve"> </w:t>
      </w:r>
      <w:r w:rsidR="0006202C" w:rsidRPr="008B628A">
        <w:t>no trešajām valstīm ieplūst 16% no kopējā Baltijas valstu elektroenerģijas importa. Ņemot vērā to, ka elektroenerģijas tirdzniecība Baltijas valstīs norit ar biržas “Nord</w:t>
      </w:r>
      <w:r w:rsidR="0047434A">
        <w:t xml:space="preserve"> </w:t>
      </w:r>
      <w:r w:rsidR="0006202C" w:rsidRPr="008B628A">
        <w:t xml:space="preserve">Pool” starpniecību, un fiziskās elektroenerģijas plūsmas ne vienmēr sakrīt ar komerciālajām plūsmām, nav iespējams precīzi identificēt no Krievijas un Baltkrievijas importētās elektroenerģijas patēriņu katrām no valstīm un identificēt elektroenerģijas tranzīta plūsmas starp, piemēram, dažādiem Krievijas reģioniem. Tomēr, ņemot vērā to, ka būtiskāko importētās elektroenerģijas apjomu patērē tieši Lietuva, ir pamats uzskatīt, ka arī lielākā daļa no trešajām valstīm importētās elektroenerģijas tiek patērēta Lietuvā. </w:t>
      </w:r>
    </w:p>
    <w:p w14:paraId="057E4F1D" w14:textId="43972E4D" w:rsidR="0006202C" w:rsidRPr="008B628A" w:rsidRDefault="0006202C" w:rsidP="0006202C">
      <w:pPr>
        <w:pStyle w:val="Default"/>
        <w:spacing w:before="120" w:after="120"/>
        <w:jc w:val="both"/>
      </w:pPr>
      <w:r w:rsidRPr="008B628A">
        <w:t xml:space="preserve">2018.gada pirmajā pusgadā (no janvāra līdz jūnijam) Baltijas valstis no trešajām valstīm ir importējušas 982 458 MWh. 2017.gadā elektroenerģijas imports no trešajām valstīm kopā sasniedza 776 397 MWh. </w:t>
      </w:r>
      <w:r w:rsidR="006D1920">
        <w:t xml:space="preserve">2017.gadā elektroenerģijas imports salīdzinājumā pret 2016.gadu ir samazinājies par 16%, bet eksports no Latvijas elektroenerģijas sistēmas ir palielinājies par aptuveni 9% salīdzinājumā ar 2016.gadu. </w:t>
      </w:r>
      <w:r w:rsidR="006D1920" w:rsidRPr="00CC5442">
        <w:t xml:space="preserve">Latvija </w:t>
      </w:r>
      <w:r w:rsidR="00856C8D">
        <w:t>līdz 2018.gada beigām</w:t>
      </w:r>
      <w:r w:rsidR="006D1920" w:rsidRPr="00CC5442">
        <w:t xml:space="preserve"> nav pieņēmusi nacionālu lēmumu par</w:t>
      </w:r>
      <w:r w:rsidR="006D1920">
        <w:t xml:space="preserve"> esošās</w:t>
      </w:r>
      <w:r w:rsidR="006D1920" w:rsidRPr="00CC5442">
        <w:t xml:space="preserve"> </w:t>
      </w:r>
      <w:r w:rsidR="006D1920">
        <w:t>rīcībpolitikas maiņu</w:t>
      </w:r>
      <w:r w:rsidRPr="008B628A">
        <w:t xml:space="preserve"> attiecībā uz elektroenerģijas tirdzniecību ar trešajām valstīm. Pieņemot šādu lēmumu, būtu ņemami vērā virkne būtisku tehnisku un komerciālu apsvērumu, piemēram, līdzvērtīgas konkurences vides veidošana Baltijas valstu tirgū starp ES un trešo valstu elektroenerģijas ražotājiem, trešo valstu importa ietekme uz elektroenerģijas cenu veidošanos vairumtirdzniecības tirgū un energoapgādes drošību, kā arī iespējamās nepieciešamās investīcijas elektroenerģijas importa iespēju nodrošināšanai no trešajām valstīm ilgtermiņā, it īpaši ņemot vērā plānoto sinhronās darbības pārtraukšanu ar Krievijas un Baltkrievijas energosistēmām. </w:t>
      </w:r>
    </w:p>
    <w:p w14:paraId="59ADBD70" w14:textId="77777777" w:rsidR="0006202C" w:rsidRPr="008B628A" w:rsidRDefault="0006202C" w:rsidP="0006202C">
      <w:pPr>
        <w:pStyle w:val="Default"/>
        <w:spacing w:before="120" w:after="120"/>
        <w:jc w:val="both"/>
      </w:pPr>
      <w:r w:rsidRPr="008B628A">
        <w:t xml:space="preserve">Kā būtisks esošos darbības nosacījumus raksturojošs apstāklis ir jāmin arī Baltijas, Krievijas un Baltkrievijas pārvades sistēmas operatoru noslēgtais BRELL līgums (Belarus, Russia, Estonia, Lithuania, Latvia), kas reglamentē iesaistīto sinhroni strādājošo valstu energosistēmu operatoru savstarpējo palīdzību un cita starpā paredz sadarbību avārijas rezervju uzturēšanā 500 MW apjomā, no kurām katra no dalībvalstīm nodrošina 100 MW.  </w:t>
      </w:r>
    </w:p>
    <w:p w14:paraId="62D8E9F4" w14:textId="739B74B5" w:rsidR="00581156" w:rsidRPr="008B628A" w:rsidRDefault="00623E08" w:rsidP="0006202C">
      <w:pPr>
        <w:pStyle w:val="Heading3"/>
      </w:pPr>
      <w:r w:rsidRPr="008B628A">
        <w:t>N</w:t>
      </w:r>
      <w:r w:rsidR="00581156" w:rsidRPr="008B628A">
        <w:t>acionālie mērķi attiecībā uz uzlabojumiem</w:t>
      </w:r>
      <w:bookmarkEnd w:id="118"/>
      <w:bookmarkEnd w:id="119"/>
      <w:r w:rsidR="00581156" w:rsidRPr="008B628A">
        <w:t xml:space="preserve"> </w:t>
      </w:r>
    </w:p>
    <w:p w14:paraId="40DE96E8" w14:textId="77777777" w:rsidR="006D1920" w:rsidRPr="00CC5442" w:rsidRDefault="006D1920" w:rsidP="006D1920">
      <w:pPr>
        <w:pStyle w:val="Default"/>
        <w:spacing w:before="120" w:after="120"/>
        <w:jc w:val="both"/>
      </w:pPr>
      <w:bookmarkStart w:id="120" w:name="_Toc520978824"/>
      <w:bookmarkStart w:id="121" w:name="_Toc527529459"/>
      <w:r w:rsidRPr="00CC5442">
        <w:t xml:space="preserve">2012./2013. gadā trīs Baltijas valstu PSO AS "Augstsprieguma tīkls", "Elering" un "Litgrid", piesaistot Zviedrijas enerģētikas nozares konsultantu "Gothia Power", veica priekšizpēti par iespējām sinhronizēt Baltijas valstis ar kontinentālo Eiropu caur Poliju. Pētījumā secināts, ka sinhronizācija ir tehniski iespējama, bet tās sasniegšanai būs nepieciešams vienots Baltijas valstu un Baltijas jūras reģiona valstu politisks atbalsts, nacionālo regulatīvo iestāžu, galvenokārt Polijas, atbalsts, palīdzība no EK puses, lai veiktu pārrunas ar Krieviju un </w:t>
      </w:r>
      <w:r w:rsidRPr="00CC5442">
        <w:lastRenderedPageBreak/>
        <w:t xml:space="preserve">Baltkrieviju, kā arī apjomīgas investīcijas. 2017. gada decembrī Baltijas valstu premjerministru līmenī ar Saprašanās memorandu tika apstiprināta vienošanos par sinhronizācijas virzienu ar Poliju. Balstoties uz papildus veikto dinamisko un frekvences stabilitātes pētījumu rezultātiem, 2018.gada 28.jūnijā Eiropadomes ietvaros tika parakstīta politiskā ceļa karte par Baltijas valstu elektrotīklu sinhronizāciju ar kontinentālo Eiropu caur Poliju. </w:t>
      </w:r>
    </w:p>
    <w:p w14:paraId="36501BE6" w14:textId="77777777" w:rsidR="006D1920" w:rsidRPr="00CC5442" w:rsidRDefault="006D1920" w:rsidP="006D1920">
      <w:pPr>
        <w:pStyle w:val="Default"/>
        <w:spacing w:before="120" w:after="120"/>
        <w:jc w:val="both"/>
      </w:pPr>
      <w:r w:rsidRPr="00CC5442">
        <w:t xml:space="preserve">Šajā dokumentā uzsvērts, ka Baltijas valstu sinhronizācijai ar kontinentālās Eiropas tīklu ir jānodrošina augsta drošuma pakāpe Baltijas valstu elektrotīkliem, kā arī tā jārealizē izmaksu efektīvā veidā, ņemot vērā gan kapitālieguldījumus, gan ikgadējas ekspluatācijas izmaksas. Politiskā ceļa karte uzsver, ka izvērtētais tehniskais risinājums, kas paredz nodrošināt Baltijas valstu un Polijas energosistēmu sinhrono darbību ar vienu sinhrono saiti, esošo divķēžu 400 kV elektropārvades līniju „LitPolLink”, nenodrošina pieņemamu energoapgādes drošības un ekspluatācijas izmaksu līmeni. Dokumentā kā optimālākais risinājums no drošuma un ekspluatācijas izmaksu viedokļa </w:t>
      </w:r>
      <w:r>
        <w:t>tika</w:t>
      </w:r>
      <w:r w:rsidRPr="00CC5442">
        <w:t xml:space="preserve"> identificēts risinājums, kas ietver sinhronizāciju ar divu maiņstrāvas elektropārvades līniju palīdzību. Ņemot vērā Polijas iebildumus par šāda risinājuma kapitālizmaksu apjomu, ceļa karte paredz</w:t>
      </w:r>
      <w:r>
        <w:t>ēja</w:t>
      </w:r>
      <w:r w:rsidRPr="00CC5442">
        <w:t xml:space="preserve"> padziļināti izvērtēt tehnisko risinājumu sinhronās darbības nodrošināšanai ar </w:t>
      </w:r>
      <w:r>
        <w:t>esošo sinhrono</w:t>
      </w:r>
      <w:r w:rsidRPr="00CC5442">
        <w:t xml:space="preserve"> maiņstrāvas elektropārvades līnij</w:t>
      </w:r>
      <w:r>
        <w:t>u LitPol link 1un jaunu</w:t>
      </w:r>
      <w:r w:rsidRPr="00CC5442">
        <w:t xml:space="preserve"> zemūdens līdzstrāvas kabe</w:t>
      </w:r>
      <w:r>
        <w:t>li</w:t>
      </w:r>
      <w:r w:rsidRPr="00CC5442">
        <w:t xml:space="preserve"> </w:t>
      </w:r>
      <w:r>
        <w:t xml:space="preserve">starp Poliju un Lietuvu. Pēc šīs padziļinātās izpētes pabeigšanas tika secināts, ka frekvences </w:t>
      </w:r>
      <w:r w:rsidRPr="002A191D">
        <w:t>stabilitātes ziņā Baltijas valstu elektroenerģijas sistēmā var tikt nodrošināta darbības drošība (standarta līmenī, kāds ir kontinentālajā Eiropā), ja sinhronizācijas projekta ietvaro</w:t>
      </w:r>
      <w:r>
        <w:t>s tiek ieviests  LitPol link 1 un jūras</w:t>
      </w:r>
      <w:r w:rsidRPr="002A191D">
        <w:t xml:space="preserve"> kabeļa scenārijs</w:t>
      </w:r>
      <w:r>
        <w:t>. Šobrīd i</w:t>
      </w:r>
      <w:r w:rsidRPr="008A07D7">
        <w:t>r identificēti skaidri tehniskie pasākumi, kas frekvences stabilitātes ziņā nepieciešami Baltijas valstu elektroenerģijas sistēmas drošai sinhronai darbībai ar kontinentālās Eiropas sinhrono reģionu. Tā kā šie pasākumi ir balstīti uz pašlaik pieejamām pārbaudītām tehnoloģijām, tie tiek uzskatīti par reāli īstenojamiem</w:t>
      </w:r>
      <w:r>
        <w:t xml:space="preserve">. </w:t>
      </w:r>
    </w:p>
    <w:p w14:paraId="694531CD" w14:textId="39EFD85C" w:rsidR="00581156" w:rsidRPr="008B628A" w:rsidRDefault="00623E08" w:rsidP="0006202C">
      <w:pPr>
        <w:pStyle w:val="Heading3"/>
      </w:pPr>
      <w:r w:rsidRPr="008B628A">
        <w:t>N</w:t>
      </w:r>
      <w:r w:rsidR="00581156" w:rsidRPr="008B628A">
        <w:t>acionālie mērķi energoimporta samazināšanai</w:t>
      </w:r>
      <w:bookmarkEnd w:id="120"/>
      <w:bookmarkEnd w:id="121"/>
      <w:r w:rsidR="00581156" w:rsidRPr="008B628A">
        <w:t xml:space="preserve"> </w:t>
      </w:r>
    </w:p>
    <w:p w14:paraId="49012B8D" w14:textId="2635861C" w:rsidR="006D1920" w:rsidRPr="00CC5442" w:rsidRDefault="006D1920" w:rsidP="006D1920">
      <w:pPr>
        <w:pStyle w:val="Default"/>
        <w:spacing w:before="120" w:after="120"/>
        <w:jc w:val="both"/>
      </w:pPr>
      <w:bookmarkStart w:id="122" w:name="_Toc520978825"/>
      <w:bookmarkStart w:id="123" w:name="_Toc527529460"/>
      <w:r w:rsidRPr="00CC5442">
        <w:t xml:space="preserve">EAP2020 nosaka mērķi energoatkarības (neto energoresursu imports/bruto iekšzemes enerģijas patēriņš plus bunkurēšana, %) mērķi 2020.gadam – 44,1% energoresursu importa attiecība bruto iekšzemes enerģijas patēriņā. Savukārt LEIS2030 nosaka </w:t>
      </w:r>
      <w:r w:rsidR="00EE7827">
        <w:t xml:space="preserve">neobligātu un </w:t>
      </w:r>
      <w:r w:rsidRPr="00CC5442">
        <w:t xml:space="preserve">nesaistošu 2030.gada mērķi </w:t>
      </w:r>
      <w:r w:rsidR="00EE7827">
        <w:t>–</w:t>
      </w:r>
      <w:r w:rsidRPr="00CC5442">
        <w:t xml:space="preserve"> par 50% samazināt enerģijas un energoresursu importu no esošajiem trešo valstu piegādātājiem, salīdzinot ar 2011.gada rādītājiem, kur 2011.gadā energoresursu imports no ārpus Eiropas Ekonomikas zonas dalībvalstīm bija 28,2 TWh</w:t>
      </w:r>
      <w:r>
        <w:t>.</w:t>
      </w:r>
      <w:r w:rsidRPr="00CC5442">
        <w:t xml:space="preserve"> </w:t>
      </w:r>
      <w:r>
        <w:t>T</w:t>
      </w:r>
      <w:r w:rsidRPr="00CC5442">
        <w:t xml:space="preserve">ātad 2030.gadā šim importa rādītājam ir jābūt ne lielākam kā 14,1 TWh. </w:t>
      </w:r>
    </w:p>
    <w:p w14:paraId="4CF08AA0" w14:textId="77777777" w:rsidR="006D1920" w:rsidRPr="00CC5442" w:rsidRDefault="006D1920" w:rsidP="006D1920">
      <w:pPr>
        <w:spacing w:before="120" w:after="120" w:line="240" w:lineRule="auto"/>
        <w:jc w:val="both"/>
        <w:rPr>
          <w:rFonts w:ascii="Times New Roman" w:hAnsi="Times New Roman" w:cs="Times New Roman"/>
          <w:szCs w:val="24"/>
        </w:rPr>
      </w:pPr>
      <w:r w:rsidRPr="00CC5442">
        <w:rPr>
          <w:rFonts w:ascii="Times New Roman" w:hAnsi="Times New Roman" w:cs="Times New Roman"/>
          <w:szCs w:val="24"/>
        </w:rPr>
        <w:t>Šobrīd ir secināms, ka Latvijas enerģētiskā atkarība no importējamiem energoresursiem mazinās – no 55,9 % 2013. gadā līdz 47,2 % 2016. gadā. Līdz ar to ir uzskatāms, ka Latvija savu mērķi 2020.gadam un 2030.gadam izpilda esošo rīcībpolitiku un pasākumu īstenošanā. Tāpēc papildus energoimporta samazināšanas mērķi Latvijā netiek uzstādīti</w:t>
      </w:r>
      <w:r>
        <w:rPr>
          <w:rFonts w:ascii="Times New Roman" w:hAnsi="Times New Roman" w:cs="Times New Roman"/>
          <w:szCs w:val="24"/>
        </w:rPr>
        <w:t>.</w:t>
      </w:r>
    </w:p>
    <w:p w14:paraId="411E6370" w14:textId="5BAAF7C0" w:rsidR="00581156" w:rsidRPr="008B628A" w:rsidRDefault="00581156" w:rsidP="0006202C">
      <w:pPr>
        <w:pStyle w:val="Heading3"/>
      </w:pPr>
      <w:r w:rsidRPr="008B628A">
        <w:t>Nacionālie mērķi valsts enerģētikas sistēmas elastības palielināšanai</w:t>
      </w:r>
      <w:bookmarkEnd w:id="122"/>
      <w:bookmarkEnd w:id="123"/>
      <w:r w:rsidRPr="008B628A">
        <w:t xml:space="preserve"> </w:t>
      </w:r>
    </w:p>
    <w:p w14:paraId="5C7EA21A" w14:textId="77777777" w:rsidR="006D1920" w:rsidRPr="00CC5442" w:rsidRDefault="006D1920" w:rsidP="006D1920">
      <w:pPr>
        <w:pStyle w:val="Default"/>
        <w:spacing w:before="120" w:after="120"/>
        <w:jc w:val="both"/>
        <w:rPr>
          <w:color w:val="auto"/>
        </w:rPr>
      </w:pPr>
      <w:bookmarkStart w:id="124" w:name="_Toc520978826"/>
      <w:bookmarkStart w:id="125" w:name="_Toc527529461"/>
      <w:r>
        <w:t>2019.gadā</w:t>
      </w:r>
      <w:r w:rsidRPr="00CC5442">
        <w:t xml:space="preserve"> plānots izstrādāt tiesisko regulējumu agregatoru darbībai,</w:t>
      </w:r>
      <w:r>
        <w:t xml:space="preserve"> nosakot</w:t>
      </w:r>
      <w:r w:rsidRPr="00EF7851">
        <w:t xml:space="preserve"> agregatora tiesības un pienākumus, norēķinus par tā pakalpojumiem un attiecības starp agregatoru un citiem sistēmas un tirgus dalībniekiem.</w:t>
      </w:r>
      <w:r w:rsidRPr="00CC5442">
        <w:t xml:space="preserve"> </w:t>
      </w:r>
      <w:r>
        <w:t>T</w:t>
      </w:r>
      <w:r w:rsidRPr="00CC5442">
        <w:t xml:space="preserve">ādējādi </w:t>
      </w:r>
      <w:r>
        <w:t xml:space="preserve">tiktu </w:t>
      </w:r>
      <w:r w:rsidRPr="00CC5442">
        <w:t>veicin</w:t>
      </w:r>
      <w:r>
        <w:t>āta</w:t>
      </w:r>
      <w:r w:rsidRPr="00CC5442">
        <w:t xml:space="preserve"> sistēmas balansēšanas kapacitāt</w:t>
      </w:r>
      <w:r>
        <w:t>e</w:t>
      </w:r>
      <w:r w:rsidRPr="00CC5442">
        <w:t xml:space="preserve"> un elastīb</w:t>
      </w:r>
      <w:r>
        <w:t>a</w:t>
      </w:r>
      <w:r w:rsidRPr="00CC5442">
        <w:t>.</w:t>
      </w:r>
      <w:r>
        <w:t xml:space="preserve"> </w:t>
      </w:r>
      <w:r w:rsidRPr="00CC5442">
        <w:t>Agregatoru darbība Latvijā nav iespējama bez patērētājiem uzstādītiem un pieejamiem viedajiem skaitītājiem. Viedo elektroenerģijas skaitītāju nomaiņa notiek saskaņā ar Eiropas Parlamenta un Padomes 2009.gada 13.jūlija direktīvu Nr. 2009/72/EK par kopīgiem noteikumiem attiecībā uz elektroenerģijas iekšējo tirgu un par Direktīvas 2003/54/EK atcelšanu.</w:t>
      </w:r>
      <w:r>
        <w:t xml:space="preserve"> Juridiskajiem klientiem viedo skaitītāju uzstādīšana tiek veikta jau kopš 2007.gada, bet mājsaimniecībām viedie skaitītāji tiek uzstādīti kopš 2014.gada.</w:t>
      </w:r>
      <w:r w:rsidRPr="00CC5442">
        <w:t xml:space="preserve"> Atbilstoši AS “Sadales tīkls” elektroenerģijas uzskaites modernizācijas plānam, līdz 202</w:t>
      </w:r>
      <w:r>
        <w:t>2</w:t>
      </w:r>
      <w:r w:rsidRPr="00CC5442">
        <w:t>. gadam viedos skaitītājus plānots uzstādīt visiem AS “Sadales tīkls” klientiem</w:t>
      </w:r>
      <w:r>
        <w:t>.</w:t>
      </w:r>
      <w:r>
        <w:rPr>
          <w:color w:val="auto"/>
        </w:rPr>
        <w:t xml:space="preserve"> </w:t>
      </w:r>
      <w:r w:rsidRPr="00CC5442">
        <w:rPr>
          <w:color w:val="auto"/>
        </w:rPr>
        <w:t xml:space="preserve">Viedo elektroenerģijas skaitītāju datu nolasīšanas sistēma tiek aizsargāta, izmantojot vairāku līmeņu piekļuves principus, kā arī visos </w:t>
      </w:r>
      <w:r w:rsidRPr="00CC5442">
        <w:rPr>
          <w:color w:val="auto"/>
        </w:rPr>
        <w:lastRenderedPageBreak/>
        <w:t>tās līmeņos tiek izmantotas datu šifrēšanas metodes, tādējādi izslēdzot jebkādu iespēju datu apmaiņas procesā identificēt konkrētā lietotāja vārdu, uzvārdu vai adresi.</w:t>
      </w:r>
    </w:p>
    <w:p w14:paraId="5DDF9647" w14:textId="77777777" w:rsidR="00CC5442" w:rsidRPr="008B628A" w:rsidRDefault="00CC5442" w:rsidP="0006202C">
      <w:pPr>
        <w:pStyle w:val="Default"/>
        <w:spacing w:before="120" w:after="120"/>
        <w:jc w:val="both"/>
        <w:rPr>
          <w:color w:val="auto"/>
        </w:rPr>
      </w:pPr>
    </w:p>
    <w:p w14:paraId="20BC7D1D" w14:textId="36BDC9EC" w:rsidR="00581156" w:rsidRPr="008B628A" w:rsidRDefault="003D760C" w:rsidP="006F546A">
      <w:pPr>
        <w:pStyle w:val="Heading2"/>
      </w:pPr>
      <w:bookmarkStart w:id="126" w:name="_Toc532910003"/>
      <w:r>
        <w:t>I</w:t>
      </w:r>
      <w:r w:rsidR="00581156" w:rsidRPr="008B628A">
        <w:t>ekšējais enerģijas tirgus</w:t>
      </w:r>
      <w:bookmarkEnd w:id="124"/>
      <w:bookmarkEnd w:id="125"/>
      <w:bookmarkEnd w:id="126"/>
      <w:r w:rsidR="00581156" w:rsidRPr="008B628A">
        <w:t xml:space="preserve"> </w:t>
      </w:r>
    </w:p>
    <w:p w14:paraId="19560E5B" w14:textId="250CD5B1" w:rsidR="00581156" w:rsidRPr="008B628A" w:rsidRDefault="00581156" w:rsidP="0006202C">
      <w:pPr>
        <w:pStyle w:val="Heading3"/>
      </w:pPr>
      <w:bookmarkStart w:id="127" w:name="_Toc520978827"/>
      <w:bookmarkStart w:id="128" w:name="_Toc527529462"/>
      <w:r w:rsidRPr="008B628A">
        <w:t>Elektrotīklu starpsavienotība</w:t>
      </w:r>
      <w:bookmarkEnd w:id="127"/>
      <w:bookmarkEnd w:id="128"/>
      <w:r w:rsidRPr="008B628A">
        <w:t xml:space="preserve"> </w:t>
      </w:r>
    </w:p>
    <w:p w14:paraId="433D0CF0" w14:textId="18261FEB" w:rsidR="00F343DA" w:rsidRPr="008B628A" w:rsidRDefault="00F343DA" w:rsidP="0006202C">
      <w:pPr>
        <w:pStyle w:val="Heading4"/>
      </w:pPr>
      <w:bookmarkStart w:id="129" w:name="_Toc527529463"/>
      <w:r w:rsidRPr="008B628A">
        <w:t>Elektrības starpsavienotības līmenis</w:t>
      </w:r>
      <w:bookmarkEnd w:id="129"/>
    </w:p>
    <w:p w14:paraId="5641EFBD" w14:textId="42087850" w:rsidR="0006202C" w:rsidRPr="008B628A" w:rsidRDefault="0006202C" w:rsidP="0006202C">
      <w:pPr>
        <w:pStyle w:val="Default"/>
        <w:spacing w:before="120" w:after="120"/>
        <w:jc w:val="both"/>
      </w:pPr>
      <w:r w:rsidRPr="008B628A">
        <w:t>EAP2020 nosaka infrastruktūras savienojumu elektrības tirgū (starpsavienojumu jauda pret uzstādīto ģenerējošo jaudu</w:t>
      </w:r>
      <w:r w:rsidR="00E47703" w:rsidRPr="008B628A">
        <w:t xml:space="preserve"> izteikta procentos)</w:t>
      </w:r>
      <w:r w:rsidRPr="008B628A">
        <w:t xml:space="preserve"> mērķi 2020.gadam – 10%. Savukārt KEPS2030 nosaka šo mērķi 2030.gadam – 15%. </w:t>
      </w:r>
    </w:p>
    <w:p w14:paraId="748278C5" w14:textId="04042A5E" w:rsidR="00342637" w:rsidRPr="008B628A" w:rsidRDefault="00342637" w:rsidP="0006202C">
      <w:pPr>
        <w:spacing w:before="120" w:after="120" w:line="240" w:lineRule="auto"/>
        <w:jc w:val="both"/>
        <w:rPr>
          <w:rFonts w:ascii="Times New Roman" w:hAnsi="Times New Roman" w:cs="Times New Roman"/>
          <w:szCs w:val="24"/>
        </w:rPr>
      </w:pPr>
      <w:bookmarkStart w:id="130" w:name="_Hlk531553073"/>
      <w:r w:rsidRPr="008B628A">
        <w:rPr>
          <w:rFonts w:ascii="Times New Roman" w:hAnsi="Times New Roman" w:cs="Times New Roman"/>
          <w:szCs w:val="24"/>
          <w:lang w:eastAsia="lv-LV"/>
        </w:rPr>
        <w:t>Saskaņā ar esošos situāciju Latvijas starpsavienojumu līmenis 2017.gadā sasniedz 80% (starpsavienojumu jauda pret Latvijā uzstādīto elektroenerģijas jaudu), tāpēc ir uzskatāms, ka Latvija ir jau sasniegusi noteikto starpsavienojumu mērķi un papildus mērķi netiek noteikti, kā arī netiek noteiktas papildus rīcībpolitikas un pasākumi šo mērķu sasniegšanai.</w:t>
      </w:r>
    </w:p>
    <w:p w14:paraId="3E82713B" w14:textId="6FC2B24E" w:rsidR="00581156" w:rsidRPr="008B628A" w:rsidRDefault="00581156" w:rsidP="0006202C">
      <w:pPr>
        <w:pStyle w:val="Heading3"/>
      </w:pPr>
      <w:bookmarkStart w:id="131" w:name="_Toc520978828"/>
      <w:bookmarkStart w:id="132" w:name="_Toc527529464"/>
      <w:bookmarkEnd w:id="130"/>
      <w:r w:rsidRPr="008B628A">
        <w:t>Enerģijas pārvades infrastruktūra</w:t>
      </w:r>
      <w:bookmarkEnd w:id="131"/>
      <w:bookmarkEnd w:id="132"/>
      <w:r w:rsidRPr="008B628A">
        <w:t xml:space="preserve"> </w:t>
      </w:r>
    </w:p>
    <w:p w14:paraId="6717022C" w14:textId="42FA7D8D" w:rsidR="00F343DA" w:rsidRPr="008B628A" w:rsidRDefault="00F343DA" w:rsidP="0006202C">
      <w:pPr>
        <w:pStyle w:val="Heading4"/>
      </w:pPr>
      <w:bookmarkStart w:id="133" w:name="_Ref518574484"/>
      <w:bookmarkStart w:id="134" w:name="_Toc527529465"/>
      <w:r w:rsidRPr="008B628A">
        <w:t>Galvenie elektrības un gāzes pārvadu infrastruktūras projekti</w:t>
      </w:r>
      <w:bookmarkEnd w:id="133"/>
      <w:bookmarkEnd w:id="134"/>
    </w:p>
    <w:p w14:paraId="35AF8E23" w14:textId="77777777" w:rsidR="006D1920" w:rsidRPr="0006202C" w:rsidRDefault="006D1920" w:rsidP="006D1920">
      <w:pPr>
        <w:pStyle w:val="Default"/>
        <w:spacing w:before="120" w:after="120"/>
        <w:jc w:val="both"/>
      </w:pPr>
      <w:bookmarkStart w:id="135" w:name="_Ref518574488"/>
      <w:bookmarkStart w:id="136" w:name="_Toc527529466"/>
      <w:r w:rsidRPr="0006202C">
        <w:t xml:space="preserve">Starpsavienojumi starp dalībvalstīm Baltijas jūras reģionā un attiecīgi iekšējā tīkla infrastruktūras nostiprināšana paredzēta, lai novērstu Baltijas valstu izolētību, veicinātu tirgus integrāciju, </w:t>
      </w:r>
      <w:r w:rsidRPr="005E64F8">
        <w:rPr>
          <w:i/>
        </w:rPr>
        <w:t xml:space="preserve">inter alia </w:t>
      </w:r>
      <w:r w:rsidRPr="0006202C">
        <w:t xml:space="preserve">strādājot pie </w:t>
      </w:r>
      <w:r>
        <w:t>A</w:t>
      </w:r>
      <w:r w:rsidRPr="0006202C">
        <w:t xml:space="preserve">ER integrācijas reģionā. </w:t>
      </w:r>
    </w:p>
    <w:p w14:paraId="2AEC9DC6" w14:textId="77777777" w:rsidR="006D1920" w:rsidRPr="0006202C" w:rsidRDefault="006D1920" w:rsidP="006D1920">
      <w:pPr>
        <w:pStyle w:val="Default"/>
        <w:spacing w:before="120" w:after="120"/>
        <w:jc w:val="both"/>
      </w:pPr>
      <w:r w:rsidRPr="005E64F8">
        <w:rPr>
          <w:i/>
        </w:rPr>
        <w:t>Baltijas valstu elektrotīklu integrācija un sinhronizācija ar Eiropas tīkliem</w:t>
      </w:r>
      <w:r w:rsidRPr="0006202C">
        <w:t xml:space="preserve">. Baltijas valstu elektrotīklu integrācija ES elektroenerģijas sistēmā ir izvirzīta kā viena no ES enerģētikas politikas stratēģiskajām prioritātēm. Viens no galvenajiem iemesliem Baltijas valstu sinhronizācijai ar Eiropu ir ciešāka Baltijas valstu integrācija Eiropas Savienības elektroenerģijas tirgū un energoapgādes ilgtermiņa drošības paaugstināšana. Šobrīd Baltijas valstu elektroenerģijas sistēma būtiskus sistēmas pakalpojumus saņem no trešajām valstīm, kā arī nodrošina trešo valstu elektroenerģijas tranzītu. Spēkā esošais sadarbības modelis starp Baltijas valstīm un trešajām valstīm kā arī tā juridiskais ietvars ierobežo informācijas apmaiņu ar Eiropas pārvades sistēmas operatoriem, kā arī ierobežo iespējas nodrošināt saskaņotu rīcību (piemēram, attiecībā uz elektropārvades līniju atslēgumiem) starp Baltijas valstīm un pārējo Eiropu. Baltijas valstu elektropārvades tīklu sinhrona darba uzsākšana ar Eiropas tīkliem ir plānota 10 gadu laikā pēc lēmuma par sinhronizācijas scenāriju pieņemšanas (t.i. līdz aptuveni 2025.gadam). </w:t>
      </w:r>
    </w:p>
    <w:p w14:paraId="526D6C3A" w14:textId="74181A1D" w:rsidR="006D1920" w:rsidRPr="0006202C" w:rsidRDefault="006D1920" w:rsidP="006D1920">
      <w:pPr>
        <w:pStyle w:val="Default"/>
        <w:spacing w:before="120" w:after="120"/>
        <w:jc w:val="both"/>
      </w:pPr>
      <w:r w:rsidRPr="005E64F8">
        <w:rPr>
          <w:i/>
        </w:rPr>
        <w:t>Igaunijas – Latvijas trešais starpsavienojums.</w:t>
      </w:r>
      <w:r w:rsidRPr="0006202C">
        <w:t xml:space="preserve"> Starpsavienojuma Kilingi-Nõmme (</w:t>
      </w:r>
      <w:r w:rsidR="006366D6">
        <w:t>Igaunija</w:t>
      </w:r>
      <w:r w:rsidRPr="0006202C">
        <w:t xml:space="preserve">) – Rīgas TEC-2 (LV) projekts ir uzskatāms par vienu no nozīmīgākajiem projektiem visam Baltijas jūras reģionam, jo palielinās caurlaides spējas Igaunijas-Latvijas šķērsgriezumā par 500/600 MW normālā shēmā un līdz 300/500 MW izolētā darba režīmā. Igaunijas – Latvijas trešā starpsavienojuma ietvaros plānots arī Rīgas TEC-2 – Rīgas HES projekts, kas ir Latvijas elektroenerģijas pārvades tīkla Rīgas mezgla pastiprinājums. Tas nodrošinās Igaunijas – Latvijas trešā starpsavienojuma pilnu funkcionalitāti remontu un atslēgumu gadījumos Rīgas reģiona pārvades elektrotīklos. Igaunijas – Latvijas trešais starpsavienojums ir arī viens no būtiskākajiem un centrālajiem projektiem Baltijas elektropārvades tīklā, turpmāk Baltijas valstīm strādājot sinhroni ar kontinentālas Eiropas tīkliem. </w:t>
      </w:r>
    </w:p>
    <w:p w14:paraId="4ADDC8DB" w14:textId="5909A469" w:rsidR="006D1920" w:rsidRPr="0006202C" w:rsidRDefault="006D1920" w:rsidP="006D1920">
      <w:pPr>
        <w:pStyle w:val="Default"/>
        <w:spacing w:before="120" w:after="120"/>
        <w:jc w:val="both"/>
      </w:pPr>
      <w:r w:rsidRPr="005E64F8">
        <w:rPr>
          <w:i/>
        </w:rPr>
        <w:t>Starpsavienojums Tartu (</w:t>
      </w:r>
      <w:r w:rsidR="006366D6">
        <w:rPr>
          <w:i/>
        </w:rPr>
        <w:t>Igaunija</w:t>
      </w:r>
      <w:r w:rsidRPr="005E64F8">
        <w:rPr>
          <w:i/>
        </w:rPr>
        <w:t>) - Valmiera (LV) un starpsavienojums Tsirgulina (</w:t>
      </w:r>
      <w:r w:rsidR="006366D6">
        <w:rPr>
          <w:i/>
        </w:rPr>
        <w:t>Igaunija</w:t>
      </w:r>
      <w:r w:rsidRPr="005E64F8">
        <w:rPr>
          <w:i/>
        </w:rPr>
        <w:t>) - Valmiera (LV).</w:t>
      </w:r>
      <w:r w:rsidRPr="0006202C">
        <w:t xml:space="preserve"> Līdzīgi kā minēts iepriekš, arī abas 330kV elektropārvades līnijas Tartu - Valmiera un Tsirgulina - Valmiera kalpo par priekšnoteikumu veiksmīgai Baltijas valstu elektroenerģijas sistēmu sinhronizācijai ar kontinentālās Eiropas elektroenerģijas sistēmām. Šo abu starpsavienojumu modernizācija ir paredzēta, lai pilnībā likvidētu caurlaides spējas </w:t>
      </w:r>
      <w:r w:rsidRPr="0006202C">
        <w:lastRenderedPageBreak/>
        <w:t xml:space="preserve">ierobežojumus Igaunijas-Latvijas šķērsgriezumā arī pēc 2020. gada, kad būs ievests ekspluatācijā Igaunijas-Latvijas trešais starpsavienojums, kā arī palielinātu summāro caurlaides spēju caur Baltijas valstīm par 600 MW. </w:t>
      </w:r>
    </w:p>
    <w:p w14:paraId="449EE0EF" w14:textId="59CDB3F3" w:rsidR="00E47703" w:rsidRPr="008B628A" w:rsidRDefault="00E47703" w:rsidP="00E47703">
      <w:pPr>
        <w:pStyle w:val="Default"/>
        <w:spacing w:before="120" w:after="120"/>
        <w:jc w:val="center"/>
      </w:pPr>
      <w:r w:rsidRPr="008B628A">
        <w:rPr>
          <w:noProof/>
          <w:lang w:eastAsia="lv-LV"/>
        </w:rPr>
        <w:drawing>
          <wp:inline distT="0" distB="0" distL="0" distR="0" wp14:anchorId="43E3AD7F" wp14:editId="1FECC852">
            <wp:extent cx="4483241" cy="27281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9859" cy="2732175"/>
                    </a:xfrm>
                    <a:prstGeom prst="rect">
                      <a:avLst/>
                    </a:prstGeom>
                    <a:noFill/>
                    <a:ln>
                      <a:noFill/>
                    </a:ln>
                  </pic:spPr>
                </pic:pic>
              </a:graphicData>
            </a:graphic>
          </wp:inline>
        </w:drawing>
      </w:r>
    </w:p>
    <w:p w14:paraId="437D5A07" w14:textId="4EE30512" w:rsidR="00E47703" w:rsidRPr="008B628A" w:rsidRDefault="0011587F" w:rsidP="00E47703">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6067D4">
        <w:rPr>
          <w:noProof/>
        </w:rPr>
        <w:t>5</w:t>
      </w:r>
      <w:r w:rsidRPr="008B628A">
        <w:rPr>
          <w:noProof/>
        </w:rPr>
        <w:fldChar w:fldCharType="end"/>
      </w:r>
      <w:r w:rsidR="00E47703" w:rsidRPr="008B628A">
        <w:t>.attēls. Esošais</w:t>
      </w:r>
      <w:r w:rsidR="00C94F42" w:rsidRPr="008B628A">
        <w:t xml:space="preserve"> augstsprieguma infrastruktūras tīkls un plānotie projekti</w:t>
      </w:r>
      <w:r w:rsidR="00C94F42" w:rsidRPr="008B628A">
        <w:rPr>
          <w:rStyle w:val="FootnoteReference"/>
        </w:rPr>
        <w:footnoteReference w:id="112"/>
      </w:r>
    </w:p>
    <w:p w14:paraId="62A1ECD9" w14:textId="61F52D81" w:rsidR="008E4C90" w:rsidRPr="008B628A" w:rsidRDefault="006D1920" w:rsidP="0006202C">
      <w:pPr>
        <w:pStyle w:val="Default"/>
        <w:spacing w:before="120" w:after="120"/>
        <w:jc w:val="both"/>
        <w:rPr>
          <w:color w:val="auto"/>
        </w:rPr>
      </w:pPr>
      <w:r w:rsidRPr="0006202C">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(turpmāk </w:t>
      </w:r>
      <w:r w:rsidR="005A2B35">
        <w:t>–</w:t>
      </w:r>
      <w:r w:rsidRPr="0006202C">
        <w:t xml:space="preserve"> IPGK), kuras ietilpība ir 2,3 mljrd. m3 aktīvās gāzes,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IPGK. IPGK ir vienīgā funkcionējošā krātuve Baltijas valstīs un tā nodrošina reģionālās gāzes apgādes stabilitāti. Vasaras sezonā, kad dabasgāzes patēriņš reģionā ir mazāks nekā aukstajā laikā, dabasgāze tiek iesūknēta krātuvē, lai apkures sezonā to piegādātu patērētājiem Latvijā, Igaunijā, Krievijas ziemeļrietumu reģionā un Lietuvā. IPGK </w:t>
      </w:r>
      <w:r w:rsidRPr="0006202C">
        <w:rPr>
          <w:color w:val="auto"/>
        </w:rPr>
        <w:t>dod iespēju nodrošināt Latvijas patērētājiem dabasgāzi, un to neietekmē īslaicīgas dabasgāzes pieprasījuma izmaiņas citās valstīs. Svarīga esošās infrastruktūras efektīva izmantošana, tāpēc īpaši būtiska loma Latvijā ir IPGK, kam ir jāturpina modernizācija ar mērķi palielināt krātuves elastīgumu, lai nodrošinātu tirgu ar tam nepieciešamajiem produktiem un krātuves darbības drošību.</w:t>
      </w:r>
    </w:p>
    <w:p w14:paraId="75548B0A" w14:textId="62B6F984" w:rsidR="0006202C" w:rsidRPr="008B628A" w:rsidRDefault="008E4C90" w:rsidP="008E4C90">
      <w:pPr>
        <w:pStyle w:val="Default"/>
        <w:spacing w:before="120" w:after="120"/>
        <w:jc w:val="center"/>
        <w:rPr>
          <w:color w:val="auto"/>
        </w:rPr>
      </w:pPr>
      <w:r w:rsidRPr="008B628A">
        <w:rPr>
          <w:noProof/>
          <w:color w:val="auto"/>
          <w:lang w:eastAsia="lv-LV"/>
        </w:rPr>
        <w:lastRenderedPageBreak/>
        <w:drawing>
          <wp:inline distT="0" distB="0" distL="0" distR="0" wp14:anchorId="46645394" wp14:editId="2A618493">
            <wp:extent cx="4409637" cy="26995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208F2A93" w14:textId="0D847C5C" w:rsidR="008E4C90" w:rsidRPr="008B628A" w:rsidRDefault="0011587F"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6067D4">
        <w:rPr>
          <w:noProof/>
        </w:rPr>
        <w:t>6</w:t>
      </w:r>
      <w:r w:rsidRPr="008B628A">
        <w:rPr>
          <w:noProof/>
        </w:rPr>
        <w:fldChar w:fldCharType="end"/>
      </w:r>
      <w:r w:rsidR="008E4C90" w:rsidRPr="008B628A">
        <w:t>.attēls. Dabasgāzes pārvades sistēma Latvijā</w:t>
      </w:r>
      <w:r w:rsidR="008E4C90" w:rsidRPr="008B628A">
        <w:rPr>
          <w:rStyle w:val="FootnoteReference"/>
        </w:rPr>
        <w:footnoteReference w:id="113"/>
      </w:r>
    </w:p>
    <w:p w14:paraId="47B4D01F" w14:textId="77777777" w:rsidR="006D1920" w:rsidRPr="0006202C" w:rsidRDefault="006D1920" w:rsidP="006D1920">
      <w:pPr>
        <w:pStyle w:val="Default"/>
        <w:spacing w:before="120" w:after="120"/>
        <w:jc w:val="both"/>
        <w:rPr>
          <w:color w:val="auto"/>
        </w:rPr>
      </w:pPr>
      <w:r w:rsidRPr="0006202C">
        <w:rPr>
          <w:color w:val="auto"/>
        </w:rPr>
        <w:t xml:space="preserve">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 Vienlaikus, ņemot vērā faktisko Baltijas valstu starpvalstu un termināļa regazifikācijas kapacitāti, kā arī iespējamo sašķidrinātas dabasgāzes kravu piegādes termiņu palielināšanos augsta pieprasījuma apstākļos vai nelabvēlīgu laika apstākļu ietekmē, ir būtiski ņemt vērā iespējamos dabasgāzes piegāžu ierobežojumus, kas var veidoties apkures sezonā. </w:t>
      </w:r>
      <w:r>
        <w:rPr>
          <w:color w:val="auto"/>
        </w:rPr>
        <w:t xml:space="preserve">Tādējādi būtiski ir turpināt </w:t>
      </w:r>
      <w:r>
        <w:t>realizēt ieguldījumus infrastruktūras attīstībā arī nākotnē pēc esošo infrastruktūras projektu pabeigšanas.</w:t>
      </w:r>
    </w:p>
    <w:p w14:paraId="2ACE9E23" w14:textId="5537D829" w:rsidR="00F343DA" w:rsidRPr="008B628A" w:rsidRDefault="00F343DA" w:rsidP="0006202C">
      <w:pPr>
        <w:pStyle w:val="Heading4"/>
      </w:pPr>
      <w:r w:rsidRPr="008B628A">
        <w:t>Galvenie iecerētie</w:t>
      </w:r>
      <w:r w:rsidR="006D1920">
        <w:t xml:space="preserve"> nākotnes</w:t>
      </w:r>
      <w:r w:rsidRPr="008B628A">
        <w:t xml:space="preserve"> infrastruktūras projekti</w:t>
      </w:r>
      <w:bookmarkEnd w:id="135"/>
      <w:bookmarkEnd w:id="136"/>
    </w:p>
    <w:p w14:paraId="43F10A91" w14:textId="77777777" w:rsidR="006D1920" w:rsidRPr="0006202C" w:rsidRDefault="006D1920" w:rsidP="006D1920">
      <w:pPr>
        <w:pStyle w:val="Default"/>
        <w:spacing w:before="120" w:after="120"/>
        <w:jc w:val="both"/>
        <w:rPr>
          <w:color w:val="auto"/>
        </w:rPr>
      </w:pPr>
      <w:bookmarkStart w:id="137" w:name="_Toc520978829"/>
      <w:bookmarkStart w:id="138" w:name="_Toc527529467"/>
      <w:r w:rsidRPr="0006202C">
        <w:rPr>
          <w:color w:val="auto"/>
        </w:rPr>
        <w:t xml:space="preserve">Pļaviņu HES pārgāznes projekts. Pļaviņu HES ar 10 hidroagregātiem un uzstādīto jaudu 897 MW, ir viena no lielākajām ražošanas jaudas rezervēm Baltijas valstīs ar iespēju momentānai ģenerējošo jaudu palaišanai. Tomēr secināts, ka pašreizējās HES pārgāznes kapacitāte nav pietiekami liela, lai novērstu aprēķināto, 10 000 gadu periodā iespējamo maksimālo iespējamo plūdu negatīvās sekas un bīstamību ūdenskrātuves dambju drošībai. Kā risinājums ir izstrādāts Pļaviņu HES pārgāznes projekts - būve blakus esošajam Pļaviņu HES ar kopgarumu 1121 m ar četriem savstarpēji atdalītiem kanāliem (katrs kanāls aptuveni 11 m augsts un 9 m plats). Rezerves pārgāzne ietver šādas konstrukcijas: pievadkanālu, aizsprostu, tekni, krītaku un novadkanālu. Aizsprosta paredzamā maksimālā caurplūde ir 4000 m3/sekundē iespējamo maksimālo plūdu laikā. Aizsprosts ir paredzēts kā viens bloks, kura garums plūsmas virzienā ir 54 m un šķērsām plūsmai 56 m. </w:t>
      </w:r>
    </w:p>
    <w:p w14:paraId="5A921B0D" w14:textId="42B97FD7" w:rsidR="00581156" w:rsidRPr="008B628A" w:rsidRDefault="00581156" w:rsidP="0006202C">
      <w:pPr>
        <w:pStyle w:val="Heading3"/>
      </w:pPr>
      <w:r w:rsidRPr="008B628A">
        <w:t>Tirgus integrācija</w:t>
      </w:r>
      <w:bookmarkEnd w:id="137"/>
      <w:bookmarkEnd w:id="138"/>
      <w:r w:rsidRPr="008B628A">
        <w:t xml:space="preserve"> </w:t>
      </w:r>
    </w:p>
    <w:p w14:paraId="1F17254C" w14:textId="77777777" w:rsidR="00F343DA" w:rsidRPr="008B628A" w:rsidRDefault="00F343DA" w:rsidP="0006202C">
      <w:pPr>
        <w:pStyle w:val="Heading4"/>
      </w:pPr>
      <w:bookmarkStart w:id="139" w:name="_Ref518574495"/>
      <w:bookmarkStart w:id="140" w:name="_Toc527529468"/>
      <w:r w:rsidRPr="008B628A">
        <w:t>Nacionālie mērķi attiecībā uz citiem iekšējā enerģijas tirgus aspektiem</w:t>
      </w:r>
      <w:bookmarkEnd w:id="139"/>
      <w:bookmarkEnd w:id="140"/>
    </w:p>
    <w:p w14:paraId="204E863B" w14:textId="77777777" w:rsidR="006D1920" w:rsidRPr="0006202C" w:rsidRDefault="006D1920" w:rsidP="006D1920">
      <w:pPr>
        <w:pStyle w:val="Default"/>
        <w:spacing w:before="120" w:after="120"/>
        <w:jc w:val="both"/>
        <w:rPr>
          <w:color w:val="auto"/>
        </w:rPr>
      </w:pPr>
      <w:bookmarkStart w:id="141" w:name="_Ref518574500"/>
      <w:bookmarkStart w:id="142" w:name="_Toc527529469"/>
      <w:r>
        <w:rPr>
          <w:color w:val="auto"/>
        </w:rPr>
        <w:t>Elektroenerģijas</w:t>
      </w:r>
      <w:r w:rsidRPr="0006202C">
        <w:rPr>
          <w:color w:val="auto"/>
        </w:rPr>
        <w:t xml:space="preserve"> lietotāji turpināja optimizēt elektroenerģijas pieslēguma jaudu, vidēji pieslēguma jaudas izmantošanas efektivitāte pieaugusi līdz 7,5 %.</w:t>
      </w:r>
      <w:r>
        <w:rPr>
          <w:color w:val="auto"/>
        </w:rPr>
        <w:t xml:space="preserve"> Kopējā lietotāju pieprasītā jauda uz 2018.gada 9 mēnešu perioda beigām ir 11 082 MWA, kas ir samazināta par 217 MWA jeb 1,9% salīdzinot ar lietotāju pieprasīto jaudu 2018.gada sākumā. </w:t>
      </w:r>
      <w:r w:rsidRPr="0006202C">
        <w:rPr>
          <w:color w:val="auto"/>
        </w:rPr>
        <w:t xml:space="preserve"> Kopš 2016. gada maija, kad SPRK apstiprināja AS „Sadales tīkls” tarifu izmaiņas, saņemti </w:t>
      </w:r>
      <w:r>
        <w:rPr>
          <w:color w:val="auto"/>
        </w:rPr>
        <w:t xml:space="preserve">vairāk kā </w:t>
      </w:r>
      <w:r w:rsidRPr="0006202C">
        <w:rPr>
          <w:color w:val="auto"/>
        </w:rPr>
        <w:t xml:space="preserve">42 </w:t>
      </w:r>
      <w:r>
        <w:rPr>
          <w:color w:val="auto"/>
        </w:rPr>
        <w:t>000</w:t>
      </w:r>
      <w:r w:rsidRPr="0006202C">
        <w:rPr>
          <w:color w:val="auto"/>
        </w:rPr>
        <w:t xml:space="preserve"> pieslēguma jaudas izmaiņas pieteikumi, </w:t>
      </w:r>
      <w:r>
        <w:rPr>
          <w:color w:val="auto"/>
        </w:rPr>
        <w:t xml:space="preserve">vairāk kā </w:t>
      </w:r>
      <w:r w:rsidRPr="0006202C">
        <w:rPr>
          <w:color w:val="auto"/>
        </w:rPr>
        <w:t xml:space="preserve">14 </w:t>
      </w:r>
      <w:r>
        <w:rPr>
          <w:color w:val="auto"/>
        </w:rPr>
        <w:t>000</w:t>
      </w:r>
      <w:r w:rsidRPr="0006202C">
        <w:rPr>
          <w:color w:val="auto"/>
        </w:rPr>
        <w:t xml:space="preserve"> lietotāji ar patēriņu 0 līdz 120 kWh/gadā lauzuši </w:t>
      </w:r>
      <w:r w:rsidRPr="0006202C">
        <w:rPr>
          <w:color w:val="auto"/>
        </w:rPr>
        <w:lastRenderedPageBreak/>
        <w:t xml:space="preserve">līgumus. 1 473 lietotāji izmantojuši tarifu izmaiņu ieviešanas pārejas perioda iespējas un pilnīgi vai daļēji atjaunojuši jaudu 123 398 kW apjomā. Jauni pieslēgumi un slodzes palielinājumi notiek atbilstoši SPRK padomes 2018.gada 27.marta lēmumu Nr.1/7 “Sistēmas pieslēguma noteikumi elektroenerģijas sistēmas dalībniekiem”. </w:t>
      </w:r>
      <w:r>
        <w:rPr>
          <w:color w:val="auto"/>
        </w:rPr>
        <w:t>Elektrotīkla pieslēguma jaudas samazināšana ir bezmaksas pakalpojums.</w:t>
      </w:r>
    </w:p>
    <w:p w14:paraId="5E29049E" w14:textId="77777777" w:rsidR="00F343DA" w:rsidRPr="008B628A" w:rsidRDefault="00F343DA" w:rsidP="0006202C">
      <w:pPr>
        <w:pStyle w:val="Heading4"/>
      </w:pPr>
      <w:r w:rsidRPr="008B628A">
        <w:t>Nacionālie mērķi attiecībā uz AER dalībnieku nediskrimināciju</w:t>
      </w:r>
      <w:bookmarkEnd w:id="141"/>
      <w:bookmarkEnd w:id="142"/>
    </w:p>
    <w:p w14:paraId="71A66209" w14:textId="1CF94A6C" w:rsidR="00B27674" w:rsidRPr="008B628A" w:rsidRDefault="00B27674" w:rsidP="0006202C">
      <w:pPr>
        <w:pStyle w:val="NormalWeb"/>
        <w:spacing w:before="120" w:beforeAutospacing="0" w:after="120" w:afterAutospacing="0"/>
        <w:jc w:val="both"/>
        <w:rPr>
          <w:bCs/>
          <w:color w:val="000000" w:themeColor="text1"/>
        </w:rPr>
      </w:pPr>
      <w:r w:rsidRPr="008B628A">
        <w:rPr>
          <w:bCs/>
          <w:color w:val="000000" w:themeColor="text1"/>
        </w:rPr>
        <w:t xml:space="preserve">Latvijā nav noteikti valstī specifiski aizliegumi kādai konkrētai AER tehnoloģijai vai veidam, bet ir noteikti konkrēti ierobežojumi tehnoloģiju atrašanās vietai vai atbilstībai vides, </w:t>
      </w:r>
      <w:r w:rsidR="00BF683B" w:rsidRPr="008B628A">
        <w:rPr>
          <w:bCs/>
          <w:color w:val="000000" w:themeColor="text1"/>
        </w:rPr>
        <w:t xml:space="preserve">bioloģiskās daudzveidības, </w:t>
      </w:r>
      <w:r w:rsidRPr="008B628A">
        <w:rPr>
          <w:bCs/>
          <w:color w:val="000000" w:themeColor="text1"/>
        </w:rPr>
        <w:t>sabiedrības</w:t>
      </w:r>
      <w:r w:rsidR="003944A6" w:rsidRPr="008B628A">
        <w:rPr>
          <w:bCs/>
          <w:color w:val="000000" w:themeColor="text1"/>
        </w:rPr>
        <w:t xml:space="preserve"> vai teritoriālajiem nosacījumiem. Saskaņā ar likuma “Par piesārņojumu” 8.</w:t>
      </w:r>
      <w:r w:rsidR="003944A6" w:rsidRPr="008B628A">
        <w:rPr>
          <w:bCs/>
          <w:color w:val="000000" w:themeColor="text1"/>
          <w:vertAlign w:val="superscript"/>
        </w:rPr>
        <w:t>2</w:t>
      </w:r>
      <w:r w:rsidR="003944A6" w:rsidRPr="008B628A">
        <w:rPr>
          <w:bCs/>
          <w:color w:val="000000" w:themeColor="text1"/>
        </w:rPr>
        <w:t xml:space="preserve"> pantu</w:t>
      </w:r>
      <w:r w:rsidR="00EA362F" w:rsidRPr="008B628A">
        <w:rPr>
          <w:bCs/>
          <w:color w:val="000000" w:themeColor="text1"/>
        </w:rPr>
        <w:t>,</w:t>
      </w:r>
      <w:r w:rsidR="003944A6" w:rsidRPr="008B628A">
        <w:t xml:space="preserve"> </w:t>
      </w:r>
      <w:r w:rsidR="003944A6" w:rsidRPr="008B628A">
        <w:rPr>
          <w:bCs/>
          <w:color w:val="000000" w:themeColor="text1"/>
        </w:rPr>
        <w:t>Latvijas teritorijā, tās ekskluzīvajā ekonomiskajā zonā un kontinentālajā šelfā ir aizliegta oglekļa dioksīda uzglabāšana ģeoloģiskās struktūrās, kā arī vertikālajā ūdens slānī.</w:t>
      </w:r>
    </w:p>
    <w:p w14:paraId="0E79BEF1" w14:textId="77777777" w:rsidR="00F343DA" w:rsidRPr="008B628A" w:rsidRDefault="00F343DA" w:rsidP="0006202C">
      <w:pPr>
        <w:pStyle w:val="Heading4"/>
      </w:pPr>
      <w:bookmarkStart w:id="143" w:name="_Ref518574504"/>
      <w:bookmarkStart w:id="144" w:name="_Toc527529470"/>
      <w:bookmarkStart w:id="145" w:name="_Hlk521920039"/>
      <w:r w:rsidRPr="008B628A">
        <w:t>Nacionālie mērķi attiecībā uz patērētāja dalību</w:t>
      </w:r>
      <w:bookmarkEnd w:id="143"/>
      <w:bookmarkEnd w:id="144"/>
    </w:p>
    <w:p w14:paraId="4A0F5F4D"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bookmarkStart w:id="146" w:name="_Ref518574508"/>
      <w:bookmarkStart w:id="147" w:name="_Toc527529471"/>
      <w:bookmarkEnd w:id="145"/>
      <w:r w:rsidRPr="0017515F">
        <w:rPr>
          <w:rFonts w:ascii="Times New Roman" w:hAnsi="Times New Roman" w:cs="Times New Roman"/>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4AC7E876" w14:textId="062BC2D9"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Patērētāju interesēs </w:t>
      </w:r>
      <w:r w:rsidRPr="0017515F">
        <w:rPr>
          <w:rFonts w:ascii="Times New Roman" w:hAnsi="Times New Roman" w:cs="Times New Roman"/>
          <w:color w:val="000000" w:themeColor="text1"/>
          <w:szCs w:val="24"/>
        </w:rPr>
        <w:t>ar Elektroenerģijas tirgus likuma 30.</w:t>
      </w:r>
      <w:r w:rsidRPr="0017515F">
        <w:rPr>
          <w:rFonts w:ascii="Times New Roman" w:hAnsi="Times New Roman"/>
          <w:color w:val="000000" w:themeColor="text1"/>
          <w:vertAlign w:val="superscript"/>
        </w:rPr>
        <w:t>1</w:t>
      </w:r>
      <w:r w:rsidRPr="0017515F">
        <w:rPr>
          <w:rFonts w:ascii="Times New Roman" w:hAnsi="Times New Roman" w:cs="Times New Roman"/>
          <w:color w:val="000000" w:themeColor="text1"/>
          <w:szCs w:val="24"/>
        </w:rPr>
        <w:t xml:space="preserve"> pantu</w:t>
      </w:r>
      <w:r>
        <w:rPr>
          <w:rFonts w:ascii="Times New Roman" w:hAnsi="Times New Roman" w:cs="Times New Roman"/>
          <w:color w:val="000000" w:themeColor="text1"/>
          <w:szCs w:val="24"/>
        </w:rPr>
        <w:t xml:space="preserve"> ieviesta arī e</w:t>
      </w:r>
      <w:r w:rsidRPr="0017515F">
        <w:rPr>
          <w:rFonts w:ascii="Times New Roman" w:hAnsi="Times New Roman" w:cs="Times New Roman"/>
          <w:color w:val="000000" w:themeColor="text1"/>
          <w:szCs w:val="24"/>
        </w:rPr>
        <w:t xml:space="preserve">lektroenerģijas </w:t>
      </w:r>
      <w:r w:rsidR="005A2B35">
        <w:rPr>
          <w:rFonts w:ascii="Times New Roman" w:hAnsi="Times New Roman" w:cs="Times New Roman"/>
          <w:color w:val="000000" w:themeColor="text1"/>
          <w:szCs w:val="24"/>
        </w:rPr>
        <w:t>neto</w:t>
      </w:r>
      <w:r w:rsidR="005A2B35" w:rsidRPr="0017515F">
        <w:rPr>
          <w:rFonts w:ascii="Times New Roman" w:hAnsi="Times New Roman" w:cs="Times New Roman"/>
          <w:color w:val="000000" w:themeColor="text1"/>
          <w:szCs w:val="24"/>
        </w:rPr>
        <w:t xml:space="preserve"> </w:t>
      </w:r>
      <w:r w:rsidRPr="0017515F">
        <w:rPr>
          <w:rFonts w:ascii="Times New Roman" w:hAnsi="Times New Roman" w:cs="Times New Roman"/>
          <w:color w:val="000000" w:themeColor="text1"/>
          <w:szCs w:val="24"/>
        </w:rPr>
        <w:t xml:space="preserve">norēķinu sistēma mikroģeneratoriem, un tā ir spēkā </w:t>
      </w:r>
      <w:r>
        <w:rPr>
          <w:rFonts w:ascii="Times New Roman" w:hAnsi="Times New Roman" w:cs="Times New Roman"/>
          <w:color w:val="000000" w:themeColor="text1"/>
          <w:szCs w:val="24"/>
        </w:rPr>
        <w:t>no</w:t>
      </w:r>
      <w:r w:rsidRPr="0017515F">
        <w:rPr>
          <w:rFonts w:ascii="Times New Roman" w:hAnsi="Times New Roman" w:cs="Times New Roman"/>
          <w:color w:val="000000" w:themeColor="text1"/>
          <w:szCs w:val="24"/>
        </w:rPr>
        <w:t xml:space="preserve"> 2014. gada 1.janvār</w:t>
      </w:r>
      <w:r>
        <w:rPr>
          <w:rFonts w:ascii="Times New Roman" w:hAnsi="Times New Roman" w:cs="Times New Roman"/>
          <w:color w:val="000000" w:themeColor="text1"/>
          <w:szCs w:val="24"/>
        </w:rPr>
        <w:t>a</w:t>
      </w:r>
      <w:r w:rsidRPr="0017515F">
        <w:rPr>
          <w:rFonts w:ascii="Times New Roman" w:hAnsi="Times New Roman" w:cs="Times New Roman"/>
          <w:color w:val="000000" w:themeColor="text1"/>
          <w:szCs w:val="24"/>
        </w:rPr>
        <w:t xml:space="preserve"> visām mājsaimniecībām, kas ražo elektroenerģiju savām vajadzībām no </w:t>
      </w:r>
      <w:r w:rsidRPr="0017515F">
        <w:rPr>
          <w:rFonts w:ascii="Times New Roman" w:eastAsia="Calibri" w:hAnsi="Times New Roman" w:cs="Times New Roman"/>
          <w:szCs w:val="24"/>
        </w:rPr>
        <w:t>AER.</w:t>
      </w:r>
      <w:r w:rsidRPr="0017515F">
        <w:rPr>
          <w:rFonts w:ascii="Times New Roman" w:hAnsi="Times New Roman" w:cs="Times New Roman"/>
          <w:color w:val="000000" w:themeColor="text1"/>
          <w:szCs w:val="24"/>
        </w:rPr>
        <w:t xml:space="preserve"> Piemēram, izmantojot saules </w:t>
      </w:r>
      <w:r>
        <w:rPr>
          <w:rFonts w:ascii="Times New Roman" w:hAnsi="Times New Roman" w:cs="Times New Roman"/>
          <w:color w:val="000000" w:themeColor="text1"/>
          <w:szCs w:val="24"/>
        </w:rPr>
        <w:t>paneļus</w:t>
      </w:r>
      <w:r w:rsidRPr="0017515F">
        <w:rPr>
          <w:rFonts w:ascii="Times New Roman" w:hAnsi="Times New Roman" w:cs="Times New Roman"/>
          <w:color w:val="000000" w:themeColor="text1"/>
          <w:szCs w:val="24"/>
        </w:rPr>
        <w:t xml:space="preserve"> vai vēja elektrostacijas, ir iespēja veikt neto uzskaiti, vai tā ir iespēja nodot saražoto elektroenerģiju elektrotīklā un atkal izmantot brīžos, kad tas ir nepieciešams. Mājsaimniecības iegūst ērtu veidu, kā izmantot saražoto elektroenerģiju norēķinu gada ietvaros brīžos, kad tas ir nepieciešams. Piemēram, vasaras mēnešos, kad elektrības patēriņš samazinās, bet saules </w:t>
      </w:r>
      <w:r>
        <w:rPr>
          <w:rFonts w:ascii="Times New Roman" w:hAnsi="Times New Roman" w:cs="Times New Roman"/>
          <w:color w:val="000000" w:themeColor="text1"/>
          <w:szCs w:val="24"/>
        </w:rPr>
        <w:t>paneļi</w:t>
      </w:r>
      <w:r w:rsidRPr="0017515F">
        <w:rPr>
          <w:rFonts w:ascii="Times New Roman" w:hAnsi="Times New Roman" w:cs="Times New Roman"/>
          <w:color w:val="000000" w:themeColor="text1"/>
          <w:szCs w:val="24"/>
        </w:rPr>
        <w:t xml:space="preserve"> strādā visintensīvāk, iespējams uzkrāt elektroenerģiju ziemas mēnešiem, kad tās patēriņš būtiski pieaug.</w:t>
      </w:r>
      <w:r>
        <w:rPr>
          <w:rFonts w:ascii="Times New Roman" w:hAnsi="Times New Roman" w:cs="Times New Roman"/>
          <w:color w:val="000000" w:themeColor="text1"/>
          <w:szCs w:val="24"/>
        </w:rPr>
        <w:t xml:space="preserve"> Elektroenerģijas ražošanai no saules paneļiem patērētāji izmanto mikroģeneratorus.</w:t>
      </w:r>
      <w:r w:rsidRPr="0017515F">
        <w:rPr>
          <w:rFonts w:ascii="Times New Roman" w:hAnsi="Times New Roman" w:cs="Times New Roman"/>
          <w:color w:val="000000" w:themeColor="text1"/>
          <w:szCs w:val="24"/>
        </w:rPr>
        <w:t>Mikroģenerators ir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 Mikroģeneratora pieslēguma process tiek īstenots saskaņā ar SPRK padomes 2018.gada 27.marta lēmumu Nr.1/7 “Sistēmas pieslēguma noteikumi elektroenerģijas sistēmas dalībniekiem” noteikto procesa kārtību.</w:t>
      </w:r>
    </w:p>
    <w:p w14:paraId="722DC863"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No 2012.gada Ekonomikas ministrija ir izdevusi aptuveni 600 atļaujas jaunu elektroenerģijas ražošanas iekārtu ieviešanai, no kurām lielākā daļa ir mikroģenerācijas iekārtām ar jaudu no 0,0035 MW līdz 0,1 MW.</w:t>
      </w:r>
    </w:p>
    <w:p w14:paraId="57F95B0F" w14:textId="77777777" w:rsidR="00F343DA" w:rsidRPr="008B628A" w:rsidRDefault="00F343DA" w:rsidP="0006202C">
      <w:pPr>
        <w:pStyle w:val="Heading4"/>
      </w:pPr>
      <w:r w:rsidRPr="008B628A">
        <w:t>Nacionālie mērķi attiecībā uz elektrības sistēmas adekvātumu</w:t>
      </w:r>
      <w:bookmarkEnd w:id="146"/>
      <w:bookmarkEnd w:id="147"/>
    </w:p>
    <w:p w14:paraId="2DBF6F68"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Latvijas pārvades sistēmas operators 2018.gadā ir veicis elektroenerģijas un elektriskās jaudas bilanču prognozi, kā arī elektroenerģijas patēriņa prognozi trim iespējamajiem scenārijiem:</w:t>
      </w:r>
    </w:p>
    <w:p w14:paraId="2421B044"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A „Konservatīva attīstība”:</w:t>
      </w:r>
      <w:r w:rsidRPr="0095312D">
        <w:rPr>
          <w:rFonts w:ascii="Times New Roman" w:hAnsi="Times New Roman" w:cs="Times New Roman"/>
          <w:color w:val="000000" w:themeColor="text1"/>
          <w:szCs w:val="24"/>
        </w:rPr>
        <w:t xml:space="preserve"> Elektroenerģijas sistēmas slodzes prognoze balstīta uz Latvijas sadales sistēmas operatoru iesniegto informāciju par slodzes un elektroenerģijas patēriņa attīstību. Ģenerējošo jaudu attīstības prognoze plānota, ievērojot gāzes elektrostaciju darbu elektroenerģijas tirgus apstākļos, pārsvarā strādājot tikai koģenerācijas režīmā ziemas periodā. Konservatīvajā scenārijā vēja staciju, biomasas un biogāzes staciju, mazo gāzes koģenerācijas staciju un saules elektrostaciju attīstība plānota ar nosacījumu, ka katra ģenerācijas avota attīstības tempus Latvijā var ietekmēt iespējamas valsts atbalsta shēmas </w:t>
      </w:r>
      <w:r w:rsidRPr="0095312D">
        <w:rPr>
          <w:rFonts w:ascii="Times New Roman" w:hAnsi="Times New Roman" w:cs="Times New Roman"/>
          <w:color w:val="000000" w:themeColor="text1"/>
          <w:szCs w:val="24"/>
        </w:rPr>
        <w:lastRenderedPageBreak/>
        <w:t>izmaiņas. Sakarā ar</w:t>
      </w:r>
      <w:r>
        <w:rPr>
          <w:rFonts w:ascii="Times New Roman" w:hAnsi="Times New Roman" w:cs="Times New Roman"/>
          <w:color w:val="000000" w:themeColor="text1"/>
          <w:szCs w:val="24"/>
        </w:rPr>
        <w:t xml:space="preserve"> </w:t>
      </w:r>
      <w:r w:rsidRPr="0095312D">
        <w:rPr>
          <w:rFonts w:ascii="Times New Roman" w:hAnsi="Times New Roman" w:cs="Times New Roman"/>
          <w:color w:val="000000" w:themeColor="text1"/>
          <w:szCs w:val="24"/>
        </w:rPr>
        <w:t>OIK izmaiņām, no 2021. gada Rīgas TEC-1 tiek apturēts un jaudas bilancē nepiedalās, kā arī 2021. gada vidū plānots pārtraukt Imantas TEC izstrādi.</w:t>
      </w:r>
    </w:p>
    <w:p w14:paraId="3B73DF1E"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B „Bāzes scenārijs”:</w:t>
      </w:r>
      <w:r w:rsidRPr="0095312D">
        <w:rPr>
          <w:rFonts w:ascii="Times New Roman" w:hAnsi="Times New Roman" w:cs="Times New Roman"/>
          <w:color w:val="000000" w:themeColor="text1"/>
          <w:szCs w:val="24"/>
        </w:rPr>
        <w:t xml:space="preserve"> Elektroenerģijas sistēmas slodzes prognoze balstīta uz Ekonomikas ministrijas izsniegto IKP pieauguma prognozi Latvijas valstij, enerģētikas nozarēs iesaistītājiem sistēmas dalībniekiem, kā arī uz Latvijas sadales sistēmas operatoru iesniegto informāciju par slodzes un elektroenerģijas patēriņa attīstību. Ģenerējošo jaudu attīstības prognozē tiek ņemtas vērā elektrostacijas, kuras plānots nodot ekspluatācijā vai slēgt saskaņā ar visu elektroenerģijas sistēmas lietotāju iesniegto informāciju pā</w:t>
      </w:r>
      <w:r>
        <w:rPr>
          <w:rFonts w:ascii="Times New Roman" w:hAnsi="Times New Roman" w:cs="Times New Roman"/>
          <w:color w:val="000000" w:themeColor="text1"/>
          <w:szCs w:val="24"/>
        </w:rPr>
        <w:t>rvades sistēmas operatoram</w:t>
      </w:r>
      <w:r w:rsidRPr="0095312D">
        <w:rPr>
          <w:rFonts w:ascii="Times New Roman" w:hAnsi="Times New Roman" w:cs="Times New Roman"/>
          <w:color w:val="000000" w:themeColor="text1"/>
          <w:szCs w:val="24"/>
        </w:rPr>
        <w:t>. Bāzes scenārijā (B) Daugavas HES un Rīgas TECu elektrostaciju ražošana plānota, balstoties uz vidējo ikgadējo elektrostaciju izstrādi. Pārvades sistēmas operators pieņem, ka šajā scenārijā Rīgas TEC-1 pēc OIK izmaiņām paliks darbā un piedalīsies maksimuma slodzes segšanā. Vēja staciju, biomasas un biogāzes staciju, mazo gāzes koģenerācijas staciju un saules elektrostaciju attīstība plānota balstoties uz vēsturisku katra ģenerācijas avota attīstības tempu Latvijā un mēreniem ekonomiskajiem attīstības tempiem Latvijas valstī.</w:t>
      </w:r>
    </w:p>
    <w:p w14:paraId="67436780" w14:textId="16A33E46"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EU2030 „Optimistiska attīstība”:</w:t>
      </w:r>
      <w:r w:rsidRPr="0095312D">
        <w:rPr>
          <w:rFonts w:ascii="Times New Roman" w:hAnsi="Times New Roman" w:cs="Times New Roman"/>
          <w:color w:val="000000" w:themeColor="text1"/>
          <w:szCs w:val="24"/>
        </w:rPr>
        <w:t xml:space="preserve"> Ģenerējošo jaudu attīstības prognoze un elektroenerģijas sistēmas slodzes pieaugums balstīts uz Ekonomikas ministrijas izsniegto IKP pieauguma prognozi Latvijas valstij, ņemot vērā vēlamo ģenerācijas un slodzes attīstības tempu, lai sasniegtu Eiropas Savienības nospraustos mērķus 2030. gadam, par pamatu izmantotas Latvijas Republikas Ministru Kabineta 2016. gada 9. februārī apstiprinātās (MK Rīkojums Nr. 129) „Enerģētikas attīstības pamatnostādnes 2016-2020. gadam” un informatīvais ziņojums par Latvijas Enerģētikas ilgtermiņa stratēģiju 2030. gadam. Šajā scenārijā papildus A un B scenārija attīstības tempiem tiek ņemtas vērā arī nākotnē iespējamās elektrostacijas, kuru nodošana ekspluatācijā, saskaņā ar PSO pieejamo informāciju, tiek uzskatīta kā iespējama. Scenārijā pieņemts, ka Imantas TEC un Rīgas TEC-1 pēc OIK izmaiņām saglabā spēju piedalīties slodzes maksimuma segšanā. Šajā scenārijā, prognozējot valsts atbalstu un pārvades elektroenerģijas sistēmas infrastruktūras attīstību, </w:t>
      </w:r>
      <w:r w:rsidR="008000C9">
        <w:rPr>
          <w:rFonts w:ascii="Times New Roman" w:hAnsi="Times New Roman" w:cs="Times New Roman"/>
          <w:color w:val="000000" w:themeColor="text1"/>
          <w:szCs w:val="24"/>
        </w:rPr>
        <w:t xml:space="preserve">AER </w:t>
      </w:r>
      <w:r w:rsidRPr="0095312D">
        <w:rPr>
          <w:rFonts w:ascii="Times New Roman" w:hAnsi="Times New Roman" w:cs="Times New Roman"/>
          <w:color w:val="000000" w:themeColor="text1"/>
          <w:szCs w:val="24"/>
        </w:rPr>
        <w:t>elektroenerģijas ražotājiem prognozēta straujāka vēja, saules, biomasas un biogāzes elektrostaciju attīstība.</w:t>
      </w:r>
    </w:p>
    <w:p w14:paraId="1FE67F08" w14:textId="72E9EE6B" w:rsidR="006D1920" w:rsidRPr="0095312D"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Analizējot jaudas nodrošinājumu turpmākajiem gadiem, Konservatīvajā scenārijā (A</w:t>
      </w:r>
      <w:r>
        <w:rPr>
          <w:rFonts w:ascii="Times New Roman" w:hAnsi="Times New Roman" w:cs="Times New Roman"/>
          <w:color w:val="000000" w:themeColor="text1"/>
          <w:szCs w:val="24"/>
        </w:rPr>
        <w:t>)</w:t>
      </w:r>
      <w:r w:rsidRPr="0095312D">
        <w:rPr>
          <w:rFonts w:ascii="Times New Roman" w:hAnsi="Times New Roman" w:cs="Times New Roman"/>
          <w:color w:val="000000" w:themeColor="text1"/>
          <w:szCs w:val="24"/>
        </w:rPr>
        <w:t xml:space="preserve"> ģenerējošās jaudas ir pietiekamas tikai 2018. gadā, bet nepietiekamas lai segtu pīķa slodzi, nodrošinātu jaudas rezerves un izpildītu sistēmas regulēšanas un drošuma prasības ziemas mēnešiem visā atlikušajā laika periodā. Konservatīvajā scenārijā (A) tiek plānota Latvijas elektroenerģijas sistēmas ļoti lēna attīstība, lēns ekonomikas izaugsmes temps, jo sagaidāmas izmaiņas valsts atbalsta mehānismā attiecībā uz </w:t>
      </w:r>
      <w:r w:rsidR="008000C9">
        <w:rPr>
          <w:rFonts w:ascii="Times New Roman" w:hAnsi="Times New Roman" w:cs="Times New Roman"/>
          <w:color w:val="000000" w:themeColor="text1"/>
          <w:szCs w:val="24"/>
        </w:rPr>
        <w:t>AER</w:t>
      </w:r>
      <w:r w:rsidRPr="0095312D">
        <w:rPr>
          <w:rFonts w:ascii="Times New Roman" w:hAnsi="Times New Roman" w:cs="Times New Roman"/>
          <w:color w:val="000000" w:themeColor="text1"/>
          <w:szCs w:val="24"/>
        </w:rPr>
        <w:t xml:space="preserve"> un koģenerācijas elektrostacijām, līdz ar to, dabas gāzes elektrostaciju, ieskaitot Rīgas TEC-1 un Rīgas TEC-2, darbība elektroenerģijas brīvā tirgus apstākļos būs mazāk konkurētspējīga un mazāk efektīva.</w:t>
      </w:r>
      <w:r w:rsidR="00232BFE">
        <w:rPr>
          <w:rFonts w:ascii="Times New Roman" w:hAnsi="Times New Roman" w:cs="Times New Roman"/>
          <w:color w:val="000000" w:themeColor="text1"/>
          <w:szCs w:val="24"/>
        </w:rPr>
        <w:t xml:space="preserve"> Šajā scenārijā tiek pieņemt, ka s</w:t>
      </w:r>
      <w:r w:rsidRPr="0095312D">
        <w:rPr>
          <w:rFonts w:ascii="Times New Roman" w:hAnsi="Times New Roman" w:cs="Times New Roman"/>
          <w:color w:val="000000" w:themeColor="text1"/>
          <w:szCs w:val="24"/>
        </w:rPr>
        <w:t xml:space="preserve">akarā ar iespējamo valsts atbalsta mehānisma maiņu vai samazināšanu </w:t>
      </w:r>
      <w:r w:rsidR="00232BFE">
        <w:rPr>
          <w:rFonts w:ascii="Times New Roman" w:hAnsi="Times New Roman" w:cs="Times New Roman"/>
          <w:color w:val="000000" w:themeColor="text1"/>
          <w:szCs w:val="24"/>
        </w:rPr>
        <w:t xml:space="preserve">AER </w:t>
      </w:r>
      <w:r w:rsidRPr="0095312D">
        <w:rPr>
          <w:rFonts w:ascii="Times New Roman" w:hAnsi="Times New Roman" w:cs="Times New Roman"/>
          <w:color w:val="000000" w:themeColor="text1"/>
          <w:szCs w:val="24"/>
        </w:rPr>
        <w:t>un koģenerācijas ražotājiem obligātā iepirk</w:t>
      </w:r>
      <w:r>
        <w:rPr>
          <w:rFonts w:ascii="Times New Roman" w:hAnsi="Times New Roman" w:cs="Times New Roman"/>
          <w:color w:val="000000" w:themeColor="text1"/>
          <w:szCs w:val="24"/>
        </w:rPr>
        <w:t>umu komponentes (OIK) ietvaros</w:t>
      </w:r>
      <w:r w:rsidRPr="0095312D">
        <w:rPr>
          <w:rFonts w:ascii="Times New Roman" w:hAnsi="Times New Roman" w:cs="Times New Roman"/>
          <w:color w:val="000000" w:themeColor="text1"/>
          <w:szCs w:val="24"/>
        </w:rPr>
        <w:t xml:space="preserve">, Rīgas TEC-1 no 2021. gada tiks apturēts un tāpēc jaudas bilances nodrošināšanā nepiedalīsies. Līdzīgi arī Imantas TEC tiks apturēts 2021. gada vidū. Konservatīvajā scenārijā (A) pēc ģenerāciju attīstības tendences jaudas deficīts sasniedz 23 % uz 2023. gadu un 28 % uz 2028. gadu. Plānots, ka uz 2028. gadu 55 MW no kopējās vēja elektrostaciju neto jaudas varētu segt selgas vēja parki (angl. off-shore), kuru reālos attīstības tempus ir grūti prognozēt, sakarā ar neskaidrību valsts atbalsta mehānisma normatīvajos aktos. Ņemot vērā lēno vēja elektrostaciju attīstības tempu, Konservatīvajā scenārijā (A) ir pieņemts, ka selgas vēja parku attīstība varētu sākties ne ātrāk par 2023. gadu (minimālais vēja parku izbūves termiņš aptuveni 5 gadi, izpēte un valsts atļauju piešķiršana vēja parku būvniecībai selgā aptuveni 2 gadi). Visā aplūkotajā periodā (2018-2028) jaudas pietiekamība ir robežās no 62 līdz 100 %, kas norāda uz to, ka ģenerējošās jaudas ir nepietiekamas lai segtu elektroenerģijas patēriņu, kā arī visā aplūkotajā periodā jaudas deficīts pieaugs no 0 MW līdz 587 MW. Konservatīvais scenārijs (A) parāda, ka elektroenerģijas </w:t>
      </w:r>
      <w:r w:rsidRPr="0095312D">
        <w:rPr>
          <w:rFonts w:ascii="Times New Roman" w:hAnsi="Times New Roman" w:cs="Times New Roman"/>
          <w:color w:val="000000" w:themeColor="text1"/>
          <w:szCs w:val="24"/>
        </w:rPr>
        <w:lastRenderedPageBreak/>
        <w:t xml:space="preserve">bilances nodrošināšanai Latvijas elektroenerģijas sistēmā ir ļoti būtiski nepazaudēt/nesamazināt esošās Latvijas bāzes ģenerācijas (Daugavas HES, Rīgas TEC-1 un Rīgas TEC-2, Imantas TEC). Konservatīvajā scenārijā (A) elektroenerģijas ražošana apskatīta ja Rīgas TEC-1, Rīgas TEC-2 un Imantas TEC strādā pēc brīvā elektroenerģijas tirgus apstākļiem, kad stacijas ir mazāk efektīvas un brīvās konkurences apstākļos spēj saražot tikai daļu no maksimālās iespējamās izstrādes. </w:t>
      </w:r>
      <w:r>
        <w:rPr>
          <w:rFonts w:ascii="Times New Roman" w:hAnsi="Times New Roman" w:cs="Times New Roman"/>
          <w:color w:val="000000" w:themeColor="text1"/>
          <w:szCs w:val="24"/>
        </w:rPr>
        <w:t>E</w:t>
      </w:r>
      <w:r w:rsidRPr="0095312D">
        <w:rPr>
          <w:rFonts w:ascii="Times New Roman" w:hAnsi="Times New Roman" w:cs="Times New Roman"/>
          <w:color w:val="000000" w:themeColor="text1"/>
          <w:szCs w:val="24"/>
        </w:rPr>
        <w:t>lektroenerģijas deficīts Latvijas elektroenerģijas sistēmai Konservatīvajā scenārijā (A) svārstās no aptuveni 895 GWh līdz 1734 GWh.</w:t>
      </w:r>
    </w:p>
    <w:p w14:paraId="68A40E1A"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Bāzes scenārijā (B) Latvijas elektroenerģijas sistēma spēj segt maksimuma slodzi no 2018. līdz 2022. gadam un, attiecīgi gadiem ejot, jaudas deficīts palielinās (2-19 %). Līdzīgi kā Konservatīvajā s</w:t>
      </w:r>
      <w:r>
        <w:rPr>
          <w:rFonts w:ascii="Times New Roman" w:hAnsi="Times New Roman" w:cs="Times New Roman"/>
          <w:color w:val="000000" w:themeColor="text1"/>
          <w:szCs w:val="24"/>
        </w:rPr>
        <w:t>cenārijā (A) arī Bāzes scenārijā</w:t>
      </w:r>
      <w:r w:rsidRPr="0095312D">
        <w:rPr>
          <w:rFonts w:ascii="Times New Roman" w:hAnsi="Times New Roman" w:cs="Times New Roman"/>
          <w:color w:val="000000" w:themeColor="text1"/>
          <w:szCs w:val="24"/>
        </w:rPr>
        <w:t xml:space="preserve"> (B) būtiski ir nepazaudēt/nesamazināt esošās Latvijas bāzes ģenerācijas (Daugavas HES, Rīgas TEC-1, Rīgas TEC-2 un Imantas TEC). Bāzes scenārijā (B) ir pieņemts, ka selgas (off-shore) vēja parku attīstība pakāpeniski varētu sākties no 2023. gada, kad pēc Kurzemes loka 3. posma ieviešanas ekspluatācijā, pie tā varētu būt pieslēgtas pirmās vēja turbīnas Baltijas jūras piekrastē, kā arī vēja elektrostaciju attīstība noritēs nedaudz straujākā tempā nekā plānots Konservatīvajā scenārijā (A). Bāzes scenārijā (B) nodrošinājums ar elektroenerģiju nebūs pietiekošs visā aplūkotajā periodā (87-92 %), kas nozīmē to, ka Latvija elektroenerģijas bilances nodrošināšanai importēs elektroenerģiju no kaimiņvalstu elektroenerģijas sistēmām. Bāzes scenārijā (B) pieņemts, ka Rīgas TEC-1 un Rīgas TEC-2 strādā pēc brīvā tirgus likumiem (“Nord Pool” elektroenerģijas biržas) un elektroenerģijas izstrāde ir pēc vidējā ilggadējā apjoma. Bāzes scenārijā (B), palielinot vēja elektrostaciju īpatsvaru Latvijas elektroenerģijas sistēmā, nedaudz arī palielināsies nepieciešamība pēc regulēšanas rezerves.</w:t>
      </w:r>
    </w:p>
    <w:p w14:paraId="78BDDE1F" w14:textId="0A203A1A"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 xml:space="preserve">Optimistiskajā scenārijā (EU 2030) Latvijas elektroenerģijas sistēma spēj segt maksimuma slodzi no 2018. līdz 2024. gadam (105 % līdz 115 %), bet no 2025. gada, kad plānots sinhrons darbs ar kontinentālo Eiropu, jaudas deficīts pieaug no (6 līdz 10 %). Jaudas pārpalikums no 2018. līdz 2024. gadam norāda uz to, ka ir iespējams jaudas eksports uz kaimiņvalstu elektroenerģijas sistēmām, lai palīdzētu segt kaimiņvalstu elektroenerģijas sistēmu maksimālās slodzes. Optimistiskajā scenārijā (EU 2030) ir pieņemts, ka selgas (off-shore) vēja parku attīstība pakāpeniski varētu sākties no 2022. gada, izmantojot vēja parku turbīnu tehnoloģiju attīstību, jau </w:t>
      </w:r>
      <w:r w:rsidR="00856C8D">
        <w:rPr>
          <w:rFonts w:ascii="Times New Roman" w:hAnsi="Times New Roman" w:cs="Times New Roman"/>
          <w:color w:val="000000" w:themeColor="text1"/>
          <w:szCs w:val="24"/>
        </w:rPr>
        <w:t>uz 2018.gadu</w:t>
      </w:r>
      <w:r w:rsidRPr="0095312D">
        <w:rPr>
          <w:rFonts w:ascii="Times New Roman" w:hAnsi="Times New Roman" w:cs="Times New Roman"/>
          <w:color w:val="000000" w:themeColor="text1"/>
          <w:szCs w:val="24"/>
        </w:rPr>
        <w:t xml:space="preserve"> tiek izgatavotas vēja turbīnas ar uzstādīto jaudu 8 MW, un turpmāk prognozēta šo tehnoloģiju straujāka attīstība. Optimistiskajā scenārijā (EU 2030) nodrošinājums ar elektroenerģiju būs pietiekošs visā aplūkotajā periodā (151-152 %), kas nozīmē to, ka Latvijas elektroenerģijas bilances nodrošināšanai nebūs nepieciešams importēt elektroenerģiju no kaimiņvalstu elektroenerģijas sistēmām, bet Latvija varēs eksportēt uz kaimiņvalstu elektroenerģijas sistēmām. Optimistiskajā scenārijā (EU2030) pieņemts, ka Rīgas TEC-1, Rīgas TEC-2 un Imantas TEC strādā ārpus brīvā tirgus likumiem, “Nord Pool” elektroenerģijas biržas, un, lai nodrošinātu Latvijas elektroenerģijas sistēmas un elektroapgādes drošumu Latvijā, spēj saražot maksimāli iespējamo elektroenerģijas apjomu, ņemot vērā katras elektrostacijas ikgadējo remonta grafiku. Optimistiskajā scenārijā (EU), palielinot vēl straujāk vēja elektrostaciju īpatsvaru Latvijas elektroenerģijas sistēmā, palielināsies nepieciešamība pēc regulēšanas rezerves.</w:t>
      </w:r>
    </w:p>
    <w:p w14:paraId="00CE3ADF" w14:textId="1161BAF5" w:rsidR="00F343DA" w:rsidRPr="008B628A" w:rsidRDefault="006D1920" w:rsidP="006D1920">
      <w:pPr>
        <w:spacing w:before="120" w:after="120" w:line="240" w:lineRule="auto"/>
        <w:jc w:val="both"/>
        <w:rPr>
          <w:rFonts w:ascii="Times New Roman" w:hAnsi="Times New Roman" w:cs="Times New Roman"/>
          <w:color w:val="000000" w:themeColor="text1"/>
          <w:szCs w:val="24"/>
        </w:rPr>
      </w:pPr>
      <w:r w:rsidRPr="00351540">
        <w:rPr>
          <w:rFonts w:ascii="Times New Roman" w:hAnsi="Times New Roman" w:cs="Times New Roman"/>
          <w:color w:val="000000" w:themeColor="text1"/>
          <w:szCs w:val="24"/>
        </w:rPr>
        <w:t xml:space="preserve">Jaunu bāzes jaudas elektrostaciju nodošana ekspluatācijā Latvijā līdz 2028. gadam nav paredzēta un </w:t>
      </w:r>
      <w:r w:rsidR="00856C8D">
        <w:rPr>
          <w:rFonts w:ascii="Times New Roman" w:hAnsi="Times New Roman" w:cs="Times New Roman"/>
          <w:color w:val="000000" w:themeColor="text1"/>
          <w:szCs w:val="24"/>
        </w:rPr>
        <w:t xml:space="preserve">līdz 2018.gada beigām </w:t>
      </w:r>
      <w:r w:rsidRPr="00351540">
        <w:rPr>
          <w:rFonts w:ascii="Times New Roman" w:hAnsi="Times New Roman" w:cs="Times New Roman"/>
          <w:color w:val="000000" w:themeColor="text1"/>
          <w:szCs w:val="24"/>
        </w:rPr>
        <w:t>nav pieņemti lēmumi par lielas jaudas elektrostaciju projektu īstenošanu Baltijas valstīs (t.sk. saistībā ar</w:t>
      </w:r>
      <w:r>
        <w:rPr>
          <w:rFonts w:ascii="Times New Roman" w:hAnsi="Times New Roman" w:cs="Times New Roman"/>
          <w:color w:val="000000" w:themeColor="text1"/>
          <w:szCs w:val="24"/>
        </w:rPr>
        <w:t xml:space="preserve"> </w:t>
      </w:r>
      <w:r w:rsidRPr="00351540">
        <w:rPr>
          <w:rFonts w:ascii="Times New Roman" w:hAnsi="Times New Roman" w:cs="Times New Roman"/>
          <w:color w:val="000000" w:themeColor="text1"/>
          <w:szCs w:val="24"/>
        </w:rPr>
        <w:t>bāzes elektriskās jaudas pieaugumu) laika pos</w:t>
      </w:r>
      <w:r>
        <w:rPr>
          <w:rFonts w:ascii="Times New Roman" w:hAnsi="Times New Roman" w:cs="Times New Roman"/>
          <w:color w:val="000000" w:themeColor="text1"/>
          <w:szCs w:val="24"/>
        </w:rPr>
        <w:t>mā līdz 2028. gadam. Vienlaikus, ir pieļaujams</w:t>
      </w:r>
      <w:r w:rsidRPr="00351540">
        <w:rPr>
          <w:rFonts w:ascii="Times New Roman" w:hAnsi="Times New Roman" w:cs="Times New Roman"/>
          <w:color w:val="000000" w:themeColor="text1"/>
          <w:szCs w:val="24"/>
        </w:rPr>
        <w:t xml:space="preserve">, ka </w:t>
      </w:r>
      <w:r>
        <w:rPr>
          <w:rFonts w:ascii="Times New Roman" w:hAnsi="Times New Roman" w:cs="Times New Roman"/>
          <w:color w:val="000000" w:themeColor="text1"/>
          <w:szCs w:val="24"/>
        </w:rPr>
        <w:t xml:space="preserve">tuvākajos gados </w:t>
      </w:r>
      <w:r w:rsidRPr="00351540">
        <w:rPr>
          <w:rFonts w:ascii="Times New Roman" w:hAnsi="Times New Roman" w:cs="Times New Roman"/>
          <w:color w:val="000000" w:themeColor="text1"/>
          <w:szCs w:val="24"/>
        </w:rPr>
        <w:t>Latvijā varētu tikt īstenoti lieljaudas vēja parku projekti ar uzstādīto jaudu līdz 100 MW un vairāk.</w:t>
      </w:r>
    </w:p>
    <w:p w14:paraId="02B52541" w14:textId="77777777" w:rsidR="00F343DA" w:rsidRPr="008B628A" w:rsidRDefault="00F343DA" w:rsidP="0006202C">
      <w:pPr>
        <w:pStyle w:val="Heading4"/>
      </w:pPr>
      <w:bookmarkStart w:id="148" w:name="_Ref518574511"/>
      <w:bookmarkStart w:id="149" w:name="_Toc527529472"/>
      <w:r w:rsidRPr="008B628A">
        <w:t>Nacionālie mērķi energopatērētāju aizsardzībai</w:t>
      </w:r>
      <w:bookmarkEnd w:id="148"/>
      <w:bookmarkEnd w:id="149"/>
    </w:p>
    <w:p w14:paraId="41994B59"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 xml:space="preserve">Ņemot vērā, ka pēc elektroenerģijas tirgus liberalizācijas elektroenerģija vairs netiek subsidēta visiem elektroenerģijas lietotājiem, sociāli neaizsargātākajai sabiedrības daļai nepieciešams </w:t>
      </w:r>
      <w:r w:rsidRPr="0017515F">
        <w:rPr>
          <w:rFonts w:ascii="Times New Roman" w:hAnsi="Times New Roman" w:cs="Times New Roman"/>
          <w:color w:val="000000" w:themeColor="text1"/>
          <w:szCs w:val="24"/>
        </w:rPr>
        <w:lastRenderedPageBreak/>
        <w:t xml:space="preserve">sniegt atbalstu, lai mazinātu cenu pieauguma iespējamo negatīvo ietekmi. Elektroenerģijas tirgus likuma 1. panta otrās daļas 2. punkts paredz, ka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 (turpmāk – aizsargātie lietotāji). </w:t>
      </w:r>
    </w:p>
    <w:p w14:paraId="30EC7B50"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2017.gadā vidējais aizsargātā lietotāja pakalpojuma saņēmēju skaits mēnesī sastādīja 82123 (trūcīgās/maznodrošinātās personas – 49651; personas ar I invaliditātes grupu – 9199;  daudzbērnu ģimenes – 20361, ģimenes ar bērniem ar invaliditāti - 2913). Atbilstoši Elektroenerģijas tirgus likuma 33.1 panta pirmajai daļai aizsargātajiem lietotājiem tiek nodrošinātas tiesības saņemt aizsargātā lietotāja elektroenerģijas tirdzniecības pakalpojumu. Aizsargātā lietotāja tirdzniecības pakalpojuma sniegšanu, obligātā iepirkuma komponentes un sadales sistēmas pakalpojuma kompensēšanu (turpmāk – pakalpojums) regulē Ministru kabineta 2016.gada 12.jūlija noteikumi Nr.459 “Aizsargātā lietotāja tirdzniecības pakalpojuma sniegšanas, obligātā iepirkuma komponentes un sadales sistēmas pakalpojuma kompensēšanas kārtība” (turpmāk – Noteikumi Nr.459), piedāvājot  sociāli mazaizsargātajām iedzīvotāju grupām noteiktu elektroenerģijas daudzumu par samazinātu cenu (trūcīgai vai maznodrošinātai ģimenei (personai), kā arī ģimenei ar bērnu invalīdu un personai ar pirmās grupas invaliditāti tiek nodrošināti 100 kilovatstundu elektroenerģijas par subsidēto cenu 0,03758 EUR par vienu kilovatstundu katrā norēķinu periodā (kalendāra mēnesī) un daudzbērnu ģimenei - 300 kilovatstundu elektroenerģijas par cenu 0,03758 EUR par vienu kilovatstundu katrā norēķinu periodā (kalendāra mēnesī), kā arī kompensējot fiksēto obligātā iepirkuma komponentes un sadales sistēmas pakalpojuma maksu atkarībā no pieslēguma jaudas (1,96 EUR, 5,07 EUR vai 0,32 EUR/A (ievadaizsardzības aparāta strāvas lielums ampēros)).</w:t>
      </w:r>
    </w:p>
    <w:p w14:paraId="410939A4" w14:textId="63A3C8A5" w:rsidR="00581156" w:rsidRPr="008B628A" w:rsidRDefault="00581156" w:rsidP="0006202C">
      <w:pPr>
        <w:pStyle w:val="Heading3"/>
      </w:pPr>
      <w:bookmarkStart w:id="150" w:name="_Toc520978830"/>
      <w:bookmarkStart w:id="151" w:name="_Toc527529473"/>
      <w:r w:rsidRPr="008B628A">
        <w:t>Enerģētiskā nabadzība</w:t>
      </w:r>
      <w:bookmarkEnd w:id="150"/>
      <w:bookmarkEnd w:id="151"/>
      <w:r w:rsidRPr="008B628A">
        <w:t xml:space="preserve"> </w:t>
      </w:r>
    </w:p>
    <w:p w14:paraId="0431555F" w14:textId="77777777" w:rsidR="006D1920" w:rsidRDefault="006D1920" w:rsidP="006D1920">
      <w:pPr>
        <w:pStyle w:val="Default"/>
        <w:spacing w:before="120" w:after="120"/>
        <w:jc w:val="both"/>
        <w:rPr>
          <w:color w:val="auto"/>
        </w:rPr>
      </w:pPr>
      <w:r w:rsidRPr="0006202C">
        <w:rPr>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73A4C06D" w14:textId="77777777" w:rsidR="006D1920" w:rsidRDefault="006D1920" w:rsidP="006D1920">
      <w:pPr>
        <w:pStyle w:val="Default"/>
        <w:spacing w:before="120" w:after="120"/>
        <w:jc w:val="both"/>
        <w:rPr>
          <w:color w:val="auto"/>
        </w:rPr>
      </w:pPr>
      <w:r w:rsidRPr="0006202C">
        <w:rPr>
          <w:color w:val="auto"/>
        </w:rPr>
        <w:t>Attiecībā uz patērētāju aizsardzību, enerģētiskās nabadzības pieaugums, kā arī nepietiekama skaidrība par vispiemērotākajiem līdzekļiem, kā novērst patērētāju neaizsargātību un, enerģētisko nabadzību, kavē arī iekšējā enerģijas tirgus tālāku integrāciju.</w:t>
      </w:r>
    </w:p>
    <w:p w14:paraId="1277082B" w14:textId="77777777" w:rsidR="006D1920" w:rsidRDefault="006D1920" w:rsidP="006D1920">
      <w:pPr>
        <w:spacing w:before="120" w:after="120" w:line="240" w:lineRule="auto"/>
        <w:jc w:val="both"/>
        <w:rPr>
          <w:rFonts w:ascii="Times New Roman" w:eastAsia="Times New Roman" w:hAnsi="Times New Roman" w:cs="Times New Roman"/>
          <w:iCs/>
          <w:szCs w:val="24"/>
          <w:lang w:eastAsia="lv-LV"/>
        </w:rPr>
      </w:pPr>
      <w:r w:rsidRPr="0017515F">
        <w:rPr>
          <w:rFonts w:ascii="Times New Roman" w:eastAsia="Times New Roman" w:hAnsi="Times New Roman" w:cs="Times New Roman"/>
          <w:iCs/>
          <w:szCs w:val="24"/>
          <w:lang w:eastAsia="lv-LV"/>
        </w:rPr>
        <w:t>2018. g</w:t>
      </w:r>
      <w:r>
        <w:rPr>
          <w:rFonts w:ascii="Times New Roman" w:eastAsia="Times New Roman" w:hAnsi="Times New Roman" w:cs="Times New Roman"/>
          <w:iCs/>
          <w:szCs w:val="24"/>
          <w:lang w:eastAsia="lv-LV"/>
        </w:rPr>
        <w:t>ada 4. oktobrī VPP “Enerģētika” 2018.-2021.gada periodam tika apstiprināti p</w:t>
      </w:r>
      <w:r w:rsidRPr="0017515F">
        <w:rPr>
          <w:rFonts w:ascii="Times New Roman" w:eastAsia="Times New Roman" w:hAnsi="Times New Roman" w:cs="Times New Roman"/>
          <w:iCs/>
          <w:szCs w:val="24"/>
          <w:lang w:eastAsia="lv-LV"/>
        </w:rPr>
        <w:t>rogrammas ietvaros īstenoto konkursu nolikumi</w:t>
      </w:r>
      <w:r w:rsidRPr="0017515F">
        <w:rPr>
          <w:rStyle w:val="FootnoteReference"/>
          <w:rFonts w:ascii="Times New Roman" w:eastAsia="Times New Roman" w:hAnsi="Times New Roman" w:cs="Times New Roman"/>
          <w:iCs/>
          <w:szCs w:val="24"/>
          <w:lang w:eastAsia="lv-LV"/>
        </w:rPr>
        <w:footnoteReference w:id="114"/>
      </w:r>
      <w:r w:rsidRPr="0017515F">
        <w:rPr>
          <w:rFonts w:ascii="Times New Roman" w:eastAsia="Times New Roman" w:hAnsi="Times New Roman" w:cs="Times New Roman"/>
          <w:iCs/>
          <w:szCs w:val="24"/>
          <w:lang w:eastAsia="lv-LV"/>
        </w:rPr>
        <w:t xml:space="preserve">, </w:t>
      </w:r>
      <w:r>
        <w:rPr>
          <w:rFonts w:ascii="Times New Roman" w:eastAsia="Times New Roman" w:hAnsi="Times New Roman" w:cs="Times New Roman"/>
          <w:iCs/>
          <w:szCs w:val="24"/>
          <w:lang w:eastAsia="lv-LV"/>
        </w:rPr>
        <w:t>kur viens no nolikumiem paredz:</w:t>
      </w:r>
    </w:p>
    <w:p w14:paraId="7B8102C1"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situācijas Latvijā novērtējum</w:t>
      </w:r>
      <w:r>
        <w:rPr>
          <w:rFonts w:ascii="Times New Roman" w:eastAsia="Times New Roman" w:hAnsi="Times New Roman" w:cs="Times New Roman"/>
          <w:iCs/>
          <w:szCs w:val="24"/>
          <w:lang w:eastAsia="lv-LV"/>
        </w:rPr>
        <w:t>u;</w:t>
      </w:r>
    </w:p>
    <w:p w14:paraId="1F539B9A"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jēdzien</w:t>
      </w:r>
      <w:r>
        <w:rPr>
          <w:rFonts w:ascii="Times New Roman" w:eastAsia="Times New Roman" w:hAnsi="Times New Roman" w:cs="Times New Roman"/>
          <w:iCs/>
          <w:szCs w:val="24"/>
          <w:lang w:eastAsia="lv-LV"/>
        </w:rPr>
        <w:t>a definējumu</w:t>
      </w:r>
      <w:r w:rsidRPr="00650391">
        <w:rPr>
          <w:rFonts w:ascii="Times New Roman" w:eastAsia="Times New Roman" w:hAnsi="Times New Roman" w:cs="Times New Roman"/>
          <w:iCs/>
          <w:szCs w:val="24"/>
          <w:lang w:eastAsia="lv-LV"/>
        </w:rPr>
        <w:t>, tostarp izstrādā</w:t>
      </w:r>
      <w:r>
        <w:rPr>
          <w:rFonts w:ascii="Times New Roman" w:eastAsia="Times New Roman" w:hAnsi="Times New Roman" w:cs="Times New Roman"/>
          <w:iCs/>
          <w:szCs w:val="24"/>
          <w:lang w:eastAsia="lv-LV"/>
        </w:rPr>
        <w:t>jot</w:t>
      </w:r>
      <w:r w:rsidRPr="00650391">
        <w:rPr>
          <w:rFonts w:ascii="Times New Roman" w:eastAsia="Times New Roman" w:hAnsi="Times New Roman" w:cs="Times New Roman"/>
          <w:iCs/>
          <w:szCs w:val="24"/>
          <w:lang w:eastAsia="lv-LV"/>
        </w:rPr>
        <w:t xml:space="preserve"> enerģētiskās nabadzības kritērij</w:t>
      </w:r>
      <w:r>
        <w:rPr>
          <w:rFonts w:ascii="Times New Roman" w:eastAsia="Times New Roman" w:hAnsi="Times New Roman" w:cs="Times New Roman"/>
          <w:iCs/>
          <w:szCs w:val="24"/>
          <w:lang w:eastAsia="lv-LV"/>
        </w:rPr>
        <w:t>us Latvijai;</w:t>
      </w:r>
    </w:p>
    <w:p w14:paraId="65853597"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riskam pakļautās sociālās grupas</w:t>
      </w:r>
      <w:r>
        <w:rPr>
          <w:rFonts w:ascii="Times New Roman" w:eastAsia="Times New Roman" w:hAnsi="Times New Roman" w:cs="Times New Roman"/>
          <w:iCs/>
          <w:szCs w:val="24"/>
          <w:lang w:eastAsia="lv-LV"/>
        </w:rPr>
        <w:t xml:space="preserve"> identificējumu, </w:t>
      </w:r>
      <w:r w:rsidRPr="00650391">
        <w:rPr>
          <w:rFonts w:ascii="Times New Roman" w:eastAsia="Times New Roman" w:hAnsi="Times New Roman" w:cs="Times New Roman"/>
          <w:iCs/>
          <w:szCs w:val="24"/>
          <w:lang w:eastAsia="lv-LV"/>
        </w:rPr>
        <w:t>balstoties uz izstrādātajiem kritērijiem</w:t>
      </w:r>
      <w:r>
        <w:rPr>
          <w:rFonts w:ascii="Times New Roman" w:eastAsia="Times New Roman" w:hAnsi="Times New Roman" w:cs="Times New Roman"/>
          <w:iCs/>
          <w:szCs w:val="24"/>
          <w:lang w:eastAsia="lv-LV"/>
        </w:rPr>
        <w:t>;</w:t>
      </w:r>
    </w:p>
    <w:p w14:paraId="4265C91B"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aizsargātā lietotāja definīcijā ietverto iedzīvotāju grupu atbilstība</w:t>
      </w:r>
      <w:r>
        <w:rPr>
          <w:rFonts w:ascii="Times New Roman" w:eastAsia="Times New Roman" w:hAnsi="Times New Roman" w:cs="Times New Roman"/>
          <w:iCs/>
          <w:szCs w:val="24"/>
          <w:lang w:eastAsia="lv-LV"/>
        </w:rPr>
        <w:t>s</w:t>
      </w:r>
      <w:r w:rsidRPr="00650391">
        <w:rPr>
          <w:rFonts w:ascii="Times New Roman" w:eastAsia="Times New Roman" w:hAnsi="Times New Roman" w:cs="Times New Roman"/>
          <w:iCs/>
          <w:szCs w:val="24"/>
          <w:lang w:eastAsia="lv-LV"/>
        </w:rPr>
        <w:t xml:space="preserve"> enerģētiskās nabadzības kritērijiem</w:t>
      </w:r>
      <w:r>
        <w:rPr>
          <w:rFonts w:ascii="Times New Roman" w:eastAsia="Times New Roman" w:hAnsi="Times New Roman" w:cs="Times New Roman"/>
          <w:iCs/>
          <w:szCs w:val="24"/>
          <w:lang w:eastAsia="lv-LV"/>
        </w:rPr>
        <w:t xml:space="preserve"> izvērtējumu;</w:t>
      </w:r>
    </w:p>
    <w:p w14:paraId="55E0F630" w14:textId="77777777" w:rsidR="006D1920" w:rsidRPr="00650391"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pārskatīt aizsargāto lietotāju grupas</w:t>
      </w:r>
      <w:r>
        <w:rPr>
          <w:rFonts w:ascii="Times New Roman" w:eastAsia="Times New Roman" w:hAnsi="Times New Roman" w:cs="Times New Roman"/>
          <w:iCs/>
          <w:szCs w:val="24"/>
          <w:lang w:eastAsia="lv-LV"/>
        </w:rPr>
        <w:t xml:space="preserve"> nepieciešamības analīzi</w:t>
      </w:r>
      <w:r w:rsidRPr="00650391">
        <w:rPr>
          <w:rFonts w:ascii="Times New Roman" w:eastAsia="Times New Roman" w:hAnsi="Times New Roman" w:cs="Times New Roman"/>
          <w:iCs/>
          <w:szCs w:val="24"/>
          <w:lang w:eastAsia="lv-LV"/>
        </w:rPr>
        <w:t>.</w:t>
      </w:r>
    </w:p>
    <w:p w14:paraId="32516010" w14:textId="77777777" w:rsidR="006D1920" w:rsidRPr="0017515F"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lastRenderedPageBreak/>
        <w:t xml:space="preserve">Līdz ar to ir secināms, ka tikai 2021.gadā pēc iepriekšminēto darbību veikšanas tiks izvērtēta situācija Latvijā enerģētiskās nabadzības dimensijā. Tādējādi skaitliski mērķi enerģētiskās nabadzības samazināšanā un / vai enerģētiskās nabadzības nepalielināšanā tiks noteikti un apstiprināti pēc 2021.gada, bet ne vēlāk kā Plāna aktualizācijā 2023.gadā. Tad arī, ja nepieciešams, tiks noteiktas rīcībpolitikas un to īstenošanai nepieciešamie pasākumi šīs dimensijas ietvaros noteikto mērķu izpildei. </w:t>
      </w:r>
    </w:p>
    <w:p w14:paraId="5EE53480" w14:textId="77777777" w:rsidR="00896BCE" w:rsidRPr="008B628A" w:rsidRDefault="00896BCE" w:rsidP="006F546A">
      <w:pPr>
        <w:spacing w:before="120" w:after="120" w:line="240" w:lineRule="auto"/>
        <w:jc w:val="both"/>
        <w:rPr>
          <w:rFonts w:ascii="Times New Roman" w:hAnsi="Times New Roman" w:cs="Times New Roman"/>
          <w:color w:val="000000" w:themeColor="text1"/>
          <w:szCs w:val="24"/>
        </w:rPr>
      </w:pPr>
    </w:p>
    <w:p w14:paraId="162FF5FB" w14:textId="7A8A6FE8" w:rsidR="00581156" w:rsidRPr="008B628A" w:rsidRDefault="003D760C" w:rsidP="006F546A">
      <w:pPr>
        <w:pStyle w:val="Heading2"/>
      </w:pPr>
      <w:bookmarkStart w:id="152" w:name="_Toc520978831"/>
      <w:bookmarkStart w:id="153" w:name="_Toc532910004"/>
      <w:bookmarkStart w:id="154" w:name="_Toc527529475"/>
      <w:r>
        <w:t>P</w:t>
      </w:r>
      <w:r w:rsidR="00581156" w:rsidRPr="008B628A">
        <w:t>ētniecība, inovācija un konkurētspēja</w:t>
      </w:r>
      <w:bookmarkEnd w:id="152"/>
      <w:bookmarkEnd w:id="153"/>
      <w:r w:rsidR="00581156" w:rsidRPr="008B628A">
        <w:t xml:space="preserve"> </w:t>
      </w:r>
      <w:bookmarkEnd w:id="154"/>
    </w:p>
    <w:p w14:paraId="12B3139F" w14:textId="0BCA3161" w:rsidR="00581156" w:rsidRPr="008B628A" w:rsidRDefault="00581156" w:rsidP="005F59CE">
      <w:pPr>
        <w:pStyle w:val="Heading3"/>
      </w:pPr>
      <w:bookmarkStart w:id="155" w:name="_Toc520978832"/>
      <w:bookmarkStart w:id="156" w:name="_Toc527529476"/>
      <w:r w:rsidRPr="008B628A">
        <w:t>Nacionālie mērķrādītāji un finansējuma mērķi</w:t>
      </w:r>
      <w:bookmarkEnd w:id="155"/>
      <w:bookmarkEnd w:id="156"/>
      <w:r w:rsidRPr="008B628A">
        <w:t xml:space="preserve"> </w:t>
      </w:r>
    </w:p>
    <w:p w14:paraId="2D3F8935" w14:textId="16DC7F71" w:rsidR="006E5B5D" w:rsidRPr="008B628A" w:rsidRDefault="006E5B5D" w:rsidP="0092722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15"/>
      </w:r>
      <w:r w:rsidRPr="008B628A">
        <w:rPr>
          <w:rFonts w:ascii="Times New Roman" w:hAnsi="Times New Roman" w:cs="Times New Roman"/>
          <w:szCs w:val="24"/>
        </w:rPr>
        <w:t xml:space="preserve"> šajā dimensijā ir noteikti divi mērķi:</w:t>
      </w:r>
    </w:p>
    <w:p w14:paraId="2411CF45" w14:textId="1E1CF6FB" w:rsidR="006E5B5D" w:rsidRPr="008B628A" w:rsidRDefault="006E5B5D" w:rsidP="00283C85">
      <w:pPr>
        <w:pStyle w:val="ListParagraph"/>
        <w:numPr>
          <w:ilvl w:val="0"/>
          <w:numId w:val="42"/>
        </w:numPr>
        <w:spacing w:before="120" w:after="120"/>
        <w:ind w:left="397" w:hanging="397"/>
        <w:contextualSpacing w:val="0"/>
        <w:rPr>
          <w:rFonts w:ascii="Times New Roman" w:hAnsi="Times New Roman" w:cs="Times New Roman"/>
        </w:rPr>
      </w:pPr>
      <w:r w:rsidRPr="008B628A">
        <w:rPr>
          <w:rFonts w:ascii="Times New Roman" w:hAnsi="Times New Roman" w:cs="Times New Roman"/>
        </w:rPr>
        <w:t>Inovatīvu produktu apgrozījuma mērķis – vairāk nekā 14% no kopējā apgrozījuma</w:t>
      </w:r>
    </w:p>
    <w:p w14:paraId="583BC270" w14:textId="7D381510" w:rsidR="006E5B5D" w:rsidRPr="008B628A" w:rsidRDefault="006E5B5D" w:rsidP="00283C85">
      <w:pPr>
        <w:pStyle w:val="ListParagraph"/>
        <w:numPr>
          <w:ilvl w:val="0"/>
          <w:numId w:val="42"/>
        </w:numPr>
        <w:spacing w:before="120" w:after="120"/>
        <w:ind w:left="397" w:hanging="397"/>
        <w:contextualSpacing w:val="0"/>
        <w:rPr>
          <w:rFonts w:ascii="Times New Roman" w:hAnsi="Times New Roman" w:cs="Times New Roman"/>
        </w:rPr>
      </w:pPr>
      <w:r w:rsidRPr="008B628A">
        <w:rPr>
          <w:rFonts w:ascii="Times New Roman" w:hAnsi="Times New Roman" w:cs="Times New Roman"/>
        </w:rPr>
        <w:t>Inovatīvo uzņēmumu īpatsvara mērķis – vairāk nekā 40 % no visiem uzņēmumiem.</w:t>
      </w:r>
    </w:p>
    <w:p w14:paraId="373F41FE" w14:textId="71D25624" w:rsidR="009C3DC5" w:rsidRPr="008B628A" w:rsidRDefault="009C3DC5" w:rsidP="00C477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LNRP</w:t>
      </w:r>
      <w:r w:rsidR="00AD2376" w:rsidRPr="008B628A">
        <w:rPr>
          <w:rFonts w:ascii="Times New Roman" w:hAnsi="Times New Roman" w:cs="Times New Roman"/>
          <w:szCs w:val="24"/>
        </w:rPr>
        <w:t>2020</w:t>
      </w:r>
      <w:r w:rsidR="00C928F3" w:rsidRPr="008B628A">
        <w:rPr>
          <w:rStyle w:val="FootnoteReference"/>
          <w:rFonts w:ascii="Times New Roman" w:hAnsi="Times New Roman" w:cs="Times New Roman"/>
          <w:szCs w:val="24"/>
        </w:rPr>
        <w:footnoteReference w:id="116"/>
      </w:r>
      <w:r w:rsidRPr="008B628A">
        <w:rPr>
          <w:rFonts w:ascii="Times New Roman" w:hAnsi="Times New Roman" w:cs="Times New Roman"/>
          <w:szCs w:val="24"/>
        </w:rPr>
        <w:t xml:space="preserve"> mērķa rādītājs ieguldījumiem P&amp;A 2020.gadam </w:t>
      </w:r>
      <w:r w:rsidR="00E115E3" w:rsidRPr="008B628A">
        <w:rPr>
          <w:rFonts w:ascii="Times New Roman" w:hAnsi="Times New Roman" w:cs="Times New Roman"/>
          <w:szCs w:val="24"/>
        </w:rPr>
        <w:t xml:space="preserve">ir </w:t>
      </w:r>
      <w:r w:rsidRPr="008B628A">
        <w:rPr>
          <w:rFonts w:ascii="Times New Roman" w:hAnsi="Times New Roman" w:cs="Times New Roman"/>
          <w:szCs w:val="24"/>
        </w:rPr>
        <w:t>noteikts 1,5% apmērā no IKP.</w:t>
      </w:r>
    </w:p>
    <w:p w14:paraId="4C2D828B" w14:textId="503E7B70" w:rsidR="005F1283" w:rsidRPr="008B628A" w:rsidRDefault="005F1283" w:rsidP="00C47762">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Pētniecības un inovāciju sistēmas attīstīšanai zinātnes politika tiek veidota saskaņā ar Latvijas Viedās specializācijas stratēģijā</w:t>
      </w:r>
      <w:r w:rsidRPr="008B628A">
        <w:rPr>
          <w:rStyle w:val="FootnoteReference"/>
          <w:rFonts w:ascii="Times New Roman" w:eastAsia="Times New Roman" w:hAnsi="Times New Roman" w:cs="Times New Roman"/>
          <w:szCs w:val="24"/>
        </w:rPr>
        <w:footnoteReference w:id="117"/>
      </w:r>
      <w:r w:rsidRPr="008B628A">
        <w:rPr>
          <w:rFonts w:ascii="Times New Roman" w:eastAsia="Times New Roman" w:hAnsi="Times New Roman" w:cs="Times New Roman"/>
          <w:szCs w:val="24"/>
        </w:rPr>
        <w:t xml:space="preserve"> (</w:t>
      </w:r>
      <w:r w:rsidRPr="008B628A">
        <w:rPr>
          <w:rFonts w:ascii="Times New Roman" w:eastAsia="Times New Roman" w:hAnsi="Times New Roman" w:cs="Times New Roman"/>
          <w:i/>
          <w:szCs w:val="24"/>
        </w:rPr>
        <w:t>Research and Innovation Strategies for Smart Specialisation</w:t>
      </w:r>
      <w:r w:rsidR="001C4002" w:rsidRPr="008B628A">
        <w:rPr>
          <w:rFonts w:ascii="Times New Roman" w:eastAsia="Times New Roman" w:hAnsi="Times New Roman" w:cs="Times New Roman"/>
          <w:i/>
          <w:szCs w:val="24"/>
        </w:rPr>
        <w:t xml:space="preserve"> – </w:t>
      </w:r>
      <w:r w:rsidRPr="008B628A">
        <w:rPr>
          <w:rFonts w:ascii="Times New Roman" w:eastAsia="Times New Roman" w:hAnsi="Times New Roman" w:cs="Times New Roman"/>
          <w:i/>
          <w:szCs w:val="24"/>
        </w:rPr>
        <w:t>RIS3)</w:t>
      </w:r>
      <w:r w:rsidRPr="008B628A">
        <w:rPr>
          <w:rFonts w:ascii="Times New Roman" w:eastAsia="Times New Roman" w:hAnsi="Times New Roman" w:cs="Times New Roman"/>
          <w:szCs w:val="24"/>
        </w:rPr>
        <w:t xml:space="preserve"> </w:t>
      </w:r>
      <w:r w:rsidR="001C4002" w:rsidRPr="008B628A">
        <w:rPr>
          <w:rFonts w:ascii="Times New Roman" w:eastAsia="Times New Roman" w:hAnsi="Times New Roman" w:cs="Times New Roman"/>
          <w:szCs w:val="24"/>
        </w:rPr>
        <w:t xml:space="preserve">(turpmāk – RIS3 stratēģija) </w:t>
      </w:r>
      <w:r w:rsidRPr="008B628A">
        <w:rPr>
          <w:rFonts w:ascii="Times New Roman" w:eastAsia="Times New Roman" w:hAnsi="Times New Roman" w:cs="Times New Roman"/>
          <w:szCs w:val="24"/>
        </w:rPr>
        <w:t>un ZTAIP</w:t>
      </w:r>
      <w:r w:rsidR="00442D43" w:rsidRPr="008B628A">
        <w:rPr>
          <w:rFonts w:ascii="Times New Roman" w:eastAsia="Times New Roman" w:hAnsi="Times New Roman" w:cs="Times New Roman"/>
          <w:szCs w:val="24"/>
        </w:rPr>
        <w:t>2020</w:t>
      </w:r>
      <w:r w:rsidRPr="008B628A">
        <w:rPr>
          <w:rStyle w:val="FootnoteReference"/>
          <w:rFonts w:ascii="Times New Roman" w:eastAsia="Times New Roman" w:hAnsi="Times New Roman" w:cs="Times New Roman"/>
          <w:szCs w:val="24"/>
        </w:rPr>
        <w:footnoteReference w:id="118"/>
      </w:r>
      <w:r w:rsidRPr="008B628A">
        <w:rPr>
          <w:rFonts w:ascii="Times New Roman" w:eastAsia="Times New Roman" w:hAnsi="Times New Roman" w:cs="Times New Roman"/>
          <w:szCs w:val="24"/>
        </w:rPr>
        <w:t xml:space="preserve"> noteiktajiem mērķiem un uzdevumiem. </w:t>
      </w:r>
    </w:p>
    <w:p w14:paraId="26B88258" w14:textId="77777777" w:rsidR="00C94F42" w:rsidRPr="008B628A" w:rsidRDefault="00C94F42" w:rsidP="00C94F4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ZTAIP2020 ir noteikti šādi zinātnes, tehnoloģiju attīstības un inovāciju nozares galvenie rīcības virzieni: </w:t>
      </w:r>
    </w:p>
    <w:p w14:paraId="5BC86A8F"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konkurētspējas paaugstināšana;</w:t>
      </w:r>
    </w:p>
    <w:p w14:paraId="32ACC6B8"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sasaiste ar sabiedrības un tautsaimniecības attīstības vajadzībām;</w:t>
      </w:r>
    </w:p>
    <w:p w14:paraId="2950415C"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efektīva pārvaldība;</w:t>
      </w:r>
    </w:p>
    <w:p w14:paraId="06E828F6" w14:textId="7F78FF25"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sabiedrības izpratnes veicināšana, zinātnes un inovācijas popularizēšana.</w:t>
      </w:r>
    </w:p>
    <w:p w14:paraId="5AA7FA34" w14:textId="177D7358" w:rsidR="00D16C1D" w:rsidRPr="008B628A" w:rsidRDefault="00D16C1D" w:rsidP="0092722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RIS3 stratēģija</w:t>
      </w:r>
      <w:r w:rsidR="001C4002" w:rsidRPr="008B628A">
        <w:rPr>
          <w:rFonts w:ascii="Times New Roman" w:hAnsi="Times New Roman" w:cs="Times New Roman"/>
          <w:szCs w:val="24"/>
        </w:rPr>
        <w:t xml:space="preserve"> ir </w:t>
      </w:r>
      <w:r w:rsidRPr="008B628A">
        <w:rPr>
          <w:rFonts w:ascii="Times New Roman" w:hAnsi="Times New Roman" w:cs="Times New Roman"/>
          <w:szCs w:val="24"/>
        </w:rPr>
        <w:t>nacionālā ekonomiskās attīstības stratēģija, kurā noteikti tautsaimniecības transformācijas virzieni, izaugsmes prioritātes un viedās specializācijas jomas, paredzot mērķtiecīgu pētniecības un inovāciju resursu koncentrēšanu zināšanu jomās, kur valstij ir salīdzinošas priekšrocības vai ir bāze šādu priekšrocību radīšanai. Galvenais virziens ir ekonomikas transformācija uz zinātnes un tehnoloģiju virzīto izaugsmi un virzība uz zināšanām balstītu spēju attīstību. RIS3 stratēģijā ir noteiktas šādas specializāciju jomas:</w:t>
      </w:r>
    </w:p>
    <w:p w14:paraId="79368FD4" w14:textId="7B30E3DC"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zināšanu ietilpīga bio-ekonomika;</w:t>
      </w:r>
    </w:p>
    <w:p w14:paraId="3D38AA48"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biomedicīna, medicīnas tehnoloģijas, biofarmācija un biotehnoloģijas;</w:t>
      </w:r>
    </w:p>
    <w:p w14:paraId="41E96625"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viedie materiāli, tehnoloģijas un inženiersistēmas;</w:t>
      </w:r>
    </w:p>
    <w:p w14:paraId="3200790D"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viedā enerģētika;</w:t>
      </w:r>
    </w:p>
    <w:p w14:paraId="5FE1207B" w14:textId="1434F004" w:rsidR="00D16C1D" w:rsidRPr="008B628A" w:rsidRDefault="005A2B35"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Pr>
          <w:rFonts w:ascii="Times New Roman" w:hAnsi="Times New Roman" w:cs="Times New Roman"/>
          <w:szCs w:val="24"/>
        </w:rPr>
        <w:t>Informācijas un komunikācijas tehnoloģijas</w:t>
      </w:r>
      <w:r w:rsidR="00D16C1D" w:rsidRPr="008B628A">
        <w:rPr>
          <w:rFonts w:ascii="Times New Roman" w:hAnsi="Times New Roman" w:cs="Times New Roman"/>
          <w:szCs w:val="24"/>
        </w:rPr>
        <w:t>.</w:t>
      </w:r>
    </w:p>
    <w:p w14:paraId="403471E1" w14:textId="410236DE" w:rsidR="00561BB9" w:rsidRPr="008B628A" w:rsidRDefault="00561BB9" w:rsidP="00C94F42">
      <w:pPr>
        <w:jc w:val="both"/>
        <w:rPr>
          <w:rFonts w:ascii="Times New Roman" w:eastAsia="Times New Roman" w:hAnsi="Times New Roman" w:cs="Times New Roman"/>
          <w:szCs w:val="24"/>
        </w:rPr>
      </w:pPr>
      <w:r w:rsidRPr="008B628A">
        <w:rPr>
          <w:rFonts w:ascii="Times New Roman" w:eastAsia="Times New Roman" w:hAnsi="Times New Roman"/>
          <w:szCs w:val="24"/>
        </w:rPr>
        <w:t xml:space="preserve">Latvijas RIS3 viena no piecām prioritārajām jomām, kurās attīstāma pētniecība un inovācijas, ir definēta “Viedā enerģētika”, kuras ietvaros attīstāmi inovatīvi </w:t>
      </w:r>
      <w:r w:rsidRPr="008B628A">
        <w:rPr>
          <w:rFonts w:ascii="Times New Roman" w:hAnsi="Times New Roman"/>
          <w:bCs/>
          <w:szCs w:val="24"/>
        </w:rPr>
        <w:t>energoefektivitātes risinājumi un tehnoloģijas, t.sk. e</w:t>
      </w:r>
      <w:r w:rsidRPr="008B628A">
        <w:rPr>
          <w:rFonts w:ascii="Times New Roman" w:hAnsi="Times New Roman"/>
          <w:szCs w:val="24"/>
        </w:rPr>
        <w:t xml:space="preserve">nergoefektivitātes paaugstināšanai, kas ietver jaunu materiālu radīšanu, </w:t>
      </w:r>
      <w:r w:rsidRPr="008B628A">
        <w:rPr>
          <w:rFonts w:ascii="Times New Roman" w:hAnsi="Times New Roman"/>
          <w:szCs w:val="24"/>
        </w:rPr>
        <w:lastRenderedPageBreak/>
        <w:t xml:space="preserve">ražošanas procesu optimizāciju, tehnoloģisko jauninājumu ieviešanu, alternatīvo energoresursu izmantošanu u.c. risinājumus. </w:t>
      </w:r>
      <w:r w:rsidRPr="008B628A">
        <w:rPr>
          <w:rFonts w:ascii="Times New Roman" w:eastAsia="Times New Roman" w:hAnsi="Times New Roman"/>
          <w:szCs w:val="24"/>
        </w:rPr>
        <w:t>Vienlaikus, ņemot vērā enerģētikas jomas saturisko plašumu</w:t>
      </w:r>
      <w:r w:rsidR="00C838E8" w:rsidRPr="008B628A">
        <w:rPr>
          <w:rFonts w:ascii="Times New Roman" w:eastAsia="Times New Roman" w:hAnsi="Times New Roman"/>
          <w:szCs w:val="24"/>
        </w:rPr>
        <w:t>,</w:t>
      </w:r>
      <w:r w:rsidRPr="008B628A">
        <w:rPr>
          <w:rFonts w:ascii="Times New Roman" w:eastAsia="Times New Roman" w:hAnsi="Times New Roman"/>
          <w:szCs w:val="24"/>
        </w:rPr>
        <w:t xml:space="preserve"> pētniecība attīstāma arī jomās „Viedie materiāli, tehnoloģijas un inženiersistēmas” un </w:t>
      </w:r>
      <w:r w:rsidRPr="008B628A">
        <w:rPr>
          <w:rFonts w:ascii="Times New Roman" w:eastAsia="Times New Roman" w:hAnsi="Times New Roman" w:cs="Times New Roman"/>
          <w:szCs w:val="24"/>
        </w:rPr>
        <w:t>“Zināšanu ietilpīga bioekonomika”. Atbilstība RIS3 mērķiem ir viens no kritērijiem, kas tiek ņemts vērā, veidojot pētniecības finansēšanas instrumentus, t.sk. organizējot ES struktūrfondu finansējuma ieguldījumus.</w:t>
      </w:r>
    </w:p>
    <w:p w14:paraId="38426DD4" w14:textId="46EE92E6" w:rsidR="00C94F42" w:rsidRPr="008B628A" w:rsidRDefault="00C94F42" w:rsidP="00C94F42">
      <w:pPr>
        <w:spacing w:before="120" w:after="120" w:line="240" w:lineRule="auto"/>
        <w:jc w:val="both"/>
        <w:rPr>
          <w:rFonts w:ascii="Times New Roman" w:hAnsi="Times New Roman" w:cs="Times New Roman"/>
          <w:color w:val="000000"/>
          <w:szCs w:val="24"/>
          <w:shd w:val="clear" w:color="auto" w:fill="FFFFFF"/>
        </w:rPr>
      </w:pPr>
      <w:r w:rsidRPr="008B628A">
        <w:rPr>
          <w:rFonts w:ascii="Times New Roman" w:hAnsi="Times New Roman" w:cs="Times New Roman"/>
          <w:color w:val="000000"/>
          <w:szCs w:val="24"/>
          <w:shd w:val="clear" w:color="auto" w:fill="FFFFFF"/>
        </w:rPr>
        <w:t xml:space="preserve">Latvijā pieņemtā inovācijas definīcija: „inovācija ir </w:t>
      </w:r>
      <w:r w:rsidRPr="008B628A">
        <w:rPr>
          <w:rStyle w:val="fontstyle01"/>
          <w:rFonts w:ascii="Times New Roman" w:hAnsi="Times New Roman" w:cs="Times New Roman"/>
          <w:sz w:val="24"/>
          <w:szCs w:val="24"/>
        </w:rPr>
        <w:t>zinātniskās, tehniskās, sociālās, kultūras vai citas jomas ideju, izstrādņu un tehnoloģiju īstenošana jaunā produktā, pakalpojumā vai procesā</w:t>
      </w:r>
      <w:r w:rsidRPr="008B628A">
        <w:rPr>
          <w:rFonts w:ascii="Times New Roman" w:hAnsi="Times New Roman" w:cs="Times New Roman"/>
          <w:szCs w:val="24"/>
        </w:rPr>
        <w:t>”.</w:t>
      </w:r>
      <w:r w:rsidRPr="008B628A">
        <w:rPr>
          <w:rStyle w:val="FootnoteReference"/>
          <w:rFonts w:ascii="Times New Roman" w:hAnsi="Times New Roman" w:cs="Times New Roman"/>
        </w:rPr>
        <w:footnoteReference w:id="119"/>
      </w:r>
    </w:p>
    <w:p w14:paraId="677C396D" w14:textId="77777777" w:rsidR="00C94F42" w:rsidRPr="008B628A" w:rsidRDefault="00C94F42" w:rsidP="00C94F42">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Nacionālā Inovācijas sistēma ir koordinēts katrā valstī īstenoto valdības, publiskā un privātā sektora institūciju  pasākumu kopums, kas nodrošina efektīvu zināšanu un prasmju apriti sabiedrībā un veicina līdzsvarotu sabiedrības intelektuālo un saimniecisko attīstību.. Inovācijas sistēmas pamata sastāvdaļas:</w:t>
      </w:r>
    </w:p>
    <w:p w14:paraId="23B3FB84"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izglītība</w:t>
      </w:r>
    </w:p>
    <w:p w14:paraId="4AC4C687"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pētniecība (zinātne, jaunrade)</w:t>
      </w:r>
    </w:p>
    <w:p w14:paraId="7A00FF22"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uzņēmējdarbība;</w:t>
      </w:r>
    </w:p>
    <w:p w14:paraId="1348B03E"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finanšu sistēma;</w:t>
      </w:r>
    </w:p>
    <w:p w14:paraId="64ADB3CA" w14:textId="7E3747F6" w:rsidR="00C4776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normatīvais regulējums.</w:t>
      </w:r>
    </w:p>
    <w:p w14:paraId="76D73A26" w14:textId="77777777" w:rsidR="00C47762" w:rsidRPr="008B628A" w:rsidRDefault="00C47762" w:rsidP="00C47762">
      <w:pPr>
        <w:spacing w:before="120" w:after="120" w:line="240" w:lineRule="auto"/>
        <w:jc w:val="center"/>
        <w:rPr>
          <w:lang w:eastAsia="lv-LV"/>
        </w:rPr>
      </w:pPr>
      <w:r w:rsidRPr="008B628A">
        <w:rPr>
          <w:noProof/>
          <w:lang w:eastAsia="lv-LV"/>
        </w:rPr>
        <w:drawing>
          <wp:inline distT="0" distB="0" distL="0" distR="0" wp14:anchorId="32AAAB8C" wp14:editId="5883D8A6">
            <wp:extent cx="4424152" cy="252918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3597" cy="2534584"/>
                    </a:xfrm>
                    <a:prstGeom prst="rect">
                      <a:avLst/>
                    </a:prstGeom>
                    <a:noFill/>
                    <a:ln>
                      <a:noFill/>
                    </a:ln>
                  </pic:spPr>
                </pic:pic>
              </a:graphicData>
            </a:graphic>
          </wp:inline>
        </w:drawing>
      </w:r>
    </w:p>
    <w:p w14:paraId="39DEC7FB" w14:textId="7FC665C9" w:rsidR="00C47762" w:rsidRPr="008B628A" w:rsidRDefault="00C47762" w:rsidP="00CD366E">
      <w:pPr>
        <w:pStyle w:val="Caption"/>
        <w:rPr>
          <w:lang w:eastAsia="lv-LV"/>
        </w:rPr>
      </w:pPr>
      <w:r w:rsidRPr="008B628A">
        <w:rPr>
          <w:lang w:eastAsia="lv-LV"/>
        </w:rPr>
        <w:fldChar w:fldCharType="begin"/>
      </w:r>
      <w:r w:rsidRPr="008B628A">
        <w:rPr>
          <w:lang w:eastAsia="lv-LV"/>
        </w:rPr>
        <w:instrText xml:space="preserve"> SEQ Ilustrācija \* ARABIC </w:instrText>
      </w:r>
      <w:r w:rsidRPr="008B628A">
        <w:rPr>
          <w:lang w:eastAsia="lv-LV"/>
        </w:rPr>
        <w:fldChar w:fldCharType="separate"/>
      </w:r>
      <w:bookmarkStart w:id="157" w:name="_Toc531333089"/>
      <w:r w:rsidR="006067D4">
        <w:rPr>
          <w:noProof/>
          <w:lang w:eastAsia="lv-LV"/>
        </w:rPr>
        <w:t>7</w:t>
      </w:r>
      <w:r w:rsidRPr="008B628A">
        <w:rPr>
          <w:lang w:eastAsia="lv-LV"/>
        </w:rPr>
        <w:fldChar w:fldCharType="end"/>
      </w:r>
      <w:r w:rsidRPr="008B628A">
        <w:t>.attēls. Latvijas Nacionālā inovāciju sistēma</w:t>
      </w:r>
      <w:r w:rsidRPr="008B628A">
        <w:rPr>
          <w:rStyle w:val="FootnoteReference"/>
        </w:rPr>
        <w:footnoteReference w:id="120"/>
      </w:r>
      <w:bookmarkEnd w:id="157"/>
    </w:p>
    <w:p w14:paraId="759E1977" w14:textId="0213F9CA" w:rsidR="00581156" w:rsidRPr="008B628A" w:rsidRDefault="00581156" w:rsidP="00C94F42">
      <w:pPr>
        <w:pStyle w:val="Heading3"/>
      </w:pPr>
      <w:bookmarkStart w:id="158" w:name="_Toc520978833"/>
      <w:bookmarkStart w:id="159" w:name="_Toc527529477"/>
      <w:r w:rsidRPr="008B628A">
        <w:t>Tīrās enerģijas tehnoloģiju veicināšanas mērķi 2050.gadam</w:t>
      </w:r>
      <w:bookmarkEnd w:id="158"/>
      <w:bookmarkEnd w:id="159"/>
      <w:r w:rsidRPr="008B628A">
        <w:t xml:space="preserve"> </w:t>
      </w:r>
    </w:p>
    <w:p w14:paraId="084371EF" w14:textId="4DE8920F" w:rsidR="00C94F42" w:rsidRPr="008B628A" w:rsidRDefault="00C94F42" w:rsidP="00C94F42">
      <w:pPr>
        <w:spacing w:before="120" w:after="120" w:line="240" w:lineRule="auto"/>
        <w:jc w:val="both"/>
        <w:rPr>
          <w:rFonts w:ascii="Times New Roman" w:hAnsi="Times New Roman" w:cs="Times New Roman"/>
          <w:color w:val="000000" w:themeColor="text1"/>
          <w:szCs w:val="24"/>
        </w:rPr>
      </w:pPr>
      <w:bookmarkStart w:id="160" w:name="_Toc520978834"/>
      <w:bookmarkStart w:id="161" w:name="_Toc527529478"/>
      <w:r w:rsidRPr="008B628A">
        <w:rPr>
          <w:rFonts w:ascii="Times New Roman" w:hAnsi="Times New Roman" w:cs="Times New Roman"/>
          <w:color w:val="000000" w:themeColor="text1"/>
          <w:szCs w:val="24"/>
        </w:rPr>
        <w:t xml:space="preserve">Enerģijas apgāde nākamajās desmitgadēs ievērojami un fundamentāli atšķirsies no tā, kāda tā bijusi līdz šim. Lai </w:t>
      </w:r>
      <w:r w:rsidR="00FC2856" w:rsidRPr="008B628A">
        <w:rPr>
          <w:rFonts w:ascii="Times New Roman" w:hAnsi="Times New Roman" w:cs="Times New Roman"/>
          <w:color w:val="000000" w:themeColor="text1"/>
          <w:szCs w:val="24"/>
        </w:rPr>
        <w:t>s</w:t>
      </w:r>
      <w:r w:rsidRPr="008B628A">
        <w:rPr>
          <w:rFonts w:ascii="Times New Roman" w:hAnsi="Times New Roman" w:cs="Times New Roman"/>
          <w:color w:val="000000" w:themeColor="text1"/>
          <w:szCs w:val="24"/>
        </w:rPr>
        <w:t xml:space="preserve">amazinātu klimata pārmaiņu ietekmes, saskaņā ar Parīzes nolīgumu, jāsamazina temperatūras pieaugums, kas paredz būtiski samazināt fosilo energoresursu patēriņu. Prognozējams, ka, sasniedzot 2050.gadu, enerģijas ražošana būs ilgtspējīga, ēkas būs energoefektīvas, uzņēmumu ražošanas procesi būs optimizēti, dabasgāze netiks lietota ēdiena pagatavošanai un vairums automobiļu būs </w:t>
      </w:r>
      <w:r w:rsidR="005A2B35">
        <w:rPr>
          <w:rFonts w:ascii="Times New Roman" w:hAnsi="Times New Roman" w:cs="Times New Roman"/>
          <w:color w:val="000000" w:themeColor="text1"/>
          <w:szCs w:val="24"/>
        </w:rPr>
        <w:t>ar elektrisko piedziņu</w:t>
      </w:r>
      <w:r w:rsidRPr="008B628A">
        <w:rPr>
          <w:rFonts w:ascii="Times New Roman" w:hAnsi="Times New Roman" w:cs="Times New Roman"/>
          <w:color w:val="000000" w:themeColor="text1"/>
          <w:szCs w:val="24"/>
        </w:rPr>
        <w:t xml:space="preserve">. </w:t>
      </w:r>
    </w:p>
    <w:p w14:paraId="1E7683D1" w14:textId="3234A095" w:rsidR="00C94F42" w:rsidRPr="008B628A" w:rsidRDefault="00C94F42" w:rsidP="00C94F42">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lastRenderedPageBreak/>
        <w:t xml:space="preserve">Lai maksimāli samazinātu fosilo energoresursu izmantošanu, tostarp pakāpeniski samazinot dabasgāzes patēriņu un apgādi, nepieciešams veicināt inovatīvu tīrās enerģijas tehnoloģiju  attīstību un ieviešanu, jo īpaši energoefektivitātei ēkās, ražošanā un transportā. </w:t>
      </w:r>
    </w:p>
    <w:p w14:paraId="43AB9FEC" w14:textId="77777777" w:rsidR="00C94F42" w:rsidRPr="008B628A" w:rsidRDefault="00C94F42" w:rsidP="00C94F42">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OMA2050 informatīvais ziņojums, kas vēl ir izstrādes stadijā, oglekļa mazietilpīgu tehnoloģiju pētniecības un inovācijas jomā paredz šādus galvenos nosacījumus:</w:t>
      </w:r>
    </w:p>
    <w:p w14:paraId="2A230703"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Oglekļa mazietilpīgas attīstības aspekti ir integrēti visās pētījumu programmās, īpaši obligāts nosacījums valsts budžeta finansētajiem;</w:t>
      </w:r>
    </w:p>
    <w:p w14:paraId="1CD0D59C"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Latvija veiksmīgi piesaista ārvalstu un privātā sektora investīcijas  pētniecībai un inovatīvu risinājumu attīstībai, jaunu un uzlabotu tehnoloģiju un procesu izstrādē;</w:t>
      </w:r>
    </w:p>
    <w:p w14:paraId="129F7B25"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Nodrošināta cieša izglītības un pētniecības sasaiste un zināšanu un tehnoloģiju pārnese starp pētniecību un dažādajiem ekonomikas sektoriem. .</w:t>
      </w:r>
    </w:p>
    <w:p w14:paraId="3FFE87A9" w14:textId="063B6C7C" w:rsidR="00581156" w:rsidRPr="008B628A" w:rsidRDefault="00581156" w:rsidP="00C94F42">
      <w:pPr>
        <w:pStyle w:val="Heading3"/>
      </w:pPr>
      <w:r w:rsidRPr="008B628A">
        <w:t>Attiecīgā gadījumā nacionālie konkurētspējas mērķi</w:t>
      </w:r>
      <w:bookmarkEnd w:id="160"/>
      <w:bookmarkEnd w:id="161"/>
      <w:r w:rsidRPr="008B628A">
        <w:t xml:space="preserve"> </w:t>
      </w:r>
    </w:p>
    <w:p w14:paraId="7A8A252F" w14:textId="03C00A0B" w:rsidR="006133AD" w:rsidRPr="008B628A" w:rsidRDefault="00A45919" w:rsidP="00C94F42">
      <w:pPr>
        <w:spacing w:before="120" w:after="120" w:line="240" w:lineRule="auto"/>
        <w:jc w:val="both"/>
        <w:rPr>
          <w:rFonts w:ascii="Times New Roman" w:hAnsi="Times New Roman" w:cs="Times New Roman"/>
        </w:rPr>
        <w:sectPr w:rsidR="006133AD" w:rsidRPr="008B628A" w:rsidSect="0015582E">
          <w:headerReference w:type="default" r:id="rId15"/>
          <w:footerReference w:type="default" r:id="rId16"/>
          <w:footerReference w:type="first" r:id="rId17"/>
          <w:pgSz w:w="11906" w:h="16838" w:code="9"/>
          <w:pgMar w:top="1418" w:right="1134" w:bottom="1134" w:left="1701" w:header="567" w:footer="567" w:gutter="0"/>
          <w:cols w:space="708"/>
          <w:titlePg/>
          <w:docGrid w:linePitch="360"/>
        </w:sect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21"/>
      </w:r>
      <w:r w:rsidRPr="008B628A">
        <w:rPr>
          <w:rFonts w:ascii="Times New Roman" w:hAnsi="Times New Roman" w:cs="Times New Roman"/>
          <w:szCs w:val="24"/>
        </w:rPr>
        <w:t xml:space="preserve"> attiecībā uz konkurētspējas dimensiju ir noteikts Latvijas nacionālais mērķis – Globālās konkurētspējas indeksa novērtējumā Latvijai ir jāatrodas augstāk par 40.vietu pasaulē 2030.gadā.</w:t>
      </w:r>
    </w:p>
    <w:p w14:paraId="73534256" w14:textId="06B2C0DD" w:rsidR="00581156" w:rsidRPr="008B628A" w:rsidRDefault="00581156" w:rsidP="00573EBD">
      <w:pPr>
        <w:pStyle w:val="Heading1"/>
      </w:pPr>
      <w:bookmarkStart w:id="162" w:name="_Toc520978835"/>
      <w:bookmarkStart w:id="163" w:name="_Toc527529479"/>
      <w:bookmarkStart w:id="164" w:name="_Toc532910005"/>
      <w:r w:rsidRPr="008B628A">
        <w:lastRenderedPageBreak/>
        <w:t>RĪCĪBPOLITIKAS UN PASĀKUMI</w:t>
      </w:r>
      <w:bookmarkEnd w:id="162"/>
      <w:bookmarkEnd w:id="163"/>
      <w:bookmarkEnd w:id="164"/>
      <w:r w:rsidRPr="008B628A">
        <w:t xml:space="preserve"> </w:t>
      </w:r>
    </w:p>
    <w:p w14:paraId="36066764" w14:textId="65C0F327" w:rsidR="00F74D88" w:rsidRPr="008B628A" w:rsidRDefault="000A4C7C" w:rsidP="00F74D88">
      <w:pPr>
        <w:spacing w:before="120" w:after="120" w:line="240" w:lineRule="auto"/>
        <w:jc w:val="both"/>
        <w:rPr>
          <w:rFonts w:ascii="Times New Roman" w:hAnsi="Times New Roman" w:cs="Times New Roman"/>
        </w:rPr>
      </w:pPr>
      <w:r w:rsidRPr="008B628A">
        <w:rPr>
          <w:rFonts w:ascii="Times New Roman" w:hAnsi="Times New Roman" w:cs="Times New Roman"/>
        </w:rPr>
        <w:t xml:space="preserve">Tā kā daudzi Latvijā plānotie mērķu īstenošanai nepieciešamie rīcībpolitiku pasākumi ir starpnozaru pasākumi un pēc būtības gandrīz visi pasākumi skar arī klimata pārmaiņu mazināšanas nosacījumus, tad </w:t>
      </w:r>
      <w:r w:rsidR="00833DAC" w:rsidRPr="008B628A">
        <w:rPr>
          <w:rFonts w:ascii="Times New Roman" w:hAnsi="Times New Roman" w:cs="Times New Roman"/>
        </w:rPr>
        <w:t xml:space="preserve">4.pielikumā </w:t>
      </w:r>
      <w:r w:rsidRPr="008B628A">
        <w:rPr>
          <w:rFonts w:ascii="Times New Roman" w:hAnsi="Times New Roman" w:cs="Times New Roman"/>
        </w:rPr>
        <w:t xml:space="preserve">vienkopus ir apkopoti visi iespējamie mērķu sasniegšanai nepieciešamie pasākumi. </w:t>
      </w:r>
    </w:p>
    <w:p w14:paraId="129D882C" w14:textId="5D8D83CE" w:rsidR="000A4C7C" w:rsidRPr="008B628A" w:rsidRDefault="00F74D88" w:rsidP="00F74D88">
      <w:pPr>
        <w:spacing w:before="120" w:after="120" w:line="240" w:lineRule="auto"/>
        <w:jc w:val="both"/>
        <w:rPr>
          <w:rFonts w:ascii="Times New Roman" w:hAnsi="Times New Roman" w:cs="Times New Roman"/>
          <w:szCs w:val="24"/>
        </w:rPr>
      </w:pPr>
      <w:r w:rsidRPr="008B628A">
        <w:rPr>
          <w:rFonts w:ascii="Times New Roman" w:hAnsi="Times New Roman" w:cs="Times New Roman"/>
        </w:rPr>
        <w:t xml:space="preserve">Ir jānorāda, ka tie zemāk minētie pasākumi, kuri varētu tikt klasificēti kā komercdarbības atbalsta pasākumi, ir pilnībā jāsaskaņo ar EK un šī saskaņošana ir jāveic pietiekami priekšlaicīgi. Līdz ar to </w:t>
      </w:r>
      <w:r w:rsidR="0085567A" w:rsidRPr="008B628A">
        <w:rPr>
          <w:rFonts w:ascii="Times New Roman" w:hAnsi="Times New Roman" w:cs="Times New Roman"/>
        </w:rPr>
        <w:t xml:space="preserve">pasākumi, kuri kvalificējas kā komercdarbības atbalsta pasākumi, tiks ieviesti ievērojot komercdarbības atbalsta kontroles regulējumu, savukārt pasākumi, kuri no komercdarbības </w:t>
      </w:r>
      <w:r w:rsidR="0085567A" w:rsidRPr="008B628A">
        <w:rPr>
          <w:rFonts w:ascii="Times New Roman" w:hAnsi="Times New Roman" w:cs="Times New Roman"/>
          <w:szCs w:val="24"/>
        </w:rPr>
        <w:t xml:space="preserve">atbalsta viedokļa ir saskaņojami ar </w:t>
      </w:r>
      <w:r w:rsidR="00E94F3D" w:rsidRPr="008B628A">
        <w:rPr>
          <w:rFonts w:ascii="Times New Roman" w:hAnsi="Times New Roman" w:cs="Times New Roman"/>
          <w:szCs w:val="24"/>
        </w:rPr>
        <w:t>EK</w:t>
      </w:r>
      <w:r w:rsidR="0085567A" w:rsidRPr="008B628A">
        <w:rPr>
          <w:rFonts w:ascii="Times New Roman" w:hAnsi="Times New Roman" w:cs="Times New Roman"/>
          <w:szCs w:val="24"/>
        </w:rPr>
        <w:t>, tiks saskaņoti pirms to uzsākšanas</w:t>
      </w:r>
      <w:r w:rsidRPr="008B628A">
        <w:rPr>
          <w:rFonts w:ascii="Times New Roman" w:hAnsi="Times New Roman" w:cs="Times New Roman"/>
          <w:szCs w:val="24"/>
        </w:rPr>
        <w:t>.</w:t>
      </w:r>
      <w:r w:rsidR="000A4C7C" w:rsidRPr="008B628A">
        <w:rPr>
          <w:rFonts w:ascii="Times New Roman" w:hAnsi="Times New Roman" w:cs="Times New Roman"/>
          <w:szCs w:val="24"/>
        </w:rPr>
        <w:t xml:space="preserve"> </w:t>
      </w:r>
    </w:p>
    <w:p w14:paraId="4E2AC238" w14:textId="7F7C554A" w:rsidR="007473D0" w:rsidRPr="008B628A" w:rsidRDefault="007473D0" w:rsidP="007473D0">
      <w:pPr>
        <w:spacing w:before="120" w:after="120"/>
        <w:jc w:val="both"/>
        <w:rPr>
          <w:rFonts w:ascii="Times New Roman" w:hAnsi="Times New Roman" w:cs="Times New Roman"/>
          <w:b/>
          <w:bCs/>
        </w:rPr>
      </w:pPr>
      <w:r w:rsidRPr="008B628A">
        <w:rPr>
          <w:rFonts w:ascii="Times New Roman" w:hAnsi="Times New Roman" w:cs="Times New Roman"/>
          <w:b/>
          <w:bCs/>
        </w:rPr>
        <w:t>Vairāki 4.pielikumā minētie esošie pasākumi ir jau iekļauti bāzes scenārijā, pieņemot, ka tie turpināsies periodā pēc 2021</w:t>
      </w:r>
      <w:r w:rsidR="00E80655">
        <w:rPr>
          <w:rFonts w:ascii="Times New Roman" w:hAnsi="Times New Roman" w:cs="Times New Roman"/>
          <w:b/>
          <w:bCs/>
        </w:rPr>
        <w:t>.</w:t>
      </w:r>
      <w:r w:rsidRPr="008B628A">
        <w:rPr>
          <w:rFonts w:ascii="Times New Roman" w:hAnsi="Times New Roman" w:cs="Times New Roman"/>
          <w:b/>
          <w:bCs/>
        </w:rPr>
        <w:t>gada</w:t>
      </w:r>
      <w:r w:rsidR="00E80655">
        <w:rPr>
          <w:rStyle w:val="FootnoteReference"/>
          <w:rFonts w:ascii="Times New Roman" w:hAnsi="Times New Roman" w:cs="Times New Roman"/>
          <w:b/>
          <w:bCs/>
        </w:rPr>
        <w:footnoteReference w:id="122"/>
      </w:r>
      <w:r w:rsidRPr="008B628A">
        <w:rPr>
          <w:rFonts w:ascii="Times New Roman" w:hAnsi="Times New Roman" w:cs="Times New Roman"/>
          <w:b/>
          <w:bCs/>
        </w:rPr>
        <w:t xml:space="preserve"> atbilstoši Plānā noteiktajam. To īstenošanas konkrētie nosacījumi minētajā periodā vēl nav formulēti Latvijas politikas plānošanas dokumentos, kā arī to īstenošanai nepieciešamais finansējums nav piešķirts, tomēr tie iekļauti vairākos dokumentu projektos, piemēram, dokumentos par daudzgadu budžetu un jauno ES fondu ietvaru. Tāpēc šie pasākumi ir iekļauti bāzes scenārijā kā iespējamie jaunie pasākumi un to īstenošanai nepieciešamais finansējums ir iekļautas zemāk minētajā tabulā kā mērķa sasniegšanai nepieciešamais finansējums.</w:t>
      </w:r>
    </w:p>
    <w:p w14:paraId="4087FCAE" w14:textId="6850C99E" w:rsidR="00833DAC" w:rsidRPr="008B628A" w:rsidRDefault="00C94F42" w:rsidP="00F74D88">
      <w:pPr>
        <w:spacing w:before="120" w:after="120" w:line="240" w:lineRule="auto"/>
        <w:jc w:val="both"/>
        <w:rPr>
          <w:rFonts w:ascii="Times New Roman" w:hAnsi="Times New Roman" w:cs="Times New Roman"/>
          <w:b/>
          <w:szCs w:val="24"/>
        </w:rPr>
      </w:pPr>
      <w:r w:rsidRPr="008B628A">
        <w:rPr>
          <w:rFonts w:ascii="Times New Roman" w:hAnsi="Times New Roman" w:cs="Times New Roman"/>
          <w:b/>
          <w:szCs w:val="24"/>
        </w:rPr>
        <w:t xml:space="preserve">Plāna </w:t>
      </w:r>
      <w:r w:rsidR="00833DAC" w:rsidRPr="008B628A">
        <w:rPr>
          <w:rFonts w:ascii="Times New Roman" w:hAnsi="Times New Roman" w:cs="Times New Roman"/>
          <w:b/>
          <w:szCs w:val="24"/>
        </w:rPr>
        <w:t>4.pielikumā iekļautais pasākumu finansējums un nepieciešamās investīcijas tiks precizētas diskusijās par ES fondu atbalsta pārdali, kā arī 4.pielikumā iekļautais pasākumu īstenošanai nepieciešamais finansējums nav galīgs un nav apstiprināta tā piešķiršana.</w:t>
      </w:r>
    </w:p>
    <w:p w14:paraId="2D2C5778" w14:textId="45894E08" w:rsidR="00EF44BB" w:rsidRPr="008B628A" w:rsidRDefault="00C94F42" w:rsidP="00EF44BB">
      <w:pPr>
        <w:widowControl w:val="0"/>
        <w:spacing w:before="120" w:after="120" w:line="240" w:lineRule="auto"/>
        <w:jc w:val="both"/>
        <w:rPr>
          <w:rFonts w:ascii="Times New Roman" w:hAnsi="Times New Roman"/>
          <w:szCs w:val="24"/>
        </w:rPr>
      </w:pPr>
      <w:r w:rsidRPr="008B628A">
        <w:rPr>
          <w:rFonts w:ascii="Times New Roman" w:hAnsi="Times New Roman" w:cs="Times New Roman"/>
          <w:szCs w:val="24"/>
        </w:rPr>
        <w:t>P</w:t>
      </w:r>
      <w:r w:rsidR="00833DAC" w:rsidRPr="008B628A">
        <w:rPr>
          <w:rFonts w:ascii="Times New Roman" w:hAnsi="Times New Roman" w:cs="Times New Roman"/>
          <w:szCs w:val="24"/>
        </w:rPr>
        <w:t xml:space="preserve">asākumu īstenošanas prioritārā secība nav noteikta un apstiprināta, tomēr prioritāri būtu jāveic pasākumi tajās nozarēs, kuras ir lielākās </w:t>
      </w:r>
      <w:r w:rsidR="008000C9">
        <w:rPr>
          <w:rFonts w:ascii="Times New Roman" w:hAnsi="Times New Roman" w:cs="Times New Roman"/>
          <w:szCs w:val="24"/>
        </w:rPr>
        <w:t xml:space="preserve">enerģijas </w:t>
      </w:r>
      <w:r w:rsidR="00833DAC" w:rsidRPr="008B628A">
        <w:rPr>
          <w:rFonts w:ascii="Times New Roman" w:hAnsi="Times New Roman" w:cs="Times New Roman"/>
          <w:szCs w:val="24"/>
        </w:rPr>
        <w:t>patērētājas un SEG emisiju apjoma, uz kuru attiecas Latvijai noteiktais ne-ETS darbību SEG emisiju samazināšanas mērķis, radītājas. 2017.gadā ener</w:t>
      </w:r>
      <w:r w:rsidR="008000C9">
        <w:rPr>
          <w:rFonts w:ascii="Times New Roman" w:hAnsi="Times New Roman" w:cs="Times New Roman"/>
          <w:szCs w:val="24"/>
        </w:rPr>
        <w:t>ģijas</w:t>
      </w:r>
      <w:r w:rsidR="00833DAC" w:rsidRPr="008B628A">
        <w:rPr>
          <w:rFonts w:ascii="Times New Roman" w:hAnsi="Times New Roman" w:cs="Times New Roman"/>
          <w:szCs w:val="24"/>
        </w:rPr>
        <w:t xml:space="preserve"> lielākie patērētāji ir transports – 30,3% un mājsaimniecības – 29,2%, savukārt ne-ETS darbību SEG emisiju apjomā 2017.gadā dominēja transports – 36,3%, lauksaimniecība – 28,5% un enerģētika – 17%.</w:t>
      </w:r>
      <w:r w:rsidR="00EF44BB" w:rsidRPr="008B628A">
        <w:rPr>
          <w:rFonts w:ascii="Times New Roman" w:hAnsi="Times New Roman" w:cs="Times New Roman"/>
          <w:szCs w:val="24"/>
        </w:rPr>
        <w:t xml:space="preserve"> </w:t>
      </w:r>
      <w:r w:rsidR="00EF44BB" w:rsidRPr="008B628A">
        <w:rPr>
          <w:rFonts w:ascii="Times New Roman" w:hAnsi="Times New Roman"/>
          <w:szCs w:val="24"/>
        </w:rPr>
        <w:t>Plāna projekta 4.pielikumā ir piedāvāti iespējamie pasākumi mērķu sasniegšanai līdz 2030.gadam. Piedāvātie pasākumi ir sadalīti vairākās grupās:</w:t>
      </w:r>
    </w:p>
    <w:p w14:paraId="19246293"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Eiropas Savienības fondu atbalsta programmas;</w:t>
      </w:r>
    </w:p>
    <w:p w14:paraId="23E65BEC"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nodokļu politikas pasākumi;</w:t>
      </w:r>
    </w:p>
    <w:p w14:paraId="57614141"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veicināšanas pasākumi;</w:t>
      </w:r>
    </w:p>
    <w:p w14:paraId="49113042" w14:textId="5FE0EA26" w:rsidR="00EF44BB" w:rsidRPr="008B628A" w:rsidRDefault="00376AFA"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Pr>
          <w:rFonts w:ascii="Times New Roman" w:hAnsi="Times New Roman"/>
          <w:szCs w:val="24"/>
        </w:rPr>
        <w:t>l</w:t>
      </w:r>
      <w:r w:rsidR="00EF44BB" w:rsidRPr="008B628A">
        <w:rPr>
          <w:rFonts w:ascii="Times New Roman" w:hAnsi="Times New Roman"/>
          <w:szCs w:val="24"/>
        </w:rPr>
        <w:t>ikumdošanas pasākumi;</w:t>
      </w:r>
    </w:p>
    <w:p w14:paraId="33751F0E"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pienākumi.</w:t>
      </w:r>
    </w:p>
    <w:p w14:paraId="02CD4716" w14:textId="77777777" w:rsidR="00833DAC" w:rsidRPr="008B628A" w:rsidRDefault="00833DAC" w:rsidP="00F74D88">
      <w:pPr>
        <w:spacing w:before="120" w:after="120" w:line="240" w:lineRule="auto"/>
        <w:jc w:val="both"/>
        <w:rPr>
          <w:rFonts w:ascii="Times New Roman" w:hAnsi="Times New Roman" w:cs="Times New Roman"/>
        </w:rPr>
      </w:pPr>
    </w:p>
    <w:p w14:paraId="5C24CDDC" w14:textId="52838DCB" w:rsidR="00581156" w:rsidRPr="008B628A" w:rsidRDefault="002C6E77" w:rsidP="006F546A">
      <w:pPr>
        <w:pStyle w:val="Heading2"/>
      </w:pPr>
      <w:bookmarkStart w:id="165" w:name="_Toc520978836"/>
      <w:bookmarkStart w:id="166" w:name="_Toc527529480"/>
      <w:bookmarkStart w:id="167" w:name="_Toc532910006"/>
      <w:r>
        <w:t>D</w:t>
      </w:r>
      <w:r w:rsidR="00581156" w:rsidRPr="008B628A">
        <w:t>ekarbonizācija</w:t>
      </w:r>
      <w:bookmarkEnd w:id="165"/>
      <w:bookmarkEnd w:id="166"/>
      <w:bookmarkEnd w:id="167"/>
      <w:r w:rsidR="00581156" w:rsidRPr="008B628A">
        <w:t xml:space="preserve"> </w:t>
      </w:r>
    </w:p>
    <w:p w14:paraId="428E046C" w14:textId="0883C274" w:rsidR="00581156" w:rsidRPr="008B628A" w:rsidRDefault="00581156" w:rsidP="005F59CE">
      <w:pPr>
        <w:pStyle w:val="Heading3"/>
      </w:pPr>
      <w:bookmarkStart w:id="168" w:name="_Toc520978837"/>
      <w:bookmarkStart w:id="169" w:name="_Toc527529481"/>
      <w:r w:rsidRPr="008B628A">
        <w:t>SEG emisijas un piesaistījumi</w:t>
      </w:r>
      <w:bookmarkEnd w:id="168"/>
      <w:bookmarkEnd w:id="169"/>
      <w:r w:rsidRPr="008B628A">
        <w:t xml:space="preserve"> </w:t>
      </w:r>
    </w:p>
    <w:p w14:paraId="751F2701" w14:textId="77678BC9" w:rsidR="00A266CC" w:rsidRPr="008B628A" w:rsidRDefault="00A266CC" w:rsidP="00FD6D1E">
      <w:pPr>
        <w:pStyle w:val="Heading4"/>
      </w:pPr>
      <w:bookmarkStart w:id="170" w:name="_Ref518574543"/>
      <w:bookmarkStart w:id="171" w:name="_Toc527529482"/>
      <w:r w:rsidRPr="008B628A">
        <w:t>Rīcībpolitikas un pasākumi mērķu izpildei</w:t>
      </w:r>
      <w:bookmarkEnd w:id="170"/>
      <w:bookmarkEnd w:id="171"/>
    </w:p>
    <w:p w14:paraId="7620161A" w14:textId="77777777" w:rsidR="00833DAC" w:rsidRPr="008B628A" w:rsidRDefault="00833DAC" w:rsidP="00833DAC">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7D57027F" w14:textId="77777777" w:rsidR="006F546A" w:rsidRPr="008B628A" w:rsidRDefault="006F546A" w:rsidP="006F546A">
      <w:pPr>
        <w:spacing w:before="120" w:after="120" w:line="240" w:lineRule="auto"/>
        <w:rPr>
          <w:rFonts w:ascii="Times New Roman" w:hAnsi="Times New Roman" w:cs="Times New Roman"/>
        </w:rPr>
      </w:pPr>
      <w:r w:rsidRPr="008B628A">
        <w:rPr>
          <w:rFonts w:ascii="Times New Roman" w:hAnsi="Times New Roman" w:cs="Times New Roman"/>
          <w:highlight w:val="yellow"/>
        </w:rPr>
        <w:t>……………</w:t>
      </w:r>
    </w:p>
    <w:p w14:paraId="5A6A881E" w14:textId="77777777" w:rsidR="00A266CC" w:rsidRPr="008B628A" w:rsidRDefault="00A266CC" w:rsidP="00A266CC"/>
    <w:p w14:paraId="47284C9F" w14:textId="77777777" w:rsidR="00A266CC" w:rsidRPr="008B628A" w:rsidRDefault="00A266CC" w:rsidP="00FD6D1E">
      <w:pPr>
        <w:pStyle w:val="Heading4"/>
      </w:pPr>
      <w:bookmarkStart w:id="172" w:name="_Ref518574546"/>
      <w:bookmarkStart w:id="173" w:name="_Toc527529483"/>
      <w:r w:rsidRPr="008B628A">
        <w:lastRenderedPageBreak/>
        <w:t>Reģionālā sadarbība</w:t>
      </w:r>
      <w:bookmarkEnd w:id="172"/>
      <w:bookmarkEnd w:id="173"/>
    </w:p>
    <w:p w14:paraId="44D6BE80" w14:textId="77777777" w:rsidR="006F546A" w:rsidRPr="008B628A" w:rsidRDefault="006F546A" w:rsidP="006F546A">
      <w:pPr>
        <w:spacing w:before="120" w:after="120" w:line="240" w:lineRule="auto"/>
        <w:rPr>
          <w:rFonts w:ascii="Times New Roman" w:hAnsi="Times New Roman" w:cs="Times New Roman"/>
        </w:rPr>
      </w:pPr>
      <w:r w:rsidRPr="008B628A">
        <w:rPr>
          <w:rFonts w:ascii="Times New Roman" w:hAnsi="Times New Roman" w:cs="Times New Roman"/>
          <w:highlight w:val="yellow"/>
        </w:rPr>
        <w:t>……………</w:t>
      </w:r>
    </w:p>
    <w:p w14:paraId="5D4C7115" w14:textId="20BDD6E2" w:rsidR="00581156" w:rsidRPr="008B628A" w:rsidRDefault="00581156" w:rsidP="00581156">
      <w:pPr>
        <w:rPr>
          <w:rFonts w:ascii="Times New Roman" w:hAnsi="Times New Roman" w:cs="Times New Roman"/>
        </w:rPr>
      </w:pPr>
    </w:p>
    <w:p w14:paraId="589B2844" w14:textId="72FD3833" w:rsidR="00581156" w:rsidRPr="008B628A" w:rsidRDefault="00CB6A49" w:rsidP="00C715FA">
      <w:pPr>
        <w:pStyle w:val="Heading3"/>
      </w:pPr>
      <w:bookmarkStart w:id="174" w:name="_Toc520978838"/>
      <w:bookmarkStart w:id="175" w:name="_Toc527529484"/>
      <w:r w:rsidRPr="008B628A">
        <w:t>AER</w:t>
      </w:r>
      <w:r w:rsidR="00581156" w:rsidRPr="008B628A">
        <w:t xml:space="preserve"> enerģija</w:t>
      </w:r>
      <w:bookmarkEnd w:id="174"/>
      <w:bookmarkEnd w:id="175"/>
      <w:r w:rsidR="00581156" w:rsidRPr="008B628A">
        <w:t xml:space="preserve"> </w:t>
      </w:r>
    </w:p>
    <w:p w14:paraId="1D334182" w14:textId="6F87C708" w:rsidR="00A266CC" w:rsidRPr="008B628A" w:rsidRDefault="00A266CC" w:rsidP="00C715FA">
      <w:pPr>
        <w:pStyle w:val="Heading4"/>
        <w:jc w:val="both"/>
      </w:pPr>
      <w:bookmarkStart w:id="176" w:name="_Ref518574554"/>
      <w:bookmarkStart w:id="177" w:name="_Toc527529485"/>
      <w:r w:rsidRPr="008B628A">
        <w:t xml:space="preserve">Rīcībpolitikas un pasākumi </w:t>
      </w:r>
      <w:r w:rsidR="00C715FA" w:rsidRPr="008B628A">
        <w:t>devuma</w:t>
      </w:r>
      <w:r w:rsidRPr="008B628A">
        <w:t xml:space="preserve"> izpildei</w:t>
      </w:r>
      <w:bookmarkEnd w:id="176"/>
      <w:bookmarkEnd w:id="177"/>
    </w:p>
    <w:p w14:paraId="5C9C031D" w14:textId="58A2E3A3" w:rsidR="006F546A" w:rsidRDefault="00C715FA" w:rsidP="00C715FA">
      <w:pPr>
        <w:spacing w:before="120" w:after="120" w:line="240" w:lineRule="auto"/>
        <w:jc w:val="both"/>
        <w:rPr>
          <w:rFonts w:ascii="Times New Roman" w:hAnsi="Times New Roman" w:cs="Times New Roman"/>
        </w:rPr>
      </w:pPr>
      <w:r w:rsidRPr="008B628A">
        <w:rPr>
          <w:rFonts w:ascii="Times New Roman" w:hAnsi="Times New Roman" w:cs="Times New Roman"/>
        </w:rPr>
        <w:t>Skat</w:t>
      </w:r>
      <w:r w:rsidR="00B3373A" w:rsidRPr="008B628A">
        <w:rPr>
          <w:rFonts w:ascii="Times New Roman" w:hAnsi="Times New Roman" w:cs="Times New Roman"/>
        </w:rPr>
        <w:t xml:space="preserve">īt </w:t>
      </w:r>
      <w:r w:rsidR="00833DAC" w:rsidRPr="008B628A">
        <w:rPr>
          <w:rFonts w:ascii="Times New Roman" w:hAnsi="Times New Roman" w:cs="Times New Roman"/>
        </w:rPr>
        <w:t>4.pielikumu</w:t>
      </w:r>
      <w:r w:rsidRPr="008B628A">
        <w:rPr>
          <w:rFonts w:ascii="Times New Roman" w:hAnsi="Times New Roman" w:cs="Times New Roman"/>
        </w:rPr>
        <w:t>.</w:t>
      </w:r>
    </w:p>
    <w:p w14:paraId="7C03D847" w14:textId="59A5D4CC" w:rsidR="008F69C3" w:rsidRPr="00626181" w:rsidRDefault="008F69C3" w:rsidP="00C715FA">
      <w:pPr>
        <w:spacing w:before="120" w:after="120" w:line="240" w:lineRule="auto"/>
        <w:jc w:val="both"/>
        <w:rPr>
          <w:rFonts w:ascii="Times New Roman" w:hAnsi="Times New Roman" w:cs="Times New Roman"/>
          <w:b/>
        </w:rPr>
      </w:pPr>
      <w:r w:rsidRPr="00626181">
        <w:rPr>
          <w:rFonts w:ascii="Times New Roman" w:hAnsi="Times New Roman" w:cs="Times New Roman"/>
          <w:b/>
        </w:rPr>
        <w:t>Plānotajiem pasākumiem un rīcībpolitikām AER devuma izpildei, kas apkopoti 4.pielikumā</w:t>
      </w:r>
      <w:r w:rsidR="00AB3B65">
        <w:rPr>
          <w:rFonts w:ascii="Times New Roman" w:hAnsi="Times New Roman" w:cs="Times New Roman"/>
          <w:b/>
        </w:rPr>
        <w:t>,</w:t>
      </w:r>
      <w:r w:rsidRPr="00626181">
        <w:rPr>
          <w:rFonts w:ascii="Times New Roman" w:hAnsi="Times New Roman" w:cs="Times New Roman"/>
          <w:b/>
        </w:rPr>
        <w:t xml:space="preserve"> ir šādi galvenie virzieni:</w:t>
      </w:r>
    </w:p>
    <w:p w14:paraId="777513F8" w14:textId="435C8134" w:rsidR="00AB3B65" w:rsidRPr="00F060A0" w:rsidRDefault="008F69C3"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 xml:space="preserve">tādu likumdošanas nosacījumu izstrāde, kas veicinātu AER tehnoloģiju </w:t>
      </w:r>
      <w:r w:rsidR="00AB3B65" w:rsidRPr="00F060A0">
        <w:rPr>
          <w:rFonts w:ascii="Times New Roman" w:hAnsi="Times New Roman" w:cs="Times New Roman"/>
        </w:rPr>
        <w:t>ieviešanu bez tieša finansiāla atbalsta;</w:t>
      </w:r>
    </w:p>
    <w:p w14:paraId="17BF08AF" w14:textId="4ED58FAA"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nodokļu likmju pārskatīšana, kas vecinātu AER konkurētspēju ar fosilajiem enerģijas avotiem;</w:t>
      </w:r>
    </w:p>
    <w:p w14:paraId="63AF288E" w14:textId="6CEC675C"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ES finansējuma piesaiste, tostarp caur pārrobežu sadarbību, AER tehnoloģiju projektiem;</w:t>
      </w:r>
    </w:p>
    <w:p w14:paraId="014761B4" w14:textId="4446220B"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enerģijas pašpatēriņa veicināšana.</w:t>
      </w:r>
    </w:p>
    <w:p w14:paraId="0FB18F4E" w14:textId="3151A03D" w:rsidR="00FC36C8" w:rsidRPr="008B628A" w:rsidRDefault="00FC36C8" w:rsidP="00C715FA">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ir jau zināmi vairāki </w:t>
      </w:r>
      <w:r w:rsidRPr="00F060A0">
        <w:rPr>
          <w:rFonts w:ascii="Times New Roman" w:hAnsi="Times New Roman" w:cs="Times New Roman"/>
          <w:b/>
        </w:rPr>
        <w:t>īstenošanā esoši pasākumi</w:t>
      </w:r>
      <w:r w:rsidRPr="008B628A">
        <w:rPr>
          <w:rFonts w:ascii="Times New Roman" w:hAnsi="Times New Roman" w:cs="Times New Roman"/>
        </w:rPr>
        <w:t>, kur</w:t>
      </w:r>
      <w:r w:rsidR="00302AEF" w:rsidRPr="008B628A">
        <w:rPr>
          <w:rFonts w:ascii="Times New Roman" w:hAnsi="Times New Roman" w:cs="Times New Roman"/>
        </w:rPr>
        <w:t>i tiek īstenoti esošo politiku sistēmā, bet kuru īstenošana netiek virzīta kā rīcībpolitikas īstenošanas pasākums, un kur</w:t>
      </w:r>
      <w:r w:rsidRPr="008B628A">
        <w:rPr>
          <w:rFonts w:ascii="Times New Roman" w:hAnsi="Times New Roman" w:cs="Times New Roman"/>
        </w:rPr>
        <w:t>u īstenošana nodrošinās arī AER īpatsvara palielināšanu:</w:t>
      </w:r>
    </w:p>
    <w:p w14:paraId="46675075" w14:textId="048677F7"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SIA “Salaspils siltums” projekts saules enerģijas izmantošanai centralizētajā siltumapgādē, gadā saražojot 12 GWh siltumenerģijas pilnībā nosedzot vasaras siltumenerģijas patēriņu ar saules enerģiju</w:t>
      </w:r>
      <w:r w:rsidRPr="008B628A">
        <w:rPr>
          <w:rStyle w:val="FootnoteReference"/>
          <w:rFonts w:ascii="Times New Roman" w:hAnsi="Times New Roman" w:cs="Times New Roman"/>
        </w:rPr>
        <w:footnoteReference w:id="123"/>
      </w:r>
      <w:r w:rsidRPr="008B628A">
        <w:rPr>
          <w:rFonts w:ascii="Times New Roman" w:hAnsi="Times New Roman" w:cs="Times New Roman"/>
        </w:rPr>
        <w:t>;</w:t>
      </w:r>
    </w:p>
    <w:p w14:paraId="0FECAC5B" w14:textId="77777777"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bioloģiski noārdāmo atkritumu anaerobās fermentācijas pārstrādes iekārtas izveide divos sadzīves atkritumu apglabāšanas poligonos, kas nodrošinās bioloģiski noārdāmo atkritumu pārstrādi kompostā, kā arī enerģijas ražošanu no pārstrādes procesā iegūtās biogāzes;</w:t>
      </w:r>
    </w:p>
    <w:p w14:paraId="6D7095FD" w14:textId="7615E4BF"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atkritumu atkārtotas izmantošanas, pārstrādes un reģenerācijas plāns, kas paredz Ventspilī izveidot no atkritumiem iegūtā kurināmā (NAIK) reģenerācijas iekārtu, jeb katlu māju, kurā kā kurināmais tiks izmantots no sadzīves atkritumiem radīts (vai atgūts) kurināmais. Paredzēts uzstādīt nominālo ražošanas jaudu 10MW, ražojot siltumenerģiju 8MW un elektroenerģiju 1,3MW. Kā kurināmo paredzēts izmantot no atkritumiem iegūto kurināmo, līdz 21 210 tonnām gadā. Iekārtas darbības uzsākšana ir paredzēta 2020.gada otrajā pusē.</w:t>
      </w:r>
    </w:p>
    <w:p w14:paraId="40F575E9" w14:textId="5194CFF2" w:rsidR="00BF5AB6" w:rsidRPr="008B628A" w:rsidRDefault="00BF5AB6" w:rsidP="00BF5AB6">
      <w:pPr>
        <w:pStyle w:val="ListParagraph"/>
        <w:spacing w:before="120" w:after="120" w:line="240" w:lineRule="auto"/>
        <w:ind w:left="397"/>
        <w:contextualSpacing w:val="0"/>
        <w:jc w:val="both"/>
        <w:rPr>
          <w:rFonts w:ascii="Times New Roman" w:hAnsi="Times New Roman" w:cs="Times New Roman"/>
        </w:rPr>
      </w:pPr>
      <w:r w:rsidRPr="008B628A">
        <w:rPr>
          <w:rFonts w:ascii="Times New Roman" w:hAnsi="Times New Roman" w:cs="Times New Roman"/>
        </w:rPr>
        <w:t>At</w:t>
      </w:r>
      <w:r w:rsidR="004650A2" w:rsidRPr="008B628A">
        <w:rPr>
          <w:rFonts w:ascii="Times New Roman" w:hAnsi="Times New Roman" w:cs="Times New Roman"/>
        </w:rPr>
        <w:t xml:space="preserve">kritumu sadedzināšanas iekārta var veicināt Ventspilī, kur </w:t>
      </w:r>
      <w:r w:rsidR="00856C8D">
        <w:rPr>
          <w:rFonts w:ascii="Times New Roman" w:hAnsi="Times New Roman" w:cs="Times New Roman"/>
        </w:rPr>
        <w:t>2018.gadā</w:t>
      </w:r>
      <w:r w:rsidR="00856C8D" w:rsidRPr="008B628A">
        <w:rPr>
          <w:rFonts w:ascii="Times New Roman" w:hAnsi="Times New Roman" w:cs="Times New Roman"/>
        </w:rPr>
        <w:t xml:space="preserve"> </w:t>
      </w:r>
      <w:r w:rsidR="004650A2" w:rsidRPr="008B628A">
        <w:rPr>
          <w:rFonts w:ascii="Times New Roman" w:hAnsi="Times New Roman" w:cs="Times New Roman"/>
        </w:rPr>
        <w:t>pilsētas centralizētajā siltumapgādē tiek izmantots dīzeļdegviela, akmeņogles un cietā biomasa (šķelda)</w:t>
      </w:r>
      <w:r w:rsidR="00793131" w:rsidRPr="008B628A">
        <w:rPr>
          <w:rFonts w:ascii="Times New Roman" w:hAnsi="Times New Roman" w:cs="Times New Roman"/>
        </w:rPr>
        <w:t>,</w:t>
      </w:r>
      <w:r w:rsidR="004650A2" w:rsidRPr="008B628A">
        <w:rPr>
          <w:rFonts w:ascii="Times New Roman" w:hAnsi="Times New Roman" w:cs="Times New Roman"/>
        </w:rPr>
        <w:t xml:space="preserve"> nodrošināt pāreju uz biomasas kurināmā izmantošanu, jo sadzīves atkritumos</w:t>
      </w:r>
      <w:r w:rsidR="00D12763" w:rsidRPr="008B628A">
        <w:rPr>
          <w:rFonts w:ascii="Times New Roman" w:hAnsi="Times New Roman" w:cs="Times New Roman"/>
        </w:rPr>
        <w:t xml:space="preserve"> var būt no 30%-50%</w:t>
      </w:r>
      <w:r w:rsidR="00793131" w:rsidRPr="008B628A">
        <w:rPr>
          <w:rStyle w:val="FootnoteReference"/>
          <w:rFonts w:ascii="Times New Roman" w:hAnsi="Times New Roman" w:cs="Times New Roman"/>
        </w:rPr>
        <w:footnoteReference w:id="124"/>
      </w:r>
      <w:r w:rsidR="00D12763" w:rsidRPr="008B628A">
        <w:rPr>
          <w:rFonts w:ascii="Times New Roman" w:hAnsi="Times New Roman" w:cs="Times New Roman"/>
        </w:rPr>
        <w:t xml:space="preserve"> bioloģiski noārdāmā frakcija (</w:t>
      </w:r>
      <w:r w:rsidR="00793131" w:rsidRPr="008B628A">
        <w:rPr>
          <w:rFonts w:ascii="Times New Roman" w:hAnsi="Times New Roman" w:cs="Times New Roman"/>
        </w:rPr>
        <w:t>biomasas frakcija), kas tiek uzskaitīta kā AER un kuru sadedzināšanā radītais CO</w:t>
      </w:r>
      <w:r w:rsidR="00793131" w:rsidRPr="008B628A">
        <w:rPr>
          <w:rFonts w:ascii="Times New Roman" w:hAnsi="Times New Roman" w:cs="Times New Roman"/>
          <w:vertAlign w:val="subscript"/>
        </w:rPr>
        <w:t>2</w:t>
      </w:r>
      <w:r w:rsidR="00793131" w:rsidRPr="008B628A">
        <w:rPr>
          <w:rFonts w:ascii="Times New Roman" w:hAnsi="Times New Roman" w:cs="Times New Roman"/>
        </w:rPr>
        <w:t xml:space="preserve"> emisiju apjoms tiek netiek uzskaitīts valstī radītajā SEG emisiju apjomā</w:t>
      </w:r>
      <w:r w:rsidR="00793131" w:rsidRPr="008B628A">
        <w:rPr>
          <w:rStyle w:val="FootnoteReference"/>
          <w:rFonts w:ascii="Times New Roman" w:hAnsi="Times New Roman" w:cs="Times New Roman"/>
        </w:rPr>
        <w:footnoteReference w:id="125"/>
      </w:r>
      <w:r w:rsidR="00793131" w:rsidRPr="008B628A">
        <w:rPr>
          <w:rFonts w:ascii="Times New Roman" w:hAnsi="Times New Roman" w:cs="Times New Roman"/>
        </w:rPr>
        <w:t>.</w:t>
      </w:r>
    </w:p>
    <w:p w14:paraId="6DAC5EFC" w14:textId="4BBF9485" w:rsidR="00C715FA" w:rsidRPr="008B628A" w:rsidRDefault="00C715FA" w:rsidP="00C715FA">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ir jau zināmi vairāki </w:t>
      </w:r>
      <w:r w:rsidRPr="00F060A0">
        <w:rPr>
          <w:rFonts w:ascii="Times New Roman" w:hAnsi="Times New Roman" w:cs="Times New Roman"/>
          <w:b/>
        </w:rPr>
        <w:t>potenciāli īstenojami pasākumi</w:t>
      </w:r>
      <w:r w:rsidRPr="008B628A">
        <w:rPr>
          <w:rFonts w:ascii="Times New Roman" w:hAnsi="Times New Roman" w:cs="Times New Roman"/>
        </w:rPr>
        <w:t>, kuru īstenošana vēl nav uzsākta un kas nav noteikti politikas plānošanas dokumentos</w:t>
      </w:r>
      <w:r w:rsidR="00C658DC" w:rsidRPr="008B628A">
        <w:rPr>
          <w:rFonts w:ascii="Times New Roman" w:hAnsi="Times New Roman" w:cs="Times New Roman"/>
        </w:rPr>
        <w:t>, bet kuri potenciāli varētu tikt īstenoti</w:t>
      </w:r>
      <w:r w:rsidRPr="008B628A">
        <w:rPr>
          <w:rFonts w:ascii="Times New Roman" w:hAnsi="Times New Roman" w:cs="Times New Roman"/>
        </w:rPr>
        <w:t>:</w:t>
      </w:r>
    </w:p>
    <w:p w14:paraId="3721E59F" w14:textId="2CA4B6A4" w:rsidR="00C715FA" w:rsidRPr="008B628A" w:rsidRDefault="00C715FA"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a/s “Latvenergo” vēja elektrostaciju pilotprojekts;</w:t>
      </w:r>
    </w:p>
    <w:p w14:paraId="2E6DB36E" w14:textId="77777777" w:rsidR="00E90CE4" w:rsidRPr="008B628A" w:rsidRDefault="00F74D8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lastRenderedPageBreak/>
        <w:t>Dobeles vēja parka</w:t>
      </w:r>
      <w:r w:rsidR="00C658DC" w:rsidRPr="008B628A">
        <w:rPr>
          <w:rFonts w:ascii="Times New Roman" w:hAnsi="Times New Roman" w:cs="Times New Roman"/>
        </w:rPr>
        <w:t xml:space="preserve"> projekta realizācija, uzstādot </w:t>
      </w:r>
      <w:r w:rsidR="00DB2D42" w:rsidRPr="008B628A">
        <w:rPr>
          <w:rFonts w:ascii="Times New Roman" w:hAnsi="Times New Roman" w:cs="Times New Roman"/>
        </w:rPr>
        <w:t>papildus AER ražošanas jaudu apmēram 200 MW apjomā</w:t>
      </w:r>
      <w:r w:rsidR="00E90CE4" w:rsidRPr="008B628A">
        <w:rPr>
          <w:rFonts w:ascii="Times New Roman" w:hAnsi="Times New Roman" w:cs="Times New Roman"/>
        </w:rPr>
        <w:t>;</w:t>
      </w:r>
    </w:p>
    <w:p w14:paraId="683055A9" w14:textId="75CEEFDE" w:rsidR="006F546A" w:rsidRPr="008B628A" w:rsidRDefault="00E90CE4"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Jaunās paaudzes bioetanola ražotnes (rūpnīcas) projekts Bauskā, kur no apmēram 300 tūkst.t salmu tiks saražots apmēram 50 tūkst.t bioetanola</w:t>
      </w:r>
      <w:r w:rsidR="00077332" w:rsidRPr="008B628A">
        <w:rPr>
          <w:rFonts w:ascii="Times New Roman" w:hAnsi="Times New Roman" w:cs="Times New Roman"/>
        </w:rPr>
        <w:t>, kur ražošanu plānots uzsākt 2022.gadā</w:t>
      </w:r>
      <w:r w:rsidR="00FC36C8" w:rsidRPr="008B628A">
        <w:rPr>
          <w:rFonts w:ascii="Times New Roman" w:hAnsi="Times New Roman" w:cs="Times New Roman"/>
        </w:rPr>
        <w:t>.</w:t>
      </w:r>
    </w:p>
    <w:p w14:paraId="5264E27B" w14:textId="09BD9191" w:rsidR="00A266CC" w:rsidRPr="008B628A" w:rsidRDefault="00A266CC" w:rsidP="00FD6D1E">
      <w:pPr>
        <w:pStyle w:val="Heading4"/>
      </w:pPr>
      <w:bookmarkStart w:id="178" w:name="_Ref518574557"/>
      <w:bookmarkStart w:id="179" w:name="_Toc527529486"/>
      <w:r w:rsidRPr="008B628A">
        <w:t>Reģionālā sadarbība</w:t>
      </w:r>
      <w:bookmarkEnd w:id="178"/>
      <w:bookmarkEnd w:id="179"/>
    </w:p>
    <w:p w14:paraId="0DA5DF52" w14:textId="3E03DD5A" w:rsidR="006F546A" w:rsidRPr="008B628A" w:rsidRDefault="00FC36C8" w:rsidP="00F4414D">
      <w:pPr>
        <w:spacing w:before="120" w:after="120" w:line="240" w:lineRule="auto"/>
        <w:jc w:val="both"/>
        <w:rPr>
          <w:rFonts w:ascii="Times New Roman" w:hAnsi="Times New Roman" w:cs="Times New Roman"/>
        </w:rPr>
      </w:pPr>
      <w:r w:rsidRPr="008B628A">
        <w:rPr>
          <w:rFonts w:ascii="Times New Roman" w:hAnsi="Times New Roman" w:cs="Times New Roman"/>
        </w:rPr>
        <w:t>Viena no identificētām iespējām veikt reģionālo sadarbību dekarbonizācijas veicināšanai ir starpvalstu sadarbības projekti atjaunojamās enerģijas ražošanas jomā, piemēram, vēja enerģijas attīstībai. Lai to īstenotu ir nepieciešams sākotnēji sadarbībā ieinteresētajās Baltijas valstīs šo sadarbību nostiprināt politikas plānošanas dokumentā (noteikt to kā rīcībpolitiku), pēc tam šī sadarbība ir jāiestrādā valstu telpiskās plānošanas nosacījumos, tos harmonizējot un paplašinot.</w:t>
      </w:r>
    </w:p>
    <w:p w14:paraId="64461FF6" w14:textId="791FFB2A" w:rsidR="00A266CC" w:rsidRPr="008B628A" w:rsidRDefault="00A266CC" w:rsidP="007F3DED">
      <w:pPr>
        <w:pStyle w:val="Heading4"/>
      </w:pPr>
      <w:bookmarkStart w:id="180" w:name="_Ref518574563"/>
      <w:bookmarkStart w:id="181" w:name="_Toc527529487"/>
      <w:r w:rsidRPr="008B628A">
        <w:t>Atbalsts no AER saražotajai elektrībai</w:t>
      </w:r>
      <w:bookmarkEnd w:id="180"/>
      <w:bookmarkEnd w:id="181"/>
    </w:p>
    <w:p w14:paraId="54E6DF8F" w14:textId="77777777" w:rsidR="00CB2E62" w:rsidRPr="008B628A" w:rsidRDefault="00CB2E62" w:rsidP="00CB2E62">
      <w:pPr>
        <w:spacing w:before="120" w:after="120" w:line="240" w:lineRule="auto"/>
        <w:jc w:val="both"/>
        <w:rPr>
          <w:rFonts w:ascii="Times New Roman" w:hAnsi="Times New Roman" w:cs="Times New Roman"/>
          <w:highlight w:val="yellow"/>
        </w:rPr>
      </w:pPr>
      <w:r w:rsidRPr="008B628A">
        <w:rPr>
          <w:rFonts w:ascii="Times New Roman" w:hAnsi="Times New Roman" w:cs="Times New Roman"/>
        </w:rPr>
        <w:t>Lai veicinātu elektroenerģijas ražošanu no AER un augstas efektivitātes koģenerācijā, Latvijā līdz Plāna projekta iesniegšanai EK kā atbalsta instruments tiek izmantots elektroenerģijas obligātais iepirkums un jaudas maksa par elektrostacijā uzstādīto elektrisko jaudu.</w:t>
      </w:r>
    </w:p>
    <w:p w14:paraId="381B4C4A" w14:textId="77777777" w:rsidR="00CB2E62" w:rsidRPr="008B628A" w:rsidRDefault="00CB2E62" w:rsidP="00CB2E62">
      <w:pPr>
        <w:spacing w:before="120" w:after="120" w:line="240" w:lineRule="auto"/>
        <w:jc w:val="both"/>
        <w:rPr>
          <w:rFonts w:ascii="Times New Roman" w:hAnsi="Times New Roman" w:cs="Times New Roman"/>
        </w:rPr>
      </w:pPr>
      <w:r w:rsidRPr="008B628A">
        <w:rPr>
          <w:rFonts w:ascii="Times New Roman" w:hAnsi="Times New Roman" w:cs="Times New Roman"/>
        </w:rPr>
        <w:t>Lai nepieļautu OIK un līdz ar to arī elektroenerģijas cenas strauju kāpumu, līdz Plāna iesniegšanai EK ir jau veiktas šādas darbības:</w:t>
      </w:r>
    </w:p>
    <w:p w14:paraId="0A4A7679"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no 2012. gada netiek piešķirtas jaunas tiesības pārdot saražoto elektroenerģiju obligātā iepirkuma ietvaros;</w:t>
      </w:r>
    </w:p>
    <w:p w14:paraId="65AFAD49"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OIK fiksēta sākotnēji 26,79 EUR/MWh apmērā, kas iekļauts arī vairāku pēdējo gadu valdību deklarācijās, ar 2018.gada 1.jūliju OIK fiksēta 22,68 EUR/MWh apmērā;</w:t>
      </w:r>
    </w:p>
    <w:p w14:paraId="1F97C59A"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radīts valsts atbalsta mehānisms energoietilpīgiem apstrādes rūpniecības uzņēmumiem;</w:t>
      </w:r>
    </w:p>
    <w:p w14:paraId="1C8476FF"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novērsta elektrostaciju pārkompensācija, nosakot maksimāli pieļaujamo kopējo kapitālieguldījumu iekšējās peļņas normu 9% apmērā;</w:t>
      </w:r>
    </w:p>
    <w:p w14:paraId="20D5C425"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veikta OIK diferenciācija pēc pieslēguma jaudas, kas ir spēkā no 2018. gada janvāra.</w:t>
      </w:r>
    </w:p>
    <w:p w14:paraId="7C7B286F" w14:textId="77777777" w:rsidR="00CB2E62" w:rsidRPr="008B628A" w:rsidRDefault="00CB2E62" w:rsidP="00CB2E62">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Ar OIK finansēšanas maiņu (diferenciāciju), kas saskaņā ar grozījumiem Elektroenerģijas tirgus likumā stājās spēkā ar 2018.gada 1.janvāri, ieviests OIK maksājumu dalījums divās daļās - pēc elektroenerģijas patēriņa un pēc pieprasītās pieslēguma jaudas. Jaunā modeļa ieviešana nodrošina Eiropas reģionā konkurētspējīgu elektroenerģijas cenu energoietilpīgiem apstrādes rūpniecības uzņēmumiem, tādejādi veicinot OIK ietekmes mazināšanu uz apstrādes rūpniecības mainīgajām ražošanas izmaksām un stimulējot rūpniecības sektora konkurētspēju ilgtermiņā. OIK diferencēšana veicina apstrādes rūpniecības attīstību arī nozarēs ar mazāku energoietilpību. Kopumā jaunais OIK modelis samazina OIK maksājumu patērētājiem, kas efektīvi izmanto elektroenerģijas pieslēguma jaudas.</w:t>
      </w:r>
    </w:p>
    <w:p w14:paraId="1BCB316C" w14:textId="28B0ED35" w:rsidR="00CB2E62" w:rsidRDefault="00CB2E62" w:rsidP="00CB2E62">
      <w:pPr>
        <w:shd w:val="clear" w:color="auto" w:fill="FFFFFF"/>
        <w:spacing w:before="120" w:after="120" w:line="240" w:lineRule="auto"/>
        <w:jc w:val="both"/>
        <w:textAlignment w:val="baseline"/>
        <w:rPr>
          <w:rFonts w:ascii="Times New Roman" w:hAnsi="Times New Roman" w:cs="Times New Roman"/>
        </w:rPr>
      </w:pPr>
      <w:r w:rsidRPr="008B628A">
        <w:rPr>
          <w:rFonts w:ascii="Times New Roman" w:eastAsia="Times New Roman" w:hAnsi="Times New Roman" w:cs="Times New Roman"/>
          <w:color w:val="000000"/>
          <w:szCs w:val="24"/>
          <w:lang w:eastAsia="lv-LV"/>
        </w:rPr>
        <w:t xml:space="preserve">Šobrīd </w:t>
      </w:r>
      <w:r w:rsidR="00CD0274">
        <w:rPr>
          <w:rFonts w:ascii="Times New Roman" w:eastAsia="Times New Roman" w:hAnsi="Times New Roman" w:cs="Times New Roman"/>
          <w:color w:val="000000"/>
          <w:szCs w:val="24"/>
          <w:lang w:eastAsia="lv-LV"/>
        </w:rPr>
        <w:t>Ekonomikas ministrija sadarbībā ar nozaru ministrijām un iesaistītajām pusēm izstrādā k</w:t>
      </w:r>
      <w:r w:rsidR="00CD0274" w:rsidRPr="00CD0274">
        <w:rPr>
          <w:rFonts w:ascii="Times New Roman" w:eastAsia="Times New Roman" w:hAnsi="Times New Roman" w:cs="Times New Roman"/>
          <w:color w:val="000000"/>
          <w:szCs w:val="24"/>
          <w:lang w:eastAsia="lv-LV"/>
        </w:rPr>
        <w:t>ompleks</w:t>
      </w:r>
      <w:r w:rsidR="00CD0274">
        <w:rPr>
          <w:rFonts w:ascii="Times New Roman" w:eastAsia="Times New Roman" w:hAnsi="Times New Roman" w:cs="Times New Roman"/>
          <w:color w:val="000000"/>
          <w:szCs w:val="24"/>
          <w:lang w:eastAsia="lv-LV"/>
        </w:rPr>
        <w:t>us</w:t>
      </w:r>
      <w:r w:rsidR="00CD0274" w:rsidRPr="00CD0274">
        <w:rPr>
          <w:rFonts w:ascii="Times New Roman" w:eastAsia="Times New Roman" w:hAnsi="Times New Roman" w:cs="Times New Roman"/>
          <w:color w:val="000000"/>
          <w:szCs w:val="24"/>
          <w:lang w:eastAsia="lv-LV"/>
        </w:rPr>
        <w:t xml:space="preserve"> pasākum</w:t>
      </w:r>
      <w:r w:rsidR="00CD0274">
        <w:rPr>
          <w:rFonts w:ascii="Times New Roman" w:eastAsia="Times New Roman" w:hAnsi="Times New Roman" w:cs="Times New Roman"/>
          <w:color w:val="000000"/>
          <w:szCs w:val="24"/>
          <w:lang w:eastAsia="lv-LV"/>
        </w:rPr>
        <w:t>us OIK</w:t>
      </w:r>
      <w:r w:rsidR="00CD0274" w:rsidRPr="00CD0274">
        <w:rPr>
          <w:rFonts w:ascii="Times New Roman" w:eastAsia="Times New Roman" w:hAnsi="Times New Roman" w:cs="Times New Roman"/>
          <w:color w:val="000000"/>
          <w:szCs w:val="24"/>
          <w:lang w:eastAsia="lv-LV"/>
        </w:rPr>
        <w:t xml:space="preserve"> atcelšanai un elektroenerģijas tirgus attīstībai</w:t>
      </w:r>
      <w:r w:rsidRPr="008B628A">
        <w:rPr>
          <w:rFonts w:ascii="Times New Roman" w:hAnsi="Times New Roman" w:cs="Times New Roman"/>
        </w:rPr>
        <w:t>.</w:t>
      </w:r>
    </w:p>
    <w:p w14:paraId="5495CB92" w14:textId="77777777" w:rsidR="00C95542" w:rsidRPr="008B628A" w:rsidRDefault="00C95542" w:rsidP="00CB2E62">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p>
    <w:p w14:paraId="714513C2" w14:textId="3D3F235D" w:rsidR="00A266CC" w:rsidRPr="008B628A" w:rsidRDefault="00A266CC" w:rsidP="00FD6D1E">
      <w:pPr>
        <w:pStyle w:val="Heading4"/>
      </w:pPr>
      <w:bookmarkStart w:id="182" w:name="_Ref518574566"/>
      <w:bookmarkStart w:id="183" w:name="_Toc527529488"/>
      <w:r w:rsidRPr="008B628A">
        <w:t>Kontaktpun</w:t>
      </w:r>
      <w:r w:rsidR="00C715FA" w:rsidRPr="008B628A">
        <w:t>k</w:t>
      </w:r>
      <w:r w:rsidRPr="008B628A">
        <w:t>ti</w:t>
      </w:r>
      <w:bookmarkEnd w:id="182"/>
      <w:bookmarkEnd w:id="183"/>
    </w:p>
    <w:p w14:paraId="0C534BF4" w14:textId="603EABEE" w:rsidR="006F546A" w:rsidRPr="008B628A" w:rsidRDefault="00524A79" w:rsidP="00524A79">
      <w:pPr>
        <w:spacing w:before="120" w:after="120" w:line="240" w:lineRule="auto"/>
        <w:jc w:val="both"/>
        <w:rPr>
          <w:rFonts w:ascii="Times New Roman" w:hAnsi="Times New Roman" w:cs="Times New Roman"/>
        </w:rPr>
      </w:pPr>
      <w:r w:rsidRPr="008B628A">
        <w:rPr>
          <w:rFonts w:ascii="Times New Roman" w:hAnsi="Times New Roman" w:cs="Times New Roman"/>
        </w:rPr>
        <w:t>Saskaņā ar priekšlikumu Direktīvas 2009/28/EK grozījumiem 2021.gadā Latvijā it jābūt noteiktam AER kontaktpunktam, pie kura var vērsties potenciālais vai esošais AER projekta īstenotājs, ja tas vēlas vai ir jau uzsācis realizēt AER tehnoloģiju projektu. Šis kontaktpunkts ir galvenā “vienas pieturas aģentūra” Latvijā attiecībā uz AER jautājumiem, tai skaitā, attiecībā uz visu noteikto atļauju un lēmumu izdošanu. Šis kontaktpunkts arī nodrošina visu starpniecību komunikācijā ar visām citām valsts pārvaldes iestādēm un konkrēto AER tehnoloģiju projekta realizētāju.</w:t>
      </w:r>
    </w:p>
    <w:p w14:paraId="5F56AB17" w14:textId="22779DD3" w:rsidR="00524A79" w:rsidRPr="008B628A" w:rsidRDefault="00524A79" w:rsidP="00524A79">
      <w:pPr>
        <w:spacing w:before="120" w:after="120" w:line="240" w:lineRule="auto"/>
        <w:jc w:val="both"/>
        <w:rPr>
          <w:rFonts w:ascii="Times New Roman" w:hAnsi="Times New Roman" w:cs="Times New Roman"/>
        </w:rPr>
      </w:pPr>
      <w:r w:rsidRPr="008B628A">
        <w:rPr>
          <w:rFonts w:ascii="Times New Roman" w:hAnsi="Times New Roman" w:cs="Times New Roman"/>
        </w:rPr>
        <w:t>Šobrīd Latvijā vēl nav noteikts viens konkrēts kontaktpunkts minētajos jautājumus. Šis kontaktpunkts tiks noteikts 2019.</w:t>
      </w:r>
      <w:r w:rsidR="0032087A" w:rsidRPr="008B628A">
        <w:rPr>
          <w:rFonts w:ascii="Times New Roman" w:hAnsi="Times New Roman" w:cs="Times New Roman"/>
        </w:rPr>
        <w:t>-2020.gadā</w:t>
      </w:r>
      <w:r w:rsidRPr="008B628A">
        <w:rPr>
          <w:rFonts w:ascii="Times New Roman" w:hAnsi="Times New Roman" w:cs="Times New Roman"/>
        </w:rPr>
        <w:t>.</w:t>
      </w:r>
    </w:p>
    <w:p w14:paraId="4F7EA6A6" w14:textId="1FE7E844" w:rsidR="00A266CC" w:rsidRPr="008B628A" w:rsidRDefault="00A266CC" w:rsidP="009B6947">
      <w:pPr>
        <w:pStyle w:val="Heading4"/>
        <w:jc w:val="both"/>
      </w:pPr>
      <w:bookmarkStart w:id="184" w:name="_Ref518574572"/>
      <w:bookmarkStart w:id="185" w:name="_Toc527529490"/>
      <w:r w:rsidRPr="008B628A">
        <w:lastRenderedPageBreak/>
        <w:t>Jaunu infrastruktūru būvēšanas nepieciešamības novērtējums</w:t>
      </w:r>
      <w:bookmarkEnd w:id="184"/>
      <w:bookmarkEnd w:id="185"/>
    </w:p>
    <w:p w14:paraId="3D13B91F" w14:textId="1BBF7BBE" w:rsidR="00EA29FA" w:rsidRPr="008B628A" w:rsidRDefault="00EA29FA" w:rsidP="009B6947">
      <w:pPr>
        <w:spacing w:before="120" w:after="120" w:line="240" w:lineRule="auto"/>
        <w:jc w:val="both"/>
        <w:rPr>
          <w:rFonts w:ascii="Times New Roman" w:hAnsi="Times New Roman" w:cs="Times New Roman"/>
        </w:rPr>
      </w:pPr>
      <w:r w:rsidRPr="008B628A">
        <w:rPr>
          <w:rFonts w:ascii="Times New Roman" w:hAnsi="Times New Roman" w:cs="Times New Roman"/>
        </w:rPr>
        <w:t xml:space="preserve">Latvija bāzes scenārijā var sasniegt apmēram 41% AER īpatsvara mērķi kopējā enerģijas galapatēriņā. Lai šo procentuālo īpatsvaru palielinātu Latvijai </w:t>
      </w:r>
      <w:r w:rsidR="00127D38" w:rsidRPr="008B628A">
        <w:rPr>
          <w:rFonts w:ascii="Times New Roman" w:hAnsi="Times New Roman" w:cs="Times New Roman"/>
        </w:rPr>
        <w:t xml:space="preserve">varētu būt </w:t>
      </w:r>
      <w:r w:rsidRPr="008B628A">
        <w:rPr>
          <w:rFonts w:ascii="Times New Roman" w:hAnsi="Times New Roman" w:cs="Times New Roman"/>
        </w:rPr>
        <w:t>nepieciešams uzstādīt papildu AER jaudas, lai ar tām aizstātu fosilās enerģijas jaudas</w:t>
      </w:r>
      <w:r w:rsidR="009B6947" w:rsidRPr="008B628A">
        <w:rPr>
          <w:rFonts w:ascii="Times New Roman" w:hAnsi="Times New Roman" w:cs="Times New Roman"/>
        </w:rPr>
        <w:t>.</w:t>
      </w:r>
    </w:p>
    <w:p w14:paraId="1BFAE76A" w14:textId="16885C35" w:rsidR="00127D38" w:rsidRPr="008B628A" w:rsidRDefault="00127D38" w:rsidP="009B6947">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48CC17F5" w14:textId="77777777" w:rsidR="00A266CC" w:rsidRPr="008B628A" w:rsidRDefault="00A266CC" w:rsidP="009B6947">
      <w:pPr>
        <w:pStyle w:val="Heading4"/>
        <w:jc w:val="both"/>
      </w:pPr>
      <w:bookmarkStart w:id="186" w:name="_Ref518574580"/>
      <w:bookmarkStart w:id="187" w:name="_Toc527529491"/>
      <w:r w:rsidRPr="008B628A">
        <w:t>No biomasas saražotās enerģijas izmantošanas veicināšana</w:t>
      </w:r>
      <w:bookmarkEnd w:id="186"/>
      <w:bookmarkEnd w:id="187"/>
    </w:p>
    <w:p w14:paraId="08A93039" w14:textId="6AB3B837" w:rsidR="009B6947" w:rsidRPr="008B628A" w:rsidRDefault="009B6947" w:rsidP="009B6947">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rPr>
        <w:t xml:space="preserve">Latvijā </w:t>
      </w:r>
      <w:r w:rsidR="00856C8D">
        <w:rPr>
          <w:rFonts w:ascii="Times New Roman" w:hAnsi="Times New Roman" w:cs="Times New Roman"/>
        </w:rPr>
        <w:t xml:space="preserve">2017.gadā </w:t>
      </w:r>
      <w:r w:rsidRPr="008B628A">
        <w:rPr>
          <w:rFonts w:ascii="Times New Roman" w:hAnsi="Times New Roman" w:cs="Times New Roman"/>
        </w:rPr>
        <w:t>kopējā</w:t>
      </w:r>
      <w:r w:rsidR="00856C8D">
        <w:rPr>
          <w:rFonts w:ascii="Times New Roman" w:hAnsi="Times New Roman" w:cs="Times New Roman"/>
        </w:rPr>
        <w:t xml:space="preserve"> primār</w:t>
      </w:r>
      <w:r w:rsidR="008000C9">
        <w:rPr>
          <w:rFonts w:ascii="Times New Roman" w:hAnsi="Times New Roman" w:cs="Times New Roman"/>
        </w:rPr>
        <w:t>ās enerģijas</w:t>
      </w:r>
      <w:r w:rsidRPr="008B628A">
        <w:rPr>
          <w:rFonts w:ascii="Times New Roman" w:hAnsi="Times New Roman" w:cs="Times New Roman"/>
        </w:rPr>
        <w:t xml:space="preserve"> patēriņā (neieskaitot elektroenerģiju) dominē biomasa – cietā, gāzveida un šķidrā, kur </w:t>
      </w:r>
      <w:r w:rsidRPr="008B628A">
        <w:rPr>
          <w:rFonts w:ascii="Times New Roman" w:hAnsi="Times New Roman" w:cs="Times New Roman"/>
          <w:szCs w:val="24"/>
          <w:lang w:eastAsia="lv-LV"/>
        </w:rPr>
        <w:t xml:space="preserve">37,9% biomasas kurināmā īpatsvars ir kopējā </w:t>
      </w:r>
      <w:r w:rsidR="00856C8D">
        <w:rPr>
          <w:rFonts w:ascii="Times New Roman" w:hAnsi="Times New Roman" w:cs="Times New Roman"/>
          <w:szCs w:val="24"/>
          <w:lang w:eastAsia="lv-LV"/>
        </w:rPr>
        <w:t>primār</w:t>
      </w:r>
      <w:r w:rsidR="008000C9">
        <w:rPr>
          <w:rFonts w:ascii="Times New Roman" w:hAnsi="Times New Roman" w:cs="Times New Roman"/>
          <w:szCs w:val="24"/>
          <w:lang w:eastAsia="lv-LV"/>
        </w:rPr>
        <w:t xml:space="preserve">ās enerģijas </w:t>
      </w:r>
      <w:r w:rsidRPr="008B628A">
        <w:rPr>
          <w:rFonts w:ascii="Times New Roman" w:hAnsi="Times New Roman" w:cs="Times New Roman"/>
          <w:szCs w:val="24"/>
          <w:lang w:eastAsia="lv-LV"/>
        </w:rPr>
        <w:t>patēriņā un 34,3% biomasas kurināmā patēriņš ir kurināmā galapatēriņā.</w:t>
      </w:r>
    </w:p>
    <w:p w14:paraId="70695D7B" w14:textId="695033B3" w:rsidR="00A20020" w:rsidRPr="008B628A" w:rsidRDefault="00E41930" w:rsidP="009B6947">
      <w:pPr>
        <w:spacing w:before="120" w:after="120" w:line="240" w:lineRule="auto"/>
        <w:jc w:val="both"/>
        <w:rPr>
          <w:rFonts w:ascii="Times New Roman" w:hAnsi="Times New Roman" w:cs="Times New Roman"/>
          <w:szCs w:val="24"/>
          <w:lang w:eastAsia="lv-LV"/>
        </w:rPr>
      </w:pPr>
      <w:r>
        <w:rPr>
          <w:rFonts w:ascii="Times New Roman" w:hAnsi="Times New Roman" w:cs="Times New Roman"/>
          <w:szCs w:val="24"/>
          <w:lang w:eastAsia="lv-LV"/>
        </w:rPr>
        <w:t>B</w:t>
      </w:r>
      <w:r w:rsidR="00330C7C" w:rsidRPr="008B628A">
        <w:rPr>
          <w:rFonts w:ascii="Times New Roman" w:hAnsi="Times New Roman" w:cs="Times New Roman"/>
          <w:szCs w:val="24"/>
          <w:lang w:eastAsia="lv-LV"/>
        </w:rPr>
        <w:t>āzes scenārijā uz 2030.gadu cietās biomasas apjoma pieaugums enerģijas galapatēriņā tiek prognozēts tikai 13,3% apjomā (salīdzinot ar 2015.gadu), tādējādi nav paredzams būtisks cietās biomasas ieguves apjoma pieaugums, lai nodrošinātu iekšzemes cietās biomasas patēriņu enerģētikas sektorā.</w:t>
      </w:r>
    </w:p>
    <w:p w14:paraId="4F3C83CD" w14:textId="2A67DAE0" w:rsidR="009B6947" w:rsidRPr="008B628A" w:rsidRDefault="009B6947" w:rsidP="009B6947">
      <w:pPr>
        <w:spacing w:before="120" w:after="120" w:line="240" w:lineRule="auto"/>
        <w:jc w:val="both"/>
        <w:rPr>
          <w:rFonts w:ascii="Times New Roman" w:hAnsi="Times New Roman" w:cs="Times New Roman"/>
        </w:rPr>
      </w:pPr>
      <w:r w:rsidRPr="008B628A">
        <w:rPr>
          <w:rFonts w:ascii="Times New Roman" w:hAnsi="Times New Roman" w:cs="Times New Roman"/>
        </w:rPr>
        <w:t>Tomēr, lai izpildītu Latvijas AER īpatsvara devumu, Latvijā tiek paredzēti biomasas izmantošanas veicināšanas pasākumi elektroenerģijas un siltumenerģijas ražošanā (skatīt 4.pielikumu).</w:t>
      </w:r>
    </w:p>
    <w:p w14:paraId="056C6B8C"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55596487" w14:textId="06BD8D17" w:rsidR="00581156" w:rsidRPr="008B628A" w:rsidRDefault="00581156" w:rsidP="005F59CE">
      <w:pPr>
        <w:pStyle w:val="Heading3"/>
      </w:pPr>
      <w:bookmarkStart w:id="188" w:name="_Toc520978839"/>
      <w:bookmarkStart w:id="189" w:name="_Toc527529492"/>
      <w:r w:rsidRPr="008B628A">
        <w:t>Citi dimensijas elementi</w:t>
      </w:r>
      <w:bookmarkEnd w:id="188"/>
      <w:bookmarkEnd w:id="189"/>
      <w:r w:rsidRPr="008B628A">
        <w:t xml:space="preserve"> </w:t>
      </w:r>
    </w:p>
    <w:p w14:paraId="7C0874DB" w14:textId="175C1736" w:rsidR="00A266CC" w:rsidRPr="008B628A" w:rsidRDefault="00A266CC" w:rsidP="00FD6D1E">
      <w:pPr>
        <w:pStyle w:val="Heading4"/>
      </w:pPr>
      <w:bookmarkStart w:id="190" w:name="_Ref518574586"/>
      <w:bookmarkStart w:id="191" w:name="_Toc527529493"/>
      <w:r w:rsidRPr="008B628A">
        <w:t>Rīcībpolitikas un pasākumi ETS</w:t>
      </w:r>
      <w:bookmarkEnd w:id="190"/>
      <w:bookmarkEnd w:id="191"/>
    </w:p>
    <w:p w14:paraId="75C298A6" w14:textId="5BDF9F27" w:rsidR="00A266CC" w:rsidRPr="008B628A" w:rsidRDefault="00A266CC" w:rsidP="006F546A">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ETS mērķa izpildes organizēšana ir EK atbildība. Šī mērķa izpildei ar ES normatīvo regulējumu</w:t>
      </w:r>
      <w:r w:rsidRPr="008B628A" w:rsidDel="00CB5C99">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t>ir apstiprināti ETS darbības nosacījumi un noteikta ETS operatoru atbildība. ETS operatoru SEG emisiju apjoma samazināšanas pasākumi tiek noteikti harmonizētā veidā</w:t>
      </w:r>
      <w:r w:rsidRPr="008B628A">
        <w:rPr>
          <w:rStyle w:val="FootnoteReference"/>
          <w:rFonts w:ascii="Times New Roman" w:eastAsia="Times New Roman" w:hAnsi="Times New Roman" w:cs="Times New Roman"/>
          <w:szCs w:val="24"/>
        </w:rPr>
        <w:footnoteReference w:id="126"/>
      </w:r>
      <w:r w:rsidRPr="008B628A">
        <w:rPr>
          <w:rFonts w:ascii="Times New Roman" w:eastAsia="Times New Roman" w:hAnsi="Times New Roman" w:cs="Times New Roman"/>
          <w:szCs w:val="24"/>
        </w:rPr>
        <w:t xml:space="preserve">, un šo pasākumu izstrādi un īstenošanu nodrošina EK kopā ar ES dalībvalstīm, īstenojot </w:t>
      </w:r>
      <w:r w:rsidR="0050180E" w:rsidRPr="008B628A">
        <w:rPr>
          <w:rFonts w:ascii="Times New Roman" w:eastAsia="Calibri" w:hAnsi="Times New Roman" w:cs="Times New Roman"/>
          <w:szCs w:val="24"/>
        </w:rPr>
        <w:t>Direktīvā 2003/87/</w:t>
      </w:r>
      <w:r w:rsidR="004814AC" w:rsidRPr="008B628A">
        <w:rPr>
          <w:rFonts w:ascii="Times New Roman" w:eastAsia="Calibri" w:hAnsi="Times New Roman" w:cs="Times New Roman"/>
          <w:szCs w:val="24"/>
        </w:rPr>
        <w:t>7</w:t>
      </w:r>
      <w:r w:rsidRPr="008B628A">
        <w:rPr>
          <w:rFonts w:ascii="Times New Roman" w:eastAsia="Times New Roman" w:hAnsi="Times New Roman" w:cs="Times New Roman"/>
          <w:szCs w:val="24"/>
        </w:rPr>
        <w:t xml:space="preserve"> noteiktās prasības un nosacījumus. </w:t>
      </w:r>
    </w:p>
    <w:p w14:paraId="456707B9" w14:textId="6C9BCCF8" w:rsidR="00A266CC" w:rsidRPr="008B628A" w:rsidRDefault="00A266CC" w:rsidP="006F546A">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ETS dalībnieki Latvijā ir operatori, kuri saskaņā ar likuma „Par piesārņojumu” prasībām atbilstoši Ministru kabineta noteikumiem Nr.769, ir saņēmuši siltumnīcefekta gāzu emisijas atļaujas, un kuri veic kādu likuma „Par piesārņojumu” 2.pielikuma II daļā minētās darbības. ETS Latvijas operatoru  radīto siltumnīcefekta gāzu emisiju apjoma īpatsvars kopējā Latvijas siltumnīcefekta gāzu emisiju apjomā ir otrs zemākais ES dalībvalstu vidū – 19.43% </w:t>
      </w:r>
    </w:p>
    <w:p w14:paraId="1CA021F2" w14:textId="6ED5BF6B" w:rsidR="00A266CC" w:rsidRPr="008B628A" w:rsidRDefault="00A266CC" w:rsidP="00A266C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 gadā Latvijā bija 47 Latvijas komersantu 67 ETS iekārtas, kuru starpā ir gan siltuma ražotāji (gan privātie uzņēmēji, gan valsts un pašvaldību uzņēmumi), gan dažāda veida rūpnieciskie ražotāji, piemēram, kokapstrādes uzņēmumi, cementa ražotāji, metalurģija u.c. Attiecībā uz iekārtu operatoriem var norādīt, ka 2016. gadā emisiju apjoms bija 2 197 000 tonnu oglekļa dioksīda no Latvijas ETS stacionāro iekārtu operatoriem, bet 2016. gadā ar bezmaksas emisiju kvotu piešķīrumu operatori saņēma 1 893 129 bezmaksas emisijas kvotas. Operatoriem nepieciešams nodot vienu emisijas kvotu par katru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tonnu. Tomēr svarīgi norādīt, ka katram operatoram ir atšķirīga situācija, ko ietekmē daudz dažādi faktori, piemēram, konkrētā nozare, vēsturiskie ražošanas dati, kas tiek izmantoti sākotnējam kvotu aprēķinam, izmantotās tehnoloģijas, kurināmais, kā arī iepriekšējos gados veiktie emisijas kvotu uzkrājumi. Tādējādi kvotu pārpalikums vai iztrūkums var veidoties katram operatoram citādi.</w:t>
      </w:r>
    </w:p>
    <w:p w14:paraId="12FC829D" w14:textId="77777777" w:rsidR="00A266CC" w:rsidRPr="008B628A" w:rsidRDefault="00A266CC" w:rsidP="00FD6D1E">
      <w:pPr>
        <w:pStyle w:val="Heading4"/>
      </w:pPr>
      <w:bookmarkStart w:id="192" w:name="_Ref518574588"/>
      <w:bookmarkStart w:id="193" w:name="_Toc527529494"/>
      <w:r w:rsidRPr="008B628A">
        <w:t>Citu mērķrādītāju sasniegšanas rīcībpolitikas</w:t>
      </w:r>
      <w:bookmarkEnd w:id="192"/>
      <w:bookmarkEnd w:id="193"/>
    </w:p>
    <w:p w14:paraId="2B4F69AF" w14:textId="44DC4879" w:rsidR="00A266CC" w:rsidRPr="008B628A" w:rsidRDefault="00FF14AE" w:rsidP="00A266CC">
      <w:pPr>
        <w:spacing w:before="120" w:after="120" w:line="240" w:lineRule="auto"/>
        <w:jc w:val="both"/>
        <w:rPr>
          <w:rFonts w:ascii="Times New Roman" w:hAnsi="Times New Roman" w:cs="Times New Roman"/>
          <w:szCs w:val="24"/>
        </w:rPr>
      </w:pPr>
      <w:bookmarkStart w:id="194" w:name="_Ref518574591"/>
      <w:r>
        <w:rPr>
          <w:rFonts w:ascii="Times New Roman" w:hAnsi="Times New Roman" w:cs="Times New Roman"/>
          <w:szCs w:val="24"/>
        </w:rPr>
        <w:t>ZPI</w:t>
      </w:r>
      <w:r w:rsidR="00A266CC" w:rsidRPr="008B628A">
        <w:rPr>
          <w:rFonts w:ascii="Times New Roman" w:hAnsi="Times New Roman" w:cs="Times New Roman"/>
          <w:szCs w:val="24"/>
        </w:rPr>
        <w:t xml:space="preserve"> ir process, kura ietvaros valsts un pašvaldības iestādes cenšas iepirkt preces un pakalpojumus ar iespējami mazāku ietekmi uz vidi, ņemot vērā dzīves cikla izmaksas produktiem vai pakalpojumiem ar vienādu primāro funkciju, ar kura palīdzību iespējams:</w:t>
      </w:r>
    </w:p>
    <w:p w14:paraId="7EDC6200" w14:textId="77777777" w:rsidR="00C838E8" w:rsidRPr="008B628A" w:rsidRDefault="00C838E8"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lastRenderedPageBreak/>
        <w:t>samazināt ietekmi uz vidi – katra nopirktā prece vai pakalpojums atstāj ietekmi uz vidi visās tās aprites cikla stadijās (ražošana → lietošana → pārstrāde, reģenerācija vai otrreizēja izmantošana vai apglabāšana atkritumu poligonā);</w:t>
      </w:r>
    </w:p>
    <w:p w14:paraId="3C559F52" w14:textId="77777777" w:rsidR="00A266CC" w:rsidRPr="008B628A" w:rsidRDefault="00A266CC"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veicināt sociālus uzlabojumus – ar iepirkumu procedūrā iestrādātu nosacījumu palīdzību iespējams nodrošināt labākus darba apstākļus, piemēram, samazinot toksisko ķīmisko vielu saturu tīrīšanas līdzekļos uzlabo dzīves un darba vides apstākļus, transports ar samazinātu izmešu apjomu veicina gaisa kvalitātes uzlabošanos un saslimstības ar elpvadu slimībām riska samazināšanos;</w:t>
      </w:r>
    </w:p>
    <w:p w14:paraId="3BCDE248" w14:textId="77777777" w:rsidR="00A266CC" w:rsidRPr="008B628A" w:rsidRDefault="00A266CC"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panākt ietaupījumus budžetā – plānojot iegādāties kādu preci vai pakalpojumu, vispirms tiek izvērtētas reālās vajadzības, tādējādi samazinot iepirkumu apjomu. Otrkārt, tiek veikts preces aprites cikla izmaksu novērtējums. Tādā veidā iespējams ņemt vērā visus faktorus (ne tikai preces vai pakalpojuma sākotnējo cenu, bet arī ekspluatācijas un radīto atkritumu apsaimniekošanas izmaksas) un galarezultātā panākt līdzekļu ekonomiju.</w:t>
      </w:r>
    </w:p>
    <w:p w14:paraId="646EC7A9" w14:textId="77777777" w:rsidR="00A266CC" w:rsidRPr="008B628A" w:rsidRDefault="00A266CC" w:rsidP="00A266C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Latvijā ZPI piemērošanas kārtību nosaka Publisko iepirkumu likums un Sabiedrisko pakalpojumu sniedzēju iepirkumu likums un  2017. gada 20. jūnija Ministru kabineta noteikumi Nr. 353 “Prasības zaļajam publiskajam iepirkumam un to piemērošanas kārtība”. </w:t>
      </w:r>
    </w:p>
    <w:p w14:paraId="0942D503" w14:textId="584A5459" w:rsidR="00A266CC" w:rsidRPr="008B628A" w:rsidRDefault="00A266CC"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Lai preču, pakalpojumu un būvdarbu iepirkumos nodrošinātu atbilstību zaļā iepirkuma prasībām un kritērijiem, ir jāīsteno pasākumi kas vērsti uz  energoefektivitātes paaugstināšanu  un klimata pārmaiņu mazināšanu. Īstenojamie pasākumi ir aprakstīti minēto MK noteikumu pielikumos, kas nosaka tās preču un pakalpojumu grupas kam ZPI piemērojams obligāti un brīvprātīgi</w:t>
      </w:r>
      <w:r w:rsidRPr="008B628A">
        <w:rPr>
          <w:rStyle w:val="FootnoteReference"/>
          <w:rFonts w:ascii="Times New Roman" w:hAnsi="Times New Roman" w:cs="Times New Roman"/>
          <w:szCs w:val="24"/>
        </w:rPr>
        <w:footnoteReference w:id="127"/>
      </w:r>
      <w:r w:rsidRPr="008B628A">
        <w:rPr>
          <w:rFonts w:ascii="Times New Roman" w:hAnsi="Times New Roman" w:cs="Times New Roman"/>
          <w:szCs w:val="24"/>
        </w:rPr>
        <w:t>. ZPI piemērošanas vadlīnijas detalizētāk paskaidro īstenojamos pasākumus un atbilstības novērtēšanas metodes</w:t>
      </w:r>
      <w:r w:rsidRPr="008B628A">
        <w:rPr>
          <w:rStyle w:val="FootnoteReference"/>
          <w:rFonts w:ascii="Times New Roman" w:hAnsi="Times New Roman" w:cs="Times New Roman"/>
          <w:szCs w:val="24"/>
        </w:rPr>
        <w:footnoteReference w:id="128"/>
      </w:r>
      <w:r w:rsidR="0074500F" w:rsidRPr="008B628A">
        <w:rPr>
          <w:rFonts w:ascii="Times New Roman" w:hAnsi="Times New Roman" w:cs="Times New Roman"/>
          <w:szCs w:val="24"/>
        </w:rPr>
        <w:t>.</w:t>
      </w:r>
    </w:p>
    <w:bookmarkEnd w:id="194"/>
    <w:p w14:paraId="51AEB62D" w14:textId="620D11D6" w:rsidR="00A266CC" w:rsidRPr="008B628A" w:rsidRDefault="00475933" w:rsidP="00475933">
      <w:pPr>
        <w:pStyle w:val="Heading4"/>
      </w:pPr>
      <w:r w:rsidRPr="008B628A">
        <w:t>Rīcībpolitikas un pasākumi mazemisiju mobilitātes sasniegšanai (tostarp transporta elektrifikācijai)</w:t>
      </w:r>
    </w:p>
    <w:p w14:paraId="01C6AC73" w14:textId="4FF288DF" w:rsidR="00FD7F6C" w:rsidRPr="008B628A" w:rsidRDefault="00FD7F6C" w:rsidP="00CF1C26">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2679B88B" w14:textId="7CF993D9" w:rsidR="00FD7F6C" w:rsidRPr="008B628A" w:rsidRDefault="00FD7F6C" w:rsidP="00CF1C26">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Papildu </w:t>
      </w:r>
      <w:r w:rsidR="00E41930">
        <w:rPr>
          <w:rFonts w:ascii="Times New Roman" w:hAnsi="Times New Roman" w:cs="Times New Roman"/>
        </w:rPr>
        <w:t xml:space="preserve">līdz 2018.gada beigām </w:t>
      </w:r>
      <w:r w:rsidRPr="008B628A">
        <w:rPr>
          <w:rFonts w:ascii="Times New Roman" w:hAnsi="Times New Roman" w:cs="Times New Roman"/>
        </w:rPr>
        <w:t>Satiksmes ministrija nodrošina pētījuma veikšanu</w:t>
      </w:r>
      <w:r w:rsidR="00CF1C26" w:rsidRPr="008B628A">
        <w:rPr>
          <w:rFonts w:ascii="Times New Roman" w:hAnsi="Times New Roman" w:cs="Times New Roman"/>
        </w:rPr>
        <w:t>, lai apskatītu alternatīvo degvielu infrastruktūras (elektroenerģija, CNG, LNG, ūdeņradis, biodegvielas, sintētiskās un parafīnizētās degvielas, kas iegūtas no AER) ieviešanas scenāriju un sociāli ekonomiskos efektus.</w:t>
      </w:r>
    </w:p>
    <w:p w14:paraId="133EA048"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6D0D9767" w14:textId="77777777" w:rsidR="00A266CC" w:rsidRPr="008B628A" w:rsidRDefault="00A266CC" w:rsidP="00E50F73">
      <w:pPr>
        <w:pStyle w:val="Heading4"/>
        <w:jc w:val="both"/>
      </w:pPr>
      <w:bookmarkStart w:id="195" w:name="_Ref518574594"/>
      <w:bookmarkStart w:id="196" w:name="_Toc527529496"/>
      <w:r w:rsidRPr="008B628A">
        <w:t>Rīcībpolitikas enerģijas subsīdiju izbeigšanai</w:t>
      </w:r>
      <w:bookmarkEnd w:id="195"/>
      <w:bookmarkEnd w:id="196"/>
    </w:p>
    <w:p w14:paraId="289DF4FB" w14:textId="207CE754" w:rsidR="00127D38" w:rsidRPr="008B628A" w:rsidRDefault="00127D38" w:rsidP="0032087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Skatīt 4.pielikumu.</w:t>
      </w:r>
    </w:p>
    <w:p w14:paraId="3D00CC2C" w14:textId="15C5DEEB" w:rsidR="00FF14AE" w:rsidRDefault="00FF14AE" w:rsidP="0032087A">
      <w:pPr>
        <w:spacing w:before="120" w:after="120" w:line="240" w:lineRule="auto"/>
        <w:jc w:val="both"/>
        <w:rPr>
          <w:rFonts w:ascii="Times New Roman" w:hAnsi="Times New Roman" w:cs="Times New Roman"/>
          <w:szCs w:val="24"/>
        </w:rPr>
      </w:pPr>
      <w:r>
        <w:rPr>
          <w:rFonts w:ascii="Times New Roman" w:hAnsi="Times New Roman" w:cs="Times New Roman"/>
          <w:szCs w:val="24"/>
        </w:rPr>
        <w:t>Saskaņā ar EK sniegto informāciju par subsīdijām ir uzskatāmi arī tādi pasākumi kā nodokļu atlaides, nodokļu izņēmumi, tieši pārskaitījumi (granti, aizdevumi) un netiešie pārskaitījumi (jaudas mehānismi).</w:t>
      </w:r>
    </w:p>
    <w:p w14:paraId="38374AD6" w14:textId="1E4E4D86" w:rsidR="0032087A" w:rsidRPr="008B628A" w:rsidRDefault="0032087A" w:rsidP="0032087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 gadā Ministru kabinets</w:t>
      </w:r>
      <w:r w:rsidRPr="008B628A">
        <w:rPr>
          <w:rStyle w:val="FootnoteReference"/>
          <w:rFonts w:ascii="Times New Roman" w:hAnsi="Times New Roman" w:cs="Times New Roman"/>
          <w:szCs w:val="24"/>
        </w:rPr>
        <w:footnoteReference w:id="129"/>
      </w:r>
      <w:r w:rsidRPr="008B628A">
        <w:rPr>
          <w:rFonts w:ascii="Times New Roman" w:hAnsi="Times New Roman" w:cs="Times New Roman"/>
          <w:szCs w:val="24"/>
        </w:rPr>
        <w:t xml:space="preserve"> atbalstīja piedāvātos priekšlikumus tiesību aktu izstrādē, lai atceltu biodegvielai un biodegvielas un fosilās degvielas maisījumiem ar biodegvielas saturu augstā koncentrācijā (E85 un B100) piemērotās samazinātās akcīzes nodokļa likmes. Tāpēc ir izstrādāti grozījumi likumā “Par akcīzes nodokli”, lai atceltu samazinātās akcīzes nodokļa likmes degvielai E85 un B100. </w:t>
      </w:r>
      <w:r w:rsidRPr="008B628A">
        <w:rPr>
          <w:rFonts w:ascii="Times New Roman" w:hAnsi="Times New Roman" w:cs="Times New Roman"/>
          <w:spacing w:val="2"/>
        </w:rPr>
        <w:t xml:space="preserve">Grozījumi likumā paredz atcelt samazināto akcīzes nodokļa likmi degvielai "E85", līdzšinējo 142,8 eiro par 1000 litriem vietā nosakot 360 eiro. Tāpat rosināts biodegvielai "B100", par kuru patlaban nav jāmaksā akcīzes nodoklis, piemērot likmi 330 eiro par 1000 litriem. Ar </w:t>
      </w:r>
      <w:r w:rsidRPr="008B628A">
        <w:rPr>
          <w:rFonts w:ascii="Times New Roman" w:hAnsi="Times New Roman" w:cs="Times New Roman"/>
          <w:spacing w:val="2"/>
        </w:rPr>
        <w:lastRenderedPageBreak/>
        <w:t>likuma grozījumiem arī plānots noteikt vienotu likmi – 60 eiro par 1000 litriem naftas produktiem, kurus izmanto kā kurināmo neatkarīgi no biodegvielas piejaukuma. Tāpat tiek rosināts noteikt minimālo nodokļa likmi 21 eiro par 1000 litriem rapšu sēklu eļļai, biodīzeļdegvielai, kas pilnībā iegūta no rapšu sēklu eļļas.</w:t>
      </w:r>
    </w:p>
    <w:p w14:paraId="3C3EBA40" w14:textId="52D0A9CE" w:rsidR="0032087A" w:rsidRPr="008B628A" w:rsidRDefault="0032087A" w:rsidP="0032087A">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pacing w:val="2"/>
        </w:rPr>
        <w:t>Šobrīd tiek arī strādāts pie elektroenerģijas, kas ir saražota no AER vai augstas efektivitātes koģenerācijas iekārtās, obligātā iepirkuma sistēmas pilnveidošanas ar mērķi turpmāk atbalstu sniegt, balstoties uz elektroenerģijas vairumtirgus principiem.</w:t>
      </w:r>
    </w:p>
    <w:p w14:paraId="72C332E4"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6172752B" w14:textId="77777777" w:rsidR="00581156" w:rsidRPr="008B628A" w:rsidRDefault="00581156" w:rsidP="0074500F">
      <w:pPr>
        <w:spacing w:before="120" w:after="120" w:line="240" w:lineRule="auto"/>
        <w:rPr>
          <w:rFonts w:ascii="Times New Roman" w:hAnsi="Times New Roman" w:cs="Times New Roman"/>
        </w:rPr>
      </w:pPr>
    </w:p>
    <w:p w14:paraId="1FD19664" w14:textId="0DA9D45C" w:rsidR="00581156" w:rsidRPr="008B628A" w:rsidRDefault="002C6E77" w:rsidP="006F546A">
      <w:pPr>
        <w:pStyle w:val="Heading2"/>
      </w:pPr>
      <w:bookmarkStart w:id="197" w:name="_Toc520978840"/>
      <w:bookmarkStart w:id="198" w:name="_Toc527529497"/>
      <w:bookmarkStart w:id="199" w:name="_Toc532910007"/>
      <w:r>
        <w:t>E</w:t>
      </w:r>
      <w:r w:rsidR="00581156" w:rsidRPr="008B628A">
        <w:t>nergoefektivitāte</w:t>
      </w:r>
      <w:bookmarkEnd w:id="197"/>
      <w:bookmarkEnd w:id="198"/>
      <w:bookmarkEnd w:id="199"/>
      <w:r w:rsidR="00581156" w:rsidRPr="008B628A">
        <w:t xml:space="preserve"> </w:t>
      </w:r>
    </w:p>
    <w:p w14:paraId="333BB598" w14:textId="58794E4F" w:rsidR="00581156" w:rsidRPr="008B628A" w:rsidRDefault="00581156" w:rsidP="005F59CE">
      <w:pPr>
        <w:pStyle w:val="Heading3"/>
      </w:pPr>
      <w:bookmarkStart w:id="200" w:name="_Toc520978841"/>
      <w:bookmarkStart w:id="201" w:name="_Toc527529498"/>
      <w:r w:rsidRPr="008B628A">
        <w:t xml:space="preserve">Rīcībpolitikas un pasākumi </w:t>
      </w:r>
      <w:r w:rsidR="00E106AD" w:rsidRPr="008B628A">
        <w:t>devuma</w:t>
      </w:r>
      <w:r w:rsidRPr="008B628A">
        <w:t xml:space="preserve"> izpildei</w:t>
      </w:r>
      <w:bookmarkEnd w:id="200"/>
      <w:bookmarkEnd w:id="201"/>
      <w:r w:rsidRPr="008B628A">
        <w:t xml:space="preserve"> </w:t>
      </w:r>
    </w:p>
    <w:p w14:paraId="47FCE765" w14:textId="77777777" w:rsidR="00833DAC" w:rsidRPr="008B628A" w:rsidRDefault="00833DAC" w:rsidP="00833DAC">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672BED08" w14:textId="11A3E235" w:rsidR="00253EAC" w:rsidRPr="00626181" w:rsidRDefault="00253EAC" w:rsidP="00253EAC">
      <w:pPr>
        <w:spacing w:before="120" w:after="120" w:line="240" w:lineRule="auto"/>
        <w:jc w:val="both"/>
        <w:rPr>
          <w:rFonts w:ascii="Times New Roman" w:hAnsi="Times New Roman" w:cs="Times New Roman"/>
          <w:b/>
        </w:rPr>
      </w:pPr>
      <w:r w:rsidRPr="00626181">
        <w:rPr>
          <w:rFonts w:ascii="Times New Roman" w:hAnsi="Times New Roman" w:cs="Times New Roman"/>
          <w:b/>
        </w:rPr>
        <w:t xml:space="preserve">Plānotajiem pasākumiem un rīcībpolitikām </w:t>
      </w:r>
      <w:r>
        <w:rPr>
          <w:rFonts w:ascii="Times New Roman" w:hAnsi="Times New Roman" w:cs="Times New Roman"/>
          <w:b/>
        </w:rPr>
        <w:t>neobligātā valsts mērķa – Latvijas devuma ES energoefektivitātes mērķa izpildei, un obligātā valsts energoefektivitātes mērķa izpildei</w:t>
      </w:r>
      <w:r w:rsidRPr="00626181">
        <w:rPr>
          <w:rFonts w:ascii="Times New Roman" w:hAnsi="Times New Roman" w:cs="Times New Roman"/>
          <w:b/>
        </w:rPr>
        <w:t>, kas apkopoti 4.pielikumā</w:t>
      </w:r>
      <w:r>
        <w:rPr>
          <w:rFonts w:ascii="Times New Roman" w:hAnsi="Times New Roman" w:cs="Times New Roman"/>
          <w:b/>
        </w:rPr>
        <w:t>,</w:t>
      </w:r>
      <w:r w:rsidRPr="00626181">
        <w:rPr>
          <w:rFonts w:ascii="Times New Roman" w:hAnsi="Times New Roman" w:cs="Times New Roman"/>
          <w:b/>
        </w:rPr>
        <w:t xml:space="preserve"> ir šādi galvenie virzieni:</w:t>
      </w:r>
    </w:p>
    <w:p w14:paraId="15287200" w14:textId="24F70761"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ES fondu atbalsta programmu īstenošana – esošo atbalsta programmu turpināšana un jaunu atbalsta programmu īstenošanas uzsākšana, lai veicinātu un finansiāli atbalstītu energoefektivitātes pasākumu īstenošanu daudzdzīvokļu mājās, valsts un pašvaldības ēkās un rūpnieciskajā ražošanā, kā arī atbalsta mehānismu izveide privātmājām un aukstumapgādei;</w:t>
      </w:r>
    </w:p>
    <w:p w14:paraId="20686336" w14:textId="25512277"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Nodokļa likmju pārskatīšana, lai veicinātu enerģijas patēriņa samazināšanu un iedzīvotāju un komersantu paradumu maiņu energoefektivitātes uzlabošanai un energoietaupījumu nodrošināšanai;</w:t>
      </w:r>
    </w:p>
    <w:p w14:paraId="7916F7D5" w14:textId="77777777"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Būvnormatīvu pārskatīšana un pastiprināšana ņemot vērā Direktīvas 2010/31/EK prasības un nepieciešamību nodrošināt, ka renovētās ēkas ir ar pēc iespējas mazāku enerģijas patēriņu un jaunās ēkas tiek uzreiz būvētas kā gandrīz nulles enerģijas patēriņa ēkas;</w:t>
      </w:r>
    </w:p>
    <w:p w14:paraId="62F3E033" w14:textId="6ECD5963" w:rsidR="00253EAC" w:rsidRP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sidRPr="00253EAC">
        <w:rPr>
          <w:rFonts w:ascii="Times New Roman" w:hAnsi="Times New Roman" w:cs="Times New Roman"/>
        </w:rPr>
        <w:t>EPS aptvēruma paplašināšana, tajā iekļaujot lielākos enerģijas tirgotājus, lai veicinātu to iesaisti savu klientu enerģijas patēriņa samazināšanā.</w:t>
      </w:r>
    </w:p>
    <w:p w14:paraId="16AC72F8" w14:textId="48B89582" w:rsidR="00757462" w:rsidRPr="008B628A" w:rsidRDefault="00757462" w:rsidP="00757462">
      <w:pPr>
        <w:spacing w:before="120" w:after="120" w:line="240" w:lineRule="auto"/>
        <w:jc w:val="both"/>
        <w:rPr>
          <w:rFonts w:ascii="Times New Roman" w:hAnsi="Times New Roman" w:cs="Times New Roman"/>
          <w:b/>
        </w:rPr>
      </w:pPr>
      <w:r w:rsidRPr="008B628A">
        <w:rPr>
          <w:rFonts w:ascii="Times New Roman" w:hAnsi="Times New Roman" w:cs="Times New Roman"/>
        </w:rPr>
        <w:t>2014.-2020.gada ES fondu plānošanas perioda ietvaros tiek īstenotas vairākas ES fondu līdzfinansētas atbalsta programmas. Šo programmu īstenošana ir iekļauta bāzes scenārijā arī pēc 2021.gada ar pieņēmumu, ka šo programmu īstenošana turpināsies arī periodā pēc 2020.gadam perioda līdz 2020.gadam noteiktajā intensitātē. Tomēr tā kā šo programmu īstenošanas nosacījumi periodā pēc 2021.gada nav noteikti Latvijas politikas plānošanas dokumentos vai Latvijas likumdošanā, kā arī to īstenošanai nepieciešamais finansējums nav noteikts kā pieejams vai piešķirts, tad šīs programmas ir iespējamie jaunie pasākumi un to īstenošanai nepieciešamais finansējums ir mērķa sasniegšanai nepieciešamais papildus finansējums.</w:t>
      </w:r>
    </w:p>
    <w:p w14:paraId="0E9574BF" w14:textId="306B64CF" w:rsidR="00757462" w:rsidRPr="008B628A" w:rsidRDefault="00757462" w:rsidP="00757462">
      <w:pPr>
        <w:pStyle w:val="Heading4"/>
      </w:pPr>
      <w:r w:rsidRPr="008B628A">
        <w:t>CSA energoefektivitātes programma</w:t>
      </w:r>
    </w:p>
    <w:p w14:paraId="47A7B649" w14:textId="5BA6A73A"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2014.-2020.gada ES fondu plānošanas periodā </w:t>
      </w:r>
      <w:r w:rsidR="00986FE5" w:rsidRPr="008B628A">
        <w:rPr>
          <w:rFonts w:ascii="Times New Roman" w:hAnsi="Times New Roman" w:cs="Times New Roman"/>
        </w:rPr>
        <w:t>d</w:t>
      </w:r>
      <w:r w:rsidR="00757462" w:rsidRPr="008B628A">
        <w:rPr>
          <w:rFonts w:ascii="Times New Roman" w:hAnsi="Times New Roman" w:cs="Times New Roman"/>
        </w:rPr>
        <w:t>arb</w:t>
      </w:r>
      <w:r w:rsidR="009E7201" w:rsidRPr="008B628A">
        <w:rPr>
          <w:rFonts w:ascii="Times New Roman" w:hAnsi="Times New Roman" w:cs="Times New Roman"/>
        </w:rPr>
        <w:t>ības programmas “</w:t>
      </w:r>
      <w:r w:rsidR="00757462" w:rsidRPr="008B628A">
        <w:rPr>
          <w:rFonts w:ascii="Times New Roman" w:hAnsi="Times New Roman" w:cs="Times New Roman"/>
        </w:rPr>
        <w:t>Izaugsme un nodarbinātība</w:t>
      </w:r>
      <w:r w:rsidR="009E7201" w:rsidRPr="008B628A">
        <w:rPr>
          <w:rFonts w:ascii="Times New Roman" w:hAnsi="Times New Roman" w:cs="Times New Roman"/>
        </w:rPr>
        <w:t>”</w:t>
      </w:r>
      <w:r w:rsidR="00757462" w:rsidRPr="008B628A">
        <w:rPr>
          <w:rFonts w:ascii="Times New Roman" w:hAnsi="Times New Roman" w:cs="Times New Roman"/>
        </w:rPr>
        <w:t xml:space="preserve"> 4.3.1. specifiskā atbalsta mērķa </w:t>
      </w:r>
      <w:r w:rsidR="009E7201" w:rsidRPr="008B628A">
        <w:rPr>
          <w:rFonts w:ascii="Times New Roman" w:hAnsi="Times New Roman" w:cs="Times New Roman"/>
        </w:rPr>
        <w:t>“</w:t>
      </w:r>
      <w:r w:rsidR="00757462" w:rsidRPr="008B628A">
        <w:rPr>
          <w:rFonts w:ascii="Times New Roman" w:hAnsi="Times New Roman" w:cs="Times New Roman"/>
        </w:rPr>
        <w:t>Veicināt energoefektivitāti un vietējo AER izmantošanu centralizētajā siltumapgādē</w:t>
      </w:r>
      <w:r w:rsidR="009E7201" w:rsidRPr="008B628A">
        <w:rPr>
          <w:rFonts w:ascii="Times New Roman" w:hAnsi="Times New Roman" w:cs="Times New Roman"/>
        </w:rPr>
        <w:t>”</w:t>
      </w:r>
      <w:r w:rsidR="00757462" w:rsidRPr="008B628A">
        <w:rPr>
          <w:rFonts w:ascii="Times New Roman" w:hAnsi="Times New Roman" w:cs="Times New Roman"/>
        </w:rPr>
        <w:t xml:space="preserve"> </w:t>
      </w:r>
      <w:r w:rsidR="00986FE5" w:rsidRPr="008B628A">
        <w:rPr>
          <w:rFonts w:ascii="Times New Roman" w:hAnsi="Times New Roman" w:cs="Times New Roman"/>
        </w:rPr>
        <w:t xml:space="preserve">ietvaros </w:t>
      </w:r>
      <w:r w:rsidRPr="008B628A">
        <w:rPr>
          <w:rFonts w:ascii="Times New Roman" w:hAnsi="Times New Roman" w:cs="Times New Roman"/>
        </w:rPr>
        <w:t>tiek īstenota CSA energoefektivitātes programmas divās projektu iesniegumu atlases kārtās</w:t>
      </w:r>
      <w:bookmarkStart w:id="202" w:name="_Hlk529445213"/>
      <w:r w:rsidRPr="008B628A">
        <w:rPr>
          <w:rStyle w:val="FootnoteReference"/>
          <w:rFonts w:ascii="Times New Roman" w:hAnsi="Times New Roman" w:cs="Times New Roman"/>
        </w:rPr>
        <w:footnoteReference w:id="130"/>
      </w:r>
      <w:bookmarkEnd w:id="202"/>
      <w:r w:rsidRPr="008B628A">
        <w:rPr>
          <w:rFonts w:ascii="Times New Roman" w:hAnsi="Times New Roman" w:cs="Times New Roman"/>
        </w:rPr>
        <w:t xml:space="preserve">. </w:t>
      </w:r>
    </w:p>
    <w:p w14:paraId="0808F9E5" w14:textId="280B7788"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Programm</w:t>
      </w:r>
      <w:r w:rsidR="000B1B04" w:rsidRPr="008B628A">
        <w:rPr>
          <w:rFonts w:ascii="Times New Roman" w:hAnsi="Times New Roman" w:cs="Times New Roman"/>
        </w:rPr>
        <w:t>ā kopējais finansējums ir paredzēts – apmēram 150 milj.EUR</w:t>
      </w:r>
      <w:r w:rsidRPr="008B628A">
        <w:rPr>
          <w:rFonts w:ascii="Times New Roman" w:hAnsi="Times New Roman" w:cs="Times New Roman"/>
        </w:rPr>
        <w:t xml:space="preserve">, izmantojot KF līdzfinansējumu 60 milj. </w:t>
      </w:r>
      <w:r w:rsidR="008C2CA6" w:rsidRPr="008B628A">
        <w:rPr>
          <w:rFonts w:ascii="Times New Roman" w:hAnsi="Times New Roman" w:cs="Times New Roman"/>
        </w:rPr>
        <w:t>EUR</w:t>
      </w:r>
      <w:r w:rsidRPr="008B628A">
        <w:rPr>
          <w:rFonts w:ascii="Times New Roman" w:hAnsi="Times New Roman" w:cs="Times New Roman"/>
        </w:rPr>
        <w:t xml:space="preserve"> apmērā, un programmu ir plānots turpināt arī 2021.-2027.gada ES fondu plānošanas periodā, jo tā sniedz būtisku ieguldījumu Latvijā esošās </w:t>
      </w:r>
      <w:r w:rsidR="0083432E" w:rsidRPr="008B628A">
        <w:rPr>
          <w:rFonts w:ascii="Times New Roman" w:hAnsi="Times New Roman" w:cs="Times New Roman"/>
        </w:rPr>
        <w:t>CSA</w:t>
      </w:r>
      <w:r w:rsidRPr="008B628A">
        <w:rPr>
          <w:rFonts w:ascii="Times New Roman" w:hAnsi="Times New Roman" w:cs="Times New Roman"/>
        </w:rPr>
        <w:t xml:space="preserve"> sistēmas sakārtošanā, modernizēšanā un energoefektivitātes paaugstināšanā.</w:t>
      </w:r>
    </w:p>
    <w:p w14:paraId="4199D5AA" w14:textId="77777777" w:rsidR="00E72CD9" w:rsidRPr="008B628A" w:rsidRDefault="009E7201" w:rsidP="008C2CA6">
      <w:pPr>
        <w:spacing w:before="120" w:after="120" w:line="240" w:lineRule="auto"/>
        <w:jc w:val="both"/>
        <w:rPr>
          <w:rFonts w:ascii="Times New Roman" w:hAnsi="Times New Roman" w:cs="Times New Roman"/>
        </w:rPr>
      </w:pPr>
      <w:r w:rsidRPr="008B628A">
        <w:rPr>
          <w:rFonts w:ascii="Times New Roman" w:hAnsi="Times New Roman" w:cs="Times New Roman"/>
        </w:rPr>
        <w:t xml:space="preserve">Bāzes scenārijā periodam pēc 2021.gadam tiek plānota šo programmu indikatīvā īstenošana esošajā intensitātē. 2021.-2027.gada ES fondu plānošanas periodā ietvaros atbalstu gan CSA, gan aukstumapgādes sistēmu izveidei un sakārtošanai indikatīvi ir plānots piesaistīt KF līdzfinansējumu. </w:t>
      </w:r>
    </w:p>
    <w:p w14:paraId="29598D03" w14:textId="78F23A86" w:rsidR="00E72CD9" w:rsidRPr="008B628A" w:rsidRDefault="00E72CD9" w:rsidP="00E72CD9">
      <w:pPr>
        <w:pStyle w:val="Heading4"/>
      </w:pPr>
      <w:r w:rsidRPr="008B628A">
        <w:t>Centralizētās aukstumapgādes programma</w:t>
      </w:r>
    </w:p>
    <w:p w14:paraId="5B6784D5" w14:textId="6E74B1B5"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t>2021.-2027.gada ES fondu plānošanas periodā ir plānots izstrādāt atbalsta programmu centralizētās aukstumapgādes sistēmas ieviešanai, kas ir būtisks elements sabiedriskajās celtnēs, un līdz šim šāda veida investīcijām atbalsta programmas nav bijušas.</w:t>
      </w:r>
    </w:p>
    <w:p w14:paraId="30D4EE66" w14:textId="27D43459" w:rsidR="00E72CD9" w:rsidRPr="008B628A" w:rsidRDefault="00E72CD9" w:rsidP="00E72CD9">
      <w:pPr>
        <w:spacing w:before="120" w:after="12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2018. gada 4. oktobrī VPP “Enerģētika” 2018.-2021.gada periodam tika apstiprināti programmas ietvaros īstenoto konkursu nolikumi</w:t>
      </w:r>
      <w:r w:rsidRPr="008B628A">
        <w:rPr>
          <w:rStyle w:val="FootnoteReference"/>
          <w:rFonts w:ascii="Times New Roman" w:eastAsia="Times New Roman" w:hAnsi="Times New Roman" w:cs="Times New Roman"/>
          <w:iCs/>
          <w:szCs w:val="24"/>
          <w:lang w:eastAsia="lv-LV"/>
        </w:rPr>
        <w:footnoteReference w:id="131"/>
      </w:r>
      <w:r w:rsidRPr="008B628A">
        <w:rPr>
          <w:rFonts w:ascii="Times New Roman" w:eastAsia="Times New Roman" w:hAnsi="Times New Roman" w:cs="Times New Roman"/>
          <w:iCs/>
          <w:szCs w:val="24"/>
          <w:lang w:eastAsia="lv-LV"/>
        </w:rPr>
        <w:t>, kur viens no nolikumiem paredz attīstīt zināšanu bāzi energoefektivitātes jomā, iekļaujot visaptverošu energoefektivitātes potenciāla novērtējumu tautsaimniecības sektoros un atsevišķās nozarēs, energoefektivitātes pasākumu izvērtējumu, jaunu inženiertehnoloģisko risinājumu izpēti, efektīvas siltumapgādes un aukstumapgādes attīstības potenciāla Latvijā izvērtējumu, kā arī atbilstošas rīcībpolitikas un finansēšanas risinājumu izstrādi.</w:t>
      </w:r>
    </w:p>
    <w:p w14:paraId="5AE54D17" w14:textId="77777777" w:rsidR="009E7201" w:rsidRPr="008B628A" w:rsidRDefault="009E7201" w:rsidP="009E7201">
      <w:pPr>
        <w:pStyle w:val="Heading4"/>
        <w:jc w:val="both"/>
      </w:pPr>
      <w:r w:rsidRPr="008B628A">
        <w:t>Ražošanas ēku energoefektivitātes paaugstināšana</w:t>
      </w:r>
    </w:p>
    <w:p w14:paraId="29CB48F1" w14:textId="247C3B9E"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Atbalsts ražošanas ēku energoefektivitātes paaugstināšanai, ietverot gan pašu ēku un to inženiersistēmu energoefektivitātes paaugstināšanu, gan ražošanas iekārtu energoefektivitātes paaugstināšanu vai maiņu pret efektīvākām iekārtām tiek sniegts specifiskā atbalsta mērķa 4.1.1. “Veicināt efektīvu energoresursu izmantošanu, enerģijas patēriņa samazināšanu un pāreju uz AER apstrādes rūpniecības nozarē”</w:t>
      </w:r>
      <w:bookmarkStart w:id="203" w:name="_Hlk529445237"/>
      <w:r w:rsidRPr="008B628A">
        <w:rPr>
          <w:rStyle w:val="FootnoteReference"/>
          <w:rFonts w:ascii="Times New Roman" w:hAnsi="Times New Roman" w:cs="Times New Roman"/>
        </w:rPr>
        <w:footnoteReference w:id="132"/>
      </w:r>
      <w:bookmarkEnd w:id="203"/>
      <w:r w:rsidRPr="008B628A">
        <w:rPr>
          <w:rFonts w:ascii="Times New Roman" w:hAnsi="Times New Roman" w:cs="Times New Roman"/>
        </w:rPr>
        <w:t xml:space="preserve"> ietvaros, un šī ir vienīgā atbalsta programma, kuras ietvaros komersantiem tiek sniegts grants energoefektivitātes pasākumu īstenošanai. Programmas </w:t>
      </w:r>
      <w:r w:rsidR="000B1B04" w:rsidRPr="008B628A">
        <w:rPr>
          <w:rFonts w:ascii="Times New Roman" w:hAnsi="Times New Roman" w:cs="Times New Roman"/>
        </w:rPr>
        <w:t xml:space="preserve">kopējais finansējums ir plānots apmēram 85,5 milj.EUR, </w:t>
      </w:r>
      <w:r w:rsidRPr="008B628A">
        <w:rPr>
          <w:rFonts w:ascii="Times New Roman" w:hAnsi="Times New Roman" w:cs="Times New Roman"/>
        </w:rPr>
        <w:t xml:space="preserve">ar KF līdzfinansējuma 25 milj. EUR apmērā palīdzību. </w:t>
      </w:r>
    </w:p>
    <w:p w14:paraId="76BA1A5E" w14:textId="77777777"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Programma sniedz ieguldījumu nacionālo energoefektivitātes mērķu sasniegšanā un ir viens no rīkiem, ar kā palīdzību komersantiem veiksmīgi izpildīt Energoefektivitātes likuma prasības par prasību veikt energoauditu vai ieviest energopārvaldības sistēmu uzņēmumā un veikt vismaz 3 energoefektivitāti uzlabojošus pasākumus. Attiecīgās atbalsta programmas ietvaros uzņēmumam ir iespējams iegūt atbalstu granta formā attiecīgo energoefektivitātes pasākumu īstenošanai.</w:t>
      </w:r>
    </w:p>
    <w:p w14:paraId="5C9279AA" w14:textId="333F45E4"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 xml:space="preserve">Ekonomikas ministrija </w:t>
      </w:r>
      <w:r w:rsidRPr="008B628A">
        <w:rPr>
          <w:rFonts w:ascii="Times New Roman" w:hAnsi="Times New Roman" w:cs="Times New Roman"/>
          <w:u w:val="single"/>
        </w:rPr>
        <w:t>plāno arī 2021.-2027.gada plānošanas periodā īstenot līdzīgu energoefektivitātes programmu komersantiem</w:t>
      </w:r>
      <w:r w:rsidRPr="008B628A">
        <w:rPr>
          <w:rFonts w:ascii="Times New Roman" w:hAnsi="Times New Roman" w:cs="Times New Roman"/>
        </w:rPr>
        <w:t xml:space="preserve">, indikatīvi piesaistot KF līdzfinansējumu. Atbalsta veids (grants, finanšu instruments), kāds komersantiem tiks sniegts, vēl tiks vērtēts. Arī bāzes scenārijā periodam pēc 2021.gadam tiek plānota šo programmu indikatīvā īstenošana esošajā </w:t>
      </w:r>
      <w:r w:rsidR="00C94F42" w:rsidRPr="008B628A">
        <w:rPr>
          <w:rFonts w:ascii="Times New Roman" w:hAnsi="Times New Roman" w:cs="Times New Roman"/>
        </w:rPr>
        <w:t>apjomā</w:t>
      </w:r>
      <w:r w:rsidRPr="008B628A">
        <w:rPr>
          <w:rFonts w:ascii="Times New Roman" w:hAnsi="Times New Roman" w:cs="Times New Roman"/>
        </w:rPr>
        <w:t>.</w:t>
      </w:r>
    </w:p>
    <w:p w14:paraId="7A524FC9" w14:textId="77777777" w:rsidR="009E7201" w:rsidRPr="008B628A" w:rsidRDefault="009E7201" w:rsidP="009E7201">
      <w:pPr>
        <w:pStyle w:val="Heading4"/>
        <w:jc w:val="both"/>
      </w:pPr>
      <w:r w:rsidRPr="008B628A">
        <w:lastRenderedPageBreak/>
        <w:t>Sekmēt energoefektivitātes paaugstināšanu un AER izmantošanu pašvaldību ēkās atbilstoši pašvaldības integrētajām attīstības programmām</w:t>
      </w:r>
    </w:p>
    <w:p w14:paraId="42CBDAD7" w14:textId="32EA4054" w:rsidR="009E7201" w:rsidRPr="008B628A" w:rsidRDefault="009E7201" w:rsidP="009E720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2014.-2020. gada plānošanas periodā ar mērķi samazināt pašvaldību ēku primārās enerģijas patēriņu, sekmējot energoefektivitātes paaugstināšanu un pašvaldību izdevumu samazināšanos par siltumapgādi un veicot ieguldījumus pašvaldību ēkās atbilstoši pašvaldību attīstības programmās noteiktajām prioritātēm, tiek īstenoti</w:t>
      </w:r>
      <w:r w:rsidR="001A2F35" w:rsidRPr="008B628A">
        <w:rPr>
          <w:rFonts w:ascii="Times New Roman" w:hAnsi="Times New Roman" w:cs="Times New Roman"/>
          <w:szCs w:val="24"/>
        </w:rPr>
        <w:t xml:space="preserve"> darbības programmas </w:t>
      </w:r>
      <w:r w:rsidRPr="008B628A">
        <w:rPr>
          <w:rFonts w:ascii="Times New Roman" w:hAnsi="Times New Roman" w:cs="Times New Roman"/>
          <w:szCs w:val="24"/>
        </w:rPr>
        <w:t>4.2.2. specifiskā atbalsta mērķa “</w:t>
      </w:r>
      <w:r w:rsidR="001A2F35" w:rsidRPr="008B628A">
        <w:rPr>
          <w:rFonts w:ascii="Times New Roman" w:hAnsi="Times New Roman" w:cs="Times New Roman"/>
          <w:szCs w:val="24"/>
        </w:rPr>
        <w:t>Atbilstoši pašvaldības integrētajām attīstības programmām sekmēt energoefektivitātes paaugstināšanu un atjaunojamo energoresursu izmantošanu pašvaldību ēkās</w:t>
      </w:r>
      <w:r w:rsidRPr="008B628A">
        <w:rPr>
          <w:rFonts w:ascii="Times New Roman" w:hAnsi="Times New Roman" w:cs="Times New Roman"/>
          <w:szCs w:val="24"/>
        </w:rPr>
        <w:t>”</w:t>
      </w:r>
      <w:bookmarkStart w:id="204" w:name="_Hlk529445261"/>
      <w:r w:rsidRPr="008B628A">
        <w:rPr>
          <w:rStyle w:val="FootnoteReference"/>
          <w:rFonts w:ascii="Times New Roman" w:hAnsi="Times New Roman" w:cs="Times New Roman"/>
          <w:szCs w:val="24"/>
        </w:rPr>
        <w:footnoteReference w:id="133"/>
      </w:r>
      <w:bookmarkEnd w:id="204"/>
      <w:r w:rsidRPr="008B628A">
        <w:rPr>
          <w:rFonts w:ascii="Times New Roman" w:hAnsi="Times New Roman" w:cs="Times New Roman"/>
          <w:szCs w:val="24"/>
        </w:rPr>
        <w:t xml:space="preserve"> projekti. To ietvaros ar</w:t>
      </w:r>
      <w:r w:rsidR="001A2F35" w:rsidRPr="008B628A">
        <w:rPr>
          <w:rFonts w:ascii="Times New Roman" w:hAnsi="Times New Roman" w:cs="Times New Roman"/>
          <w:szCs w:val="24"/>
        </w:rPr>
        <w:t xml:space="preserve"> kopējo finansējuma apjomu – apmēram 55,3 milj.EUR, un </w:t>
      </w:r>
      <w:r w:rsidRPr="008B628A">
        <w:rPr>
          <w:rFonts w:ascii="Times New Roman" w:hAnsi="Times New Roman" w:cs="Times New Roman"/>
          <w:szCs w:val="24"/>
        </w:rPr>
        <w:t>ERAF līdzfinansējuma palīdzību apmēram 47 milj.EUR apmērā līdz 2023. gada 31. decembrim sabiedriskajās (pašvaldību) ēkās plānots:</w:t>
      </w:r>
    </w:p>
    <w:p w14:paraId="219737A9" w14:textId="77777777" w:rsidR="009E7201" w:rsidRPr="008B628A" w:rsidRDefault="009E7201"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primārās enerģijas gada patēriņu vismaz par 20 536 239 kWh gadā,</w:t>
      </w:r>
    </w:p>
    <w:p w14:paraId="413F01CC" w14:textId="77777777" w:rsidR="009E7201" w:rsidRPr="008B628A" w:rsidRDefault="009E7201"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aprēķināto siltumnīcefekta gāzu apjomu vismaz par 5 180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gadā,</w:t>
      </w:r>
    </w:p>
    <w:p w14:paraId="2934B9D1" w14:textId="4B7CE5CE" w:rsidR="009E7201" w:rsidRPr="008B628A" w:rsidRDefault="002C6E77"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Pr>
          <w:rFonts w:ascii="Times New Roman" w:hAnsi="Times New Roman" w:cs="Times New Roman"/>
          <w:szCs w:val="24"/>
        </w:rPr>
        <w:t>iegūt papildu AER jaudu</w:t>
      </w:r>
      <w:r w:rsidR="009E7201" w:rsidRPr="008B628A">
        <w:rPr>
          <w:rFonts w:ascii="Times New Roman" w:hAnsi="Times New Roman" w:cs="Times New Roman"/>
          <w:szCs w:val="24"/>
        </w:rPr>
        <w:t xml:space="preserve"> vismaz 1,8 MW apjomā.</w:t>
      </w:r>
    </w:p>
    <w:p w14:paraId="66C93E12" w14:textId="4869D52E" w:rsidR="009E7201" w:rsidRPr="008B628A" w:rsidRDefault="009E7201" w:rsidP="009E7201">
      <w:pPr>
        <w:tabs>
          <w:tab w:val="left" w:pos="7753"/>
        </w:tabs>
        <w:jc w:val="both"/>
        <w:rPr>
          <w:rFonts w:ascii="Times New Roman" w:hAnsi="Times New Roman" w:cs="Times New Roman"/>
        </w:rPr>
      </w:pPr>
      <w:r w:rsidRPr="008B628A">
        <w:rPr>
          <w:rFonts w:ascii="Times New Roman" w:hAnsi="Times New Roman" w:cs="Times New Roman"/>
        </w:rPr>
        <w:t>Arī bāzes scenārijā periodam pēc 2021.gadam</w:t>
      </w:r>
      <w:r w:rsidR="001A2F35" w:rsidRPr="008B628A">
        <w:rPr>
          <w:rFonts w:ascii="Times New Roman" w:hAnsi="Times New Roman" w:cs="Times New Roman"/>
        </w:rPr>
        <w:t xml:space="preserve"> un līdz 2030.gadam</w:t>
      </w:r>
      <w:r w:rsidRPr="008B628A">
        <w:rPr>
          <w:rFonts w:ascii="Times New Roman" w:hAnsi="Times New Roman" w:cs="Times New Roman"/>
        </w:rPr>
        <w:t xml:space="preserve"> tiek plānota šo programmu indikatīvā īstenošana esošajā </w:t>
      </w:r>
      <w:r w:rsidR="00C94F42" w:rsidRPr="008B628A">
        <w:rPr>
          <w:rFonts w:ascii="Times New Roman" w:hAnsi="Times New Roman" w:cs="Times New Roman"/>
        </w:rPr>
        <w:t>apjomā, vienlaikus uzlabojot projektu īstenošanas priekšizpēti</w:t>
      </w:r>
      <w:r w:rsidR="00735181" w:rsidRPr="008B628A">
        <w:rPr>
          <w:rFonts w:ascii="Times New Roman" w:hAnsi="Times New Roman" w:cs="Times New Roman"/>
        </w:rPr>
        <w:t>, tai skaitā izstrādājot pašvaldības un valsts ēku datubāzi vai ģeotelpisko informāciju</w:t>
      </w:r>
      <w:r w:rsidR="00C94F42" w:rsidRPr="008B628A">
        <w:rPr>
          <w:rFonts w:ascii="Times New Roman" w:hAnsi="Times New Roman" w:cs="Times New Roman"/>
        </w:rPr>
        <w:t>, pirms projektu īstenošanas apkopojot pilnīgu informāciju par pašvaldību un valsts ēku funkcijām un šo ēku plānoto izmantojumu ilgtermiņā</w:t>
      </w:r>
      <w:r w:rsidRPr="008B628A">
        <w:rPr>
          <w:rFonts w:ascii="Times New Roman" w:hAnsi="Times New Roman" w:cs="Times New Roman"/>
        </w:rPr>
        <w:t>.</w:t>
      </w:r>
      <w:r w:rsidRPr="008B628A">
        <w:rPr>
          <w:rFonts w:ascii="Times New Roman" w:hAnsi="Times New Roman" w:cs="Times New Roman"/>
        </w:rPr>
        <w:tab/>
      </w:r>
    </w:p>
    <w:p w14:paraId="17384FDA" w14:textId="45844991" w:rsidR="00581156" w:rsidRPr="008B628A" w:rsidRDefault="00741D8C" w:rsidP="00985AA2">
      <w:pPr>
        <w:pStyle w:val="Heading3"/>
      </w:pPr>
      <w:bookmarkStart w:id="205" w:name="_Toc527529499"/>
      <w:r w:rsidRPr="008B628A">
        <w:t>E</w:t>
      </w:r>
      <w:r w:rsidR="0032087A" w:rsidRPr="008B628A">
        <w:t>nergoefektivitātes pienākumu shēm</w:t>
      </w:r>
      <w:bookmarkEnd w:id="205"/>
      <w:r w:rsidR="00127D38" w:rsidRPr="008B628A">
        <w:t>a</w:t>
      </w:r>
    </w:p>
    <w:p w14:paraId="777CBD1E" w14:textId="1434C970" w:rsidR="002D28BC" w:rsidRPr="008B628A" w:rsidRDefault="002D28BC"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izveidi nosaka </w:t>
      </w:r>
      <w:r w:rsidR="00F24CD7" w:rsidRPr="008B628A">
        <w:rPr>
          <w:rFonts w:ascii="Times New Roman" w:eastAsia="Times New Roman" w:hAnsi="Times New Roman"/>
          <w:color w:val="000000"/>
          <w:szCs w:val="24"/>
          <w:lang w:eastAsia="lv-LV"/>
        </w:rPr>
        <w:t>Direktīvas 2012/27/ES 7</w:t>
      </w:r>
      <w:r w:rsidR="004C668A" w:rsidRPr="008B628A">
        <w:rPr>
          <w:rFonts w:ascii="Times New Roman" w:eastAsia="Times New Roman" w:hAnsi="Times New Roman"/>
          <w:color w:val="000000"/>
          <w:szCs w:val="24"/>
          <w:lang w:eastAsia="lv-LV"/>
        </w:rPr>
        <w:t>a</w:t>
      </w:r>
      <w:r w:rsidR="00F24CD7" w:rsidRPr="008B628A">
        <w:rPr>
          <w:rFonts w:ascii="Times New Roman" w:eastAsia="Times New Roman" w:hAnsi="Times New Roman"/>
          <w:color w:val="000000"/>
          <w:szCs w:val="24"/>
          <w:lang w:eastAsia="lv-LV"/>
        </w:rPr>
        <w:t>. pant</w:t>
      </w:r>
      <w:r w:rsidR="004C668A" w:rsidRPr="008B628A">
        <w:rPr>
          <w:rFonts w:ascii="Times New Roman" w:eastAsia="Times New Roman" w:hAnsi="Times New Roman"/>
          <w:color w:val="000000"/>
          <w:szCs w:val="24"/>
          <w:lang w:eastAsia="lv-LV"/>
        </w:rPr>
        <w:t>s</w:t>
      </w:r>
      <w:r w:rsidR="00F24CD7" w:rsidRPr="008B628A">
        <w:rPr>
          <w:rFonts w:ascii="Times New Roman" w:eastAsia="Times New Roman" w:hAnsi="Times New Roman"/>
          <w:color w:val="000000"/>
          <w:szCs w:val="24"/>
          <w:lang w:eastAsia="lv-LV"/>
        </w:rPr>
        <w:t xml:space="preserve"> nosaka</w:t>
      </w:r>
      <w:r w:rsidRPr="008B628A">
        <w:rPr>
          <w:rFonts w:ascii="Times New Roman" w:eastAsia="Times New Roman" w:hAnsi="Times New Roman"/>
          <w:color w:val="000000"/>
          <w:szCs w:val="24"/>
          <w:lang w:eastAsia="lv-LV"/>
        </w:rPr>
        <w:t>, un EPS kā atbildīgās puses ir iekļaujami enerģijas sadales uzņēmumi, enerģijas mazumtirdzniecības uzņēmumi un transportlīdzekļu degvielas izplatītāji vai transportlīdzekļu degvielas mazumtirdzniecības uzņēmumi. EPS aptvērumu nosaka pati dalībvalsts.</w:t>
      </w:r>
    </w:p>
    <w:p w14:paraId="1E7CFE0D" w14:textId="05B99A69" w:rsidR="00F24CD7" w:rsidRPr="008B628A" w:rsidRDefault="002D28BC"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Tie uzņēmumi</w:t>
      </w:r>
      <w:r w:rsidR="00F24CD7" w:rsidRPr="008B628A">
        <w:rPr>
          <w:rFonts w:ascii="Times New Roman" w:eastAsia="Times New Roman" w:hAnsi="Times New Roman"/>
          <w:color w:val="000000"/>
          <w:szCs w:val="24"/>
          <w:lang w:eastAsia="lv-LV"/>
        </w:rPr>
        <w:t>, kas ir izraudzīti kā atbildīgās puses un kas darbojas katras dalībvalsts teritorijā, laika posmā no 20</w:t>
      </w:r>
      <w:r w:rsidRPr="008B628A">
        <w:rPr>
          <w:rFonts w:ascii="Times New Roman" w:eastAsia="Times New Roman" w:hAnsi="Times New Roman"/>
          <w:color w:val="000000"/>
          <w:szCs w:val="24"/>
          <w:lang w:eastAsia="lv-LV"/>
        </w:rPr>
        <w:t>21</w:t>
      </w:r>
      <w:r w:rsidR="00F24CD7" w:rsidRPr="008B628A">
        <w:rPr>
          <w:rFonts w:ascii="Times New Roman" w:eastAsia="Times New Roman" w:hAnsi="Times New Roman"/>
          <w:color w:val="000000"/>
          <w:szCs w:val="24"/>
          <w:lang w:eastAsia="lv-LV"/>
        </w:rPr>
        <w:t>. gada</w:t>
      </w:r>
      <w:r w:rsidRPr="008B628A">
        <w:rPr>
          <w:rFonts w:ascii="Times New Roman" w:eastAsia="Times New Roman" w:hAnsi="Times New Roman"/>
          <w:color w:val="000000"/>
          <w:szCs w:val="24"/>
          <w:lang w:eastAsia="lv-LV"/>
        </w:rPr>
        <w:t xml:space="preserve"> 1. janvāra līdz 203</w:t>
      </w:r>
      <w:r w:rsidR="00F24CD7" w:rsidRPr="008B628A">
        <w:rPr>
          <w:rFonts w:ascii="Times New Roman" w:eastAsia="Times New Roman" w:hAnsi="Times New Roman"/>
          <w:color w:val="000000"/>
          <w:szCs w:val="24"/>
          <w:lang w:eastAsia="lv-LV"/>
        </w:rPr>
        <w:t xml:space="preserve">0. gada 31. decembrim sasniedz tām noteikto kumulatīva enerģijas galapatēriņa ietaupījuma </w:t>
      </w:r>
      <w:r w:rsidRPr="008B628A">
        <w:rPr>
          <w:rFonts w:ascii="Times New Roman" w:eastAsia="Times New Roman" w:hAnsi="Times New Roman"/>
          <w:color w:val="000000"/>
          <w:szCs w:val="24"/>
          <w:lang w:eastAsia="lv-LV"/>
        </w:rPr>
        <w:t xml:space="preserve">0,8 </w:t>
      </w:r>
      <w:r w:rsidR="00F24CD7" w:rsidRPr="008B628A">
        <w:rPr>
          <w:rFonts w:ascii="Times New Roman" w:eastAsia="Times New Roman" w:hAnsi="Times New Roman"/>
          <w:color w:val="000000"/>
          <w:szCs w:val="24"/>
          <w:lang w:eastAsia="lv-LV"/>
        </w:rPr>
        <w:t>% mērķi. EPS kopējais obligātais enerģijas ietaupījumu mērķis ir jāsadala starp atbildīgajām pusēm.</w:t>
      </w:r>
    </w:p>
    <w:p w14:paraId="3C2AF231" w14:textId="4F767A39" w:rsidR="00F24CD7" w:rsidRPr="008B628A" w:rsidRDefault="00F24CD7"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Lai nodrošinātu </w:t>
      </w:r>
      <w:r w:rsidR="002D28BC" w:rsidRPr="008B628A">
        <w:rPr>
          <w:rFonts w:ascii="Times New Roman" w:eastAsia="Times New Roman" w:hAnsi="Times New Roman"/>
          <w:color w:val="000000"/>
          <w:szCs w:val="24"/>
          <w:lang w:eastAsia="lv-LV"/>
        </w:rPr>
        <w:t>noteiktā</w:t>
      </w:r>
      <w:r w:rsidRPr="008B628A">
        <w:rPr>
          <w:rFonts w:ascii="Times New Roman" w:eastAsia="Times New Roman" w:hAnsi="Times New Roman"/>
          <w:color w:val="000000"/>
          <w:szCs w:val="24"/>
          <w:lang w:eastAsia="lv-LV"/>
        </w:rPr>
        <w:t xml:space="preserve"> mērķa sasniegšanu, atbildīgās puses ik gadu ievieš energoefektivitātes pasākumus jebkurā no galapatēriņa sektoriem un panāk jaunus ietaupījumus atbilstoši tām noteiktajiem mērķiem. Atbildīgajām pusēm (uzņēmumiem) ir jāpierāda EPS vadošajai iestādei, ka tās ir sasniegušas atbilstošus enerģijas ietaupījumus.</w:t>
      </w:r>
      <w:r w:rsidRPr="008B628A">
        <w:rPr>
          <w:rFonts w:ascii="Times New Roman" w:eastAsia="Times New Roman" w:hAnsi="Times New Roman"/>
          <w:szCs w:val="24"/>
          <w:lang w:eastAsia="lv-LV"/>
        </w:rPr>
        <w:t xml:space="preserve"> </w:t>
      </w:r>
      <w:r w:rsidRPr="008B628A">
        <w:rPr>
          <w:rFonts w:ascii="Times New Roman" w:eastAsia="Times New Roman" w:hAnsi="Times New Roman"/>
          <w:color w:val="000000"/>
          <w:szCs w:val="24"/>
          <w:lang w:eastAsia="lv-LV"/>
        </w:rPr>
        <w:t>Atbildīgās puses katru gadu iesniedz ziņojumu</w:t>
      </w:r>
      <w:r w:rsidR="00985AA2"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kas satur informāciju par veiktajiem pasākumiem un enerģijas ietaupījuma aprēķinus, kā arī apkopoti dati par saviem galalietotājiem un to patēriņu. </w:t>
      </w:r>
    </w:p>
    <w:p w14:paraId="569A27DA" w14:textId="77777777" w:rsidR="00F24CD7" w:rsidRPr="008B628A" w:rsidRDefault="00F24CD7"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Atbildīgās puses, neskaitot ēku siltināšanu, jebkurā no galapatēriņa sektoriem var veikt tādus energoefektivitātes pasākumus, kā:</w:t>
      </w:r>
    </w:p>
    <w:p w14:paraId="72F7BF2B"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siltuma regulatoru un skaitītāju uzstādīšana dzīvokļos un patērētāju informēšana siltuma regulēšanā;</w:t>
      </w:r>
    </w:p>
    <w:p w14:paraId="256DC0D2"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saules kolektoru uzstādīšana apkurei un ūdens sildīšanai;</w:t>
      </w:r>
    </w:p>
    <w:p w14:paraId="7E8AF6DA"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siltumsūkņu uzstādīšana;</w:t>
      </w:r>
    </w:p>
    <w:p w14:paraId="342CFCB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energoefektīvāku apkures katlu uzstādīšana;</w:t>
      </w:r>
    </w:p>
    <w:p w14:paraId="3CE895B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lastRenderedPageBreak/>
        <w:t>siltuma rekuperācijas sistēmu uzstādīšana;</w:t>
      </w:r>
    </w:p>
    <w:p w14:paraId="41C5142E"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elektroierīču nomaiņa (ledusskapji, elektriskās plītis u.c.);</w:t>
      </w:r>
    </w:p>
    <w:p w14:paraId="40A3FC1B"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apgaismes ķermeņu nomaiņa;</w:t>
      </w:r>
    </w:p>
    <w:p w14:paraId="6E0B7804"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apgaismojuma automātiskās kontroles un vadības sistēmu ieviešana;</w:t>
      </w:r>
    </w:p>
    <w:p w14:paraId="490813F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elektromotoru, sūkņu un citu ierīču nomaiņa;</w:t>
      </w:r>
    </w:p>
    <w:p w14:paraId="55F37EFD"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Energopārvaldības sistēmas (ISO 50001) ieviešana;</w:t>
      </w:r>
    </w:p>
    <w:p w14:paraId="795BA4F2"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ESKO pakalpojumi;</w:t>
      </w:r>
    </w:p>
    <w:p w14:paraId="4BD3CD7A"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u.c.</w:t>
      </w:r>
    </w:p>
    <w:p w14:paraId="6F0D85D3" w14:textId="7B398A0A" w:rsidR="00F24CD7" w:rsidRPr="008B628A" w:rsidRDefault="00F24CD7" w:rsidP="00233443">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Ja valsts ir izveidojusi energoefektivitātes fondu, tad atbildīgās puses var tām uzlikto pienākumu izpildīt, katru gadu iemaksājot fondā summu, kas ir līdzvērtīga ieguldījumiem, kas būtu nepieciešami, lai izpildītu minētos pienākumus.</w:t>
      </w:r>
    </w:p>
    <w:p w14:paraId="45088FAD" w14:textId="535A7ADA" w:rsidR="00700D8D" w:rsidRPr="008B628A" w:rsidRDefault="00700D8D" w:rsidP="00233443">
      <w:pPr>
        <w:spacing w:before="120" w:after="120" w:line="240" w:lineRule="auto"/>
        <w:jc w:val="both"/>
        <w:rPr>
          <w:rFonts w:ascii="Times New Roman" w:eastAsia="Times New Roman" w:hAnsi="Times New Roman"/>
          <w:color w:val="000000"/>
          <w:szCs w:val="24"/>
          <w:u w:val="single"/>
          <w:lang w:eastAsia="lv-LV"/>
        </w:rPr>
      </w:pPr>
      <w:r w:rsidRPr="008B628A">
        <w:rPr>
          <w:rFonts w:ascii="Times New Roman" w:eastAsia="Times New Roman" w:hAnsi="Times New Roman"/>
          <w:color w:val="000000"/>
          <w:szCs w:val="24"/>
          <w:u w:val="single"/>
          <w:lang w:eastAsia="lv-LV"/>
        </w:rPr>
        <w:t>EPS potenciālie dalībnieki un to galalietotāju struktūra</w:t>
      </w:r>
    </w:p>
    <w:p w14:paraId="76961F87" w14:textId="77777777" w:rsidR="00322BD3" w:rsidRPr="008B628A" w:rsidRDefault="002D28BC" w:rsidP="00233443">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Latvijā EPS ir izveidota ar Energoefektivitātes likumu un darbojas no </w:t>
      </w:r>
      <w:r w:rsidR="00985AA2" w:rsidRPr="008B628A">
        <w:rPr>
          <w:rFonts w:ascii="Times New Roman" w:eastAsia="Times New Roman" w:hAnsi="Times New Roman"/>
          <w:color w:val="000000"/>
          <w:szCs w:val="24"/>
          <w:lang w:eastAsia="lv-LV"/>
        </w:rPr>
        <w:t>2016.gada. Šobrīd EPS ir iekļauti elektroenerģij</w:t>
      </w:r>
      <w:r w:rsidR="001C0E9B" w:rsidRPr="008B628A">
        <w:rPr>
          <w:rFonts w:ascii="Times New Roman" w:eastAsia="Times New Roman" w:hAnsi="Times New Roman"/>
          <w:color w:val="000000"/>
          <w:szCs w:val="24"/>
          <w:lang w:eastAsia="lv-LV"/>
        </w:rPr>
        <w:t>as mazumtirdzniecības komersanti</w:t>
      </w:r>
      <w:r w:rsidR="00985AA2" w:rsidRPr="008B628A">
        <w:rPr>
          <w:rFonts w:ascii="Times New Roman" w:eastAsia="Times New Roman" w:hAnsi="Times New Roman"/>
          <w:color w:val="000000"/>
          <w:szCs w:val="24"/>
          <w:lang w:eastAsia="lv-LV"/>
        </w:rPr>
        <w:t>, kura pārdotais elektroenerģijas apjoms:</w:t>
      </w:r>
      <w:r w:rsidR="001C0E9B" w:rsidRPr="008B628A">
        <w:rPr>
          <w:rFonts w:ascii="Times New Roman" w:eastAsia="Times New Roman" w:hAnsi="Times New Roman"/>
          <w:color w:val="000000"/>
          <w:szCs w:val="24"/>
          <w:lang w:eastAsia="lv-LV"/>
        </w:rPr>
        <w:t xml:space="preserve"> 2016.gadā bija vismaz 10 GWh un periodā līdz 2020.gada 31.decembrim ikgadējais pārdotais elektroenerģijas apjoms bija </w:t>
      </w:r>
      <w:r w:rsidR="00985AA2" w:rsidRPr="008B628A">
        <w:rPr>
          <w:rFonts w:ascii="Times New Roman" w:eastAsia="Times New Roman" w:hAnsi="Times New Roman"/>
          <w:color w:val="000000"/>
          <w:szCs w:val="24"/>
          <w:lang w:eastAsia="lv-LV"/>
        </w:rPr>
        <w:t>vismaz 10 GWh.</w:t>
      </w:r>
    </w:p>
    <w:p w14:paraId="33A248A8" w14:textId="1188F3B8" w:rsidR="00127D38" w:rsidRPr="008B628A" w:rsidRDefault="00700D8D" w:rsidP="00127D38">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olor w:val="000000"/>
          <w:szCs w:val="24"/>
          <w:lang w:eastAsia="lv-LV"/>
        </w:rPr>
        <w:t xml:space="preserve">Ņemot vērā </w:t>
      </w:r>
      <w:r w:rsidR="00322BD3" w:rsidRPr="008B628A">
        <w:rPr>
          <w:rFonts w:ascii="Times New Roman" w:eastAsia="Times New Roman" w:hAnsi="Times New Roman"/>
          <w:color w:val="000000"/>
          <w:szCs w:val="24"/>
          <w:lang w:eastAsia="lv-LV"/>
        </w:rPr>
        <w:t xml:space="preserve">esošo situāciju ar energoefektivitātes mērķu izpildi periodam līdz 2020.gda 31.decembrim, kā arī izvērtējumu par spēkā esošās EPS efektivitāti un </w:t>
      </w:r>
      <w:r w:rsidR="00E106AD" w:rsidRPr="008B628A">
        <w:rPr>
          <w:rFonts w:ascii="Times New Roman" w:eastAsia="Times New Roman" w:hAnsi="Times New Roman"/>
          <w:color w:val="000000"/>
          <w:szCs w:val="24"/>
          <w:lang w:eastAsia="lv-LV"/>
        </w:rPr>
        <w:t xml:space="preserve">devumu </w:t>
      </w:r>
      <w:r w:rsidR="00322BD3" w:rsidRPr="008B628A">
        <w:rPr>
          <w:rFonts w:ascii="Times New Roman" w:eastAsia="Times New Roman" w:hAnsi="Times New Roman"/>
          <w:color w:val="000000"/>
          <w:szCs w:val="24"/>
          <w:lang w:eastAsia="lv-LV"/>
        </w:rPr>
        <w:t xml:space="preserve">valsts mērķu </w:t>
      </w:r>
      <w:r w:rsidR="00322BD3" w:rsidRPr="008B628A">
        <w:rPr>
          <w:rFonts w:ascii="Times New Roman" w:eastAsia="Times New Roman" w:hAnsi="Times New Roman" w:cs="Times New Roman"/>
          <w:color w:val="000000"/>
          <w:szCs w:val="24"/>
          <w:lang w:eastAsia="lv-LV"/>
        </w:rPr>
        <w:t xml:space="preserve">izpildei, </w:t>
      </w:r>
      <w:r w:rsidRPr="008B628A">
        <w:rPr>
          <w:rFonts w:ascii="Times New Roman" w:eastAsia="Times New Roman" w:hAnsi="Times New Roman" w:cs="Times New Roman"/>
          <w:color w:val="000000"/>
          <w:szCs w:val="24"/>
          <w:lang w:eastAsia="lv-LV"/>
        </w:rPr>
        <w:t>Latvijā EPS būtu</w:t>
      </w:r>
      <w:r w:rsidR="00127D38" w:rsidRPr="008B628A">
        <w:rPr>
          <w:rFonts w:ascii="Times New Roman" w:eastAsia="Times New Roman" w:hAnsi="Times New Roman" w:cs="Times New Roman"/>
          <w:color w:val="000000"/>
          <w:szCs w:val="24"/>
          <w:lang w:eastAsia="lv-LV"/>
        </w:rPr>
        <w:t xml:space="preserve"> jāpaplašina</w:t>
      </w:r>
      <w:r w:rsidR="00E41930">
        <w:rPr>
          <w:rFonts w:ascii="Times New Roman" w:eastAsia="Times New Roman" w:hAnsi="Times New Roman" w:cs="Times New Roman"/>
          <w:color w:val="000000"/>
          <w:szCs w:val="24"/>
          <w:lang w:eastAsia="lv-LV"/>
        </w:rPr>
        <w:t>,</w:t>
      </w:r>
      <w:r w:rsidR="00127D38" w:rsidRPr="008B628A">
        <w:rPr>
          <w:rFonts w:ascii="Times New Roman" w:eastAsia="Times New Roman" w:hAnsi="Times New Roman" w:cs="Times New Roman"/>
          <w:color w:val="000000"/>
          <w:szCs w:val="24"/>
          <w:lang w:eastAsia="lv-LV"/>
        </w:rPr>
        <w:t xml:space="preserve"> kā to nosaka Energoefektivitātes likums.</w:t>
      </w:r>
    </w:p>
    <w:p w14:paraId="6AECB29E" w14:textId="7274698B" w:rsidR="00127D38" w:rsidRPr="008B628A" w:rsidRDefault="00127D38" w:rsidP="00127D38">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Šobrīd tiek izvērtēti vairāki varianti EPS paplašināšanai, kur EPS aptvērums un nosacījumi būtu:</w:t>
      </w:r>
    </w:p>
    <w:p w14:paraId="7AB3F896" w14:textId="15258BE8" w:rsidR="00127D38" w:rsidRPr="008B628A" w:rsidRDefault="00127D38" w:rsidP="00127D38">
      <w:pPr>
        <w:spacing w:before="120" w:after="120" w:line="240" w:lineRule="auto"/>
        <w:rPr>
          <w:rFonts w:ascii="Times New Roman" w:hAnsi="Times New Roman" w:cs="Times New Roman"/>
          <w:b/>
          <w:bCs/>
          <w:sz w:val="22"/>
        </w:rPr>
      </w:pPr>
      <w:r w:rsidRPr="008B628A">
        <w:rPr>
          <w:rFonts w:ascii="Times New Roman" w:hAnsi="Times New Roman" w:cs="Times New Roman"/>
          <w:b/>
          <w:bCs/>
        </w:rPr>
        <w:t>1.variants</w:t>
      </w:r>
    </w:p>
    <w:p w14:paraId="655485F4" w14:textId="20C41A0D"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EPS atbildīgās puses ir visi tie enerģijas tirgotāji, kuru pārdotais enerģijas apjoms kopā veido 90% no Latvijā patērētājiem piegādātās enerģijas;</w:t>
      </w:r>
    </w:p>
    <w:p w14:paraId="76A3DE65" w14:textId="083174C8"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Brīvprātīgās vienošanās slēdzēja pārdotais enerģijas apjoms tiek izslēgts no patērētājiem piegādātās enerģijas;</w:t>
      </w:r>
    </w:p>
    <w:p w14:paraId="0797B318" w14:textId="4E41A6A0"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Pienākuma apjomu aprēķina atbilstoši pārdotās enerģijas apjomam. Lielie patērētāji un lielie uzņēmumi netiek izslēgti;</w:t>
      </w:r>
    </w:p>
    <w:p w14:paraId="792FE2F9" w14:textId="51A3DDBF" w:rsidR="00127D38" w:rsidRPr="008B628A" w:rsidRDefault="00127D38" w:rsidP="00127D38">
      <w:pPr>
        <w:spacing w:before="120" w:after="120" w:line="240" w:lineRule="auto"/>
        <w:rPr>
          <w:rFonts w:ascii="Times New Roman" w:hAnsi="Times New Roman" w:cs="Times New Roman"/>
          <w:b/>
          <w:bCs/>
        </w:rPr>
      </w:pPr>
      <w:r w:rsidRPr="008B628A">
        <w:rPr>
          <w:rFonts w:ascii="Times New Roman" w:hAnsi="Times New Roman" w:cs="Times New Roman"/>
          <w:b/>
          <w:bCs/>
        </w:rPr>
        <w:t>2.variants</w:t>
      </w:r>
    </w:p>
    <w:p w14:paraId="3D235C20" w14:textId="77777777" w:rsidR="00127D38" w:rsidRPr="008B628A" w:rsidRDefault="00127D38" w:rsidP="00283C85">
      <w:pPr>
        <w:pStyle w:val="ListParagraph"/>
        <w:numPr>
          <w:ilvl w:val="0"/>
          <w:numId w:val="68"/>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EPS atbildīgās puses ir:</w:t>
      </w:r>
    </w:p>
    <w:p w14:paraId="1092003C"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Elektroenerģijas tirgotāji – ar pārdoto apjomu 10 GWh gadā</w:t>
      </w:r>
    </w:p>
    <w:p w14:paraId="4C1FB1A6"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Gāzes tirgotāji - kuru galapatērētājiem piegādātais dabasgāzes apjoms pārsniedz 1000 GWh/gadā</w:t>
      </w:r>
    </w:p>
    <w:p w14:paraId="76EEFB74"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Transporta degvielas tirgotāji – kuru piegādātais degvielas apjoms (fosilās degvielas un biodegvielas) pārsniedz 40 tūkst m3</w:t>
      </w:r>
    </w:p>
    <w:p w14:paraId="49317C4A" w14:textId="6DC0FBAC"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Siltumenerģijas tirgotāji – kuru sistēmai pieslēgta vismaz viena iekārta 20 MW siltuma jaudu un piegādātais siltumenerģijas apjoms pārsniedz 20 GWh/gadā</w:t>
      </w:r>
    </w:p>
    <w:p w14:paraId="46B4BB44" w14:textId="77777777" w:rsidR="00700D8D" w:rsidRPr="008B628A" w:rsidRDefault="00700D8D" w:rsidP="00B37FF6">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u w:val="single"/>
          <w:lang w:eastAsia="lv-LV"/>
        </w:rPr>
        <w:t>EPS  pienākumu sadales principi</w:t>
      </w:r>
      <w:r w:rsidRPr="008B628A">
        <w:rPr>
          <w:rFonts w:ascii="Times New Roman" w:eastAsia="Times New Roman" w:hAnsi="Times New Roman"/>
          <w:color w:val="000000"/>
          <w:szCs w:val="24"/>
          <w:lang w:eastAsia="lv-LV"/>
        </w:rPr>
        <w:t xml:space="preserve"> </w:t>
      </w:r>
    </w:p>
    <w:p w14:paraId="1E80F69F" w14:textId="3F9035BF" w:rsidR="00700D8D" w:rsidRPr="008B628A" w:rsidRDefault="00700D8D" w:rsidP="00E83A87">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pienākumu sadalei ietaupījuma mērķi ir jāsadala starp attiecīgās jomas atbildīgajām pusēm (uzņēmumiem). Šo pienākumu sadalē </w:t>
      </w:r>
      <w:r w:rsidR="00C96C8E" w:rsidRPr="008B628A">
        <w:rPr>
          <w:rFonts w:ascii="Times New Roman" w:eastAsia="Times New Roman" w:hAnsi="Times New Roman"/>
          <w:color w:val="000000"/>
          <w:szCs w:val="24"/>
          <w:lang w:eastAsia="lv-LV"/>
        </w:rPr>
        <w:t xml:space="preserve">tiek izmantota tādu kritēriju kā </w:t>
      </w:r>
      <w:r w:rsidRPr="008B628A">
        <w:rPr>
          <w:rFonts w:ascii="Times New Roman" w:eastAsia="Times New Roman" w:hAnsi="Times New Roman"/>
          <w:color w:val="000000"/>
          <w:szCs w:val="24"/>
          <w:lang w:eastAsia="lv-LV"/>
        </w:rPr>
        <w:t>enerģijas galalietotāju skaits vai enerģijas pārdošanas apjoms</w:t>
      </w:r>
      <w:r w:rsidR="00C96C8E" w:rsidRPr="008B628A">
        <w:rPr>
          <w:rFonts w:ascii="Times New Roman" w:eastAsia="Times New Roman" w:hAnsi="Times New Roman"/>
          <w:color w:val="000000"/>
          <w:szCs w:val="24"/>
          <w:lang w:eastAsia="lv-LV"/>
        </w:rPr>
        <w:t xml:space="preserve"> kombinācija</w:t>
      </w:r>
      <w:r w:rsidRPr="008B628A">
        <w:rPr>
          <w:rFonts w:ascii="Times New Roman" w:eastAsia="Times New Roman" w:hAnsi="Times New Roman"/>
          <w:color w:val="000000"/>
          <w:szCs w:val="24"/>
          <w:lang w:eastAsia="lv-LV"/>
        </w:rPr>
        <w:t xml:space="preserve">. EPS iesaistītās atbildīgās puses ir tieši saistītas ar </w:t>
      </w:r>
      <w:r w:rsidRPr="008B628A">
        <w:rPr>
          <w:rFonts w:ascii="Times New Roman" w:eastAsia="Times New Roman" w:hAnsi="Times New Roman"/>
          <w:color w:val="000000"/>
          <w:szCs w:val="24"/>
          <w:lang w:eastAsia="lv-LV"/>
        </w:rPr>
        <w:lastRenderedPageBreak/>
        <w:t xml:space="preserve">saviem klientiem </w:t>
      </w:r>
      <w:r w:rsidR="00C96C8E"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enerģijas patērētājiem </w:t>
      </w:r>
      <w:r w:rsidR="00C96C8E"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un pārzina to enerģijas tērēšanas specifiku. Energoefektivitātes pasākumu realizāciju var veikt pašas atbildīgās puses, to apakšuzņēmumi vai arī tās var nolīgt uzņēmumus (piemēram, ESKO), kas var realizēt energoefektivitātes pasākumus, lai iegūtu aprēķināto enerģijas ietaupījumu. Atbildīgās puses var realizēt energoefektivitātes pasākumus ne tikai pie saviem patērētājiem, bet arī pie jebkura cita enerģijas galalietotāja. </w:t>
      </w:r>
      <w:r w:rsidR="00B37FF6" w:rsidRPr="008B628A">
        <w:rPr>
          <w:rFonts w:ascii="Times New Roman" w:eastAsia="Times New Roman" w:hAnsi="Times New Roman"/>
          <w:color w:val="000000"/>
          <w:szCs w:val="24"/>
          <w:lang w:eastAsia="lv-LV"/>
        </w:rPr>
        <w:t>Atbildīgās puses var realizēt energoefektivitātes pasākumus, vairākām pusēm apvienojoties kopā un realizējot pasākumus pie visu iesaistīto pušu enerģijas galalietotājiem vai pie citas atbildīgās puses vai atbildīgo pušu apvienības enerģijas galalietotājiem.</w:t>
      </w:r>
    </w:p>
    <w:p w14:paraId="6A89CBF1" w14:textId="4EC8CC72" w:rsidR="00C96C8E" w:rsidRPr="008B628A" w:rsidRDefault="00700D8D" w:rsidP="00E83A87">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w:t>
      </w:r>
      <w:r w:rsidR="00B37FF6" w:rsidRPr="008B628A">
        <w:rPr>
          <w:rFonts w:ascii="Times New Roman" w:eastAsia="Times New Roman" w:hAnsi="Times New Roman"/>
          <w:color w:val="000000"/>
          <w:szCs w:val="24"/>
          <w:lang w:eastAsia="lv-LV"/>
        </w:rPr>
        <w:t>arī ir saistīts ar</w:t>
      </w:r>
      <w:r w:rsidRPr="008B628A">
        <w:rPr>
          <w:rFonts w:ascii="Times New Roman" w:eastAsia="Times New Roman" w:hAnsi="Times New Roman"/>
          <w:color w:val="000000"/>
          <w:szCs w:val="24"/>
          <w:lang w:eastAsia="lv-LV"/>
        </w:rPr>
        <w:t xml:space="preserve"> valsts energoefektivitātes fondu, kura mērķis ir atbalstīt valsts iniciatīvas energoefektivitātes jomā. </w:t>
      </w:r>
      <w:r w:rsidR="00C96C8E" w:rsidRPr="008B628A">
        <w:rPr>
          <w:rFonts w:ascii="Times New Roman" w:eastAsia="Times New Roman" w:hAnsi="Times New Roman"/>
          <w:color w:val="000000"/>
          <w:szCs w:val="24"/>
          <w:lang w:eastAsia="lv-LV"/>
        </w:rPr>
        <w:t>Saskaņā ar Energoefektivitātes likumu Latvija ir noteikusi, ka EPS iekļaujamā atbildīgā puse var izpildīt savu pienākumu, veicot iemaksas pēc savas izvēles valsts vai pašvaldības energoefektivitātes fondā atbilstoši tai noteiktajam enerģijas galapatēriņa ietaupījuma pienākuma apjomam. Atbildīgajai pusei noteikto pienākuma apjomu samazina proporcionāli veikto iemaksu apmēram. Valsts vai pašvaldība, kuras fondā atbildīgā puse veikusi iemaksu, nodrošina enerģijas ietaupījumu atbilstoši atbildīgās puses pienākuma apjomam, par kuru ir veikta iemaksa. Tiek paredzēts, ka šis princips tiks saglabāts arī periodā no 2021. līdz 2030.gadam</w:t>
      </w:r>
    </w:p>
    <w:p w14:paraId="77F8E44E" w14:textId="00848B82" w:rsidR="00581156" w:rsidRPr="008B628A" w:rsidRDefault="00581156" w:rsidP="005F59CE">
      <w:pPr>
        <w:pStyle w:val="Heading3"/>
      </w:pPr>
      <w:bookmarkStart w:id="206" w:name="_Toc520978843"/>
      <w:bookmarkStart w:id="207" w:name="_Toc527529500"/>
      <w:r w:rsidRPr="008B628A">
        <w:t>Ilgtermiņa ēku atjaunošanas stratēģijas</w:t>
      </w:r>
      <w:bookmarkEnd w:id="206"/>
      <w:bookmarkEnd w:id="207"/>
      <w:r w:rsidRPr="008B628A">
        <w:t xml:space="preserve"> </w:t>
      </w:r>
    </w:p>
    <w:p w14:paraId="0EA5A9C0" w14:textId="3860C9FC" w:rsidR="003729D9" w:rsidRPr="008B628A" w:rsidRDefault="00692079" w:rsidP="003729D9">
      <w:pPr>
        <w:spacing w:before="120" w:after="120" w:line="240" w:lineRule="auto"/>
        <w:jc w:val="both"/>
        <w:rPr>
          <w:rFonts w:ascii="Times New Roman" w:hAnsi="Times New Roman" w:cs="Times New Roman"/>
          <w:b/>
        </w:rPr>
      </w:pPr>
      <w:r w:rsidRPr="008B628A">
        <w:rPr>
          <w:rFonts w:ascii="Times New Roman" w:hAnsi="Times New Roman" w:cs="Times New Roman"/>
        </w:rPr>
        <w:t xml:space="preserve">Šobrīd 2014.-2020.gada ES fondu plānošanas perioda ietvaros tiek īstenotas </w:t>
      </w:r>
      <w:r w:rsidR="000E3144" w:rsidRPr="008B628A">
        <w:rPr>
          <w:rFonts w:ascii="Times New Roman" w:hAnsi="Times New Roman" w:cs="Times New Roman"/>
        </w:rPr>
        <w:t xml:space="preserve">vairākas </w:t>
      </w:r>
      <w:r w:rsidRPr="008B628A">
        <w:rPr>
          <w:rFonts w:ascii="Times New Roman" w:hAnsi="Times New Roman" w:cs="Times New Roman"/>
        </w:rPr>
        <w:t>ES fondu līdzfinansētas atbalsta programmas</w:t>
      </w:r>
      <w:r w:rsidR="000E3144" w:rsidRPr="008B628A">
        <w:rPr>
          <w:rFonts w:ascii="Times New Roman" w:hAnsi="Times New Roman" w:cs="Times New Roman"/>
        </w:rPr>
        <w:t>. Šo programmu īstenošana ir iekļauta bāzes scenārijā arī pēc 2021.gada ar pieņēmumu, ka šo programmu īstenošana turpināsies arī periodā pēc 2020.gadam perioda līdz 2020.gadam noteiktajā intensitātē</w:t>
      </w:r>
      <w:r w:rsidR="003729D9" w:rsidRPr="008B628A">
        <w:rPr>
          <w:rFonts w:ascii="Times New Roman" w:hAnsi="Times New Roman" w:cs="Times New Roman"/>
        </w:rPr>
        <w:t xml:space="preserve">. Tomēr tā kā šo programmu īstenošanas nosacījumi periodā pēc 2021.gada nav noteikti Latvijas politikas plānošanas dokumentos vai Latvijas likumdošanā, kā arī to īstenošanai nepieciešamais finansējums nav noteikts kā pieejams vai piešķirts, tad šīs programmas ir iespējamie jaunie pasākumi un to īstenošanai nepieciešamais finansējums ir mērķa sasniegšanai nepieciešamais </w:t>
      </w:r>
      <w:r w:rsidR="00C75E91" w:rsidRPr="008B628A">
        <w:rPr>
          <w:rFonts w:ascii="Times New Roman" w:hAnsi="Times New Roman" w:cs="Times New Roman"/>
        </w:rPr>
        <w:t xml:space="preserve">papildus </w:t>
      </w:r>
      <w:r w:rsidR="003729D9" w:rsidRPr="008B628A">
        <w:rPr>
          <w:rFonts w:ascii="Times New Roman" w:hAnsi="Times New Roman" w:cs="Times New Roman"/>
        </w:rPr>
        <w:t>finansējums.</w:t>
      </w:r>
    </w:p>
    <w:p w14:paraId="7B84DF89" w14:textId="3A90367E" w:rsidR="00692079" w:rsidRPr="008B628A" w:rsidRDefault="00757462" w:rsidP="00757462">
      <w:pPr>
        <w:pStyle w:val="Heading4"/>
        <w:jc w:val="both"/>
      </w:pPr>
      <w:r w:rsidRPr="008B628A">
        <w:t>V</w:t>
      </w:r>
      <w:r w:rsidR="00692079" w:rsidRPr="008B628A">
        <w:t>alsts īpašumā esošu ēku ene</w:t>
      </w:r>
      <w:r w:rsidR="00C75E91" w:rsidRPr="008B628A">
        <w:t>rgoefektivitātes paaugstināšana un daudzdzīvokļu dzīvojamo ēku energoefektivitātes paaugstināšanai</w:t>
      </w:r>
    </w:p>
    <w:p w14:paraId="08540CDD" w14:textId="1CA85002" w:rsidR="00C75E91" w:rsidRPr="008B628A" w:rsidRDefault="000E3144" w:rsidP="00692079">
      <w:pPr>
        <w:spacing w:before="120" w:after="120" w:line="240" w:lineRule="auto"/>
        <w:jc w:val="both"/>
        <w:rPr>
          <w:rFonts w:ascii="Times New Roman" w:hAnsi="Times New Roman" w:cs="Times New Roman"/>
        </w:rPr>
      </w:pPr>
      <w:r w:rsidRPr="008B628A">
        <w:rPr>
          <w:rFonts w:ascii="Times New Roman" w:hAnsi="Times New Roman" w:cs="Times New Roman"/>
        </w:rPr>
        <w:t>Darbības programma</w:t>
      </w:r>
      <w:r w:rsidR="000B1765" w:rsidRPr="008B628A">
        <w:rPr>
          <w:rFonts w:ascii="Times New Roman" w:hAnsi="Times New Roman" w:cs="Times New Roman"/>
        </w:rPr>
        <w:t xml:space="preserve"> </w:t>
      </w:r>
      <w:r w:rsidR="003729D9" w:rsidRPr="008B628A">
        <w:rPr>
          <w:rFonts w:ascii="Times New Roman" w:hAnsi="Times New Roman" w:cs="Times New Roman"/>
        </w:rPr>
        <w:t>“Izaugsme un nodarbinātība”</w:t>
      </w:r>
      <w:r w:rsidR="000B1765" w:rsidRPr="008B628A">
        <w:rPr>
          <w:rFonts w:ascii="Times New Roman" w:hAnsi="Times New Roman" w:cs="Times New Roman"/>
        </w:rPr>
        <w:t xml:space="preserve"> 4.2.1. specifiskā atbalsta mērķa </w:t>
      </w:r>
      <w:r w:rsidR="003729D9" w:rsidRPr="008B628A">
        <w:rPr>
          <w:rFonts w:ascii="Times New Roman" w:hAnsi="Times New Roman" w:cs="Times New Roman"/>
        </w:rPr>
        <w:t>“</w:t>
      </w:r>
      <w:r w:rsidR="000B1765" w:rsidRPr="008B628A">
        <w:rPr>
          <w:rFonts w:ascii="Times New Roman" w:hAnsi="Times New Roman" w:cs="Times New Roman"/>
        </w:rPr>
        <w:t>Veicināt energoefektivitātes paaugstināšanu valsts un dzīv</w:t>
      </w:r>
      <w:r w:rsidR="003729D9" w:rsidRPr="008B628A">
        <w:rPr>
          <w:rFonts w:ascii="Times New Roman" w:hAnsi="Times New Roman" w:cs="Times New Roman"/>
        </w:rPr>
        <w:t>ojamās ēkās” 4.2.1.2. pasākuma “</w:t>
      </w:r>
      <w:r w:rsidR="000B1765" w:rsidRPr="008B628A">
        <w:rPr>
          <w:rFonts w:ascii="Times New Roman" w:hAnsi="Times New Roman" w:cs="Times New Roman"/>
        </w:rPr>
        <w:t>Veicināt energoefektivit</w:t>
      </w:r>
      <w:r w:rsidR="003729D9" w:rsidRPr="008B628A">
        <w:rPr>
          <w:rFonts w:ascii="Times New Roman" w:hAnsi="Times New Roman" w:cs="Times New Roman"/>
        </w:rPr>
        <w:t>ātes paaugstināšanu valsts ēkās”</w:t>
      </w:r>
      <w:bookmarkStart w:id="208" w:name="_Hlk529445105"/>
      <w:r w:rsidR="00C75E91" w:rsidRPr="008B628A">
        <w:rPr>
          <w:rStyle w:val="FootnoteReference"/>
          <w:rFonts w:ascii="Times New Roman" w:hAnsi="Times New Roman" w:cs="Times New Roman"/>
        </w:rPr>
        <w:footnoteReference w:id="134"/>
      </w:r>
      <w:bookmarkEnd w:id="208"/>
      <w:r w:rsidR="000B1765" w:rsidRPr="008B628A">
        <w:rPr>
          <w:rFonts w:ascii="Times New Roman" w:hAnsi="Times New Roman" w:cs="Times New Roman"/>
        </w:rPr>
        <w:t xml:space="preserve"> </w:t>
      </w:r>
      <w:r w:rsidR="00C75E91" w:rsidRPr="008B628A">
        <w:rPr>
          <w:rFonts w:ascii="Times New Roman" w:hAnsi="Times New Roman" w:cs="Times New Roman"/>
        </w:rPr>
        <w:t xml:space="preserve">periodā līdz 2020.gadam </w:t>
      </w:r>
      <w:r w:rsidR="00692079" w:rsidRPr="008B628A">
        <w:rPr>
          <w:rFonts w:ascii="Times New Roman" w:hAnsi="Times New Roman" w:cs="Times New Roman"/>
        </w:rPr>
        <w:t xml:space="preserve">ir veidota, lai sasniegtu </w:t>
      </w:r>
      <w:r w:rsidR="00883D54" w:rsidRPr="008B628A">
        <w:rPr>
          <w:rFonts w:ascii="Times New Roman" w:eastAsia="Calibri" w:hAnsi="Times New Roman" w:cs="Times New Roman"/>
          <w:szCs w:val="24"/>
        </w:rPr>
        <w:t>Direktīvas 2012/27/ES</w:t>
      </w:r>
      <w:r w:rsidR="00692079" w:rsidRPr="008B628A">
        <w:rPr>
          <w:rFonts w:ascii="Times New Roman" w:hAnsi="Times New Roman" w:cs="Times New Roman"/>
        </w:rPr>
        <w:t xml:space="preserve"> 5.panta 1.punktā noteikto nosacījumu katru gadu renovēt 3 % kopējās platības centrālās valdības īpašumā esošajās un izmantotajās ēkās, kuras apsilda un/vai dzesē, lai izpildītu vismaz minimālās energoefektivitātes prasības.</w:t>
      </w:r>
    </w:p>
    <w:p w14:paraId="70F7C5D1" w14:textId="2974A8EA" w:rsidR="00C75E91" w:rsidRPr="008B628A" w:rsidRDefault="00C75E91" w:rsidP="00692079">
      <w:pPr>
        <w:spacing w:before="120" w:after="120" w:line="240" w:lineRule="auto"/>
        <w:jc w:val="both"/>
        <w:rPr>
          <w:rFonts w:ascii="Times New Roman" w:hAnsi="Times New Roman" w:cs="Times New Roman"/>
        </w:rPr>
      </w:pPr>
      <w:r w:rsidRPr="008B628A">
        <w:rPr>
          <w:rFonts w:ascii="Times New Roman" w:hAnsi="Times New Roman" w:cs="Times New Roman"/>
        </w:rPr>
        <w:t>Darbības programma “Izaugsme un nodarbinātība” 4.2.1. specifiskā atbalsta mērķa “Veicināt energoefektivitātes paaugstināšanu valsts un dzīvojamās ēkās” 4.2.1.1. specifiskā atbalsta mērķa pasākuma “Veicināt energoefektivitātes paaugstināšanu dzīvojamās ēkās”</w:t>
      </w:r>
      <w:bookmarkStart w:id="209" w:name="_Hlk529445143"/>
      <w:r w:rsidRPr="008B628A">
        <w:rPr>
          <w:rStyle w:val="FootnoteReference"/>
          <w:rFonts w:ascii="Times New Roman" w:hAnsi="Times New Roman" w:cs="Times New Roman"/>
        </w:rPr>
        <w:footnoteReference w:id="135"/>
      </w:r>
      <w:bookmarkEnd w:id="209"/>
      <w:r w:rsidRPr="008B628A">
        <w:rPr>
          <w:rFonts w:ascii="Times New Roman" w:hAnsi="Times New Roman" w:cs="Times New Roman"/>
        </w:rPr>
        <w:t xml:space="preserve"> periodā līdz </w:t>
      </w:r>
      <w:r w:rsidR="001A2F35" w:rsidRPr="008B628A">
        <w:rPr>
          <w:rFonts w:ascii="Times New Roman" w:hAnsi="Times New Roman" w:cs="Times New Roman"/>
        </w:rPr>
        <w:t>2</w:t>
      </w:r>
      <w:r w:rsidRPr="008B628A">
        <w:rPr>
          <w:rFonts w:ascii="Times New Roman" w:hAnsi="Times New Roman" w:cs="Times New Roman"/>
        </w:rPr>
        <w:t xml:space="preserve">020.gadam ir veidota, lai ir veicinātu energoefektivitātes paaugstināšanu un viedas energovadības un </w:t>
      </w:r>
      <w:r w:rsidR="008000C9">
        <w:rPr>
          <w:rFonts w:ascii="Times New Roman" w:hAnsi="Times New Roman" w:cs="Times New Roman"/>
        </w:rPr>
        <w:t>AER</w:t>
      </w:r>
      <w:r w:rsidRPr="008B628A">
        <w:rPr>
          <w:rFonts w:ascii="Times New Roman" w:hAnsi="Times New Roman" w:cs="Times New Roman"/>
        </w:rPr>
        <w:t xml:space="preserve"> izmantošanu daudzdzīvokļu dzīvojamās mājās.</w:t>
      </w:r>
    </w:p>
    <w:p w14:paraId="197FFB29" w14:textId="1E9A3C41" w:rsidR="00692079" w:rsidRPr="008B628A" w:rsidRDefault="00692079" w:rsidP="00692079">
      <w:pPr>
        <w:spacing w:before="120" w:after="120" w:line="240" w:lineRule="auto"/>
        <w:jc w:val="both"/>
        <w:rPr>
          <w:rFonts w:ascii="Times New Roman" w:hAnsi="Times New Roman" w:cs="Times New Roman"/>
        </w:rPr>
      </w:pPr>
      <w:r w:rsidRPr="008B628A">
        <w:rPr>
          <w:rFonts w:ascii="Times New Roman" w:hAnsi="Times New Roman" w:cs="Times New Roman"/>
        </w:rPr>
        <w:t xml:space="preserve">Abas </w:t>
      </w:r>
      <w:r w:rsidR="00984A1C" w:rsidRPr="008B628A">
        <w:rPr>
          <w:rFonts w:ascii="Times New Roman" w:hAnsi="Times New Roman" w:cs="Times New Roman"/>
        </w:rPr>
        <w:t xml:space="preserve">iepriekšminētās </w:t>
      </w:r>
      <w:r w:rsidRPr="008B628A">
        <w:rPr>
          <w:rFonts w:ascii="Times New Roman" w:hAnsi="Times New Roman" w:cs="Times New Roman"/>
        </w:rPr>
        <w:t>programmas tiek finansētas ar ERAF līdzfinansējuma palīdzību, tām pieejamais kopējais</w:t>
      </w:r>
      <w:r w:rsidR="001A2F35" w:rsidRPr="008B628A">
        <w:rPr>
          <w:rFonts w:ascii="Times New Roman" w:hAnsi="Times New Roman" w:cs="Times New Roman"/>
        </w:rPr>
        <w:t xml:space="preserve"> finansējuma apjoms ir apmēram 281,7 milj.EUR un </w:t>
      </w:r>
      <w:r w:rsidRPr="008B628A">
        <w:rPr>
          <w:rFonts w:ascii="Times New Roman" w:hAnsi="Times New Roman" w:cs="Times New Roman"/>
        </w:rPr>
        <w:t xml:space="preserve">ERAF finansējuma </w:t>
      </w:r>
      <w:r w:rsidRPr="008B628A">
        <w:rPr>
          <w:rFonts w:ascii="Times New Roman" w:hAnsi="Times New Roman" w:cs="Times New Roman"/>
        </w:rPr>
        <w:lastRenderedPageBreak/>
        <w:t xml:space="preserve">apjoms ir 247,9 milj., EUR, t.sk., 150 milj. EUR daudzdzīvokļu ēku energoefektivitātei, ar ko plānots atjaunot aptuveni </w:t>
      </w:r>
      <w:r w:rsidR="00D70B91" w:rsidRPr="008B628A">
        <w:rPr>
          <w:rFonts w:ascii="Times New Roman" w:hAnsi="Times New Roman" w:cs="Times New Roman"/>
        </w:rPr>
        <w:t>1030</w:t>
      </w:r>
      <w:r w:rsidRPr="008B628A">
        <w:rPr>
          <w:rFonts w:ascii="Times New Roman" w:hAnsi="Times New Roman" w:cs="Times New Roman"/>
        </w:rPr>
        <w:t xml:space="preserve"> ēku (ERAF līdzfinansējuma apjoms – 50% no projekta attiecināmajām izmaksām, vidējās ēkas atjaunošanas izmaksas – 150 – 170 tūkst. eiro), un 97,9 milj. eiro valsts īpašumā esošu ēku energoefektivitātei, ar ko plānots atjaunot aptuveni 100 – 120 ēku.</w:t>
      </w:r>
    </w:p>
    <w:p w14:paraId="1FB46F60" w14:textId="6E15230C" w:rsidR="00495E1C" w:rsidRPr="008B628A" w:rsidRDefault="00692079" w:rsidP="00495E1C">
      <w:pPr>
        <w:spacing w:before="120" w:after="120" w:line="240" w:lineRule="auto"/>
        <w:jc w:val="both"/>
        <w:rPr>
          <w:rFonts w:ascii="Times New Roman" w:hAnsi="Times New Roman" w:cs="Times New Roman"/>
        </w:rPr>
      </w:pPr>
      <w:r w:rsidRPr="008B628A">
        <w:rPr>
          <w:rFonts w:ascii="Times New Roman" w:hAnsi="Times New Roman" w:cs="Times New Roman"/>
        </w:rPr>
        <w:t xml:space="preserve">Ņemot vērā gan energoneefektīvās valsts īpašumā esošās platības apjomu, gan neatjaunoto daudzdzīvokļu ēku skaitu Latvijā, attiecīgās programmas ir plānots turpināt arī 2021.-2027.gada ES fondu plānošanas periodā, </w:t>
      </w:r>
      <w:r w:rsidR="00495E1C" w:rsidRPr="008B628A">
        <w:rPr>
          <w:rFonts w:ascii="Times New Roman" w:hAnsi="Times New Roman" w:cs="Times New Roman"/>
        </w:rPr>
        <w:t xml:space="preserve">indikatīvi </w:t>
      </w:r>
      <w:r w:rsidRPr="008B628A">
        <w:rPr>
          <w:rFonts w:ascii="Times New Roman" w:hAnsi="Times New Roman" w:cs="Times New Roman"/>
        </w:rPr>
        <w:t xml:space="preserve">piesaistot to īstenošanai ERAF finansējumu. </w:t>
      </w:r>
      <w:r w:rsidR="00495E1C" w:rsidRPr="008B628A">
        <w:rPr>
          <w:rFonts w:ascii="Times New Roman" w:hAnsi="Times New Roman" w:cs="Times New Roman"/>
        </w:rPr>
        <w:t>Arī bāzes scenārijā periodam pēc 2021.gadam tiek plānota šo programmu indikatīvā īstenošana esošajā intensitātē.</w:t>
      </w:r>
    </w:p>
    <w:p w14:paraId="059A847F" w14:textId="3DC2DD54" w:rsidR="00692079" w:rsidRPr="008B628A" w:rsidRDefault="00495E1C" w:rsidP="00692079">
      <w:pPr>
        <w:spacing w:before="120" w:after="120" w:line="240" w:lineRule="auto"/>
        <w:jc w:val="both"/>
        <w:rPr>
          <w:rFonts w:ascii="Times New Roman" w:hAnsi="Times New Roman" w:cs="Times New Roman"/>
        </w:rPr>
      </w:pPr>
      <w:r w:rsidRPr="008B628A">
        <w:rPr>
          <w:rFonts w:ascii="Times New Roman" w:hAnsi="Times New Roman" w:cs="Times New Roman"/>
        </w:rPr>
        <w:t>Papildus jānorāda, ka EK 2021.-2027.gada ES fondu plānošanas perioda regulu piedāvājumi paredz veikt liela apjoma investīcijas energoefektivitātē, līdz ar to būtiski riski programmu neturpināšanai netiek saskatīti.</w:t>
      </w:r>
    </w:p>
    <w:p w14:paraId="4CA3F73E" w14:textId="4347DAD2" w:rsidR="00495E1C" w:rsidRPr="008B628A" w:rsidRDefault="00495E1C" w:rsidP="00495E1C">
      <w:pPr>
        <w:pStyle w:val="Heading4"/>
      </w:pPr>
      <w:r w:rsidRPr="008B628A">
        <w:t>Energoefektivitātes paaugstināšanas programmas privātpersonām</w:t>
      </w:r>
    </w:p>
    <w:p w14:paraId="13D9A7F9" w14:textId="06C64A00" w:rsidR="00692079" w:rsidRPr="008B628A" w:rsidRDefault="00692079" w:rsidP="00692079">
      <w:pPr>
        <w:spacing w:before="120" w:after="120" w:line="240" w:lineRule="auto"/>
        <w:jc w:val="both"/>
        <w:rPr>
          <w:rFonts w:ascii="Times New Roman" w:hAnsi="Times New Roman" w:cs="Times New Roman"/>
        </w:rPr>
      </w:pPr>
      <w:r w:rsidRPr="008B628A">
        <w:rPr>
          <w:rFonts w:ascii="Times New Roman" w:hAnsi="Times New Roman" w:cs="Times New Roman"/>
        </w:rPr>
        <w:t xml:space="preserve">Ņemot vērā dzīvojamā fonda īpatnības un lielo privātmāju skaitu Latvijā, tiek </w:t>
      </w:r>
      <w:r w:rsidR="00D70B91" w:rsidRPr="008B628A">
        <w:rPr>
          <w:rFonts w:ascii="Times New Roman" w:hAnsi="Times New Roman" w:cs="Times New Roman"/>
        </w:rPr>
        <w:t>apsvērta</w:t>
      </w:r>
      <w:r w:rsidRPr="008B628A">
        <w:rPr>
          <w:rFonts w:ascii="Times New Roman" w:hAnsi="Times New Roman" w:cs="Times New Roman"/>
        </w:rPr>
        <w:t xml:space="preserve"> iespēja 2021.-2027.gada ES fondu plānošanas periodā izstrādāt arī tādu energoefektivitāti paaugstinošu programmu, kuras ietvaros </w:t>
      </w:r>
      <w:r w:rsidR="009F3AFC" w:rsidRPr="008B628A">
        <w:rPr>
          <w:rFonts w:ascii="Times New Roman" w:hAnsi="Times New Roman" w:cs="Times New Roman"/>
        </w:rPr>
        <w:t xml:space="preserve">indikatīvi </w:t>
      </w:r>
      <w:r w:rsidRPr="008B628A">
        <w:rPr>
          <w:rFonts w:ascii="Times New Roman" w:hAnsi="Times New Roman" w:cs="Times New Roman"/>
        </w:rPr>
        <w:t xml:space="preserve">atbalsta saņēmēji </w:t>
      </w:r>
      <w:r w:rsidR="009F3AFC" w:rsidRPr="008B628A">
        <w:rPr>
          <w:rFonts w:ascii="Times New Roman" w:hAnsi="Times New Roman" w:cs="Times New Roman"/>
        </w:rPr>
        <w:t xml:space="preserve">varētu būt arī </w:t>
      </w:r>
      <w:r w:rsidRPr="008B628A">
        <w:rPr>
          <w:rFonts w:ascii="Times New Roman" w:hAnsi="Times New Roman" w:cs="Times New Roman"/>
        </w:rPr>
        <w:t>privātpersonas</w:t>
      </w:r>
      <w:r w:rsidR="00D70B91" w:rsidRPr="008B628A">
        <w:rPr>
          <w:rFonts w:ascii="Times New Roman" w:hAnsi="Times New Roman" w:cs="Times New Roman"/>
        </w:rPr>
        <w:t>, tai skaitā viendzīvokļa mājām</w:t>
      </w:r>
      <w:r w:rsidRPr="008B628A">
        <w:rPr>
          <w:rFonts w:ascii="Times New Roman" w:hAnsi="Times New Roman" w:cs="Times New Roman"/>
        </w:rPr>
        <w:t xml:space="preserve">. Attiecīgā programma varētu sniegt ieguldījumu kopējo energoefektivitātes un </w:t>
      </w:r>
      <w:r w:rsidR="004C7936" w:rsidRPr="008B628A">
        <w:rPr>
          <w:rFonts w:ascii="Times New Roman" w:eastAsia="Calibri" w:hAnsi="Times New Roman" w:cs="Times New Roman"/>
          <w:szCs w:val="24"/>
        </w:rPr>
        <w:t>AER</w:t>
      </w:r>
      <w:r w:rsidR="004C7936" w:rsidRPr="008B628A">
        <w:rPr>
          <w:rFonts w:ascii="Times New Roman" w:hAnsi="Times New Roman" w:cs="Times New Roman"/>
        </w:rPr>
        <w:t xml:space="preserve"> </w:t>
      </w:r>
      <w:r w:rsidRPr="008B628A">
        <w:rPr>
          <w:rFonts w:ascii="Times New Roman" w:hAnsi="Times New Roman" w:cs="Times New Roman"/>
        </w:rPr>
        <w:t>mērķu sasniegšanai.</w:t>
      </w:r>
    </w:p>
    <w:p w14:paraId="0DD44550" w14:textId="43848A6D" w:rsidR="00475933" w:rsidRPr="008B628A" w:rsidRDefault="00475933" w:rsidP="00475933">
      <w:pPr>
        <w:pStyle w:val="Heading3"/>
      </w:pPr>
      <w:r w:rsidRPr="008B628A">
        <w:t>Rīcībpolitika un pasākumi energopakalpojumu veicināšanai publiskajā sektorā</w:t>
      </w:r>
    </w:p>
    <w:p w14:paraId="2C5E6B17" w14:textId="246F43F0" w:rsidR="00475933" w:rsidRPr="008B628A" w:rsidRDefault="00E94F3D" w:rsidP="0062134E">
      <w:pPr>
        <w:rPr>
          <w:rFonts w:ascii="Times New Roman" w:hAnsi="Times New Roman" w:cs="Times New Roman"/>
          <w:i/>
        </w:rPr>
      </w:pPr>
      <w:r w:rsidRPr="008B628A">
        <w:rPr>
          <w:rFonts w:ascii="Times New Roman" w:hAnsi="Times New Roman" w:cs="Times New Roman"/>
          <w:i/>
        </w:rPr>
        <w:t>Tiks papildināts Plāna galaversijā</w:t>
      </w:r>
    </w:p>
    <w:p w14:paraId="0B22FE3A" w14:textId="2C916B08" w:rsidR="00581156" w:rsidRPr="008B628A" w:rsidRDefault="00581156" w:rsidP="00E106AD">
      <w:pPr>
        <w:pStyle w:val="Heading3"/>
      </w:pPr>
      <w:bookmarkStart w:id="210" w:name="_Toc520978846"/>
      <w:bookmarkStart w:id="211" w:name="_Toc527529503"/>
      <w:r w:rsidRPr="008B628A">
        <w:t>Gāzes un elektroenerģijas infrastruktūras potenciāla izmantošana</w:t>
      </w:r>
      <w:bookmarkEnd w:id="210"/>
      <w:bookmarkEnd w:id="211"/>
      <w:r w:rsidRPr="008B628A">
        <w:t xml:space="preserve"> </w:t>
      </w:r>
    </w:p>
    <w:p w14:paraId="70C4C275" w14:textId="420F82CB" w:rsidR="00F343DA" w:rsidRPr="008B628A" w:rsidRDefault="00B40FE6" w:rsidP="00E106AD">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AS “Conexus Baltic Grid”</w:t>
      </w:r>
      <w:r w:rsidR="00F343DA" w:rsidRPr="008B628A">
        <w:rPr>
          <w:rFonts w:ascii="Times New Roman" w:hAnsi="Times New Roman" w:cs="Times New Roman"/>
          <w:color w:val="000000" w:themeColor="text1"/>
          <w:szCs w:val="24"/>
        </w:rPr>
        <w:t xml:space="preserve"> nodrošina ekspluatāciju Inčukalna pazemes gāzes krātuvei, pārvades gāzesvadu sistēmai 11</w:t>
      </w:r>
      <w:r w:rsidR="009D0465" w:rsidRPr="008B628A">
        <w:rPr>
          <w:rFonts w:ascii="Times New Roman" w:hAnsi="Times New Roman" w:cs="Times New Roman"/>
          <w:color w:val="000000" w:themeColor="text1"/>
          <w:szCs w:val="24"/>
        </w:rPr>
        <w:t>88</w:t>
      </w:r>
      <w:r w:rsidR="00C838E8" w:rsidRPr="008B628A">
        <w:rPr>
          <w:rFonts w:ascii="Times New Roman" w:hAnsi="Times New Roman" w:cs="Times New Roman"/>
          <w:color w:val="000000" w:themeColor="text1"/>
          <w:szCs w:val="24"/>
        </w:rPr>
        <w:t xml:space="preserve"> </w:t>
      </w:r>
      <w:r w:rsidR="00F343DA" w:rsidRPr="008B628A">
        <w:rPr>
          <w:rFonts w:ascii="Times New Roman" w:hAnsi="Times New Roman" w:cs="Times New Roman"/>
          <w:color w:val="000000" w:themeColor="text1"/>
          <w:szCs w:val="24"/>
        </w:rPr>
        <w:t>km garumā, savukārt AS “GASO” nodrošina ekspluatāciju sadales gāzesvadu sistēmai 4950 km garumā, kas ietver dabasgāzes cauruļvadu tīklu, gāzes regulēšanas iekārtas, elektroaizsardzības iekārtas.</w:t>
      </w:r>
    </w:p>
    <w:p w14:paraId="4764E961" w14:textId="77777777"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Dabasgāzes apgādes infrastruktūras būvniecība, kas sākusies 1962.gadā, ir notikusi teritorijās, kuras ir ekonomiski aktīvākas un kurās ir augstāks teritorijas attīstības līmenis. </w:t>
      </w:r>
    </w:p>
    <w:p w14:paraId="055A1737" w14:textId="77777777"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Latvijas pārvades dabasgāzes infrastruktūra iekļaujas Baltijas valstu dabasgāzes pārvades sistēmā. Esošā dabasgāzes pārrobežu pārvades sistēma dod iespēju saņemt dabasgāzi no Krievijas pa pārrobežu pārvades gāzesvadiem Valdaja - Pleskava - Rīga un Izborska - Inčukalna PGK. Dabasgāzes piegāde virzienā no Pleskavas līdz Rīgai tiek nodrošināta ar diviem paralēliem gāzesvadiem, starp kuriem ir savienojošās līnijas.</w:t>
      </w:r>
    </w:p>
    <w:p w14:paraId="6C395ED0" w14:textId="5AF012D4"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Dabasgāzes pārvades un sadales tīkls kopumā ir izkliedēts un to uzturēšana prasa attiecīgas izmaksas, kā arī modernizāciju atbilstoši drošības prasībām. Lai arī infrastruktūras uzturēšana prasa izmaksas, ir būtiski to saglabāt un nodrošināt pilnvērtīgu tās darbību paredzot iespējas nākotnē paplašināt sistēmas lietojumu, piemēram, izmantojot to attīrītas biogāzes pārvadei un attiecīgi veicinot gan </w:t>
      </w:r>
      <w:r w:rsidR="004C7936" w:rsidRPr="008B628A">
        <w:rPr>
          <w:rFonts w:ascii="Times New Roman" w:eastAsia="Calibri" w:hAnsi="Times New Roman" w:cs="Times New Roman"/>
          <w:szCs w:val="24"/>
        </w:rPr>
        <w:t>AER</w:t>
      </w:r>
      <w:r w:rsidR="004C7936" w:rsidRPr="008B628A">
        <w:rPr>
          <w:rFonts w:ascii="Times New Roman" w:hAnsi="Times New Roman" w:cs="Times New Roman"/>
          <w:color w:val="000000" w:themeColor="text1"/>
          <w:szCs w:val="24"/>
        </w:rPr>
        <w:t xml:space="preserve"> </w:t>
      </w:r>
      <w:r w:rsidRPr="008B628A">
        <w:rPr>
          <w:rFonts w:ascii="Times New Roman" w:hAnsi="Times New Roman" w:cs="Times New Roman"/>
          <w:color w:val="000000" w:themeColor="text1"/>
          <w:szCs w:val="24"/>
        </w:rPr>
        <w:t xml:space="preserve">izmantošanu, gan stiprinātu enerģētisko neatkarību. </w:t>
      </w:r>
    </w:p>
    <w:p w14:paraId="356B06C6" w14:textId="44699CB1" w:rsidR="00581156" w:rsidRPr="008B628A" w:rsidRDefault="00581156" w:rsidP="005F59CE">
      <w:pPr>
        <w:pStyle w:val="Heading3"/>
      </w:pPr>
      <w:bookmarkStart w:id="212" w:name="_Toc520978847"/>
      <w:bookmarkStart w:id="213" w:name="_Toc527529504"/>
      <w:r w:rsidRPr="008B628A">
        <w:t>Reģionālā sadarbība</w:t>
      </w:r>
      <w:bookmarkEnd w:id="212"/>
      <w:bookmarkEnd w:id="213"/>
      <w:r w:rsidRPr="008B628A">
        <w:t xml:space="preserve"> </w:t>
      </w:r>
    </w:p>
    <w:p w14:paraId="65EFA23C" w14:textId="468CEBCB" w:rsidR="00581156" w:rsidRDefault="00555ED7" w:rsidP="00555ED7">
      <w:pPr>
        <w:jc w:val="both"/>
        <w:rPr>
          <w:rFonts w:ascii="Times New Roman" w:hAnsi="Times New Roman" w:cs="Times New Roman"/>
        </w:rPr>
      </w:pPr>
      <w:r w:rsidRPr="008B628A">
        <w:rPr>
          <w:rFonts w:ascii="Times New Roman" w:hAnsi="Times New Roman" w:cs="Times New Roman"/>
        </w:rPr>
        <w:t>Būtiski nodrošināt sadarbību ne tikai ar Baltijas valstīm, bet arī veicināt pārrobežu projektu īstenošanu energoefektivitātes uzlabošanai arī ar citiem Eiropas sadarbības partneriem.</w:t>
      </w:r>
    </w:p>
    <w:p w14:paraId="273EB73E" w14:textId="4AA0024D" w:rsidR="005203D0" w:rsidRPr="008B628A" w:rsidRDefault="005203D0" w:rsidP="00555ED7">
      <w:pPr>
        <w:jc w:val="both"/>
        <w:rPr>
          <w:rFonts w:ascii="Times New Roman" w:hAnsi="Times New Roman" w:cs="Times New Roman"/>
        </w:rPr>
      </w:pPr>
      <w:r>
        <w:rPr>
          <w:rFonts w:ascii="Times New Roman" w:hAnsi="Times New Roman" w:cs="Times New Roman"/>
        </w:rPr>
        <w:t>Kā energoefektivitātes uzlabošanas pasākums ir minama nodokļu politika, kur iespējama reģionālā sadarbība / reģionālās konsultācijas attiecībā uz transporta nodokļu politiku</w:t>
      </w:r>
    </w:p>
    <w:p w14:paraId="2A7502CD" w14:textId="77777777" w:rsidR="00512D17" w:rsidRPr="008B628A" w:rsidRDefault="00512D17" w:rsidP="006F546A">
      <w:pPr>
        <w:spacing w:before="120" w:after="120" w:line="240" w:lineRule="auto"/>
        <w:rPr>
          <w:rFonts w:ascii="Times New Roman" w:hAnsi="Times New Roman" w:cs="Times New Roman"/>
        </w:rPr>
      </w:pPr>
    </w:p>
    <w:p w14:paraId="42AFE236" w14:textId="4DFA9230" w:rsidR="00581156" w:rsidRPr="008B628A" w:rsidRDefault="002C6E77" w:rsidP="00F97F8B">
      <w:pPr>
        <w:pStyle w:val="Heading2"/>
        <w:spacing w:before="120" w:after="120" w:line="240" w:lineRule="auto"/>
      </w:pPr>
      <w:bookmarkStart w:id="214" w:name="_Toc520978850"/>
      <w:bookmarkStart w:id="215" w:name="_Toc527529506"/>
      <w:bookmarkStart w:id="216" w:name="_Toc532910008"/>
      <w:r>
        <w:lastRenderedPageBreak/>
        <w:t>E</w:t>
      </w:r>
      <w:r w:rsidR="00581156" w:rsidRPr="008B628A">
        <w:t>nerģētiskā drošība</w:t>
      </w:r>
      <w:bookmarkEnd w:id="214"/>
      <w:bookmarkEnd w:id="215"/>
      <w:bookmarkEnd w:id="216"/>
      <w:r w:rsidR="00581156" w:rsidRPr="008B628A">
        <w:t xml:space="preserve"> </w:t>
      </w:r>
    </w:p>
    <w:p w14:paraId="62584ED4" w14:textId="36FE7E72" w:rsidR="00581156" w:rsidRPr="008B628A" w:rsidRDefault="006D1920" w:rsidP="00F97F8B">
      <w:pPr>
        <w:pStyle w:val="Heading3"/>
      </w:pPr>
      <w:bookmarkStart w:id="217" w:name="_Toc520978851"/>
      <w:bookmarkStart w:id="218" w:name="_Toc527529507"/>
      <w:r>
        <w:t>Elektroenerģijas un gāzes infrastruktūra</w:t>
      </w:r>
      <w:bookmarkEnd w:id="217"/>
      <w:bookmarkEnd w:id="218"/>
      <w:r w:rsidR="00581156" w:rsidRPr="008B628A">
        <w:t xml:space="preserve"> </w:t>
      </w:r>
    </w:p>
    <w:p w14:paraId="27135A24" w14:textId="77777777" w:rsidR="00FC5E6B" w:rsidRPr="008B628A" w:rsidRDefault="00FC5E6B" w:rsidP="00FC5E6B">
      <w:pPr>
        <w:spacing w:before="120" w:after="120" w:line="240" w:lineRule="auto"/>
        <w:jc w:val="both"/>
        <w:rPr>
          <w:rFonts w:ascii="Times New Roman" w:hAnsi="Times New Roman" w:cs="Times New Roman"/>
        </w:rPr>
      </w:pPr>
      <w:r w:rsidRPr="008B628A">
        <w:rPr>
          <w:rFonts w:ascii="Times New Roman" w:hAnsi="Times New Roman" w:cs="Times New Roman"/>
        </w:rPr>
        <w:t>Dabasgāzes piegāžu diversifikācijai Latvijā un visā Baltijas reģionā ir nepieciešams iesaistīt alternatīvus dabasgāzes piegādātājus tirgū. Baltijas reģiona gāzes apgādes drošuma uzlabošanai un efektīvā tirgus izveidei nepieciešams īstenot šādus projektus:</w:t>
      </w:r>
    </w:p>
    <w:p w14:paraId="2C75CBD4"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izbūvējot Lietuvas-Polijas dabasgāzes apgādes sistēmu starpsavienojumu (GIPL);</w:t>
      </w:r>
    </w:p>
    <w:p w14:paraId="3E19590F"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realizējot reģionālā SDG termināla projektu;</w:t>
      </w:r>
    </w:p>
    <w:p w14:paraId="6D7A7481"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izbūvējot Igaunijas-Somijas starpsavienojumu Balticconnector;</w:t>
      </w:r>
    </w:p>
    <w:p w14:paraId="0DD473D3"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modernizējot Inčukalna pazemes PGK;</w:t>
      </w:r>
    </w:p>
    <w:p w14:paraId="2A6C1BFA"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nodrošinot trešo pušu dabasgāzes piegādes reģionam ar esošās dabasgāzes apgādes infrastruktūras starpniecību (t.i., diversificējot dabasgāzes piegādes avotus, nevis ceļus).</w:t>
      </w:r>
    </w:p>
    <w:p w14:paraId="11428DBA" w14:textId="77777777" w:rsidR="00FF06DD" w:rsidRPr="008B628A" w:rsidRDefault="00FF06DD" w:rsidP="00FF06DD">
      <w:pPr>
        <w:spacing w:before="120" w:after="120" w:line="240" w:lineRule="auto"/>
        <w:jc w:val="both"/>
        <w:rPr>
          <w:rFonts w:ascii="Times New Roman" w:hAnsi="Times New Roman" w:cs="Times New Roman"/>
        </w:rPr>
      </w:pPr>
      <w:r w:rsidRPr="008B628A">
        <w:rPr>
          <w:rFonts w:ascii="Times New Roman" w:hAnsi="Times New Roman" w:cs="Times New Roman"/>
        </w:rPr>
        <w:t xml:space="preserve">Svarīga esošās infrastruktūras efektīva izmantošana, īpaši būtiska loma Latvijā ir Inčukalna pazemes gāzes krātuvei, kam ir jāturpina modernizācija ar mērķi palielināt krātuves elastīgumu, lai nodrošinātu tirgu ar tam nepieciešamajiem produktiem un krātuves darbības drošību. Svarīgi veikt ne tikai teorētisku izpēti, bet arī atbalstīt un nodrošināt investīciju piesaisti, lai veiktu teorētisko pētījumu praktisku ieviešanu un izbūvi. </w:t>
      </w:r>
    </w:p>
    <w:p w14:paraId="4143DF4E" w14:textId="77777777" w:rsidR="00FF06DD" w:rsidRPr="008B628A" w:rsidRDefault="00FF06DD" w:rsidP="00FF06DD">
      <w:pPr>
        <w:spacing w:before="120" w:after="120" w:line="240" w:lineRule="auto"/>
        <w:jc w:val="both"/>
        <w:rPr>
          <w:rFonts w:ascii="Times New Roman" w:hAnsi="Times New Roman" w:cs="Times New Roman"/>
        </w:rPr>
      </w:pPr>
      <w:r w:rsidRPr="008B628A">
        <w:rPr>
          <w:rFonts w:ascii="Times New Roman" w:hAnsi="Times New Roman" w:cs="Times New Roman"/>
        </w:rPr>
        <w:t>Būtiski ir uzturēt esošās dabasgāzes pārvades un sadales sistēmas drošību, līdz minimumam novērst avārijas riskus un nodrošināt drošu sistēmu ekspluatāciju. Nepieciešams veikt arī preventīvas darbības apgādes drošības risku mazināšanai, kā arī Inčukalna pazemes gāzes krātuves piepildījumu, lai pārvades sistēmā būtu iespējams nodrošināt pietiekamu dabasgāzes spiedienu un apgādāt dabasgāzes galalietotājus ar dabasgāzi, atbilstoši to pieprasījumam.</w:t>
      </w:r>
    </w:p>
    <w:p w14:paraId="62AE2D8C" w14:textId="19A4F614"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Būtiski turpināt iesāktos infrastruktūras un Inčukalna pazemes gāzes krātuves modernizāci</w:t>
      </w:r>
      <w:r w:rsidR="00C838E8" w:rsidRPr="008B628A">
        <w:rPr>
          <w:rFonts w:ascii="Times New Roman" w:hAnsi="Times New Roman" w:cs="Times New Roman"/>
        </w:rPr>
        <w:t>j</w:t>
      </w:r>
      <w:r w:rsidRPr="008B628A">
        <w:rPr>
          <w:rFonts w:ascii="Times New Roman" w:hAnsi="Times New Roman" w:cs="Times New Roman"/>
        </w:rPr>
        <w:t xml:space="preserve">as projektus, kas tieši un netieši sniegs būtisku ieguldījumu Latvijas un visas Baltijas valstu un Somijas enerģētiskajā drošībā, īpaši pēc  2020.gada, kad paredzēts pabeigt Reģionālā dabasgāzes tirgus izveidi. Reģionālo dabasgāzes tirgu veidos Baltijas valstis un Somija. </w:t>
      </w:r>
    </w:p>
    <w:p w14:paraId="51C19889" w14:textId="530172A3" w:rsidR="00F97F8B" w:rsidRPr="008B628A" w:rsidRDefault="00F97F8B" w:rsidP="00F97F8B">
      <w:pPr>
        <w:pStyle w:val="article-lead"/>
        <w:shd w:val="clear" w:color="auto" w:fill="FFFFFF"/>
        <w:spacing w:before="120" w:beforeAutospacing="0" w:after="120" w:afterAutospacing="0"/>
        <w:ind w:right="147"/>
        <w:jc w:val="both"/>
        <w:textAlignment w:val="baseline"/>
        <w:rPr>
          <w:rFonts w:eastAsiaTheme="minorHAnsi"/>
          <w:szCs w:val="22"/>
          <w:lang w:eastAsia="en-US"/>
        </w:rPr>
      </w:pPr>
      <w:r w:rsidRPr="008B628A">
        <w:rPr>
          <w:rFonts w:eastAsiaTheme="minorHAnsi"/>
          <w:szCs w:val="22"/>
          <w:lang w:eastAsia="en-US"/>
        </w:rPr>
        <w:t>Inčukalna pazemes gāzes krātuves modernizācijā septiņu gadu laikā no 2018.gada plāno ieguldīt 80 miljonus eiro, papildus pēdējo desmit gadu laikā Inčukalna pazemes gāzes krātuves modernizācijā ieguldīti apmēram 190 miljoni eiro, tostarp ES finansējums.</w:t>
      </w:r>
    </w:p>
    <w:p w14:paraId="4F1650FD" w14:textId="252CBC27"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Svarīgi ir turpināt attīstīt Latvijas – Lietuvas starpsavienojuma uzlabošanas projektu, kurš iekļauts </w:t>
      </w:r>
      <w:r w:rsidR="00445E35" w:rsidRPr="008B628A">
        <w:rPr>
          <w:rFonts w:ascii="Times New Roman" w:hAnsi="Times New Roman" w:cs="Times New Roman"/>
        </w:rPr>
        <w:t>EK</w:t>
      </w:r>
      <w:r w:rsidRPr="008B628A">
        <w:rPr>
          <w:rFonts w:ascii="Times New Roman" w:hAnsi="Times New Roman" w:cs="Times New Roman"/>
        </w:rPr>
        <w:t xml:space="preserve"> </w:t>
      </w:r>
      <w:r w:rsidR="00445E35" w:rsidRPr="008B628A">
        <w:rPr>
          <w:rFonts w:ascii="Times New Roman" w:hAnsi="Times New Roman" w:cs="Times New Roman"/>
        </w:rPr>
        <w:t xml:space="preserve">KIP </w:t>
      </w:r>
      <w:r w:rsidRPr="008B628A">
        <w:rPr>
          <w:rFonts w:ascii="Times New Roman" w:hAnsi="Times New Roman" w:cs="Times New Roman"/>
        </w:rPr>
        <w:t>sarakstā. Lai arī jau ir veikti vairāki teorētiski pētījumi, ir būtiski stimulēt projekta praktisku īstenošanu, kas Latvijai kalpotu par vērā ņemamu ieguvumu laikā, kas tiks pabeigts Polijas – Lietuvas gāzes starpsavienojuma projekts (GIPL). Latvijas-Lietuvas gāzes starpsavienojuma kapacitātes palielināšana, ļautu saņemt dabasgāzi no citiem potenciāliem avotiem Eiropā, pēc GIPL projekta īstenošanas  un ņemot vērā resursu pieejamību, nodrošinātu iespējas veikt esošās dabasgāzes pārvades un sadales sistēmas optimizāciju un Inčukalna pazemes gāzes krātuves efektīvu izmantošanu.</w:t>
      </w:r>
    </w:p>
    <w:p w14:paraId="262DE0CA" w14:textId="25CC638B"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Infrastruktūras ziņā vērā ņemams ir Somijas </w:t>
      </w:r>
      <w:r w:rsidR="00385733" w:rsidRPr="008B628A">
        <w:rPr>
          <w:rFonts w:ascii="Times New Roman" w:hAnsi="Times New Roman" w:cs="Times New Roman"/>
        </w:rPr>
        <w:t>–</w:t>
      </w:r>
      <w:r w:rsidRPr="008B628A">
        <w:rPr>
          <w:rFonts w:ascii="Times New Roman" w:hAnsi="Times New Roman" w:cs="Times New Roman"/>
        </w:rPr>
        <w:t xml:space="preserve"> Igaunijas starpsavienojuma (Balticconnector) projekts, kas palielinās arvien jaunas tirgus iespējas, kā arī</w:t>
      </w:r>
      <w:r w:rsidR="00C838E8" w:rsidRPr="008B628A">
        <w:rPr>
          <w:rFonts w:ascii="Times New Roman" w:hAnsi="Times New Roman" w:cs="Times New Roman"/>
        </w:rPr>
        <w:t xml:space="preserve"> </w:t>
      </w:r>
      <w:r w:rsidRPr="008B628A">
        <w:rPr>
          <w:rFonts w:ascii="Times New Roman" w:hAnsi="Times New Roman" w:cs="Times New Roman"/>
        </w:rPr>
        <w:t xml:space="preserve">sniegs iespēju Somijai pievienoties reģionālajam dabasgāzes tirgum pēc Balticconnector starpsavienojuma izbūves. Somijas vēlmi pievienoties reģionālajam tirgum apliecina tās iesaiste un darbs RGTKG. Balticconnector nodrošinās Somijas un Baltijas valstu dabasgāzes tirgus savstarpēju savienojamību, palielinās energodrošību, kā arī uzlabos tirgus likvīdumu. </w:t>
      </w:r>
    </w:p>
    <w:p w14:paraId="70D50423" w14:textId="20C6D346" w:rsidR="00581156"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projekts noris veiksmīgi, Somijas pusē ir gandrīz pilnībā pabeigta detalizēta projekta dizaina izstrāde, atjaunināts piekrastes cauruļvada maršruts ņemot vērā saņemtos priekšlikumus </w:t>
      </w:r>
      <w:r w:rsidRPr="008B628A">
        <w:rPr>
          <w:rFonts w:ascii="Times New Roman" w:hAnsi="Times New Roman" w:cs="Times New Roman"/>
        </w:rPr>
        <w:lastRenderedPageBreak/>
        <w:t>no zemes īpašniekiem, kā arī veiksmīgi īstenots zemes atsavināšanas process, kur tas nepieciešams.</w:t>
      </w:r>
    </w:p>
    <w:p w14:paraId="7242946B" w14:textId="55E86EC5" w:rsidR="00342637" w:rsidRDefault="005203D0" w:rsidP="00342637">
      <w:pPr>
        <w:spacing w:before="120" w:after="120" w:line="240" w:lineRule="auto"/>
        <w:jc w:val="both"/>
        <w:rPr>
          <w:rFonts w:ascii="Times New Roman" w:hAnsi="Times New Roman" w:cs="Times New Roman"/>
        </w:rPr>
      </w:pPr>
      <w:r>
        <w:rPr>
          <w:rFonts w:ascii="Times New Roman" w:hAnsi="Times New Roman" w:cs="Times New Roman"/>
        </w:rPr>
        <w:t xml:space="preserve">2016.gadā </w:t>
      </w:r>
      <w:r w:rsidR="00342637" w:rsidRPr="008B628A">
        <w:rPr>
          <w:rFonts w:ascii="Times New Roman" w:hAnsi="Times New Roman" w:cs="Times New Roman"/>
        </w:rPr>
        <w:t>Latvijas enerģētiskā atkarība no importējamiem energoresursiem mazinās – no 55,9 % 2013. gadā līdz 47,2 % 2016. gadā. Līdz ar to ir uzskatāms, ka Latvija savu mērķi 2020.gadam un 2030.gadam izpilda esošo rīcībpolitiku un pasākumu īstenošanā. Tāpēc papildus energoimporta samazināšanas mērķi Latvijā netiek uzstādīti</w:t>
      </w:r>
      <w:r w:rsidR="00D73200" w:rsidRPr="008B628A">
        <w:rPr>
          <w:rFonts w:ascii="Times New Roman" w:hAnsi="Times New Roman" w:cs="Times New Roman"/>
        </w:rPr>
        <w:t>.</w:t>
      </w:r>
    </w:p>
    <w:p w14:paraId="481D8E83" w14:textId="5AA4DA2D" w:rsidR="005203D0" w:rsidRPr="008B628A" w:rsidRDefault="005203D0" w:rsidP="00342637">
      <w:pPr>
        <w:spacing w:before="120" w:after="120" w:line="240" w:lineRule="auto"/>
        <w:jc w:val="both"/>
        <w:rPr>
          <w:rFonts w:ascii="Times New Roman" w:hAnsi="Times New Roman" w:cs="Times New Roman"/>
        </w:rPr>
      </w:pPr>
      <w:r>
        <w:rPr>
          <w:rFonts w:ascii="Times New Roman" w:hAnsi="Times New Roman" w:cs="Times New Roman"/>
        </w:rPr>
        <w:t>Enerģētiskās drošības kontekstā ir nepieciešams arī īstenot pasākumu un ņemt vērā arī enerģētikas sistēmu kiberdrošības a</w:t>
      </w:r>
      <w:r w:rsidR="00413A6B">
        <w:rPr>
          <w:rFonts w:ascii="Times New Roman" w:hAnsi="Times New Roman" w:cs="Times New Roman"/>
        </w:rPr>
        <w:t xml:space="preserve">spektus, jo tādi </w:t>
      </w:r>
      <w:r w:rsidR="00413A6B" w:rsidRPr="00413A6B">
        <w:rPr>
          <w:rFonts w:ascii="Times New Roman" w:hAnsi="Times New Roman" w:cs="Times New Roman"/>
        </w:rPr>
        <w:t>infrastruktūras objekti kā elektrostacijas, gāzes un naftas cauruļvadi, kā arī energotīkli tiek digitāli vadīti un ir pakļauti kiberuzbrukumu riskam</w:t>
      </w:r>
      <w:r w:rsidR="00413A6B">
        <w:rPr>
          <w:rFonts w:ascii="Times New Roman" w:hAnsi="Times New Roman" w:cs="Times New Roman"/>
        </w:rPr>
        <w:t>.</w:t>
      </w:r>
    </w:p>
    <w:p w14:paraId="370CACD9" w14:textId="1136C548" w:rsidR="00581156" w:rsidRPr="008B628A" w:rsidRDefault="00581156" w:rsidP="00F97F8B">
      <w:pPr>
        <w:pStyle w:val="Heading3"/>
      </w:pPr>
      <w:bookmarkStart w:id="219" w:name="_Toc520978852"/>
      <w:bookmarkStart w:id="220" w:name="_Toc527529508"/>
      <w:r w:rsidRPr="008B628A">
        <w:t>Reģionālā sadarbība</w:t>
      </w:r>
      <w:bookmarkEnd w:id="219"/>
      <w:bookmarkEnd w:id="220"/>
      <w:r w:rsidRPr="008B628A">
        <w:t xml:space="preserve"> </w:t>
      </w:r>
    </w:p>
    <w:p w14:paraId="7C4FDDAA" w14:textId="1930D22F" w:rsidR="00581156" w:rsidRPr="008B628A" w:rsidRDefault="006F546A" w:rsidP="00F97F8B">
      <w:pPr>
        <w:spacing w:before="120" w:after="120" w:line="240" w:lineRule="auto"/>
        <w:jc w:val="both"/>
        <w:rPr>
          <w:rFonts w:ascii="Times New Roman" w:hAnsi="Times New Roman" w:cs="Times New Roman"/>
        </w:rPr>
      </w:pPr>
      <w:r w:rsidRPr="008B628A">
        <w:rPr>
          <w:rFonts w:ascii="Times New Roman" w:hAnsi="Times New Roman" w:cs="Times New Roman"/>
        </w:rPr>
        <w:t>Reģionālais dabasgāzes tirgus pēc savas būtības paredz vienotu dabasgāzes pārvades ieejas-izejas sistēmu un balansēšanas zonu bez iekšējiem, komerciāliem starpsavienojuma punktiem Baltijas valstu un Somijas starpā.  Reģionālā gāzes tirgus izveide, kopumā ar paredzētajiem infrastruktūras attīstības projektiem veicinās Baltijas valstu un Somijas enerģētisko drošību, jo tiks nodrošināti jauni dabasgāzes piegādes ceļi, un piekļuve jaunām tirdzniecības platformām.</w:t>
      </w:r>
    </w:p>
    <w:p w14:paraId="00FC25B4" w14:textId="77777777" w:rsidR="00512D17" w:rsidRPr="008B628A" w:rsidRDefault="00512D17" w:rsidP="00F97F8B">
      <w:pPr>
        <w:spacing w:before="120" w:after="120" w:line="240" w:lineRule="auto"/>
        <w:jc w:val="both"/>
        <w:rPr>
          <w:rFonts w:ascii="Times New Roman" w:hAnsi="Times New Roman" w:cs="Times New Roman"/>
        </w:rPr>
      </w:pPr>
    </w:p>
    <w:p w14:paraId="6FAF83A9" w14:textId="50EE5CAC" w:rsidR="00581156" w:rsidRPr="008B628A" w:rsidRDefault="002C6E77" w:rsidP="006F546A">
      <w:pPr>
        <w:pStyle w:val="Heading2"/>
      </w:pPr>
      <w:bookmarkStart w:id="221" w:name="_Toc520978854"/>
      <w:bookmarkStart w:id="222" w:name="_Toc527529509"/>
      <w:bookmarkStart w:id="223" w:name="_Toc532910009"/>
      <w:r>
        <w:t>I</w:t>
      </w:r>
      <w:r w:rsidR="00581156" w:rsidRPr="008B628A">
        <w:t>ekšējais enerģijas tirgus</w:t>
      </w:r>
      <w:bookmarkEnd w:id="221"/>
      <w:bookmarkEnd w:id="222"/>
      <w:bookmarkEnd w:id="223"/>
      <w:r w:rsidR="00581156" w:rsidRPr="008B628A">
        <w:t xml:space="preserve"> </w:t>
      </w:r>
    </w:p>
    <w:p w14:paraId="3B5ACAFA" w14:textId="3CC3950D" w:rsidR="00581156" w:rsidRPr="008B628A" w:rsidRDefault="00581156" w:rsidP="005F59CE">
      <w:pPr>
        <w:pStyle w:val="Heading3"/>
      </w:pPr>
      <w:bookmarkStart w:id="224" w:name="_Toc520978855"/>
      <w:bookmarkStart w:id="225" w:name="_Toc527529510"/>
      <w:r w:rsidRPr="008B628A">
        <w:t>Elektroenerģijas infrastruktūra</w:t>
      </w:r>
      <w:bookmarkEnd w:id="224"/>
      <w:bookmarkEnd w:id="225"/>
      <w:r w:rsidRPr="008B628A">
        <w:t xml:space="preserve"> </w:t>
      </w:r>
    </w:p>
    <w:p w14:paraId="1F63798C" w14:textId="3D3F0F3F" w:rsidR="00342637" w:rsidRPr="008B628A" w:rsidRDefault="00342637" w:rsidP="00342637">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Saskaņā ar esošos situāciju Latvijas starpsavienojumu līmenis 2017.gadā sasniedz 80% (starpsavienojumu jauda pret Latvijā uzstādīto elektroenerģijas jaudu), tāpēc ir uzskatāms, ka Latvija ir jau sasniegusi noteikto starpsavienojumu mērķi un papildus mērķi netiek noteikti, kā arī netiek noteiktas papildus rīcībpolitikas un pasākumi šo mērķu sasniegšanai.</w:t>
      </w:r>
    </w:p>
    <w:p w14:paraId="4C810603" w14:textId="54108984" w:rsidR="00581156" w:rsidRPr="008B628A" w:rsidRDefault="00581156" w:rsidP="005F59CE">
      <w:pPr>
        <w:pStyle w:val="Heading3"/>
      </w:pPr>
      <w:bookmarkStart w:id="226" w:name="_Toc520978856"/>
      <w:bookmarkStart w:id="227" w:name="_Toc527529512"/>
      <w:r w:rsidRPr="008B628A">
        <w:t>Enerģijas pārvades infrastruktūra</w:t>
      </w:r>
      <w:bookmarkEnd w:id="226"/>
      <w:bookmarkEnd w:id="227"/>
      <w:r w:rsidRPr="008B628A">
        <w:t xml:space="preserve"> </w:t>
      </w:r>
    </w:p>
    <w:p w14:paraId="4B2A7826" w14:textId="69F2688D"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2018.gada 26.jūnijā EK, Lietuva, Igaunija, Latvija un Polija parakstīja politisko ceļvedi Baltijas valstu elektrotīklu sinhronizācijai ar kontinentālās Eiropas tīklu, kurā ir aprakstīta īstenošanas gaita un konkrēti izklāstīts, kādā veidā Baltijas valstu elektrosistēmas līdz 2025. gadam plānots sinhronizēt ar kontinentālās Eiropas tīklu. Ceļvedis paredz, ka pēc tam, kad 2018. gada septembrī no augsta līmeņa grupas BEMIP jautājumos tiks saņemt</w:t>
      </w:r>
      <w:r w:rsidR="004376E0" w:rsidRPr="008B628A">
        <w:rPr>
          <w:rFonts w:ascii="Times New Roman" w:hAnsi="Times New Roman" w:cs="Times New Roman"/>
        </w:rPr>
        <w:t xml:space="preserve">s apstiprinājums, </w:t>
      </w:r>
      <w:r w:rsidRPr="008B628A">
        <w:rPr>
          <w:rFonts w:ascii="Times New Roman" w:hAnsi="Times New Roman" w:cs="Times New Roman"/>
        </w:rPr>
        <w:t xml:space="preserve">Polijas un Baltijas valstu pārvades sistēmu operatori sāks oficiālu procedūru, ko pārraudzīs elektroenerģijas pārvades sistēmu operatoru Eiropas tīkls (ENTSO-E). Pateicoties nesen izveidotajām elektrolīnijām, Baltijas valstu reģions, kas agrāk bija enerģētiski izolēta teritorija, </w:t>
      </w:r>
      <w:r w:rsidR="00E41930">
        <w:rPr>
          <w:rFonts w:ascii="Times New Roman" w:hAnsi="Times New Roman" w:cs="Times New Roman"/>
        </w:rPr>
        <w:t xml:space="preserve">2018.gadā </w:t>
      </w:r>
      <w:r w:rsidRPr="008B628A">
        <w:rPr>
          <w:rFonts w:ascii="Times New Roman" w:hAnsi="Times New Roman" w:cs="Times New Roman"/>
        </w:rPr>
        <w:t xml:space="preserve">ir savienots ar Poliju (LitPol Link), Zviedriju (NordBalt) un Somiju (EstLink 1 un Estlink 2). Vēsturisku iemeslu dēļ Baltijas valstu elektrotīkls joprojām darbojas sinhronizēti ar Krievijas un Baltkrievijas sistēmām. Baltijas valstu elektrotīkla desinhronizācija ar šo valstu elektrosistēmām un sinhronizācija ar kontinentālās Eiropas tīklu ir ļoti nozīmīga EnS politiskā prioritāte. Attiecīgo tīkla elementu nostiprināšanas projekti ir iekļauti trešajā KIP sarakstā, ko EK pieņēma 2017. gada 23. novembrī. KIP sarakstā iekļautie projekti ir tiesīgi saņemt finansējumu arī no Eiropas infrastruktūras savienošanas instrumenta. </w:t>
      </w:r>
    </w:p>
    <w:p w14:paraId="37503208" w14:textId="73A2D25D"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14.septembrī BEMIP dalībvalstu augsta līmeņa darba grupa, kurā pārstāvētas Baltijas valstis, Polija un </w:t>
      </w:r>
      <w:r w:rsidR="00E94F3D" w:rsidRPr="008B628A">
        <w:rPr>
          <w:rFonts w:ascii="Times New Roman" w:hAnsi="Times New Roman" w:cs="Times New Roman"/>
        </w:rPr>
        <w:t>EK</w:t>
      </w:r>
      <w:r w:rsidRPr="008B628A">
        <w:rPr>
          <w:rFonts w:ascii="Times New Roman" w:hAnsi="Times New Roman" w:cs="Times New Roman"/>
        </w:rPr>
        <w:t xml:space="preserve">, apstiprināja Baltijas valstu un kontinentālās Eiropas elektrotīklu sinhronizācijas tehnisko scenāriju. Scenārijs paredz, ka sinhronizācijai tiks izmantots esošais Lietuvas un Polijas maiņstrāvas starpsavienojums “LitPol Link” un papildus kabelis jūrā starp Lietuvu un Poliju, kā arī sinhronie kompensatori visu Baltijas valstu hidroelektrostacijās. </w:t>
      </w:r>
    </w:p>
    <w:p w14:paraId="1A9C29C9" w14:textId="267DAC7B"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 xml:space="preserve">Polijas zinātnieki šādu scenāriju atzinuši par tehnoloģiski drošāko un ekonomiski izdevīgāko. Pieņemtais lēmums ļāva Latvijas, Lietuvas un Igaunijas pārvades sistēmu operatori iesniegt Eiropas Pārvades sistēmu asociācijai (ENTSO-E) kopīgu pieteikumu par kontinentālās Eiropas </w:t>
      </w:r>
      <w:r w:rsidRPr="008B628A">
        <w:rPr>
          <w:rFonts w:ascii="Times New Roman" w:hAnsi="Times New Roman" w:cs="Times New Roman"/>
        </w:rPr>
        <w:lastRenderedPageBreak/>
        <w:t xml:space="preserve">elektrosistēmas sinhronās zonas paplašināšanu, kā arī iesniegt kopīgu pieteikumu Eiropas infrastruktūras savienošanas instrumentam (CEF) sinhronizācijas projekta pirmā posma finansējuma saņemšanai 432 miljonu eiro apmērā, kur, paredzams, ka 75% līdzekļu piešķirs </w:t>
      </w:r>
      <w:r w:rsidR="00E94F3D" w:rsidRPr="008B628A">
        <w:rPr>
          <w:rFonts w:ascii="Times New Roman" w:hAnsi="Times New Roman" w:cs="Times New Roman"/>
        </w:rPr>
        <w:t>ES</w:t>
      </w:r>
      <w:r w:rsidRPr="008B628A">
        <w:rPr>
          <w:rFonts w:ascii="Times New Roman" w:hAnsi="Times New Roman" w:cs="Times New Roman"/>
        </w:rPr>
        <w:t>.</w:t>
      </w:r>
    </w:p>
    <w:p w14:paraId="0BDECBD5" w14:textId="77777777" w:rsidR="008E4C90" w:rsidRPr="008B628A" w:rsidRDefault="008E4C90" w:rsidP="008E4C90">
      <w:pPr>
        <w:pStyle w:val="Default"/>
        <w:spacing w:before="120" w:after="120"/>
        <w:jc w:val="center"/>
      </w:pPr>
      <w:r w:rsidRPr="008B628A">
        <w:rPr>
          <w:noProof/>
          <w:lang w:eastAsia="lv-LV"/>
        </w:rPr>
        <w:drawing>
          <wp:inline distT="0" distB="0" distL="0" distR="0" wp14:anchorId="5CFC8838" wp14:editId="5F02BF82">
            <wp:extent cx="4391796" cy="3615070"/>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026" cy="3621845"/>
                    </a:xfrm>
                    <a:prstGeom prst="rect">
                      <a:avLst/>
                    </a:prstGeom>
                    <a:noFill/>
                    <a:ln>
                      <a:noFill/>
                    </a:ln>
                  </pic:spPr>
                </pic:pic>
              </a:graphicData>
            </a:graphic>
          </wp:inline>
        </w:drawing>
      </w:r>
    </w:p>
    <w:p w14:paraId="7D3E602D" w14:textId="0EF86D72" w:rsidR="008E4C90" w:rsidRPr="008B628A" w:rsidRDefault="007B1147"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6067D4">
        <w:rPr>
          <w:noProof/>
        </w:rPr>
        <w:t>8</w:t>
      </w:r>
      <w:r w:rsidRPr="008B628A">
        <w:rPr>
          <w:noProof/>
        </w:rPr>
        <w:fldChar w:fldCharType="end"/>
      </w:r>
      <w:r w:rsidR="008E4C90" w:rsidRPr="008B628A">
        <w:t>.attēls. Baltijas valstu projekti, atbilstoši Baltijas valstu pārvades sistēmas operatoru plāniem</w:t>
      </w:r>
      <w:r w:rsidR="008E4C90" w:rsidRPr="008B628A">
        <w:rPr>
          <w:rStyle w:val="FootnoteReference"/>
        </w:rPr>
        <w:footnoteReference w:id="136"/>
      </w:r>
    </w:p>
    <w:p w14:paraId="21AE88BE" w14:textId="12393800" w:rsidR="008E4C90" w:rsidRPr="008B628A" w:rsidRDefault="008E4C90" w:rsidP="00A234C5">
      <w:pPr>
        <w:spacing w:before="120" w:after="120" w:line="240" w:lineRule="auto"/>
        <w:jc w:val="both"/>
        <w:rPr>
          <w:rFonts w:ascii="Times New Roman" w:hAnsi="Times New Roman" w:cs="Times New Roman"/>
        </w:rPr>
      </w:pPr>
      <w:r w:rsidRPr="008B628A">
        <w:rPr>
          <w:rFonts w:ascii="Times New Roman" w:hAnsi="Times New Roman" w:cs="Times New Roman"/>
        </w:rPr>
        <w:t>Saskaņā ar EnS stratēģiju energoapgādes drošība ir viena no prioritātēm, kuru Latvijai un daļēji arī visam Baltijas reģionam nodrošina IPGK. Modernizācijas projekti tiek veikti no vienīgā dabasgāzes uzglabāšanas operatora Latvijā finanšu līdzekļiem ar ES līdzfinansējumu. Krātuves modernizācija noris vairākās kārtās, gan veicot teorētisku izpēti, gan paredzot praktisku būvniecību. Modernizācijas projekta ietvaros tiks veikta urbumu un kompresoru rekonstrukcija un jauna savākšanas punkta celtniecība, aizstājot veco savākšanas punktu, kā rezultātā paaugstināsies krātuves drošība un dabasgāzes ieguves parametri pieaugs no 30 milj. m3 dienā līdz 32 milj. m3 jeb no aptuveni 314 000 MWh līdz 335 000 MWh dienā. IPGK reģionāli būtiskā loma un pētījuma izstrādātāji rekomendēja saglabāt projektam PCI</w:t>
      </w:r>
      <w:r w:rsidR="005A2B35">
        <w:rPr>
          <w:rFonts w:ascii="Times New Roman" w:hAnsi="Times New Roman" w:cs="Times New Roman"/>
        </w:rPr>
        <w:t xml:space="preserve"> (</w:t>
      </w:r>
      <w:r w:rsidR="005A2B35" w:rsidRPr="00F060A0">
        <w:rPr>
          <w:rFonts w:ascii="Times New Roman" w:hAnsi="Times New Roman" w:cs="Times New Roman"/>
          <w:i/>
        </w:rPr>
        <w:t>project of common interest</w:t>
      </w:r>
      <w:r w:rsidR="005A2B35">
        <w:rPr>
          <w:rFonts w:ascii="Times New Roman" w:hAnsi="Times New Roman" w:cs="Times New Roman"/>
        </w:rPr>
        <w:t>)</w:t>
      </w:r>
      <w:r w:rsidRPr="008B628A">
        <w:rPr>
          <w:rFonts w:ascii="Times New Roman" w:hAnsi="Times New Roman" w:cs="Times New Roman"/>
        </w:rPr>
        <w:t xml:space="preserve"> statusu, jo IPGK ir nozīmīga no dabasgāzes piegādes drošības, piegādes avotu dažādošanas un palielinātas tirgus konkurences viedokļa.</w:t>
      </w:r>
    </w:p>
    <w:p w14:paraId="2257AC61" w14:textId="77777777" w:rsidR="00FF06DD" w:rsidRPr="008B628A" w:rsidRDefault="00FF06DD" w:rsidP="00A234C5">
      <w:pPr>
        <w:spacing w:before="120" w:after="120" w:line="240" w:lineRule="auto"/>
        <w:jc w:val="both"/>
        <w:rPr>
          <w:rFonts w:ascii="Times New Roman" w:hAnsi="Times New Roman" w:cs="Times New Roman"/>
        </w:rPr>
      </w:pPr>
    </w:p>
    <w:p w14:paraId="09484B6A" w14:textId="77777777" w:rsidR="008E4C90" w:rsidRPr="008B628A" w:rsidRDefault="008E4C90" w:rsidP="008E4C90">
      <w:pPr>
        <w:pStyle w:val="Default"/>
        <w:spacing w:before="120" w:after="120"/>
        <w:jc w:val="center"/>
        <w:rPr>
          <w:color w:val="auto"/>
        </w:rPr>
      </w:pPr>
      <w:r w:rsidRPr="008B628A">
        <w:rPr>
          <w:noProof/>
          <w:color w:val="auto"/>
          <w:lang w:eastAsia="lv-LV"/>
        </w:rPr>
        <w:lastRenderedPageBreak/>
        <w:drawing>
          <wp:inline distT="0" distB="0" distL="0" distR="0" wp14:anchorId="52B4A39F" wp14:editId="76F5E679">
            <wp:extent cx="4303057" cy="3650076"/>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6261" cy="3652794"/>
                    </a:xfrm>
                    <a:prstGeom prst="rect">
                      <a:avLst/>
                    </a:prstGeom>
                    <a:noFill/>
                    <a:ln>
                      <a:noFill/>
                    </a:ln>
                  </pic:spPr>
                </pic:pic>
              </a:graphicData>
            </a:graphic>
          </wp:inline>
        </w:drawing>
      </w:r>
    </w:p>
    <w:p w14:paraId="3581E17F" w14:textId="0FD04366" w:rsidR="008E4C90" w:rsidRPr="008B628A" w:rsidRDefault="007B1147"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6067D4">
        <w:rPr>
          <w:noProof/>
        </w:rPr>
        <w:t>9</w:t>
      </w:r>
      <w:r w:rsidRPr="008B628A">
        <w:rPr>
          <w:noProof/>
        </w:rPr>
        <w:fldChar w:fldCharType="end"/>
      </w:r>
      <w:r w:rsidR="008E4C90" w:rsidRPr="008B628A">
        <w:t>.attēls. Plānotie dabasgāzes infrastruktūras projekti Baltijā</w:t>
      </w:r>
      <w:r w:rsidR="008E4C90" w:rsidRPr="008B628A">
        <w:rPr>
          <w:rStyle w:val="FootnoteReference"/>
        </w:rPr>
        <w:footnoteReference w:id="137"/>
      </w:r>
    </w:p>
    <w:p w14:paraId="60787C60" w14:textId="77777777" w:rsidR="008E4C90" w:rsidRPr="008B628A" w:rsidRDefault="008E4C90" w:rsidP="00A234C5">
      <w:pPr>
        <w:spacing w:before="120" w:after="120" w:line="240" w:lineRule="auto"/>
        <w:jc w:val="both"/>
        <w:rPr>
          <w:rFonts w:ascii="Times New Roman" w:hAnsi="Times New Roman" w:cs="Times New Roman"/>
          <w:b/>
        </w:rPr>
      </w:pPr>
    </w:p>
    <w:p w14:paraId="3B3DF49D" w14:textId="77777777" w:rsidR="0016746F" w:rsidRPr="008B628A" w:rsidRDefault="0016746F" w:rsidP="00A234C5">
      <w:pPr>
        <w:spacing w:before="120" w:after="120" w:line="240" w:lineRule="auto"/>
        <w:jc w:val="both"/>
        <w:rPr>
          <w:rFonts w:ascii="Times New Roman" w:hAnsi="Times New Roman" w:cs="Times New Roman"/>
        </w:rPr>
      </w:pPr>
    </w:p>
    <w:p w14:paraId="37BAAF18" w14:textId="3C958203" w:rsidR="00581156" w:rsidRPr="008B628A" w:rsidRDefault="00581156" w:rsidP="005F59CE">
      <w:pPr>
        <w:pStyle w:val="Heading3"/>
      </w:pPr>
      <w:bookmarkStart w:id="228" w:name="_Toc520978857"/>
      <w:bookmarkStart w:id="229" w:name="_Toc527529514"/>
      <w:r w:rsidRPr="008B628A">
        <w:t>Tirgus integrācija</w:t>
      </w:r>
      <w:bookmarkEnd w:id="228"/>
      <w:bookmarkEnd w:id="229"/>
      <w:r w:rsidRPr="008B628A">
        <w:t xml:space="preserve"> </w:t>
      </w:r>
    </w:p>
    <w:p w14:paraId="5DB74611" w14:textId="79CBF8B2" w:rsidR="00E23B5E" w:rsidRPr="008B628A" w:rsidRDefault="00E23B5E" w:rsidP="00863FD7">
      <w:pPr>
        <w:pStyle w:val="Heading4"/>
      </w:pPr>
      <w:bookmarkStart w:id="230" w:name="_Ref518574761"/>
      <w:bookmarkStart w:id="231" w:name="_Toc527529515"/>
      <w:r w:rsidRPr="008B628A">
        <w:t>Rīcībpolitikas un pasākumi</w:t>
      </w:r>
      <w:bookmarkEnd w:id="230"/>
      <w:bookmarkEnd w:id="231"/>
    </w:p>
    <w:p w14:paraId="7E66ABA6" w14:textId="77777777" w:rsidR="006D1920" w:rsidRPr="0017515F" w:rsidRDefault="006D1920" w:rsidP="006D1920">
      <w:pPr>
        <w:spacing w:before="120" w:after="120" w:line="240" w:lineRule="auto"/>
        <w:jc w:val="both"/>
        <w:rPr>
          <w:rFonts w:ascii="Times New Roman" w:hAnsi="Times New Roman" w:cs="Times New Roman"/>
        </w:rPr>
      </w:pPr>
      <w:r w:rsidRPr="002E7CEC">
        <w:rPr>
          <w:rFonts w:ascii="Times New Roman" w:hAnsi="Times New Roman" w:cs="Times New Roman"/>
        </w:rPr>
        <w:t xml:space="preserve">Šobrīd svarīgākais pasākums tirgus integrācijai ir Baltijas valstu elektrotīklu sinhronizācija ar Eiropas elektrotīkliem. </w:t>
      </w:r>
      <w:r w:rsidRPr="00DE00CC">
        <w:rPr>
          <w:rFonts w:ascii="Times New Roman" w:hAnsi="Times New Roman" w:cs="Times New Roman"/>
        </w:rPr>
        <w:t>2018.gada 19.septembrī Baltijas pārvades sistēmas operatori iesniedza oficiālo vēstuli Polijas pārvades sistēmas operatoram ar lūgumu vērsties pie ENTSO-E kontinentālās Eiropas reģionālās grupas ar pieteikumu paplašināt kontinentālās Eiropas sinhrono zonu ar Baltijas valstīm. 2018.gada 21.septembrī Polijas PSO iesniedza minēto pieteikumu ENTSO-E Centrāleiropas reģionālai grupai. 2018.gada 9.oktobrī notika reģionālās grupas sanāksme, kur</w:t>
      </w:r>
      <w:r w:rsidRPr="002E7CEC">
        <w:rPr>
          <w:rFonts w:ascii="Times New Roman" w:hAnsi="Times New Roman" w:cs="Times New Roman"/>
        </w:rPr>
        <w:t>as ietvaros notika diskusijas par šo pieteikumu. Sanāksmes laikā tika izveidota Baltijas projekta darba grupa, kura strādās pie  tehniskajiem jautājumiem turpmākajā sinhronizācijas projekta virzības procesā. Nākamā Centrāleiropas reģionālās grupas sanāksme notiks 2018.gada decembra sākumā, tās ietvaros plānots saņemt mandātu, lai Baltijas projekta darba grupa var sākt sagatavot pievienošanās līgumu (Connection Agreement) par Baltijas valstu elektrotīklu sinhronizāciju ar kontinentālās Eiropas elektrotīkliem, kas ietvers gan tiesiskos, gan tehniskos aspektus. Līguma sagatavošanai būs</w:t>
      </w:r>
      <w:r>
        <w:rPr>
          <w:rFonts w:ascii="Times New Roman" w:hAnsi="Times New Roman" w:cs="Times New Roman"/>
        </w:rPr>
        <w:t xml:space="preserve"> nepieciešamo aptuveni 6 mēneši, tādējādi līgums varētu tikt parakstīts 2019.gada vasarā. Sinhronizācijas projektu plānots realizēt līdz 2025.gadam.Vienlaikus būtiska ir jau iepriekšējā nodaļā minēto gāzes un elektrības starpsavienojumu  realizācija. </w:t>
      </w:r>
    </w:p>
    <w:p w14:paraId="5B07EF10" w14:textId="538B9685" w:rsidR="00E23B5E" w:rsidRPr="008B628A" w:rsidRDefault="00E23B5E" w:rsidP="00863FD7">
      <w:pPr>
        <w:pStyle w:val="Heading4"/>
      </w:pPr>
      <w:bookmarkStart w:id="232" w:name="_Ref518574764"/>
      <w:bookmarkStart w:id="233" w:name="_Toc527529516"/>
      <w:r w:rsidRPr="008B628A">
        <w:t>Pasākumi, lai palielinātu energosistēmas elastību</w:t>
      </w:r>
      <w:bookmarkEnd w:id="232"/>
      <w:bookmarkEnd w:id="233"/>
    </w:p>
    <w:p w14:paraId="58F75DA6" w14:textId="77777777" w:rsidR="006D1920" w:rsidRPr="00E97BC4"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 xml:space="preserve">2019.gadā Ekonomikas ministrija izstrādās regulējumu agregatoru darbībai elektroenerģijas tirgū. </w:t>
      </w:r>
      <w:r w:rsidRPr="00E97BC4">
        <w:rPr>
          <w:rFonts w:ascii="Times New Roman" w:hAnsi="Times New Roman" w:cs="Times New Roman"/>
        </w:rPr>
        <w:t xml:space="preserve">Agregators ir tirgus dalībnieks, kas summē vairāku klientu nepatērēto jaudu vai saražoto elektroenerģiju pārdošanai, iepirkumiem, izsolei vai jebkādam regulētam elektroenerģijas tirgum. </w:t>
      </w:r>
      <w:r w:rsidRPr="00E97BC4">
        <w:rPr>
          <w:rFonts w:ascii="Times New Roman" w:hAnsi="Times New Roman" w:cs="Times New Roman"/>
        </w:rPr>
        <w:lastRenderedPageBreak/>
        <w:t>Agregators var apvienot elektroenerģijas patēriņa samazinājumu/pieaugumu, elektroenerģijas  ražošanas samazinājumu/pieaugumu vai kombinēt abu šo procesu gaitā radušos elektroenerģiju. Izšķir neatkarīgu agregatoru jeb tādu, kurš nav piesaistīts nevienam elektroenerģijas tirgotājam vai citam tirgus dalībniekam, un tirgotājam piesaistītu agregatoru. Neatkarīga agregatora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w:t>
      </w:r>
    </w:p>
    <w:p w14:paraId="24D089BD" w14:textId="77777777" w:rsidR="006D1920" w:rsidRDefault="006D1920" w:rsidP="006D1920">
      <w:pPr>
        <w:spacing w:before="120" w:after="120" w:line="240" w:lineRule="auto"/>
        <w:jc w:val="both"/>
        <w:rPr>
          <w:rFonts w:ascii="Times New Roman" w:hAnsi="Times New Roman" w:cs="Times New Roman"/>
        </w:rPr>
      </w:pPr>
      <w:r w:rsidRPr="00E97BC4">
        <w:rPr>
          <w:rFonts w:ascii="Times New Roman" w:hAnsi="Times New Roman" w:cs="Times New Roman"/>
        </w:rPr>
        <w:t>Atkarībā no tirgus regulējuma, agregatoram var pieprasīt būt balansa atbildīgam vai arī tas var būt tikai pakalpojuma sniedzējs, kas nodrošina fiksētas elektroenerģijas piegādes.</w:t>
      </w:r>
    </w:p>
    <w:p w14:paraId="6F40E8BB" w14:textId="77777777" w:rsidR="006D1920"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Ministrija radīs risinājumu par piemērotāko agregatoru darbības modeli un iestrādās to nacionālajā regulējumā.</w:t>
      </w:r>
    </w:p>
    <w:p w14:paraId="282D3C4E" w14:textId="77777777" w:rsidR="006D1920" w:rsidRPr="0017515F"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 xml:space="preserve">Attiecībā uz 2022.gada viedo skaitītāju nomaiņas mērķis – lai to sasniegtu </w:t>
      </w:r>
      <w:r w:rsidRPr="00E51B59">
        <w:rPr>
          <w:rFonts w:ascii="Times New Roman" w:hAnsi="Times New Roman" w:cs="Times New Roman"/>
        </w:rPr>
        <w:t xml:space="preserve">gadā vidēji </w:t>
      </w:r>
      <w:r>
        <w:rPr>
          <w:rFonts w:ascii="Times New Roman" w:hAnsi="Times New Roman" w:cs="Times New Roman"/>
        </w:rPr>
        <w:t xml:space="preserve">tiek nomainīti vairāk </w:t>
      </w:r>
      <w:r w:rsidRPr="00E51B59">
        <w:rPr>
          <w:rFonts w:ascii="Times New Roman" w:hAnsi="Times New Roman" w:cs="Times New Roman"/>
        </w:rPr>
        <w:t>nekā 110 tūkstošus skaitītāju. 2018. gada septembrī bija uzstādīti aptuveni 500 tūkstoši viedo skaitītāju jeb 47% no kopējā AS “Sadales tīkls” klientu elektroenerģijas skaitītāju skaita. 2017.gada beigās tika aprēķināts, ka uzstādītie viedie skaitītāji jau uzskaita 78 % no visu klientu patērētās elektroenerģijas.</w:t>
      </w:r>
    </w:p>
    <w:p w14:paraId="32625F9F" w14:textId="77777777" w:rsidR="00355B22" w:rsidRPr="008B628A" w:rsidRDefault="00355B22" w:rsidP="00355B22">
      <w:pPr>
        <w:pStyle w:val="Heading4"/>
      </w:pPr>
      <w:r w:rsidRPr="008B628A">
        <w:t>Pasākumi, lai nodrošinātu AE nediskriminējošu integrēšanu, pieprasījuma reakciju un akumulēšanu</w:t>
      </w:r>
    </w:p>
    <w:p w14:paraId="424A74AB" w14:textId="6C710C99" w:rsidR="00355B22" w:rsidRPr="008B628A" w:rsidRDefault="00355B22" w:rsidP="00355B22">
      <w:pPr>
        <w:spacing w:before="120" w:after="120" w:line="240" w:lineRule="auto"/>
        <w:jc w:val="both"/>
        <w:rPr>
          <w:rFonts w:ascii="Times New Roman" w:hAnsi="Times New Roman" w:cs="Times New Roman"/>
        </w:rPr>
      </w:pPr>
      <w:r w:rsidRPr="008B628A">
        <w:rPr>
          <w:rFonts w:ascii="Times New Roman" w:hAnsi="Times New Roman" w:cs="Times New Roman"/>
        </w:rPr>
        <w:t>Šobrīd nav noteikti ierobežojumi kādas AE tehnoloģijas ieviešanai un izmantošanai Latvijas teritorijā. Ministru kabineta 2013.gada 30.aprīļa noteikumos Nr.240 “Vispārīgie teritorijas plānošanas, izmantošanas un apbūves noteikumi” ir iekļauti nosacījumi, kas jāņem vērā veidojot transporta infrastruktūru, izveidojot vēja parku</w:t>
      </w:r>
      <w:r w:rsidR="00293455" w:rsidRPr="008B628A">
        <w:rPr>
          <w:rFonts w:ascii="Times New Roman" w:hAnsi="Times New Roman" w:cs="Times New Roman"/>
        </w:rPr>
        <w:t>.</w:t>
      </w:r>
    </w:p>
    <w:p w14:paraId="5AC84A8B" w14:textId="2D143968" w:rsidR="00E23B5E" w:rsidRPr="008B628A" w:rsidRDefault="00E23B5E" w:rsidP="00863FD7">
      <w:pPr>
        <w:pStyle w:val="Heading4"/>
      </w:pPr>
      <w:bookmarkStart w:id="234" w:name="_Ref518574770"/>
      <w:bookmarkStart w:id="235" w:name="_Toc527529518"/>
      <w:r w:rsidRPr="008B628A">
        <w:t>Rīcībpolitikas un pasākumi patērētāju aizsardzībai</w:t>
      </w:r>
      <w:bookmarkEnd w:id="234"/>
      <w:bookmarkEnd w:id="235"/>
    </w:p>
    <w:p w14:paraId="6C47F3EA" w14:textId="77777777" w:rsidR="006D1920" w:rsidRPr="007A065F" w:rsidRDefault="006D1920" w:rsidP="006D1920">
      <w:pPr>
        <w:spacing w:before="120" w:after="120" w:line="240" w:lineRule="auto"/>
        <w:jc w:val="both"/>
        <w:rPr>
          <w:rFonts w:ascii="Times New Roman" w:hAnsi="Times New Roman" w:cs="Times New Roman"/>
          <w:color w:val="000000" w:themeColor="text1"/>
        </w:rPr>
      </w:pPr>
      <w:bookmarkStart w:id="236" w:name="_Ref518574782"/>
      <w:bookmarkStart w:id="237" w:name="_Toc527529519"/>
      <w:r w:rsidRPr="007A065F">
        <w:rPr>
          <w:rFonts w:ascii="Times New Roman" w:hAnsi="Times New Roman" w:cs="Times New Roman"/>
          <w:color w:val="000000" w:themeColor="text1"/>
        </w:rPr>
        <w:t xml:space="preserve">Atbilstoši pašreizējam Elektroenerģijas tirgus likuma 33.prim pantam, aizsargātā lietotāja tirdzniecības pakalpojumu var sniegt tikai viens konkursa kārtībā izvēlēts elektroenerģijas tirgotājs jeb pakalpojuma sniedzējs, kura pārziņā ir arī aizsargātā lietotāja statusa atbilstības izvērtējums, attiecinot kompensāciju rēķinos par elektroenerģiju. </w:t>
      </w:r>
    </w:p>
    <w:p w14:paraId="1F6544A8" w14:textId="37F65C4F" w:rsidR="006D1920" w:rsidRPr="007A065F" w:rsidRDefault="006D1920" w:rsidP="006D1920">
      <w:pPr>
        <w:spacing w:before="120" w:after="120" w:line="240" w:lineRule="auto"/>
        <w:jc w:val="both"/>
        <w:rPr>
          <w:rFonts w:ascii="Times New Roman" w:hAnsi="Times New Roman" w:cs="Times New Roman"/>
          <w:color w:val="000000" w:themeColor="text1"/>
        </w:rPr>
      </w:pPr>
      <w:r w:rsidRPr="007A065F">
        <w:rPr>
          <w:rFonts w:ascii="Times New Roman" w:hAnsi="Times New Roman" w:cs="Times New Roman"/>
          <w:color w:val="000000" w:themeColor="text1"/>
        </w:rPr>
        <w:t xml:space="preserve">Ņemot vērā Elektroenerģijas tirgus likuma pašreizējo ietvaru, ir apgrūtināta aizsargātā lietotāja kompensācijas saņemšana tiem lietotājiem vai apakšlietotājiem, kam nav noslēgts līgums par elektroenerģijas tirdzniecību ar aizsargātā lietotāja tirdzniecības pakalpojuma sniedzēju (līdz šim -  AS “Latvenergo”). Tāpēc aizsargātā lietotāja mehānisms kā sociāls rīks nesasniedz visas aizsargātajam lietotājam atbilstošās personas, kā arī savā veidā ierobežo konkurenci starp elektroenerģijas tirgotājiem. Ekonomikas ministrija vēlas izveidot jaunu, vienkāršotāku sistēmu aizsargātā lietotāja atbalsta nodrošināšanai, kuras pārzinis un uzturētājs būs Būvniecības valsts kontroles birojs. Proti, </w:t>
      </w:r>
      <w:r>
        <w:rPr>
          <w:rFonts w:ascii="Times New Roman" w:hAnsi="Times New Roman" w:cs="Times New Roman"/>
          <w:color w:val="000000" w:themeColor="text1"/>
        </w:rPr>
        <w:t>biroja</w:t>
      </w:r>
      <w:r w:rsidRPr="007A065F">
        <w:rPr>
          <w:rFonts w:ascii="Times New Roman" w:hAnsi="Times New Roman" w:cs="Times New Roman"/>
          <w:color w:val="000000" w:themeColor="text1"/>
        </w:rPr>
        <w:t xml:space="preserve"> pārziņā esošā datu sistēma apkopos datus par aizsargātā lietotāja satusam atbilstošajām personām un pienākošos atbalsta summu, kuru tie varēs saņemt no jebkura elektroenerģijas tirgotāja, kas vēlas sniegt aizsargātā lietotāja tirdzniecības pakalpojumu.</w:t>
      </w:r>
    </w:p>
    <w:p w14:paraId="50E098E0" w14:textId="034A09BA" w:rsidR="00E23B5E" w:rsidRPr="008B628A" w:rsidRDefault="00E23B5E" w:rsidP="00293455">
      <w:pPr>
        <w:pStyle w:val="Heading4"/>
      </w:pPr>
      <w:r w:rsidRPr="008B628A">
        <w:t>Pieprasījumreakcijas</w:t>
      </w:r>
      <w:r w:rsidR="00355B22" w:rsidRPr="008B628A">
        <w:t xml:space="preserve"> iespējošanas un pilnveidošanas</w:t>
      </w:r>
      <w:r w:rsidRPr="008B628A">
        <w:t xml:space="preserve"> pasākumi</w:t>
      </w:r>
      <w:bookmarkEnd w:id="236"/>
      <w:bookmarkEnd w:id="237"/>
    </w:p>
    <w:p w14:paraId="6F13FA2A" w14:textId="0949CD9D" w:rsidR="00293455" w:rsidRPr="008B628A" w:rsidRDefault="00AF5F99" w:rsidP="00293455">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2017.gadā reaģējot uz elektroenerģijas tirgus attīstības tendencēm, kā arī plānotajām izmaiņām </w:t>
      </w:r>
      <w:r w:rsidR="00E94F3D" w:rsidRPr="008B628A">
        <w:rPr>
          <w:rFonts w:ascii="Times New Roman" w:eastAsia="Times New Roman" w:hAnsi="Times New Roman" w:cs="Times New Roman"/>
          <w:szCs w:val="24"/>
          <w:lang w:eastAsia="lv-LV"/>
        </w:rPr>
        <w:t xml:space="preserve">ES </w:t>
      </w:r>
      <w:r w:rsidRPr="008B628A">
        <w:rPr>
          <w:rFonts w:ascii="Times New Roman" w:eastAsia="Times New Roman" w:hAnsi="Times New Roman" w:cs="Times New Roman"/>
          <w:szCs w:val="24"/>
          <w:lang w:eastAsia="lv-LV"/>
        </w:rPr>
        <w:t xml:space="preserve"> tiesību aktos, Baltijas valstu un Somijas pārvades sistēmas operatori Litgrid AB, Elering AS un </w:t>
      </w:r>
      <w:r w:rsidRPr="008B628A">
        <w:rPr>
          <w:rFonts w:ascii="Times New Roman" w:eastAsia="Times New Roman" w:hAnsi="Times New Roman" w:cs="Times New Roman"/>
          <w:szCs w:val="24"/>
          <w:lang w:eastAsia="lv-LV"/>
        </w:rPr>
        <w:lastRenderedPageBreak/>
        <w:t>AS “Augstsprieguma tīkls” organizēja darba grupu, kuras mērķis bija izstrādāt konceptuālo piedāvājumu vienota Baltijas valstu tirgus ietvara izveidei patēriņa reakcijas pakalpojumu ieviešanai balansēšanas tirgū ar agregācijas starpniecību (</w:t>
      </w:r>
      <w:r w:rsidRPr="006D1920">
        <w:rPr>
          <w:rFonts w:ascii="Times New Roman" w:eastAsia="Times New Roman" w:hAnsi="Times New Roman" w:cs="Times New Roman"/>
          <w:i/>
          <w:szCs w:val="24"/>
          <w:lang w:eastAsia="lv-LV"/>
        </w:rPr>
        <w:t>Demand Response through Aggregation – a Harmonized Approach in the Baltic Region</w:t>
      </w:r>
      <w:r w:rsidRPr="008B628A">
        <w:rPr>
          <w:rFonts w:ascii="Times New Roman" w:eastAsia="Times New Roman" w:hAnsi="Times New Roman" w:cs="Times New Roman"/>
          <w:szCs w:val="24"/>
          <w:lang w:eastAsia="lv-LV"/>
        </w:rPr>
        <w:t>).</w:t>
      </w:r>
    </w:p>
    <w:p w14:paraId="1963929D" w14:textId="488D481A" w:rsidR="00AF5F99" w:rsidRPr="008B628A" w:rsidRDefault="00AF5F99" w:rsidP="00293455">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Galvenie šīs darba grupas secinājumi bija:</w:t>
      </w:r>
    </w:p>
    <w:p w14:paraId="1D18BB9F" w14:textId="25DCE5EB"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Sagaidāmo ģenerācijas strukturālo izmaiņu dēļ nepieciešams veicināt patēriņa reakcijas pakalpojumu izaugsmi, izveidojot atbilstošu tirgus ietvaru gan integrētu, gan neatkarīgu agregatoru iesaistei;</w:t>
      </w:r>
    </w:p>
    <w:p w14:paraId="0825CBEA" w14:textId="77777777"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textAlignment w:val="baseline"/>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Lai nodrošinātu efektīvu patēriņa reakcijas tirgus integrāciju Eiropas mēroga tirgū, Baltijas valstīm nepieciešams izstrādāt vienotu tirgus ietvaru patēriņa reakcijas pakalpojumu iekļaušanai balansēšanas tirgū;</w:t>
      </w:r>
    </w:p>
    <w:p w14:paraId="58E28659" w14:textId="06B3AFF6"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textAlignment w:val="baseline"/>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Izvēlētajam tirgus ietvaram jānodrošina, ka:</w:t>
      </w:r>
    </w:p>
    <w:p w14:paraId="0548D808"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visi tirgus dalībnieki, kas ir tehniski spējīgi piedalīties patēriņa reakcijas produktu tirgū, to var izdarīt;</w:t>
      </w:r>
    </w:p>
    <w:p w14:paraId="56945A43"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ietvars neveicina tirgu kropļojošas regulācijas un nerada negatīvu spiedienu uz mazumtirgus elektroenerģijas cenām;</w:t>
      </w:r>
    </w:p>
    <w:p w14:paraId="14578E64"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visi tirgus dalībnieki ir atbildīgi par sevis radīto nebalansu;</w:t>
      </w:r>
    </w:p>
    <w:p w14:paraId="7DFE41D4" w14:textId="3F0C778D" w:rsidR="00AF5F99"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aktivētās patēriņa reakcijas apjoma noteikšanai tiek piemērots pārskatāms un regulēts mehānisms.</w:t>
      </w:r>
    </w:p>
    <w:p w14:paraId="7EEC19E1" w14:textId="77777777" w:rsidR="006D1920" w:rsidRPr="006D1920" w:rsidRDefault="006D1920" w:rsidP="006D1920">
      <w:pPr>
        <w:spacing w:before="120" w:after="120" w:line="240" w:lineRule="auto"/>
        <w:rPr>
          <w:rFonts w:ascii="Times New Roman" w:hAnsi="Times New Roman" w:cs="Times New Roman"/>
        </w:rPr>
      </w:pPr>
      <w:r w:rsidRPr="006D1920">
        <w:rPr>
          <w:rFonts w:ascii="Times New Roman" w:hAnsi="Times New Roman" w:cs="Times New Roman"/>
        </w:rPr>
        <w:t>Šobrīd galvenais uzdevums ir izstrādāt labi funkcionējošu tiesisko ietvaru pieprasījuma reakcijas pakalpojuma realizēšanai.</w:t>
      </w:r>
    </w:p>
    <w:p w14:paraId="07FEC2EB" w14:textId="7289E6AB" w:rsidR="00581156" w:rsidRPr="008B628A" w:rsidRDefault="00581156" w:rsidP="005F59CE">
      <w:pPr>
        <w:pStyle w:val="Heading3"/>
      </w:pPr>
      <w:bookmarkStart w:id="238" w:name="_Toc520978858"/>
      <w:bookmarkStart w:id="239" w:name="_Toc527529520"/>
      <w:r w:rsidRPr="008B628A">
        <w:t>Enerģētiskā nabadzība</w:t>
      </w:r>
      <w:bookmarkEnd w:id="238"/>
      <w:bookmarkEnd w:id="239"/>
      <w:r w:rsidRPr="008B628A">
        <w:t xml:space="preserve"> </w:t>
      </w:r>
    </w:p>
    <w:p w14:paraId="54EF7C1E" w14:textId="0A942337" w:rsidR="00FD7BDD" w:rsidRPr="008B628A" w:rsidRDefault="004658C9" w:rsidP="0093145C">
      <w:pPr>
        <w:pStyle w:val="Default"/>
        <w:spacing w:before="120" w:after="120"/>
        <w:jc w:val="both"/>
        <w:rPr>
          <w:color w:val="auto"/>
        </w:rPr>
      </w:pPr>
      <w:r w:rsidRPr="008B628A">
        <w:rPr>
          <w:color w:val="auto"/>
        </w:rPr>
        <w:t>Lai nodrošinātu enerģētiskās nabadzības rādītāju un enerģētiskai nabadzībai pakļauto mājsaimniecību un iedzīvotāju skaita samazinājumu</w:t>
      </w:r>
      <w:r w:rsidR="00FD7BDD" w:rsidRPr="008B628A">
        <w:rPr>
          <w:color w:val="auto"/>
        </w:rPr>
        <w:t>, ir nepieciešams:</w:t>
      </w:r>
    </w:p>
    <w:p w14:paraId="7017B245" w14:textId="76FB70A6" w:rsidR="00FD7BDD" w:rsidRPr="008B628A" w:rsidRDefault="00FD7BDD" w:rsidP="00283C85">
      <w:pPr>
        <w:pStyle w:val="Default"/>
        <w:numPr>
          <w:ilvl w:val="0"/>
          <w:numId w:val="62"/>
        </w:numPr>
        <w:spacing w:before="120" w:after="120"/>
        <w:ind w:left="397" w:hanging="397"/>
        <w:jc w:val="both"/>
        <w:rPr>
          <w:color w:val="auto"/>
        </w:rPr>
      </w:pPr>
      <w:r w:rsidRPr="008B628A">
        <w:rPr>
          <w:color w:val="auto"/>
        </w:rPr>
        <w:t>Izstrādāt un noteikt “enerģētiskās nabadzības” definīciju un kritērijus;</w:t>
      </w:r>
    </w:p>
    <w:p w14:paraId="271D7B3B" w14:textId="7A33773A" w:rsidR="00FD7BDD" w:rsidRPr="008B628A" w:rsidRDefault="00FD7BDD" w:rsidP="00283C85">
      <w:pPr>
        <w:pStyle w:val="Default"/>
        <w:numPr>
          <w:ilvl w:val="0"/>
          <w:numId w:val="62"/>
        </w:numPr>
        <w:spacing w:before="120" w:after="120"/>
        <w:ind w:left="397" w:hanging="397"/>
        <w:jc w:val="both"/>
        <w:rPr>
          <w:color w:val="auto"/>
        </w:rPr>
      </w:pPr>
      <w:r w:rsidRPr="008B628A">
        <w:rPr>
          <w:color w:val="auto"/>
        </w:rPr>
        <w:t>Noteikt “enerģētiskās nabadzības nepalielināšanas” principu kā horizontālā principa ievērošanu Latvijas nozaru attīstības plānošanas dokumentu izstrādē;</w:t>
      </w:r>
    </w:p>
    <w:p w14:paraId="17297D00" w14:textId="6D4C4F50" w:rsidR="0093145C" w:rsidRPr="008B628A" w:rsidRDefault="00FD7BDD" w:rsidP="00283C85">
      <w:pPr>
        <w:pStyle w:val="Default"/>
        <w:numPr>
          <w:ilvl w:val="0"/>
          <w:numId w:val="62"/>
        </w:numPr>
        <w:spacing w:before="120" w:after="120"/>
        <w:ind w:left="397" w:hanging="397"/>
        <w:jc w:val="both"/>
        <w:rPr>
          <w:color w:val="auto"/>
        </w:rPr>
      </w:pPr>
      <w:r w:rsidRPr="008B628A">
        <w:rPr>
          <w:color w:val="auto"/>
        </w:rPr>
        <w:t>Izstrādāt tādus atbalsta pasākumus, kas atsevišķiem iespējamiem enerģijas patērētājiem novērš ar elektroenerģijas vai gāzes pieslēgumu, piemēram pieslēguma izbūve, saistītu būtisku papildu finansiālu slogu</w:t>
      </w:r>
      <w:r w:rsidR="0093145C" w:rsidRPr="008B628A">
        <w:rPr>
          <w:color w:val="auto"/>
        </w:rPr>
        <w:t xml:space="preserve">. </w:t>
      </w:r>
    </w:p>
    <w:p w14:paraId="49E58476" w14:textId="1F824024" w:rsidR="0016746F" w:rsidRPr="008B628A" w:rsidRDefault="0016746F" w:rsidP="005F59CE">
      <w:pPr>
        <w:pStyle w:val="Heading3"/>
      </w:pPr>
      <w:bookmarkStart w:id="240" w:name="_Toc527529522"/>
      <w:r w:rsidRPr="008B628A">
        <w:t>Reģionālā sadarbība</w:t>
      </w:r>
      <w:bookmarkEnd w:id="240"/>
    </w:p>
    <w:p w14:paraId="4FDACA14" w14:textId="3D1D687B" w:rsidR="0016746F" w:rsidRPr="008B628A" w:rsidRDefault="0016746F" w:rsidP="0016746F">
      <w:pPr>
        <w:spacing w:before="120" w:after="120" w:line="240" w:lineRule="auto"/>
        <w:jc w:val="both"/>
        <w:rPr>
          <w:rFonts w:ascii="Times New Roman" w:hAnsi="Times New Roman" w:cs="Times New Roman"/>
        </w:rPr>
      </w:pPr>
      <w:r w:rsidRPr="008B628A">
        <w:rPr>
          <w:rFonts w:ascii="Times New Roman" w:hAnsi="Times New Roman" w:cs="Times New Roman"/>
        </w:rPr>
        <w:t>Lai nodrošinātu labi funkcionējošu iekšējo enerģijas tirgu, dažādotu dabasgāzes piedāvājumu daudzveidību un uzlabotu tirgus likviditāti ir būtiski veicināt reģionālo sadarbību.  Reģionālās sadarbības veicināšana nodrošinātu, piemēram, jaunu dabasgāzes tirgotāju piesaisti Latvijā, kuri ar saviem piedāvājumiem nodrošinātu pēc iespējas izdevīgākas dabasgāzes cenas un patērētājiem ekonomiski pamatotus izdevumus par enerģiju.</w:t>
      </w:r>
      <w:r w:rsidR="006D1920">
        <w:rPr>
          <w:rFonts w:ascii="Times New Roman" w:hAnsi="Times New Roman" w:cs="Times New Roman"/>
        </w:rPr>
        <w:t xml:space="preserve"> Nepieciešams turpināt darbu Reģionālajā gāzes tirgus grupā un Baltijas ministru padomes enerģētikas vecāko amatpersonu komitejā. Šīs abas platformas virza tādu nozīmīgus politiskus jautājumus kā reģionālais gāzes tirgus, elektroenerģijas tirdzniecība ar trešajām valstīm un Baltijas valstu elektrotīklu sinhronizācija ar Eiropas tīkliem.</w:t>
      </w:r>
    </w:p>
    <w:p w14:paraId="780C308E" w14:textId="77777777" w:rsidR="006F546A" w:rsidRPr="008B628A" w:rsidRDefault="006F546A" w:rsidP="006F546A">
      <w:pPr>
        <w:spacing w:before="120" w:after="120" w:line="240" w:lineRule="auto"/>
        <w:rPr>
          <w:rFonts w:ascii="Times New Roman" w:hAnsi="Times New Roman" w:cs="Times New Roman"/>
        </w:rPr>
      </w:pPr>
    </w:p>
    <w:p w14:paraId="392A8E8F" w14:textId="7DC43038" w:rsidR="00581156" w:rsidRPr="008B628A" w:rsidRDefault="002C6E77" w:rsidP="006F546A">
      <w:pPr>
        <w:pStyle w:val="Heading2"/>
      </w:pPr>
      <w:bookmarkStart w:id="241" w:name="_Toc520978859"/>
      <w:bookmarkStart w:id="242" w:name="_Toc532910010"/>
      <w:bookmarkStart w:id="243" w:name="_Toc527529523"/>
      <w:r>
        <w:lastRenderedPageBreak/>
        <w:t>P</w:t>
      </w:r>
      <w:r w:rsidR="00581156" w:rsidRPr="008B628A">
        <w:t>ētniecība, inovācija un konkurētspēja</w:t>
      </w:r>
      <w:bookmarkEnd w:id="241"/>
      <w:bookmarkEnd w:id="242"/>
      <w:r w:rsidR="00581156" w:rsidRPr="008B628A">
        <w:t xml:space="preserve"> </w:t>
      </w:r>
      <w:bookmarkEnd w:id="243"/>
    </w:p>
    <w:p w14:paraId="4AB65395" w14:textId="10DE7C9A" w:rsidR="00581156" w:rsidRPr="008B628A" w:rsidRDefault="00581156" w:rsidP="005F59CE">
      <w:pPr>
        <w:pStyle w:val="Heading3"/>
      </w:pPr>
      <w:bookmarkStart w:id="244" w:name="_Toc520978860"/>
      <w:bookmarkStart w:id="245" w:name="_Toc527529524"/>
      <w:r w:rsidRPr="008B628A">
        <w:t>Rīcībpolitikas un pasākumi</w:t>
      </w:r>
      <w:bookmarkEnd w:id="244"/>
      <w:bookmarkEnd w:id="245"/>
      <w:r w:rsidRPr="008B628A">
        <w:t xml:space="preserve"> </w:t>
      </w:r>
    </w:p>
    <w:p w14:paraId="37EF960B" w14:textId="05F77DF4" w:rsidR="002B2D62" w:rsidRPr="008B628A" w:rsidRDefault="002B2D62" w:rsidP="002B2D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38"/>
      </w:r>
      <w:r w:rsidRPr="008B628A">
        <w:rPr>
          <w:rFonts w:ascii="Times New Roman" w:hAnsi="Times New Roman" w:cs="Times New Roman"/>
          <w:szCs w:val="24"/>
        </w:rPr>
        <w:t xml:space="preserve"> šajā dimensijā ir noteikti šādi iespējamie risinājumi noteikto mērķu sasniegšanai:</w:t>
      </w:r>
    </w:p>
    <w:p w14:paraId="02A7A09B" w14:textId="11E115EF"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Lietotāju virzītas inovācijas</w:t>
      </w:r>
      <w:r w:rsidR="00A15549" w:rsidRPr="008B628A">
        <w:rPr>
          <w:rFonts w:ascii="Times New Roman" w:hAnsi="Times New Roman" w:cs="Times New Roman"/>
        </w:rPr>
        <w:t>;</w:t>
      </w:r>
    </w:p>
    <w:p w14:paraId="09B2F522" w14:textId="03132DB2"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Atvērtu inovāciju prakse</w:t>
      </w:r>
      <w:r w:rsidR="00A15549" w:rsidRPr="008B628A">
        <w:rPr>
          <w:rFonts w:ascii="Times New Roman" w:hAnsi="Times New Roman" w:cs="Times New Roman"/>
        </w:rPr>
        <w:t>;</w:t>
      </w:r>
    </w:p>
    <w:p w14:paraId="09D4D69E" w14:textId="11CCBE2A"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Inovatīva uzņēmējdarbība</w:t>
      </w:r>
      <w:r w:rsidR="00A15549" w:rsidRPr="008B628A">
        <w:rPr>
          <w:rFonts w:ascii="Times New Roman" w:hAnsi="Times New Roman" w:cs="Times New Roman"/>
        </w:rPr>
        <w:t>;</w:t>
      </w:r>
    </w:p>
    <w:p w14:paraId="723F20A5" w14:textId="2B1F279F"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rPr>
        <w:t>Plaša jaunrades kultūra</w:t>
      </w:r>
      <w:r w:rsidR="00C767B2" w:rsidRPr="008B628A">
        <w:rPr>
          <w:rFonts w:ascii="Times New Roman" w:hAnsi="Times New Roman" w:cs="Times New Roman"/>
        </w:rPr>
        <w:t>.</w:t>
      </w:r>
    </w:p>
    <w:p w14:paraId="653FD514" w14:textId="2CCEFB0D" w:rsidR="00C767B2" w:rsidRPr="008B628A" w:rsidRDefault="00F51C95" w:rsidP="00C767B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ZTAIP2020 noteikti</w:t>
      </w:r>
      <w:r w:rsidR="00A81A65" w:rsidRPr="008B628A">
        <w:rPr>
          <w:rFonts w:ascii="Times New Roman" w:hAnsi="Times New Roman" w:cs="Times New Roman"/>
          <w:szCs w:val="24"/>
        </w:rPr>
        <w:t>e</w:t>
      </w:r>
      <w:r w:rsidRPr="008B628A">
        <w:rPr>
          <w:rFonts w:ascii="Times New Roman" w:hAnsi="Times New Roman" w:cs="Times New Roman"/>
          <w:szCs w:val="24"/>
        </w:rPr>
        <w:t xml:space="preserve"> p</w:t>
      </w:r>
      <w:r w:rsidR="00C767B2" w:rsidRPr="008B628A">
        <w:rPr>
          <w:rFonts w:ascii="Times New Roman" w:hAnsi="Times New Roman" w:cs="Times New Roman"/>
          <w:szCs w:val="24"/>
        </w:rPr>
        <w:t>asākumi P&amp;A, inovāciju un konkurētspējas mērķu sasniegšanai</w:t>
      </w:r>
      <w:r w:rsidR="008F501B" w:rsidRPr="008B628A">
        <w:rPr>
          <w:rFonts w:ascii="Times New Roman" w:hAnsi="Times New Roman" w:cs="Times New Roman"/>
          <w:szCs w:val="24"/>
        </w:rPr>
        <w:t xml:space="preserve">, kas ietekmē </w:t>
      </w:r>
      <w:r w:rsidRPr="008B628A">
        <w:rPr>
          <w:rFonts w:ascii="Times New Roman" w:hAnsi="Times New Roman" w:cs="Times New Roman"/>
          <w:szCs w:val="24"/>
        </w:rPr>
        <w:t xml:space="preserve">Plāna aptvēruma periodu un kas </w:t>
      </w:r>
      <w:r w:rsidR="00A45919" w:rsidRPr="008B628A">
        <w:rPr>
          <w:rFonts w:ascii="Times New Roman" w:hAnsi="Times New Roman" w:cs="Times New Roman"/>
          <w:szCs w:val="24"/>
        </w:rPr>
        <w:t xml:space="preserve">indikatīvi būtu </w:t>
      </w:r>
      <w:r w:rsidRPr="008B628A">
        <w:rPr>
          <w:rFonts w:ascii="Times New Roman" w:hAnsi="Times New Roman" w:cs="Times New Roman"/>
          <w:szCs w:val="24"/>
        </w:rPr>
        <w:t>īstenojami</w:t>
      </w:r>
      <w:r w:rsidR="00A45919" w:rsidRPr="008B628A">
        <w:rPr>
          <w:rFonts w:ascii="Times New Roman" w:hAnsi="Times New Roman" w:cs="Times New Roman"/>
          <w:szCs w:val="24"/>
        </w:rPr>
        <w:t xml:space="preserve"> arī</w:t>
      </w:r>
      <w:r w:rsidRPr="008B628A">
        <w:rPr>
          <w:rFonts w:ascii="Times New Roman" w:hAnsi="Times New Roman" w:cs="Times New Roman"/>
          <w:szCs w:val="24"/>
        </w:rPr>
        <w:t xml:space="preserve"> periodā pēc 2020.gada</w:t>
      </w:r>
      <w:r w:rsidR="00C767B2" w:rsidRPr="008B628A">
        <w:rPr>
          <w:rFonts w:ascii="Times New Roman" w:hAnsi="Times New Roman" w:cs="Times New Roman"/>
          <w:szCs w:val="24"/>
        </w:rPr>
        <w:t>:</w:t>
      </w:r>
    </w:p>
    <w:p w14:paraId="0A18FF49" w14:textId="73DCC8A9" w:rsidR="00716A71" w:rsidRPr="008B628A" w:rsidRDefault="00716A71"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ZTAI nozares konkurētspējas paaugstināšana (atbildīgā institūcija IZM)</w:t>
      </w:r>
    </w:p>
    <w:p w14:paraId="7C0638AE" w14:textId="77777777"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15B96F03"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izveidot nacionālo pēcdoktorantūras pētniecības atbalsta sistēmu;</w:t>
      </w:r>
    </w:p>
    <w:p w14:paraId="05E48D0D"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praktiskus pētījumus nozares vai sabiedrības problēmu risināšanai;</w:t>
      </w:r>
    </w:p>
    <w:p w14:paraId="2C03DFB9"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individuālu pēcdoktorantūras P&amp;A projektu īstenošanu, tai skaitā atbalstot pēcdoktorantu darba vietas uzņēmumos;</w:t>
      </w:r>
    </w:p>
    <w:p w14:paraId="2BAA984C"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nodrošināt zinātnes bāzes finansējuma piešķiršanu 100% apmērā un pakāpenisku palielināšanu;</w:t>
      </w:r>
    </w:p>
    <w:p w14:paraId="4AA15827" w14:textId="0DC22CE0"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ieviest </w:t>
      </w:r>
      <w:r w:rsidR="00FF06DD" w:rsidRPr="008B628A">
        <w:rPr>
          <w:rFonts w:ascii="Times New Roman" w:hAnsi="Times New Roman" w:cs="Times New Roman"/>
          <w:szCs w:val="24"/>
        </w:rPr>
        <w:t>akadēmiskā</w:t>
      </w:r>
      <w:r w:rsidRPr="008B628A">
        <w:rPr>
          <w:rFonts w:ascii="Times New Roman" w:hAnsi="Times New Roman" w:cs="Times New Roman"/>
          <w:szCs w:val="24"/>
        </w:rPr>
        <w:t xml:space="preserve"> un pētnieciskā darba vienotību; </w:t>
      </w:r>
    </w:p>
    <w:p w14:paraId="2ABFA104"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ieviest uz pētniecības ekselenci vērstus kritērijus bāzes finansējuma un projektu finansējuma piešķiršanā; </w:t>
      </w:r>
    </w:p>
    <w:p w14:paraId="1490EFEC"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Latvijas zinātnisko institūciju dalību ES un citās starptautiskās zinātniskās sadarbības organizācijās u.c.</w:t>
      </w:r>
    </w:p>
    <w:p w14:paraId="149D854F" w14:textId="1A6EBA53"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Šī politikas virziena 1</w:t>
      </w:r>
      <w:r w:rsidR="003924CF" w:rsidRPr="008B628A">
        <w:rPr>
          <w:rFonts w:ascii="Times New Roman" w:hAnsi="Times New Roman" w:cs="Times New Roman"/>
          <w:szCs w:val="24"/>
        </w:rPr>
        <w:t>.</w:t>
      </w:r>
      <w:r w:rsidRPr="008B628A">
        <w:rPr>
          <w:rFonts w:ascii="Times New Roman" w:hAnsi="Times New Roman" w:cs="Times New Roman"/>
          <w:szCs w:val="24"/>
        </w:rPr>
        <w:t>, 2</w:t>
      </w:r>
      <w:r w:rsidR="003924CF" w:rsidRPr="008B628A">
        <w:rPr>
          <w:rFonts w:ascii="Times New Roman" w:hAnsi="Times New Roman" w:cs="Times New Roman"/>
          <w:szCs w:val="24"/>
        </w:rPr>
        <w:t>.</w:t>
      </w:r>
      <w:r w:rsidRPr="008B628A">
        <w:rPr>
          <w:rFonts w:ascii="Times New Roman" w:hAnsi="Times New Roman" w:cs="Times New Roman"/>
          <w:szCs w:val="24"/>
        </w:rPr>
        <w:t>, 3</w:t>
      </w:r>
      <w:r w:rsidR="003924CF" w:rsidRPr="008B628A">
        <w:rPr>
          <w:rFonts w:ascii="Times New Roman" w:hAnsi="Times New Roman" w:cs="Times New Roman"/>
          <w:szCs w:val="24"/>
        </w:rPr>
        <w:t>.</w:t>
      </w:r>
      <w:r w:rsidRPr="008B628A">
        <w:rPr>
          <w:rFonts w:ascii="Times New Roman" w:hAnsi="Times New Roman" w:cs="Times New Roman"/>
          <w:szCs w:val="24"/>
        </w:rPr>
        <w:t xml:space="preserve"> un 7</w:t>
      </w:r>
      <w:r w:rsidR="003924CF" w:rsidRPr="008B628A">
        <w:rPr>
          <w:rFonts w:ascii="Times New Roman" w:hAnsi="Times New Roman" w:cs="Times New Roman"/>
          <w:szCs w:val="24"/>
        </w:rPr>
        <w:t>.</w:t>
      </w:r>
      <w:r w:rsidRPr="008B628A">
        <w:rPr>
          <w:rFonts w:ascii="Times New Roman" w:hAnsi="Times New Roman" w:cs="Times New Roman"/>
          <w:szCs w:val="24"/>
        </w:rPr>
        <w:t xml:space="preserve"> </w:t>
      </w:r>
      <w:r w:rsidR="003924CF" w:rsidRPr="008B628A">
        <w:rPr>
          <w:rFonts w:ascii="Times New Roman" w:hAnsi="Times New Roman" w:cs="Times New Roman"/>
          <w:szCs w:val="24"/>
        </w:rPr>
        <w:t xml:space="preserve">uzdevumu </w:t>
      </w:r>
      <w:r w:rsidRPr="008B628A">
        <w:rPr>
          <w:rFonts w:ascii="Times New Roman" w:hAnsi="Times New Roman" w:cs="Times New Roman"/>
          <w:szCs w:val="24"/>
        </w:rPr>
        <w:t>īstenošanai plānots izmantot ES fondu 2014.-2020.g. specifiskā atbalsta mērķa „Palielināt Latvijas zinātnisko institūciju pētniecisko un inovatīvo kapacitāti un spēju piesaistīt ārējo finansējumu, ieguldot cilvēkresursos un infrastruktūrā” pasākumu finansējumu. Ir ieviesta jauna pieeja zinātnes projektu vērtēšanā, t.sk. tika pārņemta ES pētniecības un inovāciju programmas “Apvārsnis 2020” vērtēšanas pieeja un kritēriji projektu zinātniskās kvalitātes izvērtēšanai, t.sk. zinātnes projektu zinātniskās ekselences novērtēšanā tiek piesaistīti ārējie eksperti, kas reģistrēti starptautiski atzītā zinātnisko ekspertu datu bāzē.</w:t>
      </w:r>
    </w:p>
    <w:p w14:paraId="51127415" w14:textId="289CAEEC" w:rsidR="00716A71" w:rsidRPr="008B628A" w:rsidRDefault="00716A71"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ZTAI nozares sasaiste ar sabiedrības un tautsaimniecības attīstības vajadzībām (atbildīgā institūcija IZM, EM)</w:t>
      </w:r>
    </w:p>
    <w:p w14:paraId="24CC6E8A" w14:textId="77777777"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51B97BB9"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piešķirt prioritāti doktorantūras un pēcdoktorantūras pētījumiem, kas saistīti ar industrijas identificētu zinātnisko vai tehnoloģisko problēmu risināšanu; </w:t>
      </w:r>
    </w:p>
    <w:p w14:paraId="53CC4F02"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turpināt īstenot valsts pētījumu programmas; </w:t>
      </w:r>
    </w:p>
    <w:p w14:paraId="5FFFE1A8"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turpināt attīstīt kompetences centrus kā zinātnisko institūciju un komersantu ilgtermiņa sadarbības platformu; </w:t>
      </w:r>
    </w:p>
    <w:p w14:paraId="7680D361"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lastRenderedPageBreak/>
        <w:t xml:space="preserve">turpināt attīstīt tehnoloģiju pārneses un inovāciju atbalstam pie augstskolām izveidoto Tehnoloģijas pārneses kontaktpunktu attīstību; ieviest Vienotu tehnoloģiju pārneses platformu; </w:t>
      </w:r>
    </w:p>
    <w:p w14:paraId="473A18EA"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veicināt augstskolu sadarbību ar uzņēmumiem un uzņēmumu sadarbību ar citu valstu uzņēmumiem dažādu inovatīvu produktu radīšanā un komercizalizācijā.</w:t>
      </w:r>
    </w:p>
    <w:p w14:paraId="1ADA9969" w14:textId="2D0E73A7" w:rsidR="00716A71" w:rsidRPr="008B628A" w:rsidRDefault="00D034B8" w:rsidP="00D034B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Šī politikas virziena 1., 3., 4.  un 5. u</w:t>
      </w:r>
      <w:r w:rsidR="00716A71" w:rsidRPr="008B628A">
        <w:rPr>
          <w:rFonts w:ascii="Times New Roman" w:hAnsi="Times New Roman" w:cs="Times New Roman"/>
          <w:szCs w:val="24"/>
        </w:rPr>
        <w:t>zdevumu īstenošanai plānots izmantot ES fondu 2014.-2020.g.  specifiskā atbalsta mērķa „Palielināt Latvijas zinātnisko institūciju pētniecisko un inovatīvo kapacitāti un spēju piesaistīt ārējo finansējumu, ieguldot cilvēkresursos un infrastruktūrā” un “Palielināt privātā sektora investīcijas P&amp;A” pasākumu finansējumu.</w:t>
      </w:r>
    </w:p>
    <w:p w14:paraId="5FFF500B" w14:textId="796A6FDF" w:rsidR="00716A7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46" w:name="_Toc531333150"/>
      <w:r w:rsidR="006067D4">
        <w:rPr>
          <w:noProof/>
        </w:rPr>
        <w:t>8</w:t>
      </w:r>
      <w:r w:rsidRPr="008B628A">
        <w:rPr>
          <w:noProof/>
        </w:rPr>
        <w:fldChar w:fldCharType="end"/>
      </w:r>
      <w:r w:rsidR="00FC0191" w:rsidRPr="008B628A">
        <w:t xml:space="preserve">.tabula. </w:t>
      </w:r>
      <w:r w:rsidR="00716A71" w:rsidRPr="008B628A">
        <w:t>Pasākumi ZTAI nozares sasaistei ar sabiedrības un tautsaimniecības attīstības vajadzībām</w:t>
      </w:r>
      <w:bookmarkEnd w:id="246"/>
    </w:p>
    <w:tbl>
      <w:tblPr>
        <w:tblStyle w:val="TableGrid"/>
        <w:tblW w:w="9639" w:type="dxa"/>
        <w:tblLook w:val="04A0" w:firstRow="1" w:lastRow="0" w:firstColumn="1" w:lastColumn="0" w:noHBand="0" w:noVBand="1"/>
      </w:tblPr>
      <w:tblGrid>
        <w:gridCol w:w="3964"/>
        <w:gridCol w:w="3402"/>
        <w:gridCol w:w="2273"/>
      </w:tblGrid>
      <w:tr w:rsidR="00716A71" w:rsidRPr="008B628A" w14:paraId="366FA569" w14:textId="77777777" w:rsidTr="00B33FF8">
        <w:trPr>
          <w:tblHeader/>
        </w:trPr>
        <w:tc>
          <w:tcPr>
            <w:tcW w:w="3964" w:type="dxa"/>
            <w:shd w:val="clear" w:color="auto" w:fill="F2F2F2" w:themeFill="background1" w:themeFillShade="F2"/>
          </w:tcPr>
          <w:p w14:paraId="5905C4F9" w14:textId="72C2C3CF" w:rsidR="00716A71" w:rsidRPr="008B628A" w:rsidRDefault="00716A71" w:rsidP="00FC0191">
            <w:pPr>
              <w:spacing w:before="60" w:after="60"/>
              <w:jc w:val="center"/>
              <w:rPr>
                <w:rFonts w:ascii="Times New Roman" w:hAnsi="Times New Roman" w:cs="Times New Roman"/>
                <w:b/>
              </w:rPr>
            </w:pPr>
            <w:r w:rsidRPr="008B628A">
              <w:rPr>
                <w:rFonts w:ascii="Times New Roman" w:hAnsi="Times New Roman" w:cs="Times New Roman"/>
                <w:b/>
              </w:rPr>
              <w:t>Pasākums</w:t>
            </w:r>
          </w:p>
        </w:tc>
        <w:tc>
          <w:tcPr>
            <w:tcW w:w="3402" w:type="dxa"/>
            <w:shd w:val="clear" w:color="auto" w:fill="F2F2F2" w:themeFill="background1" w:themeFillShade="F2"/>
          </w:tcPr>
          <w:p w14:paraId="4D627CB7" w14:textId="7CB59131" w:rsidR="00716A71" w:rsidRPr="008B628A" w:rsidRDefault="00716A71" w:rsidP="00FC0191">
            <w:pPr>
              <w:spacing w:before="60" w:after="60"/>
              <w:jc w:val="center"/>
              <w:rPr>
                <w:rFonts w:ascii="Times New Roman" w:hAnsi="Times New Roman" w:cs="Times New Roman"/>
                <w:b/>
              </w:rPr>
            </w:pPr>
            <w:r w:rsidRPr="008B628A">
              <w:rPr>
                <w:rFonts w:ascii="Times New Roman" w:hAnsi="Times New Roman" w:cs="Times New Roman"/>
                <w:b/>
              </w:rPr>
              <w:t>Rezultāts</w:t>
            </w:r>
          </w:p>
        </w:tc>
        <w:tc>
          <w:tcPr>
            <w:tcW w:w="2273" w:type="dxa"/>
            <w:shd w:val="clear" w:color="auto" w:fill="F2F2F2" w:themeFill="background1" w:themeFillShade="F2"/>
          </w:tcPr>
          <w:p w14:paraId="565766C6" w14:textId="535B5002" w:rsidR="00716A71" w:rsidRPr="008B628A" w:rsidRDefault="00FF06DD" w:rsidP="00FC0191">
            <w:pPr>
              <w:spacing w:before="60" w:after="60"/>
              <w:jc w:val="center"/>
              <w:rPr>
                <w:rFonts w:ascii="Times New Roman" w:hAnsi="Times New Roman" w:cs="Times New Roman"/>
                <w:b/>
              </w:rPr>
            </w:pPr>
            <w:r w:rsidRPr="008B628A">
              <w:rPr>
                <w:rFonts w:ascii="Times New Roman" w:hAnsi="Times New Roman" w:cs="Times New Roman"/>
                <w:b/>
              </w:rPr>
              <w:t>F</w:t>
            </w:r>
            <w:r w:rsidR="00716A71" w:rsidRPr="008B628A">
              <w:rPr>
                <w:rFonts w:ascii="Times New Roman" w:hAnsi="Times New Roman" w:cs="Times New Roman"/>
                <w:b/>
              </w:rPr>
              <w:t>inansējums</w:t>
            </w:r>
          </w:p>
        </w:tc>
      </w:tr>
      <w:tr w:rsidR="00716A71" w:rsidRPr="008B628A" w14:paraId="220A0688" w14:textId="77777777" w:rsidTr="00FD3CEE">
        <w:tc>
          <w:tcPr>
            <w:tcW w:w="3964" w:type="dxa"/>
          </w:tcPr>
          <w:p w14:paraId="0D1D73DE" w14:textId="63B56704" w:rsidR="00716A71" w:rsidRPr="008B628A" w:rsidRDefault="00D92911" w:rsidP="00FC0191">
            <w:pPr>
              <w:spacing w:before="60" w:after="60"/>
              <w:rPr>
                <w:rFonts w:ascii="Times New Roman" w:hAnsi="Times New Roman" w:cs="Times New Roman"/>
              </w:rPr>
            </w:pPr>
            <w:r w:rsidRPr="008B628A">
              <w:rPr>
                <w:rFonts w:ascii="Times New Roman" w:hAnsi="Times New Roman" w:cs="Times New Roman"/>
              </w:rPr>
              <w:t>ES fondu 2014.-2020.g. atbalsta mērķa „Palielināt Latvijas zinātnisko institūciju pētniecisko un inovatīvo kapacitāti un spēju piesaistīt ārējo finansējumu, ieguldot cilvēkresursos un infrastruktūrā”</w:t>
            </w:r>
            <w:r w:rsidR="008C6F40" w:rsidRPr="008B628A">
              <w:rPr>
                <w:rFonts w:ascii="Times New Roman" w:hAnsi="Times New Roman" w:cs="Times New Roman"/>
              </w:rPr>
              <w:t xml:space="preserve"> pasākumi</w:t>
            </w:r>
            <w:r w:rsidR="00FD3CEE" w:rsidRPr="008B628A">
              <w:rPr>
                <w:rFonts w:ascii="Times New Roman" w:hAnsi="Times New Roman" w:cs="Times New Roman"/>
              </w:rPr>
              <w:t>:</w:t>
            </w:r>
          </w:p>
          <w:p w14:paraId="2DEB960C" w14:textId="680E33CB" w:rsidR="00550014" w:rsidRPr="008B628A" w:rsidRDefault="00550014" w:rsidP="00550014">
            <w:pPr>
              <w:rPr>
                <w:rStyle w:val="Strong"/>
                <w:rFonts w:ascii="Times New Roman" w:hAnsi="Times New Roman" w:cs="Times New Roman"/>
                <w:b w:val="0"/>
              </w:rPr>
            </w:pPr>
            <w:r w:rsidRPr="008B628A">
              <w:rPr>
                <w:rStyle w:val="Strong"/>
                <w:rFonts w:ascii="Times New Roman" w:hAnsi="Times New Roman" w:cs="Times New Roman"/>
                <w:b w:val="0"/>
              </w:rPr>
              <w:t xml:space="preserve">1.1.1.1.pasākums </w:t>
            </w:r>
            <w:r w:rsidRPr="008B628A">
              <w:rPr>
                <w:rFonts w:ascii="Times New Roman" w:hAnsi="Times New Roman" w:cs="Times New Roman"/>
              </w:rPr>
              <w:t>Praktiskas ievirzes  pētījumi</w:t>
            </w:r>
            <w:r w:rsidRPr="008B628A">
              <w:rPr>
                <w:rStyle w:val="FootnoteReference"/>
                <w:rFonts w:ascii="Times New Roman" w:hAnsi="Times New Roman" w:cs="Times New Roman"/>
              </w:rPr>
              <w:footnoteReference w:id="139"/>
            </w:r>
            <w:r w:rsidRPr="008B628A">
              <w:rPr>
                <w:rStyle w:val="Strong"/>
                <w:rFonts w:ascii="Times New Roman" w:hAnsi="Times New Roman" w:cs="Times New Roman"/>
                <w:b w:val="0"/>
              </w:rPr>
              <w:t xml:space="preserve"> –  uz komercializāciju vērstu pētniecības projektu īstenošanai </w:t>
            </w:r>
          </w:p>
          <w:p w14:paraId="7FEA1F68" w14:textId="583467C5" w:rsidR="00550014" w:rsidRPr="008B628A" w:rsidRDefault="00550014" w:rsidP="00550014">
            <w:pPr>
              <w:pStyle w:val="NormalWeb"/>
              <w:spacing w:before="0" w:beforeAutospacing="0" w:after="0" w:afterAutospacing="0"/>
            </w:pPr>
            <w:r w:rsidRPr="008B628A">
              <w:rPr>
                <w:rStyle w:val="Strong"/>
                <w:rFonts w:eastAsiaTheme="majorEastAsia"/>
                <w:b w:val="0"/>
              </w:rPr>
              <w:t xml:space="preserve">1.1.1.2. pasākums </w:t>
            </w:r>
            <w:r w:rsidRPr="008B628A">
              <w:rPr>
                <w:rFonts w:eastAsiaTheme="majorEastAsia"/>
                <w:bCs/>
              </w:rPr>
              <w:t>Pēcdoktorantūras pētniecības atbalsts</w:t>
            </w:r>
            <w:r w:rsidRPr="008B628A">
              <w:rPr>
                <w:rStyle w:val="FootnoteReference"/>
                <w:rFonts w:eastAsiaTheme="majorEastAsia"/>
                <w:bCs/>
              </w:rPr>
              <w:footnoteReference w:id="140"/>
            </w:r>
            <w:r w:rsidRPr="008B628A">
              <w:rPr>
                <w:rStyle w:val="Strong"/>
                <w:rFonts w:eastAsiaTheme="majorEastAsia"/>
                <w:b w:val="0"/>
              </w:rPr>
              <w:t xml:space="preserve"> – jauno zinātnieku (pēcdoktorantu) pētniecības kapacitātes un karjeras attīstībai</w:t>
            </w:r>
          </w:p>
          <w:p w14:paraId="1923676C" w14:textId="2BB071EB" w:rsidR="00550014" w:rsidRPr="008B628A" w:rsidRDefault="00550014" w:rsidP="00550014">
            <w:pPr>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1.1.1.3.pasākums </w:t>
            </w:r>
            <w:r w:rsidRPr="008B628A">
              <w:rPr>
                <w:rFonts w:ascii="Times New Roman" w:eastAsia="Times New Roman" w:hAnsi="Times New Roman" w:cs="Times New Roman"/>
              </w:rPr>
              <w:t>Inovāciju granti studentiem</w:t>
            </w:r>
            <w:r w:rsidRPr="008B628A">
              <w:rPr>
                <w:rStyle w:val="FootnoteReference"/>
                <w:rFonts w:ascii="Times New Roman" w:eastAsia="Times New Roman" w:hAnsi="Times New Roman" w:cs="Times New Roman"/>
              </w:rPr>
              <w:footnoteReference w:id="141"/>
            </w:r>
            <w:r w:rsidRPr="008B628A">
              <w:rPr>
                <w:rFonts w:ascii="Times New Roman" w:eastAsia="Times New Roman" w:hAnsi="Times New Roman" w:cs="Times New Roman"/>
                <w:szCs w:val="24"/>
              </w:rPr>
              <w:t xml:space="preserve"> – Līderības,  inovācijas un uzņēmējspēju attīstība studējošajiem un inovatīvu ideju izstrāde sadarbībā starp augstskolām un uzņēmumiem.</w:t>
            </w:r>
          </w:p>
          <w:p w14:paraId="2B0F1F43" w14:textId="3BA03418" w:rsidR="00FD3CEE" w:rsidRPr="008B628A" w:rsidRDefault="00FD3CEE" w:rsidP="00550014">
            <w:pPr>
              <w:rPr>
                <w:rFonts w:ascii="Times New Roman" w:eastAsia="Times New Roman" w:hAnsi="Times New Roman" w:cs="Times New Roman"/>
                <w:szCs w:val="24"/>
              </w:rPr>
            </w:pPr>
            <w:r w:rsidRPr="008B628A">
              <w:rPr>
                <w:rStyle w:val="Strong"/>
                <w:rFonts w:ascii="Times New Roman" w:hAnsi="Times New Roman" w:cs="Times New Roman"/>
                <w:b w:val="0"/>
                <w:color w:val="000000"/>
              </w:rPr>
              <w:t>1.1.1.4.pasākums “</w:t>
            </w:r>
            <w:hyperlink r:id="rId20" w:history="1">
              <w:r w:rsidRPr="008B628A">
                <w:rPr>
                  <w:rStyle w:val="Strong"/>
                  <w:rFonts w:ascii="Times New Roman" w:hAnsi="Times New Roman" w:cs="Times New Roman"/>
                  <w:b w:val="0"/>
                  <w:color w:val="000000"/>
                </w:rPr>
                <w:t>P&amp;A infrastruktūras attīstīšana Viedās specializācijas jomās un zinātnisko institūciju institucionālās kapacitātes stiprināšana</w:t>
              </w:r>
            </w:hyperlink>
            <w:r w:rsidRPr="008B628A">
              <w:rPr>
                <w:rStyle w:val="Strong"/>
                <w:rFonts w:ascii="Times New Roman" w:hAnsi="Times New Roman" w:cs="Times New Roman"/>
                <w:b w:val="0"/>
                <w:color w:val="000000"/>
              </w:rPr>
              <w:t>”, kura ietva</w:t>
            </w:r>
            <w:r w:rsidR="00FF06DD" w:rsidRPr="008B628A">
              <w:rPr>
                <w:rStyle w:val="Strong"/>
                <w:rFonts w:ascii="Times New Roman" w:hAnsi="Times New Roman" w:cs="Times New Roman"/>
                <w:b w:val="0"/>
                <w:color w:val="000000"/>
              </w:rPr>
              <w:t>ros augstskolās un zinātniskajās</w:t>
            </w:r>
            <w:r w:rsidRPr="008B628A">
              <w:rPr>
                <w:rStyle w:val="Strong"/>
                <w:rFonts w:ascii="Times New Roman" w:hAnsi="Times New Roman" w:cs="Times New Roman"/>
                <w:b w:val="0"/>
                <w:color w:val="000000"/>
              </w:rPr>
              <w:t xml:space="preserve"> institūcijās tiek modernizēta P&amp;A infrastruktūra un stiprināta L</w:t>
            </w:r>
            <w:r w:rsidRPr="008B628A">
              <w:rPr>
                <w:rFonts w:ascii="Times New Roman" w:hAnsi="Times New Roman" w:cs="Times New Roman"/>
                <w:color w:val="000000"/>
              </w:rPr>
              <w:t>atvijas zinātnisko institūciju pētnieciskā un inovācijas kapacitāte un spēja piesaistīt ārējo finansējumu, sekmējot pētniecības vides un pētniecībā nodarbinātā cilvēkkapitāla attīstību.</w:t>
            </w:r>
          </w:p>
          <w:p w14:paraId="76487973" w14:textId="36CBFAC9" w:rsidR="00550014" w:rsidRPr="008B628A" w:rsidRDefault="00550014" w:rsidP="00550014">
            <w:pPr>
              <w:rPr>
                <w:rFonts w:ascii="Times New Roman" w:eastAsia="Times New Roman" w:hAnsi="Times New Roman" w:cs="Times New Roman"/>
                <w:szCs w:val="24"/>
              </w:rPr>
            </w:pPr>
            <w:r w:rsidRPr="008B628A">
              <w:rPr>
                <w:rFonts w:ascii="Times New Roman" w:eastAsia="Times New Roman" w:hAnsi="Times New Roman" w:cs="Times New Roman"/>
              </w:rPr>
              <w:lastRenderedPageBreak/>
              <w:t>1.1.1.5. pasākums “Atbalsts starpinstitūciju un starptautiskās sadarbības attīstīšanai”</w:t>
            </w:r>
            <w:r w:rsidR="00FD3CEE" w:rsidRPr="008B628A">
              <w:rPr>
                <w:rStyle w:val="FootnoteReference"/>
                <w:rFonts w:ascii="Times New Roman" w:eastAsia="Times New Roman" w:hAnsi="Times New Roman" w:cs="Times New Roman"/>
              </w:rPr>
              <w:footnoteReference w:id="142"/>
            </w:r>
            <w:r w:rsidRPr="008B628A">
              <w:rPr>
                <w:rFonts w:ascii="Times New Roman" w:eastAsia="Times New Roman" w:hAnsi="Times New Roman" w:cs="Times New Roman"/>
                <w:szCs w:val="24"/>
              </w:rPr>
              <w:t xml:space="preserve"> ietvaros:</w:t>
            </w:r>
          </w:p>
          <w:p w14:paraId="5568382C" w14:textId="74626CC9" w:rsidR="00550014" w:rsidRPr="008B628A" w:rsidRDefault="00550014" w:rsidP="00283C85">
            <w:pPr>
              <w:pStyle w:val="ListParagraph"/>
              <w:numPr>
                <w:ilvl w:val="0"/>
                <w:numId w:val="26"/>
              </w:numPr>
              <w:ind w:left="227" w:hanging="227"/>
              <w:contextualSpacing w:val="0"/>
              <w:rPr>
                <w:rFonts w:ascii="Times New Roman" w:eastAsia="Times New Roman" w:hAnsi="Times New Roman" w:cs="Times New Roman"/>
                <w:szCs w:val="24"/>
              </w:rPr>
            </w:pPr>
            <w:r w:rsidRPr="008B628A">
              <w:rPr>
                <w:rFonts w:ascii="Times New Roman" w:eastAsia="Times New Roman" w:hAnsi="Times New Roman" w:cs="Times New Roman"/>
                <w:szCs w:val="24"/>
              </w:rPr>
              <w:t>tiek veikta Latvijas Viedās specializācijas stratēģijai (RIS3) atbilstošu nozaru specializācijas jomu vajadzību padziļināta analīze, ekosistēmu koordinēšana un monitorings.</w:t>
            </w:r>
          </w:p>
          <w:p w14:paraId="1A3FD285" w14:textId="6B3C5A84" w:rsidR="00550014" w:rsidRPr="008B628A" w:rsidRDefault="00550014" w:rsidP="00283C85">
            <w:pPr>
              <w:pStyle w:val="ListParagraph"/>
              <w:numPr>
                <w:ilvl w:val="0"/>
                <w:numId w:val="26"/>
              </w:numPr>
              <w:ind w:left="227" w:hanging="227"/>
              <w:contextualSpacing w:val="0"/>
              <w:rPr>
                <w:rFonts w:ascii="Times New Roman" w:hAnsi="Times New Roman" w:cs="Times New Roman"/>
                <w:szCs w:val="24"/>
              </w:rPr>
            </w:pPr>
            <w:r w:rsidRPr="008B628A">
              <w:rPr>
                <w:rFonts w:ascii="Times New Roman" w:eastAsia="Times New Roman" w:hAnsi="Times New Roman" w:cs="Times New Roman"/>
                <w:szCs w:val="24"/>
              </w:rPr>
              <w:t>nodrošinot informatīvo un finansiālo atbalstu, IZM veicina Latvijas zinātnisko institūciju, uzņēmumu, valsts pārvaldes iestāžu un sabiedrisko organizāciju dalību 1) E</w:t>
            </w:r>
            <w:r w:rsidR="004C7936" w:rsidRPr="008B628A">
              <w:rPr>
                <w:rFonts w:ascii="Times New Roman" w:eastAsia="Times New Roman" w:hAnsi="Times New Roman" w:cs="Times New Roman"/>
                <w:szCs w:val="24"/>
              </w:rPr>
              <w:t>S</w:t>
            </w:r>
            <w:r w:rsidRPr="008B628A">
              <w:rPr>
                <w:rFonts w:ascii="Times New Roman" w:eastAsia="Times New Roman" w:hAnsi="Times New Roman" w:cs="Times New Roman"/>
                <w:szCs w:val="24"/>
              </w:rPr>
              <w:t xml:space="preserve"> pētniecības un inovāciju programmā Apvārsnis 2020, t.sk. projektu īstenošanai tematiskajos ietvaros “Droša, tīra un efektīva enerģija”, “Vieds, videi nekaitīgs un integrēts transports” un “Klimata politika, vide, resursu efektīva izmantošana un izejvielas"; 2)  </w:t>
            </w:r>
            <w:r w:rsidRPr="008B628A">
              <w:rPr>
                <w:rFonts w:ascii="Times New Roman" w:hAnsi="Times New Roman" w:cs="Times New Roman"/>
                <w:szCs w:val="24"/>
              </w:rPr>
              <w:t>Eiropas Atomenerģijas kopienas (EURATOM) Kodolpētniecības (Kodolsintēze / Kodoldalīšanās) pētniecības un apmācības programmā; 3)</w:t>
            </w:r>
            <w:r w:rsidRPr="008B628A">
              <w:rPr>
                <w:rFonts w:ascii="Times New Roman" w:eastAsia="Times New Roman" w:hAnsi="Times New Roman" w:cs="Times New Roman"/>
                <w:szCs w:val="24"/>
              </w:rPr>
              <w:t xml:space="preserve"> </w:t>
            </w:r>
            <w:r w:rsidRPr="008B628A">
              <w:rPr>
                <w:rFonts w:ascii="Times New Roman" w:hAnsi="Times New Roman" w:cs="Times New Roman"/>
              </w:rPr>
              <w:t>Kopējās programmēšanas iniciatīvās</w:t>
            </w:r>
            <w:r w:rsidR="00FD3CEE" w:rsidRPr="008B628A">
              <w:rPr>
                <w:rStyle w:val="FootnoteReference"/>
                <w:rFonts w:ascii="Times New Roman" w:hAnsi="Times New Roman" w:cs="Times New Roman"/>
              </w:rPr>
              <w:footnoteReference w:id="143"/>
            </w:r>
            <w:r w:rsidRPr="008B628A">
              <w:rPr>
                <w:rFonts w:ascii="Times New Roman" w:hAnsi="Times New Roman" w:cs="Times New Roman"/>
                <w:szCs w:val="24"/>
              </w:rPr>
              <w:t xml:space="preserve"> - </w:t>
            </w:r>
            <w:r w:rsidRPr="008B628A">
              <w:rPr>
                <w:rFonts w:ascii="Times New Roman" w:hAnsi="Times New Roman" w:cs="Times New Roman"/>
              </w:rPr>
              <w:t>Aeronautikas un gaisa transporta kopīgā tehnoloģijas iniciatīva “Clean sky”</w:t>
            </w:r>
            <w:r w:rsidR="00FD3CEE" w:rsidRPr="008B628A">
              <w:rPr>
                <w:rStyle w:val="FootnoteReference"/>
                <w:rFonts w:ascii="Times New Roman" w:hAnsi="Times New Roman" w:cs="Times New Roman"/>
              </w:rPr>
              <w:footnoteReference w:id="144"/>
            </w:r>
            <w:r w:rsidRPr="008B628A">
              <w:rPr>
                <w:rFonts w:ascii="Times New Roman" w:hAnsi="Times New Roman" w:cs="Times New Roman"/>
                <w:szCs w:val="24"/>
              </w:rPr>
              <w:t xml:space="preserve">; </w:t>
            </w:r>
            <w:r w:rsidRPr="008B628A">
              <w:rPr>
                <w:rFonts w:ascii="Times New Roman" w:hAnsi="Times New Roman" w:cs="Times New Roman"/>
              </w:rPr>
              <w:t>Kurināmā elementu un ūdeņraža iniciatīva</w:t>
            </w:r>
            <w:r w:rsidR="00FD3CEE" w:rsidRPr="008B628A">
              <w:rPr>
                <w:rStyle w:val="FootnoteReference"/>
                <w:rFonts w:ascii="Times New Roman" w:hAnsi="Times New Roman" w:cs="Times New Roman"/>
              </w:rPr>
              <w:footnoteReference w:id="145"/>
            </w:r>
            <w:r w:rsidRPr="008B628A">
              <w:rPr>
                <w:rFonts w:ascii="Times New Roman" w:hAnsi="Times New Roman" w:cs="Times New Roman"/>
                <w:szCs w:val="24"/>
              </w:rPr>
              <w:t xml:space="preserve">; </w:t>
            </w:r>
            <w:r w:rsidRPr="008B628A">
              <w:rPr>
                <w:rFonts w:ascii="Times New Roman" w:hAnsi="Times New Roman" w:cs="Times New Roman"/>
              </w:rPr>
              <w:t>Elektroniskie komponenti un sistēmas</w:t>
            </w:r>
            <w:r w:rsidR="00FD3CEE" w:rsidRPr="008B628A">
              <w:rPr>
                <w:rStyle w:val="FootnoteReference"/>
                <w:rFonts w:ascii="Times New Roman" w:hAnsi="Times New Roman" w:cs="Times New Roman"/>
              </w:rPr>
              <w:footnoteReference w:id="146"/>
            </w:r>
            <w:r w:rsidRPr="008B628A">
              <w:rPr>
                <w:rFonts w:ascii="Times New Roman" w:hAnsi="Times New Roman" w:cs="Times New Roman"/>
                <w:szCs w:val="24"/>
              </w:rPr>
              <w:t xml:space="preserve">; </w:t>
            </w:r>
            <w:r w:rsidRPr="008B628A">
              <w:rPr>
                <w:rFonts w:ascii="Times New Roman" w:hAnsi="Times New Roman" w:cs="Times New Roman"/>
              </w:rPr>
              <w:t>Eiropas dzelzceļa iniciatīva</w:t>
            </w:r>
            <w:r w:rsidR="00FD3CEE" w:rsidRPr="008B628A">
              <w:rPr>
                <w:rStyle w:val="FootnoteReference"/>
                <w:rFonts w:ascii="Times New Roman" w:hAnsi="Times New Roman" w:cs="Times New Roman"/>
              </w:rPr>
              <w:footnoteReference w:id="147"/>
            </w:r>
            <w:r w:rsidRPr="008B628A">
              <w:rPr>
                <w:rFonts w:ascii="Times New Roman" w:hAnsi="Times New Roman" w:cs="Times New Roman"/>
                <w:szCs w:val="24"/>
              </w:rPr>
              <w:t xml:space="preserve">; </w:t>
            </w:r>
            <w:r w:rsidRPr="008B628A">
              <w:rPr>
                <w:rFonts w:ascii="Times New Roman" w:hAnsi="Times New Roman" w:cs="Times New Roman"/>
              </w:rPr>
              <w:t>Eiropas gaisa satiksmes iniciatīva</w:t>
            </w:r>
            <w:r w:rsidR="00FD3CEE" w:rsidRPr="008B628A">
              <w:rPr>
                <w:rStyle w:val="FootnoteReference"/>
                <w:rFonts w:ascii="Times New Roman" w:hAnsi="Times New Roman" w:cs="Times New Roman"/>
              </w:rPr>
              <w:footnoteReference w:id="148"/>
            </w:r>
            <w:r w:rsidRPr="008B628A">
              <w:rPr>
                <w:rFonts w:ascii="Times New Roman" w:hAnsi="Times New Roman" w:cs="Times New Roman"/>
                <w:szCs w:val="24"/>
              </w:rPr>
              <w:t>;</w:t>
            </w:r>
          </w:p>
          <w:p w14:paraId="1D7BE653" w14:textId="13CAC79D" w:rsidR="00550014" w:rsidRPr="008B628A" w:rsidRDefault="00550014" w:rsidP="00283C85">
            <w:pPr>
              <w:pStyle w:val="ListParagraph"/>
              <w:numPr>
                <w:ilvl w:val="0"/>
                <w:numId w:val="26"/>
              </w:numPr>
              <w:ind w:left="227" w:hanging="227"/>
              <w:contextualSpacing w:val="0"/>
              <w:rPr>
                <w:rFonts w:ascii="Times New Roman" w:hAnsi="Times New Roman" w:cs="Times New Roman"/>
                <w:szCs w:val="24"/>
              </w:rPr>
            </w:pPr>
            <w:r w:rsidRPr="008B628A">
              <w:rPr>
                <w:rFonts w:ascii="Times New Roman" w:hAnsi="Times New Roman" w:cs="Times New Roman"/>
                <w:szCs w:val="24"/>
              </w:rPr>
              <w:t xml:space="preserve">nodrošināta Latvijas dalība Eiropas pētniecības telpas sadarbības tīkla ERA-NET COFUND projektu konsorcijos, t.sk. </w:t>
            </w:r>
            <w:r w:rsidRPr="008B628A">
              <w:rPr>
                <w:rFonts w:ascii="Times New Roman" w:hAnsi="Times New Roman" w:cs="Times New Roman"/>
              </w:rPr>
              <w:t>ERA-NET Smart Energy Systems</w:t>
            </w:r>
            <w:r w:rsidR="00FD3CEE" w:rsidRPr="008B628A">
              <w:rPr>
                <w:rStyle w:val="FootnoteReference"/>
                <w:rFonts w:ascii="Times New Roman" w:hAnsi="Times New Roman" w:cs="Times New Roman"/>
              </w:rPr>
              <w:footnoteReference w:id="149"/>
            </w:r>
          </w:p>
          <w:p w14:paraId="74296EB4" w14:textId="784760AD" w:rsidR="00550014" w:rsidRPr="008B628A" w:rsidRDefault="00550014" w:rsidP="00283C85">
            <w:pPr>
              <w:pStyle w:val="ListParagraph"/>
              <w:numPr>
                <w:ilvl w:val="0"/>
                <w:numId w:val="26"/>
              </w:numPr>
              <w:spacing w:before="60" w:after="60"/>
              <w:ind w:left="227" w:hanging="227"/>
              <w:contextualSpacing w:val="0"/>
              <w:rPr>
                <w:rFonts w:ascii="Times New Roman" w:hAnsi="Times New Roman" w:cs="Times New Roman"/>
              </w:rPr>
            </w:pPr>
            <w:r w:rsidRPr="008B628A">
              <w:rPr>
                <w:rFonts w:ascii="Times New Roman" w:hAnsi="Times New Roman" w:cs="Times New Roman"/>
                <w:szCs w:val="24"/>
              </w:rPr>
              <w:lastRenderedPageBreak/>
              <w:t xml:space="preserve">nodrošināta Latvijas dalība </w:t>
            </w:r>
            <w:r w:rsidRPr="008B628A">
              <w:rPr>
                <w:rFonts w:ascii="Times New Roman" w:hAnsi="Times New Roman" w:cs="Times New Roman"/>
              </w:rPr>
              <w:t>Baltic BONUS</w:t>
            </w:r>
            <w:r w:rsidR="00FD3CEE" w:rsidRPr="008B628A">
              <w:rPr>
                <w:rStyle w:val="FootnoteReference"/>
                <w:rFonts w:ascii="Times New Roman" w:hAnsi="Times New Roman" w:cs="Times New Roman"/>
              </w:rPr>
              <w:footnoteReference w:id="150"/>
            </w:r>
            <w:r w:rsidRPr="008B628A">
              <w:rPr>
                <w:rFonts w:ascii="Times New Roman" w:hAnsi="Times New Roman" w:cs="Times New Roman"/>
                <w:szCs w:val="24"/>
              </w:rPr>
              <w:t xml:space="preserve"> (2010-2017) programmā, kas sekmē starptautisko sadarbību zinātnē un inovācijā, atbalstot Latvijas zinātnieku un uzņēmēju partnerību pētniecības un inovācijas projektos ar Baltijas valstu vai Baltijas jūra reģiona ES dalībvalstu zinātniekiem un uzņēmējiem.</w:t>
            </w:r>
          </w:p>
        </w:tc>
        <w:tc>
          <w:tcPr>
            <w:tcW w:w="3402" w:type="dxa"/>
          </w:tcPr>
          <w:p w14:paraId="0D40FF4F" w14:textId="77777777" w:rsidR="00D92911" w:rsidRPr="008B628A" w:rsidRDefault="00D92911"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lastRenderedPageBreak/>
              <w:t>līdz 2023.gadam piesaistīt 16 milj. EUR privātās investīcijas</w:t>
            </w:r>
          </w:p>
          <w:p w14:paraId="4E3DC1A1" w14:textId="77777777" w:rsidR="00716A71" w:rsidRPr="008B628A" w:rsidRDefault="00D92911"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t>450 komersanti sadarbosies ar pētniecības institūcijām</w:t>
            </w:r>
          </w:p>
          <w:p w14:paraId="7488ED1E" w14:textId="782AC94C" w:rsidR="00D665A3" w:rsidRPr="008B628A" w:rsidRDefault="00D665A3"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t>Jauno produktu un tehnoloģiju skaits, kas komercializējami un kuru izstrādei sniegts atbalsts - 530</w:t>
            </w:r>
          </w:p>
        </w:tc>
        <w:tc>
          <w:tcPr>
            <w:tcW w:w="2273" w:type="dxa"/>
          </w:tcPr>
          <w:p w14:paraId="520557F2" w14:textId="491C12CE" w:rsidR="008C6F40" w:rsidRPr="008B628A" w:rsidRDefault="00D665A3" w:rsidP="00FC0191">
            <w:pPr>
              <w:spacing w:before="60" w:after="60"/>
              <w:rPr>
                <w:rFonts w:ascii="Times New Roman" w:hAnsi="Times New Roman" w:cs="Times New Roman"/>
              </w:rPr>
            </w:pPr>
            <w:r w:rsidRPr="008B628A">
              <w:rPr>
                <w:rFonts w:ascii="Times New Roman" w:hAnsi="Times New Roman" w:cs="Times New Roman"/>
              </w:rPr>
              <w:t>P</w:t>
            </w:r>
            <w:r w:rsidR="0087190C" w:rsidRPr="008B628A">
              <w:rPr>
                <w:rFonts w:ascii="Times New Roman" w:hAnsi="Times New Roman" w:cs="Times New Roman"/>
              </w:rPr>
              <w:t>a</w:t>
            </w:r>
            <w:r w:rsidRPr="008B628A">
              <w:rPr>
                <w:rFonts w:ascii="Times New Roman" w:hAnsi="Times New Roman" w:cs="Times New Roman"/>
              </w:rPr>
              <w:t>sākumu ietvaros plānotais kopējais finansējum – 333,8 milj.EUR.</w:t>
            </w:r>
          </w:p>
          <w:p w14:paraId="43FD904F" w14:textId="78AE1ABE" w:rsidR="00D665A3" w:rsidRPr="008B628A" w:rsidRDefault="00D665A3" w:rsidP="00FC0191">
            <w:pPr>
              <w:spacing w:before="60" w:after="60"/>
              <w:rPr>
                <w:rFonts w:ascii="Times New Roman" w:hAnsi="Times New Roman" w:cs="Times New Roman"/>
              </w:rPr>
            </w:pPr>
            <w:r w:rsidRPr="008B628A">
              <w:rPr>
                <w:rFonts w:ascii="Times New Roman" w:hAnsi="Times New Roman" w:cs="Times New Roman"/>
              </w:rPr>
              <w:t>Pasākumu ietvaros plānotais ERAF finansējums – 278,99 milj.EUR</w:t>
            </w:r>
          </w:p>
        </w:tc>
      </w:tr>
      <w:tr w:rsidR="009A6D73" w:rsidRPr="008B628A" w14:paraId="4D359015" w14:textId="77777777" w:rsidTr="008C6F40">
        <w:tc>
          <w:tcPr>
            <w:tcW w:w="3964" w:type="dxa"/>
            <w:shd w:val="clear" w:color="auto" w:fill="auto"/>
          </w:tcPr>
          <w:p w14:paraId="02373EDD" w14:textId="11E734B3"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lastRenderedPageBreak/>
              <w:t xml:space="preserve">ES fondu 2014.-2020.g. atbalsta mērķa </w:t>
            </w:r>
            <w:r w:rsidRPr="008B628A">
              <w:rPr>
                <w:rFonts w:ascii="Times New Roman" w:hAnsi="Times New Roman" w:cs="Times New Roman"/>
                <w:szCs w:val="24"/>
              </w:rPr>
              <w:t>Palielināt privātā sektora investīcijas P&amp;A” pasākumi:</w:t>
            </w:r>
          </w:p>
          <w:p w14:paraId="134F5BC3" w14:textId="77777777"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“Atbalsts jaunu produktu un tehnoloģiju izstrādei kompetences centru ietvaros”</w:t>
            </w:r>
          </w:p>
          <w:p w14:paraId="5DC1AEF9" w14:textId="77777777"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szCs w:val="24"/>
              </w:rPr>
            </w:pPr>
            <w:r w:rsidRPr="008B628A">
              <w:rPr>
                <w:rFonts w:ascii="Times New Roman" w:hAnsi="Times New Roman" w:cs="Times New Roman"/>
                <w:szCs w:val="24"/>
              </w:rPr>
              <w:t>“Atbalsts jaunu produktu ieviešanai ražošanā”;</w:t>
            </w:r>
          </w:p>
          <w:p w14:paraId="75A9590F" w14:textId="384C45AF"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rPr>
            </w:pPr>
            <w:r w:rsidRPr="008B628A">
              <w:rPr>
                <w:rFonts w:ascii="Times New Roman" w:hAnsi="Times New Roman" w:cs="Times New Roman"/>
                <w:szCs w:val="24"/>
              </w:rPr>
              <w:t>“Atbalsts tehnoloģiju pārneses sistēmas pilnveidošanai”</w:t>
            </w:r>
          </w:p>
        </w:tc>
        <w:tc>
          <w:tcPr>
            <w:tcW w:w="3402" w:type="dxa"/>
            <w:shd w:val="clear" w:color="auto" w:fill="auto"/>
          </w:tcPr>
          <w:p w14:paraId="0CB30945"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jaunu produktu un tehnoloģiju izstrādei kompetences centru ietvaros” ietvaros līdz 2023.gada 31.decembrim:</w:t>
            </w:r>
          </w:p>
          <w:p w14:paraId="4B775C0E"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123 komersantu un zinātnieku ilgtermiņa sadarbības projekti, lai laistu tirgū jaunus produktus;</w:t>
            </w:r>
          </w:p>
          <w:p w14:paraId="3D136392" w14:textId="67AD9CED"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pirmās un otrās kārtas ietvaros sertificēti izdevumi 17 296 746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2BDFB3C1" w14:textId="3CD1F305"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ceturtās kārtas ietvaros sertificēti izdevumi 16 781 880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3FFFB32D"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jaunu produktu ieviešanai ražošanā” ietvaros līdz 2023.gada 31.decembrim:</w:t>
            </w:r>
          </w:p>
          <w:p w14:paraId="4F89AACD"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30 komersanti jaunu tehnoloģiju izstrādei, lai laistu tirgū jaunus produktus;</w:t>
            </w:r>
          </w:p>
          <w:p w14:paraId="6F6A5210" w14:textId="543750E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veiktas privātās investīcijas vismaz 10 588 235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5CDB169D"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tehnoloģiju pārneses sistēmas pilnveidošanai” ietvaros līdz 2023.gada 31.decembrim:</w:t>
            </w:r>
          </w:p>
          <w:p w14:paraId="5BFF66F7"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100 pētniecības rezultātu komercializācijas projekti;</w:t>
            </w:r>
          </w:p>
          <w:p w14:paraId="7CCA837D" w14:textId="3108A9FB"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32</w:t>
            </w:r>
            <w:r w:rsidR="00554052" w:rsidRPr="008B628A">
              <w:rPr>
                <w:rFonts w:ascii="Times New Roman" w:hAnsi="Times New Roman" w:cs="Times New Roman"/>
              </w:rPr>
              <w:t>0 komersanti, kas saņem grantus.</w:t>
            </w:r>
          </w:p>
        </w:tc>
        <w:tc>
          <w:tcPr>
            <w:tcW w:w="2273" w:type="dxa"/>
            <w:shd w:val="clear" w:color="auto" w:fill="auto"/>
          </w:tcPr>
          <w:p w14:paraId="61FB2C28" w14:textId="3B0F4798" w:rsidR="009A6D73" w:rsidRPr="008B628A" w:rsidRDefault="00554052" w:rsidP="009A6D73">
            <w:pPr>
              <w:spacing w:before="60" w:after="60"/>
              <w:rPr>
                <w:rFonts w:ascii="Times New Roman" w:hAnsi="Times New Roman" w:cs="Times New Roman"/>
              </w:rPr>
            </w:pPr>
            <w:r w:rsidRPr="008B628A">
              <w:rPr>
                <w:rFonts w:ascii="Times New Roman" w:hAnsi="Times New Roman" w:cs="Times New Roman"/>
              </w:rPr>
              <w:t>Pasākumu ietvaros plānotais kopējais finansējums – 193,08 milj.EUR.</w:t>
            </w:r>
          </w:p>
          <w:p w14:paraId="3EE877ED" w14:textId="3083ABF5" w:rsidR="00554052" w:rsidRPr="008B628A" w:rsidRDefault="00554052" w:rsidP="009A6D73">
            <w:pPr>
              <w:spacing w:before="60" w:after="60"/>
              <w:rPr>
                <w:rFonts w:ascii="Times New Roman" w:hAnsi="Times New Roman" w:cs="Times New Roman"/>
              </w:rPr>
            </w:pPr>
            <w:r w:rsidRPr="008B628A">
              <w:rPr>
                <w:rFonts w:ascii="Times New Roman" w:hAnsi="Times New Roman" w:cs="Times New Roman"/>
              </w:rPr>
              <w:t>Pasākumu ietvaros plānotais ERAF finansējums – 158,81 milj.EUR.</w:t>
            </w:r>
          </w:p>
          <w:p w14:paraId="00235A1C" w14:textId="41A40235" w:rsidR="009A6D73" w:rsidRPr="008B628A" w:rsidRDefault="009A6D73" w:rsidP="009A6D73">
            <w:pPr>
              <w:spacing w:before="60" w:after="60"/>
              <w:rPr>
                <w:rFonts w:ascii="Times New Roman" w:hAnsi="Times New Roman" w:cs="Times New Roman"/>
              </w:rPr>
            </w:pPr>
          </w:p>
        </w:tc>
      </w:tr>
    </w:tbl>
    <w:p w14:paraId="2D93E747" w14:textId="2597DCDF"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lastRenderedPageBreak/>
        <w:t>ZTAI nozares efektīva pārvaldība (atbildīgā institūcija IZM)</w:t>
      </w:r>
    </w:p>
    <w:p w14:paraId="3E0D1865" w14:textId="77777777"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176D9D4E" w14:textId="77777777"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palielināt P&amp;A ieguldījumu efektivitāti; </w:t>
      </w:r>
    </w:p>
    <w:p w14:paraId="63387F2B" w14:textId="77777777"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nodrošināt valsts budžeta finansējuma palielināšanu zinātnes, tehnoloģiju un inovāciju nozarei un piešķirt zinātnes bāzes finansējumu atbilstoši šiem uzstādījumiem; </w:t>
      </w:r>
    </w:p>
    <w:p w14:paraId="0973798E" w14:textId="26EE70DB"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ieviest </w:t>
      </w:r>
      <w:r w:rsidR="00FF06DD" w:rsidRPr="008B628A">
        <w:rPr>
          <w:rFonts w:ascii="Times New Roman" w:hAnsi="Times New Roman" w:cs="Times New Roman"/>
          <w:szCs w:val="24"/>
        </w:rPr>
        <w:t xml:space="preserve">ZTAI </w:t>
      </w:r>
      <w:r w:rsidRPr="008B628A">
        <w:rPr>
          <w:rFonts w:ascii="Times New Roman" w:hAnsi="Times New Roman" w:cs="Times New Roman"/>
          <w:szCs w:val="24"/>
        </w:rPr>
        <w:t>politikas ieviešanas monitoringa un ietekmes novērtēšanas sistēmu.</w:t>
      </w:r>
    </w:p>
    <w:p w14:paraId="37BF79A5" w14:textId="0A65250C"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 xml:space="preserve">Atbalsts inovatīvu komersantu attīstībai (atbildīgā institūcija EM, </w:t>
      </w:r>
      <w:r w:rsidR="00F60A85" w:rsidRPr="008B628A">
        <w:rPr>
          <w:rFonts w:ascii="Times New Roman" w:hAnsi="Times New Roman" w:cs="Times New Roman"/>
          <w:szCs w:val="24"/>
          <w:u w:val="single"/>
        </w:rPr>
        <w:t>IZM</w:t>
      </w:r>
      <w:r w:rsidRPr="008B628A">
        <w:rPr>
          <w:rFonts w:ascii="Times New Roman" w:hAnsi="Times New Roman" w:cs="Times New Roman"/>
          <w:szCs w:val="24"/>
          <w:u w:val="single"/>
        </w:rPr>
        <w:t>)</w:t>
      </w:r>
    </w:p>
    <w:p w14:paraId="7E5D5F03" w14:textId="58814AF3" w:rsidR="009A6D73" w:rsidRPr="008B628A" w:rsidRDefault="009A6D73" w:rsidP="009A6D7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Politikas virziena uzdevuma īstenošanai plānots izmantot ES fondu 2014.-2020.g. specifiskā atbalsta mērķu „Palielināt privātā sektora investīcijas P&amp;A” un “Veicināt inovāciju ieviešanu komersantos” pasākumu finansējumu.</w:t>
      </w:r>
      <w:r w:rsidR="001F44B0" w:rsidRPr="008B628A">
        <w:rPr>
          <w:rFonts w:ascii="Times New Roman" w:hAnsi="Times New Roman" w:cs="Times New Roman"/>
          <w:szCs w:val="24"/>
        </w:rPr>
        <w:t xml:space="preserve"> Indikatīvi šos pasākumus varētu arī līdzvērtīgi īstenot arī periodā pēc 2021.gada</w:t>
      </w:r>
    </w:p>
    <w:p w14:paraId="70E31630" w14:textId="0285BB90"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Sabiedrības izpratnes veicināšana, zinātnes un inovācijas popularizēšana (atbildīgā institūcija IZM)</w:t>
      </w:r>
    </w:p>
    <w:p w14:paraId="231AC609" w14:textId="77777777"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Mērķis ir zinātnes un inovāciju, kā arī nozares sasniegumu popularizēšana, kas varētu pozitīvi ietekmēt talantīgu jauniešu piesaisti zinātnei un tehnoloģiju attīstībai.</w:t>
      </w:r>
    </w:p>
    <w:p w14:paraId="16727E34" w14:textId="14E1A0A1"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Pasaules latviešu zinātnieku kongres</w:t>
      </w:r>
      <w:r w:rsidR="00751808" w:rsidRPr="008B628A">
        <w:rPr>
          <w:rFonts w:ascii="Times New Roman" w:hAnsi="Times New Roman" w:cs="Times New Roman"/>
          <w:szCs w:val="24"/>
        </w:rPr>
        <w:t>ā</w:t>
      </w:r>
      <w:r w:rsidRPr="008B628A">
        <w:rPr>
          <w:rFonts w:ascii="Times New Roman" w:hAnsi="Times New Roman" w:cs="Times New Roman"/>
          <w:szCs w:val="24"/>
        </w:rPr>
        <w:t>, kas paredzēts 2018. gada 18.-21. jūnijā</w:t>
      </w:r>
      <w:r w:rsidR="00751808" w:rsidRPr="008B628A">
        <w:rPr>
          <w:rFonts w:ascii="Times New Roman" w:hAnsi="Times New Roman" w:cs="Times New Roman"/>
          <w:szCs w:val="24"/>
        </w:rPr>
        <w:t xml:space="preserve">, ir plānots </w:t>
      </w:r>
      <w:r w:rsidRPr="008B628A">
        <w:rPr>
          <w:rFonts w:ascii="Times New Roman" w:hAnsi="Times New Roman" w:cs="Times New Roman"/>
          <w:szCs w:val="24"/>
        </w:rPr>
        <w:t>savest kopā Latvijas un Latvijas izcelsmes zinātniekus un viņu draugus, lai diskutētu par Latvijas attīstību nākamajos simts un divsimt gados.</w:t>
      </w:r>
    </w:p>
    <w:p w14:paraId="416052AE" w14:textId="5C6C38AE"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 2018. gada līdz 2023. gadam plānots īstenot zinātnes popularizēšanas integrēto kampaņu, kas veicinās sabiedrības izpratnes veicināšanu par zinātnes nozīmīgumu labklājības veicināšanā un tautsaimniecības konkurētspējas sekmēšanā.</w:t>
      </w:r>
    </w:p>
    <w:p w14:paraId="630FD659" w14:textId="65485D68" w:rsidR="00561BB9" w:rsidRPr="008B628A" w:rsidRDefault="00561BB9"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eastAsia="Times New Roman" w:hAnsi="Times New Roman"/>
          <w:szCs w:val="24"/>
          <w:u w:val="single"/>
        </w:rPr>
        <w:t xml:space="preserve">Pētniecībā nodarbinātā cilvēkkapitāla palielināšana, zināšanu bāzes veidošana, pētnieciskās sadarbības stimulēšana </w:t>
      </w:r>
      <w:r w:rsidRPr="008B628A">
        <w:rPr>
          <w:rFonts w:ascii="Times New Roman" w:hAnsi="Times New Roman" w:cs="Times New Roman"/>
          <w:szCs w:val="24"/>
          <w:u w:val="single"/>
        </w:rPr>
        <w:t>(atbildīgā institūcija IZM)</w:t>
      </w:r>
    </w:p>
    <w:p w14:paraId="12674FA8" w14:textId="77777777" w:rsidR="00561BB9" w:rsidRPr="008B628A" w:rsidRDefault="00561BB9" w:rsidP="00561BB9">
      <w:pPr>
        <w:spacing w:before="120" w:after="120" w:line="240" w:lineRule="auto"/>
        <w:jc w:val="both"/>
        <w:rPr>
          <w:rFonts w:ascii="Times New Roman" w:eastAsia="Times New Roman" w:hAnsi="Times New Roman"/>
          <w:szCs w:val="24"/>
        </w:rPr>
      </w:pPr>
      <w:r w:rsidRPr="008B628A">
        <w:rPr>
          <w:rFonts w:ascii="Times New Roman" w:hAnsi="Times New Roman"/>
          <w:szCs w:val="24"/>
        </w:rPr>
        <w:t>IZM īstenotie pasākumi ir horizontāli un politikas instrumenti tiek plānoti ar mērķi palielināt pētniecībā nodarbināto cilvēku skaitu un stiprināt inovācijas kapacitāti Latvijā kopumā, attīstīt pētniecības un inovāciju infrastruktūru un nodrošināt tās pieejamību, kā arī stimulēt savstarpējo sadarbību starp zinātniskajām institūcijām un zināšanu un tehnoloģiju pārnesi starp pētniecību un uzņēmējdarbību.</w:t>
      </w:r>
    </w:p>
    <w:p w14:paraId="13573462" w14:textId="00125867" w:rsidR="00FD3CEE"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47" w:name="_Toc531333151"/>
      <w:r w:rsidR="006067D4">
        <w:rPr>
          <w:noProof/>
        </w:rPr>
        <w:t>9</w:t>
      </w:r>
      <w:r w:rsidRPr="008B628A">
        <w:rPr>
          <w:noProof/>
        </w:rPr>
        <w:fldChar w:fldCharType="end"/>
      </w:r>
      <w:r w:rsidR="00FD3CEE" w:rsidRPr="008B628A">
        <w:t>.tabula. Pasākumi pētniecībā nodarbinātā cilvēkkapitāla palielināšanai, zināšanu bāzes veidošanai, pētnieciskās sadarbības stimulēšanai</w:t>
      </w:r>
      <w:bookmarkEnd w:id="247"/>
    </w:p>
    <w:tbl>
      <w:tblPr>
        <w:tblStyle w:val="TableGrid"/>
        <w:tblW w:w="9639" w:type="dxa"/>
        <w:tblLook w:val="04A0" w:firstRow="1" w:lastRow="0" w:firstColumn="1" w:lastColumn="0" w:noHBand="0" w:noVBand="1"/>
      </w:tblPr>
      <w:tblGrid>
        <w:gridCol w:w="6737"/>
        <w:gridCol w:w="2902"/>
      </w:tblGrid>
      <w:tr w:rsidR="00561BB9" w:rsidRPr="008B628A" w14:paraId="2B0E72E6" w14:textId="77777777" w:rsidTr="0046072B">
        <w:tc>
          <w:tcPr>
            <w:tcW w:w="6737" w:type="dxa"/>
            <w:shd w:val="clear" w:color="auto" w:fill="F2F2F2" w:themeFill="background1" w:themeFillShade="F2"/>
          </w:tcPr>
          <w:p w14:paraId="6407F2C2" w14:textId="77777777" w:rsidR="00561BB9" w:rsidRPr="008B628A" w:rsidRDefault="00561BB9" w:rsidP="00FD3CEE">
            <w:pPr>
              <w:spacing w:before="60" w:after="60"/>
              <w:jc w:val="center"/>
              <w:rPr>
                <w:rFonts w:ascii="Times New Roman" w:eastAsia="Times New Roman" w:hAnsi="Times New Roman" w:cs="Times New Roman"/>
                <w:b/>
                <w:szCs w:val="24"/>
              </w:rPr>
            </w:pPr>
            <w:r w:rsidRPr="008B628A">
              <w:rPr>
                <w:rFonts w:ascii="Times New Roman" w:eastAsia="Times New Roman" w:hAnsi="Times New Roman" w:cs="Times New Roman"/>
                <w:b/>
                <w:szCs w:val="24"/>
              </w:rPr>
              <w:t>Īstenotie pasākumi</w:t>
            </w:r>
          </w:p>
        </w:tc>
        <w:tc>
          <w:tcPr>
            <w:tcW w:w="2902" w:type="dxa"/>
            <w:shd w:val="clear" w:color="auto" w:fill="F2F2F2" w:themeFill="background1" w:themeFillShade="F2"/>
          </w:tcPr>
          <w:p w14:paraId="1FF8E8FA" w14:textId="77777777" w:rsidR="00561BB9" w:rsidRPr="008B628A" w:rsidRDefault="00561BB9" w:rsidP="00FD3CEE">
            <w:pPr>
              <w:spacing w:before="60" w:after="60"/>
              <w:jc w:val="center"/>
              <w:rPr>
                <w:rFonts w:ascii="Times New Roman" w:eastAsia="Times New Roman" w:hAnsi="Times New Roman" w:cs="Times New Roman"/>
                <w:b/>
                <w:szCs w:val="24"/>
              </w:rPr>
            </w:pPr>
            <w:r w:rsidRPr="008B628A">
              <w:rPr>
                <w:rFonts w:ascii="Times New Roman" w:eastAsia="Times New Roman" w:hAnsi="Times New Roman" w:cs="Times New Roman"/>
                <w:b/>
                <w:szCs w:val="24"/>
              </w:rPr>
              <w:t>Plānotie pasākumi</w:t>
            </w:r>
          </w:p>
        </w:tc>
      </w:tr>
      <w:tr w:rsidR="00561BB9" w:rsidRPr="008B628A" w14:paraId="42801C3E" w14:textId="77777777" w:rsidTr="00561BB9">
        <w:tc>
          <w:tcPr>
            <w:tcW w:w="6737" w:type="dxa"/>
            <w:vMerge w:val="restart"/>
          </w:tcPr>
          <w:p w14:paraId="0375B5AD" w14:textId="77777777"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hAnsi="Times New Roman" w:cs="Times New Roman"/>
                <w:color w:val="000000"/>
                <w:szCs w:val="24"/>
              </w:rPr>
              <w:t>Lai fokusētu zinātnisko pētniecību uz Latvijas ilgtspējai un attīstībai stratēģiski svarīgiem jautājumiem, r</w:t>
            </w:r>
            <w:r w:rsidRPr="008B628A">
              <w:rPr>
                <w:rFonts w:ascii="Times New Roman" w:eastAsia="Times New Roman" w:hAnsi="Times New Roman" w:cs="Times New Roman"/>
                <w:szCs w:val="24"/>
              </w:rPr>
              <w:t>eizi 4 gados tiek noteikti Latvijas prioritārie virzieni zinātnē, kuros tiek ietverta arī enerģētikas un klimata tematika</w:t>
            </w:r>
          </w:p>
          <w:p w14:paraId="55C758B5" w14:textId="4B06EEC8" w:rsidR="00561BB9" w:rsidRPr="008B628A" w:rsidRDefault="00561BB9" w:rsidP="00283C85">
            <w:pPr>
              <w:pStyle w:val="ListParagraph"/>
              <w:numPr>
                <w:ilvl w:val="0"/>
                <w:numId w:val="25"/>
              </w:numPr>
              <w:spacing w:before="60" w:after="60"/>
              <w:contextualSpacing w:val="0"/>
              <w:rPr>
                <w:rFonts w:ascii="Times New Roman" w:eastAsia="Times New Roman" w:hAnsi="Times New Roman" w:cs="Times New Roman"/>
                <w:szCs w:val="24"/>
              </w:rPr>
            </w:pPr>
            <w:r w:rsidRPr="008B628A">
              <w:rPr>
                <w:rFonts w:ascii="Times New Roman" w:eastAsia="Times New Roman" w:hAnsi="Times New Roman" w:cs="Times New Roman"/>
              </w:rPr>
              <w:t>Prioritārie virzieni zinātnē 2014-2017</w:t>
            </w:r>
            <w:r w:rsidR="00FD3CEE" w:rsidRPr="008B628A">
              <w:rPr>
                <w:rStyle w:val="FootnoteReference"/>
                <w:rFonts w:ascii="Times New Roman" w:eastAsia="Times New Roman" w:hAnsi="Times New Roman" w:cs="Times New Roman"/>
              </w:rPr>
              <w:footnoteReference w:id="151"/>
            </w:r>
            <w:r w:rsidRPr="008B628A">
              <w:rPr>
                <w:rFonts w:ascii="Times New Roman" w:eastAsia="Times New Roman" w:hAnsi="Times New Roman" w:cs="Times New Roman"/>
              </w:rPr>
              <w:t>.</w:t>
            </w:r>
          </w:p>
          <w:p w14:paraId="5BA2EDB2" w14:textId="4B1571FF" w:rsidR="00561BB9" w:rsidRPr="008B628A" w:rsidRDefault="00561BB9" w:rsidP="00283C85">
            <w:pPr>
              <w:pStyle w:val="ListParagraph"/>
              <w:numPr>
                <w:ilvl w:val="0"/>
                <w:numId w:val="25"/>
              </w:numPr>
              <w:spacing w:before="60" w:after="60"/>
              <w:contextualSpacing w:val="0"/>
              <w:rPr>
                <w:rStyle w:val="Hyperlink"/>
                <w:rFonts w:ascii="Times New Roman" w:eastAsia="Times New Roman" w:hAnsi="Times New Roman" w:cs="Times New Roman"/>
              </w:rPr>
            </w:pPr>
            <w:r w:rsidRPr="008B628A">
              <w:rPr>
                <w:rFonts w:ascii="Times New Roman" w:eastAsia="Times New Roman" w:hAnsi="Times New Roman" w:cs="Times New Roman"/>
              </w:rPr>
              <w:t>Prioritārie virzieni 2018-2021</w:t>
            </w:r>
            <w:r w:rsidR="00FD3CEE" w:rsidRPr="008B628A">
              <w:rPr>
                <w:rStyle w:val="FootnoteReference"/>
                <w:rFonts w:ascii="Times New Roman" w:eastAsia="Times New Roman" w:hAnsi="Times New Roman" w:cs="Times New Roman"/>
              </w:rPr>
              <w:footnoteReference w:id="152"/>
            </w:r>
            <w:r w:rsidRPr="008B628A">
              <w:rPr>
                <w:rFonts w:ascii="Times New Roman" w:eastAsia="Times New Roman" w:hAnsi="Times New Roman" w:cs="Times New Roman"/>
              </w:rPr>
              <w:t>.</w:t>
            </w:r>
          </w:p>
          <w:p w14:paraId="1485AC9E" w14:textId="77777777" w:rsidR="00561BB9" w:rsidRPr="008B628A" w:rsidRDefault="00561BB9" w:rsidP="00FD3CEE">
            <w:pPr>
              <w:spacing w:before="60" w:after="60"/>
              <w:rPr>
                <w:rFonts w:ascii="Times New Roman" w:eastAsia="Times New Roman" w:hAnsi="Times New Roman" w:cs="Times New Roman"/>
                <w:szCs w:val="24"/>
              </w:rPr>
            </w:pPr>
          </w:p>
          <w:p w14:paraId="673BF2E7" w14:textId="77777777" w:rsidR="00561BB9" w:rsidRPr="008B628A" w:rsidRDefault="00561BB9" w:rsidP="00FD3CEE">
            <w:pPr>
              <w:spacing w:before="60" w:after="60"/>
              <w:rPr>
                <w:rFonts w:ascii="Times New Roman" w:eastAsia="Times New Roman" w:hAnsi="Times New Roman" w:cs="Times New Roman"/>
                <w:szCs w:val="24"/>
                <w:u w:val="single"/>
              </w:rPr>
            </w:pPr>
            <w:r w:rsidRPr="008B628A">
              <w:rPr>
                <w:rFonts w:ascii="Times New Roman" w:eastAsia="Times New Roman" w:hAnsi="Times New Roman" w:cs="Times New Roman"/>
                <w:szCs w:val="24"/>
                <w:u w:val="single"/>
              </w:rPr>
              <w:t>Valsts budžeta finansētās pētniecības programmas</w:t>
            </w:r>
          </w:p>
          <w:p w14:paraId="65E3F49A" w14:textId="466AB5DD" w:rsidR="00561BB9" w:rsidRPr="008B628A" w:rsidRDefault="00561BB9" w:rsidP="00FD3CEE">
            <w:pPr>
              <w:spacing w:before="60" w:after="60"/>
              <w:rPr>
                <w:rFonts w:ascii="Times New Roman" w:hAnsi="Times New Roman" w:cs="Times New Roman"/>
                <w:color w:val="000000"/>
                <w:szCs w:val="24"/>
              </w:rPr>
            </w:pPr>
            <w:r w:rsidRPr="008B628A">
              <w:rPr>
                <w:rFonts w:ascii="Times New Roman" w:eastAsia="Times New Roman" w:hAnsi="Times New Roman" w:cs="Times New Roman"/>
                <w:i/>
                <w:szCs w:val="24"/>
              </w:rPr>
              <w:t>Fundamentālo un li</w:t>
            </w:r>
            <w:r w:rsidR="00751808" w:rsidRPr="008B628A">
              <w:rPr>
                <w:rFonts w:ascii="Times New Roman" w:eastAsia="Times New Roman" w:hAnsi="Times New Roman" w:cs="Times New Roman"/>
                <w:i/>
                <w:szCs w:val="24"/>
              </w:rPr>
              <w:t xml:space="preserve">etišķo projektu programma (FLP) </w:t>
            </w:r>
            <w:r w:rsidRPr="008B628A">
              <w:rPr>
                <w:rFonts w:ascii="Times New Roman" w:hAnsi="Times New Roman" w:cs="Times New Roman"/>
                <w:color w:val="000000"/>
                <w:szCs w:val="24"/>
              </w:rPr>
              <w:t>tiek īstenota ar mērķi radīt jaunas zināšanas un tehnoloģiskās atziņas visās</w:t>
            </w:r>
            <w:r w:rsidRPr="008B628A">
              <w:rPr>
                <w:rFonts w:ascii="Times New Roman" w:hAnsi="Times New Roman" w:cs="Times New Roman"/>
                <w:szCs w:val="24"/>
              </w:rPr>
              <w:t xml:space="preserve"> </w:t>
            </w:r>
            <w:r w:rsidRPr="008B628A">
              <w:rPr>
                <w:rFonts w:ascii="Times New Roman" w:hAnsi="Times New Roman" w:cs="Times New Roman"/>
                <w:szCs w:val="24"/>
              </w:rPr>
              <w:lastRenderedPageBreak/>
              <w:t>zinātņu nozarēs</w:t>
            </w:r>
            <w:r w:rsidRPr="008B628A">
              <w:rPr>
                <w:rFonts w:ascii="Times New Roman" w:hAnsi="Times New Roman" w:cs="Times New Roman"/>
                <w:color w:val="000000"/>
                <w:szCs w:val="24"/>
              </w:rPr>
              <w:t xml:space="preserve"> atbilstoši Latvijas prioritārajiem virzieniem zinātnē. FLP tiek organizēts atvērta projektu konkursa pieteikumu veidā, kur pētniecības tēmas atbilstoši pētniecības kapacitātei un virzienam definē paši zinātnieki.</w:t>
            </w:r>
          </w:p>
          <w:p w14:paraId="752BA796" w14:textId="1595F787" w:rsidR="00561BB9" w:rsidRPr="008B628A" w:rsidRDefault="00561BB9" w:rsidP="00FD3CEE">
            <w:pPr>
              <w:spacing w:before="60" w:after="60"/>
              <w:rPr>
                <w:rFonts w:ascii="Times New Roman" w:hAnsi="Times New Roman" w:cs="Times New Roman"/>
                <w:color w:val="000000"/>
                <w:szCs w:val="24"/>
              </w:rPr>
            </w:pPr>
            <w:r w:rsidRPr="008B628A">
              <w:rPr>
                <w:rFonts w:ascii="Times New Roman" w:hAnsi="Times New Roman" w:cs="Times New Roman"/>
                <w:color w:val="000000"/>
                <w:szCs w:val="24"/>
              </w:rPr>
              <w:t xml:space="preserve">2018. gadā jau organizēts 1. kārtas FLP konkurss atbilstoši 2017. gada 15.decembrī apstiprinātajiem jaunajiem </w:t>
            </w:r>
            <w:r w:rsidRPr="008B628A">
              <w:rPr>
                <w:rFonts w:ascii="Times New Roman" w:hAnsi="Times New Roman" w:cs="Times New Roman"/>
              </w:rPr>
              <w:t>FLP noteikumi</w:t>
            </w:r>
            <w:r w:rsidRPr="008B628A">
              <w:rPr>
                <w:rFonts w:ascii="Times New Roman" w:hAnsi="Times New Roman" w:cs="Times New Roman"/>
                <w:color w:val="000000"/>
                <w:szCs w:val="24"/>
              </w:rPr>
              <w:t>em</w:t>
            </w:r>
            <w:r w:rsidR="00FD3CEE" w:rsidRPr="008B628A">
              <w:rPr>
                <w:rStyle w:val="FootnoteReference"/>
                <w:rFonts w:ascii="Times New Roman" w:hAnsi="Times New Roman" w:cs="Times New Roman"/>
                <w:color w:val="000000"/>
                <w:szCs w:val="24"/>
              </w:rPr>
              <w:footnoteReference w:id="153"/>
            </w:r>
            <w:r w:rsidRPr="008B628A">
              <w:rPr>
                <w:rFonts w:ascii="Times New Roman" w:hAnsi="Times New Roman" w:cs="Times New Roman"/>
                <w:color w:val="000000"/>
                <w:szCs w:val="24"/>
              </w:rPr>
              <w:t xml:space="preserve">, kur finansējuma piešķiršanas galvenais nosacījums ir projekta zinātniskā kvalitāte, kuru izvērtē ārvalstu eksperti. </w:t>
            </w:r>
          </w:p>
          <w:p w14:paraId="26C92F10" w14:textId="77777777" w:rsidR="00561BB9" w:rsidRPr="008B628A" w:rsidRDefault="00561BB9" w:rsidP="00FD3CEE">
            <w:pPr>
              <w:spacing w:before="60" w:after="60"/>
              <w:rPr>
                <w:rFonts w:ascii="Times New Roman" w:hAnsi="Times New Roman" w:cs="Times New Roman"/>
                <w:color w:val="000000"/>
                <w:szCs w:val="24"/>
              </w:rPr>
            </w:pPr>
          </w:p>
          <w:p w14:paraId="775572E5" w14:textId="0BE35B49" w:rsidR="00B37284" w:rsidRPr="008B628A" w:rsidRDefault="00FF06DD" w:rsidP="008E27A8">
            <w:pPr>
              <w:spacing w:before="60" w:after="60"/>
              <w:rPr>
                <w:rFonts w:ascii="Times New Roman" w:hAnsi="Times New Roman" w:cs="Times New Roman"/>
                <w:color w:val="000000"/>
                <w:szCs w:val="24"/>
              </w:rPr>
            </w:pPr>
            <w:r w:rsidRPr="008B628A">
              <w:rPr>
                <w:rFonts w:ascii="Times New Roman" w:hAnsi="Times New Roman" w:cs="Times New Roman"/>
                <w:color w:val="000000"/>
                <w:szCs w:val="24"/>
              </w:rPr>
              <w:t xml:space="preserve">Valsts pētījumu programma (VPP) - valsts pasūtījums zinātnisku pētījumu veikšanai noteiktā valstij prioritārā nozarē ar mērķi radīt jaunas zināšanas, prasmes un inovācijas un attīstīt jaunus produktus, procesus un pakalpojumus, tādā veidā veicinot šīs nozares un valsts stratēģisko attīstības mērķu sasniegšanu. Valsts pētījumu programmas veido un finansē nozaru ministrijas. Periodā 2018.-2021. gadam Ekonomikas ministrija īsteno VPP „Enerģētikā” 4 tematiskajos virzienos </w:t>
            </w:r>
            <w:r w:rsidR="009A3A54" w:rsidRPr="008B628A">
              <w:rPr>
                <w:rFonts w:ascii="Times New Roman" w:hAnsi="Times New Roman" w:cs="Times New Roman"/>
                <w:color w:val="000000"/>
                <w:szCs w:val="24"/>
              </w:rPr>
              <w:t>–</w:t>
            </w:r>
            <w:r w:rsidRPr="008B628A">
              <w:rPr>
                <w:rFonts w:ascii="Times New Roman" w:hAnsi="Times New Roman" w:cs="Times New Roman"/>
                <w:color w:val="000000"/>
                <w:szCs w:val="24"/>
              </w:rPr>
              <w:t xml:space="preserve"> </w:t>
            </w:r>
            <w:r w:rsidRPr="008B628A">
              <w:rPr>
                <w:rFonts w:ascii="Times New Roman" w:hAnsi="Times New Roman" w:cs="Times New Roman"/>
                <w:color w:val="000000"/>
              </w:rPr>
              <w:t>Atjaunojamie un vietējie energoresursi, Energoefektivitāte, Ilgtspējīga enerģētikas infrastruktūra un tirgus un Valsts ilgtermiņa enerģētikas politikas plānošanas analītiskais ietvars.</w:t>
            </w:r>
          </w:p>
        </w:tc>
        <w:tc>
          <w:tcPr>
            <w:tcW w:w="2902" w:type="dxa"/>
          </w:tcPr>
          <w:p w14:paraId="2425A824" w14:textId="404F9CAE"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eastAsia="Times New Roman" w:hAnsi="Times New Roman" w:cs="Times New Roman"/>
                <w:szCs w:val="24"/>
              </w:rPr>
              <w:lastRenderedPageBreak/>
              <w:t xml:space="preserve">Turpināt FLP </w:t>
            </w:r>
            <w:r w:rsidR="00751808" w:rsidRPr="008B628A">
              <w:rPr>
                <w:rFonts w:ascii="Times New Roman" w:eastAsia="Times New Roman" w:hAnsi="Times New Roman" w:cs="Times New Roman"/>
                <w:szCs w:val="24"/>
              </w:rPr>
              <w:t xml:space="preserve">un VPP </w:t>
            </w:r>
            <w:r w:rsidRPr="008B628A">
              <w:rPr>
                <w:rFonts w:ascii="Times New Roman" w:eastAsia="Times New Roman" w:hAnsi="Times New Roman" w:cs="Times New Roman"/>
                <w:szCs w:val="24"/>
              </w:rPr>
              <w:t>īstenošanu.</w:t>
            </w:r>
          </w:p>
          <w:p w14:paraId="53B024C0" w14:textId="77777777" w:rsidR="00561BB9" w:rsidRPr="008B628A" w:rsidRDefault="00561BB9" w:rsidP="00FD3CEE">
            <w:pPr>
              <w:spacing w:before="60" w:after="60"/>
              <w:rPr>
                <w:rFonts w:ascii="Times New Roman" w:eastAsia="Times New Roman" w:hAnsi="Times New Roman" w:cs="Times New Roman"/>
                <w:szCs w:val="24"/>
                <w:highlight w:val="yellow"/>
              </w:rPr>
            </w:pPr>
          </w:p>
          <w:p w14:paraId="277EB204" w14:textId="77777777" w:rsidR="00561BB9" w:rsidRPr="008B628A" w:rsidRDefault="00561BB9" w:rsidP="00FD3CEE">
            <w:pPr>
              <w:spacing w:before="60" w:after="60"/>
              <w:rPr>
                <w:rFonts w:ascii="Times New Roman" w:eastAsia="Times New Roman" w:hAnsi="Times New Roman" w:cs="Times New Roman"/>
                <w:szCs w:val="24"/>
              </w:rPr>
            </w:pPr>
          </w:p>
        </w:tc>
      </w:tr>
      <w:tr w:rsidR="00561BB9" w:rsidRPr="008B628A" w14:paraId="322180F2" w14:textId="77777777" w:rsidTr="00561BB9">
        <w:tc>
          <w:tcPr>
            <w:tcW w:w="6737" w:type="dxa"/>
            <w:vMerge/>
          </w:tcPr>
          <w:p w14:paraId="6C27214A" w14:textId="77777777" w:rsidR="00561BB9" w:rsidRPr="008B628A" w:rsidRDefault="00561BB9" w:rsidP="00FD3CEE">
            <w:pPr>
              <w:spacing w:before="60" w:after="60"/>
              <w:rPr>
                <w:rFonts w:ascii="Times New Roman" w:eastAsia="Times New Roman" w:hAnsi="Times New Roman" w:cs="Times New Roman"/>
                <w:szCs w:val="24"/>
              </w:rPr>
            </w:pPr>
          </w:p>
        </w:tc>
        <w:tc>
          <w:tcPr>
            <w:tcW w:w="2902" w:type="dxa"/>
          </w:tcPr>
          <w:p w14:paraId="01E23E7E" w14:textId="15E8BEFF"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eastAsia="Times New Roman" w:hAnsi="Times New Roman" w:cs="Times New Roman"/>
                <w:szCs w:val="24"/>
              </w:rPr>
              <w:t>Sekmēt Latvijas zinātnisko institūciju, uzņēmumu, valsts pārvaldes iestāžu un sabiedrisko organizāciju dalību un starptautisko sadarbību jaunajā E</w:t>
            </w:r>
            <w:r w:rsidR="004C7936" w:rsidRPr="008B628A">
              <w:rPr>
                <w:rFonts w:ascii="Times New Roman" w:eastAsia="Times New Roman" w:hAnsi="Times New Roman" w:cs="Times New Roman"/>
                <w:szCs w:val="24"/>
              </w:rPr>
              <w:t>S</w:t>
            </w:r>
            <w:r w:rsidRPr="008B628A">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lastRenderedPageBreak/>
              <w:t xml:space="preserve">pētniecības un inovāciju programmā </w:t>
            </w:r>
            <w:r w:rsidR="004C7936" w:rsidRPr="008B628A">
              <w:rPr>
                <w:rFonts w:ascii="Times New Roman" w:eastAsia="Times New Roman" w:hAnsi="Times New Roman" w:cs="Times New Roman"/>
                <w:i/>
              </w:rPr>
              <w:t>Apvārsnis Eiropa</w:t>
            </w:r>
            <w:r w:rsidRPr="008B628A">
              <w:rPr>
                <w:rFonts w:ascii="Times New Roman" w:eastAsia="Times New Roman" w:hAnsi="Times New Roman" w:cs="Times New Roman"/>
              </w:rPr>
              <w:t xml:space="preserve"> (2021-2027)</w:t>
            </w:r>
            <w:r w:rsidR="00FD3CEE" w:rsidRPr="008B628A">
              <w:rPr>
                <w:rStyle w:val="FootnoteReference"/>
                <w:rFonts w:ascii="Times New Roman" w:eastAsia="Times New Roman" w:hAnsi="Times New Roman" w:cs="Times New Roman"/>
              </w:rPr>
              <w:footnoteReference w:id="154"/>
            </w:r>
            <w:r w:rsidRPr="008B628A">
              <w:rPr>
                <w:rFonts w:ascii="Times New Roman" w:eastAsia="Times New Roman" w:hAnsi="Times New Roman" w:cs="Times New Roman"/>
              </w:rPr>
              <w:t>,</w:t>
            </w:r>
            <w:r w:rsidRPr="008B628A">
              <w:rPr>
                <w:rFonts w:ascii="Times New Roman" w:eastAsia="Times New Roman" w:hAnsi="Times New Roman" w:cs="Times New Roman"/>
                <w:szCs w:val="24"/>
              </w:rPr>
              <w:t xml:space="preserve"> kur viens no trīs pīlāriem ir </w:t>
            </w:r>
            <w:r w:rsidR="004517BF" w:rsidRPr="008B628A">
              <w:rPr>
                <w:rFonts w:ascii="Times New Roman" w:eastAsia="Times New Roman" w:hAnsi="Times New Roman" w:cs="Times New Roman"/>
                <w:szCs w:val="24"/>
              </w:rPr>
              <w:t>Globālie izaicinājumi un industriālā konkurētspēja un viena no piecām tematiskajām kopām tiek plānota “Klimats, enerģija un mobilitāte”.</w:t>
            </w:r>
          </w:p>
          <w:p w14:paraId="5F842656" w14:textId="77777777" w:rsidR="00561BB9" w:rsidRPr="008B628A" w:rsidRDefault="00561BB9" w:rsidP="00FD3CEE">
            <w:pPr>
              <w:spacing w:before="60" w:after="60"/>
              <w:rPr>
                <w:rFonts w:ascii="Times New Roman" w:eastAsia="Times New Roman" w:hAnsi="Times New Roman" w:cs="Times New Roman"/>
                <w:szCs w:val="24"/>
              </w:rPr>
            </w:pPr>
          </w:p>
          <w:p w14:paraId="6BBFA4C8" w14:textId="77777777" w:rsidR="00561BB9" w:rsidRPr="008B628A" w:rsidRDefault="00561BB9" w:rsidP="00FD3CEE">
            <w:pPr>
              <w:spacing w:before="60" w:after="60"/>
              <w:rPr>
                <w:rFonts w:ascii="Times New Roman" w:eastAsia="Times New Roman" w:hAnsi="Times New Roman" w:cs="Times New Roman"/>
                <w:szCs w:val="24"/>
              </w:rPr>
            </w:pPr>
          </w:p>
        </w:tc>
      </w:tr>
    </w:tbl>
    <w:p w14:paraId="4EB8115B" w14:textId="1CF4004D" w:rsidR="00E23B5E" w:rsidRPr="008B628A" w:rsidRDefault="00E23B5E" w:rsidP="00232BF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ES fondu 2021. – 2027. gada plānošanas periodā atbilstoši EK regulu priekšlikumiem, ir atbalstāmi ieguldījumi energoefektivitātes veicināšanai, pārejai uz AER, pasākumiem saistībā ar pielāgošanos klimata pārmaiņām un ar klimatu saistīto risku novēršanu, kā arī pasākumiem ūdenssaimniecības un atkritumu jomā (kas, cita starpā, var ietvert enerģētikas sektora izaicinājumu un klimata jautājumu risināšanu). 2021. – 2027. gada plānošanas periodā ir noteikti mērķi klimata pasākumu integrēšanai visās ES programmās ar mērķi kopumā 25 % ES izdevumu novirzīt klimatisko mērķu sasniegšanai. Lai atbalstītu programmas potenciāla izmantošanu pilnā apjomā attiecībā uz ieguldījumu klimatisko mērķu sasniegšanā, </w:t>
      </w:r>
      <w:r w:rsidR="00445E35" w:rsidRPr="008B628A">
        <w:rPr>
          <w:rFonts w:ascii="Times New Roman" w:hAnsi="Times New Roman" w:cs="Times New Roman"/>
          <w:szCs w:val="24"/>
        </w:rPr>
        <w:t xml:space="preserve">EK </w:t>
      </w:r>
      <w:r w:rsidRPr="008B628A">
        <w:rPr>
          <w:rFonts w:ascii="Times New Roman" w:hAnsi="Times New Roman" w:cs="Times New Roman"/>
          <w:szCs w:val="24"/>
        </w:rPr>
        <w:t>visā programmas sagatavošanas, īstenošanas, pārskatīšanas un izvērtēšanas procesā mēģinās noteikt attiecīgās darbības. Plānojot investīcijas būs jāņem vērā valsts enerģētikas un klimata plāna projekta saturs.</w:t>
      </w:r>
    </w:p>
    <w:p w14:paraId="624911ED" w14:textId="14976DB9" w:rsidR="00581156" w:rsidRPr="008B628A" w:rsidRDefault="00581156" w:rsidP="00232BFE">
      <w:pPr>
        <w:pStyle w:val="Heading3"/>
      </w:pPr>
      <w:bookmarkStart w:id="248" w:name="_Toc520978861"/>
      <w:bookmarkStart w:id="249" w:name="_Toc527529525"/>
      <w:r w:rsidRPr="008B628A">
        <w:t>Sadarbība ar citām ES dalībvalstīm</w:t>
      </w:r>
      <w:bookmarkEnd w:id="248"/>
      <w:bookmarkEnd w:id="249"/>
      <w:r w:rsidRPr="008B628A">
        <w:t xml:space="preserve"> </w:t>
      </w:r>
    </w:p>
    <w:p w14:paraId="06D23FF8" w14:textId="641AA84B" w:rsidR="004517BF" w:rsidRDefault="004517BF" w:rsidP="00232BFE">
      <w:pPr>
        <w:pStyle w:val="NormalWeb"/>
        <w:spacing w:before="120" w:beforeAutospacing="0" w:after="120" w:afterAutospacing="0"/>
        <w:jc w:val="both"/>
        <w:rPr>
          <w:color w:val="000000"/>
        </w:rPr>
      </w:pPr>
      <w:r w:rsidRPr="008B628A">
        <w:rPr>
          <w:color w:val="000000"/>
        </w:rPr>
        <w:t>Kopš 2014. gada Latvija ir pievienojusies EK Kopējās pētniecības centra izveidotajai</w:t>
      </w:r>
      <w:r w:rsidRPr="00232BFE">
        <w:rPr>
          <w:rFonts w:eastAsiaTheme="majorEastAsia"/>
        </w:rPr>
        <w:t xml:space="preserve"> RIS3 platformai</w:t>
      </w:r>
      <w:r w:rsidR="00232BFE">
        <w:rPr>
          <w:rStyle w:val="FootnoteReference"/>
          <w:rFonts w:eastAsiaTheme="majorEastAsia"/>
        </w:rPr>
        <w:footnoteReference w:id="155"/>
      </w:r>
      <w:r w:rsidRPr="008B628A">
        <w:rPr>
          <w:color w:val="000000"/>
        </w:rPr>
        <w:t>, lai attīstītu kompetenci RIS3 īstenošanā un veidotu pētniecības un inovāciju sadarbību ar citiem ES reģioniem šajā platformā.</w:t>
      </w:r>
    </w:p>
    <w:p w14:paraId="63544632" w14:textId="0780E8A2" w:rsidR="00232BFE" w:rsidRPr="00232BFE" w:rsidRDefault="00232BFE" w:rsidP="00232BFE">
      <w:pPr>
        <w:pStyle w:val="NormalWeb"/>
        <w:spacing w:before="120" w:beforeAutospacing="0" w:after="120" w:afterAutospacing="0"/>
        <w:jc w:val="both"/>
        <w:rPr>
          <w:color w:val="000000"/>
        </w:rPr>
      </w:pPr>
      <w:r>
        <w:rPr>
          <w:color w:val="000000"/>
        </w:rPr>
        <w:t xml:space="preserve">2018.gadā tika noslēgts </w:t>
      </w:r>
      <w:r w:rsidRPr="00232BFE">
        <w:rPr>
          <w:color w:val="000000"/>
        </w:rPr>
        <w:t>Ziemeļvalstu enerģijas pētniecības un Igaunijas, Latvijas un Lietu</w:t>
      </w:r>
      <w:r>
        <w:rPr>
          <w:color w:val="000000"/>
        </w:rPr>
        <w:t xml:space="preserve">vas valdību saprašanās memorands, lai sāktu </w:t>
      </w:r>
      <w:r w:rsidRPr="00232BFE">
        <w:rPr>
          <w:color w:val="000000"/>
        </w:rPr>
        <w:t>Ziemeļvalstu enerģētikas pētījumu un Baltijas valstu sadarbības programm</w:t>
      </w:r>
      <w:r>
        <w:rPr>
          <w:color w:val="000000"/>
        </w:rPr>
        <w:t>u</w:t>
      </w:r>
      <w:r w:rsidRPr="00232BFE">
        <w:rPr>
          <w:color w:val="000000"/>
        </w:rPr>
        <w:t xml:space="preserve"> enerģētikas pētījumu programmas izveid</w:t>
      </w:r>
      <w:r>
        <w:rPr>
          <w:color w:val="000000"/>
        </w:rPr>
        <w:t>i</w:t>
      </w:r>
      <w:r w:rsidRPr="00232BFE">
        <w:rPr>
          <w:color w:val="000000"/>
        </w:rPr>
        <w:t xml:space="preserve"> 2,4 miljonu eiro apmērā</w:t>
      </w:r>
      <w:r>
        <w:rPr>
          <w:color w:val="000000"/>
        </w:rPr>
        <w:t xml:space="preserve">. </w:t>
      </w:r>
      <w:r w:rsidRPr="00232BFE">
        <w:rPr>
          <w:color w:val="000000"/>
        </w:rPr>
        <w:t>Programmai ir trīs galvenie mērķi:</w:t>
      </w:r>
      <w:r>
        <w:rPr>
          <w:color w:val="000000"/>
        </w:rPr>
        <w:t xml:space="preserve"> </w:t>
      </w:r>
    </w:p>
    <w:p w14:paraId="3315C6E7" w14:textId="263CE79A" w:rsidR="00232BFE" w:rsidRP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Veicināt Baltijas un Baltijas un Ziemeļvalstu enerģētikas pētījumu projektus, iesaistot Baltijas pētniekus.</w:t>
      </w:r>
    </w:p>
    <w:p w14:paraId="7027B758" w14:textId="1C17281A" w:rsidR="00232BFE" w:rsidRP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Izveidot Baltijas-Ziemeļvalstu doktora līmeņa sadarbības programmu.</w:t>
      </w:r>
    </w:p>
    <w:p w14:paraId="4DB95C88" w14:textId="77777777" w:rsid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Veicināt enerģijas pētījumu apmaiņu starp B</w:t>
      </w:r>
      <w:r>
        <w:rPr>
          <w:color w:val="000000"/>
        </w:rPr>
        <w:t>altijas un Ziemeļvalstu valstīm.</w:t>
      </w:r>
    </w:p>
    <w:p w14:paraId="42E6BE00" w14:textId="69F3EC33" w:rsidR="00232BFE" w:rsidRPr="008B628A" w:rsidRDefault="00232BFE" w:rsidP="00232BFE">
      <w:pPr>
        <w:pStyle w:val="NormalWeb"/>
        <w:spacing w:before="120" w:beforeAutospacing="0" w:after="120" w:afterAutospacing="0"/>
        <w:jc w:val="both"/>
        <w:rPr>
          <w:color w:val="000000"/>
        </w:rPr>
      </w:pPr>
      <w:r>
        <w:rPr>
          <w:color w:val="000000"/>
        </w:rPr>
        <w:lastRenderedPageBreak/>
        <w:t>Paredzēts, ka trīs gadu laikā tiks īstenoti 6 projekti pieredzes apmaiņai pētnieku starpā un jauna doktorantūras studiju programmas izveidē</w:t>
      </w:r>
    </w:p>
    <w:p w14:paraId="578A1D1A" w14:textId="058852C7" w:rsidR="0074500F" w:rsidRPr="008B628A" w:rsidRDefault="0074500F" w:rsidP="006F546A">
      <w:pPr>
        <w:pStyle w:val="Heading2"/>
      </w:pPr>
      <w:bookmarkStart w:id="250" w:name="_Ref518574548"/>
      <w:bookmarkStart w:id="251" w:name="_Toc527529526"/>
      <w:bookmarkStart w:id="252" w:name="_Toc532910011"/>
      <w:r w:rsidRPr="008B628A">
        <w:t>Finansēšanas pasākumi</w:t>
      </w:r>
      <w:bookmarkEnd w:id="250"/>
      <w:bookmarkEnd w:id="251"/>
      <w:bookmarkEnd w:id="252"/>
    </w:p>
    <w:p w14:paraId="0BE8BB26" w14:textId="1301141D" w:rsidR="0074500F" w:rsidRPr="008B628A" w:rsidRDefault="0074500F" w:rsidP="00187D0D">
      <w:pPr>
        <w:pStyle w:val="tv213"/>
        <w:spacing w:before="120" w:beforeAutospacing="0" w:after="120" w:afterAutospacing="0"/>
        <w:jc w:val="both"/>
        <w:rPr>
          <w:u w:val="single"/>
        </w:rPr>
      </w:pPr>
      <w:r w:rsidRPr="008B628A">
        <w:rPr>
          <w:u w:val="single"/>
        </w:rPr>
        <w:t>MFF2027</w:t>
      </w:r>
    </w:p>
    <w:p w14:paraId="2B6D62E5" w14:textId="21C26680" w:rsidR="00A83C74" w:rsidRPr="008B628A" w:rsidRDefault="00A83C74" w:rsidP="00187D0D">
      <w:pPr>
        <w:pStyle w:val="tv213"/>
        <w:spacing w:before="120" w:beforeAutospacing="0" w:after="120" w:afterAutospacing="0"/>
        <w:jc w:val="both"/>
      </w:pPr>
      <w:r w:rsidRPr="008B628A">
        <w:t xml:space="preserve">Attiecībā uz ES fondu pieejamību Plāna aptvertajā periodā </w:t>
      </w:r>
      <w:r w:rsidR="00E41930">
        <w:t xml:space="preserve">līdz 2018.gada beigām </w:t>
      </w:r>
      <w:r w:rsidRPr="008B628A">
        <w:t>var spriest tikai pēc MFF2027 projekta. Tomēr finansējuma apmēri fondu sadalījumos var mainīties sarunu gaitā.</w:t>
      </w:r>
    </w:p>
    <w:p w14:paraId="002555DF" w14:textId="033B27B8" w:rsidR="007642C4" w:rsidRPr="008B628A" w:rsidRDefault="007642C4" w:rsidP="00187D0D">
      <w:pPr>
        <w:spacing w:before="120" w:after="120" w:line="240" w:lineRule="auto"/>
        <w:jc w:val="center"/>
        <w:rPr>
          <w:rFonts w:ascii="Times New Roman" w:hAnsi="Times New Roman" w:cs="Times New Roman"/>
        </w:rPr>
      </w:pPr>
      <w:r w:rsidRPr="008B628A">
        <w:rPr>
          <w:rFonts w:ascii="Times New Roman" w:hAnsi="Times New Roman" w:cs="Times New Roman"/>
          <w:noProof/>
          <w:lang w:eastAsia="lv-LV"/>
        </w:rPr>
        <w:drawing>
          <wp:inline distT="0" distB="0" distL="0" distR="0" wp14:anchorId="3DE3354E" wp14:editId="2747A96B">
            <wp:extent cx="4571448" cy="2945071"/>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087" cy="2949348"/>
                    </a:xfrm>
                    <a:prstGeom prst="rect">
                      <a:avLst/>
                    </a:prstGeom>
                    <a:noFill/>
                    <a:ln>
                      <a:noFill/>
                    </a:ln>
                  </pic:spPr>
                </pic:pic>
              </a:graphicData>
            </a:graphic>
          </wp:inline>
        </w:drawing>
      </w:r>
    </w:p>
    <w:p w14:paraId="0F6F7A04" w14:textId="78864E99" w:rsidR="007642C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53" w:name="_Toc531333091"/>
      <w:r w:rsidR="006067D4">
        <w:rPr>
          <w:noProof/>
        </w:rPr>
        <w:t>10</w:t>
      </w:r>
      <w:r w:rsidRPr="008B628A">
        <w:rPr>
          <w:noProof/>
        </w:rPr>
        <w:fldChar w:fldCharType="end"/>
      </w:r>
      <w:r w:rsidR="007642C4" w:rsidRPr="008B628A">
        <w:t>.attēls. Jaunais MFF 2021.-2027.gadam (mljrd.</w:t>
      </w:r>
      <w:r w:rsidR="00FD6D1E" w:rsidRPr="008B628A">
        <w:t xml:space="preserve"> </w:t>
      </w:r>
      <w:r w:rsidR="007642C4" w:rsidRPr="008B628A">
        <w:t>EUR, faktiskajās cenās)</w:t>
      </w:r>
      <w:r w:rsidR="00564B94" w:rsidRPr="008B628A">
        <w:rPr>
          <w:rStyle w:val="FootnoteReference"/>
        </w:rPr>
        <w:footnoteReference w:id="156"/>
      </w:r>
      <w:bookmarkEnd w:id="253"/>
    </w:p>
    <w:p w14:paraId="37D3ED40" w14:textId="7AF19D3E" w:rsidR="0074500F" w:rsidRPr="008B628A" w:rsidRDefault="001B139A" w:rsidP="00187D0D">
      <w:pPr>
        <w:spacing w:before="120" w:after="120" w:line="240" w:lineRule="auto"/>
        <w:jc w:val="both"/>
        <w:rPr>
          <w:rFonts w:ascii="Times New Roman" w:hAnsi="Times New Roman" w:cs="Times New Roman"/>
          <w:i/>
          <w:color w:val="444444"/>
          <w:szCs w:val="24"/>
          <w:shd w:val="clear" w:color="auto" w:fill="FFFFFF"/>
        </w:rPr>
      </w:pPr>
      <w:r w:rsidRPr="008B628A">
        <w:rPr>
          <w:rFonts w:ascii="Times New Roman" w:hAnsi="Times New Roman" w:cs="Times New Roman"/>
          <w:i/>
          <w:color w:val="444444"/>
          <w:szCs w:val="24"/>
          <w:shd w:val="clear" w:color="auto" w:fill="FFFFFF"/>
        </w:rPr>
        <w:t>InvestEU</w:t>
      </w:r>
    </w:p>
    <w:p w14:paraId="05D4FBAE" w14:textId="6A88C5EF" w:rsidR="00A83C74" w:rsidRPr="008B628A" w:rsidRDefault="00A83C74" w:rsidP="00181E6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Fonds </w:t>
      </w:r>
      <w:r w:rsidRPr="008B628A">
        <w:rPr>
          <w:rFonts w:ascii="Times New Roman" w:hAnsi="Times New Roman" w:cs="Times New Roman"/>
          <w:bCs/>
          <w:szCs w:val="24"/>
        </w:rPr>
        <w:t>InvestEU</w:t>
      </w:r>
      <w:r w:rsidRPr="008B628A">
        <w:rPr>
          <w:rFonts w:ascii="Times New Roman" w:hAnsi="Times New Roman" w:cs="Times New Roman"/>
          <w:szCs w:val="24"/>
        </w:rPr>
        <w:t xml:space="preserve">, saņemdams </w:t>
      </w:r>
      <w:r w:rsidRPr="008B628A">
        <w:rPr>
          <w:rFonts w:ascii="Times New Roman" w:hAnsi="Times New Roman" w:cs="Times New Roman"/>
          <w:bCs/>
          <w:szCs w:val="24"/>
        </w:rPr>
        <w:t>1</w:t>
      </w:r>
      <w:r w:rsidR="00F11BA5" w:rsidRPr="008B628A">
        <w:rPr>
          <w:rFonts w:ascii="Times New Roman" w:hAnsi="Times New Roman" w:cs="Times New Roman"/>
          <w:bCs/>
          <w:szCs w:val="24"/>
        </w:rPr>
        <w:t>4,7</w:t>
      </w:r>
      <w:r w:rsidRPr="008B628A">
        <w:rPr>
          <w:rFonts w:ascii="Times New Roman" w:hAnsi="Times New Roman" w:cs="Times New Roman"/>
          <w:bCs/>
          <w:szCs w:val="24"/>
        </w:rPr>
        <w:t xml:space="preserve"> m</w:t>
      </w:r>
      <w:r w:rsidR="0020334E" w:rsidRPr="008B628A">
        <w:rPr>
          <w:rFonts w:ascii="Times New Roman" w:hAnsi="Times New Roman" w:cs="Times New Roman"/>
          <w:bCs/>
          <w:szCs w:val="24"/>
        </w:rPr>
        <w:t>ljrd.</w:t>
      </w:r>
      <w:r w:rsidRPr="008B628A">
        <w:rPr>
          <w:rFonts w:ascii="Times New Roman" w:hAnsi="Times New Roman" w:cs="Times New Roman"/>
          <w:bCs/>
          <w:szCs w:val="24"/>
        </w:rPr>
        <w:t xml:space="preserve"> EUR </w:t>
      </w:r>
      <w:r w:rsidRPr="008B628A">
        <w:rPr>
          <w:rFonts w:ascii="Times New Roman" w:hAnsi="Times New Roman" w:cs="Times New Roman"/>
          <w:szCs w:val="24"/>
        </w:rPr>
        <w:t xml:space="preserve">no ES budžeta, spēs visā Eiropā piesaistīt papildu investīcijas vairāk nekā </w:t>
      </w:r>
      <w:r w:rsidRPr="008B628A">
        <w:rPr>
          <w:rFonts w:ascii="Times New Roman" w:hAnsi="Times New Roman" w:cs="Times New Roman"/>
          <w:bCs/>
          <w:szCs w:val="24"/>
        </w:rPr>
        <w:t>650 m</w:t>
      </w:r>
      <w:r w:rsidR="0020334E" w:rsidRPr="008B628A">
        <w:rPr>
          <w:rFonts w:ascii="Times New Roman" w:hAnsi="Times New Roman" w:cs="Times New Roman"/>
          <w:bCs/>
          <w:szCs w:val="24"/>
        </w:rPr>
        <w:t>ljrd.</w:t>
      </w:r>
      <w:r w:rsidRPr="008B628A">
        <w:rPr>
          <w:rFonts w:ascii="Times New Roman" w:hAnsi="Times New Roman" w:cs="Times New Roman"/>
          <w:bCs/>
          <w:szCs w:val="24"/>
        </w:rPr>
        <w:t xml:space="preserve"> EUR vērtībā</w:t>
      </w:r>
      <w:r w:rsidR="00181E6C" w:rsidRPr="008B628A">
        <w:rPr>
          <w:rFonts w:ascii="Times New Roman" w:hAnsi="Times New Roman" w:cs="Times New Roman"/>
          <w:bCs/>
          <w:szCs w:val="24"/>
        </w:rPr>
        <w:t xml:space="preserve"> (ilgtspējīga infrastruktūra – 185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 pētniecība un inovācija – 200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 sociālie ieguldījumi un prasmes – 50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w:t>
      </w:r>
      <w:r w:rsidR="0020334E" w:rsidRPr="008B628A">
        <w:rPr>
          <w:rFonts w:ascii="Times New Roman" w:hAnsi="Times New Roman" w:cs="Times New Roman"/>
          <w:bCs/>
          <w:szCs w:val="24"/>
        </w:rPr>
        <w:t>R</w:t>
      </w:r>
      <w:r w:rsidR="00181E6C" w:rsidRPr="008B628A">
        <w:rPr>
          <w:rFonts w:ascii="Times New Roman" w:hAnsi="Times New Roman" w:cs="Times New Roman"/>
          <w:bCs/>
          <w:szCs w:val="24"/>
        </w:rPr>
        <w:t>, mazie un vidējie uzņēmumi – 215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w:t>
      </w:r>
      <w:r w:rsidRPr="008B628A">
        <w:rPr>
          <w:rFonts w:ascii="Times New Roman" w:hAnsi="Times New Roman" w:cs="Times New Roman"/>
          <w:szCs w:val="24"/>
        </w:rPr>
        <w:t>.</w:t>
      </w:r>
    </w:p>
    <w:p w14:paraId="43AA9766" w14:textId="0806027B" w:rsidR="001B139A" w:rsidRPr="008B628A" w:rsidRDefault="001B139A" w:rsidP="00187D0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 sasniegtu ES ilgtermiņa mērķus ilgtspējības, konkurētspējas un iekļaujošas izaugsmes jomā, ir vajadzīgas pamatīgas investīcijas jaunos mobilitātes modeļos, </w:t>
      </w:r>
      <w:r w:rsidR="004C7936" w:rsidRPr="008B628A">
        <w:rPr>
          <w:rFonts w:ascii="Times New Roman" w:hAnsi="Times New Roman" w:cs="Times New Roman"/>
          <w:szCs w:val="24"/>
        </w:rPr>
        <w:t>AE</w:t>
      </w:r>
      <w:r w:rsidRPr="008B628A">
        <w:rPr>
          <w:rFonts w:ascii="Times New Roman" w:hAnsi="Times New Roman" w:cs="Times New Roman"/>
          <w:szCs w:val="24"/>
        </w:rPr>
        <w:t>, energoefektivitātē, pētniecībā un inovācijā, digitalizācijā, izglītībā un prasmēs, sociālajā infrastruktūrā, aprites ekonomikā, klimata pasākumos un it īpaši mazo uzņēmumu izveidē un izaugsmē.</w:t>
      </w:r>
      <w:r w:rsidR="00A83C74" w:rsidRPr="008B628A">
        <w:rPr>
          <w:rFonts w:ascii="Times New Roman" w:hAnsi="Times New Roman" w:cs="Times New Roman"/>
          <w:szCs w:val="24"/>
        </w:rPr>
        <w:t xml:space="preserve"> EK ierosina izveidot jaunu, pilnībā integrētu investīciju fondu InvestEU. Šis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p>
    <w:p w14:paraId="14C2BA67" w14:textId="49D55A8E" w:rsidR="00A83C74" w:rsidRPr="008B628A" w:rsidRDefault="00A83C74" w:rsidP="00187D0D">
      <w:pPr>
        <w:spacing w:before="120" w:after="120" w:line="240" w:lineRule="auto"/>
        <w:jc w:val="center"/>
      </w:pPr>
      <w:r w:rsidRPr="008B628A">
        <w:rPr>
          <w:noProof/>
          <w:lang w:eastAsia="lv-LV"/>
        </w:rPr>
        <w:lastRenderedPageBreak/>
        <w:drawing>
          <wp:inline distT="0" distB="0" distL="0" distR="0" wp14:anchorId="5982BA4F" wp14:editId="56460418">
            <wp:extent cx="4869815" cy="223266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815" cy="2232660"/>
                    </a:xfrm>
                    <a:prstGeom prst="rect">
                      <a:avLst/>
                    </a:prstGeom>
                    <a:noFill/>
                    <a:ln>
                      <a:noFill/>
                    </a:ln>
                  </pic:spPr>
                </pic:pic>
              </a:graphicData>
            </a:graphic>
          </wp:inline>
        </w:drawing>
      </w:r>
    </w:p>
    <w:p w14:paraId="18FFC916" w14:textId="61F51957" w:rsidR="00A83C7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54" w:name="_Toc531333092"/>
      <w:r w:rsidR="006067D4">
        <w:rPr>
          <w:noProof/>
        </w:rPr>
        <w:t>11</w:t>
      </w:r>
      <w:r w:rsidRPr="008B628A">
        <w:rPr>
          <w:noProof/>
        </w:rPr>
        <w:fldChar w:fldCharType="end"/>
      </w:r>
      <w:r w:rsidR="00A83C74" w:rsidRPr="008B628A">
        <w:t>.attēls. InvestEU finansējuma sadalījums</w:t>
      </w:r>
      <w:r w:rsidR="00C838E8" w:rsidRPr="008B628A">
        <w:rPr>
          <w:rStyle w:val="FootnoteReference"/>
        </w:rPr>
        <w:footnoteReference w:id="157"/>
      </w:r>
      <w:bookmarkEnd w:id="254"/>
    </w:p>
    <w:p w14:paraId="2A8EC5FA" w14:textId="7C64CC6E" w:rsidR="00187D0D" w:rsidRPr="008B628A" w:rsidRDefault="00187D0D" w:rsidP="004517BF">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i/>
          <w:color w:val="000000"/>
          <w:shd w:val="clear" w:color="auto" w:fill="FFFFFF"/>
        </w:rPr>
        <w:t>“Apvārsnis Eiropa”</w:t>
      </w:r>
    </w:p>
    <w:p w14:paraId="3AEF2414" w14:textId="6927801D" w:rsidR="004517BF" w:rsidRPr="008B628A" w:rsidRDefault="004517BF" w:rsidP="004517BF">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“Apvārsnis Eiropa” ir ES pamatprogramma pētniecības un inovācijas sekmēšanai 2021. – 2027. gada periodā, finansiāli atbalstot uz izcilību vērstus un perspektīvus starptautisku konsorciju pieteiktus projektus ES tematiskajās prioritātēs.</w:t>
      </w:r>
      <w:r w:rsidR="00FC2856" w:rsidRPr="008B628A">
        <w:rPr>
          <w:rFonts w:ascii="Times New Roman" w:eastAsia="Times New Roman" w:hAnsi="Times New Roman" w:cs="Times New Roman"/>
          <w:color w:val="000000"/>
          <w:szCs w:val="24"/>
          <w:bdr w:val="none" w:sz="0" w:space="0" w:color="auto" w:frame="1"/>
          <w:lang w:eastAsia="lv-LV"/>
        </w:rPr>
        <w:t xml:space="preserve"> </w:t>
      </w:r>
      <w:r w:rsidRPr="008B628A">
        <w:rPr>
          <w:rFonts w:ascii="Times New Roman" w:eastAsia="Times New Roman" w:hAnsi="Times New Roman" w:cs="Times New Roman"/>
          <w:color w:val="000000"/>
          <w:szCs w:val="24"/>
          <w:bdr w:val="none" w:sz="0" w:space="0" w:color="auto" w:frame="1"/>
          <w:lang w:eastAsia="lv-LV"/>
        </w:rPr>
        <w:t xml:space="preserve">To mērogs, apjoms un sarežģītība parasti ir tāda, kas neļautu to turpināšanu ar valsts finansējumu vien: 83 % no ES pētniecības un inovācijas projektiem ar vērtējumu „izcils” nebūtu veikti bez ES atbalsta. </w:t>
      </w:r>
    </w:p>
    <w:p w14:paraId="0347DC06" w14:textId="77777777" w:rsidR="004517BF" w:rsidRPr="008B628A" w:rsidRDefault="004517BF" w:rsidP="004517BF">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Programma “Apvārsnis Eiropa” ir vērsta uz zinātni un inovāciju ar mērķi:</w:t>
      </w:r>
    </w:p>
    <w:p w14:paraId="76D093F7"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stiprināt ES zinātnisko un tehnoloģisko bāzi;</w:t>
      </w:r>
    </w:p>
    <w:p w14:paraId="3AC95701"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veicināt ES konkurētspēju un inovāciju;</w:t>
      </w:r>
    </w:p>
    <w:p w14:paraId="591B9DE6"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īstenot ES stratēģiskās prioritātes un risināt globālas problēmas.</w:t>
      </w:r>
    </w:p>
    <w:p w14:paraId="138566E9" w14:textId="334CE264" w:rsidR="004517BF" w:rsidRPr="008B628A" w:rsidRDefault="004517BF" w:rsidP="004517BF">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szCs w:val="24"/>
          <w:bdr w:val="none" w:sz="0" w:space="0" w:color="auto" w:frame="1"/>
          <w:shd w:val="clear" w:color="auto" w:fill="FFFFFF"/>
        </w:rPr>
        <w:t xml:space="preserve">Kopējais budžets tiek piedāvāts 97,2 mljrd. EUR apmērā, pašlaik paredzot  15 mljrd. </w:t>
      </w:r>
      <w:r w:rsidR="00BD4052" w:rsidRPr="008B628A">
        <w:rPr>
          <w:rFonts w:ascii="Times New Roman" w:hAnsi="Times New Roman" w:cs="Times New Roman"/>
          <w:szCs w:val="24"/>
          <w:bdr w:val="none" w:sz="0" w:space="0" w:color="auto" w:frame="1"/>
          <w:shd w:val="clear" w:color="auto" w:fill="FFFFFF"/>
        </w:rPr>
        <w:t>EUR</w:t>
      </w:r>
      <w:r w:rsidRPr="008B628A">
        <w:rPr>
          <w:rFonts w:ascii="Times New Roman" w:hAnsi="Times New Roman" w:cs="Times New Roman"/>
          <w:szCs w:val="24"/>
          <w:bdr w:val="none" w:sz="0" w:space="0" w:color="auto" w:frame="1"/>
          <w:shd w:val="clear" w:color="auto" w:fill="FFFFFF"/>
        </w:rPr>
        <w:t xml:space="preserve"> pētniecībai un inovācijām </w:t>
      </w:r>
      <w:r w:rsidRPr="008B628A">
        <w:rPr>
          <w:rFonts w:ascii="Times New Roman" w:hAnsi="Times New Roman" w:cs="Times New Roman"/>
        </w:rPr>
        <w:t>“Klimata, enerģētikas un mobilitātes” jomā, 15 mljrd. EUR  - „Digitālā joma un rūpniecība” un 10 mljrd. EUR „Pārtika un dabas resursi.</w:t>
      </w:r>
    </w:p>
    <w:p w14:paraId="226642F9" w14:textId="6833E96C" w:rsidR="00187D0D" w:rsidRPr="008B628A" w:rsidRDefault="00187D0D" w:rsidP="004517BF">
      <w:pPr>
        <w:spacing w:before="120" w:after="120" w:line="240" w:lineRule="auto"/>
        <w:jc w:val="both"/>
        <w:rPr>
          <w:rFonts w:ascii="Times New Roman" w:hAnsi="Times New Roman" w:cs="Times New Roman"/>
          <w:i/>
          <w:color w:val="444444"/>
          <w:szCs w:val="24"/>
          <w:shd w:val="clear" w:color="auto" w:fill="FFFFFF"/>
        </w:rPr>
      </w:pPr>
      <w:r w:rsidRPr="008B628A">
        <w:rPr>
          <w:rFonts w:ascii="Times New Roman" w:hAnsi="Times New Roman" w:cs="Times New Roman"/>
          <w:i/>
          <w:color w:val="000000"/>
          <w:shd w:val="clear" w:color="auto" w:fill="FFFFFF"/>
        </w:rPr>
        <w:t>Eiropas infrastruktūras savienošanas instruments</w:t>
      </w:r>
    </w:p>
    <w:p w14:paraId="4823FE9B" w14:textId="25B71B49" w:rsidR="00187D0D" w:rsidRPr="008B628A" w:rsidRDefault="00187D0D" w:rsidP="004517BF">
      <w:pPr>
        <w:spacing w:before="120" w:after="120" w:line="240" w:lineRule="auto"/>
        <w:jc w:val="both"/>
        <w:rPr>
          <w:rFonts w:ascii="Times New Roman" w:hAnsi="Times New Roman" w:cs="Times New Roman"/>
          <w:color w:val="000000"/>
          <w:bdr w:val="none" w:sz="0" w:space="0" w:color="auto" w:frame="1"/>
          <w:shd w:val="clear" w:color="auto" w:fill="FFFFFF"/>
        </w:rPr>
      </w:pPr>
      <w:r w:rsidRPr="008B628A">
        <w:rPr>
          <w:rFonts w:ascii="Times New Roman" w:hAnsi="Times New Roman" w:cs="Times New Roman"/>
          <w:color w:val="000000"/>
          <w:bdr w:val="none" w:sz="0" w:space="0" w:color="auto" w:frame="1"/>
          <w:shd w:val="clear" w:color="auto" w:fill="FFFFFF"/>
        </w:rPr>
        <w:t xml:space="preserve">Eiropas infrastruktūras savienošanas instruments atbalsta ieguldījumus pārrobežu infrastruktūrā transporta, enerģētikas un digitālajā nozarē. </w:t>
      </w:r>
      <w:r w:rsidRPr="008B628A">
        <w:rPr>
          <w:rFonts w:ascii="Times New Roman" w:hAnsi="Times New Roman" w:cs="Times New Roman"/>
          <w:color w:val="000000"/>
          <w:shd w:val="clear" w:color="auto" w:fill="FFFFFF"/>
        </w:rPr>
        <w:t xml:space="preserve">Minētais instruments ir izstrādāts, lai veicinātu ieguldījumus Eiropas komunikāciju tīklos. Šie tīkli un pārrobežu sadarbība ir svarīga ne tikai vienotā tirgus darbībai, bet ir arī stratēģiski elementi, lai īstenotu </w:t>
      </w:r>
      <w:r w:rsidR="004C7936" w:rsidRPr="008B628A">
        <w:rPr>
          <w:rFonts w:ascii="Times New Roman" w:hAnsi="Times New Roman" w:cs="Times New Roman"/>
          <w:color w:val="000000"/>
          <w:shd w:val="clear" w:color="auto" w:fill="FFFFFF"/>
        </w:rPr>
        <w:t>EnS</w:t>
      </w:r>
      <w:r w:rsidRPr="008B628A">
        <w:rPr>
          <w:rFonts w:ascii="Times New Roman" w:hAnsi="Times New Roman" w:cs="Times New Roman"/>
          <w:color w:val="000000"/>
          <w:shd w:val="clear" w:color="auto" w:fill="FFFFFF"/>
        </w:rPr>
        <w:t xml:space="preserve"> un digitālo vienoto tirgu un attīstītu ilgtspējīgus transporta veidus. Sadarbspējīgi pārrobežu tīkli ir būtisks faktors, lai samazinātu pašreizējo sadrumstalotību. Bez ES iesaistes privātajiem operatoriem un valsts iestādēm nav pietiekama stimula ieguldīt pārrobežu infrastruktūras projektos. Instruments arī dod iespēju izmantot tehnoloģijas, kas izstrādātas ES līmenī un jo īpaši ar ES pētniecības un inovācijas pamatprogrammām, veicinot to ieviešanu tirgū un nodrošinot, ka Eiropas komunikāciju tīklos tiek izmantotas vismodernākās pieejamās iekārtas.</w:t>
      </w:r>
    </w:p>
    <w:p w14:paraId="27EB6A55" w14:textId="50717F8C" w:rsidR="00187D0D" w:rsidRPr="008B628A" w:rsidRDefault="00187D0D" w:rsidP="00187D0D">
      <w:pPr>
        <w:pStyle w:val="psparagraphtitle"/>
        <w:shd w:val="clear" w:color="auto" w:fill="FFFFFF"/>
        <w:spacing w:before="120" w:beforeAutospacing="0" w:after="120" w:afterAutospacing="0"/>
        <w:jc w:val="both"/>
        <w:textAlignment w:val="baseline"/>
        <w:rPr>
          <w:color w:val="000000"/>
        </w:rPr>
      </w:pPr>
      <w:r w:rsidRPr="008B628A">
        <w:rPr>
          <w:bdr w:val="none" w:sz="0" w:space="0" w:color="auto" w:frame="1"/>
          <w:shd w:val="clear" w:color="auto" w:fill="FFFFFF"/>
        </w:rPr>
        <w:t>Kopējais budžets tiek piedāvāts 42,2 m</w:t>
      </w:r>
      <w:r w:rsidR="0020334E" w:rsidRPr="008B628A">
        <w:rPr>
          <w:bdr w:val="none" w:sz="0" w:space="0" w:color="auto" w:frame="1"/>
          <w:shd w:val="clear" w:color="auto" w:fill="FFFFFF"/>
        </w:rPr>
        <w:t>ljrd.</w:t>
      </w:r>
      <w:r w:rsidRPr="008B628A">
        <w:rPr>
          <w:bdr w:val="none" w:sz="0" w:space="0" w:color="auto" w:frame="1"/>
          <w:shd w:val="clear" w:color="auto" w:fill="FFFFFF"/>
        </w:rPr>
        <w:t xml:space="preserve"> EUR apmērā. </w:t>
      </w:r>
      <w:r w:rsidRPr="008B628A">
        <w:rPr>
          <w:color w:val="000000"/>
          <w:bdr w:val="none" w:sz="0" w:space="0" w:color="auto" w:frame="1"/>
        </w:rPr>
        <w:t>Eiropas infrastruktūras savienošanas instruments atbalsta ieguldījumus un sadarbību, lai attīstītu infrastruktūru transporta, enerģētikas un digitālajās nozarēs, kā arī savieno ES ar tās reģioniem. Tas atbilst tādiem politikas mērķiem kā Eiropas ekonomikas dekarbonizācija un digitalizācija, aptverot trīs turpmākās sadaļas.</w:t>
      </w:r>
    </w:p>
    <w:p w14:paraId="0D5B198C" w14:textId="77777777"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 xml:space="preserve">Transporta jomā tā mērķis ir pilnveidot abus Eiropas tīkla slāņus attiecībā uz visiem transporta veidiem: stratēģisko pamatu (t. i., pamattīklu) līdz 2030. gadam un tā plašāko slāni (t. i., </w:t>
      </w:r>
      <w:r w:rsidRPr="008B628A">
        <w:rPr>
          <w:rFonts w:ascii="Times New Roman" w:eastAsia="Times New Roman" w:hAnsi="Times New Roman" w:cs="Times New Roman"/>
          <w:color w:val="000000"/>
          <w:szCs w:val="24"/>
          <w:bdr w:val="none" w:sz="0" w:space="0" w:color="auto" w:frame="1"/>
          <w:lang w:eastAsia="lv-LV"/>
        </w:rPr>
        <w:lastRenderedPageBreak/>
        <w:t>visaptverošo tīklu) līdz 2050. gadam. Tas arī atbalsta Eiropas gaisa satiksmes pārvaldības sistēmu ieviešanu gaisa satiksmē un dzelzceļā un palīdz ES pārejā uz savienotu, ilgtspējīgu, iekļaujošu un drošu mobilitāti. Tas veicina transporta dekarbonizāciju, piemēram, veidojot Eiropas uzlādes ierīču infrastruktūras tīklu, kā arī attiecībā uz alternatīvām degvielām vai videi draudzīgāku transporta veidu prioritāru izvēli.</w:t>
      </w:r>
    </w:p>
    <w:p w14:paraId="7AEFBB17" w14:textId="2778E5E3"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 xml:space="preserve">Enerģētikas jomā galvenā uzmanība tiek pievērsta iekšējam tirgum būtisku energotīklu prioritāro posmu pabeigšanai. Tā mērķis ir arī nodrošināt viedus un digitālus energotīklus, lai sasniegtu starpsavienojumu mērķus un uzlabotu piegādes drošību. Tāpat svarīgi būs sekmēt dalībvalstu sadarbību, integrējot pārrobežu </w:t>
      </w:r>
      <w:r w:rsidR="004C7936" w:rsidRPr="008B628A">
        <w:rPr>
          <w:rFonts w:ascii="Times New Roman" w:eastAsia="Times New Roman" w:hAnsi="Times New Roman" w:cs="Times New Roman"/>
          <w:color w:val="000000"/>
          <w:szCs w:val="24"/>
          <w:bdr w:val="none" w:sz="0" w:space="0" w:color="auto" w:frame="1"/>
          <w:lang w:eastAsia="lv-LV"/>
        </w:rPr>
        <w:t>AE</w:t>
      </w:r>
      <w:r w:rsidRPr="008B628A">
        <w:rPr>
          <w:rFonts w:ascii="Times New Roman" w:eastAsia="Times New Roman" w:hAnsi="Times New Roman" w:cs="Times New Roman"/>
          <w:color w:val="000000"/>
          <w:szCs w:val="24"/>
          <w:bdr w:val="none" w:sz="0" w:space="0" w:color="auto" w:frame="1"/>
          <w:lang w:eastAsia="lv-LV"/>
        </w:rPr>
        <w:t xml:space="preserve"> projektus.</w:t>
      </w:r>
    </w:p>
    <w:p w14:paraId="59E95A23" w14:textId="77777777"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Digitālajā jomā instruments nodrošina maksimālus ieguvumus iedzīvotājiem un uzņēmumiem no digitālā vienotā tirgus. Ļoti veiktspējīgu digitālo tīklu izveide atbalsta visus novatoriskos digitālos pakalpojumus, tostarp savienojumspējīgu mobilitāti. Turklāt tas palīdz nodrošināt, ka visiem galvenajiem sociāli ekonomiskajiem virzītājspēkiem, piemēram, skolām, slimnīcām, transporta mezgliem un galvenajiem sabiedrisko pakalpojumu sniedzējiem un digitāli intensīviem uzņēmumiem līdz 2025. gadam būs piekļuve uz nākotni vērstiem platjoslas savienojumiem.</w:t>
      </w:r>
    </w:p>
    <w:p w14:paraId="70A689DA" w14:textId="77777777" w:rsidR="00A83C74" w:rsidRPr="008B628A" w:rsidRDefault="00A83C74" w:rsidP="00187D0D">
      <w:pPr>
        <w:spacing w:before="120" w:after="120" w:line="240" w:lineRule="auto"/>
        <w:jc w:val="both"/>
        <w:rPr>
          <w:rFonts w:ascii="Times New Roman" w:hAnsi="Times New Roman" w:cs="Times New Roman"/>
          <w:i/>
          <w:color w:val="444444"/>
          <w:szCs w:val="24"/>
          <w:bdr w:val="none" w:sz="0" w:space="0" w:color="auto" w:frame="1"/>
          <w:shd w:val="clear" w:color="auto" w:fill="FFFFFF"/>
        </w:rPr>
      </w:pPr>
      <w:r w:rsidRPr="008B628A">
        <w:rPr>
          <w:rFonts w:ascii="Times New Roman" w:hAnsi="Times New Roman" w:cs="Times New Roman"/>
          <w:i/>
          <w:color w:val="444444"/>
          <w:szCs w:val="24"/>
          <w:bdr w:val="none" w:sz="0" w:space="0" w:color="auto" w:frame="1"/>
          <w:shd w:val="clear" w:color="auto" w:fill="FFFFFF"/>
        </w:rPr>
        <w:t>ERAF un KF</w:t>
      </w:r>
    </w:p>
    <w:p w14:paraId="32975F21" w14:textId="6CF98AD2" w:rsidR="00A83C74" w:rsidRPr="008B628A" w:rsidRDefault="00A83C74" w:rsidP="00187D0D">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Kohēzijas politika ir galvenā ES investīciju politika, jo tā ir būtisks darbvietu radīšanas, ilgtspējīgas izaugsmes un inovācijas virzītājspēks Eiropas dažādajos reģionos. Tā atbalsta ES ekonomisko, sociālo un teritoriālo kohēziju. Šodien dalībvalstīm un reģioniem ir vajadzīgs papildu atbalsts, lai tiktu galā ar līdzšinējiem un jauniem pārbaudījumiem, piemēram, izmantotu globalizācijas sniegtās iespējas, pielāgotos pārmaiņām rūpniecībā, pievērstos inovācijai un digitalizācijai, spētu ilgtermiņā pārvaldīt migrāciju un cīnītos pret klimata pārmaiņām. </w:t>
      </w:r>
    </w:p>
    <w:p w14:paraId="400370B3" w14:textId="474D476D" w:rsidR="00A83C74" w:rsidRPr="008B628A" w:rsidRDefault="00A83C74" w:rsidP="00F13C95">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 xml:space="preserve">ERAF un KF tiek piedāvāts modernizēt un tā mērķus – vienkāršot. </w:t>
      </w:r>
      <w:r w:rsidR="0044703B" w:rsidRPr="008B628A">
        <w:rPr>
          <w:rFonts w:ascii="Times New Roman" w:hAnsi="Times New Roman" w:cs="Times New Roman"/>
          <w:szCs w:val="24"/>
          <w:bdr w:val="none" w:sz="0" w:space="0" w:color="auto" w:frame="1"/>
          <w:shd w:val="clear" w:color="auto" w:fill="FFFFFF"/>
        </w:rPr>
        <w:t>Kopējais ERAF un KF budžets tiek piedāvāts 241,9 mljrd. EUR apmērā</w:t>
      </w:r>
      <w:r w:rsidR="0044703B" w:rsidRPr="008B628A">
        <w:rPr>
          <w:rStyle w:val="FootnoteReference"/>
          <w:rFonts w:ascii="Times New Roman" w:hAnsi="Times New Roman" w:cs="Times New Roman"/>
          <w:szCs w:val="24"/>
          <w:bdr w:val="none" w:sz="0" w:space="0" w:color="auto" w:frame="1"/>
          <w:shd w:val="clear" w:color="auto" w:fill="FFFFFF"/>
        </w:rPr>
        <w:footnoteReference w:id="158"/>
      </w:r>
      <w:r w:rsidR="0044703B" w:rsidRPr="008B628A">
        <w:rPr>
          <w:rFonts w:ascii="Times New Roman" w:hAnsi="Times New Roman" w:cs="Times New Roman"/>
          <w:szCs w:val="24"/>
          <w:bdr w:val="none" w:sz="0" w:space="0" w:color="auto" w:frame="1"/>
          <w:shd w:val="clear" w:color="auto" w:fill="FFFFFF"/>
        </w:rPr>
        <w:t>, un finansējums būs pieejams šādos virzienos</w:t>
      </w:r>
      <w:r w:rsidR="00F13C95" w:rsidRPr="008B628A">
        <w:rPr>
          <w:rStyle w:val="FootnoteReference"/>
          <w:rFonts w:ascii="Times New Roman" w:hAnsi="Times New Roman" w:cs="Times New Roman"/>
          <w:szCs w:val="24"/>
          <w:bdr w:val="none" w:sz="0" w:space="0" w:color="auto" w:frame="1"/>
          <w:shd w:val="clear" w:color="auto" w:fill="FFFFFF"/>
        </w:rPr>
        <w:footnoteReference w:id="159"/>
      </w:r>
      <w:r w:rsidR="002B2B91" w:rsidRPr="008B628A">
        <w:rPr>
          <w:rFonts w:ascii="Times New Roman" w:hAnsi="Times New Roman" w:cs="Times New Roman"/>
          <w:szCs w:val="24"/>
          <w:bdr w:val="none" w:sz="0" w:space="0" w:color="auto" w:frame="1"/>
          <w:shd w:val="clear" w:color="auto" w:fill="FFFFFF"/>
        </w:rPr>
        <w:t>:</w:t>
      </w:r>
    </w:p>
    <w:p w14:paraId="2DCAD3D4" w14:textId="7EDE73B0"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 xml:space="preserve"> “viedāka Eiropa, veicinot inovatīvas un viedas ekonomiskās pārmaiņas”</w:t>
      </w:r>
    </w:p>
    <w:p w14:paraId="394AEF51" w14:textId="7952F719"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pētniecības un inovācijas spējas un progresīvo tehnoloģiju ieviešanu,</w:t>
      </w:r>
    </w:p>
    <w:p w14:paraId="47779895" w14:textId="5549FDF0"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izmantot digitalizācijas sniegtās priekšrocības iedzīvotājiem, uzņēmumiem un valdībām,</w:t>
      </w:r>
    </w:p>
    <w:p w14:paraId="009A6333" w14:textId="5A6076E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kāpināt MVU izaugsmi un konkurētspēju,</w:t>
      </w:r>
    </w:p>
    <w:p w14:paraId="48092873" w14:textId="18516E2A"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attīstīt prasmes pārdomātai specializācijai, rūpniecības restrukturizācijai un uzņēmējdarbībai;</w:t>
      </w:r>
    </w:p>
    <w:p w14:paraId="16B49EE4" w14:textId="02819891"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“zaļāka Eiropa ar zemām oglekļa emisijām, veicinot tīru un taisnīgu enerģētikas pārkārtošanu, “zaļas” un “zilas” investīcijas, aprites ekonomiku, pielāgošanos klimata pārmaiņām un risku novēršanu”:</w:t>
      </w:r>
    </w:p>
    <w:p w14:paraId="009CFE16" w14:textId="41E3DB5B"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energoefektivitātes pasākumus,</w:t>
      </w:r>
    </w:p>
    <w:p w14:paraId="353B76A3" w14:textId="5208DE19"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 xml:space="preserve">veicināt </w:t>
      </w:r>
      <w:r w:rsidR="008000C9">
        <w:rPr>
          <w:rFonts w:ascii="Times New Roman" w:eastAsia="Times New Roman" w:hAnsi="Times New Roman" w:cs="Times New Roman"/>
          <w:szCs w:val="24"/>
          <w:bdr w:val="none" w:sz="0" w:space="0" w:color="auto" w:frame="1"/>
          <w:lang w:eastAsia="lv-LV"/>
        </w:rPr>
        <w:t>AE</w:t>
      </w:r>
      <w:r w:rsidRPr="008B628A">
        <w:rPr>
          <w:rFonts w:ascii="Times New Roman" w:eastAsia="Times New Roman" w:hAnsi="Times New Roman" w:cs="Times New Roman"/>
          <w:szCs w:val="24"/>
          <w:bdr w:val="none" w:sz="0" w:space="0" w:color="auto" w:frame="1"/>
          <w:lang w:eastAsia="lv-LV"/>
        </w:rPr>
        <w:t>,</w:t>
      </w:r>
    </w:p>
    <w:p w14:paraId="3BA80F0E" w14:textId="1720DB8C"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vietējā līmenī attīstīt viedas energosistēmas, tīklus un enerģijas akumulāciju,</w:t>
      </w:r>
    </w:p>
    <w:p w14:paraId="43E157A3" w14:textId="0C2FB02A"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pielāgošanos klimata pārmaiņām, risku novēršanu un noturību pret katastrofām,</w:t>
      </w:r>
    </w:p>
    <w:p w14:paraId="14B608F5" w14:textId="19A88BA5"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ūdens resursu ilgtspējīgu apsaimniekošanu,</w:t>
      </w:r>
    </w:p>
    <w:p w14:paraId="7004F177" w14:textId="1EAA7C7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pāreju uz aprites ekonomiku,</w:t>
      </w:r>
    </w:p>
    <w:p w14:paraId="7124B4FF" w14:textId="00F00AE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lastRenderedPageBreak/>
        <w:t>uzlabot bioloģisko daudzveidību un zaļo infrastruktūru pilsētvidē un samazināt piesārņojumu;</w:t>
      </w:r>
    </w:p>
    <w:p w14:paraId="51C318F4" w14:textId="360907AE"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“ciešāk savienota Eiropa, uzlabojot mobilitāti un reģionālo IKT savienotību” (PM Nr. 3):</w:t>
      </w:r>
    </w:p>
    <w:p w14:paraId="7405423E" w14:textId="7070CD1C"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digitālo savienotību,</w:t>
      </w:r>
    </w:p>
    <w:p w14:paraId="7674E3A1" w14:textId="18769344"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izveidot ilgtspējīgu, klimatnoturīgu, intelektisku, drošu un intermodālu TEN-T,</w:t>
      </w:r>
    </w:p>
    <w:p w14:paraId="261743BC" w14:textId="3CB6526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attīstīt ilgtspējīgu, klimatnoturīgu, intelektisku un intermodālu mobilitāti valstu, reģionu un vietējā līmenī, ietverot uzlabotu piekļuvi TEN-T un pārrobežu mobilitāti,</w:t>
      </w:r>
    </w:p>
    <w:p w14:paraId="1F1F75D7" w14:textId="1B492D67"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ilgtspējīgu multimodālu mobilitāti pilsētās;</w:t>
      </w:r>
    </w:p>
    <w:p w14:paraId="1CFC78AD" w14:textId="448953E4"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“sociālāka Eiropa, īstenojot Eiropas sociālo tiesību pīlāru” (PM Nr. 4):</w:t>
      </w:r>
    </w:p>
    <w:p w14:paraId="677662FD" w14:textId="4552A52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darba tirgu sekmīgumu un piekļuvi kvalitatīvām darbvietām, attīstot sociālo inovāciju un infrastruktūru,</w:t>
      </w:r>
    </w:p>
    <w:p w14:paraId="48630332" w14:textId="4D25E762"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piekļuvi iekļaujošiem un kvalitatīviem pakalpojumiem izglītības, apmācības un mūžizglītības jomā, attīstot infrastruktūru,</w:t>
      </w:r>
    </w:p>
    <w:p w14:paraId="20CBDE2D" w14:textId="7E8580F1"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palielināt marginalizētu kopienu, migrantu un nelabvēlīgā situācijā esošo grupu sociāli ekonomisko integrāciju, izmantojot integrētus pasākumus, tostarp mājokļa un sociālo pakalpojumu jomā,</w:t>
      </w:r>
    </w:p>
    <w:p w14:paraId="3E12D09C" w14:textId="605EDCF3"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nodrošināt vienādu piekļuvi veselības aprūpei, tostarp primārajai aprūpei, attīstot infrastruktūru;</w:t>
      </w:r>
    </w:p>
    <w:p w14:paraId="297CC6C7" w14:textId="565C2EBE"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“iedzīvotājiem tuvāka Eiropa, ar vietējo iniciatīvu palīdzību veicinot pilsētu, lauku un piekrastes teritoriju ilgtspējīgu un integrētu attīstību” (PM Nr. 5):</w:t>
      </w:r>
    </w:p>
    <w:p w14:paraId="3A065E9C" w14:textId="6A462CF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integrētu sociālo, ekonomisko un vid</w:t>
      </w:r>
      <w:r w:rsidR="00BD4052" w:rsidRPr="008B628A">
        <w:rPr>
          <w:rFonts w:ascii="Times New Roman" w:eastAsia="Times New Roman" w:hAnsi="Times New Roman" w:cs="Times New Roman"/>
          <w:szCs w:val="24"/>
          <w:bdr w:val="none" w:sz="0" w:space="0" w:color="auto" w:frame="1"/>
          <w:lang w:eastAsia="lv-LV"/>
        </w:rPr>
        <w:t>es</w:t>
      </w:r>
      <w:r w:rsidRPr="008B628A">
        <w:rPr>
          <w:rFonts w:ascii="Times New Roman" w:eastAsia="Times New Roman" w:hAnsi="Times New Roman" w:cs="Times New Roman"/>
          <w:szCs w:val="24"/>
          <w:bdr w:val="none" w:sz="0" w:space="0" w:color="auto" w:frame="1"/>
          <w:lang w:eastAsia="lv-LV"/>
        </w:rPr>
        <w:t xml:space="preserve"> attīstību, kultūras mantojumu un drošību pilsētu teritorijās,</w:t>
      </w:r>
    </w:p>
    <w:p w14:paraId="1C90B225" w14:textId="2E2155CF"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integrētu vie</w:t>
      </w:r>
      <w:r w:rsidR="00BD4052" w:rsidRPr="008B628A">
        <w:rPr>
          <w:rFonts w:ascii="Times New Roman" w:eastAsia="Times New Roman" w:hAnsi="Times New Roman" w:cs="Times New Roman"/>
          <w:szCs w:val="24"/>
          <w:bdr w:val="none" w:sz="0" w:space="0" w:color="auto" w:frame="1"/>
          <w:lang w:eastAsia="lv-LV"/>
        </w:rPr>
        <w:t>tējo sociālo, ekonomisko un vides</w:t>
      </w:r>
      <w:r w:rsidRPr="008B628A">
        <w:rPr>
          <w:rFonts w:ascii="Times New Roman" w:eastAsia="Times New Roman" w:hAnsi="Times New Roman" w:cs="Times New Roman"/>
          <w:szCs w:val="24"/>
          <w:bdr w:val="none" w:sz="0" w:space="0" w:color="auto" w:frame="1"/>
          <w:lang w:eastAsia="lv-LV"/>
        </w:rPr>
        <w:t xml:space="preserve"> attīstību, kultūras mantojumu un drošību, tostarp lauku un piekrastes teritorijās, izmantojot arī sabiedrības virzītu vietējo attīstību.</w:t>
      </w:r>
    </w:p>
    <w:p w14:paraId="6DB329B2" w14:textId="77777777" w:rsidR="0044703B" w:rsidRPr="008B628A" w:rsidRDefault="0044703B" w:rsidP="0044703B">
      <w:pPr>
        <w:shd w:val="clear" w:color="auto" w:fill="FFFFFF"/>
        <w:spacing w:before="120" w:after="120" w:line="240" w:lineRule="auto"/>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No ERAF atbalsta:</w:t>
      </w:r>
    </w:p>
    <w:p w14:paraId="0D5393F8" w14:textId="1EE4670E"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infrastruktūrā,</w:t>
      </w:r>
    </w:p>
    <w:p w14:paraId="5A6056B3" w14:textId="0650AA54"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piekļuvē pakalpojumiem,</w:t>
      </w:r>
    </w:p>
    <w:p w14:paraId="3CEB076A" w14:textId="38C50B38"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produktīvas investīcijas MVU,</w:t>
      </w:r>
    </w:p>
    <w:p w14:paraId="1F88470D" w14:textId="69716254"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aprīkojumu, programmatūru un nemateriālos aktīvus,</w:t>
      </w:r>
    </w:p>
    <w:p w14:paraId="4A1A7385" w14:textId="4F9B4288"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informāciju, komunikāciju, pētījumus, tīklošanu, sadarbību, pieredzes apmaiņu un darbības, kas saistītas ar kopām,</w:t>
      </w:r>
    </w:p>
    <w:p w14:paraId="73CE9F30" w14:textId="07B4F34F"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tehnisko palīdzību.</w:t>
      </w:r>
    </w:p>
    <w:p w14:paraId="4A89294B" w14:textId="5EC3CD62" w:rsidR="0044703B" w:rsidRPr="008B628A" w:rsidRDefault="0044703B" w:rsidP="0044703B">
      <w:pPr>
        <w:shd w:val="clear" w:color="auto" w:fill="FFFFFF"/>
        <w:spacing w:before="120" w:after="120" w:line="240" w:lineRule="auto"/>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No KF atbalsta:</w:t>
      </w:r>
    </w:p>
    <w:p w14:paraId="0B01F4AC" w14:textId="70BE16B7"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vides investīcijas, tostarp investīcijas, kuras saistītas ar ilgtspējīgu attīstību un enerģētiku un dod vides labumu,</w:t>
      </w:r>
    </w:p>
    <w:p w14:paraId="65141677" w14:textId="6B17B66C"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TEN-T</w:t>
      </w:r>
      <w:r w:rsidR="00830A2C" w:rsidRPr="008B628A">
        <w:rPr>
          <w:rFonts w:ascii="Times New Roman" w:eastAsia="Times New Roman" w:hAnsi="Times New Roman" w:cs="Times New Roman"/>
          <w:color w:val="000000"/>
          <w:szCs w:val="24"/>
          <w:bdr w:val="none" w:sz="0" w:space="0" w:color="auto" w:frame="1"/>
        </w:rPr>
        <w:t xml:space="preserve"> (</w:t>
      </w:r>
      <w:r w:rsidR="00830A2C" w:rsidRPr="008B628A">
        <w:rPr>
          <w:rFonts w:ascii="Times New Roman" w:eastAsia="Times New Roman" w:hAnsi="Times New Roman" w:cs="Times New Roman"/>
          <w:i/>
          <w:color w:val="000000"/>
          <w:szCs w:val="24"/>
          <w:bdr w:val="none" w:sz="0" w:space="0" w:color="auto" w:frame="1"/>
        </w:rPr>
        <w:t>Trans-European Transport Network</w:t>
      </w:r>
      <w:r w:rsidR="00830A2C" w:rsidRPr="008B628A">
        <w:rPr>
          <w:rFonts w:ascii="Times New Roman" w:eastAsia="Times New Roman" w:hAnsi="Times New Roman" w:cs="Times New Roman"/>
          <w:color w:val="000000"/>
          <w:szCs w:val="24"/>
          <w:bdr w:val="none" w:sz="0" w:space="0" w:color="auto" w:frame="1"/>
        </w:rPr>
        <w:t>)</w:t>
      </w:r>
      <w:r w:rsidRPr="008B628A">
        <w:rPr>
          <w:rFonts w:ascii="Times New Roman" w:eastAsia="Times New Roman" w:hAnsi="Times New Roman" w:cs="Times New Roman"/>
          <w:color w:val="000000"/>
          <w:szCs w:val="24"/>
          <w:bdr w:val="none" w:sz="0" w:space="0" w:color="auto" w:frame="1"/>
        </w:rPr>
        <w:t>,</w:t>
      </w:r>
    </w:p>
    <w:p w14:paraId="4EAEC4F9" w14:textId="1785062F"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tehnisko palīdzību.</w:t>
      </w:r>
    </w:p>
    <w:p w14:paraId="35786EC7" w14:textId="4AE376B5" w:rsidR="0074500F" w:rsidRPr="008B628A" w:rsidRDefault="002B2B91" w:rsidP="002B2B91">
      <w:pPr>
        <w:pStyle w:val="programme"/>
        <w:spacing w:before="120" w:beforeAutospacing="0" w:after="120" w:afterAutospacing="0"/>
        <w:jc w:val="both"/>
        <w:textAlignment w:val="baseline"/>
        <w:rPr>
          <w:rFonts w:ascii="Times New Roman" w:hAnsi="Times New Roman" w:cs="Times New Roman"/>
          <w:i/>
          <w:sz w:val="24"/>
          <w:szCs w:val="24"/>
        </w:rPr>
      </w:pPr>
      <w:r w:rsidRPr="008B628A">
        <w:rPr>
          <w:rFonts w:ascii="Times New Roman" w:hAnsi="Times New Roman" w:cs="Times New Roman"/>
          <w:i/>
          <w:sz w:val="24"/>
          <w:szCs w:val="24"/>
          <w:bdr w:val="none" w:sz="0" w:space="0" w:color="auto" w:frame="1"/>
        </w:rPr>
        <w:t>LIFE – Vides un klimata pasākumu programma</w:t>
      </w:r>
    </w:p>
    <w:p w14:paraId="683E8C2D" w14:textId="6B80785C" w:rsidR="0074500F" w:rsidRPr="008B628A" w:rsidRDefault="002B2B91" w:rsidP="002B2B91">
      <w:pPr>
        <w:spacing w:before="120" w:after="120" w:line="240" w:lineRule="auto"/>
        <w:jc w:val="both"/>
        <w:rPr>
          <w:rFonts w:ascii="Times New Roman" w:hAnsi="Times New Roman" w:cs="Times New Roman"/>
          <w:bdr w:val="none" w:sz="0" w:space="0" w:color="auto" w:frame="1"/>
          <w:shd w:val="clear" w:color="auto" w:fill="FFFFFF"/>
        </w:rPr>
      </w:pPr>
      <w:r w:rsidRPr="008B628A">
        <w:rPr>
          <w:rFonts w:ascii="Times New Roman" w:hAnsi="Times New Roman" w:cs="Times New Roman"/>
          <w:bdr w:val="none" w:sz="0" w:space="0" w:color="auto" w:frame="1"/>
          <w:shd w:val="clear" w:color="auto" w:fill="FFFFFF"/>
        </w:rPr>
        <w:lastRenderedPageBreak/>
        <w:t>LIFE ir ES Vides un klimata pasākumu programma</w:t>
      </w:r>
      <w:r w:rsidR="005F7496" w:rsidRPr="008B628A">
        <w:rPr>
          <w:rFonts w:ascii="Times New Roman" w:hAnsi="Times New Roman" w:cs="Times New Roman"/>
          <w:bdr w:val="none" w:sz="0" w:space="0" w:color="auto" w:frame="1"/>
          <w:shd w:val="clear" w:color="auto" w:fill="FFFFFF"/>
        </w:rPr>
        <w:t>.</w:t>
      </w:r>
      <w:r w:rsidRPr="008B628A">
        <w:rPr>
          <w:rFonts w:ascii="Times New Roman" w:hAnsi="Times New Roman" w:cs="Times New Roman"/>
          <w:bdr w:val="none" w:sz="0" w:space="0" w:color="auto" w:frame="1"/>
          <w:shd w:val="clear" w:color="auto" w:fill="FFFFFF"/>
        </w:rPr>
        <w:t xml:space="preserve"> Tajā galvenā uzmanība pievērsta tam, lai izstrādātu un īstenotu novatoriskus veidus, kā reaģēt uz problēmām klimata jomā, tādējādi sekmējot izmaiņas politikas izstrādē, īstenošanā un izpildes nodrošināšanā.</w:t>
      </w:r>
    </w:p>
    <w:p w14:paraId="399B6262" w14:textId="12738D9A"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5,4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finansējums būs pieejams šādos virzienos:</w:t>
      </w:r>
    </w:p>
    <w:p w14:paraId="2F17C342" w14:textId="50252EC2"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szCs w:val="24"/>
          <w:bdr w:val="none" w:sz="0" w:space="0" w:color="auto" w:frame="1"/>
          <w:lang w:eastAsia="lv-LV"/>
        </w:rPr>
        <w:t xml:space="preserve">pāreja uz aprites ekonomiku, ko raksturo efektīvs resursu un enerģijas izmantojums, zemas </w:t>
      </w:r>
      <w:r w:rsidRPr="008B628A">
        <w:rPr>
          <w:rFonts w:ascii="Times New Roman" w:eastAsia="Times New Roman" w:hAnsi="Times New Roman" w:cs="Times New Roman"/>
          <w:color w:val="000000"/>
          <w:szCs w:val="24"/>
          <w:bdr w:val="none" w:sz="0" w:space="0" w:color="auto" w:frame="1"/>
          <w:lang w:eastAsia="lv-LV"/>
        </w:rPr>
        <w:t>oglekļa emisijas un klimatnoturība;</w:t>
      </w:r>
    </w:p>
    <w:p w14:paraId="3DAA86CE" w14:textId="6BB3FD33"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vides kvalitātes aizsardzība un uzlabošana;</w:t>
      </w:r>
    </w:p>
    <w:p w14:paraId="52025FC8" w14:textId="50C30DCE"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dabas aizsardzība un bioloģiskās daudzveidības zaudēšanas apturēšana un tās atjaunošana.</w:t>
      </w:r>
    </w:p>
    <w:p w14:paraId="6933DB05" w14:textId="55DECB9E" w:rsidR="002B2B91" w:rsidRPr="008B628A" w:rsidRDefault="002B2B91" w:rsidP="002B2B91">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i/>
          <w:color w:val="000000"/>
          <w:shd w:val="clear" w:color="auto" w:fill="FFFFFF"/>
        </w:rPr>
        <w:t>Eiropas Lauksaimniecības garantiju fonds un Eiropas Lauksaimniecības fonds lauku attīstībai</w:t>
      </w:r>
    </w:p>
    <w:p w14:paraId="5F3650BA" w14:textId="760C1519" w:rsidR="002B2B91" w:rsidRPr="008B628A" w:rsidRDefault="002B2B91" w:rsidP="002B2B91">
      <w:pPr>
        <w:spacing w:before="120" w:after="120" w:line="240" w:lineRule="auto"/>
        <w:jc w:val="both"/>
        <w:rPr>
          <w:rFonts w:ascii="Times New Roman" w:hAnsi="Times New Roman" w:cs="Times New Roman"/>
          <w:color w:val="444444"/>
          <w:sz w:val="27"/>
          <w:szCs w:val="27"/>
          <w:shd w:val="clear" w:color="auto" w:fill="FFFFFF"/>
        </w:rPr>
      </w:pPr>
      <w:r w:rsidRPr="008B628A">
        <w:rPr>
          <w:rFonts w:ascii="Times New Roman" w:hAnsi="Times New Roman" w:cs="Times New Roman"/>
          <w:color w:val="000000"/>
          <w:bdr w:val="none" w:sz="0" w:space="0" w:color="auto" w:frame="1"/>
          <w:shd w:val="clear" w:color="auto" w:fill="FFFFFF"/>
        </w:rPr>
        <w:t>Kopējā lauksaimniecības politika ir nozīmīga Savienības politikas joma, kuras mērķis ir palielināt lauksaimniecības ražīgumu, nodrošināt pietiekami augstu dzīves līmeni lauksaimniekiem, stabilizēt tirgus un uzlabot konkurētspēju. Modernizētai kopējai lauksaimniecības politikai būs jāatbalsta pāreja uz pilnībā ilgtspējīgu lauksaimniecības nozari un plaukstošu lauku apvidu attīstību, nodrošinot drošu, nekaitīgu un augstas kvalitātes pārtiku vairāk nekā 500 milj</w:t>
      </w:r>
      <w:r w:rsidR="0020334E" w:rsidRPr="008B628A">
        <w:rPr>
          <w:rFonts w:ascii="Times New Roman" w:hAnsi="Times New Roman" w:cs="Times New Roman"/>
          <w:color w:val="000000"/>
          <w:bdr w:val="none" w:sz="0" w:space="0" w:color="auto" w:frame="1"/>
          <w:shd w:val="clear" w:color="auto" w:fill="FFFFFF"/>
        </w:rPr>
        <w:t>.</w:t>
      </w:r>
      <w:r w:rsidRPr="008B628A">
        <w:rPr>
          <w:rFonts w:ascii="Times New Roman" w:hAnsi="Times New Roman" w:cs="Times New Roman"/>
          <w:color w:val="000000"/>
          <w:bdr w:val="none" w:sz="0" w:space="0" w:color="auto" w:frame="1"/>
          <w:shd w:val="clear" w:color="auto" w:fill="FFFFFF"/>
        </w:rPr>
        <w:t xml:space="preserve"> patērētāju.</w:t>
      </w:r>
    </w:p>
    <w:p w14:paraId="228CD08B" w14:textId="48925D36"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365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k</w:t>
      </w:r>
      <w:r w:rsidRPr="008B628A">
        <w:rPr>
          <w:rFonts w:ascii="Times New Roman" w:eastAsia="Times New Roman" w:hAnsi="Times New Roman" w:cs="Times New Roman"/>
          <w:color w:val="000000"/>
          <w:szCs w:val="24"/>
          <w:bdr w:val="none" w:sz="0" w:space="0" w:color="auto" w:frame="1"/>
          <w:lang w:eastAsia="lv-LV"/>
        </w:rPr>
        <w:t>opējā lauksaimniecības politika pēc 2020. gada ir lielākoties vērsta uz mērķiem, kas aptver visas trīs ilgtspējīgas lauksaimniecības dimensijas</w:t>
      </w:r>
      <w:r w:rsidRPr="008B628A">
        <w:rPr>
          <w:rFonts w:ascii="Times New Roman" w:hAnsi="Times New Roman" w:cs="Times New Roman"/>
          <w:szCs w:val="24"/>
          <w:bdr w:val="none" w:sz="0" w:space="0" w:color="auto" w:frame="1"/>
          <w:shd w:val="clear" w:color="auto" w:fill="FFFFFF"/>
        </w:rPr>
        <w:t>:</w:t>
      </w:r>
    </w:p>
    <w:p w14:paraId="0F291CD8" w14:textId="77777777"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veicināt viedu un noturīgu lauksaimniecības nozari;</w:t>
      </w:r>
    </w:p>
    <w:p w14:paraId="374454B9" w14:textId="77777777"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atbalstīt vidaprūpi un rīcību klimata jomā un sniegt ieguldījumu ES mērķu sasniegšanā vides un klimata jomā;</w:t>
      </w:r>
    </w:p>
    <w:p w14:paraId="53731745" w14:textId="7A36FF71"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stiprināt sociālekonomisko vidi lauku apvidos.</w:t>
      </w:r>
    </w:p>
    <w:p w14:paraId="34E92005" w14:textId="77777777" w:rsidR="002B2B91" w:rsidRPr="008B628A" w:rsidRDefault="002B2B91" w:rsidP="002B2B91">
      <w:pPr>
        <w:spacing w:before="120" w:after="120" w:line="240" w:lineRule="auto"/>
        <w:rPr>
          <w:rFonts w:ascii="Times New Roman" w:hAnsi="Times New Roman" w:cs="Times New Roman"/>
          <w:i/>
          <w:color w:val="444444"/>
          <w:sz w:val="27"/>
          <w:szCs w:val="27"/>
          <w:shd w:val="clear" w:color="auto" w:fill="FFFFFF"/>
        </w:rPr>
      </w:pPr>
      <w:r w:rsidRPr="008B628A">
        <w:rPr>
          <w:rFonts w:ascii="Times New Roman" w:hAnsi="Times New Roman" w:cs="Times New Roman"/>
          <w:i/>
          <w:color w:val="000000"/>
          <w:shd w:val="clear" w:color="auto" w:fill="FFFFFF"/>
        </w:rPr>
        <w:t>Eiropas Jūrlietu un zivsaimniecības fonds</w:t>
      </w:r>
    </w:p>
    <w:p w14:paraId="2AF2851B" w14:textId="1131894B" w:rsidR="002B2B91" w:rsidRPr="008B628A" w:rsidRDefault="002B2B91" w:rsidP="002B2B91">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hAnsi="Times New Roman" w:cs="Times New Roman"/>
          <w:color w:val="000000"/>
          <w:bdr w:val="none" w:sz="0" w:space="0" w:color="auto" w:frame="1"/>
          <w:shd w:val="clear" w:color="auto" w:fill="FFFFFF"/>
        </w:rPr>
        <w:t>Eiropas Jūrlietu un zivsaimniecības fonds ir īpaša ES programma, lai atbalstītu ilgtspējīgu ES zivsaimniecības nozari un piekrastes kopienas, kuras no tās ir atkarīgas.</w:t>
      </w:r>
    </w:p>
    <w:p w14:paraId="205570AB" w14:textId="320EC7A5"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6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finansējums būs pieejams šādos virzienos:</w:t>
      </w:r>
    </w:p>
    <w:p w14:paraId="0EB50403" w14:textId="77777777" w:rsidR="002B2B91" w:rsidRPr="008B628A" w:rsidRDefault="002B2B91" w:rsidP="00283C85">
      <w:pPr>
        <w:pStyle w:val="tv213"/>
        <w:numPr>
          <w:ilvl w:val="0"/>
          <w:numId w:val="38"/>
        </w:numPr>
        <w:spacing w:before="120" w:beforeAutospacing="0" w:after="120" w:afterAutospacing="0"/>
        <w:ind w:left="357" w:hanging="357"/>
        <w:jc w:val="both"/>
      </w:pPr>
      <w:r w:rsidRPr="008B628A">
        <w:t>aizsargāt veselīgas jūras un okeānus un nodrošināt ilgtspējīgu zivsaimniecību un akvakultūru, samazinot zvejas ietekmi uz jūras vidi un vienlaikus uzlabojot konkurētspēju un zivsaimniecības nozares pievilcību;</w:t>
      </w:r>
    </w:p>
    <w:p w14:paraId="0CD5930B" w14:textId="6AE1E2EA" w:rsidR="002B2B91" w:rsidRPr="008B628A" w:rsidRDefault="002B2B91" w:rsidP="00283C85">
      <w:pPr>
        <w:pStyle w:val="tv213"/>
        <w:numPr>
          <w:ilvl w:val="0"/>
          <w:numId w:val="38"/>
        </w:numPr>
        <w:spacing w:before="120" w:beforeAutospacing="0" w:after="120" w:afterAutospacing="0"/>
        <w:ind w:left="357" w:hanging="357"/>
        <w:jc w:val="both"/>
      </w:pPr>
      <w:r w:rsidRPr="008B628A">
        <w:t>sekmēt zilo ekonomiku, jo īpaši palīdzot ilgtspējīgām un pārtikušām piekrastes kopienām veicināt ieguldījumus, prasmes, zināšanas un tirgus attīstību;</w:t>
      </w:r>
    </w:p>
    <w:p w14:paraId="44362BA8" w14:textId="104A0092" w:rsidR="0074500F" w:rsidRPr="008B628A" w:rsidRDefault="002B2B91" w:rsidP="00283C85">
      <w:pPr>
        <w:pStyle w:val="tv213"/>
        <w:numPr>
          <w:ilvl w:val="0"/>
          <w:numId w:val="38"/>
        </w:numPr>
        <w:spacing w:before="120" w:beforeAutospacing="0" w:after="120" w:afterAutospacing="0"/>
        <w:ind w:left="357" w:hanging="357"/>
        <w:jc w:val="both"/>
      </w:pPr>
      <w:r w:rsidRPr="008B628A">
        <w:t>stiprināt okeānu starptautisko pārvaldību un jūras telpas drošumu un drošību jomās, kas vēl nav ietvertas starptautiskajos zivsaimniecības nolīgumos.</w:t>
      </w:r>
    </w:p>
    <w:p w14:paraId="6811EB8C" w14:textId="7B55C090" w:rsidR="00E80655" w:rsidRPr="00F060A0" w:rsidRDefault="00E80655" w:rsidP="0074500F">
      <w:pPr>
        <w:pStyle w:val="tv213"/>
        <w:spacing w:before="120" w:beforeAutospacing="0" w:after="120" w:afterAutospacing="0"/>
        <w:jc w:val="both"/>
      </w:pPr>
      <w:r>
        <w:t>Klimata finansējums</w:t>
      </w:r>
    </w:p>
    <w:p w14:paraId="688B528C" w14:textId="498E02E5" w:rsidR="0074500F" w:rsidRPr="00F060A0" w:rsidRDefault="0074500F" w:rsidP="0074500F">
      <w:pPr>
        <w:pStyle w:val="tv213"/>
        <w:spacing w:before="120" w:beforeAutospacing="0" w:after="120" w:afterAutospacing="0"/>
        <w:jc w:val="both"/>
        <w:rPr>
          <w:i/>
        </w:rPr>
      </w:pPr>
      <w:r w:rsidRPr="00F060A0">
        <w:rPr>
          <w:i/>
        </w:rPr>
        <w:t>EKII</w:t>
      </w:r>
    </w:p>
    <w:p w14:paraId="43EAB879" w14:textId="39C1207F" w:rsidR="0074500F" w:rsidRPr="008B628A" w:rsidRDefault="0074500F" w:rsidP="0074500F">
      <w:pPr>
        <w:pStyle w:val="tv213"/>
        <w:spacing w:before="120" w:beforeAutospacing="0" w:after="120" w:afterAutospacing="0"/>
        <w:jc w:val="both"/>
      </w:pPr>
      <w:r w:rsidRPr="008B628A">
        <w:t xml:space="preserve">Ieņēmumi no emisijas kvotu izsolīšanas ETS 3.periodā (2013.-2020.g.) indikatīvi varētu būt ap 170 milj. EUR visā periodā kopā. Tomēr ieņēmumu apjoms no ETS emisijas kvotu pārdošanas var būtiski mainīties atbilstoši emisijas kvotu tirgus svārstībām. </w:t>
      </w:r>
    </w:p>
    <w:p w14:paraId="1EB3DE37" w14:textId="39E310CC"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Ņemot vērā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jaunākos grozījumus Latvija laika periodā no 2021. gada līdz 2030. gadam izsolītu apmēram 16,07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kas vidēji būtu 1,6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w:t>
      </w:r>
      <w:r w:rsidRPr="008B628A">
        <w:rPr>
          <w:rFonts w:ascii="Times New Roman" w:hAnsi="Times New Roman" w:cs="Times New Roman"/>
          <w:szCs w:val="24"/>
        </w:rPr>
        <w:lastRenderedPageBreak/>
        <w:t xml:space="preserve">gadā, </w:t>
      </w:r>
      <w:r w:rsidR="005F7496" w:rsidRPr="008B628A">
        <w:rPr>
          <w:rFonts w:ascii="Times New Roman" w:hAnsi="Times New Roman" w:cs="Times New Roman"/>
          <w:szCs w:val="24"/>
        </w:rPr>
        <w:t xml:space="preserve">un </w:t>
      </w:r>
      <w:r w:rsidRPr="008B628A">
        <w:rPr>
          <w:rFonts w:ascii="Times New Roman" w:hAnsi="Times New Roman" w:cs="Times New Roman"/>
          <w:szCs w:val="24"/>
        </w:rPr>
        <w:t xml:space="preserve">pie potenciāli vidējās emisijas kvotu </w:t>
      </w:r>
      <w:r w:rsidR="005F7496" w:rsidRPr="008B628A">
        <w:rPr>
          <w:rFonts w:ascii="Times New Roman" w:hAnsi="Times New Roman" w:cs="Times New Roman"/>
          <w:szCs w:val="24"/>
        </w:rPr>
        <w:t xml:space="preserve">cenas </w:t>
      </w:r>
      <w:r w:rsidRPr="008B628A">
        <w:rPr>
          <w:rFonts w:ascii="Times New Roman" w:hAnsi="Times New Roman" w:cs="Times New Roman"/>
          <w:szCs w:val="24"/>
        </w:rPr>
        <w:t>ETS 4. periodā 25 EUR</w:t>
      </w:r>
      <w:r w:rsidRPr="008B628A">
        <w:rPr>
          <w:rStyle w:val="FootnoteReference"/>
          <w:rFonts w:ascii="Times New Roman" w:hAnsi="Times New Roman" w:cs="Times New Roman"/>
          <w:i/>
          <w:szCs w:val="24"/>
        </w:rPr>
        <w:footnoteReference w:id="160"/>
      </w:r>
      <w:r w:rsidRPr="008B628A">
        <w:rPr>
          <w:rFonts w:ascii="Times New Roman" w:hAnsi="Times New Roman" w:cs="Times New Roman"/>
          <w:szCs w:val="24"/>
        </w:rPr>
        <w:t>, Latvija no emisijas kvotu izsolīšanas valsts budžetā varētu iegūt līdz 401,75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w:t>
      </w:r>
      <w:r w:rsidR="005F7496" w:rsidRPr="008B628A">
        <w:rPr>
          <w:rFonts w:ascii="Times New Roman" w:hAnsi="Times New Roman" w:cs="Times New Roman"/>
          <w:szCs w:val="24"/>
        </w:rPr>
        <w:t>a</w:t>
      </w:r>
      <w:r w:rsidRPr="008B628A">
        <w:rPr>
          <w:rFonts w:ascii="Times New Roman" w:hAnsi="Times New Roman" w:cs="Times New Roman"/>
          <w:szCs w:val="24"/>
        </w:rPr>
        <w:t>zonu</w:t>
      </w:r>
      <w:r w:rsidRPr="008B628A">
        <w:rPr>
          <w:rStyle w:val="FootnoteReference"/>
          <w:rFonts w:ascii="Times New Roman" w:hAnsi="Times New Roman" w:cs="Times New Roman"/>
          <w:szCs w:val="24"/>
        </w:rPr>
        <w:footnoteReference w:id="161"/>
      </w:r>
      <w:r w:rsidRPr="008B628A">
        <w:rPr>
          <w:rFonts w:ascii="Times New Roman" w:hAnsi="Times New Roman" w:cs="Times New Roman"/>
          <w:szCs w:val="24"/>
        </w:rPr>
        <w:t>.</w:t>
      </w:r>
    </w:p>
    <w:p w14:paraId="756098CD" w14:textId="474ECA3A" w:rsidR="0074500F" w:rsidRPr="008B628A" w:rsidRDefault="0074500F" w:rsidP="0074500F">
      <w:pPr>
        <w:pStyle w:val="naiskr"/>
        <w:spacing w:before="120" w:after="120"/>
        <w:jc w:val="both"/>
      </w:pPr>
      <w:r w:rsidRPr="008B628A">
        <w:t>Emisijas kvotu izsolīšanas ieņēmumu izlietojums ir noteikts likuma „Par piesārņojumu”  32.</w:t>
      </w:r>
      <w:r w:rsidRPr="008B628A">
        <w:rPr>
          <w:vertAlign w:val="superscript"/>
        </w:rPr>
        <w:t>2</w:t>
      </w:r>
      <w:r w:rsidRPr="008B628A">
        <w:t xml:space="preserve"> panta 4</w:t>
      </w:r>
      <w:r w:rsidRPr="008B628A">
        <w:rPr>
          <w:vertAlign w:val="superscript"/>
        </w:rPr>
        <w:t>4</w:t>
      </w:r>
      <w:r w:rsidRPr="008B628A">
        <w:t xml:space="preserve"> daļā – emisijas kvotu izsolīšanas ieņēmumi ir izmantojami tikai klimata pārmaiņu mazināšanas un pielāgošanās klimata pārmaiņām nodrošināšanai</w:t>
      </w:r>
      <w:r w:rsidR="005F7496" w:rsidRPr="008B628A">
        <w:t>,</w:t>
      </w:r>
      <w:r w:rsidRPr="008B628A">
        <w:t xml:space="preserve"> t.sk. SEG emisiju samazināšanai vai ierobežošanai enerģētikas, rūpniecības, transporta, lauksaimniecības un atkritumu apsaimniekošanas nozarēs, bet likuma 32.</w:t>
      </w:r>
      <w:r w:rsidRPr="008B628A">
        <w:rPr>
          <w:vertAlign w:val="superscript"/>
        </w:rPr>
        <w:t>2</w:t>
      </w:r>
      <w:r w:rsidRPr="008B628A">
        <w:t xml:space="preserve"> panta 4.</w:t>
      </w:r>
      <w:r w:rsidRPr="008B628A">
        <w:rPr>
          <w:vertAlign w:val="superscript"/>
        </w:rPr>
        <w:t>6</w:t>
      </w:r>
      <w:r w:rsidRPr="008B628A">
        <w:t xml:space="preserve"> daļa noteic, ka izsoļu ieņēmumu izmantošanu nodrošina, organizējot atklātos projektu iesniegumu konkursus par likuma 32.</w:t>
      </w:r>
      <w:r w:rsidRPr="008B628A">
        <w:rPr>
          <w:vertAlign w:val="superscript"/>
        </w:rPr>
        <w:t>2</w:t>
      </w:r>
      <w:r w:rsidRPr="008B628A">
        <w:t> panta 4.</w:t>
      </w:r>
      <w:r w:rsidRPr="008B628A">
        <w:rPr>
          <w:vertAlign w:val="superscript"/>
        </w:rPr>
        <w:t>4</w:t>
      </w:r>
      <w:r w:rsidRPr="008B628A">
        <w:t xml:space="preserve"> daļas 1. un 2. punktā minētajiem mērķiem.</w:t>
      </w:r>
    </w:p>
    <w:p w14:paraId="15D2F2DA" w14:textId="77777777" w:rsidR="0074500F" w:rsidRPr="008B628A" w:rsidRDefault="0074500F" w:rsidP="0074500F">
      <w:pPr>
        <w:pStyle w:val="naiskr"/>
        <w:spacing w:before="120" w:after="120"/>
        <w:jc w:val="both"/>
      </w:pPr>
      <w:r w:rsidRPr="008B628A">
        <w:t xml:space="preserve">No izsolēm iepriekšējos gados uzkrātais finansējuma apjoms līdz 2017. gada beigām tika izmantots </w:t>
      </w:r>
      <w:r w:rsidRPr="008B628A">
        <w:rPr>
          <w:bCs/>
        </w:rPr>
        <w:t xml:space="preserve">divu projektu konkursu īstenošanai, kuru ietvaros ir apstiprināti un tiek īstenoti 16 projekti. </w:t>
      </w:r>
    </w:p>
    <w:p w14:paraId="5E5277DA" w14:textId="78139E9D" w:rsidR="0074500F" w:rsidRPr="008B628A" w:rsidRDefault="0074500F" w:rsidP="0074500F">
      <w:pPr>
        <w:spacing w:before="120" w:after="120" w:line="240" w:lineRule="auto"/>
        <w:jc w:val="both"/>
        <w:rPr>
          <w:rFonts w:ascii="Times New Roman" w:hAnsi="Times New Roman" w:cs="Times New Roman"/>
          <w:iCs/>
          <w:szCs w:val="24"/>
        </w:rPr>
      </w:pPr>
      <w:r w:rsidRPr="008B628A">
        <w:rPr>
          <w:rFonts w:ascii="Times New Roman" w:hAnsi="Times New Roman" w:cs="Times New Roman"/>
          <w:noProof/>
          <w:szCs w:val="24"/>
        </w:rPr>
        <w:t xml:space="preserve">Abos konkursos finansējums tika piešķirts energoefektivitātes pasākumu īstenošanai ēkās, kas sniedz gan tiešus </w:t>
      </w:r>
      <w:r w:rsidRPr="008B628A">
        <w:rPr>
          <w:rFonts w:ascii="Times New Roman" w:hAnsi="Times New Roman" w:cs="Times New Roman"/>
          <w:szCs w:val="24"/>
        </w:rPr>
        <w:t>SEG emisiju samazinājumus, gan arī netiešos SEG emisiju samazinājumus, kas rodas no projektu demonstrācijas un multiplikatīvā efekta</w:t>
      </w:r>
      <w:r w:rsidRPr="008B628A">
        <w:rPr>
          <w:rFonts w:ascii="Times New Roman" w:hAnsi="Times New Roman" w:cs="Times New Roman"/>
          <w:noProof/>
          <w:szCs w:val="24"/>
        </w:rPr>
        <w:t xml:space="preserve">. Netiešie SEG emisiju samazinājumi ir ļoti nozīmīgi, jo </w:t>
      </w:r>
      <w:r w:rsidRPr="008B628A">
        <w:rPr>
          <w:rFonts w:ascii="Times New Roman" w:hAnsi="Times New Roman" w:cs="Times New Roman"/>
          <w:szCs w:val="24"/>
        </w:rPr>
        <w:t>klimata politikas mērķu sasniegšanai nepieciešamas pakāpeniskas, visaptverošas un būtiskas izmaiņas tautsaimniecībā un iedzīvotāju dzīvesveidā.</w:t>
      </w:r>
      <w:r w:rsidRPr="008B628A">
        <w:rPr>
          <w:rFonts w:ascii="Times New Roman" w:hAnsi="Times New Roman" w:cs="Times New Roman"/>
          <w:noProof/>
          <w:szCs w:val="24"/>
        </w:rPr>
        <w:t xml:space="preserve"> </w:t>
      </w:r>
      <w:r w:rsidRPr="008B628A">
        <w:rPr>
          <w:rFonts w:ascii="Times New Roman" w:hAnsi="Times New Roman" w:cs="Times New Roman"/>
          <w:iCs/>
          <w:szCs w:val="24"/>
        </w:rPr>
        <w:t>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CCCC761" w14:textId="73AC1E30" w:rsidR="0074500F"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55" w:name="_Toc531333152"/>
      <w:r w:rsidR="006067D4">
        <w:rPr>
          <w:noProof/>
        </w:rPr>
        <w:t>10</w:t>
      </w:r>
      <w:r w:rsidRPr="008B628A">
        <w:rPr>
          <w:noProof/>
        </w:rPr>
        <w:fldChar w:fldCharType="end"/>
      </w:r>
      <w:r w:rsidR="0074500F" w:rsidRPr="008B628A">
        <w:t>.tabula. Pārskats par finansējuma izmantošanas progresu EKII finansētajos konkursos 2017.gadā</w:t>
      </w:r>
      <w:bookmarkEnd w:id="255"/>
    </w:p>
    <w:tbl>
      <w:tblPr>
        <w:tblpPr w:leftFromText="181" w:rightFromText="181" w:vertAnchor="text" w:horzAnchor="margin" w:tblpXSpec="center" w:tblpY="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3"/>
        <w:gridCol w:w="2552"/>
        <w:gridCol w:w="2310"/>
        <w:gridCol w:w="2310"/>
      </w:tblGrid>
      <w:tr w:rsidR="005F7496" w:rsidRPr="008B628A" w14:paraId="69C3F889" w14:textId="77777777" w:rsidTr="00FD6D1E">
        <w:trPr>
          <w:trHeight w:val="476"/>
          <w:tblHeader/>
        </w:trPr>
        <w:tc>
          <w:tcPr>
            <w:tcW w:w="7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099E44" w14:textId="77777777" w:rsidR="005F7496" w:rsidRPr="008B628A" w:rsidRDefault="005F7496" w:rsidP="005F6638">
            <w:pPr>
              <w:spacing w:after="0" w:line="240" w:lineRule="auto"/>
              <w:ind w:left="-108" w:right="-108"/>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Nr.p.k</w:t>
            </w:r>
          </w:p>
        </w:tc>
        <w:tc>
          <w:tcPr>
            <w:tcW w:w="15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09823A"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Konkursa nosaukums</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D5B7B9"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Pieejamais EKII finansējums (EUR)</w:t>
            </w:r>
          </w:p>
        </w:tc>
        <w:tc>
          <w:tcPr>
            <w:tcW w:w="1358" w:type="pct"/>
            <w:vMerge w:val="restart"/>
            <w:tcBorders>
              <w:top w:val="single" w:sz="4" w:space="0" w:color="auto"/>
              <w:left w:val="single" w:sz="4" w:space="0" w:color="auto"/>
              <w:right w:val="single" w:sz="4" w:space="0" w:color="auto"/>
            </w:tcBorders>
            <w:shd w:val="clear" w:color="auto" w:fill="D9D9D9"/>
            <w:vAlign w:val="center"/>
          </w:tcPr>
          <w:p w14:paraId="6BF60713"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Piešķirtais EKII finansējums (EUR)</w:t>
            </w:r>
          </w:p>
        </w:tc>
      </w:tr>
      <w:tr w:rsidR="005F7496" w:rsidRPr="008B628A" w14:paraId="1154B540" w14:textId="77777777" w:rsidTr="00FD6D1E">
        <w:trPr>
          <w:trHeight w:val="476"/>
          <w:tblHeader/>
        </w:trPr>
        <w:tc>
          <w:tcPr>
            <w:tcW w:w="784" w:type="pct"/>
            <w:vMerge/>
            <w:tcBorders>
              <w:top w:val="single" w:sz="4" w:space="0" w:color="auto"/>
              <w:left w:val="single" w:sz="4" w:space="0" w:color="auto"/>
              <w:bottom w:val="single" w:sz="4" w:space="0" w:color="auto"/>
              <w:right w:val="single" w:sz="4" w:space="0" w:color="auto"/>
            </w:tcBorders>
            <w:vAlign w:val="center"/>
            <w:hideMark/>
          </w:tcPr>
          <w:p w14:paraId="1E229EDA"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500" w:type="pct"/>
            <w:vMerge/>
            <w:tcBorders>
              <w:top w:val="single" w:sz="4" w:space="0" w:color="auto"/>
              <w:left w:val="single" w:sz="4" w:space="0" w:color="auto"/>
              <w:bottom w:val="single" w:sz="4" w:space="0" w:color="auto"/>
              <w:right w:val="single" w:sz="4" w:space="0" w:color="auto"/>
            </w:tcBorders>
            <w:vAlign w:val="center"/>
            <w:hideMark/>
          </w:tcPr>
          <w:p w14:paraId="3134C712"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50C5C804"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358" w:type="pct"/>
            <w:vMerge/>
            <w:tcBorders>
              <w:left w:val="single" w:sz="4" w:space="0" w:color="auto"/>
              <w:bottom w:val="single" w:sz="4" w:space="0" w:color="auto"/>
              <w:right w:val="single" w:sz="4" w:space="0" w:color="auto"/>
            </w:tcBorders>
            <w:shd w:val="clear" w:color="auto" w:fill="D9D9D9"/>
          </w:tcPr>
          <w:p w14:paraId="4E97306C" w14:textId="77777777" w:rsidR="005F7496" w:rsidRPr="008B628A" w:rsidRDefault="005F7496" w:rsidP="005F6638">
            <w:pPr>
              <w:spacing w:after="0" w:line="240" w:lineRule="auto"/>
              <w:jc w:val="center"/>
              <w:rPr>
                <w:rFonts w:ascii="Times New Roman" w:eastAsia="Times New Roman" w:hAnsi="Times New Roman" w:cs="Times New Roman"/>
                <w:b/>
                <w:sz w:val="22"/>
              </w:rPr>
            </w:pPr>
          </w:p>
        </w:tc>
      </w:tr>
      <w:tr w:rsidR="005F7496" w:rsidRPr="008B628A" w14:paraId="0AEA0989" w14:textId="77777777" w:rsidTr="00FD6D1E">
        <w:trPr>
          <w:trHeight w:val="79"/>
        </w:trPr>
        <w:tc>
          <w:tcPr>
            <w:tcW w:w="784" w:type="pct"/>
            <w:tcBorders>
              <w:top w:val="single" w:sz="4" w:space="0" w:color="auto"/>
              <w:left w:val="single" w:sz="4" w:space="0" w:color="auto"/>
              <w:bottom w:val="single" w:sz="4" w:space="0" w:color="auto"/>
              <w:right w:val="single" w:sz="4" w:space="0" w:color="auto"/>
            </w:tcBorders>
            <w:vAlign w:val="center"/>
            <w:hideMark/>
          </w:tcPr>
          <w:p w14:paraId="79BA01FB" w14:textId="77777777" w:rsidR="005F7496" w:rsidRPr="008B628A" w:rsidRDefault="005F7496" w:rsidP="005F6638">
            <w:pPr>
              <w:spacing w:after="0" w:line="240" w:lineRule="auto"/>
              <w:rPr>
                <w:rFonts w:ascii="Times New Roman" w:eastAsia="Times New Roman" w:hAnsi="Times New Roman" w:cs="Times New Roman"/>
                <w:noProof/>
                <w:szCs w:val="24"/>
              </w:rPr>
            </w:pPr>
            <w:r w:rsidRPr="008B628A">
              <w:rPr>
                <w:rFonts w:ascii="Times New Roman" w:eastAsia="Times New Roman" w:hAnsi="Times New Roman" w:cs="Times New Roman"/>
                <w:noProof/>
                <w:szCs w:val="24"/>
              </w:rPr>
              <w:t>EKII-1</w:t>
            </w:r>
          </w:p>
        </w:tc>
        <w:tc>
          <w:tcPr>
            <w:tcW w:w="1500" w:type="pct"/>
            <w:tcBorders>
              <w:top w:val="single" w:sz="4" w:space="0" w:color="auto"/>
              <w:left w:val="single" w:sz="4" w:space="0" w:color="auto"/>
              <w:bottom w:val="single" w:sz="4" w:space="0" w:color="auto"/>
              <w:right w:val="single" w:sz="4" w:space="0" w:color="auto"/>
            </w:tcBorders>
            <w:vAlign w:val="center"/>
            <w:hideMark/>
          </w:tcPr>
          <w:p w14:paraId="6FEB010D" w14:textId="77777777" w:rsidR="005F7496" w:rsidRPr="008B628A" w:rsidRDefault="005F7496" w:rsidP="005F6638">
            <w:pPr>
              <w:spacing w:after="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Siltumnīcefekta gāzu emisiju samazināšana valsts nozīmes aizsargājamos arhitektūras pieminekļos</w:t>
            </w:r>
          </w:p>
        </w:tc>
        <w:tc>
          <w:tcPr>
            <w:tcW w:w="1358" w:type="pct"/>
            <w:tcBorders>
              <w:top w:val="single" w:sz="4" w:space="0" w:color="auto"/>
              <w:left w:val="single" w:sz="4" w:space="0" w:color="auto"/>
              <w:bottom w:val="single" w:sz="4" w:space="0" w:color="auto"/>
              <w:right w:val="single" w:sz="4" w:space="0" w:color="auto"/>
            </w:tcBorders>
            <w:vAlign w:val="center"/>
            <w:hideMark/>
          </w:tcPr>
          <w:p w14:paraId="25944E21" w14:textId="77777777" w:rsidR="005F7496" w:rsidRPr="008B628A" w:rsidRDefault="005F7496" w:rsidP="005F6638">
            <w:pPr>
              <w:spacing w:after="0" w:line="240" w:lineRule="auto"/>
              <w:jc w:val="center"/>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9 000 000,00</w:t>
            </w:r>
          </w:p>
        </w:tc>
        <w:tc>
          <w:tcPr>
            <w:tcW w:w="1358" w:type="pct"/>
            <w:tcBorders>
              <w:top w:val="single" w:sz="4" w:space="0" w:color="auto"/>
              <w:left w:val="single" w:sz="4" w:space="0" w:color="auto"/>
              <w:bottom w:val="single" w:sz="4" w:space="0" w:color="auto"/>
              <w:right w:val="single" w:sz="4" w:space="0" w:color="auto"/>
            </w:tcBorders>
            <w:vAlign w:val="center"/>
          </w:tcPr>
          <w:p w14:paraId="45860BF3"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8 868 342,93</w:t>
            </w:r>
          </w:p>
        </w:tc>
      </w:tr>
      <w:tr w:rsidR="005F7496" w:rsidRPr="008B628A" w14:paraId="215E3147" w14:textId="77777777" w:rsidTr="00FD6D1E">
        <w:trPr>
          <w:trHeight w:val="79"/>
        </w:trPr>
        <w:tc>
          <w:tcPr>
            <w:tcW w:w="784" w:type="pct"/>
            <w:tcBorders>
              <w:top w:val="single" w:sz="4" w:space="0" w:color="auto"/>
              <w:left w:val="single" w:sz="4" w:space="0" w:color="auto"/>
              <w:bottom w:val="single" w:sz="4" w:space="0" w:color="auto"/>
              <w:right w:val="single" w:sz="4" w:space="0" w:color="auto"/>
            </w:tcBorders>
            <w:vAlign w:val="center"/>
            <w:hideMark/>
          </w:tcPr>
          <w:p w14:paraId="4F7C9107" w14:textId="77777777" w:rsidR="005F7496" w:rsidRPr="008B628A" w:rsidRDefault="005F7496" w:rsidP="005F6638">
            <w:pPr>
              <w:spacing w:after="0" w:line="240" w:lineRule="auto"/>
              <w:rPr>
                <w:rFonts w:ascii="Times New Roman" w:eastAsia="Times New Roman" w:hAnsi="Times New Roman" w:cs="Times New Roman"/>
                <w:noProof/>
                <w:szCs w:val="24"/>
              </w:rPr>
            </w:pPr>
            <w:r w:rsidRPr="008B628A">
              <w:rPr>
                <w:rFonts w:ascii="Times New Roman" w:eastAsia="Times New Roman" w:hAnsi="Times New Roman" w:cs="Times New Roman"/>
                <w:noProof/>
                <w:szCs w:val="24"/>
              </w:rPr>
              <w:t>EKII-2</w:t>
            </w:r>
          </w:p>
        </w:tc>
        <w:tc>
          <w:tcPr>
            <w:tcW w:w="1500" w:type="pct"/>
            <w:tcBorders>
              <w:top w:val="single" w:sz="4" w:space="0" w:color="auto"/>
              <w:left w:val="single" w:sz="4" w:space="0" w:color="auto"/>
              <w:bottom w:val="single" w:sz="4" w:space="0" w:color="auto"/>
              <w:right w:val="single" w:sz="4" w:space="0" w:color="auto"/>
            </w:tcBorders>
            <w:vAlign w:val="center"/>
            <w:hideMark/>
          </w:tcPr>
          <w:p w14:paraId="78D4A596" w14:textId="77777777" w:rsidR="005F7496" w:rsidRPr="008B628A" w:rsidRDefault="005F7496" w:rsidP="005F6638">
            <w:pPr>
              <w:spacing w:after="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Siltumnīcefekta gāzu emisiju samazināšana – zema enerģijas patēriņa ēkas</w:t>
            </w:r>
          </w:p>
        </w:tc>
        <w:tc>
          <w:tcPr>
            <w:tcW w:w="1358" w:type="pct"/>
            <w:tcBorders>
              <w:top w:val="single" w:sz="4" w:space="0" w:color="auto"/>
              <w:left w:val="single" w:sz="4" w:space="0" w:color="auto"/>
              <w:bottom w:val="single" w:sz="4" w:space="0" w:color="auto"/>
              <w:right w:val="single" w:sz="4" w:space="0" w:color="auto"/>
            </w:tcBorders>
            <w:vAlign w:val="center"/>
            <w:hideMark/>
          </w:tcPr>
          <w:p w14:paraId="10E168DA"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23 000 000,00</w:t>
            </w:r>
          </w:p>
        </w:tc>
        <w:tc>
          <w:tcPr>
            <w:tcW w:w="1358" w:type="pct"/>
            <w:tcBorders>
              <w:top w:val="single" w:sz="4" w:space="0" w:color="auto"/>
              <w:left w:val="single" w:sz="4" w:space="0" w:color="auto"/>
              <w:bottom w:val="single" w:sz="4" w:space="0" w:color="auto"/>
              <w:right w:val="single" w:sz="4" w:space="0" w:color="auto"/>
            </w:tcBorders>
            <w:vAlign w:val="center"/>
          </w:tcPr>
          <w:p w14:paraId="32802254"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22 998 907,53</w:t>
            </w:r>
          </w:p>
        </w:tc>
      </w:tr>
      <w:tr w:rsidR="005F7496" w:rsidRPr="008B628A" w14:paraId="3F53DA52" w14:textId="77777777" w:rsidTr="00FD6D1E">
        <w:trPr>
          <w:trHeight w:val="79"/>
        </w:trPr>
        <w:tc>
          <w:tcPr>
            <w:tcW w:w="2284" w:type="pct"/>
            <w:gridSpan w:val="2"/>
            <w:tcBorders>
              <w:top w:val="single" w:sz="4" w:space="0" w:color="auto"/>
              <w:left w:val="single" w:sz="4" w:space="0" w:color="auto"/>
              <w:bottom w:val="single" w:sz="4" w:space="0" w:color="auto"/>
              <w:right w:val="single" w:sz="4" w:space="0" w:color="auto"/>
            </w:tcBorders>
            <w:vAlign w:val="center"/>
            <w:hideMark/>
          </w:tcPr>
          <w:p w14:paraId="35952997" w14:textId="77777777" w:rsidR="005F7496" w:rsidRPr="008B628A" w:rsidRDefault="005F7496" w:rsidP="005F6638">
            <w:pPr>
              <w:spacing w:after="0" w:line="240" w:lineRule="auto"/>
              <w:jc w:val="right"/>
              <w:rPr>
                <w:rFonts w:ascii="Times New Roman" w:eastAsia="Times New Roman" w:hAnsi="Times New Roman" w:cs="Times New Roman"/>
                <w:b/>
                <w:bCs/>
                <w:szCs w:val="24"/>
                <w:lang w:eastAsia="lv-LV"/>
              </w:rPr>
            </w:pPr>
            <w:r w:rsidRPr="008B628A">
              <w:rPr>
                <w:rFonts w:ascii="Times New Roman" w:eastAsia="Times New Roman" w:hAnsi="Times New Roman" w:cs="Times New Roman"/>
                <w:b/>
                <w:bCs/>
                <w:szCs w:val="24"/>
                <w:lang w:eastAsia="lv-LV"/>
              </w:rPr>
              <w:t>Kopā:</w:t>
            </w:r>
          </w:p>
        </w:tc>
        <w:tc>
          <w:tcPr>
            <w:tcW w:w="1358" w:type="pct"/>
            <w:tcBorders>
              <w:top w:val="single" w:sz="4" w:space="0" w:color="auto"/>
              <w:left w:val="single" w:sz="4" w:space="0" w:color="auto"/>
              <w:bottom w:val="single" w:sz="4" w:space="0" w:color="auto"/>
              <w:right w:val="single" w:sz="4" w:space="0" w:color="auto"/>
            </w:tcBorders>
            <w:vAlign w:val="center"/>
            <w:hideMark/>
          </w:tcPr>
          <w:p w14:paraId="3669538F" w14:textId="77777777" w:rsidR="005F7496" w:rsidRPr="008B628A" w:rsidRDefault="005F7496" w:rsidP="005F6638">
            <w:pPr>
              <w:spacing w:after="0" w:line="240" w:lineRule="auto"/>
              <w:jc w:val="center"/>
              <w:rPr>
                <w:rFonts w:ascii="Times New Roman" w:eastAsia="Times New Roman" w:hAnsi="Times New Roman" w:cs="Times New Roman"/>
                <w:b/>
                <w:bCs/>
                <w:szCs w:val="24"/>
                <w:lang w:eastAsia="lv-LV"/>
              </w:rPr>
            </w:pPr>
            <w:r w:rsidRPr="008B628A">
              <w:rPr>
                <w:rFonts w:ascii="Times New Roman" w:eastAsia="Times New Roman" w:hAnsi="Times New Roman" w:cs="Times New Roman"/>
                <w:b/>
                <w:bCs/>
                <w:szCs w:val="24"/>
              </w:rPr>
              <w:t>32 000 000,00</w:t>
            </w:r>
          </w:p>
        </w:tc>
        <w:tc>
          <w:tcPr>
            <w:tcW w:w="1358" w:type="pct"/>
            <w:tcBorders>
              <w:top w:val="single" w:sz="4" w:space="0" w:color="auto"/>
              <w:left w:val="single" w:sz="4" w:space="0" w:color="auto"/>
              <w:bottom w:val="single" w:sz="4" w:space="0" w:color="auto"/>
              <w:right w:val="single" w:sz="4" w:space="0" w:color="auto"/>
            </w:tcBorders>
            <w:vAlign w:val="center"/>
          </w:tcPr>
          <w:p w14:paraId="01B7564A" w14:textId="77777777" w:rsidR="005F7496" w:rsidRPr="008B628A" w:rsidRDefault="005F7496" w:rsidP="005F6638">
            <w:pPr>
              <w:spacing w:after="0" w:line="240" w:lineRule="auto"/>
              <w:jc w:val="center"/>
              <w:rPr>
                <w:rFonts w:ascii="Times New Roman" w:eastAsia="Times New Roman" w:hAnsi="Times New Roman" w:cs="Times New Roman"/>
                <w:b/>
                <w:bCs/>
                <w:szCs w:val="24"/>
              </w:rPr>
            </w:pPr>
            <w:r w:rsidRPr="008B628A">
              <w:rPr>
                <w:rFonts w:ascii="Times New Roman" w:eastAsia="Times New Roman" w:hAnsi="Times New Roman" w:cs="Times New Roman"/>
                <w:b/>
                <w:bCs/>
                <w:szCs w:val="24"/>
              </w:rPr>
              <w:t>31 867 250,46</w:t>
            </w:r>
          </w:p>
        </w:tc>
      </w:tr>
    </w:tbl>
    <w:p w14:paraId="72EDCDEE" w14:textId="3E6BEF10" w:rsidR="0074500F" w:rsidRPr="008B628A" w:rsidRDefault="005F7496"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Plašāka informācija par EKII ietvaros īstenotajiem konkursiem pieejama ikgada informatīvajos ziņojumos par izsoļu ieņēmumu izmantošanu 2017. gadā</w:t>
      </w:r>
      <w:r w:rsidR="0074500F" w:rsidRPr="008B628A">
        <w:rPr>
          <w:rFonts w:ascii="Times New Roman" w:hAnsi="Times New Roman" w:cs="Times New Roman"/>
          <w:szCs w:val="24"/>
        </w:rPr>
        <w:t>.</w:t>
      </w:r>
    </w:p>
    <w:p w14:paraId="280205EB" w14:textId="4086AC4A"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2018. gada 28. jūnijā stājās spēkā Ministra kabineta noteikumi Nr. 333 “Emisijas kvotu izsolīšanas instrumenta finansēto projektu atklāta konkursa "Siltumnīcefekta gāzu emisiju samazināšana ar </w:t>
      </w:r>
      <w:r w:rsidRPr="008B628A">
        <w:rPr>
          <w:rFonts w:ascii="Times New Roman" w:hAnsi="Times New Roman" w:cs="Times New Roman"/>
          <w:szCs w:val="24"/>
        </w:rPr>
        <w:lastRenderedPageBreak/>
        <w:t xml:space="preserve">viedajām pilsētvides tehnoloģijām" nolikums”. Konkursa mērķis ir ieviest un demonstrēt viedās pilsētvides tehnoloģijas, kas samazina siltumnīcefekta gāzu emisijas. Konkursa ietvaros pieejamais finanšu instrumenta finansējums ir 8 000 000 EUR, tai skaitā </w:t>
      </w:r>
      <w:r w:rsidR="004C7936" w:rsidRPr="008B628A">
        <w:rPr>
          <w:rFonts w:ascii="Times New Roman" w:eastAsia="Calibri" w:hAnsi="Times New Roman" w:cs="Times New Roman"/>
          <w:szCs w:val="24"/>
        </w:rPr>
        <w:t>AER</w:t>
      </w:r>
      <w:r w:rsidR="004C7936" w:rsidRPr="008B628A">
        <w:rPr>
          <w:rFonts w:ascii="Times New Roman" w:hAnsi="Times New Roman" w:cs="Times New Roman"/>
          <w:szCs w:val="24"/>
        </w:rPr>
        <w:t xml:space="preserve"> </w:t>
      </w:r>
      <w:r w:rsidRPr="008B628A">
        <w:rPr>
          <w:rFonts w:ascii="Times New Roman" w:hAnsi="Times New Roman" w:cs="Times New Roman"/>
          <w:szCs w:val="24"/>
        </w:rPr>
        <w:t>izmantojošu viedo pilsētvides tehnoloģiju uzstādīšanai – 2 000 000 EUR un  energoefektivitāti veicinošu viedo pilsētvides tehnoloģiju ieviešanai – 6 000 000 EUR.</w:t>
      </w:r>
    </w:p>
    <w:p w14:paraId="70A9D5EB" w14:textId="77777777" w:rsidR="0074500F" w:rsidRPr="008B628A" w:rsidRDefault="0074500F" w:rsidP="0074500F">
      <w:pPr>
        <w:spacing w:before="120" w:after="120" w:line="240" w:lineRule="auto"/>
        <w:jc w:val="both"/>
        <w:rPr>
          <w:rFonts w:ascii="Times New Roman" w:hAnsi="Times New Roman" w:cs="Times New Roman"/>
        </w:rPr>
      </w:pPr>
      <w:r w:rsidRPr="008B628A">
        <w:rPr>
          <w:rFonts w:ascii="Times New Roman" w:hAnsi="Times New Roman" w:cs="Times New Roman"/>
        </w:rPr>
        <w:t>2018. gada 24. jūlijā stājās spēkā Ministra kabineta noteikumi Nr. 418 “Emisijas kvotu izsolīšanas instrumenta finansēto projektu atklāta konkursa "Siltumnīcefekta gāzu emisiju samazināšana, attīstot enerģētiski pašpietiekamu ēku būvniecību" nolikums”. Konkursa mērķis ir potenciālo siltumnīcefekta gāzu emisiju ierobežošana, atbalstot jaunu un ilgtspējīgu zema enerģijas patēriņa enerģētiski pašpietiekamu ēku (turpmāk – enerģētiski pašpietiekama ēka) būvniecību un nodrošinot oglekļa mazietilpīgai attīstībai nepieciešamo tehnoloģiju demonstrēšanu un popularizēšanu Latvijā. Konkursa ietvaros pieejamais finanšu instrumenta finansējums ir 10 000 000 EUR.</w:t>
      </w:r>
    </w:p>
    <w:p w14:paraId="3E809880" w14:textId="77777777" w:rsidR="0074500F" w:rsidRPr="00F060A0" w:rsidRDefault="0074500F" w:rsidP="0074500F">
      <w:pPr>
        <w:autoSpaceDE w:val="0"/>
        <w:adjustRightInd w:val="0"/>
        <w:spacing w:before="120" w:after="120" w:line="240" w:lineRule="auto"/>
        <w:jc w:val="both"/>
        <w:rPr>
          <w:rFonts w:ascii="Times New Roman" w:hAnsi="Times New Roman" w:cs="Times New Roman"/>
          <w:i/>
          <w:szCs w:val="24"/>
        </w:rPr>
      </w:pPr>
      <w:r w:rsidRPr="00F060A0">
        <w:rPr>
          <w:rFonts w:ascii="Times New Roman" w:hAnsi="Times New Roman" w:cs="Times New Roman"/>
          <w:i/>
          <w:szCs w:val="24"/>
        </w:rPr>
        <w:t>NER300 un Inovāciju fonds</w:t>
      </w:r>
    </w:p>
    <w:p w14:paraId="6667315A" w14:textId="04557728" w:rsidR="0074500F" w:rsidRPr="008B628A" w:rsidRDefault="0074500F" w:rsidP="0074500F">
      <w:pPr>
        <w:autoSpaceDE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ETS 3. perioda ietvaros ir izveidots fonds – NER300, inovatīvu oglekļa mazietilpīgu enerģijas iegūšanas tehnoloģisko risinājumu demonstrējumu projektiem. NER300 atbalsta programmas ietvaros tiek atbalstīti: </w:t>
      </w:r>
    </w:p>
    <w:p w14:paraId="1FDD3525" w14:textId="77777777" w:rsidR="0074500F" w:rsidRPr="008B628A" w:rsidRDefault="0074500F" w:rsidP="00283C85">
      <w:pPr>
        <w:pStyle w:val="ListParagraph"/>
        <w:numPr>
          <w:ilvl w:val="0"/>
          <w:numId w:val="34"/>
        </w:numPr>
        <w:suppressAutoHyphens/>
        <w:autoSpaceDE w:val="0"/>
        <w:autoSpaceDN w:val="0"/>
        <w:adjustRightInd w:val="0"/>
        <w:spacing w:before="120" w:after="120" w:line="240" w:lineRule="auto"/>
        <w:ind w:left="397" w:hanging="397"/>
        <w:contextualSpacing w:val="0"/>
        <w:jc w:val="both"/>
        <w:textAlignment w:val="baseline"/>
        <w:rPr>
          <w:rFonts w:ascii="Times New Roman" w:hAnsi="Times New Roman" w:cs="Times New Roman"/>
          <w:szCs w:val="24"/>
        </w:rPr>
      </w:pPr>
      <w:r w:rsidRPr="008B628A">
        <w:rPr>
          <w:rFonts w:ascii="Times New Roman" w:hAnsi="Times New Roman" w:cs="Times New Roman"/>
          <w:szCs w:val="24"/>
        </w:rPr>
        <w:t>projekti, kuru mērķis ir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uztveršana un ģeoloģiska uzglabāšana videi drošā veidā (CCS projekti)</w:t>
      </w:r>
      <w:r w:rsidRPr="008B628A">
        <w:rPr>
          <w:rStyle w:val="FootnoteReference"/>
          <w:rFonts w:ascii="Times New Roman" w:hAnsi="Times New Roman" w:cs="Times New Roman"/>
          <w:szCs w:val="24"/>
        </w:rPr>
        <w:footnoteReference w:id="162"/>
      </w:r>
      <w:r w:rsidRPr="008B628A">
        <w:rPr>
          <w:rFonts w:ascii="Times New Roman" w:hAnsi="Times New Roman" w:cs="Times New Roman"/>
          <w:szCs w:val="24"/>
        </w:rPr>
        <w:t>;</w:t>
      </w:r>
    </w:p>
    <w:p w14:paraId="044C920E" w14:textId="2AE6233C" w:rsidR="0074500F" w:rsidRPr="008B628A" w:rsidRDefault="0074500F" w:rsidP="00283C85">
      <w:pPr>
        <w:pStyle w:val="ListParagraph"/>
        <w:numPr>
          <w:ilvl w:val="0"/>
          <w:numId w:val="34"/>
        </w:numPr>
        <w:suppressAutoHyphens/>
        <w:autoSpaceDE w:val="0"/>
        <w:autoSpaceDN w:val="0"/>
        <w:adjustRightInd w:val="0"/>
        <w:spacing w:before="120" w:after="120" w:line="240" w:lineRule="auto"/>
        <w:ind w:left="397" w:hanging="397"/>
        <w:contextualSpacing w:val="0"/>
        <w:jc w:val="both"/>
        <w:textAlignment w:val="baseline"/>
        <w:rPr>
          <w:rFonts w:ascii="Times New Roman" w:hAnsi="Times New Roman" w:cs="Times New Roman"/>
          <w:szCs w:val="24"/>
        </w:rPr>
      </w:pPr>
      <w:r w:rsidRPr="008B628A">
        <w:rPr>
          <w:rFonts w:ascii="Times New Roman" w:hAnsi="Times New Roman" w:cs="Times New Roman"/>
          <w:szCs w:val="24"/>
        </w:rPr>
        <w:t xml:space="preserve">inovatīvu </w:t>
      </w:r>
      <w:r w:rsidR="004C7936" w:rsidRPr="008B628A">
        <w:rPr>
          <w:rFonts w:ascii="Times New Roman" w:hAnsi="Times New Roman" w:cs="Times New Roman"/>
          <w:szCs w:val="24"/>
        </w:rPr>
        <w:t>AE</w:t>
      </w:r>
      <w:r w:rsidRPr="008B628A">
        <w:rPr>
          <w:rFonts w:ascii="Times New Roman" w:hAnsi="Times New Roman" w:cs="Times New Roman"/>
          <w:szCs w:val="24"/>
        </w:rPr>
        <w:t xml:space="preserve"> tehnoloģiju demonstrējumu projekti. </w:t>
      </w:r>
    </w:p>
    <w:p w14:paraId="088BCCC0" w14:textId="5DC8F3AD"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Plānots, ka ETS 4. periodā NER300 programmu nomainīs Inovāciju fonds, kura darbības loka aptvers plašāku projektu loku papildus NER300 programmā minētajam, t.sk. oglekļa uztveršana un izmantošanas projekti, inovatīvas </w:t>
      </w:r>
      <w:r w:rsidR="004C7936" w:rsidRPr="008B628A">
        <w:rPr>
          <w:rFonts w:ascii="Times New Roman" w:hAnsi="Times New Roman" w:cs="Times New Roman"/>
          <w:szCs w:val="24"/>
        </w:rPr>
        <w:t>AE</w:t>
      </w:r>
      <w:r w:rsidRPr="008B628A">
        <w:rPr>
          <w:rFonts w:ascii="Times New Roman" w:hAnsi="Times New Roman" w:cs="Times New Roman"/>
          <w:szCs w:val="24"/>
        </w:rPr>
        <w:t xml:space="preserve"> un enerģijas uzglabāšanas tehnoloģiju projekti, inovatīvi projekti energoietilpīgās rūpnieciskās ražošanas sektorā, kas savu darbību uzsāks jau 2020. gadā. Saskaņā ar EK sniegto informāciju un iepriekš EK pausto apņemšanos, Inovāciju fondam finansēšanai pēc 2020. gada tiks novirzīti 450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kuru izsolīšana kopējā emisijas kvotu izsoļu platformā Inovāciju fondā varētu nodrošināt ~5,4 mljrd. EUR lielu finansējumu (pie cenas 12,05 EUR, kas ir 2018. gada pirmā pusgada vidējā cena) vai 11,25 mljrd. EUR</w:t>
      </w:r>
      <w:r w:rsidRPr="008B628A" w:rsidDel="00FB1FDB">
        <w:rPr>
          <w:rFonts w:ascii="Times New Roman" w:hAnsi="Times New Roman" w:cs="Times New Roman"/>
          <w:szCs w:val="24"/>
        </w:rPr>
        <w:t xml:space="preserve"> </w:t>
      </w:r>
      <w:r w:rsidRPr="008B628A">
        <w:rPr>
          <w:rFonts w:ascii="Times New Roman" w:hAnsi="Times New Roman" w:cs="Times New Roman"/>
          <w:szCs w:val="24"/>
        </w:rPr>
        <w:t xml:space="preserve">lielu finansējumu (pie prognozētās vidējās emisijas kvotu cenas no 2020-2030. gadam – 25 EUR). </w:t>
      </w:r>
    </w:p>
    <w:p w14:paraId="763A94EC" w14:textId="570822D9"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Inovāciju fonda finanšu līdzekļu piešķiršana notiks, ievērojot tos pašus principus, kas ir noteikti ETS ietvaros izveidotajam NER300 fondam. Līdz ar to tieši dalībvalsts un to komersantu interesēs ir pašiem izstrādāt veiksmīgus inovatīvo risinājumu projektus </w:t>
      </w:r>
      <w:r w:rsidR="004C7936" w:rsidRPr="008B628A">
        <w:rPr>
          <w:rFonts w:ascii="Times New Roman" w:eastAsia="Calibri" w:hAnsi="Times New Roman" w:cs="Times New Roman"/>
          <w:szCs w:val="24"/>
        </w:rPr>
        <w:t>AER</w:t>
      </w:r>
      <w:r w:rsidR="004C7936" w:rsidRPr="008B628A">
        <w:rPr>
          <w:rFonts w:ascii="Times New Roman" w:hAnsi="Times New Roman" w:cs="Times New Roman"/>
          <w:szCs w:val="24"/>
        </w:rPr>
        <w:t xml:space="preserve"> </w:t>
      </w:r>
      <w:r w:rsidRPr="008B628A">
        <w:rPr>
          <w:rFonts w:ascii="Times New Roman" w:hAnsi="Times New Roman" w:cs="Times New Roman"/>
          <w:szCs w:val="24"/>
        </w:rPr>
        <w:t>izmantošanas veicināšanai vai CCS projektu īstenošanai, kā arī sagatavot un iesniegt šo projektu dokumentāciju Inovāciju fonda līdzekļu saņemšanai. Jānorāda, ka Inovāciju fonda līdzekļi būs pieejami visām ES dalībvalstīm un būs pieejami arī maza mēroga projektiem enerģētikas un rūpniecības sektoros.</w:t>
      </w:r>
    </w:p>
    <w:p w14:paraId="40702443" w14:textId="77777777" w:rsidR="0074500F" w:rsidRPr="00F060A0" w:rsidRDefault="0074500F" w:rsidP="0074500F">
      <w:pPr>
        <w:autoSpaceDE w:val="0"/>
        <w:adjustRightInd w:val="0"/>
        <w:spacing w:before="120" w:after="120" w:line="240" w:lineRule="auto"/>
        <w:jc w:val="both"/>
        <w:rPr>
          <w:rFonts w:ascii="Times New Roman" w:hAnsi="Times New Roman" w:cs="Times New Roman"/>
          <w:i/>
          <w:szCs w:val="24"/>
        </w:rPr>
      </w:pPr>
      <w:r w:rsidRPr="00F060A0">
        <w:rPr>
          <w:rFonts w:ascii="Times New Roman" w:hAnsi="Times New Roman" w:cs="Times New Roman"/>
          <w:i/>
          <w:szCs w:val="24"/>
        </w:rPr>
        <w:t>Modernizācijas fonds</w:t>
      </w:r>
    </w:p>
    <w:p w14:paraId="292BE200" w14:textId="77777777" w:rsidR="0074500F" w:rsidRPr="008B628A" w:rsidRDefault="0074500F" w:rsidP="0074500F">
      <w:pPr>
        <w:autoSpaceDE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Dalībvalstis, kuru IKP uz vienu iedzīvotāju rādītājs 2013. gadā (tirgus cenās) mazāks nekā 60% no ES vidējā IKP, varēs saņemt finansējumu no Modernizācijas fonda periodā pēc 2020.gada. Modernizācijas fonda līdzekļi būs pieejami, lai finansētu energoefektivitātes uzlabošanas un enerģētikas sektora modernizācijas projektus (arī maza apmēra projektus) desmit ES dalībvalstīs, tai skaitā Latvijā. Vismaz 70 % finanšu resursus no Modernizācijas fonda izmanto tam, lai atbalstītu investīcijas elektroenerģijas ražošanā un izmantošanā no atjaunojamiem avotiem, </w:t>
      </w:r>
      <w:r w:rsidRPr="008B628A">
        <w:rPr>
          <w:rFonts w:ascii="Times New Roman" w:hAnsi="Times New Roman" w:cs="Times New Roman"/>
          <w:szCs w:val="24"/>
        </w:rPr>
        <w:lastRenderedPageBreak/>
        <w:t xml:space="preserve">energoefektivitātes uzlabošanā, izņemot energoefektivitātes uzlabošanu, kas saistīta ar elektroenerģijas ražošanu, kurā izmanto cieto fosilo kurināmo, enerģijas uzglabāšanā un energotīklu, tostarp centralizētajā siltumapgādē izmantoto cauruļvadu, un elektropārvades tīklu modernizēšanā un starpsavienojumu palielināšana starp dalībvalstīm, kā arī tam, lai atbalstītu taisnīgu pāreju no oglekļa atkarīgajos reģionos saņēmējās dalībvalstīs, ar mērķi tādējādi atbalstīt darba ņēmēju pārcelšanu, pārkvalificēšanu un kvalifikācijas celšanu, izglītību, darba meklēšanas iniciatīvas un jaunuzņēmumus, veidojot dialogu ar sociālajiem partneriem. Finansējumu var piešķirt arī investīcijām energoefektivitātē transporta, ēku, lauksaimniecības un atkritumu apsaimniekošanas nozarēs. </w:t>
      </w:r>
    </w:p>
    <w:p w14:paraId="1389F4AB" w14:textId="6E2DB645"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EK aplēsēm Modernizācijas fondam ir paredzēt</w:t>
      </w:r>
      <w:r w:rsidR="005F7496" w:rsidRPr="008B628A">
        <w:rPr>
          <w:rFonts w:ascii="Times New Roman" w:hAnsi="Times New Roman" w:cs="Times New Roman"/>
          <w:szCs w:val="24"/>
        </w:rPr>
        <w:t>i</w:t>
      </w:r>
      <w:r w:rsidRPr="008B628A">
        <w:rPr>
          <w:rFonts w:ascii="Times New Roman" w:hAnsi="Times New Roman" w:cs="Times New Roman"/>
          <w:szCs w:val="24"/>
        </w:rPr>
        <w:t xml:space="preserve"> 310 milj</w:t>
      </w:r>
      <w:r w:rsidR="005F7496" w:rsidRPr="008B628A">
        <w:rPr>
          <w:rFonts w:ascii="Times New Roman" w:hAnsi="Times New Roman" w:cs="Times New Roman"/>
          <w:szCs w:val="24"/>
        </w:rPr>
        <w:t>. emisijas</w:t>
      </w:r>
      <w:r w:rsidRPr="008B628A">
        <w:rPr>
          <w:rFonts w:ascii="Times New Roman" w:hAnsi="Times New Roman" w:cs="Times New Roman"/>
          <w:szCs w:val="24"/>
        </w:rPr>
        <w:t xml:space="preserve"> kvotu, kas saskaņā ar 2018. gada pirmā pusgada vidējo emisijas kvotas cenu izsolēs – 12,05 EUR varētu būt 3,74 mljrd. EUR (7,75 mljrd. EUR pie prognozētās vidējās emisijas kvotu cenas pēc 2020. gada – 25 EUR). Atbilstoši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2(b) pielikumam Latvijai projektu realizācijai maksimāli pieejami 1,44% no kopējā fonda apmēra, jeb aptuveni 4,464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kas atkarībā no kvotu cenas un monetizēšanas brīža var svārstīties robežās no 53,79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EUR pie emisijas kvotu cenas 12,05 EUR par emisijas kvotu līdz 111,6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EUR pie emisijas kvotu cenas 25 EUR par emisijas kvotu.</w:t>
      </w:r>
    </w:p>
    <w:p w14:paraId="2FC7DA0A" w14:textId="03819CEB" w:rsidR="005321B3" w:rsidRPr="008B628A" w:rsidRDefault="005321B3" w:rsidP="0074500F">
      <w:pPr>
        <w:spacing w:before="120" w:after="120" w:line="240" w:lineRule="auto"/>
        <w:jc w:val="both"/>
        <w:rPr>
          <w:rFonts w:ascii="Times New Roman" w:hAnsi="Times New Roman" w:cs="Times New Roman"/>
          <w:i/>
          <w:szCs w:val="24"/>
        </w:rPr>
      </w:pPr>
      <w:r w:rsidRPr="008B628A">
        <w:rPr>
          <w:rFonts w:ascii="Times New Roman" w:hAnsi="Times New Roman" w:cs="Times New Roman"/>
          <w:i/>
          <w:szCs w:val="24"/>
        </w:rPr>
        <w:t>Atkritumu apsaimniekošanas nozare</w:t>
      </w:r>
    </w:p>
    <w:p w14:paraId="30BBCA65" w14:textId="43A51949" w:rsidR="0074500F" w:rsidRPr="008B628A" w:rsidRDefault="0074500F" w:rsidP="0074500F">
      <w:pPr>
        <w:spacing w:before="120" w:after="120" w:line="240" w:lineRule="auto"/>
        <w:jc w:val="both"/>
        <w:rPr>
          <w:rFonts w:ascii="Times New Roman" w:hAnsi="Times New Roman" w:cs="Times New Roman"/>
          <w:szCs w:val="24"/>
        </w:rPr>
      </w:pPr>
      <w:bookmarkStart w:id="256" w:name="_Hlk525048146"/>
      <w:r w:rsidRPr="008B628A">
        <w:rPr>
          <w:rFonts w:ascii="Times New Roman" w:hAnsi="Times New Roman" w:cs="Times New Roman"/>
          <w:szCs w:val="24"/>
        </w:rPr>
        <w:t>Atkritumu nozarē 2014.-2020. gada plānošanas periodā 5.2.1. specifiskā atbalsta mērķa "Veicināt dažāda veida atkritumu atkārtotu izmantošanu, pārstrādi un reģenerāciju" 5.2.1.2. pasākuma "Atkritumu pārstrādes veicināšana" ietvaros ir plānots finansējums bioloģiski noārdāmo atkritumu pārstrādei, izmantojot anaerobu tehnoloģiju biogāzes iegūšanai, tādejādi nodrošinot arī metāna atgūšanu un lietderīgu izmantošanu. Savukārt iekšējā enerģijas tirgus attīstībai iekšējās energodrošības pastiprināšanai, kā arī primāro fosilo energoresursu izmatošanas samazināšanai šī atbalsta mērķa 5.2.1.3. pasākuma "Atkritumu reģenerācijas veicināšana" ietvaros tiks īstenoti projektu atkritumu reģenerācijai ar enerģijas atguvi infrastruktūras būvniecībai.</w:t>
      </w:r>
      <w:bookmarkEnd w:id="256"/>
    </w:p>
    <w:p w14:paraId="44619D7F" w14:textId="77777777" w:rsidR="00371B35" w:rsidRPr="008B628A" w:rsidRDefault="00371B35" w:rsidP="0074500F">
      <w:pPr>
        <w:spacing w:before="120" w:after="120" w:line="240" w:lineRule="auto"/>
        <w:jc w:val="both"/>
        <w:rPr>
          <w:rFonts w:ascii="Times New Roman" w:hAnsi="Times New Roman" w:cs="Times New Roman"/>
          <w:szCs w:val="24"/>
        </w:rPr>
        <w:sectPr w:rsidR="00371B35" w:rsidRPr="008B628A" w:rsidSect="004B0661">
          <w:pgSz w:w="11906" w:h="16838" w:code="9"/>
          <w:pgMar w:top="1418" w:right="851" w:bottom="1134" w:left="1701" w:header="567" w:footer="567" w:gutter="0"/>
          <w:cols w:space="708"/>
          <w:titlePg/>
          <w:docGrid w:linePitch="360"/>
        </w:sectPr>
      </w:pPr>
    </w:p>
    <w:p w14:paraId="3FB7E4BC" w14:textId="49E2FDD4" w:rsidR="00581156" w:rsidRPr="008B628A" w:rsidRDefault="00581156" w:rsidP="00C277CD">
      <w:pPr>
        <w:pStyle w:val="Heading1"/>
        <w:ind w:left="454" w:hanging="454"/>
      </w:pPr>
      <w:bookmarkStart w:id="257" w:name="_Toc520978863"/>
      <w:bookmarkStart w:id="258" w:name="_Toc527529527"/>
      <w:bookmarkStart w:id="259" w:name="_Toc532910012"/>
      <w:r w:rsidRPr="008B628A">
        <w:lastRenderedPageBreak/>
        <w:t>PAŠREIZĒJĀ SITUĀCIJA</w:t>
      </w:r>
      <w:r w:rsidR="00CF1EBD" w:rsidRPr="008B628A">
        <w:t>,</w:t>
      </w:r>
      <w:r w:rsidRPr="008B628A">
        <w:t xml:space="preserve"> </w:t>
      </w:r>
      <w:r w:rsidR="00CF1EBD" w:rsidRPr="008B628A">
        <w:t xml:space="preserve">ESOŠĀS RĪCĪBPOLITIKAS UN PASĀKUMI UN </w:t>
      </w:r>
      <w:r w:rsidRPr="008B628A">
        <w:t>PROGNOZES</w:t>
      </w:r>
      <w:bookmarkEnd w:id="257"/>
      <w:bookmarkEnd w:id="258"/>
      <w:bookmarkEnd w:id="259"/>
      <w:r w:rsidRPr="008B628A">
        <w:t xml:space="preserve"> </w:t>
      </w:r>
    </w:p>
    <w:p w14:paraId="0CCEC84E" w14:textId="054E7F79" w:rsidR="00581156" w:rsidRPr="008B628A" w:rsidRDefault="00581156" w:rsidP="002C1805">
      <w:pPr>
        <w:pStyle w:val="Heading2"/>
      </w:pPr>
      <w:bookmarkStart w:id="260" w:name="_Toc520978864"/>
      <w:bookmarkStart w:id="261" w:name="_Toc527529528"/>
      <w:bookmarkStart w:id="262" w:name="_Toc532910013"/>
      <w:r w:rsidRPr="008B628A">
        <w:t>Energosistēmu un SEG emisijas ietekmējošo galveno ārējo faktoru attīstības prognozes</w:t>
      </w:r>
      <w:bookmarkEnd w:id="260"/>
      <w:bookmarkEnd w:id="261"/>
      <w:bookmarkEnd w:id="262"/>
      <w:r w:rsidRPr="008B628A">
        <w:t xml:space="preserve"> </w:t>
      </w:r>
    </w:p>
    <w:p w14:paraId="2F7CF882" w14:textId="73B7C832" w:rsidR="00CB1F2C" w:rsidRPr="008B628A" w:rsidRDefault="00CB1F2C" w:rsidP="00CB1F2C">
      <w:pPr>
        <w:pStyle w:val="Heading3"/>
      </w:pPr>
      <w:r w:rsidRPr="008B628A">
        <w:t>Enerģētikas un klimata prognožu modelis</w:t>
      </w:r>
    </w:p>
    <w:p w14:paraId="7C58900C"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Kopējais valsts enerģijas gala patēriņš modelī ir aprakstīts pa sektoriem (rūpniecība, lauksaimniecība, pakalpojumi, mājsaimniecības un transports) un apakšsektoriem (piemēram, transporta un rūpniecības sektorā), kas atbilst enerģijas resursu bilances dalījumam. Atsevišķiem sektoriem (piemēram, mājsaimniecības, pakalpojumi, autotransports), kuriem enerģijas resursu bilancē nav dots sīkāks dalījums, enerģijas patēriņš modelī ir sadalīts detalizētāki pēc enerģijas pakalpojuma veida, piemēram, apkure, ēdienu gatavošana, apgaismojums (mājsaimniecības un pakalpojumi), autobusi, pasažieru un kravas automašīnas, motocikli (autotransports). Enerģijas gala patēriņa sadalījuma salīdzinājums modelī un enerģijas resursu bilancē ir apkopots sekojošā tabulā.</w:t>
      </w:r>
    </w:p>
    <w:p w14:paraId="4F42A49F"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Pieprasījums pēc enerģijas ir saistīts ar ekonomisko attīstību, respektīvi, lai prognozētu lietderīgās enerģijas patēriņu, ņemam vērā ilgtermiņa makroekonomiskās attīstības prognozi, kā arī identificē ekonomisko, tehnisko un sociālo faktoru kopu, kas ietekmē katra enerģijas pakalpojuma vai lietderīgās enerģijas veida pieprasījumu, piemēram:</w:t>
      </w:r>
    </w:p>
    <w:p w14:paraId="4AB2584E"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Pārvadāto kravu daudzums (ton</w:t>
      </w:r>
      <w:smartTag w:uri="schemas-tilde-lv/tildestengine" w:element="metric">
        <w:smartTagPr>
          <w:attr w:name="metric_text" w:val="kilometri"/>
          <w:attr w:name="metric_value" w:val="-"/>
        </w:smartTagPr>
        <w:r w:rsidRPr="008B628A">
          <w:rPr>
            <w:rFonts w:ascii="Times New Roman" w:hAnsi="Times New Roman" w:cs="Times New Roman"/>
            <w:szCs w:val="24"/>
            <w:lang w:eastAsia="lv-LV" w:bidi="en-US"/>
          </w:rPr>
          <w:t>-kilometri</w:t>
        </w:r>
      </w:smartTag>
      <w:r w:rsidRPr="008B628A">
        <w:rPr>
          <w:rFonts w:ascii="Times New Roman" w:hAnsi="Times New Roman" w:cs="Times New Roman"/>
          <w:szCs w:val="24"/>
          <w:lang w:eastAsia="lv-LV" w:bidi="en-US"/>
        </w:rPr>
        <w:t xml:space="preserve"> (T-km) kravu transportēšanā);</w:t>
      </w:r>
    </w:p>
    <w:p w14:paraId="36F27B6F"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Pasažieru mobilitāte (pasažieru kilometri (P-km) pasažieru pārvadājumos, sadalot autotransports, dzelzceļš, pasažieru automašīnas, publiskais transports);</w:t>
      </w:r>
    </w:p>
    <w:p w14:paraId="0F7615AA"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Pakalpojuma sektora apkurināmā kopējā platība;</w:t>
      </w:r>
    </w:p>
    <w:p w14:paraId="4029C10C"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Mājsaimniecību skaits;</w:t>
      </w:r>
    </w:p>
    <w:p w14:paraId="1CDFBC3C"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Mājokļu kopējā dzīvojamā platība;</w:t>
      </w:r>
    </w:p>
    <w:p w14:paraId="4719FF16"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Pamatojoties uz vēsturiskām kopsakarībām starp minētiem parametriem un makroekonomiskajiem rādītājiem un enerģijas lietderīgo patēriņu  tiek aprēķinātas lietderīgas enerģijas projekcijas. Respektīvi, vispārējā gadījumā attiecīga sektora lietderīgo enerģijas patēriņu ar pievienoto vērtību sasaista caur elastības parametru, t.i., par cik procentiem izmainīsies lietderīgais enerģijas patēriņš uz viena procenta pievienotās vērtības izmaiņām. Aprēķinot elastību vēsturiskās vērtības un izdarot pieņēmumus par nākotnes vērtībām, projicē lietderīgās enerģijas patēriņa izmaiņas nākotnē.</w:t>
      </w:r>
    </w:p>
    <w:p w14:paraId="3E488389"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pacing w:val="10"/>
          <w:szCs w:val="24"/>
          <w:lang w:bidi="en-US"/>
        </w:rPr>
        <w:t>En</w:t>
      </w:r>
      <w:r w:rsidRPr="008B628A">
        <w:rPr>
          <w:rFonts w:ascii="Times New Roman" w:hAnsi="Times New Roman" w:cs="Times New Roman"/>
          <w:szCs w:val="24"/>
          <w:lang w:bidi="en-US"/>
        </w:rPr>
        <w:t xml:space="preserve">erģijas gala patēriņš tiek aprēķināts ar MARKAL-Latvija modeli (turpmāk – modelis). Izmantotais modelis ir „pieprasījuma nosakošs” (demand driven) optimizācijas modelis, t.i., optimizējot aprakstīto enerģijas-vides sistēmu, tiek nodrošināts atsevišķu enerģijas gala patērētāju sektoru pieprasījums pēc enerģijas, lai tādējādi apmierinātu dažādas vajadzības – enerģijas pakalpojumus, kas modelī atspoguļoti lietderīgās enerģijas pieprasījuma veidā. Lietderīgās enerģijas pieprasījums ir ieejas parametrs modelī un tiek prognozēts ārpus modeļa, pamatojoties uz iepriekš aprakstīto metodi. Turpretim enerģijas gala patēriņš ir modeļa rezultāts. </w:t>
      </w:r>
      <w:r w:rsidRPr="008B628A">
        <w:rPr>
          <w:rFonts w:ascii="Times New Roman" w:hAnsi="Times New Roman" w:cs="Times New Roman"/>
          <w:szCs w:val="24"/>
        </w:rPr>
        <w:t>Jāatzīmē, ka modelēšanas ļauj modelēt elastīga patēriņa pieeju, tas nozīmē, ka ir ņemts vērā paša pieprasījuma elastīgums, respektīvi, pieprasījums pēc enerģijas pakalpojuma reaģē uz enerģijas cenu izmaiņām attiecīgā apakšsektorā.</w:t>
      </w:r>
    </w:p>
    <w:p w14:paraId="7EEB075E" w14:textId="2CF98642" w:rsidR="00CB1F2C" w:rsidRPr="008B628A" w:rsidRDefault="00CB1F2C" w:rsidP="00D47FCD">
      <w:pPr>
        <w:spacing w:before="120" w:after="120" w:line="240" w:lineRule="auto"/>
        <w:jc w:val="both"/>
        <w:rPr>
          <w:rFonts w:ascii="Times New Roman" w:hAnsi="Times New Roman" w:cs="Times New Roman"/>
          <w:szCs w:val="24"/>
          <w:lang w:eastAsia="lv-LV"/>
        </w:rPr>
      </w:pPr>
      <w:bookmarkStart w:id="263" w:name="_Hlk531877628"/>
      <w:r w:rsidRPr="008B628A">
        <w:rPr>
          <w:rFonts w:ascii="Times New Roman" w:hAnsi="Times New Roman" w:cs="Times New Roman"/>
          <w:szCs w:val="24"/>
          <w:lang w:eastAsia="lv-LV"/>
        </w:rPr>
        <w:t>Bāzes scenārija aprakstīšanai un modelēšanai tiek ņemti vērā spēkā esošās un at</w:t>
      </w:r>
      <w:r w:rsidR="00EF44BB" w:rsidRPr="008B628A">
        <w:rPr>
          <w:rFonts w:ascii="Times New Roman" w:hAnsi="Times New Roman" w:cs="Times New Roman"/>
          <w:szCs w:val="24"/>
          <w:lang w:eastAsia="lv-LV"/>
        </w:rPr>
        <w:t>balstītās politikas un pasākumi,</w:t>
      </w:r>
      <w:r w:rsidR="00EF44BB" w:rsidRPr="008B628A">
        <w:t xml:space="preserve"> </w:t>
      </w:r>
      <w:r w:rsidR="00EF44BB" w:rsidRPr="008B628A">
        <w:rPr>
          <w:rFonts w:ascii="Times New Roman" w:hAnsi="Times New Roman" w:cs="Times New Roman"/>
          <w:szCs w:val="24"/>
          <w:lang w:eastAsia="lv-LV"/>
        </w:rPr>
        <w:t xml:space="preserve">pieņemot, ka tās tiks turpinātas arī periodā pēc 2020.gada (ja minētās politikas ir spēkā tikai šajā ES fondu plānošanas periodā). </w:t>
      </w:r>
      <w:r w:rsidRPr="008B628A">
        <w:rPr>
          <w:rFonts w:ascii="Times New Roman" w:hAnsi="Times New Roman" w:cs="Times New Roman"/>
          <w:szCs w:val="24"/>
          <w:lang w:eastAsia="lv-LV"/>
        </w:rPr>
        <w:t>3.pielikumā dots īss pārskats par pasākumiem un to aprakstīšanai modelī izmantoto raksturojumu.</w:t>
      </w:r>
    </w:p>
    <w:bookmarkEnd w:id="263"/>
    <w:p w14:paraId="401EBDA0" w14:textId="74984B91" w:rsidR="00D47FCD" w:rsidRPr="008B628A" w:rsidRDefault="00D47FCD" w:rsidP="00D47FCD">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lastRenderedPageBreak/>
        <w:t xml:space="preserve">Plānam sagatavotais bāzes scenārijs pēc būtības un pēc aptvēruma daļēji ir “scenārijs ir papildus pasākumiem”, jo tajā ir iekļauts pieņēmums, ka </w:t>
      </w:r>
      <w:r w:rsidR="00E41930">
        <w:rPr>
          <w:rFonts w:ascii="Times New Roman" w:hAnsi="Times New Roman" w:cs="Times New Roman"/>
          <w:szCs w:val="24"/>
          <w:lang w:eastAsia="lv-LV"/>
        </w:rPr>
        <w:t xml:space="preserve">uz 2018.gadu </w:t>
      </w:r>
      <w:r w:rsidRPr="008B628A">
        <w:rPr>
          <w:rFonts w:ascii="Times New Roman" w:hAnsi="Times New Roman" w:cs="Times New Roman"/>
          <w:szCs w:val="24"/>
          <w:lang w:eastAsia="lv-LV"/>
        </w:rPr>
        <w:t>īstenotie pasākumi, piemēram, ES fondu atbalsta ietvaros īstenotie atbalsta pasākumi</w:t>
      </w:r>
      <w:r w:rsidRPr="008B628A">
        <w:t xml:space="preserve"> </w:t>
      </w:r>
      <w:r w:rsidR="00E94F3D" w:rsidRPr="008B628A">
        <w:rPr>
          <w:rFonts w:ascii="Times New Roman" w:hAnsi="Times New Roman" w:cs="Times New Roman"/>
          <w:szCs w:val="24"/>
          <w:lang w:eastAsia="lv-LV"/>
        </w:rPr>
        <w:t>ES</w:t>
      </w:r>
      <w:r w:rsidRPr="008B628A">
        <w:rPr>
          <w:rFonts w:ascii="Times New Roman" w:hAnsi="Times New Roman" w:cs="Times New Roman"/>
          <w:szCs w:val="24"/>
          <w:lang w:eastAsia="lv-LV"/>
        </w:rPr>
        <w:t xml:space="preserve"> struktūrfondu un Kohēzijas fonda 2014.—2020.gada plānošanas perioda vadības likuma ietvaros</w:t>
      </w:r>
      <w:r w:rsidR="00A4463D" w:rsidRPr="008B628A">
        <w:rPr>
          <w:rFonts w:ascii="Times New Roman" w:hAnsi="Times New Roman" w:cs="Times New Roman"/>
          <w:szCs w:val="24"/>
          <w:lang w:eastAsia="lv-LV"/>
        </w:rPr>
        <w:t>, tiek īstenoti arī periodā pēc 2021.gada, lai gan šie pasākumi nav noteikti Latvijas politikas plānošanas dokumentos un tiem nav noteikts pasākuma īstenošanai nepieciešamais finansējums, kā arī bāzes scenārijā ir iekļauts pieņēmums, ka Latvija īstenos ES tiesību aktos noteiktos nosacījumus, piemēram, attiecībā uz zaļo publisko iepirkumu transporta jomā vai AER īpatsvaru transportā, lai gan Latvijas politikas plānošanas dokumentos vai tiesību aktos nav vēl noteikti pasākumi šo nosacījumu izpildei.</w:t>
      </w:r>
    </w:p>
    <w:p w14:paraId="6B6E61AA" w14:textId="51B460DC" w:rsidR="00A4463D" w:rsidRPr="008B628A" w:rsidRDefault="00A4463D" w:rsidP="00D47FCD">
      <w:pPr>
        <w:spacing w:before="120" w:after="120" w:line="240" w:lineRule="auto"/>
        <w:jc w:val="both"/>
        <w:rPr>
          <w:rFonts w:ascii="Times New Roman" w:hAnsi="Times New Roman" w:cs="Times New Roman"/>
          <w:b/>
          <w:szCs w:val="24"/>
          <w:lang w:eastAsia="lv-LV"/>
        </w:rPr>
      </w:pPr>
      <w:r w:rsidRPr="008B628A">
        <w:rPr>
          <w:rFonts w:ascii="Times New Roman" w:hAnsi="Times New Roman" w:cs="Times New Roman"/>
          <w:b/>
          <w:szCs w:val="24"/>
          <w:lang w:eastAsia="lv-LV"/>
        </w:rPr>
        <w:t>Latvijas Plānā iekļautais bāzes scenārijs ir scenārijs, kurā ir apvienot</w:t>
      </w:r>
      <w:r w:rsidR="00016602" w:rsidRPr="008B628A">
        <w:rPr>
          <w:rFonts w:ascii="Times New Roman" w:hAnsi="Times New Roman" w:cs="Times New Roman"/>
          <w:b/>
          <w:szCs w:val="24"/>
          <w:lang w:eastAsia="lv-LV"/>
        </w:rPr>
        <w:t>as “īstenotās rīcībpolitikas un pasākumi”, “pieņemtās rīcībpolitikas un pasākumi”,  kā arī daļēji</w:t>
      </w:r>
      <w:r w:rsidR="009F7F10" w:rsidRPr="008B628A">
        <w:rPr>
          <w:rFonts w:ascii="Times New Roman" w:hAnsi="Times New Roman" w:cs="Times New Roman"/>
          <w:b/>
          <w:szCs w:val="24"/>
          <w:lang w:eastAsia="lv-LV"/>
        </w:rPr>
        <w:t xml:space="preserve"> ir iekļautas</w:t>
      </w:r>
      <w:r w:rsidR="00016602" w:rsidRPr="008B628A">
        <w:rPr>
          <w:rFonts w:ascii="Times New Roman" w:hAnsi="Times New Roman" w:cs="Times New Roman"/>
          <w:b/>
          <w:szCs w:val="24"/>
          <w:lang w:eastAsia="lv-LV"/>
        </w:rPr>
        <w:t xml:space="preserve"> “plānotās rīcībpolitikas un pasākumi”.</w:t>
      </w:r>
    </w:p>
    <w:p w14:paraId="060DF5E9" w14:textId="0FF4B68F" w:rsidR="00016602" w:rsidRPr="008B628A" w:rsidRDefault="00016602" w:rsidP="00D47FCD">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Plāna projektā visi pasākumi, kas attiecas uz ES fondu atbalsta programmām ir “plānotās rīcībpolitikas un pasākumi”, jo finansējums šiem pasākumiem tiks sadalīts tikai pēc Plāna apstiprināšanas Latvijā (</w:t>
      </w:r>
      <w:r w:rsidR="006223AA" w:rsidRPr="008B628A">
        <w:rPr>
          <w:rFonts w:ascii="Times New Roman" w:hAnsi="Times New Roman" w:cs="Times New Roman"/>
          <w:szCs w:val="24"/>
          <w:lang w:eastAsia="lv-LV"/>
        </w:rPr>
        <w:t>2019.gadā tikai notiks kopējā finansējuma pārdale ES dalībvalstīm).</w:t>
      </w:r>
    </w:p>
    <w:p w14:paraId="4998C166" w14:textId="044047EA" w:rsidR="002C1805" w:rsidRPr="008B628A" w:rsidRDefault="002C1805" w:rsidP="002C1805">
      <w:pPr>
        <w:pStyle w:val="Heading3"/>
      </w:pPr>
      <w:bookmarkStart w:id="264" w:name="_Toc527529529"/>
      <w:r w:rsidRPr="008B628A">
        <w:t>Makroekonomiskās prognozes (IKP un iedzīvotāju skaita pieaugums)</w:t>
      </w:r>
      <w:bookmarkEnd w:id="264"/>
    </w:p>
    <w:p w14:paraId="532B0F3A" w14:textId="77777777" w:rsidR="00743EB4" w:rsidRPr="008B628A" w:rsidRDefault="00743EB4" w:rsidP="00BF2E51">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Pieprasījums pēc enerģijas ir tieši saistīts ar ekonomisko attīstību valstī, tāpēc enerģijas pakalpojumu (lietderīgās enerģijas) pieprasījums nākotnē tiek aprēķināts par izejas parametriem izmantojot Ekonomikas ministrijas 2018.gadā izstrādātās prognozes par  makroekonomikas attīstību raksturojošo rādītāju (iedzīvotāju skaits, IKP, pievienotā vērtība pa tautsaimniecības nozarēm un rūpniecības apakšnozarēm, privātais patēriņš) izmaiņu dinamiku.</w:t>
      </w:r>
    </w:p>
    <w:p w14:paraId="6A9AB3DD" w14:textId="77777777" w:rsidR="00743EB4" w:rsidRPr="008B628A" w:rsidRDefault="00743EB4" w:rsidP="00743EB4">
      <w:pPr>
        <w:pStyle w:val="Heading4"/>
      </w:pPr>
      <w:r w:rsidRPr="008B628A">
        <w:t>Makroekonomiskais ietvars</w:t>
      </w:r>
    </w:p>
    <w:p w14:paraId="58F4E746" w14:textId="77777777" w:rsidR="00743EB4" w:rsidRPr="008B628A" w:rsidRDefault="00743EB4" w:rsidP="00BF2E5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 produktu ķēdēs ar augstākas pievienotās vērtības produkciju un vairāk radīt kvalitatīvu gala produkciju.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 ietekmēs arī negatīvās demogrāfijas tendences.</w:t>
      </w:r>
    </w:p>
    <w:p w14:paraId="1AA7A1C8" w14:textId="77777777" w:rsidR="00743EB4" w:rsidRPr="008B628A" w:rsidRDefault="00743EB4" w:rsidP="00743EB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Tuvākajos gados sagaidāma salīdzinoši spēcīga ekonomikas izaugsme. 2018. un 2019.gadā investīciju pieaugumu veicinās ES fondu līdzekļu straujāka ieguldīšana. Saglabāsies spēcīgs privātā patēriņa pieaugums, ko veicinās darba algu kāpums un pieaugošā iedzīvotāju pirktspēja. Savukārt eksportu un uz ārējiem tirgiem orientēto nozaru attīstību pozitīvi ietekmēs labvēlīgā konjunktūra ārējā vidē un pieprasījuma pieaugums galvenajos eksporta tirgos.</w:t>
      </w:r>
    </w:p>
    <w:p w14:paraId="3C413760" w14:textId="312ED311" w:rsidR="00217552" w:rsidRPr="008B628A" w:rsidRDefault="00743EB4" w:rsidP="00743EB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privātā patēriņa pieaugumu</w:t>
      </w:r>
      <w:r w:rsidR="00217552" w:rsidRPr="008B628A">
        <w:rPr>
          <w:rFonts w:ascii="Times New Roman" w:hAnsi="Times New Roman" w:cs="Times New Roman"/>
          <w:szCs w:val="24"/>
        </w:rPr>
        <w:t>.</w:t>
      </w:r>
    </w:p>
    <w:p w14:paraId="0DE3A60C" w14:textId="2D88658D" w:rsidR="00C820EA" w:rsidRPr="008B628A" w:rsidRDefault="00F13C95"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65" w:name="_Toc531333153"/>
      <w:r w:rsidR="006067D4">
        <w:rPr>
          <w:noProof/>
        </w:rPr>
        <w:t>11</w:t>
      </w:r>
      <w:r w:rsidRPr="008B628A">
        <w:rPr>
          <w:noProof/>
        </w:rPr>
        <w:fldChar w:fldCharType="end"/>
      </w:r>
      <w:r w:rsidR="002C1805" w:rsidRPr="008B628A">
        <w:t>.tabula. Makroekonomisko rādītāju izmaiņas (procentuāli, vidēji periodā) bāzes scenārijā periodā līdz 2030.gadam</w:t>
      </w:r>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277"/>
        <w:gridCol w:w="1276"/>
        <w:gridCol w:w="1276"/>
        <w:gridCol w:w="1276"/>
      </w:tblGrid>
      <w:tr w:rsidR="002C1805" w:rsidRPr="008B628A" w14:paraId="5E2928BC" w14:textId="77777777" w:rsidTr="00BF2E51">
        <w:trPr>
          <w:trHeight w:val="300"/>
          <w:jc w:val="center"/>
        </w:trPr>
        <w:tc>
          <w:tcPr>
            <w:tcW w:w="2268" w:type="pct"/>
            <w:shd w:val="clear" w:color="auto" w:fill="auto"/>
            <w:noWrap/>
            <w:vAlign w:val="center"/>
            <w:hideMark/>
          </w:tcPr>
          <w:p w14:paraId="4E74F0E4" w14:textId="77777777" w:rsidR="00C820EA" w:rsidRPr="008B628A" w:rsidRDefault="00C820EA" w:rsidP="002C1805">
            <w:pPr>
              <w:spacing w:after="0" w:line="240" w:lineRule="auto"/>
              <w:rPr>
                <w:rFonts w:ascii="Times New Roman" w:hAnsi="Times New Roman" w:cs="Times New Roman"/>
                <w:b/>
                <w:bCs/>
                <w:color w:val="000000" w:themeColor="text1"/>
                <w:sz w:val="22"/>
                <w:u w:val="single"/>
                <w:lang w:eastAsia="lv-LV"/>
              </w:rPr>
            </w:pPr>
          </w:p>
        </w:tc>
        <w:tc>
          <w:tcPr>
            <w:tcW w:w="683" w:type="pct"/>
            <w:shd w:val="clear" w:color="auto" w:fill="auto"/>
            <w:noWrap/>
            <w:vAlign w:val="center"/>
            <w:hideMark/>
          </w:tcPr>
          <w:p w14:paraId="774A4094" w14:textId="77777777" w:rsidR="00C820EA" w:rsidRPr="008B628A" w:rsidRDefault="00C820EA" w:rsidP="002C1805">
            <w:pPr>
              <w:spacing w:after="0" w:line="240" w:lineRule="auto"/>
              <w:jc w:val="center"/>
              <w:rPr>
                <w:rFonts w:ascii="Times New Roman" w:eastAsia="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2017/2015</w:t>
            </w:r>
          </w:p>
        </w:tc>
        <w:tc>
          <w:tcPr>
            <w:tcW w:w="683" w:type="pct"/>
            <w:shd w:val="clear" w:color="auto" w:fill="auto"/>
            <w:noWrap/>
            <w:vAlign w:val="center"/>
            <w:hideMark/>
          </w:tcPr>
          <w:p w14:paraId="769C613A"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2019/2017</w:t>
            </w:r>
          </w:p>
        </w:tc>
        <w:tc>
          <w:tcPr>
            <w:tcW w:w="683" w:type="pct"/>
            <w:shd w:val="clear" w:color="auto" w:fill="auto"/>
            <w:noWrap/>
            <w:vAlign w:val="center"/>
            <w:hideMark/>
          </w:tcPr>
          <w:p w14:paraId="684AEAD3"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2023/2019</w:t>
            </w:r>
          </w:p>
        </w:tc>
        <w:tc>
          <w:tcPr>
            <w:tcW w:w="683" w:type="pct"/>
            <w:shd w:val="clear" w:color="auto" w:fill="auto"/>
            <w:noWrap/>
            <w:vAlign w:val="center"/>
            <w:hideMark/>
          </w:tcPr>
          <w:p w14:paraId="1D1F8B21"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2030/2023</w:t>
            </w:r>
          </w:p>
        </w:tc>
      </w:tr>
      <w:tr w:rsidR="002C1805" w:rsidRPr="008B628A" w14:paraId="7F82B126" w14:textId="77777777" w:rsidTr="00BF2E51">
        <w:trPr>
          <w:trHeight w:val="300"/>
          <w:jc w:val="center"/>
        </w:trPr>
        <w:tc>
          <w:tcPr>
            <w:tcW w:w="2268" w:type="pct"/>
            <w:shd w:val="clear" w:color="auto" w:fill="auto"/>
            <w:noWrap/>
            <w:vAlign w:val="center"/>
            <w:hideMark/>
          </w:tcPr>
          <w:p w14:paraId="6C0C9387" w14:textId="77777777" w:rsidR="00C820EA" w:rsidRPr="008B628A" w:rsidRDefault="00C820EA" w:rsidP="002C1805">
            <w:pPr>
              <w:spacing w:after="0" w:line="240" w:lineRule="auto"/>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Iedzīvotāju skaits</w:t>
            </w:r>
          </w:p>
        </w:tc>
        <w:tc>
          <w:tcPr>
            <w:tcW w:w="683" w:type="pct"/>
            <w:shd w:val="clear" w:color="auto" w:fill="auto"/>
            <w:noWrap/>
            <w:vAlign w:val="center"/>
            <w:hideMark/>
          </w:tcPr>
          <w:p w14:paraId="39849D13"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-0,92</w:t>
            </w:r>
          </w:p>
        </w:tc>
        <w:tc>
          <w:tcPr>
            <w:tcW w:w="683" w:type="pct"/>
            <w:shd w:val="clear" w:color="auto" w:fill="auto"/>
            <w:noWrap/>
            <w:vAlign w:val="center"/>
            <w:hideMark/>
          </w:tcPr>
          <w:p w14:paraId="2F8AC5A2"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-1,11</w:t>
            </w:r>
          </w:p>
        </w:tc>
        <w:tc>
          <w:tcPr>
            <w:tcW w:w="683" w:type="pct"/>
            <w:shd w:val="clear" w:color="auto" w:fill="auto"/>
            <w:noWrap/>
            <w:vAlign w:val="center"/>
            <w:hideMark/>
          </w:tcPr>
          <w:p w14:paraId="79CCA89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-1,29</w:t>
            </w:r>
          </w:p>
        </w:tc>
        <w:tc>
          <w:tcPr>
            <w:tcW w:w="683" w:type="pct"/>
            <w:shd w:val="clear" w:color="auto" w:fill="auto"/>
            <w:noWrap/>
            <w:vAlign w:val="center"/>
            <w:hideMark/>
          </w:tcPr>
          <w:p w14:paraId="3B6DD49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-1,42</w:t>
            </w:r>
          </w:p>
        </w:tc>
      </w:tr>
      <w:tr w:rsidR="002C1805" w:rsidRPr="008B628A" w14:paraId="6A6BDF3A" w14:textId="77777777" w:rsidTr="00BF2E51">
        <w:trPr>
          <w:trHeight w:val="300"/>
          <w:jc w:val="center"/>
        </w:trPr>
        <w:tc>
          <w:tcPr>
            <w:tcW w:w="2268" w:type="pct"/>
            <w:shd w:val="clear" w:color="auto" w:fill="auto"/>
            <w:noWrap/>
            <w:vAlign w:val="center"/>
            <w:hideMark/>
          </w:tcPr>
          <w:p w14:paraId="53D2F364" w14:textId="77777777" w:rsidR="00C820EA" w:rsidRPr="008B628A" w:rsidRDefault="00C820EA" w:rsidP="002C1805">
            <w:pPr>
              <w:spacing w:after="0" w:line="240" w:lineRule="auto"/>
              <w:rPr>
                <w:rFonts w:ascii="Times New Roman" w:hAnsi="Times New Roman" w:cs="Times New Roman"/>
                <w:bCs/>
                <w:color w:val="000000" w:themeColor="text1"/>
                <w:sz w:val="22"/>
                <w:lang w:eastAsia="lv-LV"/>
              </w:rPr>
            </w:pPr>
            <w:r w:rsidRPr="008B628A">
              <w:rPr>
                <w:rFonts w:ascii="Times New Roman" w:hAnsi="Times New Roman" w:cs="Times New Roman"/>
                <w:bCs/>
                <w:color w:val="000000" w:themeColor="text1"/>
                <w:sz w:val="22"/>
                <w:lang w:eastAsia="lv-LV"/>
              </w:rPr>
              <w:t>IKP faktiskajās cenās</w:t>
            </w:r>
          </w:p>
        </w:tc>
        <w:tc>
          <w:tcPr>
            <w:tcW w:w="683" w:type="pct"/>
            <w:shd w:val="clear" w:color="auto" w:fill="auto"/>
            <w:noWrap/>
            <w:vAlign w:val="center"/>
            <w:hideMark/>
          </w:tcPr>
          <w:p w14:paraId="5ED03571"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5,1</w:t>
            </w:r>
          </w:p>
        </w:tc>
        <w:tc>
          <w:tcPr>
            <w:tcW w:w="683" w:type="pct"/>
            <w:shd w:val="clear" w:color="auto" w:fill="auto"/>
            <w:noWrap/>
            <w:vAlign w:val="center"/>
            <w:hideMark/>
          </w:tcPr>
          <w:p w14:paraId="749F2263"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6,7</w:t>
            </w:r>
          </w:p>
        </w:tc>
        <w:tc>
          <w:tcPr>
            <w:tcW w:w="683" w:type="pct"/>
            <w:shd w:val="clear" w:color="auto" w:fill="auto"/>
            <w:noWrap/>
            <w:vAlign w:val="center"/>
            <w:hideMark/>
          </w:tcPr>
          <w:p w14:paraId="17F73737"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5,3</w:t>
            </w:r>
          </w:p>
        </w:tc>
        <w:tc>
          <w:tcPr>
            <w:tcW w:w="683" w:type="pct"/>
            <w:shd w:val="clear" w:color="auto" w:fill="auto"/>
            <w:noWrap/>
            <w:vAlign w:val="center"/>
            <w:hideMark/>
          </w:tcPr>
          <w:p w14:paraId="020DE737"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4,2</w:t>
            </w:r>
          </w:p>
        </w:tc>
      </w:tr>
      <w:tr w:rsidR="002C1805" w:rsidRPr="008B628A" w14:paraId="3525ABAB" w14:textId="77777777" w:rsidTr="00BF2E51">
        <w:trPr>
          <w:trHeight w:val="300"/>
          <w:jc w:val="center"/>
        </w:trPr>
        <w:tc>
          <w:tcPr>
            <w:tcW w:w="2268" w:type="pct"/>
            <w:shd w:val="clear" w:color="auto" w:fill="auto"/>
            <w:noWrap/>
            <w:vAlign w:val="center"/>
            <w:hideMark/>
          </w:tcPr>
          <w:p w14:paraId="475FA165" w14:textId="77777777" w:rsidR="00C820EA" w:rsidRPr="008B628A" w:rsidRDefault="00C820EA" w:rsidP="002C1805">
            <w:pPr>
              <w:spacing w:after="0" w:line="240" w:lineRule="auto"/>
              <w:rPr>
                <w:rFonts w:ascii="Times New Roman" w:hAnsi="Times New Roman" w:cs="Times New Roman"/>
                <w:bCs/>
                <w:color w:val="000000" w:themeColor="text1"/>
                <w:sz w:val="22"/>
                <w:lang w:eastAsia="lv-LV"/>
              </w:rPr>
            </w:pPr>
            <w:r w:rsidRPr="008B628A">
              <w:rPr>
                <w:rFonts w:ascii="Times New Roman" w:hAnsi="Times New Roman" w:cs="Times New Roman"/>
                <w:bCs/>
                <w:color w:val="000000" w:themeColor="text1"/>
                <w:sz w:val="22"/>
                <w:lang w:eastAsia="lv-LV"/>
              </w:rPr>
              <w:lastRenderedPageBreak/>
              <w:t>IKP salīdzināmās cenās</w:t>
            </w:r>
          </w:p>
        </w:tc>
        <w:tc>
          <w:tcPr>
            <w:tcW w:w="683" w:type="pct"/>
            <w:shd w:val="clear" w:color="auto" w:fill="auto"/>
            <w:noWrap/>
            <w:vAlign w:val="center"/>
            <w:hideMark/>
          </w:tcPr>
          <w:p w14:paraId="3ABF6AB2"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3,4</w:t>
            </w:r>
          </w:p>
        </w:tc>
        <w:tc>
          <w:tcPr>
            <w:tcW w:w="683" w:type="pct"/>
            <w:shd w:val="clear" w:color="auto" w:fill="auto"/>
            <w:noWrap/>
            <w:vAlign w:val="center"/>
            <w:hideMark/>
          </w:tcPr>
          <w:p w14:paraId="5C6D01A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3,7</w:t>
            </w:r>
          </w:p>
        </w:tc>
        <w:tc>
          <w:tcPr>
            <w:tcW w:w="683" w:type="pct"/>
            <w:shd w:val="clear" w:color="auto" w:fill="auto"/>
            <w:noWrap/>
            <w:vAlign w:val="center"/>
            <w:hideMark/>
          </w:tcPr>
          <w:p w14:paraId="5CE67A4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2,7</w:t>
            </w:r>
          </w:p>
        </w:tc>
        <w:tc>
          <w:tcPr>
            <w:tcW w:w="683" w:type="pct"/>
            <w:shd w:val="clear" w:color="auto" w:fill="auto"/>
            <w:noWrap/>
            <w:vAlign w:val="center"/>
            <w:hideMark/>
          </w:tcPr>
          <w:p w14:paraId="10EED31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2,1</w:t>
            </w:r>
          </w:p>
        </w:tc>
      </w:tr>
      <w:tr w:rsidR="002C1805" w:rsidRPr="008B628A" w14:paraId="37D12ED4" w14:textId="77777777" w:rsidTr="00BF2E51">
        <w:trPr>
          <w:trHeight w:val="300"/>
          <w:jc w:val="center"/>
        </w:trPr>
        <w:tc>
          <w:tcPr>
            <w:tcW w:w="2268" w:type="pct"/>
            <w:shd w:val="clear" w:color="auto" w:fill="auto"/>
            <w:noWrap/>
            <w:vAlign w:val="center"/>
            <w:hideMark/>
          </w:tcPr>
          <w:p w14:paraId="11618637" w14:textId="77777777" w:rsidR="00C820EA" w:rsidRPr="008B628A" w:rsidRDefault="00C820EA" w:rsidP="002C1805">
            <w:pPr>
              <w:spacing w:after="0" w:line="240" w:lineRule="auto"/>
              <w:rPr>
                <w:rFonts w:ascii="Times New Roman" w:hAnsi="Times New Roman" w:cs="Times New Roman"/>
                <w:color w:val="000000" w:themeColor="text1"/>
                <w:sz w:val="22"/>
                <w:lang w:eastAsia="lv-LV"/>
              </w:rPr>
            </w:pPr>
            <w:r w:rsidRPr="008B628A">
              <w:rPr>
                <w:rFonts w:ascii="Times New Roman" w:hAnsi="Times New Roman" w:cs="Times New Roman"/>
                <w:bCs/>
                <w:color w:val="000000" w:themeColor="text1"/>
                <w:sz w:val="22"/>
                <w:lang w:eastAsia="lv-LV"/>
              </w:rPr>
              <w:t>Privātais patēriņš salīdzināmās cenās</w:t>
            </w:r>
          </w:p>
        </w:tc>
        <w:tc>
          <w:tcPr>
            <w:tcW w:w="683" w:type="pct"/>
            <w:shd w:val="clear" w:color="auto" w:fill="auto"/>
            <w:noWrap/>
            <w:vAlign w:val="center"/>
            <w:hideMark/>
          </w:tcPr>
          <w:p w14:paraId="6566A094"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4,2</w:t>
            </w:r>
          </w:p>
        </w:tc>
        <w:tc>
          <w:tcPr>
            <w:tcW w:w="683" w:type="pct"/>
            <w:shd w:val="clear" w:color="auto" w:fill="auto"/>
            <w:noWrap/>
            <w:vAlign w:val="center"/>
            <w:hideMark/>
          </w:tcPr>
          <w:p w14:paraId="2D2B3B3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4,4</w:t>
            </w:r>
          </w:p>
        </w:tc>
        <w:tc>
          <w:tcPr>
            <w:tcW w:w="683" w:type="pct"/>
            <w:shd w:val="clear" w:color="auto" w:fill="auto"/>
            <w:noWrap/>
            <w:vAlign w:val="center"/>
            <w:hideMark/>
          </w:tcPr>
          <w:p w14:paraId="6E8C5518"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2,9</w:t>
            </w:r>
          </w:p>
        </w:tc>
        <w:tc>
          <w:tcPr>
            <w:tcW w:w="683" w:type="pct"/>
            <w:shd w:val="clear" w:color="auto" w:fill="auto"/>
            <w:noWrap/>
            <w:vAlign w:val="center"/>
            <w:hideMark/>
          </w:tcPr>
          <w:p w14:paraId="18A973EE"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2,1</w:t>
            </w:r>
          </w:p>
        </w:tc>
      </w:tr>
    </w:tbl>
    <w:p w14:paraId="4AD02F4E" w14:textId="35E90618" w:rsidR="00BF2E51" w:rsidRPr="008B628A" w:rsidRDefault="00743EB4" w:rsidP="00BF2E5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w:t>
      </w:r>
      <w:r w:rsidR="00BF2E51" w:rsidRPr="008B628A">
        <w:rPr>
          <w:rFonts w:ascii="Times New Roman" w:hAnsi="Times New Roman" w:cs="Times New Roman"/>
          <w:szCs w:val="24"/>
        </w:rPr>
        <w:t xml:space="preserve">. </w:t>
      </w:r>
    </w:p>
    <w:p w14:paraId="390698A3" w14:textId="4ECE07B8" w:rsidR="00743EB4" w:rsidRPr="008B628A" w:rsidRDefault="002D36E7" w:rsidP="00743EB4">
      <w:pPr>
        <w:spacing w:after="120" w:line="276" w:lineRule="auto"/>
        <w:jc w:val="center"/>
        <w:rPr>
          <w:rFonts w:cstheme="minorHAnsi"/>
          <w:szCs w:val="24"/>
          <w:u w:val="single"/>
        </w:rPr>
      </w:pPr>
      <w:r w:rsidRPr="008B628A">
        <w:rPr>
          <w:rFonts w:cstheme="minorHAnsi"/>
          <w:noProof/>
          <w:szCs w:val="24"/>
          <w:u w:val="single"/>
          <w:lang w:eastAsia="lv-LV"/>
        </w:rPr>
        <w:drawing>
          <wp:inline distT="0" distB="0" distL="0" distR="0" wp14:anchorId="4F3375C2" wp14:editId="702F0544">
            <wp:extent cx="4709795" cy="264733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3181" cy="2649233"/>
                    </a:xfrm>
                    <a:prstGeom prst="rect">
                      <a:avLst/>
                    </a:prstGeom>
                    <a:noFill/>
                  </pic:spPr>
                </pic:pic>
              </a:graphicData>
            </a:graphic>
          </wp:inline>
        </w:drawing>
      </w:r>
    </w:p>
    <w:p w14:paraId="6BF3C5C8" w14:textId="5E5F33B1" w:rsidR="00743EB4" w:rsidRPr="008B628A" w:rsidRDefault="00743EB4" w:rsidP="00743EB4">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266" w:name="_Toc531333093"/>
      <w:r w:rsidR="006067D4">
        <w:rPr>
          <w:noProof/>
          <w:szCs w:val="24"/>
        </w:rPr>
        <w:t>12</w:t>
      </w:r>
      <w:r w:rsidRPr="008B628A">
        <w:rPr>
          <w:szCs w:val="24"/>
        </w:rPr>
        <w:fldChar w:fldCharType="end"/>
      </w:r>
      <w:r w:rsidRPr="008B628A">
        <w:t>.attēls. Makroekonomisko rādītāju tendences 2000.-2030.g. (2000=100)</w:t>
      </w:r>
      <w:r w:rsidRPr="008B628A">
        <w:rPr>
          <w:rStyle w:val="FootnoteReference"/>
        </w:rPr>
        <w:footnoteReference w:id="163"/>
      </w:r>
      <w:bookmarkEnd w:id="266"/>
    </w:p>
    <w:p w14:paraId="2FB39D1A" w14:textId="77777777" w:rsidR="00BF2E51" w:rsidRPr="008B628A" w:rsidRDefault="00BF2E51" w:rsidP="00743EB4">
      <w:pPr>
        <w:pStyle w:val="Heading4"/>
      </w:pPr>
      <w:r w:rsidRPr="008B628A">
        <w:t>Nozaru attīstības tendences</w:t>
      </w:r>
    </w:p>
    <w:p w14:paraId="065701A7" w14:textId="77777777" w:rsidR="005E30B0" w:rsidRPr="008B628A" w:rsidRDefault="005E30B0" w:rsidP="005E30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4FDED3E2" w14:textId="52E72468" w:rsidR="00FB13CD" w:rsidRPr="008B628A" w:rsidRDefault="005E30B0" w:rsidP="005E30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transporta, finanšu pakalpojumu un sabiedrisko pakalpojumu nozaru īpatsvars varētu nedaudz samazināties.</w:t>
      </w:r>
    </w:p>
    <w:p w14:paraId="43532052" w14:textId="1B6B8336" w:rsidR="00581156" w:rsidRPr="008B628A" w:rsidRDefault="00581156" w:rsidP="00C277CD">
      <w:pPr>
        <w:pStyle w:val="Heading3"/>
      </w:pPr>
      <w:bookmarkStart w:id="267" w:name="_Toc520978866"/>
      <w:bookmarkStart w:id="268" w:name="_Toc527529530"/>
      <w:r w:rsidRPr="008B628A">
        <w:lastRenderedPageBreak/>
        <w:t>Sektorālas izmaiņas, kas var ietekmēt energosistēmu un SEG emisijas</w:t>
      </w:r>
      <w:bookmarkEnd w:id="267"/>
      <w:bookmarkEnd w:id="268"/>
      <w:r w:rsidRPr="008B628A">
        <w:t xml:space="preserve"> </w:t>
      </w:r>
    </w:p>
    <w:p w14:paraId="670BD190" w14:textId="1197F037" w:rsidR="00581156" w:rsidRPr="008B628A" w:rsidRDefault="00C277CD" w:rsidP="00C277CD">
      <w:pPr>
        <w:spacing w:before="120" w:after="120" w:line="240" w:lineRule="auto"/>
        <w:jc w:val="both"/>
        <w:rPr>
          <w:rFonts w:ascii="Times New Roman" w:hAnsi="Times New Roman" w:cs="Times New Roman"/>
        </w:rPr>
      </w:pPr>
      <w:r w:rsidRPr="008B628A">
        <w:rPr>
          <w:rFonts w:ascii="Times New Roman" w:hAnsi="Times New Roman" w:cs="Times New Roman"/>
        </w:rPr>
        <w:t>Latvijā netiek plānotas būtiskas sektorālās izmaiņas, kas varētu kādā veidā būtiski ietekmēt energosistēmas vai SEG emisiju sadali.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4C6E8A5F" w14:textId="27CA41A2" w:rsidR="00D928E2" w:rsidRPr="008B628A" w:rsidRDefault="00581156" w:rsidP="00D928E2">
      <w:pPr>
        <w:pStyle w:val="Heading3"/>
      </w:pPr>
      <w:bookmarkStart w:id="269" w:name="_Toc520978867"/>
      <w:bookmarkStart w:id="270" w:name="_Toc527529531"/>
      <w:r w:rsidRPr="008B628A">
        <w:t>Globālās tendences enerģētikā, starptautiskās fosilā kurināmā cenas, ETS oglekļa cena</w:t>
      </w:r>
      <w:bookmarkEnd w:id="269"/>
      <w:r w:rsidR="00D928E2" w:rsidRPr="008B628A">
        <w:t xml:space="preserve">, </w:t>
      </w:r>
      <w:bookmarkStart w:id="271" w:name="_Toc520978868"/>
      <w:r w:rsidR="00D928E2" w:rsidRPr="008B628A">
        <w:t>izmaiņas tehnoloģiskajās izmaksās</w:t>
      </w:r>
      <w:bookmarkEnd w:id="270"/>
      <w:bookmarkEnd w:id="271"/>
      <w:r w:rsidR="00D928E2" w:rsidRPr="008B628A">
        <w:t xml:space="preserve"> </w:t>
      </w:r>
    </w:p>
    <w:p w14:paraId="06BD2454" w14:textId="77777777" w:rsidR="009A7542"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21276BC8" w14:textId="77777777" w:rsidR="009A7542"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A725DE" w14:textId="7E86A4A0" w:rsidR="00BF2E51"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Modelējot enerģētikas sistēmu vērā tiek ņemti visi spēkā esošie nodokļi ar to likmēm un pieņēmumi par to attīstību nākotnē. Papildus prognožu aprēķināšanā tiek ņemts vērā arī EK prognozes par CO</w:t>
      </w:r>
      <w:r w:rsidRPr="008B628A">
        <w:rPr>
          <w:rFonts w:ascii="Times New Roman" w:hAnsi="Times New Roman" w:cs="Times New Roman"/>
          <w:szCs w:val="24"/>
          <w:vertAlign w:val="subscript"/>
          <w:lang w:eastAsia="lv-LV"/>
        </w:rPr>
        <w:t>2</w:t>
      </w:r>
      <w:r w:rsidRPr="008B628A">
        <w:rPr>
          <w:rFonts w:ascii="Times New Roman" w:hAnsi="Times New Roman" w:cs="Times New Roman"/>
          <w:szCs w:val="24"/>
          <w:lang w:eastAsia="lv-LV"/>
        </w:rPr>
        <w:t xml:space="preserve"> cenu ES ETS sistēmā līdz 2050.gadam.</w:t>
      </w:r>
    </w:p>
    <w:p w14:paraId="45BAA591" w14:textId="77777777" w:rsidR="00E23B5E" w:rsidRPr="008B628A" w:rsidRDefault="00E23B5E" w:rsidP="00D928E2">
      <w:pPr>
        <w:pStyle w:val="naiskr"/>
        <w:spacing w:before="120" w:after="120"/>
        <w:ind w:right="140"/>
        <w:jc w:val="both"/>
      </w:pPr>
      <w:r w:rsidRPr="008B628A">
        <w:t>Emisijas kvotu cena galvenokārt balstās uz piedāvājumu un pieprasījumu tirgū, taču reaģē arī uz dažādām norisēm gan enerģētikas sektorā Eiropā, t.sk. energoresursu cenu izmaiņām enerģijas tirgos, gan laikapstākļiem (piemēram, siltas ziemas), gan notikumiem un lēmumiem starptautiskās (t.sk. ES līmenī) sarunās par klimata pārmaiņām, gan atsevišķu valstu paziņojumiem.</w:t>
      </w:r>
    </w:p>
    <w:p w14:paraId="246E7FBF" w14:textId="0CE72F3F"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ETS 3.perioda sākumā emisijas kvot</w:t>
      </w:r>
      <w:r w:rsidR="00347B4E">
        <w:rPr>
          <w:rFonts w:ascii="Times New Roman" w:hAnsi="Times New Roman" w:cs="Times New Roman"/>
          <w:szCs w:val="24"/>
        </w:rPr>
        <w:t>as</w:t>
      </w:r>
      <w:r w:rsidRPr="008B628A">
        <w:rPr>
          <w:rFonts w:ascii="Times New Roman" w:hAnsi="Times New Roman" w:cs="Times New Roman"/>
          <w:szCs w:val="24"/>
        </w:rPr>
        <w:t xml:space="preserve"> cena bija ap 6 EUR, taču jau  2013. gada 22. aprīlī ETS 3.perioda ietvaros tika sasniegts līdz šim zemākais cenas līmenis – 2,65 EUR, (kopējā izsoļu platformā)</w:t>
      </w:r>
      <w:r w:rsidRPr="008B628A">
        <w:rPr>
          <w:rFonts w:ascii="Times New Roman" w:hAnsi="Times New Roman" w:cs="Times New Roman"/>
          <w:iCs/>
          <w:szCs w:val="24"/>
        </w:rPr>
        <w:t xml:space="preserve">. Savukārt </w:t>
      </w:r>
      <w:r w:rsidRPr="008B628A">
        <w:rPr>
          <w:rFonts w:ascii="Times New Roman" w:hAnsi="Times New Roman" w:cs="Times New Roman"/>
          <w:szCs w:val="24"/>
        </w:rPr>
        <w:t xml:space="preserve">2014. gada 24. februārī cena sasniedza 7,10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 xml:space="preserve">kvotu. 2015. gada 27. oktobrī un 24. novembrī </w:t>
      </w:r>
      <w:r w:rsidR="005F7496" w:rsidRPr="008B628A">
        <w:rPr>
          <w:rFonts w:ascii="Times New Roman" w:hAnsi="Times New Roman" w:cs="Times New Roman"/>
          <w:szCs w:val="24"/>
        </w:rPr>
        <w:t>k</w:t>
      </w:r>
      <w:r w:rsidRPr="008B628A">
        <w:rPr>
          <w:rFonts w:ascii="Times New Roman" w:hAnsi="Times New Roman" w:cs="Times New Roman"/>
          <w:szCs w:val="24"/>
        </w:rPr>
        <w:t xml:space="preserve">opējā izsoļu platformā tika sasniegta (salīdzinoši ar iepriekšējiem gadiem) pēdējo 3 gadu maksimālā vērtībā – 8,63 EUR. 2016. gadā kvotas cena noslīdēja atkal zem 5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 xml:space="preserve">kvotu, 2016. gada septembrī vairākas dienas sasniedzot 3,94 EUR, kas bija zemākais punkts kopš 2013. gada jūnija sākuma. Emisijas kvotu cenas no 2016. gada oktobra līdz 2017. gada septembra sākuma bija nestabilas un cena svārstās 4-6 EUR robežās. Sākot ar 2017. gada septembri kvotu cena ir ar stabilu augšupejošu tendenci, 2018. gada jūlijā sasniedzot 17,50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kvotu, kas gada laikā ir vairāk, nekā trīskāršojušās.</w:t>
      </w:r>
    </w:p>
    <w:p w14:paraId="3E279495" w14:textId="5F4269DE"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2015. gadā strādājot pie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grozījumu Ietekmes novērtējumu</w:t>
      </w:r>
      <w:r w:rsidRPr="008B628A">
        <w:rPr>
          <w:rStyle w:val="FootnoteReference"/>
          <w:rFonts w:ascii="Times New Roman" w:hAnsi="Times New Roman" w:cs="Times New Roman"/>
          <w:szCs w:val="24"/>
        </w:rPr>
        <w:footnoteReference w:id="164"/>
      </w:r>
      <w:r w:rsidRPr="008B628A">
        <w:rPr>
          <w:rFonts w:ascii="Times New Roman" w:hAnsi="Times New Roman" w:cs="Times New Roman"/>
          <w:szCs w:val="24"/>
        </w:rPr>
        <w:t xml:space="preserve"> </w:t>
      </w:r>
      <w:r w:rsidR="00445E35" w:rsidRPr="008B628A">
        <w:rPr>
          <w:rFonts w:ascii="Times New Roman" w:hAnsi="Times New Roman" w:cs="Times New Roman"/>
          <w:szCs w:val="24"/>
        </w:rPr>
        <w:t>EK</w:t>
      </w:r>
      <w:r w:rsidRPr="008B628A">
        <w:rPr>
          <w:rFonts w:ascii="Times New Roman" w:hAnsi="Times New Roman" w:cs="Times New Roman"/>
          <w:szCs w:val="24"/>
        </w:rPr>
        <w:t xml:space="preserve"> prognozēja, ka emisijas kvotu cena vidēji ETS 4.periodā varētu būt 25 eiro. </w:t>
      </w:r>
    </w:p>
    <w:p w14:paraId="0F7BFBF0" w14:textId="51273EFF"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deviņu vadošu oglekļa tirgus analītiķu kopējām vidējām prognozēm</w:t>
      </w:r>
      <w:r w:rsidRPr="008B628A">
        <w:rPr>
          <w:rStyle w:val="FootnoteReference"/>
          <w:rFonts w:ascii="Times New Roman" w:hAnsi="Times New Roman" w:cs="Times New Roman"/>
          <w:szCs w:val="24"/>
        </w:rPr>
        <w:footnoteReference w:id="165"/>
      </w:r>
      <w:r w:rsidRPr="008B628A">
        <w:rPr>
          <w:rFonts w:ascii="Times New Roman" w:hAnsi="Times New Roman" w:cs="Times New Roman"/>
          <w:szCs w:val="24"/>
        </w:rPr>
        <w:t xml:space="preserve"> 2020. gada beigās vidējā cena varētu sasniegt ap 20 EUR, 2025. gada beigās 22-30 EUR un 2030. gada beigās no 26 līdz 35 EUR.</w:t>
      </w:r>
    </w:p>
    <w:p w14:paraId="69A8A622" w14:textId="77777777" w:rsidR="002C1805" w:rsidRPr="008B628A" w:rsidRDefault="002C1805" w:rsidP="00C277CD">
      <w:pPr>
        <w:spacing w:before="120" w:after="120" w:line="240" w:lineRule="auto"/>
        <w:jc w:val="both"/>
        <w:rPr>
          <w:rFonts w:ascii="Times New Roman" w:hAnsi="Times New Roman" w:cs="Times New Roman"/>
          <w:szCs w:val="24"/>
        </w:rPr>
      </w:pPr>
    </w:p>
    <w:p w14:paraId="59A4E9A7" w14:textId="1C0C3F62" w:rsidR="00581156" w:rsidRPr="008B628A" w:rsidRDefault="00347B4E" w:rsidP="006F546A">
      <w:pPr>
        <w:pStyle w:val="Heading2"/>
      </w:pPr>
      <w:bookmarkStart w:id="272" w:name="_Toc520978869"/>
      <w:bookmarkStart w:id="273" w:name="_Toc527529532"/>
      <w:bookmarkStart w:id="274" w:name="_Toc532910014"/>
      <w:r>
        <w:lastRenderedPageBreak/>
        <w:t>D</w:t>
      </w:r>
      <w:r w:rsidR="00581156" w:rsidRPr="008B628A">
        <w:t>ekarbonizācija</w:t>
      </w:r>
      <w:bookmarkEnd w:id="272"/>
      <w:bookmarkEnd w:id="273"/>
      <w:bookmarkEnd w:id="274"/>
      <w:r w:rsidR="00581156" w:rsidRPr="008B628A">
        <w:t xml:space="preserve"> </w:t>
      </w:r>
    </w:p>
    <w:p w14:paraId="26A48FB3" w14:textId="21117457" w:rsidR="006C746B" w:rsidRPr="008B628A" w:rsidRDefault="006C746B" w:rsidP="005F59CE">
      <w:pPr>
        <w:pStyle w:val="Heading3"/>
      </w:pPr>
      <w:bookmarkStart w:id="275" w:name="_Toc520978870"/>
      <w:bookmarkStart w:id="276" w:name="_Toc527529533"/>
      <w:r w:rsidRPr="008B628A">
        <w:rPr>
          <w:rStyle w:val="normaltextrun"/>
        </w:rPr>
        <w:t>SEG emisijas un piesaistījumi</w:t>
      </w:r>
      <w:bookmarkEnd w:id="275"/>
      <w:bookmarkEnd w:id="276"/>
      <w:r w:rsidRPr="008B628A">
        <w:rPr>
          <w:rStyle w:val="eop"/>
        </w:rPr>
        <w:t> </w:t>
      </w:r>
    </w:p>
    <w:p w14:paraId="12298C50" w14:textId="1A84CD1E" w:rsidR="006C746B" w:rsidRPr="008B628A" w:rsidRDefault="006C746B" w:rsidP="00863FD7">
      <w:pPr>
        <w:pStyle w:val="Heading4"/>
      </w:pPr>
      <w:bookmarkStart w:id="277" w:name="_Toc527529534"/>
      <w:r w:rsidRPr="008B628A">
        <w:rPr>
          <w:rStyle w:val="normaltextrun"/>
        </w:rPr>
        <w:t>Esošā situācija</w:t>
      </w:r>
      <w:r w:rsidRPr="008B628A">
        <w:rPr>
          <w:rStyle w:val="eop"/>
        </w:rPr>
        <w:t> </w:t>
      </w:r>
      <w:r w:rsidR="00130BFD" w:rsidRPr="008B628A">
        <w:rPr>
          <w:rStyle w:val="eop"/>
        </w:rPr>
        <w:t>kopējā SEG emisiju apjomā</w:t>
      </w:r>
      <w:bookmarkEnd w:id="277"/>
      <w:r w:rsidR="00130BFD" w:rsidRPr="008B628A">
        <w:rPr>
          <w:rStyle w:val="eop"/>
        </w:rPr>
        <w:t xml:space="preserve"> </w:t>
      </w:r>
    </w:p>
    <w:p w14:paraId="27D8BE99" w14:textId="77777777" w:rsidR="00D37297" w:rsidRPr="008B628A" w:rsidRDefault="00D37297" w:rsidP="00D37297">
      <w:pPr>
        <w:autoSpaceDE w:val="0"/>
        <w:autoSpaceDN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Latvijai noteikto SEG emisiju samazināšanas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piesaistes nodrošināšanas mērķu izpilde katru gadu tiek novērtēta, saskaņā ar likuma “Par piesārņojumu” 52. panta trešo daļu sagatavojot informatīvo ziņojumu par SEG emisiju samazināšanas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piesaistes saistību izpildi</w:t>
      </w:r>
      <w:r w:rsidRPr="008B628A">
        <w:rPr>
          <w:rStyle w:val="FootnoteReference"/>
          <w:rFonts w:ascii="Times New Roman" w:hAnsi="Times New Roman" w:cs="Times New Roman"/>
          <w:szCs w:val="24"/>
        </w:rPr>
        <w:footnoteReference w:id="166"/>
      </w:r>
      <w:r w:rsidRPr="008B628A">
        <w:rPr>
          <w:rFonts w:ascii="Times New Roman" w:hAnsi="Times New Roman" w:cs="Times New Roman"/>
          <w:szCs w:val="24"/>
        </w:rPr>
        <w:t xml:space="preserve">. </w:t>
      </w:r>
    </w:p>
    <w:p w14:paraId="050F0605" w14:textId="25781218" w:rsidR="006C746B" w:rsidRPr="008B628A" w:rsidRDefault="006C746B" w:rsidP="006C746B">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Atbilstoši 2018. gada SEG inventarizācijai par 1990.-2016. gadu</w:t>
      </w:r>
      <w:r w:rsidRPr="008B628A">
        <w:rPr>
          <w:rStyle w:val="FootnoteReference"/>
          <w:rFonts w:ascii="Times New Roman" w:hAnsi="Times New Roman" w:cs="Times New Roman"/>
          <w:szCs w:val="24"/>
        </w:rPr>
        <w:footnoteReference w:id="167"/>
      </w:r>
      <w:r w:rsidRPr="008B628A">
        <w:rPr>
          <w:rFonts w:ascii="Times New Roman" w:hAnsi="Times New Roman" w:cs="Times New Roman"/>
          <w:szCs w:val="24"/>
        </w:rPr>
        <w:t xml:space="preserve"> (turpmāk – 2018. gada SEG inventarizācija) un aptuvenai SEG inventarizācijai par 2017. gadu</w:t>
      </w:r>
      <w:r w:rsidRPr="008B628A">
        <w:rPr>
          <w:rStyle w:val="FootnoteReference"/>
          <w:rFonts w:ascii="Times New Roman" w:hAnsi="Times New Roman" w:cs="Times New Roman"/>
          <w:szCs w:val="24"/>
        </w:rPr>
        <w:footnoteReference w:id="168"/>
      </w:r>
      <w:r w:rsidRPr="008B628A">
        <w:rPr>
          <w:rFonts w:ascii="Times New Roman" w:hAnsi="Times New Roman" w:cs="Times New Roman"/>
          <w:szCs w:val="24"/>
        </w:rPr>
        <w:t xml:space="preserve"> Latvijas kopējās SEG</w:t>
      </w:r>
      <w:r w:rsidRPr="008B628A">
        <w:rPr>
          <w:rFonts w:ascii="Times New Roman" w:hAnsi="Times New Roman" w:cs="Times New Roman"/>
          <w:b/>
          <w:szCs w:val="24"/>
        </w:rPr>
        <w:t xml:space="preserve"> </w:t>
      </w:r>
      <w:r w:rsidRPr="008B628A">
        <w:rPr>
          <w:rFonts w:ascii="Times New Roman" w:hAnsi="Times New Roman" w:cs="Times New Roman"/>
          <w:szCs w:val="24"/>
        </w:rPr>
        <w:t>emisijas no 1990.gada līdz 2016.gadam</w:t>
      </w:r>
      <w:r w:rsidR="00F24A64" w:rsidRPr="008B628A">
        <w:rPr>
          <w:rFonts w:ascii="Times New Roman" w:hAnsi="Times New Roman" w:cs="Times New Roman"/>
          <w:szCs w:val="24"/>
        </w:rPr>
        <w:t xml:space="preserve"> un līdz 2017. gadam</w:t>
      </w:r>
      <w:r w:rsidRPr="008B628A">
        <w:rPr>
          <w:rFonts w:ascii="Times New Roman" w:hAnsi="Times New Roman" w:cs="Times New Roman"/>
          <w:szCs w:val="24"/>
        </w:rPr>
        <w:t xml:space="preserve"> ir samazinātas</w:t>
      </w:r>
      <w:r w:rsidR="00F24A64" w:rsidRPr="008B628A">
        <w:rPr>
          <w:rFonts w:ascii="Times New Roman" w:hAnsi="Times New Roman" w:cs="Times New Roman"/>
          <w:szCs w:val="24"/>
        </w:rPr>
        <w:t xml:space="preserve"> attiecīgi </w:t>
      </w:r>
      <w:r w:rsidRPr="008B628A">
        <w:rPr>
          <w:rFonts w:ascii="Times New Roman" w:hAnsi="Times New Roman" w:cs="Times New Roman"/>
          <w:szCs w:val="24"/>
        </w:rPr>
        <w:t>par 57,3%</w:t>
      </w:r>
      <w:r w:rsidR="00F24A64" w:rsidRPr="008B628A">
        <w:rPr>
          <w:rFonts w:ascii="Times New Roman" w:hAnsi="Times New Roman" w:cs="Times New Roman"/>
          <w:szCs w:val="24"/>
        </w:rPr>
        <w:t xml:space="preserve"> un 57,4 %</w:t>
      </w:r>
      <w:r w:rsidRPr="008B628A">
        <w:rPr>
          <w:rFonts w:ascii="Times New Roman" w:hAnsi="Times New Roman" w:cs="Times New Roman"/>
          <w:szCs w:val="24"/>
        </w:rPr>
        <w:t xml:space="preserve">, savukārt laika posmā no 2005.gada līdz 2016.gadam un 2017.gadam attiecīgi Latvijas kopējās SEG emisijas ir samazinātas par 1,3% un </w:t>
      </w:r>
      <w:r w:rsidR="00F24A64" w:rsidRPr="008B628A">
        <w:rPr>
          <w:rFonts w:ascii="Times New Roman" w:hAnsi="Times New Roman" w:cs="Times New Roman"/>
          <w:szCs w:val="24"/>
        </w:rPr>
        <w:t xml:space="preserve">1,6 </w:t>
      </w:r>
      <w:r w:rsidRPr="008B628A">
        <w:rPr>
          <w:rFonts w:ascii="Times New Roman" w:hAnsi="Times New Roman" w:cs="Times New Roman"/>
          <w:szCs w:val="24"/>
        </w:rPr>
        <w:t xml:space="preserve">%. </w:t>
      </w:r>
    </w:p>
    <w:p w14:paraId="69AD4045" w14:textId="77777777" w:rsidR="00E23B5E" w:rsidRPr="008B628A" w:rsidRDefault="00E23B5E" w:rsidP="00E23B5E">
      <w:pPr>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074DAB93" wp14:editId="49BBDCBA">
            <wp:extent cx="4320000" cy="2664855"/>
            <wp:effectExtent l="0" t="0" r="444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664855"/>
                    </a:xfrm>
                    <a:prstGeom prst="rect">
                      <a:avLst/>
                    </a:prstGeom>
                    <a:noFill/>
                  </pic:spPr>
                </pic:pic>
              </a:graphicData>
            </a:graphic>
          </wp:inline>
        </w:drawing>
      </w:r>
    </w:p>
    <w:p w14:paraId="36878031" w14:textId="79AC93FA" w:rsidR="00E23B5E"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78" w:name="_Toc531333094"/>
      <w:r w:rsidR="006067D4">
        <w:rPr>
          <w:noProof/>
        </w:rPr>
        <w:t>13</w:t>
      </w:r>
      <w:r w:rsidRPr="008B628A">
        <w:rPr>
          <w:noProof/>
        </w:rPr>
        <w:fldChar w:fldCharType="end"/>
      </w:r>
      <w:r w:rsidR="00E23B5E" w:rsidRPr="008B628A">
        <w:t>.attēls. Latvijas kopējās SEG emisijas (ieskaitot un neieskaitot ZIZIMM) 1990. – 2016. g. (kt CO2 ekv.)</w:t>
      </w:r>
      <w:bookmarkEnd w:id="278"/>
    </w:p>
    <w:p w14:paraId="5F0AF1F5" w14:textId="41F12782" w:rsidR="00D37297" w:rsidRPr="008B628A" w:rsidRDefault="00D37297" w:rsidP="00D37297">
      <w:r w:rsidRPr="008B628A">
        <w:rPr>
          <w:rFonts w:ascii="Times New Roman" w:hAnsi="Times New Roman" w:cs="Times New Roman"/>
          <w:szCs w:val="24"/>
        </w:rPr>
        <w:t>Kopējās Latvijas SEG emisijas 2016. gadā bija 11 306,39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bet aptuvenās 2017. gada SEG emisijas – 11 275,43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w:t>
      </w:r>
    </w:p>
    <w:p w14:paraId="2A6F1B95" w14:textId="0A671294" w:rsidR="00D37297" w:rsidRPr="008B628A" w:rsidRDefault="00694968" w:rsidP="00882951">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6E00F46E" wp14:editId="133E98FD">
            <wp:extent cx="4779448" cy="249843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914" cy="2507562"/>
                    </a:xfrm>
                    <a:prstGeom prst="rect">
                      <a:avLst/>
                    </a:prstGeom>
                    <a:noFill/>
                  </pic:spPr>
                </pic:pic>
              </a:graphicData>
            </a:graphic>
          </wp:inline>
        </w:drawing>
      </w:r>
    </w:p>
    <w:p w14:paraId="30952A7C" w14:textId="7F695E9D" w:rsidR="00E23B5E" w:rsidRPr="008B628A" w:rsidRDefault="003E5526"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279" w:name="_Toc531333095"/>
      <w:r w:rsidR="006067D4">
        <w:rPr>
          <w:noProof/>
        </w:rPr>
        <w:t>14</w:t>
      </w:r>
      <w:r w:rsidRPr="008B628A">
        <w:rPr>
          <w:noProof/>
        </w:rPr>
        <w:fldChar w:fldCharType="end"/>
      </w:r>
      <w:r w:rsidR="00E23B5E" w:rsidRPr="008B628A">
        <w:t>. attēls. Latvijas kopējā SEG emisiju apjoma tendence 1990.-201</w:t>
      </w:r>
      <w:r w:rsidR="00882951" w:rsidRPr="008B628A">
        <w:t>7</w:t>
      </w:r>
      <w:r w:rsidR="00E23B5E" w:rsidRPr="008B628A">
        <w:t>.gadā un ETS/ne-ETS SEG emisiju apjoma īpatsvars 201</w:t>
      </w:r>
      <w:r w:rsidR="00882951" w:rsidRPr="008B628A">
        <w:t>7</w:t>
      </w:r>
      <w:r w:rsidR="00E23B5E" w:rsidRPr="008B628A">
        <w:t>.gadā (kt CO</w:t>
      </w:r>
      <w:r w:rsidR="00E23B5E" w:rsidRPr="008B628A">
        <w:rPr>
          <w:vertAlign w:val="subscript"/>
        </w:rPr>
        <w:t>2</w:t>
      </w:r>
      <w:r w:rsidR="00E23B5E" w:rsidRPr="008B628A">
        <w:t xml:space="preserve"> ekv.)</w:t>
      </w:r>
      <w:bookmarkEnd w:id="279"/>
    </w:p>
    <w:p w14:paraId="29DD8D7E" w14:textId="7C50CBDF" w:rsidR="00E23B5E" w:rsidRPr="008B628A" w:rsidRDefault="00E23B5E"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 gadā enerģētikas sektors ir vislielākais SEG emisiju avots radot 64% no kopējām Latvijas SEG emisijām neskaitot ZIZIMM. Lielāko daļu no emisijām, kas rodas no kurināmā sadedzināšanas, veido transporta sektors  – 44</w:t>
      </w:r>
      <w:r w:rsidR="005F7496" w:rsidRPr="008B628A">
        <w:rPr>
          <w:rFonts w:ascii="Times New Roman" w:hAnsi="Times New Roman" w:cs="Times New Roman"/>
          <w:szCs w:val="24"/>
        </w:rPr>
        <w:t>,</w:t>
      </w:r>
      <w:r w:rsidRPr="008B628A">
        <w:rPr>
          <w:rFonts w:ascii="Times New Roman" w:hAnsi="Times New Roman" w:cs="Times New Roman"/>
          <w:szCs w:val="24"/>
        </w:rPr>
        <w:t>2%. Enerģētikas sektora emisijas 2016. gadā ir samazinājušās par 62</w:t>
      </w:r>
      <w:r w:rsidR="005F7496" w:rsidRPr="008B628A">
        <w:rPr>
          <w:rFonts w:ascii="Times New Roman" w:hAnsi="Times New Roman" w:cs="Times New Roman"/>
          <w:szCs w:val="24"/>
        </w:rPr>
        <w:t>,</w:t>
      </w:r>
      <w:r w:rsidRPr="008B628A">
        <w:rPr>
          <w:rFonts w:ascii="Times New Roman" w:hAnsi="Times New Roman" w:cs="Times New Roman"/>
          <w:szCs w:val="24"/>
        </w:rPr>
        <w:t>7% salīdzinot ar 1990.gadu, savukārt, salīdzinot ar 2005. gadu emisijas ir samazinājušās par 10%.</w:t>
      </w:r>
      <w:r w:rsidR="005F085F" w:rsidRPr="008B628A">
        <w:rPr>
          <w:rFonts w:ascii="Times New Roman" w:hAnsi="Times New Roman" w:cs="Times New Roman"/>
          <w:szCs w:val="24"/>
        </w:rPr>
        <w:t xml:space="preserve"> </w:t>
      </w:r>
      <w:r w:rsidR="000A7C80" w:rsidRPr="008B628A">
        <w:rPr>
          <w:rFonts w:ascii="Times New Roman" w:hAnsi="Times New Roman" w:cs="Times New Roman"/>
          <w:szCs w:val="24"/>
        </w:rPr>
        <w:t xml:space="preserve">Transporta emisijas ir pieaugušas par 5,1%, salīdzinot ar 1990. gadu. </w:t>
      </w:r>
      <w:r w:rsidRPr="008B628A">
        <w:rPr>
          <w:rFonts w:ascii="Times New Roman" w:hAnsi="Times New Roman" w:cs="Times New Roman"/>
          <w:szCs w:val="24"/>
        </w:rPr>
        <w:t>Kā vienu no iemesliem emisiju izmaiņām var minēt izmantotā kurināmā veida, kā arī patērētā kurināmā daudzuma izmaiņ</w:t>
      </w:r>
      <w:r w:rsidRPr="008B628A">
        <w:rPr>
          <w:rFonts w:ascii="Times New Roman" w:hAnsi="Times New Roman" w:cs="Times New Roman"/>
          <w:noProof/>
          <w:szCs w:val="24"/>
        </w:rPr>
        <w:t>u</w:t>
      </w:r>
      <w:r w:rsidRPr="008B628A">
        <w:rPr>
          <w:rFonts w:ascii="Times New Roman" w:hAnsi="Times New Roman" w:cs="Times New Roman"/>
          <w:szCs w:val="24"/>
        </w:rPr>
        <w:t xml:space="preserve"> sektoros. Kopš 1990.</w:t>
      </w:r>
      <w:r w:rsidRPr="008B628A">
        <w:rPr>
          <w:rFonts w:ascii="Times New Roman" w:hAnsi="Times New Roman" w:cs="Times New Roman"/>
          <w:noProof/>
          <w:szCs w:val="24"/>
        </w:rPr>
        <w:t xml:space="preserve"> </w:t>
      </w:r>
      <w:r w:rsidRPr="008B628A">
        <w:rPr>
          <w:rFonts w:ascii="Times New Roman" w:hAnsi="Times New Roman" w:cs="Times New Roman"/>
          <w:szCs w:val="24"/>
        </w:rPr>
        <w:t>gada izmantotās biomasas apjoms ir palielinājies par 114</w:t>
      </w:r>
      <w:r w:rsidR="005F7496" w:rsidRPr="008B628A">
        <w:rPr>
          <w:rFonts w:ascii="Times New Roman" w:hAnsi="Times New Roman" w:cs="Times New Roman"/>
          <w:szCs w:val="24"/>
        </w:rPr>
        <w:t>,</w:t>
      </w:r>
      <w:r w:rsidRPr="008B628A">
        <w:rPr>
          <w:rFonts w:ascii="Times New Roman" w:hAnsi="Times New Roman" w:cs="Times New Roman"/>
          <w:szCs w:val="24"/>
        </w:rPr>
        <w:t>9%, tajā pašā laikā fosilā kurināmā izmantošana ir samazinājusies – šķidrais kurināmais par 60</w:t>
      </w:r>
      <w:r w:rsidR="005F7496" w:rsidRPr="008B628A">
        <w:rPr>
          <w:rFonts w:ascii="Times New Roman" w:hAnsi="Times New Roman" w:cs="Times New Roman"/>
          <w:szCs w:val="24"/>
        </w:rPr>
        <w:t>,</w:t>
      </w:r>
      <w:r w:rsidRPr="008B628A">
        <w:rPr>
          <w:rFonts w:ascii="Times New Roman" w:hAnsi="Times New Roman" w:cs="Times New Roman"/>
          <w:szCs w:val="24"/>
        </w:rPr>
        <w:t>8%, cietais kurināmais (</w:t>
      </w:r>
      <w:r w:rsidRPr="008B628A">
        <w:rPr>
          <w:rFonts w:ascii="Times New Roman" w:hAnsi="Times New Roman" w:cs="Times New Roman"/>
          <w:noProof/>
          <w:szCs w:val="24"/>
        </w:rPr>
        <w:t>izņemot</w:t>
      </w:r>
      <w:r w:rsidRPr="008B628A">
        <w:rPr>
          <w:rFonts w:ascii="Times New Roman" w:hAnsi="Times New Roman" w:cs="Times New Roman"/>
          <w:szCs w:val="24"/>
        </w:rPr>
        <w:t xml:space="preserve"> kūdru) par 93</w:t>
      </w:r>
      <w:r w:rsidR="005F7496" w:rsidRPr="008B628A">
        <w:rPr>
          <w:rFonts w:ascii="Times New Roman" w:hAnsi="Times New Roman" w:cs="Times New Roman"/>
          <w:szCs w:val="24"/>
        </w:rPr>
        <w:t>,</w:t>
      </w:r>
      <w:r w:rsidRPr="008B628A">
        <w:rPr>
          <w:rFonts w:ascii="Times New Roman" w:hAnsi="Times New Roman" w:cs="Times New Roman"/>
          <w:szCs w:val="24"/>
        </w:rPr>
        <w:t>6%, kūdra par 98</w:t>
      </w:r>
      <w:r w:rsidR="005F7496" w:rsidRPr="008B628A">
        <w:rPr>
          <w:rFonts w:ascii="Times New Roman" w:hAnsi="Times New Roman" w:cs="Times New Roman"/>
          <w:szCs w:val="24"/>
        </w:rPr>
        <w:t>,</w:t>
      </w:r>
      <w:r w:rsidRPr="008B628A">
        <w:rPr>
          <w:rFonts w:ascii="Times New Roman" w:hAnsi="Times New Roman" w:cs="Times New Roman"/>
          <w:szCs w:val="24"/>
        </w:rPr>
        <w:t>9% un dabas gāze par 53</w:t>
      </w:r>
      <w:r w:rsidR="005F7496" w:rsidRPr="008B628A">
        <w:rPr>
          <w:rFonts w:ascii="Times New Roman" w:hAnsi="Times New Roman" w:cs="Times New Roman"/>
          <w:szCs w:val="24"/>
        </w:rPr>
        <w:t>,</w:t>
      </w:r>
      <w:r w:rsidRPr="008B628A">
        <w:rPr>
          <w:rFonts w:ascii="Times New Roman" w:hAnsi="Times New Roman" w:cs="Times New Roman"/>
          <w:szCs w:val="24"/>
        </w:rPr>
        <w:t>0%. Biomasas daļa 2016.gadā, salīdzinot ar 2015.gadu, ir palielinājusies no 36</w:t>
      </w:r>
      <w:r w:rsidR="005F7496" w:rsidRPr="008B628A">
        <w:rPr>
          <w:rFonts w:ascii="Times New Roman" w:hAnsi="Times New Roman" w:cs="Times New Roman"/>
          <w:szCs w:val="24"/>
        </w:rPr>
        <w:t>,</w:t>
      </w:r>
      <w:r w:rsidRPr="008B628A">
        <w:rPr>
          <w:rFonts w:ascii="Times New Roman" w:hAnsi="Times New Roman" w:cs="Times New Roman"/>
          <w:szCs w:val="24"/>
        </w:rPr>
        <w:t>0% līdz 36</w:t>
      </w:r>
      <w:r w:rsidR="005F7496" w:rsidRPr="008B628A">
        <w:rPr>
          <w:rFonts w:ascii="Times New Roman" w:hAnsi="Times New Roman" w:cs="Times New Roman"/>
          <w:szCs w:val="24"/>
        </w:rPr>
        <w:t>,</w:t>
      </w:r>
      <w:r w:rsidRPr="008B628A">
        <w:rPr>
          <w:rFonts w:ascii="Times New Roman" w:hAnsi="Times New Roman" w:cs="Times New Roman"/>
          <w:szCs w:val="24"/>
        </w:rPr>
        <w:t>3%.</w:t>
      </w:r>
      <w:r w:rsidR="00F4414D" w:rsidRPr="008B628A">
        <w:rPr>
          <w:rFonts w:ascii="Times New Roman" w:hAnsi="Times New Roman" w:cs="Times New Roman"/>
          <w:szCs w:val="24"/>
        </w:rPr>
        <w:t xml:space="preserve"> Biodegvielas (biodīzeļdegviela un bioetanols) veido 1% no kopējā degvielas patēriņa transporta sektorā.</w:t>
      </w:r>
    </w:p>
    <w:p w14:paraId="11D76E02" w14:textId="1A0C0BF8" w:rsidR="005F085F" w:rsidRPr="008B628A" w:rsidRDefault="00E23B5E" w:rsidP="005F085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Lauksaimniecība ir otrs lielākais emisiju sektors Latvijas SEG inventarizācijā, kas radīja 23.6% (2663</w:t>
      </w:r>
      <w:r w:rsidR="005F7496" w:rsidRPr="008B628A">
        <w:rPr>
          <w:rFonts w:ascii="Times New Roman" w:hAnsi="Times New Roman" w:cs="Times New Roman"/>
          <w:szCs w:val="24"/>
        </w:rPr>
        <w:t>,</w:t>
      </w:r>
      <w:r w:rsidRPr="008B628A">
        <w:rPr>
          <w:rFonts w:ascii="Times New Roman" w:hAnsi="Times New Roman" w:cs="Times New Roman"/>
          <w:szCs w:val="24"/>
        </w:rPr>
        <w:t>43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no kopējām Latvijas SEG emisijām 2016.gadā neskaitot ZIZIMM.</w:t>
      </w:r>
      <w:r w:rsidR="005F7496" w:rsidRPr="008B628A">
        <w:rPr>
          <w:rFonts w:ascii="Times New Roman" w:hAnsi="Times New Roman" w:cs="Times New Roman"/>
          <w:szCs w:val="24"/>
        </w:rPr>
        <w:t xml:space="preserve"> </w:t>
      </w:r>
      <w:r w:rsidR="005F085F" w:rsidRPr="008B628A">
        <w:rPr>
          <w:rFonts w:ascii="Times New Roman" w:hAnsi="Times New Roman" w:cs="Times New Roman"/>
          <w:szCs w:val="24"/>
        </w:rPr>
        <w:t>2016.gadā emisijas no lauksaimniecības augsnēm veidoja lielāko daļu (59</w:t>
      </w:r>
      <w:r w:rsidR="005F7496" w:rsidRPr="008B628A">
        <w:rPr>
          <w:rFonts w:ascii="Times New Roman" w:hAnsi="Times New Roman" w:cs="Times New Roman"/>
          <w:szCs w:val="24"/>
        </w:rPr>
        <w:t>,</w:t>
      </w:r>
      <w:r w:rsidR="005F085F" w:rsidRPr="008B628A">
        <w:rPr>
          <w:rFonts w:ascii="Times New Roman" w:hAnsi="Times New Roman" w:cs="Times New Roman"/>
          <w:szCs w:val="24"/>
        </w:rPr>
        <w:t>5%) no sektora kopējām emisijām</w:t>
      </w:r>
      <w:r w:rsidR="00B35406" w:rsidRPr="008B628A">
        <w:rPr>
          <w:rFonts w:ascii="Times New Roman" w:hAnsi="Times New Roman" w:cs="Times New Roman"/>
          <w:szCs w:val="24"/>
        </w:rPr>
        <w:t xml:space="preserve">. </w:t>
      </w:r>
      <w:r w:rsidR="005F085F" w:rsidRPr="008B628A">
        <w:rPr>
          <w:rFonts w:ascii="Times New Roman" w:hAnsi="Times New Roman" w:cs="Times New Roman"/>
          <w:szCs w:val="24"/>
        </w:rPr>
        <w:t>2016.gadā kopējās lauksaimniecības emisijas ir samazinājušās par aptuveni 52</w:t>
      </w:r>
      <w:r w:rsidR="005F7496" w:rsidRPr="008B628A">
        <w:rPr>
          <w:rFonts w:ascii="Times New Roman" w:hAnsi="Times New Roman" w:cs="Times New Roman"/>
          <w:szCs w:val="24"/>
        </w:rPr>
        <w:t>,</w:t>
      </w:r>
      <w:r w:rsidR="005F085F" w:rsidRPr="008B628A">
        <w:rPr>
          <w:rFonts w:ascii="Times New Roman" w:hAnsi="Times New Roman" w:cs="Times New Roman"/>
          <w:szCs w:val="24"/>
        </w:rPr>
        <w:t>5%, salīdzinot ar 1990.gadu, galvenokārt tāpēc, ka ir samazinājies saražotās lauksaimniecības produkcijas apjoms, mājlopu skaits, kā arī ir samazinājušies kultūraugu ražošanas apjomi un minerālmēslojuma patēriņa apjomi. Kopš 2005.gada lauksaimniecības emisijas ir pieaugušas par 13</w:t>
      </w:r>
      <w:r w:rsidR="005F7496" w:rsidRPr="008B628A">
        <w:rPr>
          <w:rFonts w:ascii="Times New Roman" w:hAnsi="Times New Roman" w:cs="Times New Roman"/>
          <w:szCs w:val="24"/>
        </w:rPr>
        <w:t>,</w:t>
      </w:r>
      <w:r w:rsidR="005F085F" w:rsidRPr="008B628A">
        <w:rPr>
          <w:rFonts w:ascii="Times New Roman" w:hAnsi="Times New Roman" w:cs="Times New Roman"/>
          <w:szCs w:val="24"/>
        </w:rPr>
        <w:t>8% 2016.gadā. Emisiju pieaugumu šajā laika periodā sekmēja lauksaimnieciskās ražošanas rādītāju paaugstināšanās galvenokārt augkopības sektorā, palielinoties sējplatību un izmantoto minerālmēslu daudzumam.</w:t>
      </w:r>
    </w:p>
    <w:p w14:paraId="5105D5AB" w14:textId="61CD3092" w:rsidR="00E23B5E" w:rsidRPr="008B628A" w:rsidRDefault="00E23B5E"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SEG emisijas no atkritumu apsaimniekošanas veidoja 6.4% no kopējām SEG emisijām neskaitot ZIZIMM 2016. gadā. CH</w:t>
      </w:r>
      <w:r w:rsidRPr="008B628A">
        <w:rPr>
          <w:rFonts w:ascii="Times New Roman" w:hAnsi="Times New Roman" w:cs="Times New Roman"/>
          <w:szCs w:val="24"/>
          <w:vertAlign w:val="subscript"/>
        </w:rPr>
        <w:t>4</w:t>
      </w:r>
      <w:r w:rsidRPr="008B628A">
        <w:rPr>
          <w:rFonts w:ascii="Times New Roman" w:hAnsi="Times New Roman" w:cs="Times New Roman"/>
          <w:szCs w:val="24"/>
        </w:rPr>
        <w:t xml:space="preserve"> emisijas no </w:t>
      </w:r>
      <w:r w:rsidR="005F7496" w:rsidRPr="008B628A">
        <w:rPr>
          <w:rFonts w:ascii="Times New Roman" w:hAnsi="Times New Roman" w:cs="Times New Roman"/>
          <w:szCs w:val="24"/>
        </w:rPr>
        <w:t xml:space="preserve">sadzīves </w:t>
      </w:r>
      <w:r w:rsidRPr="008B628A">
        <w:rPr>
          <w:rFonts w:ascii="Times New Roman" w:hAnsi="Times New Roman" w:cs="Times New Roman"/>
          <w:szCs w:val="24"/>
        </w:rPr>
        <w:t xml:space="preserve">atkritumu apglabāšanas </w:t>
      </w:r>
      <w:r w:rsidR="00B35406" w:rsidRPr="008B628A">
        <w:rPr>
          <w:rFonts w:ascii="Times New Roman" w:hAnsi="Times New Roman" w:cs="Times New Roman"/>
          <w:szCs w:val="24"/>
        </w:rPr>
        <w:t>v</w:t>
      </w:r>
      <w:r w:rsidRPr="008B628A">
        <w:rPr>
          <w:rFonts w:ascii="Times New Roman" w:hAnsi="Times New Roman" w:cs="Times New Roman"/>
          <w:szCs w:val="24"/>
        </w:rPr>
        <w:t>eido nedaudz vairāk kā pusi (53</w:t>
      </w:r>
      <w:r w:rsidR="005F7496" w:rsidRPr="008B628A">
        <w:rPr>
          <w:rFonts w:ascii="Times New Roman" w:hAnsi="Times New Roman" w:cs="Times New Roman"/>
          <w:szCs w:val="24"/>
        </w:rPr>
        <w:t>,</w:t>
      </w:r>
      <w:r w:rsidRPr="008B628A">
        <w:rPr>
          <w:rFonts w:ascii="Times New Roman" w:hAnsi="Times New Roman" w:cs="Times New Roman"/>
          <w:szCs w:val="24"/>
        </w:rPr>
        <w:t>0%) no kopējām SEG emisijām atkritumu apsaimniekošanas sektorā.</w:t>
      </w:r>
      <w:r w:rsidR="00B35406" w:rsidRPr="008B628A">
        <w:rPr>
          <w:rFonts w:ascii="Times New Roman" w:hAnsi="Times New Roman" w:cs="Times New Roman"/>
          <w:szCs w:val="24"/>
        </w:rPr>
        <w:t xml:space="preserve"> </w:t>
      </w:r>
      <w:r w:rsidRPr="008B628A">
        <w:rPr>
          <w:rFonts w:ascii="Times New Roman" w:hAnsi="Times New Roman" w:cs="Times New Roman"/>
          <w:szCs w:val="24"/>
        </w:rPr>
        <w:t xml:space="preserve">SEG emisijas no atkritumu apsaimniekošanas sektora praktiski nemainās laika posmā no 1990. līdz 2016.gadam. 2016.gadā emisijas ir par 3.8% lielākas nekā 1990.gadā, savukārt, </w:t>
      </w:r>
      <w:r w:rsidR="00B35406" w:rsidRPr="008B628A">
        <w:rPr>
          <w:rFonts w:ascii="Times New Roman" w:hAnsi="Times New Roman" w:cs="Times New Roman"/>
          <w:szCs w:val="24"/>
        </w:rPr>
        <w:t>s</w:t>
      </w:r>
      <w:r w:rsidRPr="008B628A">
        <w:rPr>
          <w:rFonts w:ascii="Times New Roman" w:hAnsi="Times New Roman" w:cs="Times New Roman"/>
          <w:szCs w:val="24"/>
        </w:rPr>
        <w:t>alīdzinot ar 2005.gadu, 2016.gadā SEG emisijas no atkritumu apsaimniekošanas ir pieaugušas par 0</w:t>
      </w:r>
      <w:r w:rsidR="006D79AE" w:rsidRPr="008B628A">
        <w:rPr>
          <w:rFonts w:ascii="Times New Roman" w:hAnsi="Times New Roman" w:cs="Times New Roman"/>
          <w:szCs w:val="24"/>
        </w:rPr>
        <w:t>,</w:t>
      </w:r>
      <w:r w:rsidRPr="008B628A">
        <w:rPr>
          <w:rFonts w:ascii="Times New Roman" w:hAnsi="Times New Roman" w:cs="Times New Roman"/>
          <w:szCs w:val="24"/>
        </w:rPr>
        <w:t>6%.</w:t>
      </w:r>
      <w:r w:rsidR="005F085F" w:rsidRPr="008B628A">
        <w:rPr>
          <w:rFonts w:ascii="Times New Roman" w:hAnsi="Times New Roman" w:cs="Times New Roman"/>
          <w:szCs w:val="24"/>
        </w:rPr>
        <w:t xml:space="preserve"> </w:t>
      </w:r>
      <w:r w:rsidRPr="008B628A">
        <w:rPr>
          <w:rFonts w:ascii="Times New Roman" w:hAnsi="Times New Roman" w:cs="Times New Roman"/>
          <w:szCs w:val="24"/>
        </w:rPr>
        <w:t>Svārstības SEG emisijās no atkritumu apsaimniekošanas sektora ir veicinājušas izmaiņas valsts ekonomikā pēdējos 20 gados. Emisiju no kompostēšanas straujais pieaugums par 25</w:t>
      </w:r>
      <w:r w:rsidR="006D79AE" w:rsidRPr="008B628A">
        <w:rPr>
          <w:rFonts w:ascii="Times New Roman" w:hAnsi="Times New Roman" w:cs="Times New Roman"/>
          <w:szCs w:val="24"/>
        </w:rPr>
        <w:t>,</w:t>
      </w:r>
      <w:r w:rsidRPr="008B628A">
        <w:rPr>
          <w:rFonts w:ascii="Times New Roman" w:hAnsi="Times New Roman" w:cs="Times New Roman"/>
          <w:szCs w:val="24"/>
        </w:rPr>
        <w:t>6% 2016. gadā, salīdzinot ar iepriekšējiem gadiem, ir vērojams rūpniecisko komposta atkritumu daudzuma pieauguma dēļ, kā arī pateicoties tam, ka bioloģisko atkritumu šķirošana pirms atkritumu apglabāšanas notika daudz lielākā apjomā.</w:t>
      </w:r>
    </w:p>
    <w:p w14:paraId="4FDCE29B" w14:textId="1E6A6566" w:rsidR="00130BFD" w:rsidRPr="008B628A" w:rsidRDefault="00130BFD" w:rsidP="00863FD7">
      <w:pPr>
        <w:pStyle w:val="Heading4"/>
      </w:pPr>
      <w:bookmarkStart w:id="280" w:name="_Toc527529535"/>
      <w:r w:rsidRPr="008B628A">
        <w:t xml:space="preserve">Esošā situācija </w:t>
      </w:r>
      <w:r w:rsidRPr="008B628A">
        <w:rPr>
          <w:rStyle w:val="eop"/>
        </w:rPr>
        <w:t>ETS un ne-ETS darbību SEG emisiju samazināšanā</w:t>
      </w:r>
      <w:bookmarkEnd w:id="280"/>
    </w:p>
    <w:p w14:paraId="4FEDAC3E" w14:textId="5393B191" w:rsidR="00130BFD" w:rsidRPr="008B628A" w:rsidRDefault="00130BFD" w:rsidP="00130BF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Latvijas kopējā SEG emisiju apjomā 2016.gadā dominēja ne-ETS darbību SEG emisiju apjoms – 80,6 %. 2017. gada aptuvenais ne-ETS darbību SEG emisiju apjoma īpatsvars kopējā Latvijas SEG emisiju apjomā ir vēl lielāks – 81,8 %. Latvijas ETS operatoru radītais SEG emisiju apjoms 2016. gadā bija 2 197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bet 2017. gadā – 2 049,8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jeb attiecīgi 19,4 % vai 18,2 % no kopējā Latvijas SEG emisiju apjoma.</w:t>
      </w:r>
    </w:p>
    <w:p w14:paraId="6BD9AE8D" w14:textId="5D9143E2" w:rsidR="00F42BD4" w:rsidRPr="008B628A" w:rsidRDefault="00E16FF3" w:rsidP="00F42BD4">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6CD0D226" wp14:editId="27B4055E">
            <wp:extent cx="4636235" cy="2663243"/>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1588" cy="2677807"/>
                    </a:xfrm>
                    <a:prstGeom prst="rect">
                      <a:avLst/>
                    </a:prstGeom>
                    <a:noFill/>
                  </pic:spPr>
                </pic:pic>
              </a:graphicData>
            </a:graphic>
          </wp:inline>
        </w:drawing>
      </w:r>
    </w:p>
    <w:p w14:paraId="190A5208" w14:textId="739F9F39" w:rsidR="00F42BD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1" w:name="_Toc531333096"/>
      <w:r w:rsidR="006067D4">
        <w:rPr>
          <w:noProof/>
        </w:rPr>
        <w:t>15</w:t>
      </w:r>
      <w:r w:rsidRPr="008B628A">
        <w:rPr>
          <w:noProof/>
        </w:rPr>
        <w:fldChar w:fldCharType="end"/>
      </w:r>
      <w:r w:rsidR="00F42BD4" w:rsidRPr="008B628A">
        <w:t>.attēls. Latvijas ne-ETS darbību un ETS SEG emisiju tendence 2005.-201</w:t>
      </w:r>
      <w:r w:rsidR="00E16FF3" w:rsidRPr="008B628A">
        <w:t>7</w:t>
      </w:r>
      <w:r w:rsidR="00F42BD4" w:rsidRPr="008B628A">
        <w:t>.gadā (kt CO</w:t>
      </w:r>
      <w:r w:rsidR="00F42BD4" w:rsidRPr="008B628A">
        <w:rPr>
          <w:vertAlign w:val="subscript"/>
        </w:rPr>
        <w:t>2</w:t>
      </w:r>
      <w:r w:rsidR="00F42BD4" w:rsidRPr="008B628A">
        <w:t xml:space="preserve"> ekv.)</w:t>
      </w:r>
      <w:bookmarkEnd w:id="281"/>
    </w:p>
    <w:p w14:paraId="1007B42B" w14:textId="04DB095F" w:rsidR="00130BFD" w:rsidRPr="008B628A" w:rsidRDefault="00F42BD4" w:rsidP="00130BF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Ne-ETS darbību SEG emisiju dinamika liecina par emisiju palielinājumu – 5,9 % palielinājums 2005.-2016. gadā un 7,2 % palielinājums 2005.-2017. gadā. Latvija kopumā līdz 2017. gadam ir iekļāvusies Latvijai ar Saistību pārdales lēmumu noteiktajos ne-ETS darbību ikgadējos mērķos.</w:t>
      </w:r>
      <w:r w:rsidR="00130BFD" w:rsidRPr="008B628A">
        <w:rPr>
          <w:rFonts w:ascii="Times New Roman" w:hAnsi="Times New Roman" w:cs="Times New Roman"/>
          <w:szCs w:val="24"/>
        </w:rPr>
        <w:t xml:space="preserve"> Salīdzinot ar 2005. gadu Latvijas ETS operatori līdz 2016. gadam bija samazinājuši savas SEG emisijas par 23 % un līdz 2017. gadam – par 28,2 %, būtiski pārsniedzot VPP2020  Latvijas nacionālo ETS emisiju samazināšanas mērķi 2020.gadam.</w:t>
      </w:r>
    </w:p>
    <w:p w14:paraId="069060AE" w14:textId="3B441AB3" w:rsidR="00F42BD4" w:rsidRPr="008B628A" w:rsidRDefault="009D4376" w:rsidP="00CD366E">
      <w:pPr>
        <w:pStyle w:val="Caption"/>
      </w:pPr>
      <w:r w:rsidRPr="008B628A">
        <w:rPr>
          <w:szCs w:val="24"/>
        </w:rPr>
        <w:fldChar w:fldCharType="begin"/>
      </w:r>
      <w:r w:rsidRPr="008B628A">
        <w:rPr>
          <w:szCs w:val="24"/>
        </w:rPr>
        <w:instrText xml:space="preserve"> SEQ Tabula \* ARABIC </w:instrText>
      </w:r>
      <w:r w:rsidRPr="008B628A">
        <w:rPr>
          <w:szCs w:val="24"/>
        </w:rPr>
        <w:fldChar w:fldCharType="separate"/>
      </w:r>
      <w:bookmarkStart w:id="282" w:name="_Toc531333154"/>
      <w:r w:rsidR="006067D4">
        <w:rPr>
          <w:noProof/>
          <w:szCs w:val="24"/>
        </w:rPr>
        <w:t>12</w:t>
      </w:r>
      <w:r w:rsidRPr="008B628A">
        <w:rPr>
          <w:szCs w:val="24"/>
        </w:rPr>
        <w:fldChar w:fldCharType="end"/>
      </w:r>
      <w:r w:rsidRPr="008B628A">
        <w:t>.tabula.</w:t>
      </w:r>
      <w:r w:rsidR="00F42FEF" w:rsidRPr="008B628A">
        <w:t xml:space="preserve"> Latvijas ne-ETS darbību SEG emisiju apjoma īpatsvars un izmaiņas 2016.gadā (%)</w:t>
      </w:r>
      <w:bookmarkEnd w:id="282"/>
    </w:p>
    <w:tbl>
      <w:tblPr>
        <w:tblW w:w="9639" w:type="dxa"/>
        <w:tblInd w:w="-10" w:type="dxa"/>
        <w:tblLook w:val="04A0" w:firstRow="1" w:lastRow="0" w:firstColumn="1" w:lastColumn="0" w:noHBand="0" w:noVBand="1"/>
      </w:tblPr>
      <w:tblGrid>
        <w:gridCol w:w="3119"/>
        <w:gridCol w:w="1701"/>
        <w:gridCol w:w="2268"/>
        <w:gridCol w:w="1276"/>
        <w:gridCol w:w="1275"/>
      </w:tblGrid>
      <w:tr w:rsidR="00F14945" w:rsidRPr="008B628A" w14:paraId="3F2FDBB4" w14:textId="77777777" w:rsidTr="00F14945">
        <w:trPr>
          <w:trHeight w:val="334"/>
          <w:tblHeader/>
        </w:trPr>
        <w:tc>
          <w:tcPr>
            <w:tcW w:w="3119" w:type="dxa"/>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D1520C3" w14:textId="2C677A21"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 </w:t>
            </w:r>
          </w:p>
        </w:tc>
        <w:tc>
          <w:tcPr>
            <w:tcW w:w="3969"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6712D76" w14:textId="7B7F2889"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Īpatsvars (%)</w:t>
            </w:r>
          </w:p>
        </w:tc>
        <w:tc>
          <w:tcPr>
            <w:tcW w:w="2551"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C6AFB19" w14:textId="235BF364"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izmaiņas</w:t>
            </w:r>
          </w:p>
        </w:tc>
      </w:tr>
      <w:tr w:rsidR="00F14945" w:rsidRPr="008B628A" w14:paraId="4D8A0B99" w14:textId="1E4C3F99" w:rsidTr="00F14945">
        <w:trPr>
          <w:trHeight w:val="645"/>
          <w:tblHeader/>
        </w:trPr>
        <w:tc>
          <w:tcPr>
            <w:tcW w:w="3119" w:type="dxa"/>
            <w:vMerge/>
            <w:tcBorders>
              <w:left w:val="single" w:sz="8" w:space="0" w:color="auto"/>
              <w:bottom w:val="single" w:sz="4" w:space="0" w:color="auto"/>
              <w:right w:val="single" w:sz="4" w:space="0" w:color="auto"/>
            </w:tcBorders>
            <w:shd w:val="clear" w:color="auto" w:fill="D9D9D9" w:themeFill="background1" w:themeFillShade="D9"/>
            <w:vAlign w:val="center"/>
            <w:hideMark/>
          </w:tcPr>
          <w:p w14:paraId="46307F22" w14:textId="07824A42"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p>
        </w:tc>
        <w:tc>
          <w:tcPr>
            <w:tcW w:w="1701"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7CE8CD3D" w14:textId="5C51BCA4"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Kopējā SEG emisiju apjomā</w:t>
            </w:r>
          </w:p>
        </w:tc>
        <w:tc>
          <w:tcPr>
            <w:tcW w:w="2268"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A16AA2E" w14:textId="46F2BA95"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Ne-ETS darbību SEG emisiju apjomā</w:t>
            </w:r>
          </w:p>
        </w:tc>
        <w:tc>
          <w:tcPr>
            <w:tcW w:w="127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F28BFEA" w14:textId="199507E4"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bCs/>
                <w:sz w:val="22"/>
              </w:rPr>
              <w:t>2005.-2016.</w:t>
            </w:r>
          </w:p>
        </w:tc>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6E3093A4" w14:textId="4CD9B049"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bCs/>
                <w:sz w:val="22"/>
              </w:rPr>
              <w:t>2015.-2016.</w:t>
            </w:r>
          </w:p>
        </w:tc>
      </w:tr>
      <w:tr w:rsidR="00F42FEF" w:rsidRPr="008B628A" w14:paraId="4A3E6B57" w14:textId="589CEA38"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43EBDB07"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ETS sektors</w:t>
            </w:r>
          </w:p>
        </w:tc>
        <w:tc>
          <w:tcPr>
            <w:tcW w:w="1701" w:type="dxa"/>
            <w:tcBorders>
              <w:top w:val="nil"/>
              <w:left w:val="single" w:sz="8" w:space="0" w:color="auto"/>
              <w:bottom w:val="single" w:sz="4" w:space="0" w:color="auto"/>
              <w:right w:val="single" w:sz="8" w:space="0" w:color="auto"/>
            </w:tcBorders>
            <w:shd w:val="clear" w:color="auto" w:fill="auto"/>
            <w:vAlign w:val="center"/>
          </w:tcPr>
          <w:p w14:paraId="56353EF0" w14:textId="624DB136"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19,43</w:t>
            </w:r>
          </w:p>
        </w:tc>
        <w:tc>
          <w:tcPr>
            <w:tcW w:w="2268" w:type="dxa"/>
            <w:tcBorders>
              <w:top w:val="nil"/>
              <w:left w:val="single" w:sz="8" w:space="0" w:color="auto"/>
              <w:bottom w:val="single" w:sz="4" w:space="0" w:color="auto"/>
              <w:right w:val="single" w:sz="4" w:space="0" w:color="auto"/>
            </w:tcBorders>
            <w:shd w:val="clear" w:color="auto" w:fill="auto"/>
            <w:vAlign w:val="center"/>
          </w:tcPr>
          <w:p w14:paraId="53BC5CDF" w14:textId="4A1D6511" w:rsidR="00F42FEF"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w:t>
            </w:r>
          </w:p>
        </w:tc>
        <w:tc>
          <w:tcPr>
            <w:tcW w:w="1276" w:type="dxa"/>
            <w:tcBorders>
              <w:top w:val="nil"/>
              <w:left w:val="single" w:sz="8" w:space="0" w:color="auto"/>
              <w:bottom w:val="single" w:sz="4" w:space="0" w:color="auto"/>
              <w:right w:val="single" w:sz="4" w:space="0" w:color="auto"/>
            </w:tcBorders>
            <w:shd w:val="clear" w:color="auto" w:fill="auto"/>
            <w:vAlign w:val="center"/>
          </w:tcPr>
          <w:p w14:paraId="5397A36B" w14:textId="15225331"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-23,03</w:t>
            </w:r>
          </w:p>
        </w:tc>
        <w:tc>
          <w:tcPr>
            <w:tcW w:w="1275" w:type="dxa"/>
            <w:tcBorders>
              <w:top w:val="nil"/>
              <w:left w:val="single" w:sz="8" w:space="0" w:color="auto"/>
              <w:bottom w:val="single" w:sz="4" w:space="0" w:color="auto"/>
              <w:right w:val="single" w:sz="4" w:space="0" w:color="auto"/>
            </w:tcBorders>
            <w:shd w:val="clear" w:color="auto" w:fill="auto"/>
            <w:vAlign w:val="center"/>
          </w:tcPr>
          <w:p w14:paraId="16D25910" w14:textId="3BAD5C8F"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-5,0%</w:t>
            </w:r>
          </w:p>
        </w:tc>
      </w:tr>
      <w:tr w:rsidR="00F14945" w:rsidRPr="008B628A" w14:paraId="02CAA379" w14:textId="1EAF71D0"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57A8D39A" w14:textId="77777777" w:rsidR="00F14945" w:rsidRPr="008B628A" w:rsidRDefault="00F14945"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4BA24FD7" w14:textId="35AEF126" w:rsidR="00F14945" w:rsidRPr="008B628A" w:rsidRDefault="00F14945"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16,15</w:t>
            </w:r>
          </w:p>
        </w:tc>
        <w:tc>
          <w:tcPr>
            <w:tcW w:w="2268" w:type="dxa"/>
            <w:tcBorders>
              <w:top w:val="nil"/>
              <w:left w:val="single" w:sz="8" w:space="0" w:color="auto"/>
              <w:bottom w:val="single" w:sz="4" w:space="0" w:color="auto"/>
              <w:right w:val="single" w:sz="4" w:space="0" w:color="auto"/>
            </w:tcBorders>
            <w:shd w:val="clear" w:color="auto" w:fill="auto"/>
            <w:vAlign w:val="center"/>
          </w:tcPr>
          <w:p w14:paraId="2CDDD6A1" w14:textId="776B4A8B"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w:t>
            </w:r>
          </w:p>
        </w:tc>
        <w:tc>
          <w:tcPr>
            <w:tcW w:w="1276" w:type="dxa"/>
            <w:tcBorders>
              <w:top w:val="nil"/>
              <w:left w:val="single" w:sz="8" w:space="0" w:color="auto"/>
              <w:bottom w:val="single" w:sz="4" w:space="0" w:color="auto"/>
              <w:right w:val="single" w:sz="4" w:space="0" w:color="auto"/>
            </w:tcBorders>
            <w:shd w:val="clear" w:color="auto" w:fill="auto"/>
            <w:vAlign w:val="center"/>
          </w:tcPr>
          <w:p w14:paraId="73A6099C" w14:textId="60DE3978"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-30,48</w:t>
            </w:r>
          </w:p>
        </w:tc>
        <w:tc>
          <w:tcPr>
            <w:tcW w:w="1275" w:type="dxa"/>
            <w:tcBorders>
              <w:top w:val="nil"/>
              <w:left w:val="single" w:sz="8" w:space="0" w:color="auto"/>
              <w:bottom w:val="single" w:sz="4" w:space="0" w:color="auto"/>
              <w:right w:val="single" w:sz="4" w:space="0" w:color="auto"/>
            </w:tcBorders>
            <w:shd w:val="clear" w:color="auto" w:fill="auto"/>
            <w:vAlign w:val="center"/>
          </w:tcPr>
          <w:p w14:paraId="4BADF87A" w14:textId="0AC76BD3"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0,72</w:t>
            </w:r>
          </w:p>
        </w:tc>
      </w:tr>
      <w:tr w:rsidR="00F14945" w:rsidRPr="008B628A" w14:paraId="739BD642" w14:textId="6C2237D6" w:rsidTr="00F14945">
        <w:trPr>
          <w:trHeight w:val="315"/>
        </w:trPr>
        <w:tc>
          <w:tcPr>
            <w:tcW w:w="3119" w:type="dxa"/>
            <w:tcBorders>
              <w:top w:val="nil"/>
              <w:left w:val="single" w:sz="8" w:space="0" w:color="auto"/>
              <w:bottom w:val="single" w:sz="8" w:space="0" w:color="auto"/>
              <w:right w:val="single" w:sz="4" w:space="0" w:color="auto"/>
            </w:tcBorders>
            <w:shd w:val="clear" w:color="auto" w:fill="auto"/>
            <w:vAlign w:val="center"/>
            <w:hideMark/>
          </w:tcPr>
          <w:p w14:paraId="32EE1B58" w14:textId="77777777" w:rsidR="00F14945" w:rsidRPr="008B628A" w:rsidRDefault="00F14945"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ETS rūpnieciskie procesi</w:t>
            </w:r>
          </w:p>
        </w:tc>
        <w:tc>
          <w:tcPr>
            <w:tcW w:w="1701" w:type="dxa"/>
            <w:tcBorders>
              <w:top w:val="nil"/>
              <w:left w:val="single" w:sz="8" w:space="0" w:color="auto"/>
              <w:bottom w:val="single" w:sz="8" w:space="0" w:color="auto"/>
              <w:right w:val="single" w:sz="8" w:space="0" w:color="auto"/>
            </w:tcBorders>
            <w:shd w:val="clear" w:color="auto" w:fill="auto"/>
            <w:vAlign w:val="center"/>
          </w:tcPr>
          <w:p w14:paraId="1DD27715" w14:textId="4F78BBDA" w:rsidR="00F14945" w:rsidRPr="008B628A" w:rsidRDefault="00F14945"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3,28</w:t>
            </w:r>
          </w:p>
        </w:tc>
        <w:tc>
          <w:tcPr>
            <w:tcW w:w="2268" w:type="dxa"/>
            <w:tcBorders>
              <w:top w:val="nil"/>
              <w:left w:val="single" w:sz="8" w:space="0" w:color="auto"/>
              <w:bottom w:val="single" w:sz="8" w:space="0" w:color="auto"/>
              <w:right w:val="single" w:sz="4" w:space="0" w:color="auto"/>
            </w:tcBorders>
            <w:shd w:val="clear" w:color="auto" w:fill="auto"/>
            <w:vAlign w:val="center"/>
          </w:tcPr>
          <w:p w14:paraId="2E2F142E" w14:textId="6A17A025"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w:t>
            </w:r>
          </w:p>
        </w:tc>
        <w:tc>
          <w:tcPr>
            <w:tcW w:w="1276" w:type="dxa"/>
            <w:tcBorders>
              <w:top w:val="nil"/>
              <w:left w:val="single" w:sz="8" w:space="0" w:color="auto"/>
              <w:bottom w:val="single" w:sz="8" w:space="0" w:color="auto"/>
              <w:right w:val="single" w:sz="4" w:space="0" w:color="auto"/>
            </w:tcBorders>
            <w:shd w:val="clear" w:color="auto" w:fill="auto"/>
            <w:vAlign w:val="center"/>
          </w:tcPr>
          <w:p w14:paraId="7559E31F" w14:textId="2FC92720"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62,99</w:t>
            </w:r>
          </w:p>
        </w:tc>
        <w:tc>
          <w:tcPr>
            <w:tcW w:w="1275" w:type="dxa"/>
            <w:tcBorders>
              <w:top w:val="nil"/>
              <w:left w:val="single" w:sz="8" w:space="0" w:color="auto"/>
              <w:bottom w:val="single" w:sz="8" w:space="0" w:color="auto"/>
              <w:right w:val="single" w:sz="4" w:space="0" w:color="auto"/>
            </w:tcBorders>
            <w:shd w:val="clear" w:color="auto" w:fill="auto"/>
            <w:vAlign w:val="center"/>
          </w:tcPr>
          <w:p w14:paraId="77C4EC93" w14:textId="1F802B10"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-25,76</w:t>
            </w:r>
          </w:p>
        </w:tc>
      </w:tr>
      <w:tr w:rsidR="00F42FEF" w:rsidRPr="008B628A" w14:paraId="762FDAF6" w14:textId="77777777"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tcPr>
          <w:p w14:paraId="679C94D1" w14:textId="746FA4AC"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darbības</w:t>
            </w:r>
          </w:p>
        </w:tc>
        <w:tc>
          <w:tcPr>
            <w:tcW w:w="1701" w:type="dxa"/>
            <w:tcBorders>
              <w:top w:val="nil"/>
              <w:left w:val="single" w:sz="8" w:space="0" w:color="auto"/>
              <w:bottom w:val="single" w:sz="4" w:space="0" w:color="auto"/>
              <w:right w:val="single" w:sz="8" w:space="0" w:color="auto"/>
            </w:tcBorders>
            <w:shd w:val="clear" w:color="auto" w:fill="auto"/>
            <w:vAlign w:val="center"/>
          </w:tcPr>
          <w:p w14:paraId="7D06106E" w14:textId="4B38903B"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80,57</w:t>
            </w:r>
          </w:p>
        </w:tc>
        <w:tc>
          <w:tcPr>
            <w:tcW w:w="2268" w:type="dxa"/>
            <w:tcBorders>
              <w:top w:val="nil"/>
              <w:left w:val="single" w:sz="8" w:space="0" w:color="auto"/>
              <w:bottom w:val="single" w:sz="4" w:space="0" w:color="auto"/>
              <w:right w:val="single" w:sz="4" w:space="0" w:color="auto"/>
            </w:tcBorders>
            <w:shd w:val="clear" w:color="auto" w:fill="auto"/>
            <w:vAlign w:val="center"/>
          </w:tcPr>
          <w:p w14:paraId="6CB14B7D" w14:textId="02CEA4D9"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81,82</w:t>
            </w:r>
          </w:p>
        </w:tc>
        <w:tc>
          <w:tcPr>
            <w:tcW w:w="1276" w:type="dxa"/>
            <w:tcBorders>
              <w:top w:val="nil"/>
              <w:left w:val="single" w:sz="8" w:space="0" w:color="auto"/>
              <w:bottom w:val="single" w:sz="4" w:space="0" w:color="auto"/>
              <w:right w:val="single" w:sz="4" w:space="0" w:color="auto"/>
            </w:tcBorders>
            <w:shd w:val="clear" w:color="auto" w:fill="auto"/>
            <w:vAlign w:val="center"/>
          </w:tcPr>
          <w:p w14:paraId="572662A6" w14:textId="6D80B3A8"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5,89</w:t>
            </w:r>
          </w:p>
        </w:tc>
        <w:tc>
          <w:tcPr>
            <w:tcW w:w="1275" w:type="dxa"/>
            <w:tcBorders>
              <w:top w:val="nil"/>
              <w:left w:val="single" w:sz="8" w:space="0" w:color="auto"/>
              <w:bottom w:val="single" w:sz="4" w:space="0" w:color="auto"/>
              <w:right w:val="single" w:sz="4" w:space="0" w:color="auto"/>
            </w:tcBorders>
            <w:shd w:val="clear" w:color="auto" w:fill="auto"/>
            <w:vAlign w:val="center"/>
          </w:tcPr>
          <w:p w14:paraId="76A36A3F" w14:textId="11A8D89E"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0,97</w:t>
            </w:r>
          </w:p>
        </w:tc>
      </w:tr>
      <w:tr w:rsidR="00F42FEF" w:rsidRPr="008B628A" w14:paraId="55CC027D" w14:textId="58B4A987"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3C77AA46"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500EAEF7" w14:textId="68FEB3A6"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48,03</w:t>
            </w:r>
          </w:p>
        </w:tc>
        <w:tc>
          <w:tcPr>
            <w:tcW w:w="2268" w:type="dxa"/>
            <w:tcBorders>
              <w:top w:val="nil"/>
              <w:left w:val="single" w:sz="8" w:space="0" w:color="auto"/>
              <w:bottom w:val="single" w:sz="4" w:space="0" w:color="auto"/>
              <w:right w:val="single" w:sz="4" w:space="0" w:color="auto"/>
            </w:tcBorders>
            <w:shd w:val="clear" w:color="auto" w:fill="auto"/>
            <w:vAlign w:val="center"/>
          </w:tcPr>
          <w:p w14:paraId="5E5B0854" w14:textId="4C15E536"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59,61</w:t>
            </w:r>
          </w:p>
        </w:tc>
        <w:tc>
          <w:tcPr>
            <w:tcW w:w="1276" w:type="dxa"/>
            <w:tcBorders>
              <w:top w:val="nil"/>
              <w:left w:val="single" w:sz="8" w:space="0" w:color="auto"/>
              <w:bottom w:val="single" w:sz="4" w:space="0" w:color="auto"/>
              <w:right w:val="single" w:sz="4" w:space="0" w:color="auto"/>
            </w:tcBorders>
            <w:shd w:val="clear" w:color="auto" w:fill="auto"/>
            <w:vAlign w:val="center"/>
          </w:tcPr>
          <w:p w14:paraId="6A108B7E" w14:textId="2CA6AF16"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-0,19</w:t>
            </w:r>
          </w:p>
        </w:tc>
        <w:tc>
          <w:tcPr>
            <w:tcW w:w="1275" w:type="dxa"/>
            <w:tcBorders>
              <w:top w:val="nil"/>
              <w:left w:val="single" w:sz="8" w:space="0" w:color="auto"/>
              <w:bottom w:val="single" w:sz="4" w:space="0" w:color="auto"/>
              <w:right w:val="single" w:sz="4" w:space="0" w:color="auto"/>
            </w:tcBorders>
            <w:shd w:val="clear" w:color="auto" w:fill="auto"/>
            <w:vAlign w:val="center"/>
          </w:tcPr>
          <w:p w14:paraId="25D89010" w14:textId="1E17FBA5"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0,84</w:t>
            </w:r>
          </w:p>
        </w:tc>
      </w:tr>
      <w:tr w:rsidR="00F42FEF" w:rsidRPr="008B628A" w14:paraId="2199964A" w14:textId="001B7E7F"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0E88650F" w14:textId="77777777" w:rsidR="00F42FEF" w:rsidRPr="008B628A" w:rsidRDefault="00F42FEF" w:rsidP="00F14945">
            <w:pPr>
              <w:spacing w:after="0" w:line="240" w:lineRule="auto"/>
              <w:ind w:firstLine="179"/>
              <w:rPr>
                <w:rFonts w:ascii="Times New Roman" w:eastAsia="Times New Roman" w:hAnsi="Times New Roman" w:cs="Times New Roman"/>
                <w:bCs/>
                <w:sz w:val="22"/>
                <w:lang w:eastAsia="lv-LV"/>
              </w:rPr>
            </w:pPr>
            <w:r w:rsidRPr="008B628A">
              <w:rPr>
                <w:rFonts w:ascii="Times New Roman" w:eastAsia="Times New Roman" w:hAnsi="Times New Roman" w:cs="Times New Roman"/>
                <w:bCs/>
                <w:sz w:val="22"/>
                <w:lang w:eastAsia="lv-LV"/>
              </w:rPr>
              <w:t>transports</w:t>
            </w:r>
          </w:p>
        </w:tc>
        <w:tc>
          <w:tcPr>
            <w:tcW w:w="1701" w:type="dxa"/>
            <w:tcBorders>
              <w:top w:val="nil"/>
              <w:left w:val="single" w:sz="8" w:space="0" w:color="auto"/>
              <w:bottom w:val="single" w:sz="4" w:space="0" w:color="auto"/>
              <w:right w:val="single" w:sz="8" w:space="0" w:color="auto"/>
            </w:tcBorders>
            <w:shd w:val="clear" w:color="auto" w:fill="auto"/>
            <w:vAlign w:val="center"/>
          </w:tcPr>
          <w:p w14:paraId="7F75A8E7" w14:textId="0E3EDE72"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28,39</w:t>
            </w:r>
          </w:p>
        </w:tc>
        <w:tc>
          <w:tcPr>
            <w:tcW w:w="2268" w:type="dxa"/>
            <w:tcBorders>
              <w:top w:val="nil"/>
              <w:left w:val="single" w:sz="8" w:space="0" w:color="auto"/>
              <w:bottom w:val="single" w:sz="4" w:space="0" w:color="auto"/>
              <w:right w:val="single" w:sz="4" w:space="0" w:color="auto"/>
            </w:tcBorders>
            <w:shd w:val="clear" w:color="auto" w:fill="auto"/>
            <w:vAlign w:val="center"/>
          </w:tcPr>
          <w:p w14:paraId="5FDDAF09" w14:textId="50966A9B"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35,24</w:t>
            </w:r>
          </w:p>
        </w:tc>
        <w:tc>
          <w:tcPr>
            <w:tcW w:w="1276" w:type="dxa"/>
            <w:tcBorders>
              <w:top w:val="nil"/>
              <w:left w:val="single" w:sz="8" w:space="0" w:color="auto"/>
              <w:bottom w:val="single" w:sz="4" w:space="0" w:color="auto"/>
              <w:right w:val="single" w:sz="4" w:space="0" w:color="auto"/>
            </w:tcBorders>
            <w:shd w:val="clear" w:color="auto" w:fill="auto"/>
            <w:vAlign w:val="center"/>
          </w:tcPr>
          <w:p w14:paraId="61CC5F62" w14:textId="050AB00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2,61</w:t>
            </w:r>
          </w:p>
        </w:tc>
        <w:tc>
          <w:tcPr>
            <w:tcW w:w="1275" w:type="dxa"/>
            <w:tcBorders>
              <w:top w:val="nil"/>
              <w:left w:val="single" w:sz="8" w:space="0" w:color="auto"/>
              <w:bottom w:val="single" w:sz="4" w:space="0" w:color="auto"/>
              <w:right w:val="single" w:sz="4" w:space="0" w:color="auto"/>
            </w:tcBorders>
            <w:shd w:val="clear" w:color="auto" w:fill="auto"/>
            <w:vAlign w:val="center"/>
          </w:tcPr>
          <w:p w14:paraId="39D088F5" w14:textId="191D98D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-0,49</w:t>
            </w:r>
          </w:p>
        </w:tc>
      </w:tr>
      <w:tr w:rsidR="00F42FEF" w:rsidRPr="008B628A" w14:paraId="2E3FF2DB" w14:textId="1022E90A"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1C27644F" w14:textId="77777777" w:rsidR="00F42FEF" w:rsidRPr="008B628A" w:rsidRDefault="00F42FEF"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mājsaimniecības</w:t>
            </w:r>
          </w:p>
        </w:tc>
        <w:tc>
          <w:tcPr>
            <w:tcW w:w="1701" w:type="dxa"/>
            <w:tcBorders>
              <w:top w:val="nil"/>
              <w:left w:val="single" w:sz="8" w:space="0" w:color="auto"/>
              <w:bottom w:val="single" w:sz="4" w:space="0" w:color="auto"/>
              <w:right w:val="single" w:sz="8" w:space="0" w:color="auto"/>
            </w:tcBorders>
            <w:shd w:val="clear" w:color="auto" w:fill="auto"/>
            <w:vAlign w:val="center"/>
          </w:tcPr>
          <w:p w14:paraId="0D62D6F3" w14:textId="1AD93F2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4,84</w:t>
            </w:r>
          </w:p>
        </w:tc>
        <w:tc>
          <w:tcPr>
            <w:tcW w:w="2268" w:type="dxa"/>
            <w:tcBorders>
              <w:top w:val="nil"/>
              <w:left w:val="single" w:sz="8" w:space="0" w:color="auto"/>
              <w:bottom w:val="single" w:sz="4" w:space="0" w:color="auto"/>
              <w:right w:val="single" w:sz="4" w:space="0" w:color="auto"/>
            </w:tcBorders>
            <w:shd w:val="clear" w:color="auto" w:fill="auto"/>
            <w:vAlign w:val="center"/>
          </w:tcPr>
          <w:p w14:paraId="23DCCE1E" w14:textId="3ABA7EE4"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6,01</w:t>
            </w:r>
          </w:p>
        </w:tc>
        <w:tc>
          <w:tcPr>
            <w:tcW w:w="1276" w:type="dxa"/>
            <w:tcBorders>
              <w:top w:val="nil"/>
              <w:left w:val="single" w:sz="8" w:space="0" w:color="auto"/>
              <w:bottom w:val="single" w:sz="4" w:space="0" w:color="auto"/>
              <w:right w:val="single" w:sz="4" w:space="0" w:color="auto"/>
            </w:tcBorders>
            <w:shd w:val="clear" w:color="auto" w:fill="auto"/>
            <w:vAlign w:val="center"/>
          </w:tcPr>
          <w:p w14:paraId="1710FC99" w14:textId="060F0EDA" w:rsidR="00F42FEF" w:rsidRPr="008B628A" w:rsidRDefault="00F42FEF"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-7,26</w:t>
            </w:r>
          </w:p>
        </w:tc>
        <w:tc>
          <w:tcPr>
            <w:tcW w:w="1275" w:type="dxa"/>
            <w:tcBorders>
              <w:top w:val="nil"/>
              <w:left w:val="single" w:sz="8" w:space="0" w:color="auto"/>
              <w:bottom w:val="single" w:sz="4" w:space="0" w:color="auto"/>
              <w:right w:val="single" w:sz="4" w:space="0" w:color="auto"/>
            </w:tcBorders>
            <w:shd w:val="clear" w:color="auto" w:fill="auto"/>
            <w:vAlign w:val="center"/>
          </w:tcPr>
          <w:p w14:paraId="2652D1D1" w14:textId="08308123" w:rsidR="00F42FEF" w:rsidRPr="008B628A" w:rsidRDefault="00F42FEF"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6,75</w:t>
            </w:r>
          </w:p>
        </w:tc>
      </w:tr>
      <w:tr w:rsidR="00F97F9D" w:rsidRPr="008B628A" w14:paraId="557E6107" w14:textId="524806B5"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66549253" w14:textId="6DD3054B" w:rsidR="00F97F9D" w:rsidRPr="008B628A" w:rsidRDefault="00F97F9D" w:rsidP="00F97F9D">
            <w:pPr>
              <w:spacing w:after="0" w:line="240" w:lineRule="auto"/>
              <w:ind w:firstLine="179"/>
              <w:rPr>
                <w:rFonts w:ascii="Times New Roman" w:eastAsia="Times New Roman" w:hAnsi="Times New Roman" w:cs="Times New Roman"/>
                <w:bCs/>
                <w:sz w:val="22"/>
                <w:lang w:eastAsia="lv-LV"/>
              </w:rPr>
            </w:pPr>
            <w:r w:rsidRPr="008B628A">
              <w:rPr>
                <w:rFonts w:ascii="Times New Roman" w:eastAsia="Times New Roman" w:hAnsi="Times New Roman" w:cs="Times New Roman"/>
                <w:sz w:val="22"/>
                <w:lang w:eastAsia="lv-LV"/>
              </w:rPr>
              <w:t>cita</w:t>
            </w:r>
            <w:r w:rsidRPr="008B628A">
              <w:rPr>
                <w:rFonts w:ascii="Times New Roman" w:eastAsia="Times New Roman" w:hAnsi="Times New Roman" w:cs="Times New Roman"/>
                <w:bCs/>
                <w:sz w:val="22"/>
                <w:lang w:eastAsia="lv-LV"/>
              </w:rPr>
              <w:t xml:space="preserve"> ne-ETS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606A4C4E" w14:textId="537F10FF" w:rsidR="00F97F9D" w:rsidRPr="008B628A" w:rsidRDefault="00F97F9D" w:rsidP="00F97F9D">
            <w:pPr>
              <w:spacing w:after="0" w:line="240" w:lineRule="auto"/>
              <w:jc w:val="center"/>
              <w:rPr>
                <w:rFonts w:ascii="Times New Roman" w:hAnsi="Times New Roman" w:cs="Times New Roman"/>
                <w:sz w:val="22"/>
              </w:rPr>
            </w:pPr>
            <w:r w:rsidRPr="008B628A">
              <w:rPr>
                <w:rFonts w:ascii="Times New Roman" w:hAnsi="Times New Roman" w:cs="Times New Roman"/>
                <w:sz w:val="22"/>
              </w:rPr>
              <w:t>14.80</w:t>
            </w:r>
          </w:p>
        </w:tc>
        <w:tc>
          <w:tcPr>
            <w:tcW w:w="2268" w:type="dxa"/>
            <w:tcBorders>
              <w:top w:val="nil"/>
              <w:left w:val="single" w:sz="8" w:space="0" w:color="auto"/>
              <w:bottom w:val="single" w:sz="4" w:space="0" w:color="auto"/>
              <w:right w:val="single" w:sz="4" w:space="0" w:color="auto"/>
            </w:tcBorders>
            <w:shd w:val="clear" w:color="auto" w:fill="auto"/>
            <w:vAlign w:val="center"/>
          </w:tcPr>
          <w:p w14:paraId="68FE4977" w14:textId="4CBBDF20" w:rsidR="00F97F9D" w:rsidRPr="008B628A" w:rsidRDefault="00F97F9D" w:rsidP="00F97F9D">
            <w:pPr>
              <w:spacing w:after="0" w:line="240" w:lineRule="auto"/>
              <w:jc w:val="center"/>
              <w:rPr>
                <w:rFonts w:ascii="Times New Roman" w:hAnsi="Times New Roman" w:cs="Times New Roman"/>
                <w:sz w:val="22"/>
              </w:rPr>
            </w:pPr>
            <w:r w:rsidRPr="008B628A">
              <w:rPr>
                <w:rFonts w:ascii="Times New Roman" w:hAnsi="Times New Roman" w:cs="Times New Roman"/>
                <w:sz w:val="22"/>
              </w:rPr>
              <w:t>18,37</w:t>
            </w:r>
          </w:p>
        </w:tc>
        <w:tc>
          <w:tcPr>
            <w:tcW w:w="1276" w:type="dxa"/>
            <w:tcBorders>
              <w:top w:val="nil"/>
              <w:left w:val="single" w:sz="8" w:space="0" w:color="auto"/>
              <w:bottom w:val="single" w:sz="4" w:space="0" w:color="auto"/>
              <w:right w:val="single" w:sz="4" w:space="0" w:color="auto"/>
            </w:tcBorders>
            <w:shd w:val="clear" w:color="auto" w:fill="auto"/>
            <w:vAlign w:val="center"/>
          </w:tcPr>
          <w:p w14:paraId="6A9BF1E1" w14:textId="5E6BBC52" w:rsidR="00F97F9D" w:rsidRPr="008B628A" w:rsidRDefault="00F97F9D" w:rsidP="00F97F9D">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-2,60</w:t>
            </w:r>
          </w:p>
        </w:tc>
        <w:tc>
          <w:tcPr>
            <w:tcW w:w="1275" w:type="dxa"/>
            <w:tcBorders>
              <w:top w:val="nil"/>
              <w:left w:val="single" w:sz="8" w:space="0" w:color="auto"/>
              <w:bottom w:val="single" w:sz="4" w:space="0" w:color="auto"/>
              <w:right w:val="single" w:sz="4" w:space="0" w:color="auto"/>
            </w:tcBorders>
            <w:shd w:val="clear" w:color="auto" w:fill="auto"/>
            <w:vAlign w:val="center"/>
          </w:tcPr>
          <w:p w14:paraId="3036280B" w14:textId="66246CA1" w:rsidR="00F97F9D" w:rsidRPr="008B628A" w:rsidRDefault="00F97F9D" w:rsidP="00F97F9D">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1,7</w:t>
            </w:r>
          </w:p>
        </w:tc>
      </w:tr>
      <w:tr w:rsidR="00F42FEF" w:rsidRPr="008B628A" w14:paraId="10575525" w14:textId="6C3CA2C8"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137BD2EC" w14:textId="4C0CAAF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rūpnieciskie procesi un ķīmisko vielu izmantošana</w:t>
            </w:r>
          </w:p>
        </w:tc>
        <w:tc>
          <w:tcPr>
            <w:tcW w:w="1701" w:type="dxa"/>
            <w:tcBorders>
              <w:top w:val="nil"/>
              <w:left w:val="single" w:sz="8" w:space="0" w:color="auto"/>
              <w:bottom w:val="single" w:sz="4" w:space="0" w:color="auto"/>
              <w:right w:val="single" w:sz="8" w:space="0" w:color="auto"/>
            </w:tcBorders>
            <w:shd w:val="clear" w:color="auto" w:fill="auto"/>
            <w:vAlign w:val="center"/>
          </w:tcPr>
          <w:p w14:paraId="48697199" w14:textId="07218D61"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2,56</w:t>
            </w:r>
          </w:p>
        </w:tc>
        <w:tc>
          <w:tcPr>
            <w:tcW w:w="2268" w:type="dxa"/>
            <w:tcBorders>
              <w:top w:val="nil"/>
              <w:left w:val="single" w:sz="8" w:space="0" w:color="auto"/>
              <w:bottom w:val="single" w:sz="4" w:space="0" w:color="auto"/>
              <w:right w:val="single" w:sz="4" w:space="0" w:color="auto"/>
            </w:tcBorders>
            <w:shd w:val="clear" w:color="auto" w:fill="auto"/>
            <w:vAlign w:val="center"/>
          </w:tcPr>
          <w:p w14:paraId="1037DB65" w14:textId="0721950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3,18</w:t>
            </w:r>
          </w:p>
        </w:tc>
        <w:tc>
          <w:tcPr>
            <w:tcW w:w="1276" w:type="dxa"/>
            <w:tcBorders>
              <w:top w:val="nil"/>
              <w:left w:val="single" w:sz="8" w:space="0" w:color="auto"/>
              <w:bottom w:val="single" w:sz="4" w:space="0" w:color="auto"/>
              <w:right w:val="single" w:sz="4" w:space="0" w:color="auto"/>
            </w:tcBorders>
            <w:shd w:val="clear" w:color="auto" w:fill="auto"/>
            <w:vAlign w:val="center"/>
          </w:tcPr>
          <w:p w14:paraId="2EB5DDD0" w14:textId="2CA36B12"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186,82</w:t>
            </w:r>
          </w:p>
        </w:tc>
        <w:tc>
          <w:tcPr>
            <w:tcW w:w="1275" w:type="dxa"/>
            <w:tcBorders>
              <w:top w:val="nil"/>
              <w:left w:val="single" w:sz="8" w:space="0" w:color="auto"/>
              <w:bottom w:val="single" w:sz="4" w:space="0" w:color="auto"/>
              <w:right w:val="single" w:sz="4" w:space="0" w:color="auto"/>
            </w:tcBorders>
            <w:shd w:val="clear" w:color="auto" w:fill="auto"/>
            <w:vAlign w:val="center"/>
          </w:tcPr>
          <w:p w14:paraId="6D3DD601" w14:textId="52329AE0"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11,12</w:t>
            </w:r>
          </w:p>
        </w:tc>
      </w:tr>
      <w:tr w:rsidR="00F42FEF" w:rsidRPr="008B628A" w14:paraId="5FC48720" w14:textId="7847CE3C"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016A22C5"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lauksaimniecība</w:t>
            </w:r>
          </w:p>
        </w:tc>
        <w:tc>
          <w:tcPr>
            <w:tcW w:w="1701" w:type="dxa"/>
            <w:tcBorders>
              <w:top w:val="nil"/>
              <w:left w:val="single" w:sz="8" w:space="0" w:color="auto"/>
              <w:bottom w:val="single" w:sz="4" w:space="0" w:color="auto"/>
              <w:right w:val="single" w:sz="8" w:space="0" w:color="auto"/>
            </w:tcBorders>
            <w:shd w:val="clear" w:color="auto" w:fill="auto"/>
            <w:vAlign w:val="center"/>
          </w:tcPr>
          <w:p w14:paraId="71A68980" w14:textId="2D396FA5"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23,56</w:t>
            </w:r>
          </w:p>
        </w:tc>
        <w:tc>
          <w:tcPr>
            <w:tcW w:w="2268" w:type="dxa"/>
            <w:tcBorders>
              <w:top w:val="nil"/>
              <w:left w:val="single" w:sz="8" w:space="0" w:color="auto"/>
              <w:bottom w:val="single" w:sz="4" w:space="0" w:color="auto"/>
              <w:right w:val="single" w:sz="4" w:space="0" w:color="auto"/>
            </w:tcBorders>
            <w:shd w:val="clear" w:color="auto" w:fill="auto"/>
            <w:vAlign w:val="center"/>
          </w:tcPr>
          <w:p w14:paraId="1CF5E492" w14:textId="2E5FBAF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29,24</w:t>
            </w:r>
          </w:p>
        </w:tc>
        <w:tc>
          <w:tcPr>
            <w:tcW w:w="1276" w:type="dxa"/>
            <w:tcBorders>
              <w:top w:val="nil"/>
              <w:left w:val="single" w:sz="8" w:space="0" w:color="auto"/>
              <w:bottom w:val="single" w:sz="4" w:space="0" w:color="auto"/>
              <w:right w:val="single" w:sz="4" w:space="0" w:color="auto"/>
            </w:tcBorders>
            <w:shd w:val="clear" w:color="auto" w:fill="auto"/>
            <w:vAlign w:val="center"/>
          </w:tcPr>
          <w:p w14:paraId="51E08FBC" w14:textId="459DBC7F"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13,84</w:t>
            </w:r>
          </w:p>
        </w:tc>
        <w:tc>
          <w:tcPr>
            <w:tcW w:w="1275" w:type="dxa"/>
            <w:tcBorders>
              <w:top w:val="nil"/>
              <w:left w:val="single" w:sz="8" w:space="0" w:color="auto"/>
              <w:bottom w:val="single" w:sz="4" w:space="0" w:color="auto"/>
              <w:right w:val="single" w:sz="4" w:space="0" w:color="auto"/>
            </w:tcBorders>
            <w:shd w:val="clear" w:color="auto" w:fill="auto"/>
            <w:vAlign w:val="center"/>
          </w:tcPr>
          <w:p w14:paraId="75BFC6F5" w14:textId="2915E61B"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-0,31</w:t>
            </w:r>
          </w:p>
        </w:tc>
      </w:tr>
      <w:tr w:rsidR="00F42FEF" w:rsidRPr="008B628A" w14:paraId="1634665D" w14:textId="5940AC40"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1180D33C" w14:textId="0778A56B" w:rsidR="00F42FEF" w:rsidRPr="008B628A" w:rsidRDefault="00F14945"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atkritumu</w:t>
            </w:r>
            <w:r w:rsidR="00F42FEF" w:rsidRPr="008B628A">
              <w:rPr>
                <w:rFonts w:ascii="Times New Roman" w:eastAsia="Times New Roman" w:hAnsi="Times New Roman" w:cs="Times New Roman"/>
                <w:b/>
                <w:bCs/>
                <w:sz w:val="22"/>
                <w:lang w:eastAsia="lv-LV"/>
              </w:rPr>
              <w:t xml:space="preserve"> apsaimniekošana</w:t>
            </w:r>
          </w:p>
        </w:tc>
        <w:tc>
          <w:tcPr>
            <w:tcW w:w="1701" w:type="dxa"/>
            <w:tcBorders>
              <w:top w:val="nil"/>
              <w:left w:val="single" w:sz="8" w:space="0" w:color="auto"/>
              <w:bottom w:val="single" w:sz="4" w:space="0" w:color="auto"/>
              <w:right w:val="single" w:sz="8" w:space="0" w:color="auto"/>
            </w:tcBorders>
            <w:shd w:val="clear" w:color="auto" w:fill="auto"/>
            <w:vAlign w:val="center"/>
          </w:tcPr>
          <w:p w14:paraId="7B9C1B28" w14:textId="461B936A"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6,42</w:t>
            </w:r>
          </w:p>
        </w:tc>
        <w:tc>
          <w:tcPr>
            <w:tcW w:w="2268" w:type="dxa"/>
            <w:tcBorders>
              <w:top w:val="nil"/>
              <w:left w:val="single" w:sz="8" w:space="0" w:color="auto"/>
              <w:bottom w:val="single" w:sz="4" w:space="0" w:color="auto"/>
              <w:right w:val="single" w:sz="4" w:space="0" w:color="auto"/>
            </w:tcBorders>
            <w:shd w:val="clear" w:color="auto" w:fill="auto"/>
            <w:vAlign w:val="center"/>
          </w:tcPr>
          <w:p w14:paraId="2ECABF0D" w14:textId="5C502EB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7,97</w:t>
            </w:r>
          </w:p>
        </w:tc>
        <w:tc>
          <w:tcPr>
            <w:tcW w:w="1276" w:type="dxa"/>
            <w:tcBorders>
              <w:top w:val="nil"/>
              <w:left w:val="single" w:sz="8" w:space="0" w:color="auto"/>
              <w:bottom w:val="single" w:sz="4" w:space="0" w:color="auto"/>
              <w:right w:val="single" w:sz="4" w:space="0" w:color="auto"/>
            </w:tcBorders>
            <w:shd w:val="clear" w:color="auto" w:fill="auto"/>
            <w:vAlign w:val="center"/>
          </w:tcPr>
          <w:p w14:paraId="53FA02CD" w14:textId="129AD871"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0,61</w:t>
            </w:r>
          </w:p>
        </w:tc>
        <w:tc>
          <w:tcPr>
            <w:tcW w:w="1275" w:type="dxa"/>
            <w:tcBorders>
              <w:top w:val="nil"/>
              <w:left w:val="single" w:sz="8" w:space="0" w:color="auto"/>
              <w:bottom w:val="single" w:sz="4" w:space="0" w:color="auto"/>
              <w:right w:val="single" w:sz="4" w:space="0" w:color="auto"/>
            </w:tcBorders>
            <w:shd w:val="clear" w:color="auto" w:fill="auto"/>
            <w:vAlign w:val="center"/>
          </w:tcPr>
          <w:p w14:paraId="211CE7D9" w14:textId="7478305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3,02</w:t>
            </w:r>
          </w:p>
        </w:tc>
      </w:tr>
      <w:tr w:rsidR="00F14945" w:rsidRPr="008B628A" w14:paraId="20094D48" w14:textId="6CF72614" w:rsidTr="00F14945">
        <w:trPr>
          <w:trHeight w:val="315"/>
        </w:trPr>
        <w:tc>
          <w:tcPr>
            <w:tcW w:w="7088" w:type="dxa"/>
            <w:gridSpan w:val="3"/>
            <w:tcBorders>
              <w:top w:val="nil"/>
              <w:left w:val="single" w:sz="8" w:space="0" w:color="auto"/>
              <w:bottom w:val="single" w:sz="8" w:space="0" w:color="auto"/>
              <w:right w:val="single" w:sz="4" w:space="0" w:color="auto"/>
            </w:tcBorders>
            <w:shd w:val="clear" w:color="auto" w:fill="auto"/>
            <w:vAlign w:val="center"/>
            <w:hideMark/>
          </w:tcPr>
          <w:p w14:paraId="7AAB226B" w14:textId="2B6BDF5D" w:rsidR="00F14945" w:rsidRPr="008B628A" w:rsidRDefault="00F14945" w:rsidP="00F14945">
            <w:pPr>
              <w:spacing w:after="0" w:line="240" w:lineRule="auto"/>
              <w:rPr>
                <w:rFonts w:ascii="Times New Roman" w:hAnsi="Times New Roman" w:cs="Times New Roman"/>
                <w:b/>
                <w:sz w:val="22"/>
              </w:rPr>
            </w:pPr>
            <w:r w:rsidRPr="008B628A">
              <w:rPr>
                <w:rFonts w:ascii="Times New Roman" w:eastAsia="Times New Roman" w:hAnsi="Times New Roman" w:cs="Times New Roman"/>
                <w:b/>
                <w:bCs/>
                <w:sz w:val="22"/>
                <w:lang w:eastAsia="lv-LV"/>
              </w:rPr>
              <w:t>KOPĀ</w:t>
            </w:r>
          </w:p>
        </w:tc>
        <w:tc>
          <w:tcPr>
            <w:tcW w:w="1276" w:type="dxa"/>
            <w:tcBorders>
              <w:top w:val="nil"/>
              <w:left w:val="single" w:sz="8" w:space="0" w:color="auto"/>
              <w:bottom w:val="single" w:sz="8" w:space="0" w:color="auto"/>
              <w:right w:val="single" w:sz="4" w:space="0" w:color="auto"/>
            </w:tcBorders>
            <w:shd w:val="clear" w:color="auto" w:fill="auto"/>
            <w:vAlign w:val="center"/>
          </w:tcPr>
          <w:p w14:paraId="7172B556" w14:textId="71FAF864"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sz w:val="22"/>
              </w:rPr>
              <w:t>-1,32</w:t>
            </w:r>
          </w:p>
        </w:tc>
        <w:tc>
          <w:tcPr>
            <w:tcW w:w="1275" w:type="dxa"/>
            <w:tcBorders>
              <w:top w:val="nil"/>
              <w:left w:val="single" w:sz="8" w:space="0" w:color="auto"/>
              <w:bottom w:val="single" w:sz="8" w:space="0" w:color="auto"/>
              <w:right w:val="single" w:sz="4" w:space="0" w:color="auto"/>
            </w:tcBorders>
            <w:shd w:val="clear" w:color="auto" w:fill="auto"/>
            <w:vAlign w:val="center"/>
          </w:tcPr>
          <w:p w14:paraId="607CBA96" w14:textId="3C95515B"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sz w:val="22"/>
              </w:rPr>
              <w:t>-0,25</w:t>
            </w:r>
          </w:p>
        </w:tc>
      </w:tr>
    </w:tbl>
    <w:p w14:paraId="10081660" w14:textId="632D8B1A" w:rsidR="00BE47E6" w:rsidRPr="008B628A" w:rsidRDefault="00BE47E6" w:rsidP="00863FD7">
      <w:pPr>
        <w:pStyle w:val="Heading4"/>
      </w:pPr>
      <w:bookmarkStart w:id="283" w:name="_Toc527529536"/>
      <w:r w:rsidRPr="008B628A">
        <w:t>Esošā situācija CO</w:t>
      </w:r>
      <w:r w:rsidRPr="008B628A">
        <w:rPr>
          <w:vertAlign w:val="subscript"/>
        </w:rPr>
        <w:t>2</w:t>
      </w:r>
      <w:r w:rsidRPr="008B628A">
        <w:t xml:space="preserve"> piesaistes apjoma nodrošināšanā</w:t>
      </w:r>
      <w:bookmarkEnd w:id="283"/>
    </w:p>
    <w:p w14:paraId="310B3A03" w14:textId="77777777" w:rsidR="00D37297" w:rsidRPr="008B628A" w:rsidRDefault="00D37297"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2006. gada IPCC vadlīnijām zemes platības zemes izmantošanas, zemes izmantošanas maiņas un mežsaimniecības (ZIZIMM) kategorijā tiek iedalīta sešās zemes lietojuma kategorijās – meža zeme, aramzeme, pļavas, mitrāji, apbūves un citas. Latvijā ZIZIMM sektors ietver emisijas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piesaisti no augstāk uzskaitītajām kategorijām, kas sadalītas sīkākās 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055BDAA7" w14:textId="77777777" w:rsidR="00DA459F" w:rsidRPr="00AB46B9" w:rsidRDefault="00DA459F" w:rsidP="00DA459F">
      <w:pPr>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lastRenderedPageBreak/>
        <w:t>Saskaņā ar 2018. gada SEG inventarizāciju ZIZIMM sektors kopumā 2016. gadā nav SEG emisiju avots (CO</w:t>
      </w:r>
      <w:r w:rsidRPr="00AB46B9">
        <w:rPr>
          <w:rFonts w:ascii="Times New Roman" w:hAnsi="Times New Roman" w:cs="Times New Roman"/>
          <w:szCs w:val="24"/>
          <w:vertAlign w:val="subscript"/>
        </w:rPr>
        <w:t xml:space="preserve">2 </w:t>
      </w:r>
      <w:r w:rsidRPr="00AB46B9">
        <w:rPr>
          <w:rFonts w:ascii="Times New Roman" w:hAnsi="Times New Roman" w:cs="Times New Roman"/>
          <w:szCs w:val="24"/>
        </w:rPr>
        <w:t>piesaiste ir lielāka nekā visā sektorā radītās SEG emisijas), kur kopējais ZIZIMM sektora radītais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piesaistes apjoms 2016. gadā bija </w:t>
      </w:r>
      <w:r>
        <w:rPr>
          <w:rFonts w:ascii="Times New Roman" w:hAnsi="Times New Roman" w:cs="Times New Roman"/>
          <w:szCs w:val="24"/>
        </w:rPr>
        <w:t>-</w:t>
      </w:r>
      <w:r w:rsidRPr="00AB46B9">
        <w:rPr>
          <w:rFonts w:ascii="Times New Roman" w:hAnsi="Times New Roman" w:cs="Times New Roman"/>
          <w:szCs w:val="24"/>
        </w:rPr>
        <w:t>925,3 kt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ekv, salīdzinot ar -10696.68 kt CO</w:t>
      </w:r>
      <w:r w:rsidRPr="00AB46B9">
        <w:rPr>
          <w:rFonts w:ascii="Times New Roman" w:hAnsi="Times New Roman" w:cs="Times New Roman"/>
          <w:szCs w:val="24"/>
          <w:vertAlign w:val="subscript"/>
        </w:rPr>
        <w:t xml:space="preserve">2  </w:t>
      </w:r>
      <w:r w:rsidRPr="00AB46B9">
        <w:rPr>
          <w:rFonts w:ascii="Times New Roman" w:hAnsi="Times New Roman" w:cs="Times New Roman"/>
          <w:szCs w:val="24"/>
        </w:rPr>
        <w:t xml:space="preserve">ekv. 1990.gadā. </w:t>
      </w:r>
      <w:r>
        <w:rPr>
          <w:rFonts w:ascii="Times New Roman" w:hAnsi="Times New Roman" w:cs="Times New Roman"/>
          <w:szCs w:val="24"/>
        </w:rPr>
        <w:t>CO</w:t>
      </w:r>
      <w:r>
        <w:rPr>
          <w:rFonts w:ascii="Times New Roman" w:hAnsi="Times New Roman" w:cs="Times New Roman"/>
          <w:szCs w:val="24"/>
          <w:vertAlign w:val="subscript"/>
        </w:rPr>
        <w:t>2</w:t>
      </w:r>
      <w:r w:rsidRPr="0009621C">
        <w:rPr>
          <w:rFonts w:ascii="Times New Roman" w:hAnsi="Times New Roman" w:cs="Times New Roman"/>
          <w:szCs w:val="24"/>
        </w:rPr>
        <w:t xml:space="preserve"> piesaistes </w:t>
      </w:r>
      <w:r>
        <w:rPr>
          <w:rFonts w:ascii="Times New Roman" w:hAnsi="Times New Roman" w:cs="Times New Roman"/>
          <w:szCs w:val="24"/>
        </w:rPr>
        <w:t>samazinājums -</w:t>
      </w:r>
      <w:r w:rsidRPr="00AB46B9">
        <w:rPr>
          <w:rFonts w:ascii="Times New Roman" w:hAnsi="Times New Roman" w:cs="Times New Roman"/>
          <w:szCs w:val="24"/>
        </w:rPr>
        <w:t xml:space="preserve"> saistāms ar </w:t>
      </w:r>
      <w:r>
        <w:rPr>
          <w:rFonts w:ascii="Times New Roman" w:hAnsi="Times New Roman" w:cs="Times New Roman"/>
          <w:szCs w:val="24"/>
        </w:rPr>
        <w:t>-</w:t>
      </w:r>
      <w:r w:rsidRPr="00AB46B9">
        <w:rPr>
          <w:rFonts w:ascii="Times New Roman" w:hAnsi="Times New Roman" w:cs="Times New Roman"/>
          <w:szCs w:val="24"/>
        </w:rPr>
        <w:t xml:space="preserve">mežistrādes pieaugumu meža zemēs, </w:t>
      </w:r>
      <w:r>
        <w:rPr>
          <w:rFonts w:ascii="Times New Roman" w:hAnsi="Times New Roman" w:cs="Times New Roman"/>
          <w:szCs w:val="24"/>
        </w:rPr>
        <w:t>-</w:t>
      </w:r>
      <w:r w:rsidRPr="00AB46B9">
        <w:rPr>
          <w:rFonts w:ascii="Times New Roman" w:hAnsi="Times New Roman" w:cs="Times New Roman"/>
          <w:szCs w:val="24"/>
        </w:rPr>
        <w:t xml:space="preserve"> lielāk</w:t>
      </w:r>
      <w:r>
        <w:rPr>
          <w:rFonts w:ascii="Times New Roman" w:hAnsi="Times New Roman" w:cs="Times New Roman"/>
          <w:szCs w:val="24"/>
        </w:rPr>
        <w:t>u</w:t>
      </w:r>
      <w:r w:rsidRPr="00AB46B9">
        <w:rPr>
          <w:rFonts w:ascii="Times New Roman" w:hAnsi="Times New Roman" w:cs="Times New Roman"/>
          <w:szCs w:val="24"/>
        </w:rPr>
        <w:t xml:space="preserve"> atmirum</w:t>
      </w:r>
      <w:r>
        <w:rPr>
          <w:rFonts w:ascii="Times New Roman" w:hAnsi="Times New Roman" w:cs="Times New Roman"/>
          <w:szCs w:val="24"/>
        </w:rPr>
        <w:t>u</w:t>
      </w:r>
      <w:r w:rsidRPr="00AB46B9">
        <w:rPr>
          <w:rFonts w:ascii="Times New Roman" w:hAnsi="Times New Roman" w:cs="Times New Roman"/>
          <w:szCs w:val="24"/>
        </w:rPr>
        <w:t xml:space="preserve"> un maz</w:t>
      </w:r>
      <w:r>
        <w:rPr>
          <w:rFonts w:ascii="Times New Roman" w:hAnsi="Times New Roman" w:cs="Times New Roman"/>
          <w:szCs w:val="24"/>
        </w:rPr>
        <w:t>āku</w:t>
      </w:r>
      <w:r w:rsidRPr="00AB46B9">
        <w:rPr>
          <w:rFonts w:ascii="Times New Roman" w:hAnsi="Times New Roman" w:cs="Times New Roman"/>
          <w:szCs w:val="24"/>
        </w:rPr>
        <w:t xml:space="preserve"> dzīvās biomasas pieaugum</w:t>
      </w:r>
      <w:r>
        <w:rPr>
          <w:rFonts w:ascii="Times New Roman" w:hAnsi="Times New Roman" w:cs="Times New Roman"/>
          <w:szCs w:val="24"/>
        </w:rPr>
        <w:t>u</w:t>
      </w:r>
      <w:r w:rsidRPr="00AB46B9">
        <w:rPr>
          <w:rFonts w:ascii="Times New Roman" w:hAnsi="Times New Roman" w:cs="Times New Roman"/>
          <w:szCs w:val="24"/>
        </w:rPr>
        <w:t xml:space="preserve"> meža zemēs</w:t>
      </w:r>
      <w:r>
        <w:rPr>
          <w:rFonts w:ascii="Times New Roman" w:hAnsi="Times New Roman" w:cs="Times New Roman"/>
          <w:szCs w:val="24"/>
        </w:rPr>
        <w:t>, kas tiek noteikts</w:t>
      </w:r>
      <w:r w:rsidRPr="00AB46B9">
        <w:rPr>
          <w:rFonts w:ascii="Times New Roman" w:hAnsi="Times New Roman" w:cs="Times New Roman"/>
          <w:szCs w:val="24"/>
        </w:rPr>
        <w:t xml:space="preserve"> saskaņā ar Nacionālā meža </w:t>
      </w:r>
      <w:r>
        <w:rPr>
          <w:rFonts w:ascii="Times New Roman" w:hAnsi="Times New Roman" w:cs="Times New Roman"/>
          <w:szCs w:val="24"/>
        </w:rPr>
        <w:t>monitoringa</w:t>
      </w:r>
      <w:r w:rsidRPr="00AB46B9">
        <w:rPr>
          <w:rFonts w:ascii="Times New Roman" w:hAnsi="Times New Roman" w:cs="Times New Roman"/>
          <w:szCs w:val="24"/>
        </w:rPr>
        <w:t xml:space="preserve"> datiem</w:t>
      </w:r>
      <w:r>
        <w:rPr>
          <w:rFonts w:ascii="Times New Roman" w:hAnsi="Times New Roman" w:cs="Times New Roman"/>
          <w:szCs w:val="24"/>
        </w:rPr>
        <w:t>,</w:t>
      </w:r>
      <w:r w:rsidRPr="00B6458E">
        <w:t xml:space="preserve"> </w:t>
      </w:r>
      <w:r w:rsidRPr="00B6458E">
        <w:rPr>
          <w:rFonts w:ascii="Times New Roman" w:hAnsi="Times New Roman" w:cs="Times New Roman"/>
          <w:szCs w:val="24"/>
        </w:rPr>
        <w:t>kurus apkopo Latvijas Valsts mežzinātnes institūts “Silava”</w:t>
      </w:r>
      <w:r>
        <w:rPr>
          <w:rFonts w:ascii="Times New Roman" w:hAnsi="Times New Roman" w:cs="Times New Roman"/>
          <w:szCs w:val="24"/>
        </w:rPr>
        <w:t xml:space="preserve"> </w:t>
      </w:r>
      <w:r w:rsidRPr="00AB46B9">
        <w:rPr>
          <w:rFonts w:ascii="Times New Roman" w:hAnsi="Times New Roman" w:cs="Times New Roman"/>
          <w:szCs w:val="24"/>
        </w:rPr>
        <w:t>. Kopējā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 ir samazinājusies par 91 % 1990.-2016. gad</w:t>
      </w:r>
      <w:r>
        <w:rPr>
          <w:rFonts w:ascii="Times New Roman" w:hAnsi="Times New Roman" w:cs="Times New Roman"/>
          <w:szCs w:val="24"/>
        </w:rPr>
        <w:t>u periodā</w:t>
      </w:r>
      <w:r w:rsidRPr="00AB46B9">
        <w:rPr>
          <w:rFonts w:ascii="Times New Roman" w:hAnsi="Times New Roman" w:cs="Times New Roman"/>
          <w:szCs w:val="24"/>
        </w:rPr>
        <w:t>.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piesaistes samazinājums ZIZIMM sektorā saistāms ar mežistrādes apjoma pieaugumu (vairāk nekā divas reizes). Tāpat arī ievērojama nozīme SEG emisiju palielināšanā ir meža zemju transformēšanai par apdzīvotām vietām, kā arī dabiski apmežo</w:t>
      </w:r>
      <w:r>
        <w:rPr>
          <w:rFonts w:ascii="Times New Roman" w:hAnsi="Times New Roman" w:cs="Times New Roman"/>
          <w:szCs w:val="24"/>
        </w:rPr>
        <w:t>jušos</w:t>
      </w:r>
      <w:r w:rsidRPr="00AB46B9">
        <w:rPr>
          <w:rFonts w:ascii="Times New Roman" w:hAnsi="Times New Roman" w:cs="Times New Roman"/>
          <w:szCs w:val="24"/>
        </w:rPr>
        <w:t xml:space="preserve"> zemju transformācijai par aramzemēm un pļavām</w:t>
      </w:r>
      <w:r>
        <w:rPr>
          <w:rFonts w:ascii="Times New Roman" w:hAnsi="Times New Roman" w:cs="Times New Roman"/>
          <w:szCs w:val="24"/>
        </w:rPr>
        <w:t>, atgriežot tās lauksaimnieciskā apsaimniekošanā</w:t>
      </w:r>
      <w:r w:rsidRPr="00AB46B9">
        <w:rPr>
          <w:rFonts w:ascii="Times New Roman" w:hAnsi="Times New Roman" w:cs="Times New Roman"/>
          <w:szCs w:val="24"/>
        </w:rPr>
        <w:t>.</w:t>
      </w:r>
    </w:p>
    <w:p w14:paraId="6C06C80D" w14:textId="788451E4" w:rsidR="006C746B" w:rsidRPr="008B628A" w:rsidRDefault="00F97F9D" w:rsidP="006C746B">
      <w:pPr>
        <w:spacing w:before="120" w:after="120" w:line="240" w:lineRule="auto"/>
        <w:jc w:val="center"/>
        <w:rPr>
          <w:rFonts w:ascii="Times New Roman" w:hAnsi="Times New Roman" w:cs="Times New Roman"/>
          <w:szCs w:val="24"/>
        </w:rPr>
      </w:pPr>
      <w:r w:rsidRPr="008B628A">
        <w:rPr>
          <w:rFonts w:ascii="Trebuchet MS" w:eastAsia="Calibri" w:hAnsi="Trebuchet MS" w:cs="DokChampa"/>
          <w:noProof/>
          <w:szCs w:val="24"/>
          <w:lang w:eastAsia="lv-LV"/>
        </w:rPr>
        <w:drawing>
          <wp:inline distT="0" distB="0" distL="0" distR="0" wp14:anchorId="07469E67" wp14:editId="697594B6">
            <wp:extent cx="4889600" cy="260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8152" cy="2614415"/>
                    </a:xfrm>
                    <a:prstGeom prst="rect">
                      <a:avLst/>
                    </a:prstGeom>
                    <a:noFill/>
                  </pic:spPr>
                </pic:pic>
              </a:graphicData>
            </a:graphic>
          </wp:inline>
        </w:drawing>
      </w:r>
    </w:p>
    <w:p w14:paraId="5B35892A" w14:textId="1711DBB0"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4" w:name="_Toc531333097"/>
      <w:r w:rsidR="006067D4">
        <w:rPr>
          <w:noProof/>
        </w:rPr>
        <w:t>16</w:t>
      </w:r>
      <w:r w:rsidRPr="008B628A">
        <w:rPr>
          <w:noProof/>
        </w:rPr>
        <w:fldChar w:fldCharType="end"/>
      </w:r>
      <w:r w:rsidR="00526D4F" w:rsidRPr="008B628A">
        <w:t>.attēls.</w:t>
      </w:r>
      <w:r w:rsidR="006C746B" w:rsidRPr="008B628A">
        <w:t xml:space="preserve"> Latvijas ZIZIMM faktiskais SEG emisiju un CO</w:t>
      </w:r>
      <w:r w:rsidR="006C746B" w:rsidRPr="008B628A">
        <w:rPr>
          <w:vertAlign w:val="subscript"/>
        </w:rPr>
        <w:t>2</w:t>
      </w:r>
      <w:r w:rsidR="006C746B" w:rsidRPr="008B628A">
        <w:t xml:space="preserve"> neto piesaistes apjoms 1990.-2016.gadā  (kt CO</w:t>
      </w:r>
      <w:r w:rsidR="006C746B" w:rsidRPr="008B628A">
        <w:rPr>
          <w:vertAlign w:val="subscript"/>
        </w:rPr>
        <w:t>2</w:t>
      </w:r>
      <w:r w:rsidR="006C746B" w:rsidRPr="008B628A">
        <w:t xml:space="preserve"> ekv.)</w:t>
      </w:r>
      <w:bookmarkEnd w:id="284"/>
    </w:p>
    <w:p w14:paraId="4FF91622" w14:textId="77777777" w:rsidR="00DA459F" w:rsidRPr="00AB46B9" w:rsidRDefault="00DA459F" w:rsidP="00DA459F">
      <w:pPr>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t xml:space="preserve">Zemes lietojuma veida maiņa uz aramzemi ir galvenokārt saistīta ar kokaugu biomasas izvākšanu no dabiski </w:t>
      </w:r>
      <w:r>
        <w:rPr>
          <w:rFonts w:ascii="Times New Roman" w:hAnsi="Times New Roman" w:cs="Times New Roman"/>
          <w:szCs w:val="24"/>
        </w:rPr>
        <w:t xml:space="preserve">ar kokiem aizaugušām </w:t>
      </w:r>
      <w:r w:rsidRPr="00AB46B9">
        <w:rPr>
          <w:rFonts w:ascii="Times New Roman" w:hAnsi="Times New Roman" w:cs="Times New Roman"/>
          <w:szCs w:val="24"/>
        </w:rPr>
        <w:t xml:space="preserve"> lauksaimniecības zemēm, k</w:t>
      </w:r>
      <w:r>
        <w:rPr>
          <w:rFonts w:ascii="Times New Roman" w:hAnsi="Times New Roman" w:cs="Times New Roman"/>
          <w:szCs w:val="24"/>
        </w:rPr>
        <w:t xml:space="preserve">urās lauksaimnieciskās darbības izbeigtas </w:t>
      </w:r>
      <w:r w:rsidRPr="00AB46B9">
        <w:rPr>
          <w:rFonts w:ascii="Times New Roman" w:hAnsi="Times New Roman" w:cs="Times New Roman"/>
          <w:szCs w:val="24"/>
        </w:rPr>
        <w:t xml:space="preserve"> 1980. un 1990. gados. </w:t>
      </w:r>
      <w:r>
        <w:rPr>
          <w:rFonts w:ascii="Times New Roman" w:hAnsi="Times New Roman" w:cs="Times New Roman"/>
          <w:szCs w:val="24"/>
        </w:rPr>
        <w:t>D</w:t>
      </w:r>
      <w:r w:rsidRPr="00AB46B9">
        <w:rPr>
          <w:rFonts w:ascii="Times New Roman" w:hAnsi="Times New Roman" w:cs="Times New Roman"/>
          <w:szCs w:val="24"/>
        </w:rPr>
        <w:t xml:space="preserve">zīvās biomasas pieaugums meža zemēs, kas nemaina lietojuma veidu, un apmežotās zemēs joprojām ir lielāks par oglekļa zudumiem komerciālās ciršanas un dabiskā atmiruma dēļ, </w:t>
      </w:r>
      <w:r>
        <w:rPr>
          <w:rFonts w:ascii="Times New Roman" w:hAnsi="Times New Roman" w:cs="Times New Roman"/>
          <w:szCs w:val="24"/>
        </w:rPr>
        <w:t>l</w:t>
      </w:r>
      <w:r w:rsidRPr="00AB46B9">
        <w:rPr>
          <w:rFonts w:ascii="Times New Roman" w:hAnsi="Times New Roman" w:cs="Times New Roman"/>
          <w:szCs w:val="24"/>
        </w:rPr>
        <w:t>īdz ar to kopējā dzīvās biomasas krāja meža zemēs joprojām pieaug.</w:t>
      </w:r>
    </w:p>
    <w:p w14:paraId="21D2FC1B" w14:textId="77777777" w:rsidR="00DA459F" w:rsidRPr="00AB46B9" w:rsidRDefault="00DA459F" w:rsidP="00DA459F">
      <w:pPr>
        <w:autoSpaceDE w:val="0"/>
        <w:autoSpaceDN w:val="0"/>
        <w:adjustRightInd w:val="0"/>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izaugsmi. </w:t>
      </w:r>
    </w:p>
    <w:p w14:paraId="30AC9033" w14:textId="487B430D" w:rsidR="00BE47E6" w:rsidRPr="008B628A" w:rsidRDefault="00BE47E6" w:rsidP="00863FD7">
      <w:pPr>
        <w:pStyle w:val="Heading4"/>
      </w:pPr>
      <w:bookmarkStart w:id="285" w:name="_Toc487456132"/>
      <w:bookmarkStart w:id="286" w:name="_Toc491266209"/>
      <w:bookmarkStart w:id="287" w:name="_Toc527529537"/>
      <w:r w:rsidRPr="008B628A">
        <w:t>Latvijas tautsaimniecības SEG emisiju intensitātes tendences</w:t>
      </w:r>
      <w:bookmarkEnd w:id="285"/>
      <w:bookmarkEnd w:id="286"/>
      <w:bookmarkEnd w:id="287"/>
    </w:p>
    <w:p w14:paraId="6724BDCE" w14:textId="77777777" w:rsidR="00BE47E6" w:rsidRPr="008B628A" w:rsidRDefault="00BE47E6" w:rsidP="00BE47E6">
      <w:pPr>
        <w:spacing w:before="120" w:after="120" w:line="240" w:lineRule="auto"/>
        <w:jc w:val="both"/>
        <w:rPr>
          <w:szCs w:val="24"/>
        </w:rPr>
      </w:pPr>
      <w:r w:rsidRPr="008B628A">
        <w:rPr>
          <w:rFonts w:ascii="Times New Roman" w:hAnsi="Times New Roman"/>
          <w:szCs w:val="24"/>
        </w:rPr>
        <w:t>Viens no biežāk izmantotajiem rādītājiem, lai novērtētu ekonomiskās izaugsmes un SEG emisiju apjoma kopsakarību, ir SEG emisiju intensitāte</w:t>
      </w:r>
      <w:r w:rsidRPr="008B628A">
        <w:rPr>
          <w:rStyle w:val="FootnoteReference"/>
          <w:rFonts w:ascii="Times New Roman" w:hAnsi="Times New Roman"/>
          <w:szCs w:val="24"/>
        </w:rPr>
        <w:footnoteReference w:id="169"/>
      </w:r>
      <w:r w:rsidRPr="008B628A">
        <w:rPr>
          <w:rFonts w:ascii="Times New Roman" w:hAnsi="Times New Roman"/>
          <w:szCs w:val="24"/>
        </w:rPr>
        <w:t>, ar ko tiek novērtēts, kā un vai SEG emisiju apjoms izmaiņas ietekmē iekšzemes kopprodukta (IKP) apjoma izmaiņas, t.s. vai tautsaimniecības attīstība nozīmē arī SEG emisiju palielināšanu.</w:t>
      </w:r>
    </w:p>
    <w:p w14:paraId="07927A68" w14:textId="46DBF56E" w:rsidR="00BE47E6" w:rsidRPr="008B628A" w:rsidRDefault="004B3A52" w:rsidP="00565E98">
      <w:pPr>
        <w:spacing w:before="120" w:after="120" w:line="240" w:lineRule="auto"/>
        <w:jc w:val="center"/>
        <w:rPr>
          <w:rFonts w:ascii="Times New Roman" w:hAnsi="Times New Roman"/>
          <w:szCs w:val="24"/>
        </w:rPr>
      </w:pPr>
      <w:r w:rsidRPr="008B628A">
        <w:rPr>
          <w:rFonts w:ascii="Times New Roman" w:hAnsi="Times New Roman"/>
          <w:noProof/>
          <w:szCs w:val="24"/>
          <w:lang w:eastAsia="lv-LV"/>
        </w:rPr>
        <w:lastRenderedPageBreak/>
        <w:drawing>
          <wp:inline distT="0" distB="0" distL="0" distR="0" wp14:anchorId="52DA6054" wp14:editId="11F9EA2C">
            <wp:extent cx="4554132" cy="199270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4205" cy="2010236"/>
                    </a:xfrm>
                    <a:prstGeom prst="rect">
                      <a:avLst/>
                    </a:prstGeom>
                    <a:noFill/>
                  </pic:spPr>
                </pic:pic>
              </a:graphicData>
            </a:graphic>
          </wp:inline>
        </w:drawing>
      </w:r>
    </w:p>
    <w:p w14:paraId="196E90D8" w14:textId="1B4CFB87" w:rsidR="00BE47E6"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8" w:name="_Toc531333098"/>
      <w:r w:rsidR="006067D4">
        <w:rPr>
          <w:noProof/>
        </w:rPr>
        <w:t>17</w:t>
      </w:r>
      <w:r w:rsidRPr="008B628A">
        <w:rPr>
          <w:noProof/>
        </w:rPr>
        <w:fldChar w:fldCharType="end"/>
      </w:r>
      <w:r w:rsidR="004B3A52" w:rsidRPr="008B628A">
        <w:t xml:space="preserve">.attēls. </w:t>
      </w:r>
      <w:r w:rsidR="00BE47E6" w:rsidRPr="008B628A">
        <w:t>Latvijas SEG emisiju un IKP attīstības tendences (1995=1)</w:t>
      </w:r>
      <w:r w:rsidR="00BE47E6" w:rsidRPr="00F060A0">
        <w:rPr>
          <w:rStyle w:val="FootnoteReference"/>
          <w:b w:val="0"/>
        </w:rPr>
        <w:footnoteReference w:id="170"/>
      </w:r>
      <w:bookmarkEnd w:id="288"/>
    </w:p>
    <w:p w14:paraId="41B776A0" w14:textId="3E30A77B" w:rsidR="00BE47E6" w:rsidRPr="008B628A" w:rsidRDefault="00BE47E6" w:rsidP="00BE47E6">
      <w:pPr>
        <w:spacing w:before="120" w:after="120" w:line="240" w:lineRule="auto"/>
        <w:jc w:val="both"/>
        <w:rPr>
          <w:szCs w:val="24"/>
        </w:rPr>
      </w:pPr>
      <w:r w:rsidRPr="008B628A">
        <w:rPr>
          <w:rFonts w:ascii="Times New Roman" w:hAnsi="Times New Roman"/>
          <w:szCs w:val="24"/>
        </w:rPr>
        <w:t>Saskaņā ar pieejamajiem datiem Latvijas kopējais SEG emisiju apjoms periodā no 2005. gada līdz 20</w:t>
      </w:r>
      <w:r w:rsidR="004B3A52" w:rsidRPr="008B628A">
        <w:rPr>
          <w:rFonts w:ascii="Times New Roman" w:hAnsi="Times New Roman"/>
          <w:szCs w:val="24"/>
        </w:rPr>
        <w:t>17</w:t>
      </w:r>
      <w:r w:rsidRPr="008B628A">
        <w:rPr>
          <w:rFonts w:ascii="Times New Roman" w:hAnsi="Times New Roman"/>
          <w:szCs w:val="24"/>
        </w:rPr>
        <w:t xml:space="preserve">. gadam </w:t>
      </w:r>
      <w:r w:rsidR="004B3A52" w:rsidRPr="008B628A">
        <w:rPr>
          <w:rFonts w:ascii="Times New Roman" w:hAnsi="Times New Roman"/>
          <w:szCs w:val="24"/>
        </w:rPr>
        <w:t>ir samazinājies par 1,6%, s</w:t>
      </w:r>
      <w:r w:rsidRPr="008B628A">
        <w:rPr>
          <w:rFonts w:ascii="Times New Roman" w:hAnsi="Times New Roman"/>
          <w:szCs w:val="24"/>
        </w:rPr>
        <w:t>avukārt Latvijas IKP periodā no 2005. gada līdz 20</w:t>
      </w:r>
      <w:r w:rsidR="004B3A52" w:rsidRPr="008B628A">
        <w:rPr>
          <w:rFonts w:ascii="Times New Roman" w:hAnsi="Times New Roman"/>
          <w:szCs w:val="24"/>
        </w:rPr>
        <w:t>17</w:t>
      </w:r>
      <w:r w:rsidRPr="008B628A">
        <w:rPr>
          <w:rFonts w:ascii="Times New Roman" w:hAnsi="Times New Roman"/>
          <w:szCs w:val="24"/>
        </w:rPr>
        <w:t xml:space="preserve">. gadam </w:t>
      </w:r>
      <w:r w:rsidR="002A2B2F" w:rsidRPr="008B628A">
        <w:rPr>
          <w:rFonts w:ascii="Times New Roman" w:hAnsi="Times New Roman"/>
          <w:szCs w:val="24"/>
        </w:rPr>
        <w:t>ir palielinājies par 24%</w:t>
      </w:r>
      <w:r w:rsidRPr="008B628A">
        <w:rPr>
          <w:rFonts w:ascii="Times New Roman" w:hAnsi="Times New Roman"/>
          <w:szCs w:val="24"/>
        </w:rPr>
        <w:t xml:space="preserve">. Lai gan </w:t>
      </w:r>
      <w:r w:rsidR="002A2B2F" w:rsidRPr="008B628A">
        <w:rPr>
          <w:rFonts w:ascii="Times New Roman" w:hAnsi="Times New Roman"/>
          <w:szCs w:val="24"/>
        </w:rPr>
        <w:t>I</w:t>
      </w:r>
      <w:r w:rsidRPr="008B628A">
        <w:rPr>
          <w:rFonts w:ascii="Times New Roman" w:hAnsi="Times New Roman"/>
          <w:szCs w:val="24"/>
        </w:rPr>
        <w:t xml:space="preserve">KP pieaugums ir </w:t>
      </w:r>
      <w:r w:rsidR="00BE73BD" w:rsidRPr="008B628A">
        <w:rPr>
          <w:rFonts w:ascii="Times New Roman" w:hAnsi="Times New Roman"/>
          <w:szCs w:val="24"/>
        </w:rPr>
        <w:t>pietiekami straujš, bet kopējais SEG emisiju apjoms ir nedaudz samazinājies</w:t>
      </w:r>
      <w:r w:rsidRPr="008B628A">
        <w:rPr>
          <w:rFonts w:ascii="Times New Roman" w:hAnsi="Times New Roman"/>
          <w:szCs w:val="24"/>
        </w:rPr>
        <w:t xml:space="preserve">, tomēr valsts ekonomisko attīstību joprojām pavada SEG emisiju pieaugums. Tātad ir secināms, ka Latvijas SEG emisiju un IKP atsaiste ir </w:t>
      </w:r>
      <w:r w:rsidR="002A2B2F" w:rsidRPr="008B628A">
        <w:rPr>
          <w:rFonts w:ascii="Times New Roman" w:hAnsi="Times New Roman"/>
          <w:szCs w:val="24"/>
        </w:rPr>
        <w:t xml:space="preserve">gandrīz </w:t>
      </w:r>
      <w:r w:rsidRPr="008B628A">
        <w:rPr>
          <w:rFonts w:ascii="Times New Roman" w:hAnsi="Times New Roman"/>
          <w:szCs w:val="24"/>
        </w:rPr>
        <w:t>relatīva</w:t>
      </w:r>
      <w:r w:rsidRPr="008B628A">
        <w:rPr>
          <w:rStyle w:val="FootnoteReference"/>
          <w:rFonts w:ascii="Times New Roman" w:hAnsi="Times New Roman"/>
          <w:szCs w:val="24"/>
        </w:rPr>
        <w:footnoteReference w:id="171"/>
      </w:r>
      <w:r w:rsidRPr="008B628A">
        <w:rPr>
          <w:rFonts w:ascii="Times New Roman" w:hAnsi="Times New Roman"/>
          <w:szCs w:val="24"/>
        </w:rPr>
        <w:t xml:space="preserve">, jo atsaistes vides rādītājs – SEG emisiju apjoms </w:t>
      </w:r>
      <w:r w:rsidR="002A2B2F" w:rsidRPr="008B628A">
        <w:rPr>
          <w:rFonts w:ascii="Times New Roman" w:hAnsi="Times New Roman"/>
          <w:szCs w:val="24"/>
        </w:rPr>
        <w:t>samazinās ļoti nelielā apjomā</w:t>
      </w:r>
      <w:r w:rsidRPr="008B628A">
        <w:rPr>
          <w:rFonts w:ascii="Times New Roman" w:hAnsi="Times New Roman"/>
          <w:szCs w:val="24"/>
        </w:rPr>
        <w:t>. Tomēr kopējās ekonomikas SEG intensitāte periodā no 1995. gada samazinās un tiek prognozēts, ka šis samazinājums turpināsies arī periodā līdz 2030. gadam.</w:t>
      </w:r>
    </w:p>
    <w:p w14:paraId="364EAEE5" w14:textId="79F5675A" w:rsidR="00BE47E6" w:rsidRPr="008B628A" w:rsidRDefault="0043515A" w:rsidP="00BE47E6">
      <w:pPr>
        <w:spacing w:before="120" w:after="120" w:line="240" w:lineRule="auto"/>
        <w:jc w:val="center"/>
      </w:pPr>
      <w:r w:rsidRPr="008B628A">
        <w:rPr>
          <w:noProof/>
          <w:lang w:eastAsia="lv-LV"/>
        </w:rPr>
        <w:drawing>
          <wp:inline distT="0" distB="0" distL="0" distR="0" wp14:anchorId="338A1E4C" wp14:editId="31F36E9D">
            <wp:extent cx="4529808" cy="21621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5414" cy="2164851"/>
                    </a:xfrm>
                    <a:prstGeom prst="rect">
                      <a:avLst/>
                    </a:prstGeom>
                    <a:noFill/>
                  </pic:spPr>
                </pic:pic>
              </a:graphicData>
            </a:graphic>
          </wp:inline>
        </w:drawing>
      </w:r>
    </w:p>
    <w:p w14:paraId="039847B5" w14:textId="61FE1D70" w:rsidR="00BE47E6"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9" w:name="_Toc531333099"/>
      <w:r w:rsidR="006067D4">
        <w:rPr>
          <w:noProof/>
        </w:rPr>
        <w:t>18</w:t>
      </w:r>
      <w:r w:rsidRPr="008B628A">
        <w:rPr>
          <w:noProof/>
        </w:rPr>
        <w:fldChar w:fldCharType="end"/>
      </w:r>
      <w:r w:rsidR="0043515A" w:rsidRPr="008B628A">
        <w:t xml:space="preserve">.attēls. </w:t>
      </w:r>
      <w:r w:rsidR="00BE47E6" w:rsidRPr="008B628A">
        <w:t>Latvijas tautsaimniecības SEG emisiju intensitātes tendences</w:t>
      </w:r>
      <w:r w:rsidR="0043515A" w:rsidRPr="008B628A">
        <w:t xml:space="preserve"> 1995.-2017.g. – SEG emisijas uz IKP (kreisā ass) un uz iedzīvotāju skaitu (labā ass)</w:t>
      </w:r>
      <w:r w:rsidR="00BE47E6" w:rsidRPr="008B628A">
        <w:rPr>
          <w:rStyle w:val="FootnoteReference"/>
        </w:rPr>
        <w:footnoteReference w:id="172"/>
      </w:r>
      <w:bookmarkEnd w:id="289"/>
    </w:p>
    <w:p w14:paraId="5459B5FB" w14:textId="7A709AD3" w:rsidR="00FB49E8" w:rsidRPr="008B628A" w:rsidRDefault="00FB49E8" w:rsidP="00863FD7">
      <w:pPr>
        <w:pStyle w:val="Heading4"/>
        <w:rPr>
          <w:rStyle w:val="normaltextrun"/>
        </w:rPr>
      </w:pPr>
      <w:bookmarkStart w:id="290" w:name="_Toc527529538"/>
      <w:r w:rsidRPr="008B628A">
        <w:rPr>
          <w:rStyle w:val="normaltextrun"/>
        </w:rPr>
        <w:t>Īstenotie klimata finansējuma pasākumi</w:t>
      </w:r>
    </w:p>
    <w:p w14:paraId="41F52A45" w14:textId="6A8963BE"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KPFI</w:t>
      </w:r>
      <w:r w:rsidRPr="008B628A">
        <w:rPr>
          <w:rFonts w:ascii="Times New Roman" w:hAnsi="Times New Roman" w:cs="Times New Roman"/>
          <w:szCs w:val="24"/>
          <w:lang w:eastAsia="lv-LV"/>
        </w:rPr>
        <w:t xml:space="preserve"> </w:t>
      </w:r>
      <w:r w:rsidRPr="008B628A">
        <w:rPr>
          <w:rFonts w:ascii="Times New Roman" w:hAnsi="Times New Roman" w:cs="Times New Roman"/>
          <w:szCs w:val="24"/>
        </w:rPr>
        <w:t>darbība tika uzsākta 2009. gadā pēc tam, kad starptautiskās emisiju tirdzniecības ietvaros tika parakstīti pirmie līgumi par noteiktā daudzuma vienību</w:t>
      </w:r>
      <w:r w:rsidR="003D760C">
        <w:rPr>
          <w:rFonts w:ascii="Times New Roman" w:hAnsi="Times New Roman" w:cs="Times New Roman"/>
          <w:szCs w:val="24"/>
        </w:rPr>
        <w:t xml:space="preserve"> </w:t>
      </w:r>
      <w:r w:rsidRPr="008B628A">
        <w:rPr>
          <w:rFonts w:ascii="Times New Roman" w:hAnsi="Times New Roman" w:cs="Times New Roman"/>
          <w:szCs w:val="24"/>
        </w:rPr>
        <w:t>pārdošanu</w:t>
      </w:r>
      <w:r w:rsidR="003D760C">
        <w:rPr>
          <w:rFonts w:ascii="Times New Roman" w:hAnsi="Times New Roman" w:cs="Times New Roman"/>
          <w:szCs w:val="24"/>
        </w:rPr>
        <w:t xml:space="preserve"> – kopumā </w:t>
      </w:r>
      <w:r w:rsidRPr="008B628A">
        <w:rPr>
          <w:rFonts w:ascii="Times New Roman" w:hAnsi="Times New Roman" w:cs="Times New Roman"/>
          <w:szCs w:val="24"/>
        </w:rPr>
        <w:t>deviņi līgumi, tai skaitā ar vairākiem suverēnajiem un privātajiem pircējiem, tādejādi iegūstot aptuveni 208 milj. EUR, no kuriem aptuveni 204 milj. EUR paredzēti projektu finansēšanai, savukārt aptuveni EUR 4 milj. paredzēti ar projektu administrēšanu saistīto izdevumu finansēšanai. Finansējumu drīkst izlietot tikai un vienīgi pasākumiem, kas nodrošina SEG emisiju samazināšanu un klimata pārmaiņu novēršanu.</w:t>
      </w:r>
    </w:p>
    <w:p w14:paraId="756380EA" w14:textId="7777777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KPFI finansējums tika pārdalīts atbilstoši MK protokollēmumiem un izmantots, organizējot atklātos projektu iesniegumu konkursus (turpmāk – konkurss) atbilstoši apstiprinātajiem MK noteikumiem. Kopumā KPFI finansējums pārdalīts 16 dažādiem konkursiem.</w:t>
      </w:r>
    </w:p>
    <w:p w14:paraId="055587C6" w14:textId="45FCA748"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No KPFI pieejamā finansējuma 56 % (107,5 milj.EUR) tika piešķirti projektu īstenošanai konkursos (“Kompleksi risinājumi siltumnīcefekta gāzu emisiju samazināšanai valsts un pašvaldību profesionālās izglītības iestāžu ēkās”, “Kompleksi risinājumi siltumnīcefekta gāzu emisiju samazināšanai ražošanas ēkās”, “Kompleksi risinājumi siltumnīcefekta gāzu emisijas samazināšanai pašvaldību ēkās” un “Kompleksi risinājumi siltumnīcefekta gāzu emisiju samazināšanai”), kuros ir kompleksi risinājumi, t.i., vienlaicīgi tiek atbalstīta gan energoefektivitātes pasākumu īstenošana ēkās, gan AER tehnoloģiju uzstādīšana.  26 % (53,15 milj.EUR) tika piešķirti projektu īstenošanai konkursos (“Energoefektivitātes paaugstināšana pašvaldību ēkās”, “Energoefektivitātes paaugstināšana augstākās izglītības iestāžu ēkās”,  “Zema enerģijas patēriņa ēkas” un “Siltumnīcefekta gāzu emisiju samazināšana pašvaldību publisko teritoriju apgaismojuma infrastruktūrā”), kuros tiek atbalstīti energoefektivitātes pasākumi. 12 % (24,222 milj.EUR) tika piešķirti projektu īstenošanai konkursos (“Tehnoloģiju pāreja no fosilajiem uz atjaunojamiem energoresursiem”, “Atjaunojamo energoresursu izmantošana mājsaimniecību sektorā” un “Atjaunojamo energoresursu izmantošana siltumnīcefekta gāzu emisiju samazināšanai”), kuros plānota tehnoloģiju pāreja no tehnoloģijām, kurās izmanto fosilos energoresursus uz tehnoloģijām, kurās izmanto </w:t>
      </w:r>
      <w:r w:rsidR="008000C9">
        <w:rPr>
          <w:rFonts w:ascii="Times New Roman" w:hAnsi="Times New Roman" w:cs="Times New Roman"/>
          <w:szCs w:val="24"/>
        </w:rPr>
        <w:t>AER</w:t>
      </w:r>
      <w:r w:rsidRPr="008B628A">
        <w:rPr>
          <w:rFonts w:ascii="Times New Roman" w:hAnsi="Times New Roman" w:cs="Times New Roman"/>
          <w:szCs w:val="24"/>
        </w:rPr>
        <w:t>, 2 % (4,82 milj.EUR) tika piešķirti projektu īstenošanai konkursos (“Siltumnīcefekta gāzu emisijas samazinošu tehnoloģiju attīstīšana”, “Sabiedrības izpratnes attīstīšana par siltumnīcefekta gāzu emisiju samazināšanas nozīmi un iespējām” un “Siltumnīcefekta gāzu emisijas samazinošu tehnoloģiju attīstīšana un pilotprojektu īstenošana”), kuros plānota tehnoloģiju attīstība un sabiedrības informēšana un 2 % (2,95 milj.EUR) tika piešķirti projektu īstenošanai konkursā “Siltumnīcefekta gāzu emisijas samazināšana transporta sektorā – atbalsts elektromobiļu un to uzlādes infrastruktūras ieviešanai”, kurā plānota SEG samazināšana transporta sektorā.</w:t>
      </w:r>
    </w:p>
    <w:p w14:paraId="3D4666A9" w14:textId="7777777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Plašāka informācija par KPFI ietvaros īstenotajiem konkursiem pieejama ikgadējos informatīvajos ziņojumos par Klimata pārmaiņu finanšu instrumenta darbību konkrētajā gadā. </w:t>
      </w:r>
    </w:p>
    <w:p w14:paraId="50DD2FEB" w14:textId="3CCA7B9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2014.-2020. gada ES struktūrfondu un KF plānošanas perioda darbības programmas “Izaugsme un nodarbinātība” 4.2.2. specifiskā atbalsta mērķa “Atbilstoši pašvaldības integrētajām attīstības programmām sekmēt energoefektivitātes paaugstināšanu un atjaunojamo energoresursu izmantošanu pašvaldību ēkās” ietvaros tiek veikti ieguldījumi </w:t>
      </w:r>
      <w:r w:rsidRPr="008B628A">
        <w:rPr>
          <w:rFonts w:ascii="Times New Roman" w:eastAsia="Calibri" w:hAnsi="Times New Roman" w:cs="Times New Roman"/>
          <w:szCs w:val="24"/>
        </w:rPr>
        <w:t>AER</w:t>
      </w:r>
      <w:r w:rsidRPr="008B628A">
        <w:rPr>
          <w:rFonts w:ascii="Times New Roman" w:hAnsi="Times New Roman" w:cs="Times New Roman"/>
          <w:szCs w:val="24"/>
        </w:rPr>
        <w:t xml:space="preserve"> izmantojošu siltumavotu, t.sk. saules kolektoru, saules bateriju, siltumsūkņu uzstādīšanā pašvaldības ēkās, ja šī darbība nodrošina pāreju no fosilo energoresursu izmantošanas uz AER izmantošanu. Saskaņā ar šajā darbības programmā noteikto 4.2.2. specifiskā atbalsta mērķa projektos no AER </w:t>
      </w:r>
      <w:r w:rsidR="00D60879">
        <w:rPr>
          <w:rFonts w:ascii="Times New Roman" w:hAnsi="Times New Roman" w:cs="Times New Roman"/>
          <w:szCs w:val="24"/>
        </w:rPr>
        <w:t xml:space="preserve">iegūtā papildu jauda </w:t>
      </w:r>
      <w:r w:rsidR="003D760C">
        <w:rPr>
          <w:rFonts w:ascii="Times New Roman" w:hAnsi="Times New Roman" w:cs="Times New Roman"/>
          <w:szCs w:val="24"/>
        </w:rPr>
        <w:t>tiks nodrošināta</w:t>
      </w:r>
      <w:r w:rsidRPr="008B628A">
        <w:rPr>
          <w:rFonts w:ascii="Times New Roman" w:hAnsi="Times New Roman" w:cs="Times New Roman"/>
          <w:szCs w:val="24"/>
        </w:rPr>
        <w:t xml:space="preserve"> vismaz 1,8 MW apmērā.</w:t>
      </w:r>
    </w:p>
    <w:p w14:paraId="1B7FFDF5" w14:textId="701663BE" w:rsidR="006C746B" w:rsidRPr="008B628A" w:rsidRDefault="000A7C80" w:rsidP="00863FD7">
      <w:pPr>
        <w:pStyle w:val="Heading4"/>
      </w:pPr>
      <w:r w:rsidRPr="008B628A">
        <w:rPr>
          <w:rStyle w:val="normaltextrun"/>
        </w:rPr>
        <w:t>Indikatīvās attīstības p</w:t>
      </w:r>
      <w:r w:rsidR="006C746B" w:rsidRPr="008B628A">
        <w:rPr>
          <w:rStyle w:val="normaltextrun"/>
        </w:rPr>
        <w:t>rognozes</w:t>
      </w:r>
      <w:bookmarkEnd w:id="290"/>
      <w:r w:rsidR="006C746B" w:rsidRPr="008B628A">
        <w:rPr>
          <w:rStyle w:val="eop"/>
        </w:rPr>
        <w:t> </w:t>
      </w:r>
    </w:p>
    <w:p w14:paraId="79CAFCD9" w14:textId="0C20B148" w:rsidR="00E61F96" w:rsidRPr="007B1149" w:rsidRDefault="00E61F96" w:rsidP="00FE39FE">
      <w:pPr>
        <w:spacing w:before="120" w:after="120" w:line="240" w:lineRule="auto"/>
        <w:jc w:val="both"/>
        <w:rPr>
          <w:rFonts w:asciiTheme="majorBidi" w:hAnsiTheme="majorBidi" w:cstheme="majorBidi"/>
          <w:szCs w:val="24"/>
        </w:rPr>
      </w:pPr>
      <w:bookmarkStart w:id="291" w:name="_Toc520978871"/>
      <w:r>
        <w:rPr>
          <w:rFonts w:asciiTheme="majorBidi" w:hAnsiTheme="majorBidi" w:cstheme="majorBidi"/>
          <w:szCs w:val="24"/>
        </w:rPr>
        <w:t>Tiek prognozēts, ka 2030</w:t>
      </w:r>
      <w:r w:rsidRPr="007B1149">
        <w:rPr>
          <w:rFonts w:asciiTheme="majorBidi" w:hAnsiTheme="majorBidi" w:cstheme="majorBidi"/>
          <w:szCs w:val="24"/>
        </w:rPr>
        <w:t>.gadā</w:t>
      </w:r>
      <w:r>
        <w:rPr>
          <w:rFonts w:asciiTheme="majorBidi" w:hAnsiTheme="majorBidi" w:cstheme="majorBidi"/>
          <w:szCs w:val="24"/>
        </w:rPr>
        <w:t xml:space="preserve"> ne-ETS darbību SEG emisiju apjoms palielināsies līdz 85% no kopējā SEG emisiju apjoma, salīdzinot ar 81% 2016.gadā. </w:t>
      </w:r>
      <w:r w:rsidRPr="007B1149">
        <w:rPr>
          <w:rFonts w:asciiTheme="majorBidi" w:hAnsiTheme="majorBidi" w:cstheme="majorBidi"/>
          <w:szCs w:val="24"/>
        </w:rPr>
        <w:t xml:space="preserve">Laika periodā no </w:t>
      </w:r>
      <w:r>
        <w:rPr>
          <w:rFonts w:asciiTheme="majorBidi" w:hAnsiTheme="majorBidi" w:cstheme="majorBidi"/>
          <w:szCs w:val="24"/>
        </w:rPr>
        <w:t>2005. līdz</w:t>
      </w:r>
      <w:r w:rsidRPr="007B1149">
        <w:rPr>
          <w:rFonts w:asciiTheme="majorBidi" w:hAnsiTheme="majorBidi" w:cstheme="majorBidi"/>
          <w:szCs w:val="24"/>
        </w:rPr>
        <w:t xml:space="preserve"> 2030. gadam tiek prognozēts 5% samazinājums kopējām ne–ETS SEG emisijām. Lielākā daļa no ne-ETS 2005. un 2030. gada emisijām rodas </w:t>
      </w:r>
      <w:r>
        <w:rPr>
          <w:rFonts w:asciiTheme="majorBidi" w:hAnsiTheme="majorBidi" w:cstheme="majorBidi"/>
          <w:szCs w:val="24"/>
        </w:rPr>
        <w:t>t</w:t>
      </w:r>
      <w:r w:rsidRPr="007B1149">
        <w:rPr>
          <w:rFonts w:asciiTheme="majorBidi" w:hAnsiTheme="majorBidi" w:cstheme="majorBidi"/>
          <w:szCs w:val="24"/>
        </w:rPr>
        <w:t>ransporta (36%; 32% attiecīgi), lauksaimniecības (27%; 38% attiecīgi)  un ne-ETS Enerģētikas sektoros (27%; 23% attiecīgi)  (</w:t>
      </w:r>
      <w:r>
        <w:rPr>
          <w:rFonts w:asciiTheme="majorBidi" w:hAnsiTheme="majorBidi" w:cstheme="majorBidi"/>
          <w:szCs w:val="24"/>
        </w:rPr>
        <w:t>t.sk.</w:t>
      </w:r>
      <w:r w:rsidRPr="007B1149">
        <w:rPr>
          <w:rFonts w:asciiTheme="majorBidi" w:hAnsiTheme="majorBidi" w:cstheme="majorBidi"/>
          <w:szCs w:val="24"/>
        </w:rPr>
        <w:t xml:space="preserve"> rūpniecības, pakalpojumu, mājsaimniecībā, lauksaimniecībā, mežsaimniecībā).</w:t>
      </w:r>
    </w:p>
    <w:p w14:paraId="7B52FFF3" w14:textId="77777777" w:rsidR="00E61F96" w:rsidRPr="00787582" w:rsidRDefault="00E61F96" w:rsidP="00FE39FE">
      <w:pPr>
        <w:spacing w:before="120" w:after="120" w:line="240" w:lineRule="auto"/>
        <w:rPr>
          <w:rFonts w:asciiTheme="majorBidi" w:eastAsia="Calibri" w:hAnsiTheme="majorBidi" w:cstheme="majorBidi"/>
        </w:rPr>
      </w:pPr>
    </w:p>
    <w:p w14:paraId="3A31F581" w14:textId="77777777" w:rsidR="00E61F96" w:rsidRPr="00787582" w:rsidRDefault="00E61F96" w:rsidP="00FE39FE">
      <w:pPr>
        <w:spacing w:before="120" w:after="120" w:line="240" w:lineRule="auto"/>
        <w:jc w:val="center"/>
        <w:rPr>
          <w:rFonts w:asciiTheme="majorBidi" w:eastAsia="Calibri" w:hAnsiTheme="majorBidi" w:cstheme="majorBidi"/>
        </w:rPr>
      </w:pPr>
      <w:r w:rsidRPr="00787582">
        <w:rPr>
          <w:rFonts w:asciiTheme="majorBidi" w:hAnsiTheme="majorBidi" w:cstheme="majorBidi"/>
          <w:noProof/>
          <w:lang w:eastAsia="lv-LV"/>
        </w:rPr>
        <w:lastRenderedPageBreak/>
        <w:drawing>
          <wp:inline distT="0" distB="0" distL="0" distR="0" wp14:anchorId="2A33B634" wp14:editId="7A3F367F">
            <wp:extent cx="4817110" cy="253208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2192" cy="2534757"/>
                    </a:xfrm>
                    <a:prstGeom prst="rect">
                      <a:avLst/>
                    </a:prstGeom>
                  </pic:spPr>
                </pic:pic>
              </a:graphicData>
            </a:graphic>
          </wp:inline>
        </w:drawing>
      </w:r>
    </w:p>
    <w:p w14:paraId="18D8744F" w14:textId="1F0A8410" w:rsidR="00E61F96" w:rsidRPr="00E61F96" w:rsidRDefault="00E61F96" w:rsidP="00FE39FE">
      <w:pPr>
        <w:pStyle w:val="Caption"/>
        <w:rPr>
          <w:rFonts w:asciiTheme="majorBidi" w:eastAsia="Calibri" w:hAnsiTheme="majorBidi" w:cstheme="majorBidi"/>
        </w:rPr>
      </w:pPr>
      <w:r w:rsidRPr="00E61F96">
        <w:rPr>
          <w:rFonts w:asciiTheme="majorBidi" w:eastAsia="Calibri" w:hAnsiTheme="majorBidi" w:cstheme="majorBidi"/>
        </w:rPr>
        <w:fldChar w:fldCharType="begin"/>
      </w:r>
      <w:r w:rsidRPr="00E61F96">
        <w:rPr>
          <w:rFonts w:asciiTheme="majorBidi" w:eastAsia="Calibri" w:hAnsiTheme="majorBidi" w:cstheme="majorBidi"/>
        </w:rPr>
        <w:instrText xml:space="preserve"> SEQ Ilustrācija \* ARABIC </w:instrText>
      </w:r>
      <w:r w:rsidRPr="00E61F96">
        <w:rPr>
          <w:rFonts w:asciiTheme="majorBidi" w:eastAsia="Calibri" w:hAnsiTheme="majorBidi" w:cstheme="majorBidi"/>
        </w:rPr>
        <w:fldChar w:fldCharType="separate"/>
      </w:r>
      <w:r w:rsidR="006067D4">
        <w:rPr>
          <w:rFonts w:asciiTheme="majorBidi" w:eastAsia="Calibri" w:hAnsiTheme="majorBidi" w:cstheme="majorBidi"/>
          <w:noProof/>
        </w:rPr>
        <w:t>19</w:t>
      </w:r>
      <w:r w:rsidRPr="00E61F96">
        <w:rPr>
          <w:rFonts w:asciiTheme="majorBidi" w:eastAsia="Calibri" w:hAnsiTheme="majorBidi" w:cstheme="majorBidi"/>
        </w:rPr>
        <w:fldChar w:fldCharType="end"/>
      </w:r>
      <w:r w:rsidRPr="00E61F96">
        <w:t xml:space="preserve">.attēls. </w:t>
      </w:r>
      <w:r w:rsidRPr="00E61F96">
        <w:rPr>
          <w:rFonts w:asciiTheme="majorBidi" w:eastAsia="Calibri" w:hAnsiTheme="majorBidi" w:cstheme="majorBidi"/>
        </w:rPr>
        <w:t xml:space="preserve">Latvijas ne-ETS SEG emisiju indikatīvās prognozes līdz 2030.gadam </w:t>
      </w:r>
    </w:p>
    <w:p w14:paraId="42F2C002" w14:textId="7DEBD22B" w:rsidR="00E61F96" w:rsidRPr="00E61F96" w:rsidRDefault="00E61F96" w:rsidP="00FE39FE">
      <w:pPr>
        <w:spacing w:before="120" w:after="120" w:line="240" w:lineRule="auto"/>
        <w:jc w:val="both"/>
        <w:rPr>
          <w:rFonts w:asciiTheme="majorBidi" w:eastAsia="Calibri" w:hAnsiTheme="majorBidi" w:cstheme="majorBidi"/>
        </w:rPr>
      </w:pPr>
      <w:r w:rsidRPr="00E61F96">
        <w:rPr>
          <w:rFonts w:asciiTheme="majorBidi" w:eastAsia="Calibri" w:hAnsiTheme="majorBidi" w:cstheme="majorBidi"/>
        </w:rPr>
        <w:t xml:space="preserve">Saskaņā ar indikatīvajām prognozēm </w:t>
      </w:r>
      <w:r w:rsidRPr="00E61F96">
        <w:rPr>
          <w:rFonts w:asciiTheme="majorBidi" w:eastAsia="Calibri" w:hAnsiTheme="majorBidi" w:cstheme="majorBidi"/>
          <w:bCs/>
        </w:rPr>
        <w:t>2030. gadā Latvijas ne-ETS sektora SEG emisiju apjoms būs 8158,78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r w:rsidRPr="00E61F96">
        <w:rPr>
          <w:rFonts w:asciiTheme="majorBidi" w:eastAsia="Calibri" w:hAnsiTheme="majorBidi" w:cstheme="majorBidi"/>
        </w:rPr>
        <w:t xml:space="preserve">., un tas ir </w:t>
      </w:r>
      <w:r w:rsidRPr="00E61F96">
        <w:rPr>
          <w:rFonts w:asciiTheme="majorBidi" w:eastAsia="Calibri" w:hAnsiTheme="majorBidi" w:cstheme="majorBidi"/>
          <w:bCs/>
        </w:rPr>
        <w:t>par 75,13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r>
        <w:rPr>
          <w:rFonts w:asciiTheme="majorBidi" w:eastAsia="Calibri" w:hAnsiTheme="majorBidi" w:cstheme="majorBidi"/>
          <w:bCs/>
        </w:rPr>
        <w:t xml:space="preserve"> jeb 0,93%</w:t>
      </w:r>
      <w:r w:rsidRPr="00E61F96">
        <w:rPr>
          <w:rFonts w:asciiTheme="majorBidi" w:eastAsia="Calibri" w:hAnsiTheme="majorBidi" w:cstheme="majorBidi"/>
          <w:bCs/>
        </w:rPr>
        <w:t xml:space="preserve"> vairāk</w:t>
      </w:r>
      <w:r w:rsidRPr="00E61F96">
        <w:rPr>
          <w:rFonts w:asciiTheme="majorBidi" w:eastAsia="Calibri" w:hAnsiTheme="majorBidi" w:cstheme="majorBidi"/>
        </w:rPr>
        <w:t xml:space="preserve"> nekā indikatīvais 2030. gada SEG mērķis (8083,65</w:t>
      </w:r>
      <w:r w:rsidRPr="00E61F96">
        <w:rPr>
          <w:rFonts w:asciiTheme="majorBidi" w:eastAsia="Calibri" w:hAnsiTheme="majorBidi" w:cstheme="majorBidi"/>
          <w:bCs/>
        </w:rPr>
        <w:t xml:space="preserve"> </w:t>
      </w:r>
      <w:r w:rsidRPr="00E61F96">
        <w:rPr>
          <w:rFonts w:asciiTheme="majorBidi" w:eastAsia="Calibri" w:hAnsiTheme="majorBidi" w:cstheme="majorBidi"/>
        </w:rPr>
        <w:t>kt CO</w:t>
      </w:r>
      <w:r w:rsidRPr="00E61F96">
        <w:rPr>
          <w:rFonts w:asciiTheme="majorBidi" w:eastAsia="Calibri" w:hAnsiTheme="majorBidi" w:cstheme="majorBidi"/>
          <w:vertAlign w:val="subscript"/>
        </w:rPr>
        <w:t>2</w:t>
      </w:r>
      <w:r w:rsidRPr="00E61F96">
        <w:rPr>
          <w:rFonts w:asciiTheme="majorBidi" w:eastAsia="Calibri" w:hAnsiTheme="majorBidi" w:cstheme="majorBidi"/>
        </w:rPr>
        <w:t xml:space="preserve"> ekv). </w:t>
      </w:r>
    </w:p>
    <w:p w14:paraId="6AFFF92E" w14:textId="77777777" w:rsidR="00E61F96" w:rsidRPr="00787582" w:rsidRDefault="00E61F96" w:rsidP="00FE39FE">
      <w:pPr>
        <w:spacing w:before="120" w:after="120" w:line="240" w:lineRule="auto"/>
        <w:jc w:val="center"/>
        <w:rPr>
          <w:rFonts w:asciiTheme="majorBidi" w:eastAsia="Calibri" w:hAnsiTheme="majorBidi" w:cstheme="majorBidi"/>
        </w:rPr>
      </w:pPr>
      <w:r w:rsidRPr="00787582">
        <w:rPr>
          <w:rFonts w:asciiTheme="majorBidi" w:hAnsiTheme="majorBidi" w:cstheme="majorBidi"/>
          <w:noProof/>
          <w:lang w:eastAsia="lv-LV"/>
        </w:rPr>
        <w:drawing>
          <wp:inline distT="0" distB="0" distL="0" distR="0" wp14:anchorId="1B4BD95E" wp14:editId="47DEAF42">
            <wp:extent cx="4562475" cy="262839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3806" cy="2640684"/>
                    </a:xfrm>
                    <a:prstGeom prst="rect">
                      <a:avLst/>
                    </a:prstGeom>
                  </pic:spPr>
                </pic:pic>
              </a:graphicData>
            </a:graphic>
          </wp:inline>
        </w:drawing>
      </w:r>
    </w:p>
    <w:p w14:paraId="79075ACF" w14:textId="50673179" w:rsidR="00E61F96" w:rsidRPr="00E61F96" w:rsidRDefault="00E61F96" w:rsidP="00FE39FE">
      <w:pPr>
        <w:pStyle w:val="Caption"/>
        <w:rPr>
          <w:rFonts w:asciiTheme="majorBidi" w:eastAsia="Calibri" w:hAnsiTheme="majorBidi" w:cstheme="majorBidi"/>
          <w:bCs/>
        </w:rPr>
      </w:pPr>
      <w:r w:rsidRPr="00E61F96">
        <w:rPr>
          <w:rFonts w:asciiTheme="majorBidi" w:eastAsia="Calibri" w:hAnsiTheme="majorBidi" w:cstheme="majorBidi"/>
          <w:bCs/>
        </w:rPr>
        <w:fldChar w:fldCharType="begin"/>
      </w:r>
      <w:r w:rsidRPr="00E61F96">
        <w:rPr>
          <w:rFonts w:asciiTheme="majorBidi" w:eastAsia="Calibri" w:hAnsiTheme="majorBidi" w:cstheme="majorBidi"/>
          <w:bCs/>
        </w:rPr>
        <w:instrText xml:space="preserve"> SEQ Ilustrācija \* ARABIC </w:instrText>
      </w:r>
      <w:r w:rsidRPr="00E61F96">
        <w:rPr>
          <w:rFonts w:asciiTheme="majorBidi" w:eastAsia="Calibri" w:hAnsiTheme="majorBidi" w:cstheme="majorBidi"/>
          <w:bCs/>
        </w:rPr>
        <w:fldChar w:fldCharType="separate"/>
      </w:r>
      <w:r w:rsidR="006067D4">
        <w:rPr>
          <w:rFonts w:asciiTheme="majorBidi" w:eastAsia="Calibri" w:hAnsiTheme="majorBidi" w:cstheme="majorBidi"/>
          <w:bCs/>
          <w:noProof/>
        </w:rPr>
        <w:t>20</w:t>
      </w:r>
      <w:r w:rsidRPr="00E61F96">
        <w:rPr>
          <w:rFonts w:asciiTheme="majorBidi" w:eastAsia="Calibri" w:hAnsiTheme="majorBidi" w:cstheme="majorBidi"/>
          <w:bCs/>
        </w:rPr>
        <w:fldChar w:fldCharType="end"/>
      </w:r>
      <w:r w:rsidRPr="00E61F96">
        <w:t>.attēls.</w:t>
      </w:r>
      <w:r w:rsidRPr="00E61F96">
        <w:rPr>
          <w:rFonts w:asciiTheme="majorBidi" w:eastAsia="Calibri" w:hAnsiTheme="majorBidi" w:cstheme="majorBidi"/>
          <w:bCs/>
        </w:rPr>
        <w:t xml:space="preserve"> Ne-ETS faktiskās SEG emisijas (līdz 2016.gadam) un SEG emisiju indikatīvā prognoze.</w:t>
      </w:r>
    </w:p>
    <w:p w14:paraId="5D826AD5" w14:textId="3F393520" w:rsidR="00E61F96" w:rsidRPr="00787582" w:rsidRDefault="00E61F96" w:rsidP="00FE39FE">
      <w:pPr>
        <w:spacing w:before="120" w:after="120" w:line="240" w:lineRule="auto"/>
        <w:jc w:val="both"/>
        <w:rPr>
          <w:rFonts w:asciiTheme="majorBidi" w:hAnsiTheme="majorBidi" w:cstheme="majorBidi"/>
        </w:rPr>
      </w:pPr>
      <w:r w:rsidRPr="00F06C9C">
        <w:rPr>
          <w:rFonts w:asciiTheme="majorBidi" w:hAnsiTheme="majorBidi" w:cstheme="majorBidi"/>
        </w:rPr>
        <w:t xml:space="preserve">Galvenās enerģētikas </w:t>
      </w:r>
      <w:r>
        <w:rPr>
          <w:rFonts w:asciiTheme="majorBidi" w:hAnsiTheme="majorBidi" w:cstheme="majorBidi"/>
        </w:rPr>
        <w:t>sektora emisiju indikatīvās prognozes</w:t>
      </w:r>
      <w:r w:rsidRPr="00F06C9C">
        <w:rPr>
          <w:rFonts w:asciiTheme="majorBidi" w:hAnsiTheme="majorBidi" w:cstheme="majorBidi"/>
        </w:rPr>
        <w:t xml:space="preserve"> ietekmējošās politikas </w:t>
      </w:r>
      <w:r w:rsidR="00D60879">
        <w:rPr>
          <w:rFonts w:asciiTheme="majorBidi" w:hAnsiTheme="majorBidi" w:cstheme="majorBidi"/>
        </w:rPr>
        <w:t>AER</w:t>
      </w:r>
      <w:r w:rsidRPr="00F06C9C">
        <w:rPr>
          <w:rFonts w:asciiTheme="majorBidi" w:hAnsiTheme="majorBidi" w:cstheme="majorBidi"/>
        </w:rPr>
        <w:t xml:space="preserve"> politika un energoefektivitātes politika. SEG emisiju samazināšanos sektorā visvairāk nosaka energoefektivitātes pasākumi mājsaimniecību un pakalpojumu sektorā. Vispārējās lietošanas katlumājās SEG emisiju samazināšanos g</w:t>
      </w:r>
      <w:r w:rsidR="00011268">
        <w:rPr>
          <w:rFonts w:asciiTheme="majorBidi" w:hAnsiTheme="majorBidi" w:cstheme="majorBidi"/>
        </w:rPr>
        <w:t xml:space="preserve">alvenokārt </w:t>
      </w:r>
      <w:r w:rsidRPr="00F06C9C">
        <w:rPr>
          <w:rFonts w:asciiTheme="majorBidi" w:hAnsiTheme="majorBidi" w:cstheme="majorBidi"/>
        </w:rPr>
        <w:t>nosaka ener</w:t>
      </w:r>
      <w:r w:rsidR="00011268">
        <w:rPr>
          <w:rFonts w:asciiTheme="majorBidi" w:hAnsiTheme="majorBidi" w:cstheme="majorBidi"/>
        </w:rPr>
        <w:t>go</w:t>
      </w:r>
      <w:r w:rsidRPr="00F06C9C">
        <w:rPr>
          <w:rFonts w:asciiTheme="majorBidi" w:hAnsiTheme="majorBidi" w:cstheme="majorBidi"/>
        </w:rPr>
        <w:t xml:space="preserve">efektivitātes pasākumu īstenošana pie enerģijas galapatērētājiem un fosilā kurināmā aizvietošana ar </w:t>
      </w:r>
      <w:r w:rsidR="00D60879">
        <w:rPr>
          <w:rFonts w:asciiTheme="majorBidi" w:hAnsiTheme="majorBidi" w:cstheme="majorBidi"/>
        </w:rPr>
        <w:t>AER</w:t>
      </w:r>
      <w:r w:rsidRPr="00F06C9C">
        <w:rPr>
          <w:rFonts w:asciiTheme="majorBidi" w:hAnsiTheme="majorBidi" w:cstheme="majorBidi"/>
        </w:rPr>
        <w:t xml:space="preserve">. SEG emisiju samazināšanos mājsaimniecībās daļēji ietekmē arī prognoze par iedzīvotāju skaita samazināšanos. </w:t>
      </w:r>
    </w:p>
    <w:p w14:paraId="64BE259D" w14:textId="7A6DF00C" w:rsidR="00E61F96" w:rsidRPr="00787582" w:rsidRDefault="00E61F96" w:rsidP="00FE39FE">
      <w:pPr>
        <w:spacing w:before="120" w:after="120" w:line="240" w:lineRule="auto"/>
        <w:jc w:val="both"/>
        <w:rPr>
          <w:rFonts w:asciiTheme="majorBidi" w:eastAsia="Calibri" w:hAnsiTheme="majorBidi" w:cstheme="majorBidi"/>
        </w:rPr>
      </w:pPr>
      <w:r w:rsidRPr="00F06C9C">
        <w:rPr>
          <w:rFonts w:asciiTheme="majorBidi" w:eastAsia="Calibri" w:hAnsiTheme="majorBidi" w:cstheme="majorBidi"/>
        </w:rPr>
        <w:t>Galvenais SEG emisiju avots transportā ir autotransports</w:t>
      </w:r>
      <w:r>
        <w:rPr>
          <w:rFonts w:asciiTheme="majorBidi" w:eastAsia="Calibri" w:hAnsiTheme="majorBidi" w:cstheme="majorBidi"/>
        </w:rPr>
        <w:t xml:space="preserve"> –</w:t>
      </w:r>
      <w:r w:rsidRPr="00F06C9C">
        <w:rPr>
          <w:rFonts w:asciiTheme="majorBidi" w:eastAsia="Calibri" w:hAnsiTheme="majorBidi" w:cstheme="majorBidi"/>
        </w:rPr>
        <w:t xml:space="preserve"> tā devums ir mazliet vairāk </w:t>
      </w:r>
      <w:r>
        <w:rPr>
          <w:rFonts w:asciiTheme="majorBidi" w:eastAsia="Calibri" w:hAnsiTheme="majorBidi" w:cstheme="majorBidi"/>
        </w:rPr>
        <w:t>ne</w:t>
      </w:r>
      <w:r w:rsidRPr="00F06C9C">
        <w:rPr>
          <w:rFonts w:asciiTheme="majorBidi" w:eastAsia="Calibri" w:hAnsiTheme="majorBidi" w:cstheme="majorBidi"/>
        </w:rPr>
        <w:t xml:space="preserve">kā 90% no kopējām emisijām sektorā. Neskatoties uz prognozēto mobilitātes rādītāju līdz 2030.gadam palielināšanos (pasažieru apgrozība un kravu apgrozība), degvielas patēriņš, pateicoties Latvijā izmantojamo pasažieru automašīnu nomaiņu uz efektīvākām, tajā pašā laikā samazinās. SEG emisiju samazināšanos, papildus degvielas patēriņa samazināšanai, nosaka arī alternatīvo un atjaunojamo degvielu plašāka izmantošana. </w:t>
      </w:r>
    </w:p>
    <w:p w14:paraId="2D51DA61" w14:textId="5F99C6CE" w:rsidR="00E61F96" w:rsidRPr="00F06C9C" w:rsidRDefault="00E61F96" w:rsidP="00FE39FE">
      <w:pPr>
        <w:spacing w:before="120" w:after="120" w:line="240" w:lineRule="auto"/>
        <w:jc w:val="both"/>
        <w:rPr>
          <w:rFonts w:asciiTheme="majorBidi" w:eastAsia="Calibri" w:hAnsiTheme="majorBidi" w:cstheme="majorBidi"/>
        </w:rPr>
      </w:pPr>
      <w:r w:rsidRPr="00F06C9C">
        <w:rPr>
          <w:rFonts w:asciiTheme="majorBidi" w:eastAsia="Calibri" w:hAnsiTheme="majorBidi" w:cstheme="majorBidi"/>
        </w:rPr>
        <w:t xml:space="preserve">Lauksaimniecības sektorā </w:t>
      </w:r>
      <w:r w:rsidR="00FE39FE">
        <w:rPr>
          <w:rFonts w:asciiTheme="majorBidi" w:eastAsia="Calibri" w:hAnsiTheme="majorBidi" w:cstheme="majorBidi"/>
        </w:rPr>
        <w:t xml:space="preserve">uz 2030.gadu </w:t>
      </w:r>
      <w:r w:rsidRPr="00F06C9C">
        <w:rPr>
          <w:rFonts w:asciiTheme="majorBidi" w:eastAsia="Calibri" w:hAnsiTheme="majorBidi" w:cstheme="majorBidi"/>
        </w:rPr>
        <w:t xml:space="preserve">visvairāk samazinājušās kūtsmēslu apsaimniekošanas radītās emisijas (līdz 10%) un emisijas no augsnēm (līdz 11%). Ievērojami ir pieaugušas emisijas </w:t>
      </w:r>
      <w:r w:rsidRPr="00F06C9C">
        <w:rPr>
          <w:rFonts w:asciiTheme="majorBidi" w:eastAsia="Calibri" w:hAnsiTheme="majorBidi" w:cstheme="majorBidi"/>
        </w:rPr>
        <w:lastRenderedPageBreak/>
        <w:t xml:space="preserve">no augšņu kaļķošanas (līdz 40%), kas tieši saistāms ar darbības datu prognozēm par kaļķošanas materiāla aizmantošanu. </w:t>
      </w:r>
    </w:p>
    <w:p w14:paraId="4A4CC4E1" w14:textId="296CB836" w:rsidR="00FE39FE" w:rsidRPr="00F06C9C" w:rsidRDefault="00FE39FE" w:rsidP="00FE39FE">
      <w:pPr>
        <w:spacing w:before="120" w:after="120" w:line="240" w:lineRule="auto"/>
        <w:jc w:val="both"/>
        <w:rPr>
          <w:rFonts w:asciiTheme="majorBidi" w:eastAsia="Calibri" w:hAnsiTheme="majorBidi" w:cstheme="majorBidi"/>
          <w:b/>
          <w:bCs/>
          <w:szCs w:val="24"/>
        </w:rPr>
      </w:pPr>
      <w:r w:rsidRPr="00F06C9C">
        <w:rPr>
          <w:rFonts w:asciiTheme="majorBidi" w:eastAsia="Calibri" w:hAnsiTheme="majorBidi" w:cstheme="majorBidi"/>
          <w:szCs w:val="24"/>
        </w:rPr>
        <w:t>Atkritumu apsaimniekošanas sektorā ne-ETS SEG emisijas pakāpeniski samazinās no 618 (2016. gadā) līdz 326 kt CO</w:t>
      </w:r>
      <w:r w:rsidRPr="00F06C9C">
        <w:rPr>
          <w:rFonts w:asciiTheme="majorBidi" w:eastAsia="Calibri" w:hAnsiTheme="majorBidi" w:cstheme="majorBidi"/>
          <w:szCs w:val="24"/>
          <w:vertAlign w:val="subscript"/>
        </w:rPr>
        <w:t>2</w:t>
      </w:r>
      <w:r w:rsidRPr="00F06C9C">
        <w:rPr>
          <w:rFonts w:asciiTheme="majorBidi" w:eastAsia="Calibri" w:hAnsiTheme="majorBidi" w:cstheme="majorBidi"/>
          <w:szCs w:val="24"/>
        </w:rPr>
        <w:t xml:space="preserve"> ekv.  2030. gadā un 245 kt CO</w:t>
      </w:r>
      <w:r w:rsidRPr="00F06C9C">
        <w:rPr>
          <w:rFonts w:asciiTheme="majorBidi" w:eastAsia="Calibri" w:hAnsiTheme="majorBidi" w:cstheme="majorBidi"/>
          <w:szCs w:val="24"/>
          <w:vertAlign w:val="subscript"/>
        </w:rPr>
        <w:t>2</w:t>
      </w:r>
      <w:r w:rsidRPr="00F06C9C">
        <w:rPr>
          <w:rFonts w:asciiTheme="majorBidi" w:eastAsia="Calibri" w:hAnsiTheme="majorBidi" w:cstheme="majorBidi"/>
          <w:szCs w:val="24"/>
        </w:rPr>
        <w:t xml:space="preserve"> ekv. 2040. gadā. Lielāko ieguldījumu SEG īpatsvarā perioda sākumā dod atkritumu apglabāšanas apakšsektors (prognozēts, ka pieaugs atkritumu kompostēšanas un pārstrādes apjomi), tomēr uz prognožu perioda beigām nozīmīgāka paliek notekūdeņu apsaimniekošanas joma, kurā, lai arī emisijas pakāpeniski samazinās, tas notiek ne tik strauji kā atkritumu apglabāšanā. </w:t>
      </w:r>
    </w:p>
    <w:p w14:paraId="6F23793C" w14:textId="77777777" w:rsidR="00E61F96" w:rsidRPr="008B628A" w:rsidRDefault="00E61F96" w:rsidP="00B764D5">
      <w:pPr>
        <w:pStyle w:val="paragraph"/>
        <w:spacing w:before="0" w:beforeAutospacing="0" w:after="0" w:afterAutospacing="0"/>
        <w:jc w:val="both"/>
        <w:textAlignment w:val="baseline"/>
      </w:pPr>
    </w:p>
    <w:p w14:paraId="6EE59F99" w14:textId="3FCE62C2" w:rsidR="006C746B" w:rsidRPr="008B628A" w:rsidRDefault="00EB541A" w:rsidP="005F59CE">
      <w:pPr>
        <w:pStyle w:val="Heading3"/>
        <w:rPr>
          <w:rStyle w:val="normaltextrun"/>
        </w:rPr>
      </w:pPr>
      <w:bookmarkStart w:id="292" w:name="_Toc527529539"/>
      <w:r w:rsidRPr="008B628A">
        <w:rPr>
          <w:rStyle w:val="normaltextrun"/>
        </w:rPr>
        <w:t>AER</w:t>
      </w:r>
      <w:r w:rsidR="006C746B" w:rsidRPr="008B628A">
        <w:rPr>
          <w:rStyle w:val="normaltextrun"/>
        </w:rPr>
        <w:t xml:space="preserve"> enerģija</w:t>
      </w:r>
      <w:bookmarkEnd w:id="291"/>
      <w:bookmarkEnd w:id="292"/>
      <w:r w:rsidR="006C746B" w:rsidRPr="008B628A">
        <w:rPr>
          <w:rStyle w:val="normaltextrun"/>
        </w:rPr>
        <w:t>  </w:t>
      </w:r>
    </w:p>
    <w:p w14:paraId="7A28AA7D" w14:textId="6CAED6AB" w:rsidR="006C746B" w:rsidRPr="008B628A" w:rsidRDefault="006C746B" w:rsidP="00863FD7">
      <w:pPr>
        <w:pStyle w:val="Heading4"/>
        <w:rPr>
          <w:rStyle w:val="normaltextrun"/>
        </w:rPr>
      </w:pPr>
      <w:bookmarkStart w:id="293" w:name="_Toc527529540"/>
      <w:r w:rsidRPr="008B628A">
        <w:rPr>
          <w:rStyle w:val="normaltextrun"/>
        </w:rPr>
        <w:t>Esošā situācija </w:t>
      </w:r>
      <w:r w:rsidR="0064179F" w:rsidRPr="008B628A">
        <w:rPr>
          <w:rStyle w:val="normaltextrun"/>
        </w:rPr>
        <w:t>AER izmantošanā</w:t>
      </w:r>
      <w:bookmarkEnd w:id="293"/>
    </w:p>
    <w:p w14:paraId="5519910B" w14:textId="1C2BACB1" w:rsidR="006C746B" w:rsidRPr="008B628A" w:rsidRDefault="006C746B" w:rsidP="006C746B">
      <w:pPr>
        <w:pStyle w:val="NormalWeb"/>
        <w:spacing w:before="120" w:beforeAutospacing="0" w:after="120" w:afterAutospacing="0"/>
        <w:jc w:val="both"/>
        <w:rPr>
          <w:color w:val="000000"/>
        </w:rPr>
      </w:pPr>
      <w:r w:rsidRPr="008B628A">
        <w:rPr>
          <w:color w:val="000000"/>
        </w:rPr>
        <w:t xml:space="preserve">2016. gadā kopējais AER patēriņš Latvijā bija 68,7 </w:t>
      </w:r>
      <w:r w:rsidR="00183803" w:rsidRPr="008B628A">
        <w:rPr>
          <w:color w:val="000000"/>
        </w:rPr>
        <w:t>PJ,</w:t>
      </w:r>
      <w:r w:rsidR="00BA5A43" w:rsidRPr="008B628A">
        <w:rPr>
          <w:color w:val="000000"/>
        </w:rPr>
        <w:t xml:space="preserve"> bet 2017. gadā –</w:t>
      </w:r>
      <w:r w:rsidR="00037C52" w:rsidRPr="008B628A">
        <w:rPr>
          <w:color w:val="000000"/>
        </w:rPr>
        <w:t xml:space="preserve"> 80,5 PJ</w:t>
      </w:r>
      <w:r w:rsidRPr="008B628A">
        <w:rPr>
          <w:color w:val="000000"/>
        </w:rPr>
        <w:t>, un, salīdzinot ar 20</w:t>
      </w:r>
      <w:r w:rsidR="00BA5A43" w:rsidRPr="008B628A">
        <w:rPr>
          <w:color w:val="000000"/>
        </w:rPr>
        <w:t>0</w:t>
      </w:r>
      <w:r w:rsidRPr="008B628A">
        <w:rPr>
          <w:color w:val="000000"/>
        </w:rPr>
        <w:t>5</w:t>
      </w:r>
      <w:r w:rsidR="00BA5A43" w:rsidRPr="008B628A">
        <w:rPr>
          <w:color w:val="000000"/>
        </w:rPr>
        <w:t>. gadu, tas ir pieaudzis par</w:t>
      </w:r>
      <w:r w:rsidR="0070165C" w:rsidRPr="008B628A">
        <w:rPr>
          <w:color w:val="000000"/>
        </w:rPr>
        <w:t xml:space="preserve"> 30,</w:t>
      </w:r>
      <w:r w:rsidR="00264875" w:rsidRPr="008B628A">
        <w:rPr>
          <w:color w:val="000000"/>
        </w:rPr>
        <w:t>1</w:t>
      </w:r>
      <w:r w:rsidR="0070165C" w:rsidRPr="008B628A">
        <w:rPr>
          <w:color w:val="000000"/>
        </w:rPr>
        <w:t xml:space="preserve"> %</w:t>
      </w:r>
      <w:r w:rsidR="00BA5A43" w:rsidRPr="008B628A">
        <w:rPr>
          <w:color w:val="000000"/>
        </w:rPr>
        <w:t xml:space="preserve">. </w:t>
      </w:r>
      <w:r w:rsidRPr="008B628A">
        <w:rPr>
          <w:color w:val="000000"/>
        </w:rPr>
        <w:t xml:space="preserve">Ievērojami pieaudzis biogāzes (atkritumu poligonu gāze, notekūdeņu dūņu gāze, cita biogāze) patēriņš </w:t>
      </w:r>
      <w:r w:rsidR="00BA5A43" w:rsidRPr="008B628A">
        <w:rPr>
          <w:color w:val="000000"/>
        </w:rPr>
        <w:t>–</w:t>
      </w:r>
      <w:r w:rsidRPr="008B628A">
        <w:rPr>
          <w:color w:val="000000"/>
        </w:rPr>
        <w:t xml:space="preserve"> desmit gadu laikā tas palielinājies 12,7 reizes, 2016. gadā sasniedzot 3,8 PJ.</w:t>
      </w:r>
      <w:r w:rsidR="00BA5A43" w:rsidRPr="008B628A">
        <w:rPr>
          <w:color w:val="000000"/>
        </w:rPr>
        <w:t xml:space="preserve"> Kurināmās koksnes kopējais patēriņš desmit gadu laikā palielinājies par 9,3 % u</w:t>
      </w:r>
      <w:r w:rsidR="00EF1404" w:rsidRPr="008B628A">
        <w:rPr>
          <w:color w:val="000000"/>
        </w:rPr>
        <w:t>n 2016. gadā sasniedzis 54,3 PJ.</w:t>
      </w:r>
      <w:r w:rsidR="0070165C" w:rsidRPr="008B628A">
        <w:t xml:space="preserve"> </w:t>
      </w:r>
      <w:r w:rsidR="0070165C" w:rsidRPr="008B628A">
        <w:rPr>
          <w:color w:val="000000"/>
        </w:rPr>
        <w:t>Lai arī Latvijā kurināmā koksne (malka, koksnes atlikumi, kurināmā šķelda, koksnes briketes, koksnes granulas) ir biežāk izmantotais AER, kurināmās koksnes īpatsvars AER patēriņā piecu gadu laikā samazinājās par 4,4 procentpunktiem, 2017. gadā sasniedzot 74,0 %. Ar katru gadu turpina pieaugt biogāzes (atkritumu poligonu gāze, notekūdeņu dūņu gāze, cita biogāze) patēriņš – piecu gadu laikā tas pieauga par 44,7 %, 2017. gadā sasniedzot 3,9 PJ.</w:t>
      </w:r>
    </w:p>
    <w:p w14:paraId="50DE2E55" w14:textId="232CFDEE" w:rsidR="006C746B" w:rsidRPr="008B628A" w:rsidRDefault="00A81509" w:rsidP="00764FFB">
      <w:pPr>
        <w:pStyle w:val="NormalWeb"/>
        <w:spacing w:before="120" w:beforeAutospacing="0" w:after="120" w:afterAutospacing="0"/>
        <w:jc w:val="center"/>
        <w:rPr>
          <w:color w:val="000000"/>
        </w:rPr>
      </w:pPr>
      <w:r>
        <w:rPr>
          <w:noProof/>
          <w:color w:val="000000"/>
        </w:rPr>
        <w:drawing>
          <wp:inline distT="0" distB="0" distL="0" distR="0" wp14:anchorId="6CCB082A" wp14:editId="4EF6DB39">
            <wp:extent cx="4568559" cy="3080874"/>
            <wp:effectExtent l="0" t="0" r="381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538" cy="3089626"/>
                    </a:xfrm>
                    <a:prstGeom prst="rect">
                      <a:avLst/>
                    </a:prstGeom>
                    <a:noFill/>
                  </pic:spPr>
                </pic:pic>
              </a:graphicData>
            </a:graphic>
          </wp:inline>
        </w:drawing>
      </w:r>
    </w:p>
    <w:p w14:paraId="76A45CD3" w14:textId="3FF8717D"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94" w:name="_Toc531333100"/>
      <w:r w:rsidR="006067D4">
        <w:rPr>
          <w:noProof/>
        </w:rPr>
        <w:t>21</w:t>
      </w:r>
      <w:r w:rsidRPr="008B628A">
        <w:rPr>
          <w:noProof/>
        </w:rPr>
        <w:fldChar w:fldCharType="end"/>
      </w:r>
      <w:r w:rsidR="00526D4F" w:rsidRPr="008B628A">
        <w:t>. attēls.</w:t>
      </w:r>
      <w:r w:rsidR="006C746B" w:rsidRPr="008B628A">
        <w:t xml:space="preserve"> AER kopējais patēriņš Latvijā 2006.-2</w:t>
      </w:r>
      <w:r w:rsidR="00037C52" w:rsidRPr="008B628A">
        <w:t>017</w:t>
      </w:r>
      <w:r w:rsidR="006C746B" w:rsidRPr="008B628A">
        <w:t>.g. (PJ)</w:t>
      </w:r>
      <w:r w:rsidR="00441E7B" w:rsidRPr="008B628A">
        <w:rPr>
          <w:rStyle w:val="FootnoteReference"/>
        </w:rPr>
        <w:footnoteReference w:id="173"/>
      </w:r>
      <w:bookmarkEnd w:id="294"/>
    </w:p>
    <w:p w14:paraId="3BE38FE9" w14:textId="3D26D16F" w:rsidR="006C746B" w:rsidRPr="008B628A" w:rsidRDefault="006C746B" w:rsidP="006C746B">
      <w:pPr>
        <w:pStyle w:val="NormalWeb"/>
        <w:spacing w:before="120" w:beforeAutospacing="0" w:after="120" w:afterAutospacing="0"/>
        <w:jc w:val="both"/>
        <w:rPr>
          <w:color w:val="000000"/>
        </w:rPr>
      </w:pPr>
      <w:r w:rsidRPr="008B628A">
        <w:rPr>
          <w:color w:val="000000"/>
        </w:rPr>
        <w:t xml:space="preserve">Joprojām lielākie kurināmās koksnes patērētāji ir mājsaimniecības, kaut gan desmit gadu laikā to patēriņš sarucis par 41,6 % un 2016. gadā veidoja 34,6 % no kopējā kurināmās koksnes patēriņa. </w:t>
      </w:r>
      <w:r w:rsidR="0070165C" w:rsidRPr="008B628A">
        <w:rPr>
          <w:color w:val="000000"/>
        </w:rPr>
        <w:t xml:space="preserve">2017. gadā to patēriņš veidoja 35,5 % no kopējā kurināmās koksnes patēriņa, kas, salīdzinot ar 2016. gadu, pieauga par 12,2 % aukstās ziemas sezonas dēļ. </w:t>
      </w:r>
      <w:r w:rsidRPr="008B628A">
        <w:rPr>
          <w:color w:val="000000"/>
        </w:rPr>
        <w:t>Salīdzinājumā ar 2006. gadu 2016. gadā rūpniecībā un būvniecībā kurināmo koksni patērēja 2,7 reizes vairāk, un pērn šo nozaru patēriņš veidoja 25,4 % no kopējā kurināmās koksnes patēriņa.</w:t>
      </w:r>
    </w:p>
    <w:p w14:paraId="10E9808A" w14:textId="54C7D680" w:rsidR="0070165C" w:rsidRPr="008B628A" w:rsidRDefault="006C746B" w:rsidP="006C746B">
      <w:pPr>
        <w:pStyle w:val="NormalWeb"/>
        <w:spacing w:before="120" w:beforeAutospacing="0" w:after="120" w:afterAutospacing="0"/>
        <w:jc w:val="both"/>
        <w:rPr>
          <w:color w:val="000000"/>
        </w:rPr>
      </w:pPr>
      <w:r w:rsidRPr="008B628A">
        <w:rPr>
          <w:color w:val="000000"/>
        </w:rPr>
        <w:lastRenderedPageBreak/>
        <w:t>Desmit gadu laikā pārveidošanas sektorā elektroenerģijas un siltumenerģijas ražošanai patērētās kurināmās koksnes īpatsvars palielinājies par 18,6 </w:t>
      </w:r>
      <w:r w:rsidR="00B03407" w:rsidRPr="008B628A">
        <w:rPr>
          <w:color w:val="000000"/>
        </w:rPr>
        <w:t>%</w:t>
      </w:r>
      <w:r w:rsidRPr="008B628A">
        <w:rPr>
          <w:color w:val="000000"/>
        </w:rPr>
        <w:t xml:space="preserve">, 2016. gadā sasniedzot 33,1 % no kopējā pārveidošanas sektorā patērētā. </w:t>
      </w:r>
    </w:p>
    <w:p w14:paraId="74D4DCEF" w14:textId="5E12FD56" w:rsidR="003F3D28" w:rsidRPr="008B628A" w:rsidRDefault="00A81509" w:rsidP="003F3D28">
      <w:pPr>
        <w:pStyle w:val="NormalWeb"/>
        <w:spacing w:before="120" w:beforeAutospacing="0" w:after="120" w:afterAutospacing="0"/>
        <w:jc w:val="center"/>
        <w:rPr>
          <w:color w:val="000000"/>
        </w:rPr>
      </w:pPr>
      <w:r>
        <w:rPr>
          <w:noProof/>
          <w:color w:val="000000"/>
        </w:rPr>
        <w:drawing>
          <wp:inline distT="0" distB="0" distL="0" distR="0" wp14:anchorId="06A492CA" wp14:editId="18C06FE7">
            <wp:extent cx="4180300" cy="32644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9189" cy="3287055"/>
                    </a:xfrm>
                    <a:prstGeom prst="rect">
                      <a:avLst/>
                    </a:prstGeom>
                    <a:noFill/>
                  </pic:spPr>
                </pic:pic>
              </a:graphicData>
            </a:graphic>
          </wp:inline>
        </w:drawing>
      </w:r>
    </w:p>
    <w:p w14:paraId="3BA87A5C" w14:textId="06532C8B" w:rsidR="003F3D28"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95" w:name="_Toc531333101"/>
      <w:r w:rsidR="006067D4">
        <w:rPr>
          <w:noProof/>
        </w:rPr>
        <w:t>22</w:t>
      </w:r>
      <w:r w:rsidRPr="008B628A">
        <w:rPr>
          <w:noProof/>
        </w:rPr>
        <w:fldChar w:fldCharType="end"/>
      </w:r>
      <w:r w:rsidR="003F3D28" w:rsidRPr="008B628A">
        <w:t xml:space="preserve">.attēls. </w:t>
      </w:r>
      <w:r w:rsidR="00EE1673" w:rsidRPr="008B628A">
        <w:t>AER</w:t>
      </w:r>
      <w:r w:rsidR="003F3D28" w:rsidRPr="008B628A">
        <w:t xml:space="preserve"> </w:t>
      </w:r>
      <w:r w:rsidR="00886116" w:rsidRPr="008B628A">
        <w:t xml:space="preserve">(cietās, gāzveida un šķidrās biomasas) </w:t>
      </w:r>
      <w:r w:rsidR="003F3D28" w:rsidRPr="008B628A">
        <w:t xml:space="preserve">patēriņš Latvijā </w:t>
      </w:r>
      <w:r w:rsidR="00EE1673" w:rsidRPr="008B628A">
        <w:t>2005.</w:t>
      </w:r>
      <w:r w:rsidR="001832C4" w:rsidRPr="008B628A">
        <w:t>-</w:t>
      </w:r>
      <w:r w:rsidR="00EE1673" w:rsidRPr="008B628A">
        <w:t xml:space="preserve">2017.g. nozaru griezumā </w:t>
      </w:r>
      <w:r w:rsidR="003F3D28" w:rsidRPr="008B628A">
        <w:t>(</w:t>
      </w:r>
      <w:r w:rsidR="00D70AC8" w:rsidRPr="008B628A">
        <w:t>P</w:t>
      </w:r>
      <w:r w:rsidR="003F3D28" w:rsidRPr="008B628A">
        <w:t>J)</w:t>
      </w:r>
      <w:r w:rsidR="00441E7B" w:rsidRPr="008B628A">
        <w:rPr>
          <w:rStyle w:val="FootnoteReference"/>
        </w:rPr>
        <w:footnoteReference w:id="174"/>
      </w:r>
      <w:bookmarkEnd w:id="295"/>
    </w:p>
    <w:p w14:paraId="4F70AA44" w14:textId="77777777" w:rsidR="00347B4E" w:rsidRDefault="00347B4E" w:rsidP="00A81509">
      <w:pPr>
        <w:pStyle w:val="NormalWeb"/>
        <w:spacing w:before="120" w:beforeAutospacing="0" w:after="120" w:afterAutospacing="0"/>
        <w:jc w:val="both"/>
        <w:rPr>
          <w:color w:val="000000"/>
        </w:rPr>
      </w:pPr>
      <w:r w:rsidRPr="008B628A">
        <w:rPr>
          <w:color w:val="000000"/>
        </w:rPr>
        <w:t xml:space="preserve">2017. gadā Latvijā saražoja 7531 GWh elektroenerģijas, no tā 5 461 GWh no AER, un salīdzinājumā ar 2016. gadu saražotais apjoms no AER pieauga par 56,8 %. Ievērojami pieauga saražotā primārā elektroenerģija – kāpums par 70,5 % jeb par 6,7 PJ (no tā HES kāpums par 73,2 % un VES – par 17,1 %). Elektroenerģijas ražošanas pieaugumu </w:t>
      </w:r>
      <w:r>
        <w:rPr>
          <w:color w:val="000000"/>
        </w:rPr>
        <w:t>2017.gadā</w:t>
      </w:r>
      <w:r w:rsidRPr="008B628A">
        <w:rPr>
          <w:color w:val="000000"/>
        </w:rPr>
        <w:t xml:space="preserve"> visvairāk ietekmēja augstā izstrāde HES, kas skaidrojama ar netipiski augsto nokrišņu apjomu un lielo ūdens pieteci Daugavā. Pēdējo piecu gadu laikā saražotā elektroenerģija biomasas elektrostacijās un koģenerācijas stacijās pieauga no 215 līdz 525 GWh un biogāzes koģenerācijas stacijās – no 288 līdz 405 GWh.</w:t>
      </w:r>
    </w:p>
    <w:p w14:paraId="43C95867" w14:textId="016CAAE1" w:rsidR="00E869E9" w:rsidRPr="008B628A" w:rsidRDefault="00A81509" w:rsidP="00A81509">
      <w:pPr>
        <w:pStyle w:val="NormalWeb"/>
        <w:spacing w:before="120" w:beforeAutospacing="0" w:after="0" w:afterAutospacing="0"/>
        <w:jc w:val="center"/>
        <w:rPr>
          <w:color w:val="000000"/>
        </w:rPr>
      </w:pPr>
      <w:r>
        <w:rPr>
          <w:noProof/>
          <w:color w:val="000000"/>
        </w:rPr>
        <w:drawing>
          <wp:inline distT="0" distB="0" distL="0" distR="0" wp14:anchorId="5A12FBEE" wp14:editId="75E330AB">
            <wp:extent cx="4355312" cy="2615609"/>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3440" cy="2668535"/>
                    </a:xfrm>
                    <a:prstGeom prst="rect">
                      <a:avLst/>
                    </a:prstGeom>
                    <a:noFill/>
                  </pic:spPr>
                </pic:pic>
              </a:graphicData>
            </a:graphic>
          </wp:inline>
        </w:drawing>
      </w:r>
    </w:p>
    <w:p w14:paraId="1E514561" w14:textId="7E03F70B" w:rsidR="00E869E9" w:rsidRDefault="003E5526" w:rsidP="00A81509">
      <w:pPr>
        <w:pStyle w:val="Caption"/>
        <w:spacing w:before="0"/>
      </w:pPr>
      <w:r w:rsidRPr="008B628A">
        <w:rPr>
          <w:noProof/>
        </w:rPr>
        <w:fldChar w:fldCharType="begin"/>
      </w:r>
      <w:r w:rsidRPr="008B628A">
        <w:rPr>
          <w:noProof/>
        </w:rPr>
        <w:instrText xml:space="preserve"> SEQ Ilustrācija \* ARABIC </w:instrText>
      </w:r>
      <w:r w:rsidRPr="008B628A">
        <w:rPr>
          <w:noProof/>
        </w:rPr>
        <w:fldChar w:fldCharType="separate"/>
      </w:r>
      <w:bookmarkStart w:id="296" w:name="_Toc531333102"/>
      <w:r w:rsidR="006067D4">
        <w:rPr>
          <w:noProof/>
        </w:rPr>
        <w:t>23</w:t>
      </w:r>
      <w:r w:rsidRPr="008B628A">
        <w:rPr>
          <w:noProof/>
        </w:rPr>
        <w:fldChar w:fldCharType="end"/>
      </w:r>
      <w:r w:rsidR="00E869E9" w:rsidRPr="008B628A">
        <w:t>.attēls. No AER saražotās elektroene</w:t>
      </w:r>
      <w:r w:rsidR="00886116" w:rsidRPr="008B628A">
        <w:t>rģijas apjoms Latvijā 2006.-2017</w:t>
      </w:r>
      <w:r w:rsidR="00E869E9" w:rsidRPr="008B628A">
        <w:t>.g. (GWh)</w:t>
      </w:r>
      <w:r w:rsidR="00E869E9" w:rsidRPr="008B628A">
        <w:rPr>
          <w:rStyle w:val="FootnoteReference"/>
        </w:rPr>
        <w:footnoteReference w:id="175"/>
      </w:r>
      <w:bookmarkEnd w:id="296"/>
    </w:p>
    <w:p w14:paraId="27D46E2A" w14:textId="77777777" w:rsidR="00A81509" w:rsidRPr="00A81509" w:rsidRDefault="00A81509" w:rsidP="00A81509"/>
    <w:p w14:paraId="3FDD8016" w14:textId="109CD7FA" w:rsidR="00471CF9" w:rsidRPr="008B628A" w:rsidRDefault="00471CF9" w:rsidP="00863FD7">
      <w:pPr>
        <w:pStyle w:val="Heading4"/>
        <w:rPr>
          <w:rStyle w:val="normaltextrun"/>
        </w:rPr>
      </w:pPr>
      <w:bookmarkStart w:id="297" w:name="_Toc527529541"/>
      <w:r w:rsidRPr="008B628A">
        <w:rPr>
          <w:rStyle w:val="normaltextrun"/>
        </w:rPr>
        <w:lastRenderedPageBreak/>
        <w:t>Esošā situācija AER izmantošanā transportā</w:t>
      </w:r>
      <w:bookmarkEnd w:id="297"/>
    </w:p>
    <w:p w14:paraId="3517ACCA" w14:textId="379325A1" w:rsidR="00E869E9" w:rsidRDefault="00E869E9" w:rsidP="002A6A2A">
      <w:pPr>
        <w:pStyle w:val="NoSpacing"/>
        <w:spacing w:before="120" w:after="120"/>
        <w:jc w:val="both"/>
        <w:rPr>
          <w:szCs w:val="24"/>
        </w:rPr>
      </w:pPr>
      <w:r w:rsidRPr="008B628A">
        <w:rPr>
          <w:szCs w:val="24"/>
        </w:rPr>
        <w:t>AER un elektroenerģijas izmantojums transporta sektorā 2017.gadā bija 0,77 PJ, kas ir tikai 1,5% no kopējā transportā izmantotās enerģijas apjoma. AER izmantojums transportā salīdzinot ar 2005.gadu ir palielinājies par 19,5%, tomēr tas ir būtiski samazinājies salīdzinot ar 2010.gadu – par 51,9%.</w:t>
      </w:r>
    </w:p>
    <w:p w14:paraId="5349B506" w14:textId="65BDF172" w:rsidR="00E64D83" w:rsidRPr="002B1176" w:rsidRDefault="00E64D83" w:rsidP="00E64D83">
      <w:pPr>
        <w:pStyle w:val="NoSpacing"/>
        <w:spacing w:before="120" w:after="120"/>
        <w:jc w:val="both"/>
        <w:rPr>
          <w:szCs w:val="24"/>
        </w:rPr>
      </w:pPr>
      <w:r w:rsidRPr="002B1176">
        <w:rPr>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w:t>
      </w:r>
      <w:r w:rsidR="00BB5B88">
        <w:rPr>
          <w:szCs w:val="24"/>
        </w:rPr>
        <w:t>7</w:t>
      </w:r>
      <w:r w:rsidR="00BB5B88" w:rsidRPr="002B1176">
        <w:rPr>
          <w:szCs w:val="24"/>
        </w:rPr>
        <w:t> </w:t>
      </w:r>
      <w:r w:rsidRPr="002B1176">
        <w:rPr>
          <w:szCs w:val="24"/>
        </w:rPr>
        <w:t xml:space="preserve">tilpumprocenti no kopējā </w:t>
      </w:r>
      <w:r w:rsidR="00BB5B88" w:rsidRPr="00BB5B88">
        <w:rPr>
          <w:szCs w:val="24"/>
        </w:rPr>
        <w:t>maisījuma tilpuma</w:t>
      </w:r>
      <w:r w:rsidR="00BB5B88" w:rsidRPr="002B1176" w:rsidDel="00BB5B88">
        <w:rPr>
          <w:szCs w:val="24"/>
        </w:rPr>
        <w:t xml:space="preserve"> </w:t>
      </w:r>
      <w:r w:rsidR="00BB5B88">
        <w:rPr>
          <w:szCs w:val="24"/>
        </w:rPr>
        <w:t xml:space="preserve">vai </w:t>
      </w:r>
      <w:r w:rsidR="00BB5B88" w:rsidRPr="00BB5B88">
        <w:rPr>
          <w:szCs w:val="24"/>
        </w:rPr>
        <w:t>parafinizēt</w:t>
      </w:r>
      <w:r w:rsidR="00BB5B88">
        <w:rPr>
          <w:szCs w:val="24"/>
        </w:rPr>
        <w:t>u</w:t>
      </w:r>
      <w:r w:rsidR="00BB5B88" w:rsidRPr="00BB5B88">
        <w:rPr>
          <w:szCs w:val="24"/>
        </w:rPr>
        <w:t xml:space="preserve"> dīzeļdegviel</w:t>
      </w:r>
      <w:r w:rsidR="00BB5B88">
        <w:rPr>
          <w:szCs w:val="24"/>
        </w:rPr>
        <w:t>u</w:t>
      </w:r>
      <w:r w:rsidR="00BB5B88" w:rsidRPr="00BB5B88">
        <w:rPr>
          <w:szCs w:val="24"/>
        </w:rPr>
        <w:t>, kas iegūta no biomasas, vismaz 4,5 tilpumprocentu apjomā no kopējā maisījuma tilpuma</w:t>
      </w:r>
      <w:r w:rsidRPr="002B1176">
        <w:rPr>
          <w:szCs w:val="24"/>
        </w:rPr>
        <w:t xml:space="preserve">. Šī prasība nav attiecināma uz dīzeļdegvielu, kuru </w:t>
      </w:r>
      <w:r w:rsidR="00BB5B88">
        <w:rPr>
          <w:szCs w:val="24"/>
        </w:rPr>
        <w:t xml:space="preserve">realizē </w:t>
      </w:r>
      <w:r w:rsidR="00BB5B88" w:rsidRPr="00BB5B88">
        <w:rPr>
          <w:szCs w:val="24"/>
        </w:rPr>
        <w:t>no 1. novembra līdz 15. aprīlim</w:t>
      </w:r>
      <w:r w:rsidRPr="002B1176">
        <w:rPr>
          <w:szCs w:val="24"/>
        </w:rPr>
        <w:t>,</w:t>
      </w:r>
      <w:r w:rsidR="00BB5B88">
        <w:rPr>
          <w:szCs w:val="24"/>
        </w:rPr>
        <w:t xml:space="preserve"> kā arī dīzeļdegvielu, kuru izmanto</w:t>
      </w:r>
      <w:r w:rsidRPr="002B1176">
        <w:rPr>
          <w:szCs w:val="24"/>
        </w:rPr>
        <w:t xml:space="preserve"> jūras transporta flotes kuģu dzinējos un aviācijas transporta dzinējos.</w:t>
      </w:r>
    </w:p>
    <w:p w14:paraId="15B357C1" w14:textId="7A20F95A" w:rsidR="00E869E9" w:rsidRPr="008B628A" w:rsidRDefault="00A81509" w:rsidP="00E869E9">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54FFFDEA" wp14:editId="2A3B3FBE">
            <wp:extent cx="4630036" cy="26568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3955" cy="2664833"/>
                    </a:xfrm>
                    <a:prstGeom prst="rect">
                      <a:avLst/>
                    </a:prstGeom>
                    <a:noFill/>
                  </pic:spPr>
                </pic:pic>
              </a:graphicData>
            </a:graphic>
          </wp:inline>
        </w:drawing>
      </w:r>
    </w:p>
    <w:p w14:paraId="1C3A405C" w14:textId="6B250111" w:rsidR="00E869E9" w:rsidRPr="008B628A" w:rsidRDefault="00E869E9" w:rsidP="00CD366E">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298" w:name="_Toc531333103"/>
      <w:r w:rsidR="006067D4">
        <w:rPr>
          <w:noProof/>
          <w:szCs w:val="24"/>
        </w:rPr>
        <w:t>24</w:t>
      </w:r>
      <w:r w:rsidRPr="008B628A">
        <w:rPr>
          <w:szCs w:val="24"/>
        </w:rPr>
        <w:fldChar w:fldCharType="end"/>
      </w:r>
      <w:r w:rsidRPr="008B628A">
        <w:t>.attēls. AER izmantojums transportā 2005.-2017.g. (TJ)</w:t>
      </w:r>
      <w:r w:rsidRPr="008B628A">
        <w:rPr>
          <w:rStyle w:val="FootnoteReference"/>
        </w:rPr>
        <w:footnoteReference w:id="176"/>
      </w:r>
      <w:bookmarkEnd w:id="298"/>
    </w:p>
    <w:p w14:paraId="3401B6BF" w14:textId="46636271" w:rsidR="002A6A2A" w:rsidRPr="008B628A" w:rsidRDefault="002A6A2A" w:rsidP="002A6A2A">
      <w:pPr>
        <w:pStyle w:val="NoSpacing"/>
        <w:spacing w:before="120" w:after="120"/>
        <w:jc w:val="both"/>
      </w:pPr>
      <w:r w:rsidRPr="008B628A">
        <w:rPr>
          <w:szCs w:val="24"/>
        </w:rPr>
        <w:t xml:space="preserve">Šobrīd, kad </w:t>
      </w:r>
      <w:r w:rsidRPr="008B628A">
        <w:t>Latvijā tehniskā kārtībā ir vairāk nekā 400 ETL (p</w:t>
      </w:r>
      <w:r w:rsidRPr="008B628A">
        <w:rPr>
          <w:szCs w:val="24"/>
        </w:rPr>
        <w:t xml:space="preserve">avisam Latvijā 2018. gada 1. jūlijā reģistrēti 479 </w:t>
      </w:r>
      <w:r w:rsidR="00FC2856" w:rsidRPr="008B628A">
        <w:rPr>
          <w:szCs w:val="24"/>
        </w:rPr>
        <w:t>ETL</w:t>
      </w:r>
      <w:r w:rsidRPr="008B628A">
        <w:rPr>
          <w:szCs w:val="24"/>
        </w:rPr>
        <w:t>)</w:t>
      </w:r>
      <w:r w:rsidRPr="008B628A">
        <w:t xml:space="preserve">, ir iespējams apkopot to izmantošanas paradumus. </w:t>
      </w:r>
      <w:r w:rsidR="00ED146E" w:rsidRPr="008B628A">
        <w:t>I</w:t>
      </w:r>
      <w:r w:rsidRPr="008B628A">
        <w:rPr>
          <w:szCs w:val="24"/>
        </w:rPr>
        <w:t xml:space="preserve">edzīvotāju aptauja Latvijā liecina, ka gadījumā, ja ģimene varētu atļauties otru automobili, tad kā pirmā izvēle būtu elektromobilis. </w:t>
      </w:r>
      <w:r w:rsidRPr="008B628A">
        <w:t xml:space="preserve">Jau iepriekšminētais zemais IKP/iedz. rādītājs, kā arī iedzīvotāju ieņēmumu zemie rādītāji salīdzinot ar citām ES dalībvalstīm ir būtisks šķērslis elektromobilitātes attīstībai. Latvijas iedzīvotāji veiktajā aptaujās ir norādījuši, ka elektromobiļu iegādes galvenais šķērslis ir to augstā cena, ko neatsver piedāvātie bonusi. Arī tas, ka uzlādes tīklu infrastruktūra nav attīstīta, nav tik liels šķērslis kā elektromobiļu cena. </w:t>
      </w:r>
    </w:p>
    <w:p w14:paraId="6C76AFAF" w14:textId="117CC332" w:rsidR="00327EE6" w:rsidRPr="008B628A" w:rsidRDefault="00327EE6" w:rsidP="00327EE6">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Kā atvieglojumi ETL lietotājiem ir spēkā:</w:t>
      </w:r>
    </w:p>
    <w:p w14:paraId="203EC06A"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ETL netiek piemērots transportlīdzekļu ekspluatācijas nodoklis;</w:t>
      </w:r>
    </w:p>
    <w:p w14:paraId="22687575"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samazināta uzņēmumu vieglo transportlīdzekļu nodokļa likme – 10,00 EUR mēnesī (iepriekš: 42,69 EUR mēnesī);</w:t>
      </w:r>
    </w:p>
    <w:p w14:paraId="1C6EBFE8"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ETL pirmreizējā reģistrācija, kā arī reģistrācija, pirmo reizi saņemot speciālas nozīmes numura zīmes ir bez maksas;</w:t>
      </w:r>
    </w:p>
    <w:p w14:paraId="5FC4D5CF"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speciālu, vizuāli atšķirīgu numura zīmju pirmais komplekts – bez maksas;</w:t>
      </w:r>
    </w:p>
    <w:p w14:paraId="1D4B5EB0"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lastRenderedPageBreak/>
        <w:t>ETL, kas aprīkoti ar šīm numura zīmēm, atļauts braukt pa sabiedriskā transporta joslām;</w:t>
      </w:r>
    </w:p>
    <w:p w14:paraId="6F7C3C68"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papildus atbalsta pasākumi ieviesti arī atsevišķu pašvaldību līmenī, piemēram, Liepājā un Rīgā pašvaldības maksas stāvvietās elektromobiļus atļauts novietot bez maksas, kā arī Jūrmalā elektromobiļi ir atbrīvoti no iebraukšanas maksas pilsētas administratīvajā teritorijā.</w:t>
      </w:r>
    </w:p>
    <w:p w14:paraId="620F7E87" w14:textId="29818768" w:rsidR="0064179F" w:rsidRPr="008B628A" w:rsidRDefault="0064179F" w:rsidP="00863FD7">
      <w:pPr>
        <w:pStyle w:val="Heading4"/>
      </w:pPr>
      <w:bookmarkStart w:id="299" w:name="_Toc527529542"/>
      <w:r w:rsidRPr="008B628A">
        <w:t>Latvijas 2020. gada AER enerģijas īpatsvara mērķa izpild</w:t>
      </w:r>
      <w:r w:rsidR="00471CF9" w:rsidRPr="008B628A">
        <w:t>e</w:t>
      </w:r>
      <w:bookmarkEnd w:id="299"/>
    </w:p>
    <w:p w14:paraId="607571BB" w14:textId="7A590EB5" w:rsidR="006C746B" w:rsidRPr="008B628A" w:rsidRDefault="006C746B" w:rsidP="006C746B">
      <w:pPr>
        <w:pStyle w:val="NormalWeb"/>
        <w:spacing w:before="120" w:beforeAutospacing="0" w:after="120" w:afterAutospacing="0"/>
        <w:jc w:val="both"/>
        <w:rPr>
          <w:color w:val="000000"/>
        </w:rPr>
      </w:pPr>
      <w:r w:rsidRPr="008B628A">
        <w:rPr>
          <w:color w:val="000000"/>
        </w:rPr>
        <w:t xml:space="preserve">AE īpatsvars 2016.gadā kopējā enerģijas galapatēriņā veidoja 37,2% un šis īpatsvars ir palielinājies par 15% no 2005.gada. </w:t>
      </w:r>
      <w:r w:rsidR="006D79AE" w:rsidRPr="008B628A">
        <w:rPr>
          <w:color w:val="000000"/>
        </w:rPr>
        <w:t>T</w:t>
      </w:r>
      <w:r w:rsidRPr="008B628A">
        <w:rPr>
          <w:color w:val="000000"/>
        </w:rPr>
        <w:t xml:space="preserve">omēr AE īpatsvars periodā no 2014.gada pastāvīgi samazinās – no 38,7% 2014.gadā uz 37,6% īpatsvaru 2015.gadā un uz 37,2% īpatsvaru 2016.gadā. Tomēr, ņemot vērā arī kopējā enerģijas galapatēriņa sarukumu, AE īpatsvars saglabājās virs indikatīvās </w:t>
      </w:r>
      <w:r w:rsidR="003D760C">
        <w:rPr>
          <w:color w:val="000000"/>
        </w:rPr>
        <w:t>lī</w:t>
      </w:r>
      <w:r w:rsidR="00815510">
        <w:rPr>
          <w:color w:val="000000"/>
        </w:rPr>
        <w:t>k</w:t>
      </w:r>
      <w:r w:rsidR="003D760C">
        <w:rPr>
          <w:color w:val="000000"/>
        </w:rPr>
        <w:t>nes</w:t>
      </w:r>
      <w:r w:rsidR="003D760C" w:rsidRPr="008B628A">
        <w:rPr>
          <w:color w:val="000000"/>
        </w:rPr>
        <w:t xml:space="preserve"> </w:t>
      </w:r>
      <w:r w:rsidRPr="008B628A">
        <w:rPr>
          <w:color w:val="000000"/>
        </w:rPr>
        <w:t xml:space="preserve">2020.gada mērķa sasniegšanai. AE īpatsvara sarukumu galvenokārt ietekmēja šādi faktori: 1) nepilnības normatīvajos aktos, kā rezultātā tirgū mazinājās degvielas īpatsvars ar biodegvielas piejaukumu, 2) siltie klimatiskie apstākļi, īpaši 2015.gadā, kas samazināja gan kopējo enerģijas patēriņu siltumapgādes sektorā, gan AE patēriņu, 3) </w:t>
      </w:r>
      <w:r w:rsidR="0094517B" w:rsidRPr="008B628A">
        <w:rPr>
          <w:color w:val="000000"/>
        </w:rPr>
        <w:t>HES</w:t>
      </w:r>
      <w:r w:rsidRPr="008B628A">
        <w:rPr>
          <w:color w:val="000000"/>
        </w:rPr>
        <w:t xml:space="preserve"> rekonstrukcija 2016.gadā, kā rezultātā samazinājās pieejamā </w:t>
      </w:r>
      <w:r w:rsidR="0094517B" w:rsidRPr="008B628A">
        <w:rPr>
          <w:color w:val="000000"/>
        </w:rPr>
        <w:t>HES</w:t>
      </w:r>
      <w:r w:rsidRPr="008B628A">
        <w:rPr>
          <w:color w:val="000000"/>
        </w:rPr>
        <w:t xml:space="preserve"> jauda, kas ietekmēja normalizētos datus attiecībā uz </w:t>
      </w:r>
      <w:r w:rsidR="0094517B" w:rsidRPr="008B628A">
        <w:rPr>
          <w:color w:val="000000"/>
        </w:rPr>
        <w:t>HES</w:t>
      </w:r>
      <w:r w:rsidRPr="008B628A">
        <w:rPr>
          <w:color w:val="000000"/>
        </w:rPr>
        <w:t xml:space="preserve"> saražoto elektroenerģiju.</w:t>
      </w:r>
    </w:p>
    <w:p w14:paraId="1498F04C" w14:textId="7FAD0014" w:rsidR="006C746B" w:rsidRPr="008B628A" w:rsidRDefault="00A81509" w:rsidP="006C746B">
      <w:pPr>
        <w:pStyle w:val="paragraph"/>
        <w:spacing w:before="120" w:beforeAutospacing="0" w:after="120" w:afterAutospacing="0"/>
        <w:jc w:val="center"/>
        <w:textAlignment w:val="baseline"/>
        <w:rPr>
          <w:sz w:val="18"/>
          <w:szCs w:val="18"/>
        </w:rPr>
      </w:pPr>
      <w:r>
        <w:rPr>
          <w:noProof/>
          <w:sz w:val="18"/>
          <w:szCs w:val="18"/>
        </w:rPr>
        <w:drawing>
          <wp:inline distT="0" distB="0" distL="0" distR="0" wp14:anchorId="4DDE1C51" wp14:editId="4BDAE3D0">
            <wp:extent cx="4699688" cy="1940659"/>
            <wp:effectExtent l="0" t="0" r="571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0234" cy="1957402"/>
                    </a:xfrm>
                    <a:prstGeom prst="rect">
                      <a:avLst/>
                    </a:prstGeom>
                    <a:noFill/>
                  </pic:spPr>
                </pic:pic>
              </a:graphicData>
            </a:graphic>
          </wp:inline>
        </w:drawing>
      </w:r>
    </w:p>
    <w:p w14:paraId="4A475386" w14:textId="63E05A84"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0" w:name="_Toc531333104"/>
      <w:r w:rsidR="006067D4">
        <w:rPr>
          <w:noProof/>
        </w:rPr>
        <w:t>25</w:t>
      </w:r>
      <w:r w:rsidRPr="008B628A">
        <w:rPr>
          <w:noProof/>
        </w:rPr>
        <w:fldChar w:fldCharType="end"/>
      </w:r>
      <w:r w:rsidR="00EA3F22" w:rsidRPr="008B628A">
        <w:t>.attēls.</w:t>
      </w:r>
      <w:r w:rsidR="006C746B" w:rsidRPr="008B628A">
        <w:t xml:space="preserve"> Latvijas kopējais AE īpatsvars enerģijas galapatēriņā un AE mērķa izpilde (2005.-2016.g.)</w:t>
      </w:r>
      <w:r w:rsidR="007D6851" w:rsidRPr="008B628A">
        <w:rPr>
          <w:rStyle w:val="FootnoteReference"/>
        </w:rPr>
        <w:footnoteReference w:id="177"/>
      </w:r>
      <w:bookmarkEnd w:id="300"/>
    </w:p>
    <w:p w14:paraId="14FB0440" w14:textId="459622C6" w:rsidR="0032087A" w:rsidRPr="008B628A" w:rsidRDefault="0032087A" w:rsidP="0032087A">
      <w:pPr>
        <w:pStyle w:val="paragraph"/>
        <w:spacing w:before="120" w:beforeAutospacing="0" w:after="120" w:afterAutospacing="0"/>
        <w:jc w:val="both"/>
        <w:textAlignment w:val="baseline"/>
      </w:pPr>
      <w:r w:rsidRPr="008B628A">
        <w:t xml:space="preserve">Attiecībā uz AE īpatsvara sektorālajiem mērķiem ir secināms, ka jau 2016.gadā Latvija ir gandrīz izpildījusi </w:t>
      </w:r>
      <w:r w:rsidR="00D5028E" w:rsidRPr="008B628A">
        <w:t>LRRAEJ</w:t>
      </w:r>
      <w:r w:rsidR="007D3FD1" w:rsidRPr="008B628A">
        <w:rPr>
          <w:rStyle w:val="FootnoteReference"/>
        </w:rPr>
        <w:footnoteReference w:id="178"/>
      </w:r>
      <w:r w:rsidR="00D5028E" w:rsidRPr="008B628A">
        <w:t xml:space="preserve"> </w:t>
      </w:r>
      <w:r w:rsidRPr="008B628A">
        <w:t xml:space="preserve">plānā noteikto AE īpatsvara siltumapgādē un aukstumapgādē mērķi, un mērķu izpildei vēl ir nepieciešams šī īpatsvara palielinājums tikai par 1,55 procentpunktiem. Savukārt, lai izpildītu </w:t>
      </w:r>
      <w:r w:rsidR="00D5028E" w:rsidRPr="008B628A">
        <w:t>LRRAEJ</w:t>
      </w:r>
      <w:r w:rsidRPr="008B628A">
        <w:t xml:space="preserve"> noteikt</w:t>
      </w:r>
      <w:r w:rsidR="00D5028E" w:rsidRPr="008B628A">
        <w:t>o</w:t>
      </w:r>
      <w:r w:rsidRPr="008B628A">
        <w:t xml:space="preserve"> AE īpatsvara elektroenerģijā un ES līmenī saistošo AE īpatsvara transportā mērķi, Latvijai vēl ir nepieciešams šī īpatsvara palielinājums par attiecīgi 8,5 un 7,2 procentpunktiem.</w:t>
      </w:r>
    </w:p>
    <w:p w14:paraId="3BB8D0B1" w14:textId="131F19ED" w:rsidR="006C746B" w:rsidRPr="008B628A" w:rsidRDefault="00A81509" w:rsidP="006C746B">
      <w:pPr>
        <w:pStyle w:val="paragraph"/>
        <w:spacing w:before="120" w:beforeAutospacing="0" w:after="120" w:afterAutospacing="0"/>
        <w:jc w:val="center"/>
        <w:textAlignment w:val="baseline"/>
        <w:rPr>
          <w:sz w:val="18"/>
          <w:szCs w:val="18"/>
        </w:rPr>
      </w:pPr>
      <w:r>
        <w:rPr>
          <w:noProof/>
          <w:sz w:val="18"/>
          <w:szCs w:val="18"/>
        </w:rPr>
        <w:lastRenderedPageBreak/>
        <w:drawing>
          <wp:inline distT="0" distB="0" distL="0" distR="0" wp14:anchorId="2E24B859" wp14:editId="5CDE9E22">
            <wp:extent cx="4696867" cy="2914849"/>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5901" cy="2920455"/>
                    </a:xfrm>
                    <a:prstGeom prst="rect">
                      <a:avLst/>
                    </a:prstGeom>
                    <a:noFill/>
                  </pic:spPr>
                </pic:pic>
              </a:graphicData>
            </a:graphic>
          </wp:inline>
        </w:drawing>
      </w:r>
    </w:p>
    <w:p w14:paraId="3C2AD8EA" w14:textId="792FB770"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1" w:name="_Toc531333105"/>
      <w:r w:rsidR="006067D4">
        <w:rPr>
          <w:noProof/>
        </w:rPr>
        <w:t>26</w:t>
      </w:r>
      <w:r w:rsidRPr="008B628A">
        <w:rPr>
          <w:noProof/>
        </w:rPr>
        <w:fldChar w:fldCharType="end"/>
      </w:r>
      <w:r w:rsidR="00EA3F22" w:rsidRPr="008B628A">
        <w:t>.attēls.</w:t>
      </w:r>
      <w:r w:rsidR="006C746B" w:rsidRPr="008B628A">
        <w:t xml:space="preserve"> Latvijas sektorālais AE īpatsvars enerģijas galapatēriņā un AE </w:t>
      </w:r>
      <w:r w:rsidR="00D2404F" w:rsidRPr="008B628A">
        <w:t>indikatīvās</w:t>
      </w:r>
      <w:r w:rsidR="006C746B" w:rsidRPr="008B628A">
        <w:t xml:space="preserve"> attīstības līknes mērķu izpilde (2005.-2016.g.)</w:t>
      </w:r>
      <w:r w:rsidR="007D6851" w:rsidRPr="008B628A">
        <w:rPr>
          <w:rStyle w:val="FootnoteReference"/>
        </w:rPr>
        <w:footnoteReference w:id="179"/>
      </w:r>
      <w:bookmarkEnd w:id="301"/>
    </w:p>
    <w:p w14:paraId="54186D13" w14:textId="77777777" w:rsidR="00D5028E" w:rsidRPr="008B628A" w:rsidRDefault="00D5028E" w:rsidP="00D5028E">
      <w:pPr>
        <w:autoSpaceDE w:val="0"/>
        <w:autoSpaceDN w:val="0"/>
        <w:spacing w:before="120" w:after="120" w:line="240" w:lineRule="auto"/>
        <w:jc w:val="both"/>
        <w:rPr>
          <w:rFonts w:ascii="Times New Roman" w:hAnsi="Times New Roman" w:cs="Times New Roman"/>
          <w:szCs w:val="24"/>
        </w:rPr>
      </w:pPr>
      <w:bookmarkStart w:id="302" w:name="_Toc527529543"/>
      <w:r w:rsidRPr="008B628A">
        <w:rPr>
          <w:rFonts w:ascii="Times New Roman" w:hAnsi="Times New Roman" w:cs="Times New Roman"/>
          <w:szCs w:val="24"/>
        </w:rPr>
        <w:t xml:space="preserve">Latvijai noteikto no AER saražotas enerģijas mērķu izpilde katrus divus gadus tiek novērtēta saskaņā ar </w:t>
      </w:r>
      <w:r w:rsidRPr="008B628A">
        <w:rPr>
          <w:rFonts w:ascii="Times New Roman" w:eastAsia="Calibri" w:hAnsi="Times New Roman" w:cs="Times New Roman"/>
          <w:szCs w:val="24"/>
        </w:rPr>
        <w:t>Direktīvas 2009/28/EK</w:t>
      </w:r>
      <w:r w:rsidRPr="008B628A">
        <w:rPr>
          <w:rStyle w:val="FootnoteReference"/>
          <w:rFonts w:ascii="Times New Roman" w:hAnsi="Times New Roman" w:cs="Times New Roman"/>
          <w:szCs w:val="24"/>
        </w:rPr>
        <w:footnoteReference w:id="180"/>
      </w:r>
      <w:r w:rsidRPr="008B628A">
        <w:rPr>
          <w:rFonts w:ascii="Times New Roman" w:hAnsi="Times New Roman" w:cs="Times New Roman"/>
          <w:szCs w:val="24"/>
        </w:rPr>
        <w:t xml:space="preserve">  22. panta pirmo daļu, sagatavojot ziņojumu EK par mērķu izpildi</w:t>
      </w:r>
      <w:r w:rsidRPr="008B628A">
        <w:rPr>
          <w:rStyle w:val="FootnoteReference"/>
          <w:rFonts w:ascii="Times New Roman" w:hAnsi="Times New Roman" w:cs="Times New Roman"/>
          <w:szCs w:val="24"/>
        </w:rPr>
        <w:footnoteReference w:id="181"/>
      </w:r>
      <w:r w:rsidRPr="008B628A">
        <w:rPr>
          <w:rFonts w:ascii="Times New Roman" w:hAnsi="Times New Roman" w:cs="Times New Roman"/>
          <w:szCs w:val="24"/>
        </w:rPr>
        <w:t xml:space="preserve">. </w:t>
      </w:r>
    </w:p>
    <w:p w14:paraId="4A19B156" w14:textId="12A1FF41" w:rsidR="006C746B" w:rsidRPr="008B628A" w:rsidRDefault="006C746B" w:rsidP="00863FD7">
      <w:pPr>
        <w:pStyle w:val="Heading4"/>
        <w:rPr>
          <w:rStyle w:val="normaltextrun"/>
        </w:rPr>
      </w:pPr>
      <w:r w:rsidRPr="008B628A">
        <w:rPr>
          <w:rStyle w:val="normaltextrun"/>
        </w:rPr>
        <w:t>Indikatīvās attīstības prognozes</w:t>
      </w:r>
      <w:bookmarkEnd w:id="302"/>
      <w:r w:rsidRPr="008B628A">
        <w:rPr>
          <w:rStyle w:val="normaltextrun"/>
        </w:rPr>
        <w:t> </w:t>
      </w:r>
    </w:p>
    <w:p w14:paraId="448B0FD8" w14:textId="5E52302C" w:rsidR="000464C2" w:rsidRPr="008B628A" w:rsidRDefault="000464C2" w:rsidP="004322E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scenārijs paredz, ka</w:t>
      </w:r>
      <w:r w:rsidR="00D5028E" w:rsidRPr="008B628A">
        <w:rPr>
          <w:rFonts w:ascii="Times New Roman" w:hAnsi="Times New Roman" w:cs="Times New Roman"/>
          <w:szCs w:val="24"/>
        </w:rPr>
        <w:t>,</w:t>
      </w:r>
      <w:r w:rsidRPr="008B628A">
        <w:rPr>
          <w:rFonts w:ascii="Times New Roman" w:hAnsi="Times New Roman" w:cs="Times New Roman"/>
          <w:szCs w:val="24"/>
        </w:rPr>
        <w:t xml:space="preserve"> ņemot vērā patreizējo politiku</w:t>
      </w:r>
      <w:r w:rsidR="00D5028E" w:rsidRPr="008B628A">
        <w:rPr>
          <w:rFonts w:ascii="Times New Roman" w:hAnsi="Times New Roman" w:cs="Times New Roman"/>
          <w:szCs w:val="24"/>
        </w:rPr>
        <w:t>,</w:t>
      </w:r>
      <w:r w:rsidRPr="008B628A">
        <w:rPr>
          <w:rFonts w:ascii="Times New Roman" w:hAnsi="Times New Roman" w:cs="Times New Roman"/>
          <w:szCs w:val="24"/>
        </w:rPr>
        <w:t xml:space="preserve"> pamazām tiek samazināts esošā atbalsta lielums elektroenerģijas ražošanai no AER. </w:t>
      </w:r>
      <w:r w:rsidR="004919EC" w:rsidRPr="008B628A">
        <w:rPr>
          <w:rFonts w:ascii="Times New Roman" w:hAnsi="Times New Roman" w:cs="Times New Roman"/>
          <w:szCs w:val="24"/>
        </w:rPr>
        <w:t>Pie šāda nosacījuma un pieņēmumiem par fosilo energoresursu cenām un tehnoloģiju (</w:t>
      </w:r>
      <w:r w:rsidR="00D60879">
        <w:rPr>
          <w:rFonts w:ascii="Times New Roman" w:hAnsi="Times New Roman" w:cs="Times New Roman"/>
          <w:szCs w:val="24"/>
        </w:rPr>
        <w:t>AER</w:t>
      </w:r>
      <w:r w:rsidR="004919EC" w:rsidRPr="008B628A">
        <w:rPr>
          <w:rFonts w:ascii="Times New Roman" w:hAnsi="Times New Roman" w:cs="Times New Roman"/>
          <w:szCs w:val="24"/>
        </w:rPr>
        <w:t xml:space="preserve"> izmantojošās un fosilo kurināmo izmantojošās) izmaksām līdz 2030.gadam, Bāzes scenārijā aprēķinātā AER daļa periodā līdz 2030.gadam svārstās ap 40%, bet perioda beigās sasniedz 41%. Pieņēmumi par fosilā kurināmā cenu prognozi un pieņēmumi par AER tehnoloģiju izmaksu tendencēm nosaka to, ka pēc 2030.gada AER izmantošana no enerģētikas sistēmas kopējo izmaksu  viedokļa kļūst arvien izdevīgāka un AER daļa pieaug līdz 2050.gadā Bāzes scenārijā sasniedz 55%. </w:t>
      </w:r>
    </w:p>
    <w:p w14:paraId="59FD1A3E" w14:textId="63ABDF90" w:rsidR="002D7DF8" w:rsidRPr="008B628A" w:rsidRDefault="00AD5C7E" w:rsidP="007219CE">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647358AA" wp14:editId="2A5BF79D">
            <wp:extent cx="4557719" cy="268195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8847" cy="2694383"/>
                    </a:xfrm>
                    <a:prstGeom prst="rect">
                      <a:avLst/>
                    </a:prstGeom>
                    <a:noFill/>
                  </pic:spPr>
                </pic:pic>
              </a:graphicData>
            </a:graphic>
          </wp:inline>
        </w:drawing>
      </w:r>
    </w:p>
    <w:p w14:paraId="2F71C100" w14:textId="086DE509" w:rsidR="002D7DF8" w:rsidRPr="008B628A" w:rsidRDefault="002D7DF8" w:rsidP="002D7DF8">
      <w:pPr>
        <w:pStyle w:val="Caption"/>
        <w:rPr>
          <w:szCs w:val="24"/>
        </w:rPr>
      </w:pPr>
      <w:r w:rsidRPr="008B628A">
        <w:rPr>
          <w:szCs w:val="24"/>
        </w:rPr>
        <w:lastRenderedPageBreak/>
        <w:fldChar w:fldCharType="begin"/>
      </w:r>
      <w:r w:rsidRPr="008B628A">
        <w:rPr>
          <w:szCs w:val="24"/>
        </w:rPr>
        <w:instrText xml:space="preserve"> SEQ Ilustrācija \* ARABIC </w:instrText>
      </w:r>
      <w:r w:rsidRPr="008B628A">
        <w:rPr>
          <w:szCs w:val="24"/>
        </w:rPr>
        <w:fldChar w:fldCharType="separate"/>
      </w:r>
      <w:bookmarkStart w:id="303" w:name="_Toc531333106"/>
      <w:r w:rsidR="006067D4">
        <w:rPr>
          <w:noProof/>
          <w:szCs w:val="24"/>
        </w:rPr>
        <w:t>27</w:t>
      </w:r>
      <w:r w:rsidRPr="008B628A">
        <w:rPr>
          <w:szCs w:val="24"/>
        </w:rPr>
        <w:fldChar w:fldCharType="end"/>
      </w:r>
      <w:r w:rsidRPr="008B628A">
        <w:t>.attēls. AER īpatsvars enerģijas galapatēriņā</w:t>
      </w:r>
      <w:r w:rsidR="00C02DB1">
        <w:t xml:space="preserve"> (%)</w:t>
      </w:r>
      <w:r w:rsidRPr="008B628A">
        <w:t xml:space="preserve"> </w:t>
      </w:r>
      <w:r w:rsidR="00D45B47" w:rsidRPr="008B628A">
        <w:t xml:space="preserve">un </w:t>
      </w:r>
      <w:r w:rsidR="007219CE" w:rsidRPr="008B628A">
        <w:t>AER īpatsvara indikatīvās attīstības prognozes periodā līdz 20</w:t>
      </w:r>
      <w:r w:rsidR="00D45B47" w:rsidRPr="008B628A">
        <w:t>3</w:t>
      </w:r>
      <w:r w:rsidR="007219CE" w:rsidRPr="008B628A">
        <w:t xml:space="preserve">0.gadam </w:t>
      </w:r>
      <w:r w:rsidRPr="008B628A">
        <w:t>(</w:t>
      </w:r>
      <w:r w:rsidR="00C02DB1">
        <w:t>PJ</w:t>
      </w:r>
      <w:r w:rsidRPr="008B628A">
        <w:t>)</w:t>
      </w:r>
      <w:r w:rsidR="00BD5993" w:rsidRPr="008B628A">
        <w:rPr>
          <w:rStyle w:val="FootnoteReference"/>
        </w:rPr>
        <w:footnoteReference w:id="182"/>
      </w:r>
      <w:bookmarkEnd w:id="303"/>
    </w:p>
    <w:p w14:paraId="1C480DD3" w14:textId="2200C028" w:rsidR="00E30421" w:rsidRDefault="00E30421" w:rsidP="00ED146E">
      <w:pPr>
        <w:pStyle w:val="paragraph"/>
        <w:spacing w:before="120" w:beforeAutospacing="0" w:after="120" w:afterAutospacing="0"/>
        <w:jc w:val="both"/>
        <w:textAlignment w:val="baseline"/>
      </w:pPr>
      <w:r>
        <w:t>Jānorāda, ka AER īpatsvars CSA būtisks pieaugums periodā pēc 2020.gada tiek prognozēts, pieņemot, ka būtiski attīstīsies biomasas koģenerācijas iekārtu izmantošana. Tomēr ņemot vērā esošo rīcībpolitiku sistēmu un plānotos pasākumus, ir secināms, ka biomasas koģenerācijas attīstība nebūs tik strauja, kā tiek prognozēts modelī. Tāpēc šī informācija tiks atjaunināta Plāna galaversijā, nosakot ierobežojumus biomasas koģenerācijas attīstībai.</w:t>
      </w:r>
    </w:p>
    <w:p w14:paraId="24762BDE" w14:textId="77777777" w:rsidR="00AD5C7E" w:rsidRDefault="00033E8F" w:rsidP="00ED146E">
      <w:pPr>
        <w:pStyle w:val="paragraph"/>
        <w:spacing w:before="120" w:beforeAutospacing="0" w:after="120" w:afterAutospacing="0"/>
        <w:jc w:val="both"/>
        <w:textAlignment w:val="baseline"/>
      </w:pPr>
      <w:r w:rsidRPr="008B628A">
        <w:t>Ņemot vērā esošās rīcībpolitikas un īstenotos pasākumus, kā arī</w:t>
      </w:r>
      <w:r w:rsidR="00207D5B" w:rsidRPr="008B628A">
        <w:t xml:space="preserve"> vēl nenoteikto un neskaidro politiku attiecībā uz </w:t>
      </w:r>
      <w:r w:rsidR="00D60879">
        <w:t>AER</w:t>
      </w:r>
      <w:r w:rsidR="00207D5B" w:rsidRPr="008B628A">
        <w:t xml:space="preserve"> izmantošanas veicināšanu bāzes scenārija prognozes liecina par to, ka kopējais AER īpatsvars Latvijas energobilancē</w:t>
      </w:r>
      <w:r w:rsidR="004322E3" w:rsidRPr="008B628A">
        <w:t xml:space="preserve"> 2020.gadā tiek sasniegts, savukārt</w:t>
      </w:r>
      <w:r w:rsidR="00207D5B" w:rsidRPr="008B628A">
        <w:t xml:space="preserve"> periodā pēc 2020.gada </w:t>
      </w:r>
      <w:r w:rsidR="004322E3" w:rsidRPr="008B628A">
        <w:t xml:space="preserve">paliks gandrīz nemainīgs – </w:t>
      </w:r>
      <w:r w:rsidR="00207D5B" w:rsidRPr="008B628A">
        <w:t xml:space="preserve">2030.gadā būs </w:t>
      </w:r>
      <w:r w:rsidR="004322E3" w:rsidRPr="008B628A">
        <w:t>40,1</w:t>
      </w:r>
      <w:r w:rsidR="00207D5B" w:rsidRPr="008B628A">
        <w:t xml:space="preserve">%, kas ir par </w:t>
      </w:r>
      <w:r w:rsidR="004322E3" w:rsidRPr="008B628A">
        <w:t xml:space="preserve">apmēram </w:t>
      </w:r>
      <w:r w:rsidR="00207D5B" w:rsidRPr="008B628A">
        <w:t xml:space="preserve">1% </w:t>
      </w:r>
      <w:r w:rsidR="004322E3" w:rsidRPr="008B628A">
        <w:t xml:space="preserve">vairāk </w:t>
      </w:r>
      <w:r w:rsidR="00207D5B" w:rsidRPr="008B628A">
        <w:t xml:space="preserve">nekā 2020.gadā. </w:t>
      </w:r>
    </w:p>
    <w:p w14:paraId="31658BFD" w14:textId="49678C17" w:rsidR="006E2F59" w:rsidRPr="008B628A" w:rsidRDefault="00AD5C7E" w:rsidP="00AD5C7E">
      <w:pPr>
        <w:pStyle w:val="paragraph"/>
        <w:spacing w:before="120" w:beforeAutospacing="0" w:after="120" w:afterAutospacing="0"/>
        <w:jc w:val="center"/>
        <w:textAlignment w:val="baseline"/>
      </w:pPr>
      <w:r>
        <w:rPr>
          <w:noProof/>
        </w:rPr>
        <w:drawing>
          <wp:inline distT="0" distB="0" distL="0" distR="0" wp14:anchorId="353C9EF5" wp14:editId="55AA6BF5">
            <wp:extent cx="4843493" cy="30900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891" cy="3097987"/>
                    </a:xfrm>
                    <a:prstGeom prst="rect">
                      <a:avLst/>
                    </a:prstGeom>
                    <a:noFill/>
                  </pic:spPr>
                </pic:pic>
              </a:graphicData>
            </a:graphic>
          </wp:inline>
        </w:drawing>
      </w:r>
    </w:p>
    <w:p w14:paraId="161B489C" w14:textId="2A78214E" w:rsidR="002D7DF8" w:rsidRPr="008B628A" w:rsidRDefault="002D7DF8" w:rsidP="002D7DF8">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4" w:name="_Toc531333107"/>
      <w:r w:rsidR="006067D4">
        <w:rPr>
          <w:noProof/>
        </w:rPr>
        <w:t>28</w:t>
      </w:r>
      <w:r w:rsidRPr="008B628A">
        <w:rPr>
          <w:noProof/>
        </w:rPr>
        <w:fldChar w:fldCharType="end"/>
      </w:r>
      <w:r w:rsidRPr="008B628A">
        <w:t xml:space="preserve">.attēls. AER īpatsvara </w:t>
      </w:r>
      <w:r w:rsidR="00BF76B5" w:rsidRPr="008B628A">
        <w:t xml:space="preserve">sadalījuma </w:t>
      </w:r>
      <w:r w:rsidRPr="008B628A">
        <w:t xml:space="preserve">indikatīvās attīstības prognozes periodā </w:t>
      </w:r>
      <w:r w:rsidR="0006678F" w:rsidRPr="008B628A">
        <w:t>līdz 20</w:t>
      </w:r>
      <w:r w:rsidR="00BF76B5" w:rsidRPr="008B628A">
        <w:t>3</w:t>
      </w:r>
      <w:r w:rsidRPr="008B628A">
        <w:t>0.gadam</w:t>
      </w:r>
      <w:r w:rsidRPr="008B628A">
        <w:rPr>
          <w:rStyle w:val="FootnoteReference"/>
        </w:rPr>
        <w:footnoteReference w:id="183"/>
      </w:r>
      <w:r w:rsidRPr="008B628A">
        <w:t xml:space="preserve"> (%)</w:t>
      </w:r>
      <w:bookmarkEnd w:id="304"/>
    </w:p>
    <w:p w14:paraId="3F87F20C" w14:textId="6229CEE1" w:rsidR="00125460" w:rsidRPr="008B628A" w:rsidRDefault="00125460" w:rsidP="0012546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Bāzes scenārijā pēc 2020.gada pakāpeniski pieaug </w:t>
      </w:r>
      <w:r w:rsidR="003B135B" w:rsidRPr="008B628A">
        <w:rPr>
          <w:rFonts w:ascii="Times New Roman" w:hAnsi="Times New Roman" w:cs="Times New Roman"/>
          <w:szCs w:val="24"/>
        </w:rPr>
        <w:t xml:space="preserve">AER elektroenerģijā, </w:t>
      </w:r>
      <w:r w:rsidR="00FB547F" w:rsidRPr="008B628A">
        <w:rPr>
          <w:rFonts w:ascii="Times New Roman" w:hAnsi="Times New Roman" w:cs="Times New Roman"/>
          <w:szCs w:val="24"/>
        </w:rPr>
        <w:t>CSA</w:t>
      </w:r>
      <w:r w:rsidR="003B135B" w:rsidRPr="008B628A">
        <w:rPr>
          <w:rFonts w:ascii="Times New Roman" w:hAnsi="Times New Roman" w:cs="Times New Roman"/>
          <w:szCs w:val="24"/>
        </w:rPr>
        <w:t xml:space="preserve"> un transportā devumi</w:t>
      </w:r>
      <w:r w:rsidRPr="008B628A">
        <w:rPr>
          <w:rFonts w:ascii="Times New Roman" w:hAnsi="Times New Roman" w:cs="Times New Roman"/>
          <w:szCs w:val="24"/>
        </w:rPr>
        <w:t xml:space="preserve"> kopējā AER mērķī, bet samazinās </w:t>
      </w:r>
      <w:r w:rsidR="003B135B" w:rsidRPr="008B628A">
        <w:rPr>
          <w:rFonts w:ascii="Times New Roman" w:hAnsi="Times New Roman" w:cs="Times New Roman"/>
          <w:szCs w:val="24"/>
        </w:rPr>
        <w:t xml:space="preserve">AER </w:t>
      </w:r>
      <w:r w:rsidR="00FB547F" w:rsidRPr="008B628A">
        <w:rPr>
          <w:rFonts w:ascii="Times New Roman" w:hAnsi="Times New Roman" w:cs="Times New Roman"/>
          <w:szCs w:val="24"/>
        </w:rPr>
        <w:t>LSA</w:t>
      </w:r>
      <w:r w:rsidR="00D5028E" w:rsidRPr="008B628A">
        <w:rPr>
          <w:rFonts w:ascii="Times New Roman" w:hAnsi="Times New Roman" w:cs="Times New Roman"/>
          <w:szCs w:val="24"/>
        </w:rPr>
        <w:t xml:space="preserve"> un individuālās siltumapgādes</w:t>
      </w:r>
      <w:r w:rsidR="00FB547F" w:rsidRPr="008B628A">
        <w:rPr>
          <w:rFonts w:ascii="Times New Roman" w:hAnsi="Times New Roman" w:cs="Times New Roman"/>
          <w:szCs w:val="24"/>
        </w:rPr>
        <w:t xml:space="preserve"> </w:t>
      </w:r>
      <w:r w:rsidRPr="008B628A">
        <w:rPr>
          <w:rFonts w:ascii="Times New Roman" w:hAnsi="Times New Roman" w:cs="Times New Roman"/>
          <w:szCs w:val="24"/>
        </w:rPr>
        <w:t xml:space="preserve">daļas devums. Iemesls šai tendencei ir tas, ka </w:t>
      </w:r>
      <w:r w:rsidR="003B135B" w:rsidRPr="008B628A">
        <w:rPr>
          <w:rFonts w:ascii="Times New Roman" w:hAnsi="Times New Roman" w:cs="Times New Roman"/>
          <w:szCs w:val="24"/>
        </w:rPr>
        <w:t xml:space="preserve">AER </w:t>
      </w:r>
      <w:r w:rsidR="00FB547F" w:rsidRPr="008B628A">
        <w:rPr>
          <w:rFonts w:ascii="Times New Roman" w:hAnsi="Times New Roman" w:cs="Times New Roman"/>
          <w:szCs w:val="24"/>
        </w:rPr>
        <w:t>LSA</w:t>
      </w:r>
      <w:r w:rsidR="003B135B" w:rsidRPr="008B628A">
        <w:rPr>
          <w:rFonts w:ascii="Times New Roman" w:hAnsi="Times New Roman" w:cs="Times New Roman"/>
          <w:szCs w:val="24"/>
        </w:rPr>
        <w:t xml:space="preserve"> </w:t>
      </w:r>
      <w:r w:rsidR="00D5028E" w:rsidRPr="008B628A">
        <w:rPr>
          <w:rFonts w:ascii="Times New Roman" w:hAnsi="Times New Roman" w:cs="Times New Roman"/>
          <w:szCs w:val="24"/>
        </w:rPr>
        <w:t xml:space="preserve">un individuālās siltumapgādes </w:t>
      </w:r>
      <w:r w:rsidRPr="008B628A">
        <w:rPr>
          <w:rFonts w:ascii="Times New Roman" w:hAnsi="Times New Roman" w:cs="Times New Roman"/>
          <w:szCs w:val="24"/>
        </w:rPr>
        <w:t xml:space="preserve">lielumu galvenokārt nosaka biomasas un citu AER veidu patēriņš mājsaimniecībās, pakalpojumu sektorā un rūpniecībā. Bāzes scenārijā enerģijas galapatēriņš mājsaimniecībās un pakalpojumus samazinās, līdz ar to samazinās arī </w:t>
      </w:r>
      <w:r w:rsidR="00D5028E" w:rsidRPr="008B628A">
        <w:rPr>
          <w:rFonts w:ascii="Times New Roman" w:hAnsi="Times New Roman" w:cs="Times New Roman"/>
          <w:szCs w:val="24"/>
        </w:rPr>
        <w:t xml:space="preserve">šīs </w:t>
      </w:r>
      <w:r w:rsidRPr="008B628A">
        <w:rPr>
          <w:rFonts w:ascii="Times New Roman" w:hAnsi="Times New Roman" w:cs="Times New Roman"/>
          <w:szCs w:val="24"/>
        </w:rPr>
        <w:t xml:space="preserve">daļas devums kopējā AER patēriņā.  </w:t>
      </w:r>
    </w:p>
    <w:p w14:paraId="79C7138F" w14:textId="77777777" w:rsidR="00512D17" w:rsidRPr="008B628A" w:rsidRDefault="00512D17" w:rsidP="00ED146E">
      <w:pPr>
        <w:pStyle w:val="paragraph"/>
        <w:spacing w:before="120" w:beforeAutospacing="0" w:after="120" w:afterAutospacing="0"/>
        <w:jc w:val="both"/>
        <w:textAlignment w:val="baseline"/>
      </w:pPr>
    </w:p>
    <w:p w14:paraId="120D5AF4" w14:textId="5F03A313" w:rsidR="006C746B" w:rsidRPr="008B628A" w:rsidRDefault="00347B4E" w:rsidP="006F546A">
      <w:pPr>
        <w:pStyle w:val="Heading2"/>
      </w:pPr>
      <w:bookmarkStart w:id="305" w:name="_Toc520978872"/>
      <w:bookmarkStart w:id="306" w:name="_Toc527529544"/>
      <w:bookmarkStart w:id="307" w:name="_Toc532910015"/>
      <w:r>
        <w:rPr>
          <w:rStyle w:val="normaltextrun"/>
        </w:rPr>
        <w:t>E</w:t>
      </w:r>
      <w:r w:rsidR="006C746B" w:rsidRPr="008B628A">
        <w:rPr>
          <w:rStyle w:val="normaltextrun"/>
        </w:rPr>
        <w:t>nergoefektivitāte</w:t>
      </w:r>
      <w:bookmarkEnd w:id="305"/>
      <w:bookmarkEnd w:id="306"/>
      <w:bookmarkEnd w:id="307"/>
      <w:r w:rsidR="006C746B" w:rsidRPr="008B628A">
        <w:rPr>
          <w:rStyle w:val="normaltextrun"/>
        </w:rPr>
        <w:t> </w:t>
      </w:r>
      <w:r w:rsidR="006C746B" w:rsidRPr="008B628A">
        <w:rPr>
          <w:rStyle w:val="eop"/>
        </w:rPr>
        <w:t> </w:t>
      </w:r>
    </w:p>
    <w:p w14:paraId="25670D92" w14:textId="5B31E7B4" w:rsidR="006C746B" w:rsidRPr="008B628A" w:rsidRDefault="009D331F" w:rsidP="005F59CE">
      <w:pPr>
        <w:pStyle w:val="Heading3"/>
      </w:pPr>
      <w:bookmarkStart w:id="308" w:name="_Toc520978873"/>
      <w:bookmarkStart w:id="309" w:name="_Toc527529545"/>
      <w:r w:rsidRPr="008B628A">
        <w:rPr>
          <w:rStyle w:val="normaltextrun"/>
        </w:rPr>
        <w:t>Es</w:t>
      </w:r>
      <w:r w:rsidR="006C746B" w:rsidRPr="008B628A">
        <w:rPr>
          <w:rStyle w:val="normaltextrun"/>
        </w:rPr>
        <w:t>ošais enerģijas patēriņš</w:t>
      </w:r>
      <w:bookmarkEnd w:id="308"/>
      <w:bookmarkEnd w:id="309"/>
      <w:r w:rsidR="006C746B" w:rsidRPr="008B628A">
        <w:rPr>
          <w:rStyle w:val="eop"/>
        </w:rPr>
        <w:t> </w:t>
      </w:r>
    </w:p>
    <w:p w14:paraId="77DC7EFD" w14:textId="7BA44A86" w:rsidR="0043515A" w:rsidRPr="008B628A" w:rsidRDefault="0043515A" w:rsidP="00863FD7">
      <w:pPr>
        <w:pStyle w:val="Heading4"/>
      </w:pPr>
      <w:bookmarkStart w:id="310" w:name="_Toc527529546"/>
      <w:r w:rsidRPr="008B628A">
        <w:t xml:space="preserve">Esošais </w:t>
      </w:r>
      <w:r w:rsidR="0064179F" w:rsidRPr="008B628A">
        <w:t xml:space="preserve">kopējais </w:t>
      </w:r>
      <w:r w:rsidR="00347B4E">
        <w:t xml:space="preserve">primārās enerģijas </w:t>
      </w:r>
      <w:r w:rsidRPr="008B628A">
        <w:t>patēriņš</w:t>
      </w:r>
      <w:bookmarkEnd w:id="310"/>
    </w:p>
    <w:p w14:paraId="41D96835" w14:textId="7AA6A037" w:rsidR="006C746B" w:rsidRPr="008B628A" w:rsidRDefault="006C746B" w:rsidP="006C746B">
      <w:pPr>
        <w:pStyle w:val="paragraph"/>
        <w:spacing w:before="120" w:beforeAutospacing="0" w:after="120" w:afterAutospacing="0"/>
        <w:jc w:val="both"/>
        <w:textAlignment w:val="baseline"/>
        <w:rPr>
          <w:rStyle w:val="eop"/>
          <w:rFonts w:eastAsiaTheme="majorEastAsia"/>
        </w:rPr>
      </w:pPr>
      <w:r w:rsidRPr="008B628A">
        <w:rPr>
          <w:bCs/>
          <w:color w:val="000000"/>
        </w:rPr>
        <w:t xml:space="preserve">Kopējais </w:t>
      </w:r>
      <w:r w:rsidR="00347B4E">
        <w:rPr>
          <w:bCs/>
          <w:color w:val="000000"/>
        </w:rPr>
        <w:t>primārās enerģijas</w:t>
      </w:r>
      <w:r w:rsidRPr="008B628A">
        <w:rPr>
          <w:bCs/>
          <w:color w:val="000000"/>
        </w:rPr>
        <w:t xml:space="preserve"> patēriņš 2016.</w:t>
      </w:r>
      <w:r w:rsidRPr="008B628A">
        <w:rPr>
          <w:color w:val="000000"/>
        </w:rPr>
        <w:t> </w:t>
      </w:r>
      <w:r w:rsidRPr="008B628A">
        <w:rPr>
          <w:bCs/>
          <w:color w:val="000000"/>
        </w:rPr>
        <w:t>gadā, bija 184,5</w:t>
      </w:r>
      <w:r w:rsidRPr="008B628A">
        <w:rPr>
          <w:color w:val="000000"/>
        </w:rPr>
        <w:t> </w:t>
      </w:r>
      <w:r w:rsidRPr="008B628A">
        <w:rPr>
          <w:bCs/>
          <w:color w:val="000000"/>
        </w:rPr>
        <w:t>PJ</w:t>
      </w:r>
      <w:r w:rsidR="003A62A0" w:rsidRPr="008B628A">
        <w:rPr>
          <w:bCs/>
          <w:color w:val="000000"/>
        </w:rPr>
        <w:t>, bet 2017. gadā jau 194,9 PJ</w:t>
      </w:r>
      <w:r w:rsidRPr="008B628A">
        <w:rPr>
          <w:rStyle w:val="FootnoteReference"/>
          <w:bCs/>
          <w:color w:val="000000"/>
        </w:rPr>
        <w:footnoteReference w:id="184"/>
      </w:r>
      <w:r w:rsidRPr="008B628A">
        <w:rPr>
          <w:color w:val="000000"/>
        </w:rPr>
        <w:t>. Pēdējo piecu gadu laikā no 2011. gada līdz 2016. gadam kopējais</w:t>
      </w:r>
      <w:r w:rsidR="00D60879">
        <w:rPr>
          <w:color w:val="000000"/>
        </w:rPr>
        <w:t xml:space="preserve"> primārās enerģijas </w:t>
      </w:r>
      <w:r w:rsidRPr="008B628A">
        <w:rPr>
          <w:color w:val="000000"/>
        </w:rPr>
        <w:t>patēriņš nav būtiski mainījies, tomēr pieaug AER īpatsvars tajā.</w:t>
      </w:r>
    </w:p>
    <w:p w14:paraId="351CC89B" w14:textId="18B6BF83" w:rsidR="003A62A0" w:rsidRPr="008B628A" w:rsidRDefault="00D60879" w:rsidP="003A62A0">
      <w:pPr>
        <w:autoSpaceDE w:val="0"/>
        <w:autoSpaceDN w:val="0"/>
        <w:adjustRightInd w:val="0"/>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lastRenderedPageBreak/>
        <w:drawing>
          <wp:inline distT="0" distB="0" distL="0" distR="0" wp14:anchorId="21B9794E" wp14:editId="53881764">
            <wp:extent cx="4895158" cy="30956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2015" cy="3106260"/>
                    </a:xfrm>
                    <a:prstGeom prst="rect">
                      <a:avLst/>
                    </a:prstGeom>
                    <a:noFill/>
                  </pic:spPr>
                </pic:pic>
              </a:graphicData>
            </a:graphic>
          </wp:inline>
        </w:drawing>
      </w:r>
    </w:p>
    <w:p w14:paraId="2C48ADD6" w14:textId="259AF037" w:rsidR="003A62A0"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1" w:name="_Toc531333108"/>
      <w:r w:rsidR="006067D4">
        <w:rPr>
          <w:noProof/>
        </w:rPr>
        <w:t>29</w:t>
      </w:r>
      <w:r w:rsidRPr="008B628A">
        <w:rPr>
          <w:noProof/>
        </w:rPr>
        <w:fldChar w:fldCharType="end"/>
      </w:r>
      <w:r w:rsidR="003A62A0" w:rsidRPr="008B628A">
        <w:t xml:space="preserve">. attēls. Kopējais </w:t>
      </w:r>
      <w:r w:rsidR="00D60879">
        <w:t xml:space="preserve">primārās enerģijas </w:t>
      </w:r>
      <w:r w:rsidR="003A62A0" w:rsidRPr="008B628A">
        <w:t>patēriņš un ener</w:t>
      </w:r>
      <w:r w:rsidR="00D60879">
        <w:t>ģijas</w:t>
      </w:r>
      <w:r w:rsidR="003A62A0" w:rsidRPr="008B628A">
        <w:t xml:space="preserve"> galapatēriņš Latvijā 1990-2017.g. (PJ)</w:t>
      </w:r>
      <w:r w:rsidR="00565E98" w:rsidRPr="008B628A">
        <w:rPr>
          <w:rStyle w:val="FootnoteReference"/>
        </w:rPr>
        <w:footnoteReference w:id="185"/>
      </w:r>
      <w:bookmarkEnd w:id="311"/>
    </w:p>
    <w:p w14:paraId="436701ED" w14:textId="46F52B20" w:rsidR="006C746B" w:rsidRPr="008B628A" w:rsidRDefault="006C746B" w:rsidP="005D73B7">
      <w:pPr>
        <w:pStyle w:val="paragraph"/>
        <w:spacing w:before="120" w:beforeAutospacing="0" w:after="120" w:afterAutospacing="0"/>
        <w:jc w:val="both"/>
        <w:textAlignment w:val="baseline"/>
        <w:rPr>
          <w:rStyle w:val="eop"/>
          <w:rFonts w:eastAsiaTheme="majorEastAsia"/>
        </w:rPr>
      </w:pPr>
      <w:r w:rsidRPr="008B628A">
        <w:rPr>
          <w:rStyle w:val="eop"/>
          <w:rFonts w:eastAsiaTheme="majorEastAsia"/>
        </w:rPr>
        <w:t xml:space="preserve">Viens no energoefektivitātes mērķa sasniegšanas rādītājiem ir primārās enerģijas patēriņa samazinājums. Saskaņā ar </w:t>
      </w:r>
      <w:r w:rsidR="00883D54" w:rsidRPr="008B628A">
        <w:rPr>
          <w:rFonts w:eastAsia="Calibri"/>
        </w:rPr>
        <w:t>Direktīvā 2012/27/ES</w:t>
      </w:r>
      <w:r w:rsidRPr="008B628A">
        <w:rPr>
          <w:rStyle w:val="eop"/>
          <w:rFonts w:eastAsiaTheme="majorEastAsia"/>
        </w:rPr>
        <w:t xml:space="preserve"> noteikto definīciju, </w:t>
      </w:r>
      <w:r w:rsidRPr="008B628A">
        <w:t>primārās enerģijas patēriņš ir bruto iekšzemes patēriņš, izņemot ar enerģētiku</w:t>
      </w:r>
      <w:r w:rsidRPr="008B628A">
        <w:rPr>
          <w:shd w:val="clear" w:color="auto" w:fill="FFFFFF"/>
        </w:rPr>
        <w:t xml:space="preserve"> </w:t>
      </w:r>
      <w:r w:rsidRPr="008B628A">
        <w:t>nesaistītu izmantošanu</w:t>
      </w:r>
      <w:r w:rsidRPr="008B628A">
        <w:rPr>
          <w:shd w:val="clear" w:color="auto" w:fill="FFFFFF"/>
        </w:rPr>
        <w:t xml:space="preserve">. </w:t>
      </w:r>
    </w:p>
    <w:p w14:paraId="61C1BB89" w14:textId="7A2F94F8" w:rsidR="006C746B" w:rsidRPr="008B628A" w:rsidRDefault="00C82DC5" w:rsidP="00C82DC5">
      <w:pPr>
        <w:pStyle w:val="paragraph"/>
        <w:spacing w:before="0" w:beforeAutospacing="0" w:after="0" w:afterAutospacing="0"/>
        <w:jc w:val="center"/>
        <w:textAlignment w:val="baseline"/>
        <w:rPr>
          <w:rStyle w:val="eop"/>
          <w:rFonts w:eastAsiaTheme="majorEastAsia"/>
        </w:rPr>
      </w:pPr>
      <w:r w:rsidRPr="008B628A">
        <w:rPr>
          <w:rStyle w:val="eop"/>
          <w:rFonts w:eastAsiaTheme="majorEastAsia"/>
          <w:noProof/>
        </w:rPr>
        <w:drawing>
          <wp:inline distT="0" distB="0" distL="0" distR="0" wp14:anchorId="0D4F4A78" wp14:editId="2EDAA420">
            <wp:extent cx="4814136" cy="2771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30204" cy="2781026"/>
                    </a:xfrm>
                    <a:prstGeom prst="rect">
                      <a:avLst/>
                    </a:prstGeom>
                    <a:noFill/>
                  </pic:spPr>
                </pic:pic>
              </a:graphicData>
            </a:graphic>
          </wp:inline>
        </w:drawing>
      </w:r>
    </w:p>
    <w:p w14:paraId="604459D3" w14:textId="7A878488" w:rsidR="006C746B" w:rsidRPr="008B628A" w:rsidRDefault="00D07F6C" w:rsidP="00CD366E">
      <w:pPr>
        <w:pStyle w:val="Caption"/>
        <w:rPr>
          <w:rStyle w:val="eop"/>
        </w:rPr>
      </w:pPr>
      <w:r w:rsidRPr="008B628A">
        <w:rPr>
          <w:rStyle w:val="eop"/>
        </w:rPr>
        <w:fldChar w:fldCharType="begin"/>
      </w:r>
      <w:r w:rsidRPr="008B628A">
        <w:rPr>
          <w:rStyle w:val="eop"/>
        </w:rPr>
        <w:instrText xml:space="preserve"> SEQ Ilustrācija \* ARABIC </w:instrText>
      </w:r>
      <w:r w:rsidRPr="008B628A">
        <w:rPr>
          <w:rStyle w:val="eop"/>
        </w:rPr>
        <w:fldChar w:fldCharType="separate"/>
      </w:r>
      <w:bookmarkStart w:id="312" w:name="_Toc531333109"/>
      <w:r w:rsidR="006067D4">
        <w:rPr>
          <w:rStyle w:val="eop"/>
          <w:noProof/>
        </w:rPr>
        <w:t>30</w:t>
      </w:r>
      <w:r w:rsidRPr="008B628A">
        <w:rPr>
          <w:rStyle w:val="eop"/>
        </w:rPr>
        <w:fldChar w:fldCharType="end"/>
      </w:r>
      <w:r w:rsidRPr="008B628A">
        <w:t xml:space="preserve">.attēls </w:t>
      </w:r>
      <w:r w:rsidR="006C746B" w:rsidRPr="008B628A">
        <w:rPr>
          <w:rStyle w:val="eop"/>
        </w:rPr>
        <w:t>Kopējais primārās enerģija</w:t>
      </w:r>
      <w:r w:rsidR="00C82DC5" w:rsidRPr="008B628A">
        <w:rPr>
          <w:rStyle w:val="eop"/>
        </w:rPr>
        <w:t>s patēriņš Latvijā 2017. gadā (P</w:t>
      </w:r>
      <w:r w:rsidR="006C746B" w:rsidRPr="008B628A">
        <w:rPr>
          <w:rStyle w:val="eop"/>
        </w:rPr>
        <w:t>J)</w:t>
      </w:r>
      <w:r w:rsidR="006C746B" w:rsidRPr="008B628A">
        <w:rPr>
          <w:rStyle w:val="FootnoteReference"/>
        </w:rPr>
        <w:footnoteReference w:id="186"/>
      </w:r>
      <w:bookmarkEnd w:id="312"/>
    </w:p>
    <w:p w14:paraId="3BA92AD4" w14:textId="5CC791CC" w:rsidR="001A415C" w:rsidRPr="008B628A" w:rsidRDefault="001A415C" w:rsidP="001A415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Siltumenerģijas un elektroenerģijas ražošanai (pārveidošanas sektorā) 2017. gadā patērēja 53,0 PJ energoresursu un saražoja 40,8 PJ enerģijas (no tās 30,0 PJ siltumenerģijas un 10,8 PJ elektroenerģijas), kas ir par 4,1 % mazāk salīdzinājumā ar 2016. gadu</w:t>
      </w:r>
      <w:r w:rsidR="00A321FA" w:rsidRPr="008B628A">
        <w:rPr>
          <w:rFonts w:ascii="Times New Roman" w:hAnsi="Times New Roman" w:cs="Times New Roman"/>
          <w:szCs w:val="24"/>
        </w:rPr>
        <w:t xml:space="preserve"> (2016. gadā patērēja 54,3 PJ energoresursu un saražoja 42,5 PJ enerģijas (no tās 29,0 PJ siltumenerģijas un 13,5 PJ elektroenerģijas)</w:t>
      </w:r>
      <w:r w:rsidRPr="008B628A">
        <w:rPr>
          <w:rFonts w:ascii="Times New Roman" w:hAnsi="Times New Roman" w:cs="Times New Roman"/>
          <w:szCs w:val="24"/>
        </w:rPr>
        <w:t xml:space="preserve">. Saražotās enerģijas apjoma samazinājums pārveidošanas sektorā ir skaidrojams ar saražotās elektroenerģijas pieaugumu HES un VES. Siltumenerģijas un elektroenerģijas ražošanai Latvijā pārsvarā izmanto fosilo energoresursu – dabasgāzi, kuras īpatsvars pārveidošanas sektorā pakāpeniski samazinās: 2010. gadā – 81 %, 2016. gadā – 60,1 % un 2017. gadā – 56,1 %. Piecu gadu laikā pārveidošanas sektorā patērēto AER īpatsvars sasniedza </w:t>
      </w:r>
      <w:r w:rsidRPr="008B628A">
        <w:rPr>
          <w:rFonts w:ascii="Times New Roman" w:hAnsi="Times New Roman" w:cs="Times New Roman"/>
          <w:szCs w:val="24"/>
        </w:rPr>
        <w:lastRenderedPageBreak/>
        <w:t>43,5 %</w:t>
      </w:r>
      <w:r w:rsidR="00A321FA" w:rsidRPr="008B628A">
        <w:rPr>
          <w:rFonts w:ascii="Times New Roman" w:hAnsi="Times New Roman" w:cs="Times New Roman"/>
          <w:szCs w:val="24"/>
        </w:rPr>
        <w:t xml:space="preserve"> (2016. gadā – 39.5%)</w:t>
      </w:r>
      <w:r w:rsidRPr="008B628A">
        <w:rPr>
          <w:rFonts w:ascii="Times New Roman" w:hAnsi="Times New Roman" w:cs="Times New Roman"/>
          <w:szCs w:val="24"/>
        </w:rPr>
        <w:t>. AER, kurus izmanto pārveidošanas sektorā, ir vietējie energoresursi: kurināmā koksne, biogāze un cita biomasa.</w:t>
      </w:r>
    </w:p>
    <w:p w14:paraId="41EE2C05" w14:textId="71B51BE2" w:rsidR="0064179F" w:rsidRPr="008B628A" w:rsidRDefault="0064179F" w:rsidP="00863FD7">
      <w:pPr>
        <w:pStyle w:val="Heading4"/>
      </w:pPr>
      <w:bookmarkStart w:id="313" w:name="_Toc527529547"/>
      <w:r w:rsidRPr="008B628A">
        <w:t>Esošais ener</w:t>
      </w:r>
      <w:r w:rsidR="00347B4E">
        <w:t>ģijas</w:t>
      </w:r>
      <w:r w:rsidRPr="008B628A">
        <w:t xml:space="preserve"> galapatēriņš</w:t>
      </w:r>
      <w:bookmarkEnd w:id="313"/>
    </w:p>
    <w:p w14:paraId="6CBB3796" w14:textId="77777777" w:rsidR="006C746B" w:rsidRPr="008B628A" w:rsidRDefault="006C746B" w:rsidP="006C746B">
      <w:pPr>
        <w:pStyle w:val="paragraph"/>
        <w:spacing w:before="120" w:beforeAutospacing="0" w:after="120" w:afterAutospacing="0"/>
        <w:jc w:val="both"/>
        <w:textAlignment w:val="baseline"/>
        <w:rPr>
          <w:rStyle w:val="eop"/>
          <w:rFonts w:eastAsiaTheme="majorEastAsia"/>
        </w:rPr>
      </w:pPr>
      <w:r w:rsidRPr="008B628A">
        <w:rPr>
          <w:rStyle w:val="eop"/>
          <w:rFonts w:eastAsiaTheme="majorEastAsia"/>
        </w:rPr>
        <w:t xml:space="preserve">Vēl viens energoefektivitātes mērķis attiecas uz enerģijas galapatēriņu tautsaimniecībā kopumā un sadalījumā pa sektoriem. </w:t>
      </w:r>
    </w:p>
    <w:p w14:paraId="11267872" w14:textId="5D51019E" w:rsidR="00093B4E" w:rsidRPr="008B628A" w:rsidRDefault="00AD5C7E" w:rsidP="00093B4E">
      <w:pPr>
        <w:pStyle w:val="paragraph"/>
        <w:spacing w:before="0" w:beforeAutospacing="0" w:after="0" w:afterAutospacing="0"/>
        <w:jc w:val="center"/>
        <w:textAlignment w:val="baseline"/>
        <w:rPr>
          <w:rStyle w:val="eop"/>
          <w:rFonts w:eastAsiaTheme="majorEastAsia"/>
        </w:rPr>
      </w:pPr>
      <w:r>
        <w:rPr>
          <w:rStyle w:val="eop"/>
          <w:rFonts w:eastAsiaTheme="majorEastAsia"/>
          <w:noProof/>
        </w:rPr>
        <w:drawing>
          <wp:inline distT="0" distB="0" distL="0" distR="0" wp14:anchorId="76B46E82" wp14:editId="1F48C80A">
            <wp:extent cx="4605991" cy="280854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2521" cy="2818619"/>
                    </a:xfrm>
                    <a:prstGeom prst="rect">
                      <a:avLst/>
                    </a:prstGeom>
                    <a:noFill/>
                  </pic:spPr>
                </pic:pic>
              </a:graphicData>
            </a:graphic>
          </wp:inline>
        </w:drawing>
      </w:r>
    </w:p>
    <w:p w14:paraId="0BE76E15" w14:textId="7FFE8E03" w:rsidR="00093B4E" w:rsidRPr="008B628A" w:rsidRDefault="00093B4E" w:rsidP="00CD366E">
      <w:pPr>
        <w:pStyle w:val="Caption"/>
        <w:rPr>
          <w:rStyle w:val="eop"/>
        </w:rPr>
      </w:pPr>
      <w:r w:rsidRPr="008B628A">
        <w:rPr>
          <w:rStyle w:val="eop"/>
        </w:rPr>
        <w:fldChar w:fldCharType="begin"/>
      </w:r>
      <w:r w:rsidRPr="008B628A">
        <w:rPr>
          <w:rStyle w:val="eop"/>
        </w:rPr>
        <w:instrText xml:space="preserve"> SEQ Ilustrācija \* ARABIC </w:instrText>
      </w:r>
      <w:r w:rsidRPr="008B628A">
        <w:rPr>
          <w:rStyle w:val="eop"/>
        </w:rPr>
        <w:fldChar w:fldCharType="separate"/>
      </w:r>
      <w:bookmarkStart w:id="314" w:name="_Toc531333110"/>
      <w:r w:rsidR="006067D4">
        <w:rPr>
          <w:rStyle w:val="eop"/>
          <w:noProof/>
        </w:rPr>
        <w:t>31</w:t>
      </w:r>
      <w:r w:rsidRPr="008B628A">
        <w:rPr>
          <w:rStyle w:val="eop"/>
        </w:rPr>
        <w:fldChar w:fldCharType="end"/>
      </w:r>
      <w:r w:rsidRPr="008B628A">
        <w:t>.attēls. Latvijas ener</w:t>
      </w:r>
      <w:r w:rsidR="00D60879">
        <w:t xml:space="preserve">ģijas </w:t>
      </w:r>
      <w:r w:rsidRPr="008B628A">
        <w:t>galapatēriņa sadalījums pa nozarēm 2016. gadā</w:t>
      </w:r>
      <w:r w:rsidRPr="008B628A">
        <w:rPr>
          <w:rStyle w:val="FootnoteReference"/>
        </w:rPr>
        <w:footnoteReference w:id="187"/>
      </w:r>
      <w:bookmarkEnd w:id="314"/>
      <w:r w:rsidRPr="008B628A">
        <w:t xml:space="preserve"> </w:t>
      </w:r>
    </w:p>
    <w:p w14:paraId="5620BA04" w14:textId="7842A410" w:rsidR="001A415C" w:rsidRPr="008B628A" w:rsidRDefault="006C746B" w:rsidP="001A415C">
      <w:pPr>
        <w:pStyle w:val="paragraph"/>
        <w:spacing w:before="120" w:beforeAutospacing="0" w:after="120" w:afterAutospacing="0"/>
        <w:jc w:val="both"/>
        <w:textAlignment w:val="baseline"/>
      </w:pPr>
      <w:r w:rsidRPr="008B628A">
        <w:rPr>
          <w:bCs/>
        </w:rPr>
        <w:t>Ener</w:t>
      </w:r>
      <w:r w:rsidR="00347B4E">
        <w:rPr>
          <w:bCs/>
        </w:rPr>
        <w:t>ģijas</w:t>
      </w:r>
      <w:r w:rsidRPr="008B628A">
        <w:rPr>
          <w:bCs/>
        </w:rPr>
        <w:t xml:space="preserve"> galapatēriņš</w:t>
      </w:r>
      <w:r w:rsidRPr="008B628A">
        <w:t> </w:t>
      </w:r>
      <w:r w:rsidRPr="008B628A">
        <w:rPr>
          <w:bCs/>
        </w:rPr>
        <w:t>2016.</w:t>
      </w:r>
      <w:r w:rsidRPr="008B628A">
        <w:t> </w:t>
      </w:r>
      <w:r w:rsidRPr="008B628A">
        <w:rPr>
          <w:bCs/>
        </w:rPr>
        <w:t>gadā palicis gandrīz nemainīgs, salīdzinot ar 2015.</w:t>
      </w:r>
      <w:r w:rsidRPr="008B628A">
        <w:t> </w:t>
      </w:r>
      <w:r w:rsidRPr="008B628A">
        <w:rPr>
          <w:bCs/>
        </w:rPr>
        <w:t>gadu – 163,6</w:t>
      </w:r>
      <w:r w:rsidRPr="008B628A">
        <w:t> </w:t>
      </w:r>
      <w:r w:rsidRPr="008B628A">
        <w:rPr>
          <w:bCs/>
        </w:rPr>
        <w:t>PJ</w:t>
      </w:r>
      <w:r w:rsidRPr="008B628A">
        <w:t>,</w:t>
      </w:r>
      <w:r w:rsidR="003A62A0" w:rsidRPr="008B628A">
        <w:t xml:space="preserve"> bet 2017. gadā tas pieaudzis līdz 17</w:t>
      </w:r>
      <w:r w:rsidR="008F18A4" w:rsidRPr="008B628A">
        <w:t xml:space="preserve">2 </w:t>
      </w:r>
      <w:r w:rsidR="003A62A0" w:rsidRPr="008B628A">
        <w:t>PJ</w:t>
      </w:r>
      <w:r w:rsidRPr="008B628A">
        <w:t>. Pēdējo desmit gadu laikā nav novērotas būtiskas izmaiņas ener</w:t>
      </w:r>
      <w:r w:rsidR="00347B4E">
        <w:t>ģijas</w:t>
      </w:r>
      <w:r w:rsidRPr="008B628A">
        <w:t xml:space="preserve"> galapatēriņā. </w:t>
      </w:r>
      <w:r w:rsidR="001A415C" w:rsidRPr="008B628A">
        <w:t>Lielākais patērētājs 2016. un 2017. gadā ir transports, kas patērēja attiecīgi 30,</w:t>
      </w:r>
      <w:r w:rsidR="00CF3FEE" w:rsidRPr="008B628A">
        <w:t>3</w:t>
      </w:r>
      <w:r w:rsidR="001A415C" w:rsidRPr="008B628A">
        <w:t> % un 30</w:t>
      </w:r>
      <w:r w:rsidR="006705A0" w:rsidRPr="008B628A">
        <w:t>,3</w:t>
      </w:r>
      <w:r w:rsidR="001A415C" w:rsidRPr="008B628A">
        <w:t xml:space="preserve"> %, tad mājsaimniecības – 29</w:t>
      </w:r>
      <w:r w:rsidR="00CF3FEE" w:rsidRPr="008B628A">
        <w:t>,2</w:t>
      </w:r>
      <w:r w:rsidR="001A415C" w:rsidRPr="008B628A">
        <w:t xml:space="preserve"> % un 29,2 % patēriņš, un rūpniecība – 20,8 % un 2</w:t>
      </w:r>
      <w:r w:rsidR="00CF3FEE" w:rsidRPr="008B628A">
        <w:t>0,9</w:t>
      </w:r>
      <w:r w:rsidR="001A415C" w:rsidRPr="008B628A">
        <w:t xml:space="preserve"> % patēriņš. Salīdzinot ar 2016. gadu, ener</w:t>
      </w:r>
      <w:r w:rsidR="00347B4E">
        <w:t>ģijas</w:t>
      </w:r>
      <w:r w:rsidR="001A415C" w:rsidRPr="008B628A">
        <w:t xml:space="preserve"> galapatēriņa pieaugums 2017. gadā ir vērojams visos sektoros, kur vislielākais patēriņa pieaugums 2017. gadā salīdzinot ar 2016. gadu – +</w:t>
      </w:r>
      <w:r w:rsidR="006705A0" w:rsidRPr="008B628A">
        <w:t>10,9</w:t>
      </w:r>
      <w:r w:rsidR="001A415C" w:rsidRPr="008B628A">
        <w:t xml:space="preserve"> %, bija lauksaimniecībā</w:t>
      </w:r>
      <w:r w:rsidR="006705A0" w:rsidRPr="008B628A">
        <w:t>,</w:t>
      </w:r>
      <w:r w:rsidR="001A415C" w:rsidRPr="008B628A">
        <w:t xml:space="preserve"> mežsaimniecībā</w:t>
      </w:r>
      <w:r w:rsidR="006705A0" w:rsidRPr="008B628A">
        <w:t xml:space="preserve"> un zivsaimniecībā</w:t>
      </w:r>
      <w:r w:rsidR="001A415C" w:rsidRPr="008B628A">
        <w:t>.</w:t>
      </w:r>
    </w:p>
    <w:p w14:paraId="05A9D16D" w14:textId="599306FB" w:rsidR="006C746B" w:rsidRPr="008B628A" w:rsidRDefault="006C746B" w:rsidP="0092571E">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patēriņš rūpniecībā pēdējo piecu gadu laikā ir palicis gandrīz nemainīgs. Kopš 201</w:t>
      </w:r>
      <w:r w:rsidR="00CF3FEE" w:rsidRPr="008B628A">
        <w:rPr>
          <w:rFonts w:ascii="Times New Roman" w:eastAsia="Times New Roman" w:hAnsi="Times New Roman" w:cs="Times New Roman"/>
          <w:color w:val="000000"/>
          <w:szCs w:val="24"/>
          <w:lang w:eastAsia="lv-LV"/>
        </w:rPr>
        <w:t>4</w:t>
      </w:r>
      <w:r w:rsidRPr="008B628A">
        <w:rPr>
          <w:rFonts w:ascii="Times New Roman" w:eastAsia="Times New Roman" w:hAnsi="Times New Roman" w:cs="Times New Roman"/>
          <w:color w:val="000000"/>
          <w:szCs w:val="24"/>
          <w:lang w:eastAsia="lv-LV"/>
        </w:rPr>
        <w:t>. gada tas samazinājies par 1,</w:t>
      </w:r>
      <w:r w:rsidR="00CF3FEE" w:rsidRPr="008B628A">
        <w:rPr>
          <w:rFonts w:ascii="Times New Roman" w:eastAsia="Times New Roman" w:hAnsi="Times New Roman" w:cs="Times New Roman"/>
          <w:color w:val="000000"/>
          <w:szCs w:val="24"/>
          <w:lang w:eastAsia="lv-LV"/>
        </w:rPr>
        <w:t>5</w:t>
      </w:r>
      <w:r w:rsidRPr="008B628A">
        <w:rPr>
          <w:rFonts w:ascii="Times New Roman" w:eastAsia="Times New Roman" w:hAnsi="Times New Roman" w:cs="Times New Roman"/>
          <w:color w:val="000000"/>
          <w:szCs w:val="24"/>
          <w:lang w:eastAsia="lv-LV"/>
        </w:rPr>
        <w:t> % un 2017. gadā sasniedza 3</w:t>
      </w:r>
      <w:r w:rsidR="00D864A7" w:rsidRPr="008B628A">
        <w:rPr>
          <w:rFonts w:ascii="Times New Roman" w:eastAsia="Times New Roman" w:hAnsi="Times New Roman" w:cs="Times New Roman"/>
          <w:color w:val="000000"/>
          <w:szCs w:val="24"/>
          <w:lang w:eastAsia="lv-LV"/>
        </w:rPr>
        <w:t>5,9</w:t>
      </w:r>
      <w:r w:rsidRPr="008B628A">
        <w:rPr>
          <w:rFonts w:ascii="Times New Roman" w:eastAsia="Times New Roman" w:hAnsi="Times New Roman" w:cs="Times New Roman"/>
          <w:color w:val="000000"/>
          <w:szCs w:val="24"/>
          <w:lang w:eastAsia="lv-LV"/>
        </w:rPr>
        <w:t xml:space="preserve"> PJ</w:t>
      </w:r>
      <w:r w:rsidR="00A321FA" w:rsidRPr="008B628A">
        <w:rPr>
          <w:rFonts w:ascii="Times New Roman" w:eastAsia="Times New Roman" w:hAnsi="Times New Roman" w:cs="Times New Roman"/>
          <w:color w:val="000000"/>
          <w:szCs w:val="24"/>
          <w:lang w:eastAsia="lv-LV"/>
        </w:rPr>
        <w:t xml:space="preserve">  (2016. gadā – 34,1 PJ)</w:t>
      </w:r>
      <w:r w:rsidRPr="008B628A">
        <w:rPr>
          <w:rFonts w:ascii="Times New Roman" w:eastAsia="Times New Roman" w:hAnsi="Times New Roman" w:cs="Times New Roman"/>
          <w:color w:val="000000"/>
          <w:szCs w:val="24"/>
          <w:lang w:eastAsia="lv-LV"/>
        </w:rPr>
        <w:t xml:space="preserve">. Lielākais patēriņš </w:t>
      </w:r>
      <w:r w:rsidR="00A321FA" w:rsidRPr="008B628A">
        <w:rPr>
          <w:rFonts w:ascii="Times New Roman" w:eastAsia="Times New Roman" w:hAnsi="Times New Roman" w:cs="Times New Roman"/>
          <w:color w:val="000000"/>
          <w:szCs w:val="24"/>
          <w:lang w:eastAsia="lv-LV"/>
        </w:rPr>
        <w:t xml:space="preserve">2016. gadā un </w:t>
      </w:r>
      <w:r w:rsidRPr="008B628A">
        <w:rPr>
          <w:rFonts w:ascii="Times New Roman" w:eastAsia="Times New Roman" w:hAnsi="Times New Roman" w:cs="Times New Roman"/>
          <w:color w:val="000000"/>
          <w:szCs w:val="24"/>
          <w:lang w:eastAsia="lv-LV"/>
        </w:rPr>
        <w:t xml:space="preserve">2017. gadā bija koksnes, koka un korķu izstrādājumu ražošanas nozarē – </w:t>
      </w:r>
      <w:r w:rsidR="00A321FA" w:rsidRPr="008B628A">
        <w:rPr>
          <w:rFonts w:ascii="Times New Roman" w:eastAsia="Times New Roman" w:hAnsi="Times New Roman" w:cs="Times New Roman"/>
          <w:color w:val="000000"/>
          <w:szCs w:val="24"/>
          <w:lang w:eastAsia="lv-LV"/>
        </w:rPr>
        <w:t>18,8 PJ jeb 55,2 % no ener</w:t>
      </w:r>
      <w:r w:rsidR="00347B4E">
        <w:rPr>
          <w:rFonts w:ascii="Times New Roman" w:eastAsia="Times New Roman" w:hAnsi="Times New Roman" w:cs="Times New Roman"/>
          <w:color w:val="000000"/>
          <w:szCs w:val="24"/>
          <w:lang w:eastAsia="lv-LV"/>
        </w:rPr>
        <w:t xml:space="preserve">ģijas </w:t>
      </w:r>
      <w:r w:rsidR="00A321FA" w:rsidRPr="008B628A">
        <w:rPr>
          <w:rFonts w:ascii="Times New Roman" w:eastAsia="Times New Roman" w:hAnsi="Times New Roman" w:cs="Times New Roman"/>
          <w:color w:val="000000"/>
          <w:szCs w:val="24"/>
          <w:lang w:eastAsia="lv-LV"/>
        </w:rPr>
        <w:t xml:space="preserve">galapatēriņa rūpniecībā 2016. gadā un </w:t>
      </w:r>
      <w:r w:rsidRPr="008B628A">
        <w:rPr>
          <w:rFonts w:ascii="Times New Roman" w:eastAsia="Times New Roman" w:hAnsi="Times New Roman" w:cs="Times New Roman"/>
          <w:color w:val="000000"/>
          <w:szCs w:val="24"/>
          <w:lang w:eastAsia="lv-LV"/>
        </w:rPr>
        <w:t xml:space="preserve">19,7 PJ jeb 54,2 % no </w:t>
      </w:r>
      <w:r w:rsidR="00347B4E"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galapatēriņa rūpniecībā</w:t>
      </w:r>
      <w:r w:rsidR="00A321FA" w:rsidRPr="008B628A">
        <w:rPr>
          <w:rFonts w:ascii="Times New Roman" w:eastAsia="Times New Roman" w:hAnsi="Times New Roman" w:cs="Times New Roman"/>
          <w:color w:val="000000"/>
          <w:szCs w:val="24"/>
          <w:lang w:eastAsia="lv-LV"/>
        </w:rPr>
        <w:t xml:space="preserve"> 2017. gadā</w:t>
      </w:r>
      <w:r w:rsidRPr="008B628A">
        <w:rPr>
          <w:rFonts w:ascii="Times New Roman" w:eastAsia="Times New Roman" w:hAnsi="Times New Roman" w:cs="Times New Roman"/>
          <w:color w:val="000000"/>
          <w:szCs w:val="24"/>
          <w:lang w:eastAsia="lv-LV"/>
        </w:rPr>
        <w:t xml:space="preserve">. Salīdzinot ar 2016. gadu, šajā nozarē enerģijas patēriņš pieaudzis par 4,7 %, ko sekmēja koksnes brikešu un koksnes plātņu ražošanas apjoma pieaugums. </w:t>
      </w:r>
      <w:r w:rsidR="00A321FA" w:rsidRPr="008B628A">
        <w:rPr>
          <w:rFonts w:ascii="Times New Roman" w:eastAsia="Times New Roman" w:hAnsi="Times New Roman" w:cs="Times New Roman"/>
          <w:color w:val="000000"/>
          <w:szCs w:val="24"/>
          <w:lang w:eastAsia="lv-LV"/>
        </w:rPr>
        <w:t xml:space="preserve">2016. gadā būvniecībā bija vislielākais patēriņa samazinājums (-26,5 %), salīdzinot ar 2015. gadu. </w:t>
      </w:r>
      <w:r w:rsidR="001A415C" w:rsidRPr="008B628A">
        <w:rPr>
          <w:rFonts w:ascii="Times New Roman" w:eastAsia="Times New Roman" w:hAnsi="Times New Roman" w:cs="Times New Roman"/>
          <w:color w:val="000000"/>
          <w:szCs w:val="24"/>
          <w:lang w:eastAsia="lv-LV"/>
        </w:rPr>
        <w:t>2017. gadā</w:t>
      </w:r>
      <w:r w:rsidRPr="008B628A">
        <w:rPr>
          <w:rFonts w:ascii="Times New Roman" w:eastAsia="Times New Roman" w:hAnsi="Times New Roman" w:cs="Times New Roman"/>
          <w:color w:val="000000"/>
          <w:szCs w:val="24"/>
          <w:lang w:eastAsia="lv-LV"/>
        </w:rPr>
        <w:t xml:space="preserve"> metālu ražošanas nozarē bija vislielākais </w:t>
      </w:r>
      <w:r w:rsidR="00347B4E"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w:t>
      </w:r>
      <w:r w:rsidR="00347B4E">
        <w:rPr>
          <w:rFonts w:ascii="Times New Roman" w:eastAsia="Times New Roman" w:hAnsi="Times New Roman" w:cs="Times New Roman"/>
          <w:color w:val="000000"/>
          <w:szCs w:val="24"/>
          <w:lang w:eastAsia="lv-LV"/>
        </w:rPr>
        <w:t>gala</w:t>
      </w:r>
      <w:r w:rsidRPr="008B628A">
        <w:rPr>
          <w:rFonts w:ascii="Times New Roman" w:eastAsia="Times New Roman" w:hAnsi="Times New Roman" w:cs="Times New Roman"/>
          <w:color w:val="000000"/>
          <w:szCs w:val="24"/>
          <w:lang w:eastAsia="lv-LV"/>
        </w:rPr>
        <w:t>patēriņa samazinājums (-34,7 %), salīdzinot ar 2016. gadu.</w:t>
      </w:r>
    </w:p>
    <w:p w14:paraId="6B224823" w14:textId="58C558B5" w:rsidR="00E852C7" w:rsidRPr="008B628A" w:rsidRDefault="00E852C7" w:rsidP="0092571E">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hAnsi="Times New Roman" w:cs="Times New Roman"/>
        </w:rPr>
        <w:t>Pakalpojumu sektorā kopējais enerģijas galapatēriņš 2016. gadā salīdzinājumā ar 2015. gadu ir palielinājies par 1,3%</w:t>
      </w:r>
      <w:r w:rsidR="0092571E" w:rsidRPr="008B628A">
        <w:rPr>
          <w:rFonts w:ascii="Times New Roman" w:hAnsi="Times New Roman" w:cs="Times New Roman"/>
        </w:rPr>
        <w:t xml:space="preserve">, bet 2017.gadā, salīdzinājumā ar 2016.gadu – </w:t>
      </w:r>
      <w:r w:rsidR="006705A0" w:rsidRPr="008B628A">
        <w:rPr>
          <w:rFonts w:ascii="Times New Roman" w:hAnsi="Times New Roman" w:cs="Times New Roman"/>
        </w:rPr>
        <w:t>2,1</w:t>
      </w:r>
      <w:r w:rsidR="00D864A7" w:rsidRPr="008B628A">
        <w:rPr>
          <w:rFonts w:ascii="Times New Roman" w:hAnsi="Times New Roman" w:cs="Times New Roman"/>
        </w:rPr>
        <w:t xml:space="preserve"> %</w:t>
      </w:r>
      <w:r w:rsidRPr="008B628A">
        <w:rPr>
          <w:rFonts w:ascii="Times New Roman" w:hAnsi="Times New Roman" w:cs="Times New Roman"/>
        </w:rPr>
        <w:t>. Elektroenerģijas patēriņš sastāda apmēram 40</w:t>
      </w:r>
      <w:r w:rsidR="006705A0" w:rsidRPr="008B628A">
        <w:rPr>
          <w:rFonts w:ascii="Times New Roman" w:hAnsi="Times New Roman" w:cs="Times New Roman"/>
        </w:rPr>
        <w:t xml:space="preserve"> </w:t>
      </w:r>
      <w:r w:rsidRPr="008B628A">
        <w:rPr>
          <w:rFonts w:ascii="Times New Roman" w:hAnsi="Times New Roman" w:cs="Times New Roman"/>
        </w:rPr>
        <w:t>% no enerģijas patēriņa sektorā, un tas ir palicis gandrīz nemainīgs. Galvenais iemesls enerģijas patēriņa pieaugumam, līdzīgi kā mājsaimniecību sektorā, ir apkures grādu dienu skaita būtisks pieaugums 2016. gadā salīdzinājumā ar 2015. gadu (16%). Pielietojot klimata korekciju, kas ņem vērā apkures grādu dienu skaita ietekmi uz enerģijas patēriņu apkurei, enerģijas patēriņš pakalpojumu sektorā 2016. gadā salīdzinājumā ar 2015. gadu ir samazinājies.</w:t>
      </w:r>
    </w:p>
    <w:p w14:paraId="5ED3FBEB" w14:textId="3CC9B7FE" w:rsidR="006C746B" w:rsidRPr="008B628A" w:rsidRDefault="006C746B" w:rsidP="006C746B">
      <w:pPr>
        <w:spacing w:before="120" w:after="120" w:line="240" w:lineRule="auto"/>
        <w:jc w:val="both"/>
        <w:rPr>
          <w:rFonts w:ascii="Times New Roman" w:hAnsi="Times New Roman" w:cs="Times New Roman"/>
        </w:rPr>
      </w:pPr>
      <w:r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w:t>
      </w:r>
      <w:r w:rsidR="00347B4E">
        <w:rPr>
          <w:rFonts w:ascii="Times New Roman" w:eastAsia="Times New Roman" w:hAnsi="Times New Roman" w:cs="Times New Roman"/>
          <w:color w:val="000000"/>
          <w:szCs w:val="24"/>
          <w:lang w:eastAsia="lv-LV"/>
        </w:rPr>
        <w:t>gala</w:t>
      </w:r>
      <w:r w:rsidRPr="008B628A">
        <w:rPr>
          <w:rFonts w:ascii="Times New Roman" w:eastAsia="Times New Roman" w:hAnsi="Times New Roman" w:cs="Times New Roman"/>
          <w:color w:val="000000"/>
          <w:szCs w:val="24"/>
          <w:lang w:eastAsia="lv-LV"/>
        </w:rPr>
        <w:t>patēriņš mājsaimniecībās 2017. gadā bija 50,</w:t>
      </w:r>
      <w:r w:rsidR="00D864A7" w:rsidRPr="008B628A">
        <w:rPr>
          <w:rFonts w:ascii="Times New Roman" w:eastAsia="Times New Roman" w:hAnsi="Times New Roman" w:cs="Times New Roman"/>
          <w:color w:val="000000"/>
          <w:szCs w:val="24"/>
          <w:lang w:eastAsia="lv-LV"/>
        </w:rPr>
        <w:t>1</w:t>
      </w:r>
      <w:r w:rsidRPr="008B628A">
        <w:rPr>
          <w:rFonts w:ascii="Times New Roman" w:eastAsia="Times New Roman" w:hAnsi="Times New Roman" w:cs="Times New Roman"/>
          <w:color w:val="000000"/>
          <w:szCs w:val="24"/>
          <w:lang w:eastAsia="lv-LV"/>
        </w:rPr>
        <w:t xml:space="preserve"> PJ, kas ir par </w:t>
      </w:r>
      <w:r w:rsidR="00D864A7" w:rsidRPr="008B628A">
        <w:rPr>
          <w:rFonts w:ascii="Times New Roman" w:eastAsia="Times New Roman" w:hAnsi="Times New Roman" w:cs="Times New Roman"/>
          <w:color w:val="000000"/>
          <w:szCs w:val="24"/>
          <w:lang w:eastAsia="lv-LV"/>
        </w:rPr>
        <w:t>4</w:t>
      </w:r>
      <w:r w:rsidRPr="008B628A">
        <w:rPr>
          <w:rFonts w:ascii="Times New Roman" w:eastAsia="Times New Roman" w:hAnsi="Times New Roman" w:cs="Times New Roman"/>
          <w:color w:val="000000"/>
          <w:szCs w:val="24"/>
          <w:lang w:eastAsia="lv-LV"/>
        </w:rPr>
        <w:t>,</w:t>
      </w:r>
      <w:r w:rsidR="006705A0" w:rsidRPr="008B628A">
        <w:rPr>
          <w:rFonts w:ascii="Times New Roman" w:eastAsia="Times New Roman" w:hAnsi="Times New Roman" w:cs="Times New Roman"/>
          <w:color w:val="000000"/>
          <w:szCs w:val="24"/>
          <w:lang w:eastAsia="lv-LV"/>
        </w:rPr>
        <w:t>6</w:t>
      </w:r>
      <w:r w:rsidRPr="008B628A">
        <w:rPr>
          <w:rFonts w:ascii="Times New Roman" w:eastAsia="Times New Roman" w:hAnsi="Times New Roman" w:cs="Times New Roman"/>
          <w:color w:val="000000"/>
          <w:szCs w:val="24"/>
          <w:lang w:eastAsia="lv-LV"/>
        </w:rPr>
        <w:t> % vairāk nekā 2016. gadā</w:t>
      </w:r>
      <w:r w:rsidR="00A321FA" w:rsidRPr="008B628A">
        <w:rPr>
          <w:rFonts w:ascii="Times New Roman" w:eastAsia="Times New Roman" w:hAnsi="Times New Roman" w:cs="Times New Roman"/>
          <w:color w:val="000000"/>
          <w:szCs w:val="24"/>
          <w:lang w:eastAsia="lv-LV"/>
        </w:rPr>
        <w:t xml:space="preserve"> (2016. gadā 47,</w:t>
      </w:r>
      <w:r w:rsidR="00D864A7" w:rsidRPr="008B628A">
        <w:rPr>
          <w:rFonts w:ascii="Times New Roman" w:eastAsia="Times New Roman" w:hAnsi="Times New Roman" w:cs="Times New Roman"/>
          <w:color w:val="000000"/>
          <w:szCs w:val="24"/>
          <w:lang w:eastAsia="lv-LV"/>
        </w:rPr>
        <w:t>9</w:t>
      </w:r>
      <w:r w:rsidR="00A321FA" w:rsidRPr="008B628A">
        <w:rPr>
          <w:rFonts w:ascii="Times New Roman" w:eastAsia="Times New Roman" w:hAnsi="Times New Roman" w:cs="Times New Roman"/>
          <w:color w:val="000000"/>
          <w:szCs w:val="24"/>
          <w:lang w:eastAsia="lv-LV"/>
        </w:rPr>
        <w:t xml:space="preserve"> PJ)</w:t>
      </w:r>
      <w:r w:rsidRPr="008B628A">
        <w:rPr>
          <w:rFonts w:ascii="Times New Roman" w:eastAsia="Times New Roman" w:hAnsi="Times New Roman" w:cs="Times New Roman"/>
          <w:color w:val="000000"/>
          <w:szCs w:val="24"/>
          <w:lang w:eastAsia="lv-LV"/>
        </w:rPr>
        <w:t>. Mājsaimniecībās ener</w:t>
      </w:r>
      <w:r w:rsidR="00347B4E">
        <w:rPr>
          <w:rFonts w:ascii="Times New Roman" w:eastAsia="Times New Roman" w:hAnsi="Times New Roman" w:cs="Times New Roman"/>
          <w:color w:val="000000"/>
          <w:szCs w:val="24"/>
          <w:lang w:eastAsia="lv-LV"/>
        </w:rPr>
        <w:t>ģijas gala</w:t>
      </w:r>
      <w:r w:rsidRPr="008B628A">
        <w:rPr>
          <w:rFonts w:ascii="Times New Roman" w:eastAsia="Times New Roman" w:hAnsi="Times New Roman" w:cs="Times New Roman"/>
          <w:color w:val="000000"/>
          <w:szCs w:val="24"/>
          <w:lang w:eastAsia="lv-LV"/>
        </w:rPr>
        <w:t xml:space="preserve">patēriņa struktūra pēdējos gados </w:t>
      </w:r>
      <w:r w:rsidRPr="008B628A">
        <w:rPr>
          <w:rFonts w:ascii="Times New Roman" w:eastAsia="Times New Roman" w:hAnsi="Times New Roman" w:cs="Times New Roman"/>
          <w:color w:val="000000"/>
          <w:szCs w:val="24"/>
          <w:lang w:eastAsia="lv-LV"/>
        </w:rPr>
        <w:lastRenderedPageBreak/>
        <w:t>būtiski nemainās – pārsvarā ir izmantota kurināmā koksne. Salīdzinājumā ar 2016. gadu ievērojami samazinājies dabasgāzes patēriņš mājsaimniecībās (-10,9 %), un pieaudzis elektroenerģijas patēriņš (+8,1 %).</w:t>
      </w:r>
      <w:r w:rsidR="00093B4E" w:rsidRPr="008B628A">
        <w:rPr>
          <w:rFonts w:ascii="Times New Roman" w:eastAsia="Times New Roman" w:hAnsi="Times New Roman" w:cs="Times New Roman"/>
          <w:color w:val="000000"/>
          <w:szCs w:val="24"/>
          <w:lang w:eastAsia="lv-LV"/>
        </w:rPr>
        <w:t xml:space="preserve"> </w:t>
      </w:r>
      <w:r w:rsidR="00093B4E" w:rsidRPr="008B628A">
        <w:rPr>
          <w:rFonts w:ascii="Times New Roman" w:hAnsi="Times New Roman" w:cs="Times New Roman"/>
        </w:rPr>
        <w:t>Ņemot vērā, ka lielākā daļa no mājsaimniecībās izmantotā kurināmā tiek izmantota ēku apkurei, enerģijas patēriņš lielā mērā ir atkarīgs no apkures grādu dienu skaita. Pielietojot klimata korekciju, kas ņem vērā apkures grādu dienu skaita ietekmi uz enerģijas patēriņu apkurei, enerģijas patēriņam mājsaimniecībās pēdējo piecu gadu laikā ir tendence samazināties. To nodrošina ar ēku renovāciju saistīto energoefektivitātes paaugstināšanas pasākumu īstenošana.</w:t>
      </w:r>
    </w:p>
    <w:p w14:paraId="6C4377FD" w14:textId="2D0BCF02" w:rsidR="006C746B" w:rsidRPr="008B628A" w:rsidRDefault="00D9153E" w:rsidP="00863FD7">
      <w:pPr>
        <w:pStyle w:val="Heading4"/>
      </w:pPr>
      <w:bookmarkStart w:id="315" w:name="_Toc527529548"/>
      <w:r w:rsidRPr="008B628A">
        <w:t>Energoefektivitāte transportā</w:t>
      </w:r>
      <w:bookmarkEnd w:id="315"/>
    </w:p>
    <w:p w14:paraId="5562C299" w14:textId="6A935970" w:rsidR="00DB7C72" w:rsidRPr="008B628A" w:rsidRDefault="001A6FB4" w:rsidP="00B70C07">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hAnsi="Times New Roman" w:cs="Times New Roman"/>
          <w:szCs w:val="24"/>
        </w:rPr>
        <w:t xml:space="preserve">Autotransporta atkarība no naftas resursiem ir aptuveni 94% no kopējās izmantotās enerģijas. Ņemot vērā pašreizējās tendences un pieņemtos politiskos lēmumus, ir paredzams, ka Latvijā vidējā termiņā un ilgtermiņā naftas resursi un tās produkti paliks kā galvenais autotransporta enerģijas avots. </w:t>
      </w:r>
      <w:r w:rsidR="00D60879">
        <w:rPr>
          <w:rFonts w:ascii="Times New Roman" w:hAnsi="Times New Roman" w:cs="Times New Roman"/>
          <w:szCs w:val="24"/>
        </w:rPr>
        <w:t xml:space="preserve">Enerģijas </w:t>
      </w:r>
      <w:r w:rsidR="00DB7C72" w:rsidRPr="008B628A">
        <w:rPr>
          <w:rFonts w:ascii="Times New Roman" w:eastAsia="Times New Roman" w:hAnsi="Times New Roman" w:cs="Times New Roman"/>
          <w:color w:val="000000"/>
          <w:szCs w:val="24"/>
          <w:lang w:eastAsia="lv-LV"/>
        </w:rPr>
        <w:t xml:space="preserve">patēriņš transportā </w:t>
      </w:r>
      <w:r w:rsidR="00D60879">
        <w:rPr>
          <w:rFonts w:ascii="Times New Roman" w:eastAsia="Times New Roman" w:hAnsi="Times New Roman" w:cs="Times New Roman"/>
          <w:color w:val="000000"/>
          <w:szCs w:val="24"/>
          <w:lang w:eastAsia="lv-LV"/>
        </w:rPr>
        <w:t xml:space="preserve">2012.-2017.g. periodā </w:t>
      </w:r>
      <w:r w:rsidR="00DB7C72" w:rsidRPr="008B628A">
        <w:rPr>
          <w:rFonts w:ascii="Times New Roman" w:eastAsia="Times New Roman" w:hAnsi="Times New Roman" w:cs="Times New Roman"/>
          <w:color w:val="000000"/>
          <w:szCs w:val="24"/>
          <w:lang w:eastAsia="lv-LV"/>
        </w:rPr>
        <w:t>ir pieaudzis par 14,6 %, 2017. gadā sasniedzot 51,9 PJ.</w:t>
      </w:r>
      <w:r w:rsidR="00B70C07" w:rsidRPr="008B628A">
        <w:rPr>
          <w:rFonts w:ascii="Times New Roman" w:eastAsia="Times New Roman" w:hAnsi="Times New Roman" w:cs="Times New Roman"/>
          <w:color w:val="000000"/>
          <w:szCs w:val="24"/>
          <w:lang w:eastAsia="lv-LV"/>
        </w:rPr>
        <w:t xml:space="preserve"> Galvenais iemesls degvielas patēriņa pieaugumam autotransportā bija pasažieru automašīnu skaita pieaugums 2016. gadā salīdzinājumā ar 2015. gadu gandrīz par 3% un pasažieru kilometru skaita pieaugums par 2,1%.</w:t>
      </w:r>
    </w:p>
    <w:p w14:paraId="48D04FA8" w14:textId="5753EF09" w:rsidR="00DB7C72" w:rsidRPr="008B628A" w:rsidRDefault="00AD5C7E" w:rsidP="00DB7C72">
      <w:pPr>
        <w:jc w:val="center"/>
      </w:pPr>
      <w:r>
        <w:rPr>
          <w:noProof/>
          <w:lang w:eastAsia="lv-LV"/>
        </w:rPr>
        <w:drawing>
          <wp:inline distT="0" distB="0" distL="0" distR="0" wp14:anchorId="4965EA97" wp14:editId="2F3511B4">
            <wp:extent cx="4590463" cy="2827071"/>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5580" cy="2836381"/>
                    </a:xfrm>
                    <a:prstGeom prst="rect">
                      <a:avLst/>
                    </a:prstGeom>
                    <a:noFill/>
                  </pic:spPr>
                </pic:pic>
              </a:graphicData>
            </a:graphic>
          </wp:inline>
        </w:drawing>
      </w:r>
    </w:p>
    <w:p w14:paraId="7A8CC555" w14:textId="63A22DF8"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6" w:name="_Toc531333111"/>
      <w:r w:rsidR="006067D4">
        <w:rPr>
          <w:noProof/>
        </w:rPr>
        <w:t>32</w:t>
      </w:r>
      <w:r w:rsidRPr="008B628A">
        <w:rPr>
          <w:noProof/>
        </w:rPr>
        <w:fldChar w:fldCharType="end"/>
      </w:r>
      <w:r w:rsidR="00DB7C72" w:rsidRPr="008B628A">
        <w:t>.attēls. Ener</w:t>
      </w:r>
      <w:r w:rsidR="00D60879">
        <w:t xml:space="preserve">ģijas </w:t>
      </w:r>
      <w:r w:rsidR="00DB7C72" w:rsidRPr="008B628A">
        <w:t>galapatēriņš transporta sektoros 2005.-201</w:t>
      </w:r>
      <w:r w:rsidR="00E16FD8">
        <w:t>7</w:t>
      </w:r>
      <w:r w:rsidR="00DB7C72" w:rsidRPr="008B628A">
        <w:t>.g. (TJ)</w:t>
      </w:r>
      <w:r w:rsidR="00DB7C72" w:rsidRPr="008B628A">
        <w:rPr>
          <w:rStyle w:val="FootnoteReference"/>
        </w:rPr>
        <w:footnoteReference w:id="188"/>
      </w:r>
      <w:bookmarkEnd w:id="316"/>
    </w:p>
    <w:p w14:paraId="057B3DE7" w14:textId="13519BB8" w:rsidR="00DB7C72" w:rsidRPr="008B628A" w:rsidRDefault="00655920" w:rsidP="00DB7C7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Latvijā 92</w:t>
      </w:r>
      <w:r w:rsidR="00DB7C72" w:rsidRPr="008B628A">
        <w:rPr>
          <w:rFonts w:ascii="Times New Roman" w:hAnsi="Times New Roman" w:cs="Times New Roman"/>
          <w:szCs w:val="24"/>
        </w:rPr>
        <w:t xml:space="preserve">% no autoparka ir fosilās degvielas (benzīns, dīzeļdegviela) transportlīdzekļi. </w:t>
      </w:r>
      <w:r w:rsidR="00DB7C72" w:rsidRPr="008B628A">
        <w:rPr>
          <w:rFonts w:ascii="Times New Roman" w:eastAsia="Times New Roman" w:hAnsi="Times New Roman" w:cs="Times New Roman"/>
          <w:color w:val="000000"/>
          <w:szCs w:val="24"/>
          <w:lang w:eastAsia="lv-LV"/>
        </w:rPr>
        <w:t xml:space="preserve">Dīzeļdegviela ir galvenais transportā izmantotais energoresurss, un tās īpatsvars 2016. gadā bija 63,3%, bet 2017. gadā – 65,4 %. </w:t>
      </w:r>
      <w:r w:rsidR="00DB7C72" w:rsidRPr="008B628A">
        <w:rPr>
          <w:rFonts w:ascii="Times New Roman" w:hAnsi="Times New Roman" w:cs="Times New Roman"/>
          <w:szCs w:val="24"/>
        </w:rPr>
        <w:t>Dīzeļdegviela ir svarīgs resurss kravu pārvadājumiem, kas ir nozīmīgs ekonomikas sektors Latvijā, ņemot vērā Latvijas ģeogrāfisko novietojumu. Jāatzīmē, ka pēc autopārvadātāju uzņēmumu novērojumiem ES robežās pēdējās dekādes laikā kravas automašīnu degvielas patēriņš nav krasi uzlabojies. Būtiski, ka dīzeļdegviela ir ļoti svarīgs resurss lauksaimniecības nozares attīstībai.</w:t>
      </w:r>
      <w:r w:rsidR="00DB7C72" w:rsidRPr="008B628A">
        <w:rPr>
          <w:rStyle w:val="A11"/>
          <w:rFonts w:ascii="Times New Roman" w:hAnsi="Times New Roman" w:cs="Times New Roman"/>
          <w:color w:val="auto"/>
          <w:sz w:val="24"/>
          <w:szCs w:val="24"/>
        </w:rPr>
        <w:t xml:space="preserve"> </w:t>
      </w:r>
      <w:r w:rsidR="00DB7C72" w:rsidRPr="008B628A">
        <w:rPr>
          <w:rFonts w:ascii="Times New Roman" w:eastAsia="Times New Roman" w:hAnsi="Times New Roman" w:cs="Times New Roman"/>
          <w:color w:val="000000"/>
          <w:szCs w:val="24"/>
          <w:lang w:eastAsia="lv-LV"/>
        </w:rPr>
        <w:t>Pēdējos gados transportā novērots būtisks sašķidrinātas naftas gāzes patēriņa īpatsvara pieaugums. 2010. gadā tās patēriņš bija 1 PJ, bet attiecīgi 2016.gadā un 2017. gadā – 2,6 un 2,4 PJ. Auto benzīna patēriņš transportā pēdējo piecu gadu laikā samazinājies par 8,6 %, 2017. gadā sasniedzot 8 PJ, kas ir par 4 % mazāk nekā 2016. gadā  (2016. gadā – 8,4 PJ).</w:t>
      </w:r>
    </w:p>
    <w:p w14:paraId="6402694F" w14:textId="20A57E0E" w:rsidR="00DB7C72" w:rsidRPr="008B628A" w:rsidRDefault="00E16FD8" w:rsidP="00DB7C72">
      <w:pPr>
        <w:spacing w:before="120" w:after="120" w:line="240" w:lineRule="auto"/>
        <w:jc w:val="center"/>
        <w:rPr>
          <w:rFonts w:ascii="Times New Roman" w:eastAsia="Times New Roman" w:hAnsi="Times New Roman" w:cs="Times New Roman"/>
          <w:color w:val="000000"/>
          <w:szCs w:val="24"/>
          <w:lang w:eastAsia="lv-LV"/>
        </w:rPr>
      </w:pPr>
      <w:r>
        <w:rPr>
          <w:rFonts w:ascii="Times New Roman" w:eastAsia="Times New Roman" w:hAnsi="Times New Roman" w:cs="Times New Roman"/>
          <w:noProof/>
          <w:color w:val="000000"/>
          <w:szCs w:val="24"/>
          <w:lang w:eastAsia="lv-LV"/>
        </w:rPr>
        <w:lastRenderedPageBreak/>
        <w:drawing>
          <wp:inline distT="0" distB="0" distL="0" distR="0" wp14:anchorId="3D80500D" wp14:editId="33446927">
            <wp:extent cx="4604864" cy="2314149"/>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7189" cy="2325368"/>
                    </a:xfrm>
                    <a:prstGeom prst="rect">
                      <a:avLst/>
                    </a:prstGeom>
                    <a:noFill/>
                  </pic:spPr>
                </pic:pic>
              </a:graphicData>
            </a:graphic>
          </wp:inline>
        </w:drawing>
      </w:r>
    </w:p>
    <w:p w14:paraId="4B8EE3D9" w14:textId="0A17C8DE"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7" w:name="_Toc531333112"/>
      <w:r w:rsidR="006067D4">
        <w:rPr>
          <w:noProof/>
        </w:rPr>
        <w:t>33</w:t>
      </w:r>
      <w:r w:rsidRPr="008B628A">
        <w:rPr>
          <w:noProof/>
        </w:rPr>
        <w:fldChar w:fldCharType="end"/>
      </w:r>
      <w:r w:rsidR="00DB7C72" w:rsidRPr="008B628A">
        <w:t>.attēls. Transporta enerģijas patēriņa īpatsvars transportā 201</w:t>
      </w:r>
      <w:r w:rsidR="00C02DB1">
        <w:t>7</w:t>
      </w:r>
      <w:r w:rsidR="00DB7C72" w:rsidRPr="008B628A">
        <w:t>.gadā (%)</w:t>
      </w:r>
      <w:r w:rsidR="00DB7C72" w:rsidRPr="00F060A0">
        <w:rPr>
          <w:rStyle w:val="FootnoteReference"/>
          <w:b w:val="0"/>
        </w:rPr>
        <w:footnoteReference w:id="189"/>
      </w:r>
      <w:bookmarkEnd w:id="317"/>
    </w:p>
    <w:p w14:paraId="69A744DA" w14:textId="1A9232B7" w:rsidR="001A6FB4" w:rsidRPr="008B628A" w:rsidRDefault="001A6FB4" w:rsidP="00DB7C7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Latvijā ir ceturtais vecākais autoparks E</w:t>
      </w:r>
      <w:r w:rsidR="004C7936" w:rsidRPr="008B628A">
        <w:rPr>
          <w:rFonts w:ascii="Times New Roman" w:hAnsi="Times New Roman" w:cs="Times New Roman"/>
          <w:szCs w:val="24"/>
        </w:rPr>
        <w:t>S</w:t>
      </w:r>
      <w:r w:rsidRPr="008B628A">
        <w:rPr>
          <w:rFonts w:ascii="Times New Roman" w:hAnsi="Times New Roman" w:cs="Times New Roman"/>
          <w:szCs w:val="24"/>
        </w:rPr>
        <w:t>, kur vidējais reģistrēto transportlīdzekļu vecums 2016.gadā ir 13,95 gadi (vieglajiem 14,19), savukārt tehniskā kārtībā (ar tehnisko apskati) esošu transportlīdzekļu vidējais vecums ir 12,92 gadi (vieglajiem 13,17 gadi). ES vidējais transportlīdzekļu vecums 2014.gadā bija 9,7 gadi.</w:t>
      </w:r>
    </w:p>
    <w:p w14:paraId="14DE37F6" w14:textId="6A89CACA" w:rsidR="00DB7C72" w:rsidRPr="008B628A" w:rsidRDefault="00E16FD8" w:rsidP="00DB7C72">
      <w:pPr>
        <w:jc w:val="center"/>
      </w:pPr>
      <w:r>
        <w:rPr>
          <w:noProof/>
          <w:lang w:eastAsia="lv-LV"/>
        </w:rPr>
        <w:drawing>
          <wp:inline distT="0" distB="0" distL="0" distR="0" wp14:anchorId="5F7B3DE0" wp14:editId="5ACE1183">
            <wp:extent cx="4673325" cy="319309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9082" cy="3203856"/>
                    </a:xfrm>
                    <a:prstGeom prst="rect">
                      <a:avLst/>
                    </a:prstGeom>
                    <a:noFill/>
                  </pic:spPr>
                </pic:pic>
              </a:graphicData>
            </a:graphic>
          </wp:inline>
        </w:drawing>
      </w:r>
    </w:p>
    <w:p w14:paraId="2C15889F" w14:textId="48A24923"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8" w:name="_Toc531333113"/>
      <w:r w:rsidR="006067D4">
        <w:rPr>
          <w:noProof/>
        </w:rPr>
        <w:t>34</w:t>
      </w:r>
      <w:r w:rsidRPr="008B628A">
        <w:rPr>
          <w:noProof/>
        </w:rPr>
        <w:fldChar w:fldCharType="end"/>
      </w:r>
      <w:r w:rsidR="00DB7C72" w:rsidRPr="008B628A">
        <w:t>.attēls. Latvijas reģistrēto vieglo automobiļu sadalījums pēc izlaides gada (%)</w:t>
      </w:r>
      <w:r w:rsidR="00DB7C72" w:rsidRPr="00F060A0">
        <w:rPr>
          <w:rStyle w:val="FootnoteReference"/>
          <w:b w:val="0"/>
        </w:rPr>
        <w:footnoteReference w:id="190"/>
      </w:r>
      <w:bookmarkEnd w:id="318"/>
    </w:p>
    <w:p w14:paraId="2E25ED02" w14:textId="6E5995D0" w:rsidR="001A6FB4" w:rsidRPr="008B628A" w:rsidRDefault="001A6FB4"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Saskaņā ar Tirgus un sabiedriskās domas pētījuma centra SKDS veikto aptauju “Latvijas iedzīvotāju aptaujas rezultāti </w:t>
      </w:r>
      <w:r w:rsidR="00DB7C72" w:rsidRPr="008B628A">
        <w:rPr>
          <w:rFonts w:ascii="Times New Roman" w:hAnsi="Times New Roman" w:cs="Times New Roman"/>
          <w:szCs w:val="24"/>
        </w:rPr>
        <w:t>–</w:t>
      </w:r>
      <w:r w:rsidRPr="008B628A">
        <w:rPr>
          <w:rFonts w:ascii="Times New Roman" w:hAnsi="Times New Roman" w:cs="Times New Roman"/>
          <w:szCs w:val="24"/>
        </w:rPr>
        <w:t xml:space="preserve"> I</w:t>
      </w:r>
      <w:r w:rsidR="00DB7C72" w:rsidRPr="008B628A">
        <w:rPr>
          <w:rFonts w:ascii="Times New Roman" w:hAnsi="Times New Roman" w:cs="Times New Roman"/>
          <w:szCs w:val="24"/>
        </w:rPr>
        <w:t>n</w:t>
      </w:r>
      <w:r w:rsidRPr="008B628A">
        <w:rPr>
          <w:rFonts w:ascii="Times New Roman" w:hAnsi="Times New Roman" w:cs="Times New Roman"/>
          <w:szCs w:val="24"/>
        </w:rPr>
        <w:t xml:space="preserve">formētība un attieksme pret elektrotransportu”, biežāk izmantotie pārvietošanās veidi ikdienā ir kājām (95%), ar sabiedrisko transportu (82%) un ar vieglo automašīnu (74%). Katru vai gandrīz katru dienu ar vieglo automašīnu kā </w:t>
      </w:r>
      <w:r w:rsidR="00DB7C72" w:rsidRPr="008B628A">
        <w:rPr>
          <w:rFonts w:ascii="Times New Roman" w:hAnsi="Times New Roman" w:cs="Times New Roman"/>
          <w:szCs w:val="24"/>
        </w:rPr>
        <w:t>vadītāji</w:t>
      </w:r>
      <w:r w:rsidRPr="008B628A">
        <w:rPr>
          <w:rFonts w:ascii="Times New Roman" w:hAnsi="Times New Roman" w:cs="Times New Roman"/>
          <w:szCs w:val="24"/>
        </w:rPr>
        <w:t xml:space="preserve"> brauc 32% aptaujāto iedzīvotāju. 9% automašīnu vada vairākas reizes nedēļā, bet 5% reizi nedēļā vai retāk. 29% no aptaujātajiem iedzīvotājiem norāda, ka ikdienā automašīnu nevada, bet 25% nav transportlīdzekļa vadītāja apliecības.</w:t>
      </w:r>
    </w:p>
    <w:p w14:paraId="21ED62DA" w14:textId="2A97F333" w:rsidR="004B65B5" w:rsidRPr="008B628A" w:rsidRDefault="00A12C1D"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2017. gadā VAS “Latvijas dzelzceļš” (turpmāk – LDz) </w:t>
      </w:r>
      <w:r w:rsidR="00D60879">
        <w:rPr>
          <w:rFonts w:ascii="Times New Roman" w:hAnsi="Times New Roman" w:cs="Times New Roman"/>
          <w:szCs w:val="24"/>
        </w:rPr>
        <w:t xml:space="preserve">enerģijas patēriņš </w:t>
      </w:r>
      <w:r w:rsidR="004B65B5" w:rsidRPr="008B628A">
        <w:rPr>
          <w:rFonts w:ascii="Times New Roman" w:hAnsi="Times New Roman" w:cs="Times New Roman"/>
          <w:szCs w:val="24"/>
        </w:rPr>
        <w:t>bija</w:t>
      </w:r>
      <w:r w:rsidRPr="008B628A">
        <w:rPr>
          <w:rFonts w:ascii="Times New Roman" w:hAnsi="Times New Roman" w:cs="Times New Roman"/>
          <w:szCs w:val="24"/>
        </w:rPr>
        <w:t xml:space="preserve"> 108</w:t>
      </w:r>
      <w:r w:rsidR="00D60879">
        <w:rPr>
          <w:rFonts w:ascii="Times New Roman" w:hAnsi="Times New Roman" w:cs="Times New Roman"/>
          <w:szCs w:val="24"/>
        </w:rPr>
        <w:t>,6 GWh</w:t>
      </w:r>
      <w:r w:rsidRPr="008B628A">
        <w:rPr>
          <w:rFonts w:ascii="Times New Roman" w:hAnsi="Times New Roman" w:cs="Times New Roman"/>
          <w:szCs w:val="24"/>
        </w:rPr>
        <w:t>, no kuriem</w:t>
      </w:r>
      <w:r w:rsidR="004B65B5" w:rsidRPr="008B628A">
        <w:rPr>
          <w:rFonts w:ascii="Times New Roman" w:hAnsi="Times New Roman" w:cs="Times New Roman"/>
          <w:szCs w:val="24"/>
        </w:rPr>
        <w:t xml:space="preserve"> lielāko patēriņa īpatsvaru veidoja elektroenerģija (</w:t>
      </w:r>
      <w:r w:rsidRPr="008B628A">
        <w:rPr>
          <w:rFonts w:ascii="Times New Roman" w:hAnsi="Times New Roman" w:cs="Times New Roman"/>
          <w:szCs w:val="24"/>
        </w:rPr>
        <w:t>37,</w:t>
      </w:r>
      <w:r w:rsidR="004B65B5" w:rsidRPr="008B628A">
        <w:rPr>
          <w:rFonts w:ascii="Times New Roman" w:hAnsi="Times New Roman" w:cs="Times New Roman"/>
          <w:szCs w:val="24"/>
        </w:rPr>
        <w:t>3</w:t>
      </w:r>
      <w:r w:rsidRPr="008B628A">
        <w:rPr>
          <w:rFonts w:ascii="Times New Roman" w:hAnsi="Times New Roman" w:cs="Times New Roman"/>
          <w:szCs w:val="24"/>
        </w:rPr>
        <w:t xml:space="preserve"> %</w:t>
      </w:r>
      <w:r w:rsidR="004B65B5" w:rsidRPr="008B628A">
        <w:rPr>
          <w:rFonts w:ascii="Times New Roman" w:hAnsi="Times New Roman" w:cs="Times New Roman"/>
          <w:szCs w:val="24"/>
        </w:rPr>
        <w:t xml:space="preserve">), dīzeļdegviela (22,6%), siltumenerģija (19,8 %) un sašķidrinātā gāze (10,5 %). </w:t>
      </w:r>
      <w:r w:rsidRPr="008B628A">
        <w:rPr>
          <w:rFonts w:ascii="Times New Roman" w:hAnsi="Times New Roman" w:cs="Times New Roman"/>
          <w:szCs w:val="24"/>
        </w:rPr>
        <w:t xml:space="preserve">Kā AER LDz tiek izmantota malka un </w:t>
      </w:r>
      <w:r w:rsidRPr="008B628A">
        <w:rPr>
          <w:rFonts w:ascii="Times New Roman" w:hAnsi="Times New Roman" w:cs="Times New Roman"/>
          <w:szCs w:val="24"/>
        </w:rPr>
        <w:lastRenderedPageBreak/>
        <w:t>koksnes granulas siltumapgādes nodrošināšanai.</w:t>
      </w:r>
      <w:r w:rsidR="004B65B5" w:rsidRPr="008B628A">
        <w:rPr>
          <w:rFonts w:ascii="Times New Roman" w:hAnsi="Times New Roman" w:cs="Times New Roman"/>
          <w:szCs w:val="24"/>
        </w:rPr>
        <w:t xml:space="preserve"> </w:t>
      </w:r>
      <w:r w:rsidRPr="008B628A">
        <w:rPr>
          <w:rFonts w:ascii="Times New Roman" w:hAnsi="Times New Roman" w:cs="Times New Roman"/>
          <w:szCs w:val="24"/>
        </w:rPr>
        <w:t>Kopējam enerģijas patēriņam pēdējo desmit gadu laikā ir tendence samazināties – salīdzinot ar 2011. gadu kopējais enerģijas patēriņš ir samazinājies par 14 %. Samazinās elektroenerģijas (par 6,95 %), dīzeļdegvielas (par 10,92 %), autobenzīna (par 58,40 %), krāšņu kurināmā (par 18,63 %), akmeņogļu (par 72,39 %) un koksnes šķeldas (par 100 %) patēriņi, taču pieaug iepirktās siltumenerģijas apjomi (par 12,81 %), sašķidrinātās gāzes (par 279,32 %), dabasgāzes (par 816,19 %), koksnes granulu (par 554,79 %) un malkas (par 113,10 %) patēriņi.</w:t>
      </w:r>
      <w:r w:rsidR="004B65B5" w:rsidRPr="008B628A">
        <w:rPr>
          <w:rFonts w:ascii="Times New Roman" w:hAnsi="Times New Roman" w:cs="Times New Roman"/>
          <w:szCs w:val="24"/>
        </w:rPr>
        <w:t xml:space="preserve"> </w:t>
      </w:r>
      <w:r w:rsidRPr="008B628A">
        <w:rPr>
          <w:rFonts w:ascii="Times New Roman" w:hAnsi="Times New Roman" w:cs="Times New Roman"/>
          <w:szCs w:val="24"/>
        </w:rPr>
        <w:t>Dzelzceļa elektrifikācijas projekta īstenošanai tiek plānots ieguldīt 441 milj. EUR</w:t>
      </w:r>
      <w:r w:rsidR="004B65B5" w:rsidRPr="008B628A">
        <w:rPr>
          <w:rStyle w:val="FootnoteReference"/>
          <w:rFonts w:ascii="Times New Roman" w:hAnsi="Times New Roman" w:cs="Times New Roman"/>
          <w:szCs w:val="24"/>
        </w:rPr>
        <w:footnoteReference w:id="191"/>
      </w:r>
      <w:r w:rsidRPr="008B628A">
        <w:rPr>
          <w:rFonts w:ascii="Times New Roman" w:hAnsi="Times New Roman" w:cs="Times New Roman"/>
          <w:szCs w:val="24"/>
        </w:rPr>
        <w:t>, tādējādi nodrošinot pāreju no dīzeļvilces uz elektrovilci, kas ļaus izmantot energoefektīvākas lokomotīves un ievērojami samazināt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w:t>
      </w:r>
      <w:r w:rsidR="004B65B5" w:rsidRPr="008B628A">
        <w:rPr>
          <w:rFonts w:ascii="Times New Roman" w:hAnsi="Times New Roman" w:cs="Times New Roman"/>
          <w:szCs w:val="24"/>
        </w:rPr>
        <w:t>emisijas</w:t>
      </w:r>
      <w:r w:rsidRPr="008B628A">
        <w:rPr>
          <w:rFonts w:ascii="Times New Roman" w:hAnsi="Times New Roman" w:cs="Times New Roman"/>
          <w:szCs w:val="24"/>
        </w:rPr>
        <w:t xml:space="preserve"> (aprēķinātais samazinājums – līdz 45 </w:t>
      </w:r>
      <w:r w:rsidR="004937A1">
        <w:rPr>
          <w:rFonts w:ascii="Times New Roman" w:hAnsi="Times New Roman" w:cs="Times New Roman"/>
          <w:szCs w:val="24"/>
        </w:rPr>
        <w:t>126</w:t>
      </w:r>
      <w:r w:rsidRPr="008B628A">
        <w:rPr>
          <w:rFonts w:ascii="Times New Roman" w:hAnsi="Times New Roman" w:cs="Times New Roman"/>
          <w:szCs w:val="24"/>
        </w:rPr>
        <w:t xml:space="preserve">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gadā).</w:t>
      </w:r>
      <w:r w:rsidR="004B65B5" w:rsidRPr="008B628A">
        <w:rPr>
          <w:rFonts w:ascii="Times New Roman" w:hAnsi="Times New Roman" w:cs="Times New Roman"/>
          <w:szCs w:val="24"/>
        </w:rPr>
        <w:t xml:space="preserve"> </w:t>
      </w:r>
    </w:p>
    <w:p w14:paraId="6D4A4C4A" w14:textId="23C6D0EB" w:rsidR="001E3724" w:rsidRPr="008B628A" w:rsidRDefault="004B65B5"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Šobrīd </w:t>
      </w:r>
      <w:r w:rsidR="00A12C1D" w:rsidRPr="008B628A">
        <w:rPr>
          <w:rFonts w:ascii="Times New Roman" w:hAnsi="Times New Roman" w:cs="Times New Roman"/>
          <w:szCs w:val="24"/>
        </w:rPr>
        <w:t>LDz ir nepieciešami pētniecības un inovāciju aktivitātes tādās jomās kā droša, tīra un efektīva enerģija, vie</w:t>
      </w:r>
      <w:r w:rsidRPr="008B628A">
        <w:rPr>
          <w:rFonts w:ascii="Times New Roman" w:hAnsi="Times New Roman" w:cs="Times New Roman"/>
          <w:szCs w:val="24"/>
        </w:rPr>
        <w:t xml:space="preserve">ds, videi draudzīgs transports. </w:t>
      </w:r>
      <w:r w:rsidR="00A12C1D" w:rsidRPr="008B628A">
        <w:rPr>
          <w:rFonts w:ascii="Times New Roman" w:hAnsi="Times New Roman" w:cs="Times New Roman"/>
          <w:szCs w:val="24"/>
        </w:rPr>
        <w:t>Pasākumi, kas tieši vai netieši var ietekmēt energoefektivitāti un CO</w:t>
      </w:r>
      <w:r w:rsidR="00A12C1D" w:rsidRPr="008B628A">
        <w:rPr>
          <w:rFonts w:ascii="Times New Roman" w:hAnsi="Times New Roman" w:cs="Times New Roman"/>
          <w:szCs w:val="24"/>
          <w:vertAlign w:val="subscript"/>
        </w:rPr>
        <w:t>2</w:t>
      </w:r>
      <w:r w:rsidR="00A12C1D" w:rsidRPr="008B628A">
        <w:rPr>
          <w:rFonts w:ascii="Times New Roman" w:hAnsi="Times New Roman" w:cs="Times New Roman"/>
          <w:szCs w:val="24"/>
        </w:rPr>
        <w:t xml:space="preserve"> </w:t>
      </w:r>
      <w:r w:rsidRPr="008B628A">
        <w:rPr>
          <w:rFonts w:ascii="Times New Roman" w:hAnsi="Times New Roman" w:cs="Times New Roman"/>
          <w:szCs w:val="24"/>
        </w:rPr>
        <w:t xml:space="preserve">emisiju </w:t>
      </w:r>
      <w:r w:rsidR="00A12C1D" w:rsidRPr="008B628A">
        <w:rPr>
          <w:rFonts w:ascii="Times New Roman" w:hAnsi="Times New Roman" w:cs="Times New Roman"/>
          <w:szCs w:val="24"/>
        </w:rPr>
        <w:t>samazinājumu, tiek īstenoti atbilstoši LDz vidēja termiņa investīciju plānam, kur iekļauj attīstības projektus un atjaunošanas programmas.</w:t>
      </w:r>
      <w:r w:rsidRPr="008B628A">
        <w:rPr>
          <w:rFonts w:ascii="Times New Roman" w:hAnsi="Times New Roman" w:cs="Times New Roman"/>
          <w:szCs w:val="24"/>
        </w:rPr>
        <w:t xml:space="preserve"> </w:t>
      </w:r>
      <w:r w:rsidR="00A12C1D" w:rsidRPr="008B628A">
        <w:rPr>
          <w:rFonts w:ascii="Times New Roman" w:hAnsi="Times New Roman" w:cs="Times New Roman"/>
          <w:szCs w:val="24"/>
        </w:rPr>
        <w:t>CO</w:t>
      </w:r>
      <w:r w:rsidR="00A12C1D" w:rsidRPr="008B628A">
        <w:rPr>
          <w:rFonts w:ascii="Times New Roman" w:hAnsi="Times New Roman" w:cs="Times New Roman"/>
          <w:szCs w:val="24"/>
          <w:vertAlign w:val="subscript"/>
        </w:rPr>
        <w:t>2</w:t>
      </w:r>
      <w:r w:rsidR="00A12C1D" w:rsidRPr="008B628A">
        <w:rPr>
          <w:rFonts w:ascii="Times New Roman" w:hAnsi="Times New Roman" w:cs="Times New Roman"/>
          <w:szCs w:val="24"/>
        </w:rPr>
        <w:t xml:space="preserve"> </w:t>
      </w:r>
      <w:r w:rsidRPr="008B628A">
        <w:rPr>
          <w:rFonts w:ascii="Times New Roman" w:hAnsi="Times New Roman" w:cs="Times New Roman"/>
          <w:szCs w:val="24"/>
        </w:rPr>
        <w:t xml:space="preserve">emisiju </w:t>
      </w:r>
      <w:r w:rsidR="00A12C1D" w:rsidRPr="008B628A">
        <w:rPr>
          <w:rFonts w:ascii="Times New Roman" w:hAnsi="Times New Roman" w:cs="Times New Roman"/>
          <w:szCs w:val="24"/>
        </w:rPr>
        <w:t>apjomu, ko rada publiskās dzelzceļa infrastruktūras izmantošana, ietekmēs kopējā valstī izmantotā lokomotīvju parka modernizācijas un atjaunošanas ātrums un apjomi, iegādājoties energoefektīvākas kravas elektro- un dīzeļlokomotīves (gan maģistrālās, gan manevru), kā arī pasažieru elektrovilcienu iegāde un dzelzceļa elektri</w:t>
      </w:r>
      <w:r w:rsidRPr="008B628A">
        <w:rPr>
          <w:rFonts w:ascii="Times New Roman" w:hAnsi="Times New Roman" w:cs="Times New Roman"/>
          <w:szCs w:val="24"/>
        </w:rPr>
        <w:t>fikācijas projekta īstenošana.</w:t>
      </w:r>
      <w:r w:rsidR="001E3724" w:rsidRPr="008B628A">
        <w:rPr>
          <w:rFonts w:ascii="Times New Roman" w:hAnsi="Times New Roman" w:cs="Times New Roman"/>
          <w:szCs w:val="24"/>
        </w:rPr>
        <w:t xml:space="preserve"> </w:t>
      </w:r>
    </w:p>
    <w:p w14:paraId="227990A9" w14:textId="0AE583FC" w:rsidR="0043515A" w:rsidRPr="008B628A" w:rsidRDefault="0043515A" w:rsidP="00863FD7">
      <w:pPr>
        <w:pStyle w:val="Heading4"/>
      </w:pPr>
      <w:bookmarkStart w:id="319" w:name="_Toc527529549"/>
      <w:r w:rsidRPr="008B628A">
        <w:t>Esošā tautsaimniecības energointen</w:t>
      </w:r>
      <w:r w:rsidR="00E525C4" w:rsidRPr="008B628A">
        <w:t>sitāte</w:t>
      </w:r>
      <w:bookmarkEnd w:id="319"/>
    </w:p>
    <w:p w14:paraId="46F1EB94" w14:textId="6793A325" w:rsidR="00385849" w:rsidRPr="008B628A" w:rsidRDefault="00385849" w:rsidP="00385849">
      <w:pPr>
        <w:spacing w:before="120" w:after="120" w:line="240" w:lineRule="auto"/>
        <w:jc w:val="both"/>
        <w:rPr>
          <w:szCs w:val="24"/>
        </w:rPr>
      </w:pPr>
      <w:r w:rsidRPr="008B628A">
        <w:rPr>
          <w:rFonts w:ascii="Times New Roman" w:hAnsi="Times New Roman"/>
          <w:szCs w:val="24"/>
        </w:rPr>
        <w:t>Viens no biežāk izmantotajiem rādītājiem, lai novērtētu ekonomiskās izaugsmes un energoresursu patēriņa kopsakarību, ir tautsaimniecības energointensitāte, ar ko tiek novērtēts, kā un vai IKP apjoma izmaiņas ietekmē kopējo energoresursu patēriņa izmaiņas (un otrādāk), t.i., vai tautsaimniecības attīstība notiek tā, ka netiek būtiski palielināts energoresursu patēriņš un tautsaimniecības attīstība netiek balstīta uz energoresursu patēriņa.</w:t>
      </w:r>
    </w:p>
    <w:p w14:paraId="205DB55B" w14:textId="3C344FC9" w:rsidR="00385849" w:rsidRPr="008B628A" w:rsidRDefault="00D60879" w:rsidP="00565E98">
      <w:pPr>
        <w:pStyle w:val="paragraph"/>
        <w:spacing w:before="120" w:beforeAutospacing="0" w:after="120" w:afterAutospacing="0"/>
        <w:jc w:val="center"/>
        <w:textAlignment w:val="baseline"/>
      </w:pPr>
      <w:r>
        <w:rPr>
          <w:noProof/>
        </w:rPr>
        <w:drawing>
          <wp:inline distT="0" distB="0" distL="0" distR="0" wp14:anchorId="32068246" wp14:editId="225C312C">
            <wp:extent cx="4510549" cy="2814227"/>
            <wp:effectExtent l="0" t="0" r="444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8943" cy="2819464"/>
                    </a:xfrm>
                    <a:prstGeom prst="rect">
                      <a:avLst/>
                    </a:prstGeom>
                    <a:noFill/>
                  </pic:spPr>
                </pic:pic>
              </a:graphicData>
            </a:graphic>
          </wp:inline>
        </w:drawing>
      </w:r>
    </w:p>
    <w:p w14:paraId="1654BAF0" w14:textId="1C27AC14" w:rsidR="00385849"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0" w:name="_Toc531333114"/>
      <w:r w:rsidR="006067D4">
        <w:rPr>
          <w:noProof/>
        </w:rPr>
        <w:t>35</w:t>
      </w:r>
      <w:r w:rsidRPr="008B628A">
        <w:rPr>
          <w:noProof/>
        </w:rPr>
        <w:fldChar w:fldCharType="end"/>
      </w:r>
      <w:r w:rsidR="00385849" w:rsidRPr="008B628A">
        <w:t>.attēls. Latvija kopējo energoresursu patēriņa, IKP un kopējās energointensitātes izmaiņas 1995-201</w:t>
      </w:r>
      <w:r w:rsidR="006705A0" w:rsidRPr="008B628A">
        <w:t>7</w:t>
      </w:r>
      <w:r w:rsidR="00385849" w:rsidRPr="008B628A">
        <w:t>.gadā (1995=100)</w:t>
      </w:r>
      <w:r w:rsidR="00565E98" w:rsidRPr="008B628A">
        <w:rPr>
          <w:rStyle w:val="FootnoteReference"/>
        </w:rPr>
        <w:footnoteReference w:id="192"/>
      </w:r>
      <w:bookmarkEnd w:id="320"/>
    </w:p>
    <w:p w14:paraId="1C34EA56" w14:textId="1AA99D31" w:rsidR="00385849" w:rsidRPr="008B628A" w:rsidRDefault="00385849" w:rsidP="00385849">
      <w:pPr>
        <w:spacing w:before="120" w:after="120" w:line="240" w:lineRule="auto"/>
        <w:jc w:val="both"/>
        <w:rPr>
          <w:rFonts w:ascii="Times New Roman" w:hAnsi="Times New Roman"/>
          <w:szCs w:val="24"/>
        </w:rPr>
      </w:pPr>
      <w:r w:rsidRPr="008B628A">
        <w:rPr>
          <w:rFonts w:ascii="Times New Roman" w:hAnsi="Times New Roman"/>
          <w:szCs w:val="24"/>
        </w:rPr>
        <w:t xml:space="preserve">Saskaņā ar pieejamajiem datiem Latvijas </w:t>
      </w:r>
      <w:r w:rsidR="00D60879">
        <w:rPr>
          <w:rFonts w:ascii="Times New Roman" w:hAnsi="Times New Roman"/>
          <w:szCs w:val="24"/>
        </w:rPr>
        <w:t xml:space="preserve">kopējais primārās enerģijas </w:t>
      </w:r>
      <w:r w:rsidRPr="008B628A">
        <w:rPr>
          <w:rFonts w:ascii="Times New Roman" w:hAnsi="Times New Roman"/>
          <w:szCs w:val="24"/>
        </w:rPr>
        <w:t>patēriņš no 2005.gada līdz 2016.gadam ir samazinājies par 4,5%, savukārt Latvijas IKP periodā no 2005.gada līdz 2016.gadam ir palielinājies par 18,6%</w:t>
      </w:r>
      <w:r w:rsidR="00BE73BD" w:rsidRPr="008B628A">
        <w:rPr>
          <w:rFonts w:ascii="Times New Roman" w:hAnsi="Times New Roman"/>
          <w:szCs w:val="24"/>
        </w:rPr>
        <w:t xml:space="preserve">. Arī Latvijas kopējā energointensitāte periodā no 2005.gada līdz 2016.gadam ir samazinājusies par 19,5%. Līdz ar to ir secināms, ka Latvijas kopējā energoresursu patēriņa un IKP atsaiste </w:t>
      </w:r>
      <w:r w:rsidR="006D79AE" w:rsidRPr="008B628A">
        <w:rPr>
          <w:rFonts w:ascii="Times New Roman" w:hAnsi="Times New Roman"/>
          <w:szCs w:val="24"/>
        </w:rPr>
        <w:t xml:space="preserve">kopumā </w:t>
      </w:r>
      <w:r w:rsidR="00BE73BD" w:rsidRPr="008B628A">
        <w:rPr>
          <w:rFonts w:ascii="Times New Roman" w:hAnsi="Times New Roman"/>
          <w:szCs w:val="24"/>
        </w:rPr>
        <w:t>ir absolūta</w:t>
      </w:r>
      <w:r w:rsidR="006D79AE" w:rsidRPr="008B628A">
        <w:rPr>
          <w:rFonts w:ascii="Times New Roman" w:hAnsi="Times New Roman"/>
          <w:szCs w:val="24"/>
        </w:rPr>
        <w:t xml:space="preserve"> (vairākos periodos atsaiste nav </w:t>
      </w:r>
      <w:r w:rsidR="006D79AE" w:rsidRPr="008B628A">
        <w:rPr>
          <w:rFonts w:ascii="Times New Roman" w:hAnsi="Times New Roman"/>
          <w:szCs w:val="24"/>
        </w:rPr>
        <w:lastRenderedPageBreak/>
        <w:t>novērojama)</w:t>
      </w:r>
      <w:r w:rsidR="00BE73BD" w:rsidRPr="008B628A">
        <w:rPr>
          <w:rFonts w:ascii="Times New Roman" w:hAnsi="Times New Roman"/>
          <w:szCs w:val="24"/>
        </w:rPr>
        <w:t>, jo atsaistes enerģētikas rādītājs – kopējais energoresursu patēriņš ir samazinājies, bet IKP rādītājs ir būtiski palielinājies.</w:t>
      </w:r>
    </w:p>
    <w:p w14:paraId="0F4CF6C1" w14:textId="672B991C" w:rsidR="00385849" w:rsidRPr="008B628A" w:rsidRDefault="00D60879" w:rsidP="00565E98">
      <w:pPr>
        <w:spacing w:before="120" w:after="120" w:line="240" w:lineRule="auto"/>
        <w:jc w:val="center"/>
        <w:rPr>
          <w:rFonts w:ascii="Times New Roman" w:hAnsi="Times New Roman"/>
          <w:szCs w:val="24"/>
        </w:rPr>
      </w:pPr>
      <w:r>
        <w:rPr>
          <w:rFonts w:ascii="Times New Roman" w:hAnsi="Times New Roman"/>
          <w:noProof/>
          <w:szCs w:val="24"/>
          <w:lang w:eastAsia="lv-LV"/>
        </w:rPr>
        <w:drawing>
          <wp:inline distT="0" distB="0" distL="0" distR="0" wp14:anchorId="32A37891" wp14:editId="0FF76737">
            <wp:extent cx="4677865" cy="284292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6981" cy="2854540"/>
                    </a:xfrm>
                    <a:prstGeom prst="rect">
                      <a:avLst/>
                    </a:prstGeom>
                    <a:noFill/>
                  </pic:spPr>
                </pic:pic>
              </a:graphicData>
            </a:graphic>
          </wp:inline>
        </w:drawing>
      </w:r>
    </w:p>
    <w:p w14:paraId="17F63AD4" w14:textId="1BFD28F3" w:rsidR="002D0506" w:rsidRPr="008B628A" w:rsidRDefault="003E5526" w:rsidP="00D60879">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1" w:name="_Toc531333115"/>
      <w:r w:rsidR="006067D4">
        <w:rPr>
          <w:noProof/>
        </w:rPr>
        <w:t>36</w:t>
      </w:r>
      <w:r w:rsidRPr="008B628A">
        <w:rPr>
          <w:noProof/>
        </w:rPr>
        <w:fldChar w:fldCharType="end"/>
      </w:r>
      <w:r w:rsidR="002D0506" w:rsidRPr="008B628A">
        <w:t>.attēls. Latvijas kopējā energointensitāte un ener</w:t>
      </w:r>
      <w:r w:rsidR="00D60879">
        <w:t xml:space="preserve">ģijas </w:t>
      </w:r>
      <w:r w:rsidR="002D0506" w:rsidRPr="008B628A">
        <w:t>galapatēriņa energointensitāte</w:t>
      </w:r>
      <w:r w:rsidR="006705A0" w:rsidRPr="008B628A">
        <w:t xml:space="preserve"> 1995.-2017.g.</w:t>
      </w:r>
      <w:r w:rsidR="002D0506" w:rsidRPr="008B628A">
        <w:t xml:space="preserve"> (toe uz milj.</w:t>
      </w:r>
      <w:r w:rsidR="00BB291A" w:rsidRPr="008B628A">
        <w:t xml:space="preserve"> </w:t>
      </w:r>
      <w:r w:rsidR="002D0506" w:rsidRPr="008B628A">
        <w:t>EUR IKP (2010.gada salīdzināmās cenās)</w:t>
      </w:r>
      <w:r w:rsidR="00565E98" w:rsidRPr="008B628A">
        <w:rPr>
          <w:rStyle w:val="FootnoteReference"/>
        </w:rPr>
        <w:footnoteReference w:id="193"/>
      </w:r>
      <w:bookmarkEnd w:id="321"/>
    </w:p>
    <w:p w14:paraId="5D05F77C" w14:textId="7CFC9E43" w:rsidR="002D0506" w:rsidRPr="008B628A" w:rsidRDefault="0064179F" w:rsidP="00D60879">
      <w:pPr>
        <w:pStyle w:val="Heading4"/>
      </w:pPr>
      <w:bookmarkStart w:id="322" w:name="_Toc527529550"/>
      <w:r w:rsidRPr="008B628A">
        <w:t>Latvijas 2020.gada energoefektivitātes mērķu izpilde</w:t>
      </w:r>
      <w:bookmarkEnd w:id="322"/>
      <w:r w:rsidRPr="008B628A">
        <w:t xml:space="preserve"> </w:t>
      </w:r>
    </w:p>
    <w:p w14:paraId="57FD5635" w14:textId="734B1958" w:rsidR="001026AF" w:rsidRPr="008B628A" w:rsidRDefault="001026AF" w:rsidP="00D6087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Analizējot faktiskās primārās enerģijas patēriņa un enerģijas </w:t>
      </w:r>
      <w:r w:rsidR="00A25C5B" w:rsidRPr="008B628A">
        <w:rPr>
          <w:rFonts w:ascii="Times New Roman" w:hAnsi="Times New Roman" w:cs="Times New Roman"/>
          <w:szCs w:val="24"/>
        </w:rPr>
        <w:t>galapatēriņa tendences līdz 2017</w:t>
      </w:r>
      <w:r w:rsidRPr="008B628A">
        <w:rPr>
          <w:rFonts w:ascii="Times New Roman" w:hAnsi="Times New Roman" w:cs="Times New Roman"/>
          <w:szCs w:val="24"/>
        </w:rPr>
        <w:t xml:space="preserve">.gadam, var secināt, ka tās atbilst izvirzītā </w:t>
      </w:r>
      <w:r w:rsidR="00815510">
        <w:rPr>
          <w:rFonts w:ascii="Times New Roman" w:hAnsi="Times New Roman" w:cs="Times New Roman"/>
          <w:szCs w:val="24"/>
        </w:rPr>
        <w:t>neobligātā</w:t>
      </w:r>
      <w:r w:rsidRPr="008B628A">
        <w:rPr>
          <w:rFonts w:ascii="Times New Roman" w:hAnsi="Times New Roman" w:cs="Times New Roman"/>
          <w:szCs w:val="24"/>
        </w:rPr>
        <w:t xml:space="preserve"> mērķa 2020. gadam sasniegšanai.  </w:t>
      </w:r>
    </w:p>
    <w:p w14:paraId="72DC72B1" w14:textId="2ABE92AF" w:rsidR="0007781A" w:rsidRPr="008B628A" w:rsidRDefault="00C432CC" w:rsidP="00CC5532">
      <w:pPr>
        <w:spacing w:after="0" w:line="240" w:lineRule="auto"/>
        <w:jc w:val="center"/>
        <w:rPr>
          <w:rFonts w:cs="Times New Roman"/>
          <w:b/>
          <w:szCs w:val="28"/>
          <w:lang w:bidi="en-US"/>
        </w:rPr>
      </w:pPr>
      <w:r>
        <w:rPr>
          <w:rFonts w:cs="Times New Roman"/>
          <w:b/>
          <w:noProof/>
          <w:szCs w:val="28"/>
          <w:lang w:eastAsia="lv-LV"/>
        </w:rPr>
        <w:drawing>
          <wp:inline distT="0" distB="0" distL="0" distR="0" wp14:anchorId="7FB1CA8B" wp14:editId="5AAE8356">
            <wp:extent cx="4538752" cy="2700473"/>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7803" cy="2705858"/>
                    </a:xfrm>
                    <a:prstGeom prst="rect">
                      <a:avLst/>
                    </a:prstGeom>
                    <a:noFill/>
                  </pic:spPr>
                </pic:pic>
              </a:graphicData>
            </a:graphic>
          </wp:inline>
        </w:drawing>
      </w:r>
    </w:p>
    <w:p w14:paraId="0E28EEDC" w14:textId="70A150AA" w:rsidR="0007781A"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3" w:name="_Toc531333116"/>
      <w:r w:rsidR="006067D4">
        <w:rPr>
          <w:noProof/>
        </w:rPr>
        <w:t>37</w:t>
      </w:r>
      <w:r w:rsidRPr="008B628A">
        <w:rPr>
          <w:noProof/>
        </w:rPr>
        <w:fldChar w:fldCharType="end"/>
      </w:r>
      <w:r w:rsidR="001026AF" w:rsidRPr="008B628A">
        <w:t xml:space="preserve">.attēls. </w:t>
      </w:r>
      <w:r w:rsidR="0007781A" w:rsidRPr="008B628A">
        <w:t>Prognozētais un faktiskais primārās enerģijas</w:t>
      </w:r>
      <w:r w:rsidR="00C432CC">
        <w:t xml:space="preserve"> patēriņš un enerģijas galapatēriņš</w:t>
      </w:r>
      <w:r w:rsidR="0007781A" w:rsidRPr="008B628A">
        <w:t xml:space="preserve"> 2012.-2020.gadam</w:t>
      </w:r>
      <w:r w:rsidR="0007781A" w:rsidRPr="00C432CC">
        <w:rPr>
          <w:rStyle w:val="FootnoteReference"/>
          <w:b w:val="0"/>
        </w:rPr>
        <w:footnoteReference w:id="194"/>
      </w:r>
      <w:bookmarkEnd w:id="323"/>
    </w:p>
    <w:p w14:paraId="73B33717" w14:textId="23182973" w:rsidR="0062153F" w:rsidRPr="008B628A" w:rsidRDefault="00523B4F" w:rsidP="005B02F5">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O</w:t>
      </w:r>
      <w:r w:rsidR="0062153F" w:rsidRPr="008B628A">
        <w:rPr>
          <w:rFonts w:ascii="Times New Roman" w:hAnsi="Times New Roman" w:cs="Times New Roman"/>
          <w:szCs w:val="24"/>
        </w:rPr>
        <w:t>bligātā mērķa sasniegšanai līdz 201</w:t>
      </w:r>
      <w:r w:rsidR="005B02F5" w:rsidRPr="008B628A">
        <w:rPr>
          <w:rFonts w:ascii="Times New Roman" w:hAnsi="Times New Roman" w:cs="Times New Roman"/>
          <w:szCs w:val="24"/>
        </w:rPr>
        <w:t>6</w:t>
      </w:r>
      <w:r w:rsidR="0062153F" w:rsidRPr="008B628A">
        <w:rPr>
          <w:rFonts w:ascii="Times New Roman" w:hAnsi="Times New Roman" w:cs="Times New Roman"/>
          <w:szCs w:val="24"/>
        </w:rPr>
        <w:t xml:space="preserve">.gadam ieviestie energoefektivitātes pasākumi līdz 2020.gadam veido kumulatīvo (uzkrāto) ietaupījumu </w:t>
      </w:r>
      <w:r w:rsidR="005B02F5" w:rsidRPr="008B628A">
        <w:rPr>
          <w:rFonts w:ascii="Times New Roman" w:hAnsi="Times New Roman" w:cs="Times New Roman"/>
          <w:szCs w:val="24"/>
        </w:rPr>
        <w:t>5894</w:t>
      </w:r>
      <w:r w:rsidR="0062153F" w:rsidRPr="008B628A">
        <w:rPr>
          <w:rFonts w:ascii="Times New Roman" w:hAnsi="Times New Roman" w:cs="Times New Roman"/>
          <w:szCs w:val="24"/>
        </w:rPr>
        <w:t xml:space="preserve"> GWh</w:t>
      </w:r>
      <w:r w:rsidR="005B02F5" w:rsidRPr="008B628A">
        <w:rPr>
          <w:rFonts w:ascii="Times New Roman" w:hAnsi="Times New Roman" w:cs="Times New Roman"/>
          <w:szCs w:val="24"/>
        </w:rPr>
        <w:t xml:space="preserve">, kas pārsniedz Latvijas noteikto </w:t>
      </w:r>
      <w:r w:rsidR="00815510">
        <w:rPr>
          <w:rFonts w:ascii="Times New Roman" w:hAnsi="Times New Roman" w:cs="Times New Roman"/>
          <w:szCs w:val="24"/>
        </w:rPr>
        <w:t>neobligāto</w:t>
      </w:r>
      <w:r w:rsidR="00815510" w:rsidRPr="008B628A">
        <w:rPr>
          <w:rFonts w:ascii="Times New Roman" w:hAnsi="Times New Roman" w:cs="Times New Roman"/>
          <w:szCs w:val="24"/>
        </w:rPr>
        <w:t xml:space="preserve"> </w:t>
      </w:r>
      <w:r w:rsidR="005B02F5" w:rsidRPr="008B628A">
        <w:rPr>
          <w:rFonts w:ascii="Times New Roman" w:hAnsi="Times New Roman" w:cs="Times New Roman"/>
          <w:szCs w:val="24"/>
        </w:rPr>
        <w:t xml:space="preserve">mērķi uz 2016.gadu </w:t>
      </w:r>
      <w:r w:rsidR="00A315F9" w:rsidRPr="008B628A">
        <w:rPr>
          <w:rFonts w:ascii="Times New Roman" w:hAnsi="Times New Roman" w:cs="Times New Roman"/>
          <w:szCs w:val="24"/>
        </w:rPr>
        <w:t>–</w:t>
      </w:r>
      <w:r w:rsidR="005B02F5" w:rsidRPr="008B628A">
        <w:rPr>
          <w:rFonts w:ascii="Times New Roman" w:hAnsi="Times New Roman" w:cs="Times New Roman"/>
          <w:szCs w:val="24"/>
        </w:rPr>
        <w:t xml:space="preserve"> 3483 GWh</w:t>
      </w:r>
      <w:r w:rsidR="00A315F9" w:rsidRPr="008B628A">
        <w:rPr>
          <w:rStyle w:val="FootnoteReference"/>
          <w:rFonts w:ascii="Times New Roman" w:hAnsi="Times New Roman" w:cs="Times New Roman"/>
          <w:szCs w:val="24"/>
        </w:rPr>
        <w:footnoteReference w:id="195"/>
      </w:r>
      <w:r w:rsidR="0062153F" w:rsidRPr="008B628A">
        <w:rPr>
          <w:rFonts w:ascii="Times New Roman" w:hAnsi="Times New Roman" w:cs="Times New Roman"/>
          <w:szCs w:val="24"/>
        </w:rPr>
        <w:t>.</w:t>
      </w:r>
      <w:r w:rsidR="00170AF3" w:rsidRPr="008B628A">
        <w:rPr>
          <w:rFonts w:ascii="Times New Roman" w:hAnsi="Times New Roman" w:cs="Times New Roman"/>
          <w:szCs w:val="24"/>
        </w:rPr>
        <w:t xml:space="preserve"> </w:t>
      </w:r>
      <w:r w:rsidR="0062153F" w:rsidRPr="008B628A">
        <w:rPr>
          <w:rFonts w:ascii="Times New Roman" w:hAnsi="Times New Roman"/>
          <w:iCs/>
          <w:szCs w:val="24"/>
        </w:rPr>
        <w:t xml:space="preserve">Lielākie enerģijas galapatēriņa ietaupījumi ir iegūti, veicot pasākumus dažādu enerģijas galapatēriņa sektoru ēkās, veicot to pilnīgu vai daļēju renovāciju. Kumulatīvā (uzkrātā) ietaupījuma sadalījums pa enerģijas galapatēriņa sektoriem </w:t>
      </w:r>
    </w:p>
    <w:p w14:paraId="363EFA64" w14:textId="66DF8C93" w:rsidR="003729D9" w:rsidRPr="008B628A" w:rsidRDefault="003729D9" w:rsidP="003729D9">
      <w:pPr>
        <w:pStyle w:val="Heading4"/>
      </w:pPr>
      <w:bookmarkStart w:id="324" w:name="_Hlk529444378"/>
      <w:r w:rsidRPr="008B628A">
        <w:lastRenderedPageBreak/>
        <w:t>Esošie īstenotie pasākumi ēku ilgtermiņa atjaunošanas stratēģijas ietvaros</w:t>
      </w:r>
    </w:p>
    <w:p w14:paraId="1E6B2314"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2007.-2013.gada ES fondu plānošanas periodā tika īstenota programmas:</w:t>
      </w:r>
    </w:p>
    <w:p w14:paraId="0F2D846B" w14:textId="77777777" w:rsidR="00757462" w:rsidRPr="008B628A" w:rsidRDefault="00757462" w:rsidP="00283C85">
      <w:pPr>
        <w:pStyle w:val="ListParagraph"/>
        <w:numPr>
          <w:ilvl w:val="1"/>
          <w:numId w:val="23"/>
        </w:numPr>
        <w:spacing w:before="120" w:after="120" w:line="240" w:lineRule="auto"/>
        <w:ind w:left="340" w:hanging="340"/>
        <w:contextualSpacing w:val="0"/>
        <w:jc w:val="both"/>
        <w:rPr>
          <w:rFonts w:ascii="Times New Roman" w:hAnsi="Times New Roman" w:cs="Times New Roman"/>
        </w:rPr>
      </w:pPr>
      <w:r w:rsidRPr="008B628A">
        <w:rPr>
          <w:rFonts w:ascii="Times New Roman" w:hAnsi="Times New Roman" w:cs="Times New Roman"/>
        </w:rPr>
        <w:t xml:space="preserve">CSA sistēmas energoefektivitātes paaugstināšanai un </w:t>
      </w:r>
      <w:r w:rsidRPr="008B628A">
        <w:rPr>
          <w:rFonts w:ascii="Times New Roman" w:eastAsia="Calibri" w:hAnsi="Times New Roman" w:cs="Times New Roman"/>
          <w:szCs w:val="24"/>
        </w:rPr>
        <w:t>AER</w:t>
      </w:r>
      <w:r w:rsidRPr="008B628A">
        <w:rPr>
          <w:rFonts w:ascii="Times New Roman" w:hAnsi="Times New Roman" w:cs="Times New Roman"/>
        </w:rPr>
        <w:t xml:space="preserve"> īpatsvara palielināšanai</w:t>
      </w:r>
      <w:r w:rsidRPr="008B628A">
        <w:rPr>
          <w:rStyle w:val="FootnoteReference"/>
          <w:rFonts w:ascii="Times New Roman" w:hAnsi="Times New Roman" w:cs="Times New Roman"/>
        </w:rPr>
        <w:footnoteReference w:id="196"/>
      </w:r>
      <w:r w:rsidRPr="008B628A">
        <w:rPr>
          <w:rFonts w:ascii="Times New Roman" w:hAnsi="Times New Roman" w:cs="Times New Roman"/>
        </w:rPr>
        <w:t xml:space="preserve">. </w:t>
      </w:r>
    </w:p>
    <w:p w14:paraId="603DC1A7" w14:textId="65B6B471" w:rsidR="00757462" w:rsidRPr="008B628A" w:rsidRDefault="00626A53" w:rsidP="00283C85">
      <w:pPr>
        <w:pStyle w:val="ListParagraph"/>
        <w:numPr>
          <w:ilvl w:val="1"/>
          <w:numId w:val="23"/>
        </w:numPr>
        <w:spacing w:before="120" w:after="120" w:line="240" w:lineRule="auto"/>
        <w:ind w:left="340" w:hanging="340"/>
        <w:contextualSpacing w:val="0"/>
        <w:jc w:val="both"/>
        <w:rPr>
          <w:rFonts w:ascii="Times New Roman" w:hAnsi="Times New Roman" w:cs="Times New Roman"/>
        </w:rPr>
      </w:pPr>
      <w:r>
        <w:rPr>
          <w:rFonts w:ascii="Times New Roman" w:hAnsi="Times New Roman" w:cs="Times New Roman"/>
        </w:rPr>
        <w:t xml:space="preserve">AER </w:t>
      </w:r>
      <w:r w:rsidR="00757462" w:rsidRPr="008B628A">
        <w:rPr>
          <w:rFonts w:ascii="Times New Roman" w:hAnsi="Times New Roman" w:cs="Times New Roman"/>
        </w:rPr>
        <w:t>koģenerācijas elektrostaciju attīstībai</w:t>
      </w:r>
      <w:r w:rsidR="00757462" w:rsidRPr="008B628A">
        <w:rPr>
          <w:rStyle w:val="FootnoteReference"/>
          <w:rFonts w:ascii="Times New Roman" w:hAnsi="Times New Roman" w:cs="Times New Roman"/>
        </w:rPr>
        <w:footnoteReference w:id="197"/>
      </w:r>
      <w:r w:rsidR="00757462" w:rsidRPr="008B628A">
        <w:rPr>
          <w:rFonts w:ascii="Times New Roman" w:hAnsi="Times New Roman" w:cs="Times New Roman"/>
        </w:rPr>
        <w:t xml:space="preserve">. </w:t>
      </w:r>
    </w:p>
    <w:p w14:paraId="3C3B1A21"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2014.-2020.gada ES fondu plānošanas periodā tiek īstenota CSA energoefektivitātes programmas divās projektu iesniegumu atlases kārtās</w:t>
      </w:r>
      <w:r w:rsidRPr="008B628A">
        <w:rPr>
          <w:rStyle w:val="FootnoteReference"/>
          <w:rFonts w:ascii="Times New Roman" w:hAnsi="Times New Roman" w:cs="Times New Roman"/>
        </w:rPr>
        <w:footnoteReference w:id="198"/>
      </w:r>
      <w:r w:rsidRPr="008B628A">
        <w:rPr>
          <w:rFonts w:ascii="Times New Roman" w:hAnsi="Times New Roman" w:cs="Times New Roman"/>
        </w:rPr>
        <w:t xml:space="preserve">. </w:t>
      </w:r>
    </w:p>
    <w:p w14:paraId="4266447F"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Programma tiek īstenota, izmantojot KF līdzfinansējumu 60 milj. EUR apmērā, un programmu ir plānots turpināt arī 2021.-2027.gada ES fondu plānošanas periodā, jo tā sniedz būtisku ieguldījumu Latvijā esošās CSA sistēmas sakārtošanā, modernizēšanā un energoefektivitātes paaugstināšanā.</w:t>
      </w:r>
    </w:p>
    <w:p w14:paraId="685E942D"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Papildus 2021.-2027.gada ES fondu plānošanas periodā ir plānots izstrādāt atbalsta programmu centralizētās aukstumapgādes sistēmas ieviešanai, kas ir būtisks elements sabiedriskajās celtnēs, un līdz šim šāda veida investīcijām atbalsta programmas nav bijušas.</w:t>
      </w:r>
    </w:p>
    <w:p w14:paraId="0F676C99"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2021.-2027.gada ES fondu plānošanas periodā ietvaros atbalstu gan CSA, gan aukstumapgādes sistēmu izveidei un sakārtošanai it plānots piesaistīt KF līdzfinansējumu.</w:t>
      </w:r>
    </w:p>
    <w:p w14:paraId="2920CEDA" w14:textId="450E052A" w:rsidR="00C75E91" w:rsidRPr="008B628A" w:rsidRDefault="00C75E91" w:rsidP="00757462">
      <w:pPr>
        <w:jc w:val="both"/>
      </w:pPr>
      <w:r w:rsidRPr="008B628A">
        <w:rPr>
          <w:rFonts w:ascii="Times New Roman" w:hAnsi="Times New Roman" w:cs="Times New Roman"/>
        </w:rPr>
        <w:t xml:space="preserve">Šobrīd 2014.-2020.gada ES fondu plānošanas perioda ietvaros tiek īstenotas ES fondu līdzfinansētas atbalsta programmas: </w:t>
      </w:r>
    </w:p>
    <w:p w14:paraId="2879E4E2"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valsts īpašumā esošu ēku energoefektivitātes paaugstināšanai</w:t>
      </w:r>
      <w:r w:rsidRPr="008B628A">
        <w:rPr>
          <w:rStyle w:val="FootnoteReference"/>
          <w:rFonts w:ascii="Times New Roman" w:hAnsi="Times New Roman" w:cs="Times New Roman"/>
        </w:rPr>
        <w:footnoteReference w:id="199"/>
      </w:r>
      <w:r w:rsidRPr="008B628A">
        <w:rPr>
          <w:rFonts w:ascii="Times New Roman" w:hAnsi="Times New Roman" w:cs="Times New Roman"/>
        </w:rPr>
        <w:t>.</w:t>
      </w:r>
    </w:p>
    <w:p w14:paraId="674E6966"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 xml:space="preserve">Darbības programma “Izaugsme un nodarbinātība” 4.2.1. specifiskā atbalsta mērķa “Veicināt energoefektivitātes paaugstināšanu valsts un dzīvojamās ēkās” 4.2.1.2. pasākuma “Veicināt energoefektivitātes paaugstināšanu valsts ēkās” ir veidota, lai sasniegtu </w:t>
      </w:r>
      <w:r w:rsidRPr="008B628A">
        <w:rPr>
          <w:rFonts w:ascii="Times New Roman" w:eastAsia="Calibri" w:hAnsi="Times New Roman" w:cs="Times New Roman"/>
          <w:szCs w:val="24"/>
        </w:rPr>
        <w:t>Direktīvas 2012/27/ES</w:t>
      </w:r>
      <w:r w:rsidRPr="008B628A">
        <w:rPr>
          <w:rFonts w:ascii="Times New Roman" w:hAnsi="Times New Roman" w:cs="Times New Roman"/>
        </w:rPr>
        <w:t xml:space="preserve"> 5.panta 1.punktā noteikto nosacījumu  katru gadu renovēt 3 % kopējās platības centrālās valdības īpašumā esošajās un izmantotajās ēkās, kuras apsilda un/vai dzesē, lai izpildītu vismaz minimālās energoefektivitātes prasības.</w:t>
      </w:r>
    </w:p>
    <w:p w14:paraId="78D3AA7F"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Daudzdzīvokļu dzīvojamo ēku energoefektivitātes paaugstināšanai</w:t>
      </w:r>
      <w:r w:rsidRPr="008B628A">
        <w:rPr>
          <w:rStyle w:val="FootnoteReference"/>
          <w:rFonts w:ascii="Times New Roman" w:hAnsi="Times New Roman" w:cs="Times New Roman"/>
        </w:rPr>
        <w:footnoteReference w:id="200"/>
      </w:r>
      <w:r w:rsidRPr="008B628A">
        <w:rPr>
          <w:rFonts w:ascii="Times New Roman" w:hAnsi="Times New Roman" w:cs="Times New Roman"/>
        </w:rPr>
        <w:t xml:space="preserve">. </w:t>
      </w:r>
    </w:p>
    <w:p w14:paraId="6B40D1D4"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Abas iepriekšminētās programmas tiek finansētas ar ERAF līdzfinansējuma palīdzību, tām pieejamais kopējais ERAF finansējuma apjoms ir 247,9 milj., EUR, t.sk., 150 milj. EUR daudzdzīvokļu ēku energoefektivitātei, ar ko plānots atjaunot aptuveni 1030 ēku (ERAF līdzfinansējuma apjoms – 50% no projekta attiecināmajām izmaksām, vidējās ēkas atjaunošanas izmaksas – 150 – 170 tūkst. eiro), un 97,9 milj. eiro valsts īpašumā esošu ēku energoefektivitātei, ar ko plānots atjaunot aptuveni 100 – 120 ēku.</w:t>
      </w:r>
    </w:p>
    <w:p w14:paraId="30BEB06C"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Abu programmu indikatīvais ieguldījums Latvijas energoefektivitātes 2020. gada mērķu sasniegšanā ir ap 7-8% no nepieciešamā ietaupījumu apjoma.</w:t>
      </w:r>
    </w:p>
    <w:p w14:paraId="68695BB7"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ražošanas ēku energoefektivitātes paaugstināšana, ietverot gan pašu ēku un to inženiersistēmu energoefektivitātes paaugstināšanu, gan ražošanas iekārtu energoefektivitātes paaugstināšanu vai maiņu pret efektīvākām iekārtām</w:t>
      </w:r>
      <w:r w:rsidRPr="008B628A">
        <w:rPr>
          <w:rStyle w:val="FootnoteReference"/>
          <w:rFonts w:ascii="Times New Roman" w:hAnsi="Times New Roman" w:cs="Times New Roman"/>
        </w:rPr>
        <w:footnoteReference w:id="201"/>
      </w:r>
      <w:r w:rsidRPr="008B628A">
        <w:rPr>
          <w:rFonts w:ascii="Times New Roman" w:hAnsi="Times New Roman" w:cs="Times New Roman"/>
        </w:rPr>
        <w:t>.</w:t>
      </w:r>
    </w:p>
    <w:p w14:paraId="2CF075C4"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 xml:space="preserve">Atbalsts tiek sniegts specifiskā atbalsta mērķa 4.1.1. “Veicināt efektīvu ne energoresursu izmantošanu, enerģijas patēriņa samazināšanu un pāreju uz AER apstrādes rūpniecības nozarē” ietvaros, un šī ir vienīgā atbalsta programma, kuras ietvaros komersantiem tiek sniegts grants energoefektivitātes pasākumu īstenošanai. Programmas tiek īstenota ar KF līdzfinansējuma 25 milj. EUR apmērā palīdzību. </w:t>
      </w:r>
    </w:p>
    <w:p w14:paraId="1FE2A477"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Programma sniedz ieguldījumu nacionālo energoefektivitātes mērķu sasniegšanā un ir viens no rīkiem, ar kā palīdzību komersantiem veiksmīgi izpildīt Energoefektivitātes likuma prasības par prasību veikt energoauditu vai ieviest energopārvaldības sistēmu uzņēmumā un veikt vismaz 3 energoefektivitāti uzlabojošus pasākumus. Attiecīgās atbalsta programmas ietvaros uzņēmumam ir iespējams iegūt atbalstu granta formā attiecīgo energoefektivitātes pasākumu īstenošanai.</w:t>
      </w:r>
    </w:p>
    <w:p w14:paraId="38309E00" w14:textId="77777777" w:rsidR="003729D9" w:rsidRPr="008B628A" w:rsidRDefault="003729D9" w:rsidP="00283C85">
      <w:pPr>
        <w:pStyle w:val="ListParagraph"/>
        <w:numPr>
          <w:ilvl w:val="0"/>
          <w:numId w:val="22"/>
        </w:num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Atbilstoši pašvaldības integrētajām attīstības programmām sekmēt energoefektivitātes paaugstināšanu un AER izmantošanu pašvaldību ēkās</w:t>
      </w:r>
      <w:r w:rsidRPr="008B628A">
        <w:rPr>
          <w:rStyle w:val="FootnoteReference"/>
          <w:rFonts w:ascii="Times New Roman" w:hAnsi="Times New Roman" w:cs="Times New Roman"/>
          <w:szCs w:val="24"/>
        </w:rPr>
        <w:footnoteReference w:id="202"/>
      </w:r>
    </w:p>
    <w:p w14:paraId="3C2A3B6B" w14:textId="77777777" w:rsidR="003729D9" w:rsidRPr="008B628A" w:rsidRDefault="003729D9" w:rsidP="007574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2014.-2020. gada plānošanas periodā ar mērķi samazināt pašvaldību ēku primārās enerģijas patēriņu, sekmējot energoefektivitātes paaugstināšanu un pašvaldību izdevumu samazināšanos par siltumapgādi un veicot ieguldījumus pašvaldību ēkās atbilstoši pašvaldību attīstības programmās noteiktajām prioritātēm, tiek īstenoti DP 4.2.2. specifiskā atbalsta mērķa “Atbilstoši pašvaldības integrētajām attīstības programmām sekmēt energoefektivitātes paaugstināšanu un </w:t>
      </w:r>
      <w:r w:rsidRPr="008B628A">
        <w:rPr>
          <w:rFonts w:ascii="Times New Roman" w:eastAsia="Calibri" w:hAnsi="Times New Roman" w:cs="Times New Roman"/>
          <w:szCs w:val="24"/>
        </w:rPr>
        <w:t>AER</w:t>
      </w:r>
      <w:r w:rsidRPr="008B628A">
        <w:rPr>
          <w:rFonts w:ascii="Times New Roman" w:hAnsi="Times New Roman" w:cs="Times New Roman"/>
          <w:szCs w:val="24"/>
        </w:rPr>
        <w:t xml:space="preserve"> izmantošanu pašvaldību ēkās” projekti. To ietvaros ar Eiropas Reģionālās attīstības fonda līdzfinansējuma palīdzību 46 996 394 EUR apmērā līdz 2023. gada 31. decembrim sabiedriskajās (pašvaldību) ēkās plānots:</w:t>
      </w:r>
    </w:p>
    <w:p w14:paraId="3B365468" w14:textId="77777777" w:rsidR="003729D9" w:rsidRPr="008B628A" w:rsidRDefault="003729D9"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primārās enerģijas gada patēriņu vismaz par 20 536 239 kWh gadā,</w:t>
      </w:r>
    </w:p>
    <w:p w14:paraId="2E510022" w14:textId="77777777" w:rsidR="003729D9" w:rsidRPr="008B628A" w:rsidRDefault="003729D9"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aprēķināto siltumnīcefekta gāzu apjomu vismaz par 5 180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gadā,</w:t>
      </w:r>
    </w:p>
    <w:p w14:paraId="747EF6D5" w14:textId="554E854B" w:rsidR="003729D9" w:rsidRPr="008B628A" w:rsidRDefault="00626A53"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Pr>
          <w:rFonts w:ascii="Times New Roman" w:hAnsi="Times New Roman" w:cs="Times New Roman"/>
          <w:szCs w:val="24"/>
        </w:rPr>
        <w:t xml:space="preserve">iegūt papildu AER </w:t>
      </w:r>
      <w:r w:rsidR="003729D9" w:rsidRPr="008B628A">
        <w:rPr>
          <w:rFonts w:ascii="Times New Roman" w:hAnsi="Times New Roman" w:cs="Times New Roman"/>
          <w:szCs w:val="24"/>
        </w:rPr>
        <w:t>jaudu vismaz 1,8 MW apjomā.</w:t>
      </w:r>
    </w:p>
    <w:p w14:paraId="735F1B5E" w14:textId="0A2B039B" w:rsidR="006C746B" w:rsidRPr="008B628A" w:rsidRDefault="006C746B" w:rsidP="005F59CE">
      <w:pPr>
        <w:pStyle w:val="Heading3"/>
      </w:pPr>
      <w:bookmarkStart w:id="325" w:name="_Toc520978874"/>
      <w:bookmarkStart w:id="326" w:name="_Toc527529551"/>
      <w:bookmarkEnd w:id="324"/>
      <w:r w:rsidRPr="008B628A">
        <w:rPr>
          <w:rStyle w:val="normaltextrun"/>
        </w:rPr>
        <w:t>Pašreizējais potenciāls</w:t>
      </w:r>
      <w:bookmarkEnd w:id="325"/>
      <w:bookmarkEnd w:id="326"/>
      <w:r w:rsidRPr="008B628A">
        <w:rPr>
          <w:rStyle w:val="eop"/>
        </w:rPr>
        <w:t> </w:t>
      </w:r>
    </w:p>
    <w:p w14:paraId="20772C92" w14:textId="1F422067" w:rsidR="006C746B" w:rsidRPr="008B628A" w:rsidRDefault="006C746B" w:rsidP="006C746B">
      <w:pPr>
        <w:pStyle w:val="Default"/>
        <w:spacing w:before="120" w:after="120"/>
        <w:jc w:val="both"/>
        <w:rPr>
          <w:bCs/>
          <w:iCs/>
          <w:color w:val="auto"/>
        </w:rPr>
      </w:pPr>
      <w:r w:rsidRPr="008B628A">
        <w:rPr>
          <w:color w:val="auto"/>
        </w:rPr>
        <w:t xml:space="preserve">Atbilstoši </w:t>
      </w:r>
      <w:r w:rsidR="00883D54" w:rsidRPr="008B628A">
        <w:rPr>
          <w:rFonts w:eastAsia="Calibri"/>
        </w:rPr>
        <w:t>Direktīvas 2012/27/ES</w:t>
      </w:r>
      <w:r w:rsidRPr="008B628A">
        <w:rPr>
          <w:color w:val="auto"/>
        </w:rPr>
        <w:t xml:space="preserve"> 14.</w:t>
      </w:r>
      <w:r w:rsidR="00291C9A" w:rsidRPr="008B628A">
        <w:rPr>
          <w:color w:val="auto"/>
        </w:rPr>
        <w:t xml:space="preserve"> </w:t>
      </w:r>
      <w:r w:rsidRPr="008B628A">
        <w:rPr>
          <w:color w:val="auto"/>
        </w:rPr>
        <w:t>panta prasībām, Latvija ir veikusi “</w:t>
      </w:r>
      <w:r w:rsidRPr="008B628A">
        <w:rPr>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8B628A">
        <w:rPr>
          <w:rStyle w:val="FootnoteReference"/>
          <w:bCs/>
          <w:iCs/>
          <w:color w:val="auto"/>
        </w:rPr>
        <w:footnoteReference w:id="203"/>
      </w:r>
      <w:r w:rsidRPr="008B628A">
        <w:rPr>
          <w:bCs/>
          <w:iCs/>
          <w:color w:val="auto"/>
        </w:rPr>
        <w:t xml:space="preserve">. Izvērtējuma rezultātā ir iegūti sekojoši rezultāti: </w:t>
      </w:r>
    </w:p>
    <w:p w14:paraId="16F5A280" w14:textId="54CD62F4" w:rsidR="006C746B" w:rsidRPr="008B628A" w:rsidRDefault="006C746B" w:rsidP="006C746B">
      <w:pPr>
        <w:pStyle w:val="Default"/>
        <w:spacing w:before="120" w:after="120"/>
        <w:jc w:val="both"/>
        <w:rPr>
          <w:color w:val="auto"/>
        </w:rPr>
      </w:pPr>
      <w:r w:rsidRPr="008B628A">
        <w:rPr>
          <w:bCs/>
          <w:iCs/>
          <w:color w:val="auto"/>
        </w:rPr>
        <w:t>1</w:t>
      </w:r>
      <w:r w:rsidRPr="008B628A">
        <w:rPr>
          <w:color w:val="auto"/>
        </w:rPr>
        <w:t xml:space="preserve">) Kopumā koģenerācijas īpatsvars Latvijas CSA jau ir augsts – 72,6%, pie tam </w:t>
      </w:r>
      <w:r w:rsidR="005A2B35">
        <w:rPr>
          <w:color w:val="auto"/>
        </w:rPr>
        <w:t>2017.gadā</w:t>
      </w:r>
      <w:r w:rsidR="005A2B35" w:rsidRPr="008B628A">
        <w:rPr>
          <w:color w:val="auto"/>
        </w:rPr>
        <w:t xml:space="preserve"> </w:t>
      </w:r>
      <w:r w:rsidRPr="008B628A">
        <w:rPr>
          <w:color w:val="auto"/>
        </w:rPr>
        <w:t xml:space="preserve">dažās no Latvijas reģionālajām CS sistēmām ir gandrīz maksimālais koģenerācijas īpatsvars siltuma ražošanā un augsta </w:t>
      </w:r>
      <w:r w:rsidR="005464B2" w:rsidRPr="008B628A">
        <w:rPr>
          <w:color w:val="auto"/>
        </w:rPr>
        <w:t>AER</w:t>
      </w:r>
      <w:r w:rsidRPr="008B628A">
        <w:rPr>
          <w:color w:val="auto"/>
        </w:rPr>
        <w:t xml:space="preserve"> izmantošanas daļa to kurināmo struktūrā (piem., Jelgava ar 97% saražotu koģenerācijas režīmā un 85% no izmantotā kurināmā ir AER). Potenciāla analīzes rezultātā konstatēts, ka nav potenciāls AE</w:t>
      </w:r>
      <w:r w:rsidR="00CE6E25" w:rsidRPr="008B628A">
        <w:rPr>
          <w:color w:val="auto"/>
        </w:rPr>
        <w:t>R</w:t>
      </w:r>
      <w:r w:rsidRPr="008B628A">
        <w:rPr>
          <w:color w:val="auto"/>
        </w:rPr>
        <w:t xml:space="preserve"> īpatsvara palielināšanai valsts līmenī, toties tika identificēts un analizēts, ka dažās individuālās pilsētās (Daugavpilī, Liepājā un Jūrmalā) būtu iespējams potenciāls ieviest augstas efektivitātes koģenerāciju centralizētajā siltumapgādē, bet ir </w:t>
      </w:r>
      <w:r w:rsidRPr="008B628A">
        <w:rPr>
          <w:color w:val="auto"/>
        </w:rPr>
        <w:lastRenderedPageBreak/>
        <w:t xml:space="preserve">nepieciešama padziļinātākā konkrētā gadījumā finanšu analīze. Aprēķini balstīti uz elektroenerģijas un siltumenerģijas tirgus cenām. </w:t>
      </w:r>
    </w:p>
    <w:p w14:paraId="6867CA96" w14:textId="77777777" w:rsidR="006C746B" w:rsidRPr="008B628A" w:rsidRDefault="006C746B" w:rsidP="006F546A">
      <w:pPr>
        <w:pStyle w:val="Default"/>
        <w:spacing w:before="120" w:after="120"/>
        <w:jc w:val="both"/>
        <w:rPr>
          <w:color w:val="auto"/>
        </w:rPr>
      </w:pPr>
      <w:r w:rsidRPr="008B628A">
        <w:rPr>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70D3BE45" w14:textId="77777777" w:rsidR="006C746B" w:rsidRPr="008B628A" w:rsidRDefault="006C746B" w:rsidP="006F546A">
      <w:pPr>
        <w:pStyle w:val="Default"/>
        <w:spacing w:before="120" w:after="120"/>
        <w:jc w:val="both"/>
        <w:rPr>
          <w:color w:val="auto"/>
        </w:rPr>
      </w:pPr>
      <w:r w:rsidRPr="008B628A">
        <w:rPr>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6375ED9" w14:textId="086C813A" w:rsidR="006C746B" w:rsidRPr="008B628A" w:rsidRDefault="006C746B" w:rsidP="006F546A">
      <w:pPr>
        <w:pStyle w:val="Default"/>
        <w:spacing w:before="120" w:after="120"/>
        <w:jc w:val="both"/>
        <w:rPr>
          <w:bCs/>
          <w:color w:val="auto"/>
        </w:rPr>
      </w:pPr>
      <w:r w:rsidRPr="008B628A">
        <w:rPr>
          <w:color w:val="auto"/>
        </w:rPr>
        <w:t xml:space="preserve">3) Lai realizētu CSA centralizācijas potenciālu, ir nepieciešams attīstīt ekonomiskus stimulus gala patērētājiem, lai </w:t>
      </w:r>
      <w:r w:rsidRPr="008B628A">
        <w:rPr>
          <w:bCs/>
          <w:color w:val="auto"/>
        </w:rPr>
        <w:t>siltuma izmaksas no CSA nepārsniedz alternatīvas individuālās apkures izmaksas</w:t>
      </w:r>
      <w:r w:rsidRPr="008B628A">
        <w:rPr>
          <w:color w:val="auto"/>
        </w:rPr>
        <w:t>. Šādi stimuli pārsvarā pārstāv pasākumus lai sasniegtu kopēja siltumapgādes tarifa samazināšanos CSA sistēmā, tostarp, n</w:t>
      </w:r>
      <w:r w:rsidRPr="008B628A">
        <w:rPr>
          <w:bCs/>
          <w:color w:val="auto"/>
        </w:rPr>
        <w:t>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optimizācija.</w:t>
      </w:r>
    </w:p>
    <w:p w14:paraId="56CA2FF8" w14:textId="77777777" w:rsidR="008F463F" w:rsidRPr="008B628A" w:rsidRDefault="008F463F" w:rsidP="008F463F">
      <w:pPr>
        <w:pStyle w:val="Heading3"/>
        <w:rPr>
          <w:rStyle w:val="normaltextrun"/>
        </w:rPr>
      </w:pPr>
      <w:r w:rsidRPr="008B628A">
        <w:rPr>
          <w:rStyle w:val="normaltextrun"/>
        </w:rPr>
        <w:t xml:space="preserve">Indikatīvās attīstības prognozes </w:t>
      </w:r>
    </w:p>
    <w:p w14:paraId="06E12D45" w14:textId="16D6888F" w:rsidR="00E94F3D" w:rsidRPr="008B628A" w:rsidRDefault="00E94F3D" w:rsidP="00E94F3D">
      <w:pPr>
        <w:pStyle w:val="Heading4"/>
        <w:rPr>
          <w:rFonts w:eastAsia="Calibri"/>
        </w:rPr>
      </w:pPr>
      <w:r w:rsidRPr="008B628A">
        <w:rPr>
          <w:rFonts w:eastAsia="Calibri"/>
        </w:rPr>
        <w:t>Primār</w:t>
      </w:r>
      <w:r w:rsidR="00C432CC">
        <w:rPr>
          <w:rFonts w:eastAsia="Calibri"/>
        </w:rPr>
        <w:t xml:space="preserve">ās enerģijas </w:t>
      </w:r>
      <w:r w:rsidRPr="008B628A">
        <w:rPr>
          <w:rFonts w:eastAsia="Calibri"/>
        </w:rPr>
        <w:t>patēriņa prognozes</w:t>
      </w:r>
    </w:p>
    <w:p w14:paraId="07925B74" w14:textId="77777777" w:rsidR="00E94F3D" w:rsidRPr="008B628A" w:rsidRDefault="00E94F3D" w:rsidP="00E94F3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 xml:space="preserve">Pamatojoties uz aprēķināto enerģijas galapatēriņa prognozi, tiek noteikts galapatēriņam bāzes scenārijā optimālākais risinājums (minimālas sistēmas kopējās izmaksas) pie spēkā esošiem pasākumiem un politikām primāro resursu bilancei līdz 2050.gadam. </w:t>
      </w:r>
    </w:p>
    <w:p w14:paraId="14CB2B23" w14:textId="77777777" w:rsidR="00E94F3D" w:rsidRPr="008B628A" w:rsidRDefault="00E94F3D" w:rsidP="00E94F3D">
      <w:pPr>
        <w:spacing w:before="120" w:after="120" w:line="240" w:lineRule="auto"/>
        <w:jc w:val="both"/>
        <w:rPr>
          <w:rFonts w:ascii="Times New Roman" w:hAnsi="Times New Roman" w:cs="Times New Roman"/>
        </w:rPr>
      </w:pPr>
      <w:r w:rsidRPr="008B628A">
        <w:rPr>
          <w:rFonts w:ascii="Times New Roman" w:hAnsi="Times New Roman" w:cs="Times New Roman"/>
          <w:szCs w:val="24"/>
          <w:lang w:eastAsia="lv-LV" w:bidi="en-US"/>
        </w:rPr>
        <w:t xml:space="preserve">Aprēķinātais primārās enerģijas patēriņš (ieskaitot elektroenerģijas importu) 2030.gadā ir par apmēram 3% mazāks nekā 2015.gadā. Galvenais iemesls šim samazinājumam ir enerģijas galapatēriņa samazināšanās mājsaimniecībās, pakalpojumu un komercsektorā un transportā. </w:t>
      </w:r>
      <w:r w:rsidRPr="008B628A">
        <w:rPr>
          <w:rFonts w:ascii="Times New Roman" w:hAnsi="Times New Roman" w:cs="Times New Roman"/>
        </w:rPr>
        <w:t>Lielākais samazinājums ir novērojams elektroenerģijas importa, dabasgāzes un naftas produktu patēriņā – 31,8%, 17,1% un 12,6% attiecīgi, kas ir izskaidrojams ar energoimporta samazinājuma nodrošināšanu un energopatēriņa nodrošinājumu ar vietējo saražoto enerģiju, kurināmā patēriņa samazinājumu enerģijas ražošanā un transportā, bet lielākais patēriņa pieaugums būs cietajam fosilajam kurināmajam un ne-biomasas AER – attiecīgi 52,8% un 46,1%, kas ir izskaidrojams ar apstrādes rūpniecības (īpaši, cementa ražošanas) apjomu pieaugumu un ne-biomasas AER tehnoloģiju plašāku izmantojumu Latvijā.</w:t>
      </w:r>
    </w:p>
    <w:p w14:paraId="5142A7D1" w14:textId="77777777" w:rsidR="00E94F3D" w:rsidRPr="008B628A" w:rsidRDefault="00E94F3D" w:rsidP="00E94F3D">
      <w:pPr>
        <w:spacing w:before="120" w:after="120" w:line="240" w:lineRule="auto"/>
        <w:jc w:val="both"/>
        <w:rPr>
          <w:rFonts w:ascii="Times New Roman" w:hAnsi="Times New Roman" w:cs="Times New Roman"/>
          <w:szCs w:val="24"/>
          <w:lang w:eastAsia="lv-LV" w:bidi="en-US"/>
        </w:rPr>
      </w:pPr>
      <w:r w:rsidRPr="008B628A">
        <w:rPr>
          <w:rFonts w:ascii="Times New Roman" w:hAnsi="Times New Roman" w:cs="Times New Roman"/>
          <w:szCs w:val="24"/>
          <w:lang w:eastAsia="lv-LV" w:bidi="en-US"/>
        </w:rPr>
        <w:t>Bāzes scenārijā netiek paredzētas būtiskas izmaiņas primārās enerģijas veidu struktūrā. Dabas gāzes un naftas produktu daļa katra samazinās par apmēram 3% punktiem kopējā primārās enerģijas patēriņā, bet  par apmēram 3% punktiem pieaug cietās biomasas daļa un par 2% punktiem pārējo (saules, vējš, hidro) AER veidu daļa kopējā primāro energoresursu patēriņā.</w:t>
      </w:r>
    </w:p>
    <w:p w14:paraId="052CEF6C" w14:textId="77777777" w:rsidR="00E94F3D" w:rsidRPr="008B628A" w:rsidRDefault="00E94F3D" w:rsidP="00E94F3D">
      <w:pPr>
        <w:pStyle w:val="paragraph"/>
        <w:spacing w:before="120" w:beforeAutospacing="0" w:after="120" w:afterAutospacing="0"/>
        <w:jc w:val="center"/>
        <w:textAlignment w:val="baseline"/>
      </w:pPr>
      <w:r w:rsidRPr="008B628A">
        <w:rPr>
          <w:noProof/>
        </w:rPr>
        <w:lastRenderedPageBreak/>
        <w:drawing>
          <wp:inline distT="0" distB="0" distL="0" distR="0" wp14:anchorId="4951F6CB" wp14:editId="6875A023">
            <wp:extent cx="4594639" cy="31649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913" cy="3171381"/>
                    </a:xfrm>
                    <a:prstGeom prst="rect">
                      <a:avLst/>
                    </a:prstGeom>
                    <a:noFill/>
                  </pic:spPr>
                </pic:pic>
              </a:graphicData>
            </a:graphic>
          </wp:inline>
        </w:drawing>
      </w:r>
    </w:p>
    <w:p w14:paraId="27E9A454" w14:textId="2C0C55A3" w:rsidR="00E94F3D" w:rsidRPr="008B628A" w:rsidRDefault="00E94F3D" w:rsidP="00E94F3D">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7" w:name="_Toc531333121"/>
      <w:r w:rsidR="006067D4">
        <w:rPr>
          <w:noProof/>
        </w:rPr>
        <w:t>38</w:t>
      </w:r>
      <w:r w:rsidRPr="008B628A">
        <w:rPr>
          <w:noProof/>
        </w:rPr>
        <w:fldChar w:fldCharType="end"/>
      </w:r>
      <w:r w:rsidRPr="008B628A">
        <w:t>.attēls. Primār</w:t>
      </w:r>
      <w:r w:rsidR="00C432CC">
        <w:t xml:space="preserve">ās enerģijas </w:t>
      </w:r>
      <w:r w:rsidRPr="008B628A">
        <w:t>patēriņš periodā līdz 2030.gadam</w:t>
      </w:r>
      <w:r w:rsidRPr="008B628A">
        <w:rPr>
          <w:rStyle w:val="FootnoteReference"/>
        </w:rPr>
        <w:footnoteReference w:id="204"/>
      </w:r>
      <w:r w:rsidRPr="008B628A">
        <w:t xml:space="preserve"> (PJ)</w:t>
      </w:r>
      <w:bookmarkEnd w:id="327"/>
    </w:p>
    <w:p w14:paraId="5D540196" w14:textId="5342F7F9" w:rsidR="00D1100B" w:rsidRPr="008B628A" w:rsidRDefault="00D1100B" w:rsidP="00D1100B">
      <w:pPr>
        <w:pStyle w:val="Heading4"/>
        <w:rPr>
          <w:lang w:eastAsia="lv-LV"/>
        </w:rPr>
      </w:pPr>
      <w:r w:rsidRPr="008B628A">
        <w:rPr>
          <w:lang w:eastAsia="lv-LV"/>
        </w:rPr>
        <w:t>Enerģijas galapatēriņa prognozes</w:t>
      </w:r>
    </w:p>
    <w:p w14:paraId="1461D1F9" w14:textId="52BF8D4D" w:rsidR="009A7542" w:rsidRPr="008B628A" w:rsidRDefault="009A7542" w:rsidP="004D69D2">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lang w:eastAsia="lv-LV"/>
        </w:rPr>
        <w:t>Izmantojot makroekonomisko prognozi un MARKAL-Latvija modeli ar enerģijas patēriņa prognožu aprēķināšanas metodi, ir aprēķināts enerģijas gala patēriņš līdz 2050.gadam</w:t>
      </w:r>
      <w:r w:rsidR="004D69D2" w:rsidRPr="008B628A">
        <w:rPr>
          <w:rFonts w:ascii="Times New Roman" w:hAnsi="Times New Roman" w:cs="Times New Roman"/>
          <w:szCs w:val="24"/>
          <w:lang w:eastAsia="lv-LV"/>
        </w:rPr>
        <w:t>.</w:t>
      </w:r>
    </w:p>
    <w:p w14:paraId="12B6722B" w14:textId="3614B51E" w:rsidR="009A7542" w:rsidRPr="008B628A" w:rsidRDefault="00EB08A5" w:rsidP="009A7542">
      <w:pPr>
        <w:pBdr>
          <w:top w:val="nil"/>
          <w:left w:val="nil"/>
          <w:bottom w:val="nil"/>
          <w:right w:val="nil"/>
          <w:between w:val="nil"/>
          <w:bar w:val="nil"/>
        </w:pBd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F930BBD" wp14:editId="3054274B">
            <wp:extent cx="4493006" cy="259791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1324" cy="2602723"/>
                    </a:xfrm>
                    <a:prstGeom prst="rect">
                      <a:avLst/>
                    </a:prstGeom>
                    <a:noFill/>
                  </pic:spPr>
                </pic:pic>
              </a:graphicData>
            </a:graphic>
          </wp:inline>
        </w:drawing>
      </w:r>
    </w:p>
    <w:p w14:paraId="25220723" w14:textId="15E3DD0F" w:rsidR="009A7542" w:rsidRPr="008B628A" w:rsidRDefault="009A7542" w:rsidP="009A7542">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8" w:name="_Toc531333118"/>
      <w:r w:rsidR="006067D4">
        <w:rPr>
          <w:noProof/>
        </w:rPr>
        <w:t>39</w:t>
      </w:r>
      <w:r w:rsidRPr="008B628A">
        <w:rPr>
          <w:noProof/>
        </w:rPr>
        <w:fldChar w:fldCharType="end"/>
      </w:r>
      <w:r w:rsidRPr="008B628A">
        <w:t>.attēls. Enerģijas galapatēriņa prognoze bāzes scenārijā periodā līdz 20</w:t>
      </w:r>
      <w:r w:rsidR="00A66A4B" w:rsidRPr="008B628A">
        <w:t>3</w:t>
      </w:r>
      <w:r w:rsidRPr="008B628A">
        <w:t>0.gadam</w:t>
      </w:r>
      <w:r w:rsidRPr="008B628A">
        <w:rPr>
          <w:rStyle w:val="FootnoteReference"/>
        </w:rPr>
        <w:footnoteReference w:id="205"/>
      </w:r>
      <w:r w:rsidRPr="008B628A">
        <w:t xml:space="preserve"> (PJ)</w:t>
      </w:r>
      <w:bookmarkEnd w:id="328"/>
    </w:p>
    <w:p w14:paraId="69F9C21E" w14:textId="2CEBFBF4" w:rsidR="004D69D2" w:rsidRPr="008B628A" w:rsidRDefault="004D69D2" w:rsidP="004D69D2">
      <w:pPr>
        <w:spacing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Aprēķinātās enerģijas gala patēriņa prognozes paredz, ka 2030.gadā galvenie enerģijas patēriņa sektori būs transports un rūpniecība, kas attiecīgi patērēs 25,3% un 25,5% no kopējā enerģijas gala patēriņa. Mājsaimniecības patērēs 24% un pakalpojumu sektors 15,6%, bet atlikušo patērēs lauksaimniecības sektors un ne-enerģētiskām vajadzībām.</w:t>
      </w:r>
    </w:p>
    <w:p w14:paraId="2D98F235" w14:textId="6E1A09A7" w:rsidR="004D69D2" w:rsidRPr="008B628A" w:rsidRDefault="004D69D2" w:rsidP="004D69D2">
      <w:pPr>
        <w:spacing w:after="120" w:line="240" w:lineRule="auto"/>
        <w:jc w:val="both"/>
        <w:rPr>
          <w:rFonts w:ascii="Times New Roman" w:hAnsi="Times New Roman" w:cs="Times New Roman"/>
          <w:szCs w:val="24"/>
          <w:lang w:eastAsia="lv-LV"/>
        </w:rPr>
      </w:pPr>
      <w:r w:rsidRPr="008B628A">
        <w:rPr>
          <w:rFonts w:ascii="Times New Roman" w:hAnsi="Times New Roman" w:cs="Times New Roman"/>
        </w:rPr>
        <w:t xml:space="preserve">Ņemot vērā esošās noteiktās rīcībpolitikas un īstenotos pasākums bāzes scenārijā (scenārijā ar esošajiem pasākumiem) kopējais enerģijas galapatēriņa apjoms Latvijā samazināsies par apmēram 6,1% periodā no 2015.gada līdz 2030.gadam. </w:t>
      </w:r>
      <w:r w:rsidRPr="008B628A">
        <w:rPr>
          <w:rFonts w:ascii="Times New Roman" w:hAnsi="Times New Roman" w:cs="Times New Roman"/>
          <w:szCs w:val="24"/>
          <w:lang w:eastAsia="lv-LV"/>
        </w:rPr>
        <w:t xml:space="preserve">Būtiskāko enerģijas patēriņa pieaugumu 2030.gadā, salīdzinot ar 2016.gadu,  enerģijas gala patēriņa prognoze paredz rūpniecības sektorā (3,6 PJ), ko nosaka pieņēmumi par ikgadējo pievienotās vērtības pieauguma tempu visā periodā. Tajā pašā </w:t>
      </w:r>
      <w:r w:rsidRPr="008B628A">
        <w:rPr>
          <w:rFonts w:ascii="Times New Roman" w:hAnsi="Times New Roman" w:cs="Times New Roman"/>
          <w:szCs w:val="24"/>
          <w:lang w:eastAsia="lv-LV"/>
        </w:rPr>
        <w:lastRenderedPageBreak/>
        <w:t>laikā pārējos sektors, izņemot lauksaimniecību,  tiek prognozēts enerģijas galapatēriņa samazinājums. Šo tendenci nosaka pieņēmumi par ener</w:t>
      </w:r>
      <w:r w:rsidR="00E16FD8">
        <w:rPr>
          <w:rFonts w:ascii="Times New Roman" w:hAnsi="Times New Roman" w:cs="Times New Roman"/>
          <w:szCs w:val="24"/>
          <w:lang w:eastAsia="lv-LV"/>
        </w:rPr>
        <w:t>goe</w:t>
      </w:r>
      <w:r w:rsidRPr="008B628A">
        <w:rPr>
          <w:rFonts w:ascii="Times New Roman" w:hAnsi="Times New Roman" w:cs="Times New Roman"/>
          <w:szCs w:val="24"/>
          <w:lang w:eastAsia="lv-LV"/>
        </w:rPr>
        <w:t>fektivitātes politikas īstenošanu un prognozes par iedzīvotāju skaita samazināšanos uz 2030. un 2050. gadu.</w:t>
      </w:r>
    </w:p>
    <w:p w14:paraId="4DF04659" w14:textId="1A8F92A6" w:rsidR="004D69D2" w:rsidRPr="008B628A" w:rsidRDefault="004D69D2" w:rsidP="004D69D2">
      <w:pPr>
        <w:spacing w:after="120" w:line="240" w:lineRule="auto"/>
        <w:jc w:val="both"/>
        <w:rPr>
          <w:rFonts w:ascii="Times New Roman" w:hAnsi="Times New Roman" w:cs="Times New Roman"/>
          <w:szCs w:val="24"/>
        </w:rPr>
      </w:pPr>
      <w:r w:rsidRPr="008B628A">
        <w:rPr>
          <w:rFonts w:ascii="Times New Roman" w:hAnsi="Times New Roman" w:cs="Times New Roman"/>
          <w:szCs w:val="24"/>
          <w:lang w:eastAsia="lv-LV"/>
        </w:rPr>
        <w:t xml:space="preserve">Jāatzīmē, ka līdz 2030.gadam bāzes scenārijā elektroenerģijas daļa kopējā enerģijas gala patēriņā pieaug par apmēram 3% punktiem. Tajā pašā laikā, ņemot vērā automašīnu efektivitātes paaugstināšanos un elektrotransporta plašākas izmantošanu, enerģijas patēriņa daļa transportā samazinās. </w:t>
      </w:r>
      <w:r w:rsidRPr="008B628A">
        <w:rPr>
          <w:rFonts w:ascii="Times New Roman" w:hAnsi="Times New Roman" w:cs="Times New Roman"/>
          <w:szCs w:val="24"/>
        </w:rPr>
        <w:t>Elektroenerģijas kopējais patēriņš palielinās līdz 2030.gadam par apmēram 11%, salīdzinot ar 2016.gadu, galvenokārt dēļ elektroenerģijas patēriņa pieauguma rūpniecībā un transportā. Prognozes paredz, ka laika periodā  2030. – 2050.gads elektroenerģijas patēriņš turpina pieaugt. Šo tendenci nosaka elektroenerģijas plašāka izmantošana ne tikai transportā, bet arī citos sektoros, piemēram, atsevišķos gadījumos arī siltumapgādē.</w:t>
      </w:r>
    </w:p>
    <w:p w14:paraId="533252CF" w14:textId="0E55798A" w:rsidR="007E0115" w:rsidRPr="008B628A" w:rsidRDefault="005203D0" w:rsidP="007E0115">
      <w:pPr>
        <w:spacing w:before="120" w:after="120" w:line="240" w:lineRule="auto"/>
        <w:jc w:val="center"/>
        <w:rPr>
          <w:rFonts w:cstheme="minorHAnsi"/>
          <w:szCs w:val="24"/>
        </w:rPr>
      </w:pPr>
      <w:r>
        <w:rPr>
          <w:rFonts w:cstheme="minorHAnsi"/>
          <w:noProof/>
          <w:szCs w:val="24"/>
          <w:lang w:eastAsia="lv-LV"/>
        </w:rPr>
        <w:drawing>
          <wp:inline distT="0" distB="0" distL="0" distR="0" wp14:anchorId="36BF6ED3" wp14:editId="00380AE9">
            <wp:extent cx="4555497" cy="273524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62" cy="2745195"/>
                    </a:xfrm>
                    <a:prstGeom prst="rect">
                      <a:avLst/>
                    </a:prstGeom>
                    <a:noFill/>
                  </pic:spPr>
                </pic:pic>
              </a:graphicData>
            </a:graphic>
          </wp:inline>
        </w:drawing>
      </w:r>
    </w:p>
    <w:p w14:paraId="4C9FBE78" w14:textId="46590D03" w:rsidR="007E0115" w:rsidRPr="008B628A" w:rsidRDefault="00A44CF8" w:rsidP="007E0115">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9" w:name="_Toc531333119"/>
      <w:r w:rsidR="006067D4">
        <w:rPr>
          <w:noProof/>
        </w:rPr>
        <w:t>40</w:t>
      </w:r>
      <w:r w:rsidRPr="008B628A">
        <w:rPr>
          <w:noProof/>
        </w:rPr>
        <w:fldChar w:fldCharType="end"/>
      </w:r>
      <w:r w:rsidR="007E0115" w:rsidRPr="008B628A">
        <w:t>.attēls. Kopējā elektroenerģijas patēriņa prognoze bāzes scenārijā līdz 2050.gadam (GWh)</w:t>
      </w:r>
      <w:r w:rsidR="007E0115" w:rsidRPr="008B628A">
        <w:rPr>
          <w:rStyle w:val="FootnoteReference"/>
        </w:rPr>
        <w:footnoteReference w:id="206"/>
      </w:r>
      <w:bookmarkEnd w:id="329"/>
    </w:p>
    <w:p w14:paraId="254E5ACE" w14:textId="5FBAEF48" w:rsidR="004D69D2" w:rsidRPr="008B628A" w:rsidRDefault="004D69D2" w:rsidP="004D69D2">
      <w:pPr>
        <w:spacing w:before="120" w:after="120" w:line="240" w:lineRule="auto"/>
        <w:jc w:val="both"/>
        <w:rPr>
          <w:rFonts w:ascii="Times New Roman" w:hAnsi="Times New Roman" w:cs="Times New Roman"/>
          <w:szCs w:val="24"/>
          <w:lang w:eastAsia="lv-LV" w:bidi="en-US"/>
        </w:rPr>
      </w:pPr>
      <w:r w:rsidRPr="008B628A">
        <w:rPr>
          <w:rFonts w:ascii="Times New Roman" w:hAnsi="Times New Roman" w:cs="Times New Roman"/>
          <w:szCs w:val="24"/>
          <w:lang w:eastAsia="lv-LV" w:bidi="en-US"/>
        </w:rPr>
        <w:t xml:space="preserve">Aprēķinātais enerģijas galapatēriņš (ieskaitot centrālo siltumapgādes un elektroenerģijas patēriņu) sadalījumā pa izmantotajiem energoresursiem 2030.gadā ir par apmēram 4,9% mazāks nekā 2015.gadā, kur lielākais samazinājums ir novērojams cietās biomasas un naftas produktu patēriņā – attiecīgi 18,9% un 13,7%, bet lielākais palielinājums ir novērojams gāzveida biomasas, cietā fosilā kurināmā un dabasgāzes patēriņā – attiecīgi 152,8%, 44,2% un 19,5%. </w:t>
      </w:r>
    </w:p>
    <w:p w14:paraId="4CF250E2" w14:textId="5C87E606" w:rsidR="007E0115" w:rsidRPr="008B628A" w:rsidRDefault="005203D0" w:rsidP="007E0115">
      <w:pPr>
        <w:spacing w:before="120" w:after="120" w:line="240" w:lineRule="auto"/>
        <w:jc w:val="center"/>
        <w:rPr>
          <w:rFonts w:ascii="Times New Roman" w:hAnsi="Times New Roman" w:cs="Times New Roman"/>
          <w:szCs w:val="24"/>
          <w:lang w:eastAsia="lv-LV"/>
        </w:rPr>
      </w:pPr>
      <w:r>
        <w:rPr>
          <w:rFonts w:ascii="Times New Roman" w:hAnsi="Times New Roman" w:cs="Times New Roman"/>
          <w:noProof/>
          <w:szCs w:val="24"/>
          <w:lang w:eastAsia="lv-LV"/>
        </w:rPr>
        <w:drawing>
          <wp:inline distT="0" distB="0" distL="0" distR="0" wp14:anchorId="75D8E92C" wp14:editId="2E1DA476">
            <wp:extent cx="4677465" cy="27844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6432" cy="2789777"/>
                    </a:xfrm>
                    <a:prstGeom prst="rect">
                      <a:avLst/>
                    </a:prstGeom>
                    <a:noFill/>
                  </pic:spPr>
                </pic:pic>
              </a:graphicData>
            </a:graphic>
          </wp:inline>
        </w:drawing>
      </w:r>
    </w:p>
    <w:p w14:paraId="0715BB82" w14:textId="0E37E066" w:rsidR="007E0115" w:rsidRPr="008B628A" w:rsidRDefault="007E0115" w:rsidP="007E0115">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330" w:name="_Toc531333120"/>
      <w:r w:rsidR="006067D4">
        <w:rPr>
          <w:noProof/>
        </w:rPr>
        <w:t>41</w:t>
      </w:r>
      <w:r w:rsidRPr="008B628A">
        <w:rPr>
          <w:noProof/>
        </w:rPr>
        <w:fldChar w:fldCharType="end"/>
      </w:r>
      <w:r w:rsidRPr="008B628A">
        <w:t>.attēls. Ener</w:t>
      </w:r>
      <w:r w:rsidR="00C432CC">
        <w:t xml:space="preserve">ģijas </w:t>
      </w:r>
      <w:r w:rsidRPr="008B628A">
        <w:t>galapatēriņa prognoze bāzes scenārijā līdz 20</w:t>
      </w:r>
      <w:r w:rsidR="00412831" w:rsidRPr="008B628A">
        <w:t>3</w:t>
      </w:r>
      <w:r w:rsidRPr="008B628A">
        <w:t>0.gadam</w:t>
      </w:r>
      <w:r w:rsidRPr="008B628A">
        <w:rPr>
          <w:rStyle w:val="FootnoteReference"/>
        </w:rPr>
        <w:footnoteReference w:id="207"/>
      </w:r>
      <w:r w:rsidRPr="008B628A">
        <w:t xml:space="preserve"> (PJ)</w:t>
      </w:r>
      <w:bookmarkEnd w:id="330"/>
    </w:p>
    <w:p w14:paraId="43E758FF" w14:textId="21292C35" w:rsidR="00101BAF" w:rsidRPr="008B628A" w:rsidRDefault="00101BAF" w:rsidP="00101BA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Izveidotais bāzes scenārijs paredz mērenus ekonomiskas ikgadējos pieaugumus pēc 2023.gada un tas savā ziņā nozīmē, ka uzņēmumi nevarēs ieguldīt pietiekoši lielus līdzekļus modernizācijā un iekārtu nomaiņā, kas sekmēs </w:t>
      </w:r>
      <w:r w:rsidR="00E16FD8">
        <w:rPr>
          <w:rFonts w:ascii="Times New Roman" w:hAnsi="Times New Roman" w:cs="Times New Roman"/>
          <w:szCs w:val="24"/>
        </w:rPr>
        <w:t>energo</w:t>
      </w:r>
      <w:r w:rsidRPr="008B628A">
        <w:rPr>
          <w:rFonts w:ascii="Times New Roman" w:hAnsi="Times New Roman" w:cs="Times New Roman"/>
          <w:szCs w:val="24"/>
        </w:rPr>
        <w:t xml:space="preserve">efektivitātes strauju uzlabošanos. Līdz ar to </w:t>
      </w:r>
      <w:r w:rsidR="00E16FD8">
        <w:rPr>
          <w:rFonts w:ascii="Times New Roman" w:hAnsi="Times New Roman" w:cs="Times New Roman"/>
          <w:szCs w:val="24"/>
        </w:rPr>
        <w:t>b</w:t>
      </w:r>
      <w:r w:rsidRPr="008B628A">
        <w:rPr>
          <w:rFonts w:ascii="Times New Roman" w:hAnsi="Times New Roman" w:cs="Times New Roman"/>
          <w:szCs w:val="24"/>
        </w:rPr>
        <w:t>āzes scenārijs paredz vienmērīgu ener</w:t>
      </w:r>
      <w:r w:rsidR="00E16FD8">
        <w:rPr>
          <w:rFonts w:ascii="Times New Roman" w:hAnsi="Times New Roman" w:cs="Times New Roman"/>
          <w:szCs w:val="24"/>
        </w:rPr>
        <w:t>go</w:t>
      </w:r>
      <w:r w:rsidRPr="008B628A">
        <w:rPr>
          <w:rFonts w:ascii="Times New Roman" w:hAnsi="Times New Roman" w:cs="Times New Roman"/>
          <w:szCs w:val="24"/>
        </w:rPr>
        <w:t>efektivitātes uzlabošanos līdz 2030.gadam. Vidējie ener</w:t>
      </w:r>
      <w:r w:rsidR="00E16FD8">
        <w:rPr>
          <w:rFonts w:ascii="Times New Roman" w:hAnsi="Times New Roman" w:cs="Times New Roman"/>
          <w:szCs w:val="24"/>
        </w:rPr>
        <w:t>go</w:t>
      </w:r>
      <w:r w:rsidRPr="008B628A">
        <w:rPr>
          <w:rFonts w:ascii="Times New Roman" w:hAnsi="Times New Roman" w:cs="Times New Roman"/>
          <w:szCs w:val="24"/>
        </w:rPr>
        <w:t>efektivitātes paaugstināšanās tempi laika periodā no 2020. – līdz 2030.gads gadam būs mazliet straujāki nekā laika periodā 2000. – 2015.gads.</w:t>
      </w:r>
    </w:p>
    <w:p w14:paraId="79CA136B" w14:textId="25E1774E" w:rsidR="00101BAF" w:rsidRPr="008B628A" w:rsidRDefault="00101BAF" w:rsidP="00101BA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Lielāko devumu enerģijas patēriņa ietaupījumā dod mājsaimniecības (50% no kopējā ietaupījuma) un pakalpojumu sektors (28% no kopējā ietaupījuma), bet pārējo rūpniecības un transporta sektors. Jāatzīmē, ka lai jau </w:t>
      </w:r>
      <w:r w:rsidR="00E16FD8">
        <w:rPr>
          <w:rFonts w:ascii="Times New Roman" w:hAnsi="Times New Roman" w:cs="Times New Roman"/>
          <w:szCs w:val="24"/>
        </w:rPr>
        <w:t>b</w:t>
      </w:r>
      <w:r w:rsidRPr="008B628A">
        <w:rPr>
          <w:rFonts w:ascii="Times New Roman" w:hAnsi="Times New Roman" w:cs="Times New Roman"/>
          <w:szCs w:val="24"/>
        </w:rPr>
        <w:t>āzes scenārijā šie ener</w:t>
      </w:r>
      <w:r w:rsidR="00E16FD8">
        <w:rPr>
          <w:rFonts w:ascii="Times New Roman" w:hAnsi="Times New Roman" w:cs="Times New Roman"/>
          <w:szCs w:val="24"/>
        </w:rPr>
        <w:t>go</w:t>
      </w:r>
      <w:r w:rsidRPr="008B628A">
        <w:rPr>
          <w:rFonts w:ascii="Times New Roman" w:hAnsi="Times New Roman" w:cs="Times New Roman"/>
          <w:szCs w:val="24"/>
        </w:rPr>
        <w:t>efektivitātes pasākumi tiktu īstenoti, ir jāīsteno politika, kas likvidē vai samazina barjeras patērētāju ener</w:t>
      </w:r>
      <w:r w:rsidR="00E16FD8">
        <w:rPr>
          <w:rFonts w:ascii="Times New Roman" w:hAnsi="Times New Roman" w:cs="Times New Roman"/>
          <w:szCs w:val="24"/>
        </w:rPr>
        <w:t>go</w:t>
      </w:r>
      <w:r w:rsidRPr="008B628A">
        <w:rPr>
          <w:rFonts w:ascii="Times New Roman" w:hAnsi="Times New Roman" w:cs="Times New Roman"/>
          <w:szCs w:val="24"/>
        </w:rPr>
        <w:t>efektivitātes pasākumu aktīvākai īstenošanā. Ja pasākumi mājsaimniecībās un pakalpojumu sektorā galvenokārt ir virzīti uz enerģijas patēriņa samazināšanu ēku apsildei (ēku renovācija), tad transportā pasākumi paredz straujāku esošā autotransporta kopas nomaiņu uz efektīvāku, tajā skaitā elektrotransportu. Piemēram, akcīzes nodokļa palielināšana fosilām degvielām, varētu būt kā viena no politikām, kas sekmē straujāku šādu energoefektīvāku automašīnu ienākšanu apritē.</w:t>
      </w:r>
    </w:p>
    <w:p w14:paraId="3A82D120" w14:textId="7D68F86A" w:rsidR="00E941BD" w:rsidRPr="008B628A" w:rsidRDefault="00E941BD" w:rsidP="00101BAF">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Novērtējot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sektoros un pa enerģijas veidiem var secināt, ka mājsaimniecībās, īstenojot pieejamo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elektroenerģijas patēriņā, var ietaupīt līdz 20% no esošā patēriņa. Pakalpojumu sektorā var ietaupīt līdz 16% no esošā elektroenerģijas patēriņa. Papildus šajos sektoros vēl ir apgūstams enerģijas ietaupījuma potenciāls, īstenojot ēku renovāciju.</w:t>
      </w:r>
    </w:p>
    <w:p w14:paraId="479D940A" w14:textId="147BA336" w:rsidR="00E941BD" w:rsidRPr="008B628A" w:rsidRDefault="00E941BD" w:rsidP="00E941BD">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Apstrādājošās rūpniecības nozarēs turpinot aktīvāk īstenot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pasākumus var ietaupīt līdz 25% no patreizējā elektroenerģijas patēriņa un līdz pat 30% no kurināmā patēriņa. Jāatzīmē, ka šie un arī pārējos sektoros uzrādītie novērtējumi parāda teorētiski pieejamo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nevis ekonomisko. Tas nozīmē, ka lai īstenoto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pasākumus pilnā apmērā, ir nepieciešama uz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paaugstināšanu virzītas politikas īstenošana.</w:t>
      </w:r>
    </w:p>
    <w:p w14:paraId="620F5844" w14:textId="481B8B00" w:rsidR="006C746B" w:rsidRPr="008B628A" w:rsidRDefault="006C746B" w:rsidP="005F59CE">
      <w:pPr>
        <w:pStyle w:val="Heading3"/>
      </w:pPr>
      <w:bookmarkStart w:id="331" w:name="_Toc520978876"/>
      <w:bookmarkStart w:id="332" w:name="_Toc527529553"/>
      <w:r w:rsidRPr="008B628A">
        <w:rPr>
          <w:rStyle w:val="normaltextrun"/>
        </w:rPr>
        <w:t>Izmaksu efektīvs minimālais prasību līmenis</w:t>
      </w:r>
      <w:bookmarkEnd w:id="331"/>
      <w:bookmarkEnd w:id="332"/>
      <w:r w:rsidRPr="008B628A">
        <w:rPr>
          <w:rStyle w:val="eop"/>
        </w:rPr>
        <w:t> </w:t>
      </w:r>
    </w:p>
    <w:p w14:paraId="7DB91A2E" w14:textId="3EFB3832" w:rsidR="00B764D5" w:rsidRPr="008B628A" w:rsidRDefault="00E94F3D" w:rsidP="006F546A">
      <w:pPr>
        <w:pStyle w:val="paragraph"/>
        <w:spacing w:before="120" w:beforeAutospacing="0" w:after="120" w:afterAutospacing="0"/>
        <w:jc w:val="both"/>
        <w:textAlignment w:val="baseline"/>
        <w:rPr>
          <w:i/>
        </w:rPr>
      </w:pPr>
      <w:r w:rsidRPr="008B628A">
        <w:rPr>
          <w:i/>
        </w:rPr>
        <w:t>Tiks papildināts Plāna galaversijā</w:t>
      </w:r>
    </w:p>
    <w:p w14:paraId="58F7950B" w14:textId="77777777" w:rsidR="00581156" w:rsidRPr="008B628A" w:rsidRDefault="00581156" w:rsidP="006F546A">
      <w:pPr>
        <w:spacing w:before="120" w:after="120" w:line="240" w:lineRule="auto"/>
        <w:rPr>
          <w:rFonts w:ascii="Times New Roman" w:hAnsi="Times New Roman" w:cs="Times New Roman"/>
        </w:rPr>
      </w:pPr>
    </w:p>
    <w:p w14:paraId="2F5614BC" w14:textId="35A7AB54" w:rsidR="00581156" w:rsidRPr="008B628A" w:rsidRDefault="00347B4E" w:rsidP="00C25301">
      <w:pPr>
        <w:pStyle w:val="Heading2"/>
        <w:jc w:val="both"/>
      </w:pPr>
      <w:bookmarkStart w:id="333" w:name="_Toc520978877"/>
      <w:bookmarkStart w:id="334" w:name="_Toc527529554"/>
      <w:bookmarkStart w:id="335" w:name="_Toc532910016"/>
      <w:r>
        <w:t>E</w:t>
      </w:r>
      <w:r w:rsidR="00581156" w:rsidRPr="008B628A">
        <w:t>nerģētiskā drošība</w:t>
      </w:r>
      <w:bookmarkEnd w:id="333"/>
      <w:bookmarkEnd w:id="334"/>
      <w:bookmarkEnd w:id="335"/>
      <w:r w:rsidR="00581156" w:rsidRPr="008B628A">
        <w:t xml:space="preserve"> </w:t>
      </w:r>
    </w:p>
    <w:p w14:paraId="30EC8CC5" w14:textId="59CC0DA4" w:rsidR="00581156" w:rsidRPr="008B628A" w:rsidRDefault="00581156" w:rsidP="005F59CE">
      <w:pPr>
        <w:pStyle w:val="Heading3"/>
      </w:pPr>
      <w:bookmarkStart w:id="336" w:name="_Toc520978878"/>
      <w:bookmarkStart w:id="337" w:name="_Toc527529555"/>
      <w:r w:rsidRPr="008B628A">
        <w:t>Esošā situācija</w:t>
      </w:r>
      <w:bookmarkEnd w:id="336"/>
      <w:bookmarkEnd w:id="337"/>
      <w:r w:rsidRPr="008B628A">
        <w:t xml:space="preserve"> </w:t>
      </w:r>
    </w:p>
    <w:p w14:paraId="043435B5" w14:textId="5DA5D760" w:rsidR="00FE072E" w:rsidRPr="008B628A" w:rsidRDefault="00FE072E" w:rsidP="00C25301">
      <w:pPr>
        <w:spacing w:before="120" w:after="120" w:line="240" w:lineRule="auto"/>
        <w:jc w:val="both"/>
        <w:rPr>
          <w:rFonts w:ascii="Times New Roman" w:hAnsi="Times New Roman" w:cs="Times New Roman"/>
        </w:rPr>
      </w:pPr>
      <w:r w:rsidRPr="008B628A">
        <w:rPr>
          <w:rFonts w:ascii="Times New Roman" w:hAnsi="Times New Roman" w:cs="Times New Roman"/>
        </w:rPr>
        <w:t>Enerģētiskās drošības nosacījuma izpildi vislabāk raksturo tas, cik daudz energoresursu Latvija spēj saražot pati (valstī iekšienē)</w:t>
      </w:r>
      <w:r w:rsidR="00C25301" w:rsidRPr="008B628A">
        <w:rPr>
          <w:rFonts w:ascii="Times New Roman" w:hAnsi="Times New Roman" w:cs="Times New Roman"/>
        </w:rPr>
        <w:t xml:space="preserve"> un cik daudz energoresursu ir nepieciešams importēt, kā arī tas, no cik daudz dažādiem avotiem energoresursi tiek importēti</w:t>
      </w:r>
      <w:r w:rsidRPr="008B628A">
        <w:rPr>
          <w:rFonts w:ascii="Times New Roman" w:hAnsi="Times New Roman" w:cs="Times New Roman"/>
        </w:rPr>
        <w:t>.</w:t>
      </w:r>
    </w:p>
    <w:p w14:paraId="6268C82F" w14:textId="581BDBB7" w:rsidR="00C2530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338" w:name="_Toc531333155"/>
      <w:r w:rsidR="006067D4">
        <w:rPr>
          <w:noProof/>
        </w:rPr>
        <w:t>13</w:t>
      </w:r>
      <w:r w:rsidRPr="008B628A">
        <w:rPr>
          <w:noProof/>
        </w:rPr>
        <w:fldChar w:fldCharType="end"/>
      </w:r>
      <w:r w:rsidR="00C25301" w:rsidRPr="008B628A">
        <w:t>.tabula. Latvijā saražotās elektroenerģijas apjoms 2016.-2017.g. (MWh)</w:t>
      </w:r>
      <w:r w:rsidR="00C25301" w:rsidRPr="008B628A">
        <w:rPr>
          <w:rStyle w:val="FootnoteReference"/>
        </w:rPr>
        <w:footnoteReference w:id="208"/>
      </w:r>
      <w:bookmarkEnd w:id="33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660"/>
        <w:gridCol w:w="1660"/>
        <w:gridCol w:w="2074"/>
      </w:tblGrid>
      <w:tr w:rsidR="00C25301" w:rsidRPr="008B628A" w14:paraId="7A417598" w14:textId="77777777" w:rsidTr="001832C4">
        <w:trPr>
          <w:trHeight w:val="613"/>
        </w:trPr>
        <w:tc>
          <w:tcPr>
            <w:tcW w:w="4240" w:type="dxa"/>
            <w:shd w:val="clear" w:color="auto" w:fill="F2F2F2" w:themeFill="background1" w:themeFillShade="F2"/>
            <w:noWrap/>
            <w:vAlign w:val="center"/>
            <w:hideMark/>
          </w:tcPr>
          <w:p w14:paraId="5BC24594" w14:textId="77777777" w:rsidR="00C25301" w:rsidRPr="008B628A" w:rsidRDefault="00C25301" w:rsidP="00C25301">
            <w:pPr>
              <w:spacing w:after="0" w:line="240" w:lineRule="auto"/>
              <w:rPr>
                <w:rFonts w:ascii="Times New Roman" w:hAnsi="Times New Roman" w:cs="Times New Roman"/>
                <w:b/>
              </w:rPr>
            </w:pPr>
            <w:r w:rsidRPr="008B628A">
              <w:rPr>
                <w:rFonts w:ascii="Times New Roman" w:hAnsi="Times New Roman" w:cs="Times New Roman"/>
                <w:b/>
              </w:rPr>
              <w:t>Latvijā saražotā elektroenerģija</w:t>
            </w:r>
          </w:p>
        </w:tc>
        <w:tc>
          <w:tcPr>
            <w:tcW w:w="1660" w:type="dxa"/>
            <w:shd w:val="clear" w:color="auto" w:fill="F2F2F2" w:themeFill="background1" w:themeFillShade="F2"/>
            <w:vAlign w:val="center"/>
          </w:tcPr>
          <w:p w14:paraId="6648F96A"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2016</w:t>
            </w:r>
          </w:p>
          <w:p w14:paraId="49077ED6" w14:textId="18954043"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(MWh)</w:t>
            </w:r>
          </w:p>
        </w:tc>
        <w:tc>
          <w:tcPr>
            <w:tcW w:w="1660" w:type="dxa"/>
            <w:shd w:val="clear" w:color="auto" w:fill="F2F2F2" w:themeFill="background1" w:themeFillShade="F2"/>
            <w:noWrap/>
            <w:vAlign w:val="center"/>
            <w:hideMark/>
          </w:tcPr>
          <w:p w14:paraId="0F8A50FF"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2017</w:t>
            </w:r>
          </w:p>
          <w:p w14:paraId="46F432D4" w14:textId="6643A8D8"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(MWh)</w:t>
            </w:r>
          </w:p>
        </w:tc>
        <w:tc>
          <w:tcPr>
            <w:tcW w:w="2074" w:type="dxa"/>
            <w:shd w:val="clear" w:color="auto" w:fill="F2F2F2" w:themeFill="background1" w:themeFillShade="F2"/>
            <w:vAlign w:val="center"/>
            <w:hideMark/>
          </w:tcPr>
          <w:p w14:paraId="404DCFAB"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Izmaiņas</w:t>
            </w:r>
          </w:p>
          <w:p w14:paraId="214ED6B8" w14:textId="7EDA93FB"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(2016.-2017.)</w:t>
            </w:r>
          </w:p>
        </w:tc>
      </w:tr>
      <w:tr w:rsidR="00C25301" w:rsidRPr="008B628A" w14:paraId="2782835A" w14:textId="77777777" w:rsidTr="00C25301">
        <w:trPr>
          <w:trHeight w:val="300"/>
        </w:trPr>
        <w:tc>
          <w:tcPr>
            <w:tcW w:w="4240" w:type="dxa"/>
            <w:shd w:val="clear" w:color="auto" w:fill="auto"/>
            <w:noWrap/>
            <w:vAlign w:val="center"/>
            <w:hideMark/>
          </w:tcPr>
          <w:p w14:paraId="3C493564" w14:textId="528A983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HES</w:t>
            </w:r>
          </w:p>
        </w:tc>
        <w:tc>
          <w:tcPr>
            <w:tcW w:w="1660" w:type="dxa"/>
            <w:vAlign w:val="center"/>
          </w:tcPr>
          <w:p w14:paraId="04BA72A6" w14:textId="286A50E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2 436 885</w:t>
            </w:r>
          </w:p>
        </w:tc>
        <w:tc>
          <w:tcPr>
            <w:tcW w:w="1660" w:type="dxa"/>
            <w:shd w:val="clear" w:color="auto" w:fill="auto"/>
            <w:noWrap/>
            <w:vAlign w:val="center"/>
            <w:hideMark/>
          </w:tcPr>
          <w:p w14:paraId="5F9209D4" w14:textId="3F99A77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4 246 004</w:t>
            </w:r>
          </w:p>
        </w:tc>
        <w:tc>
          <w:tcPr>
            <w:tcW w:w="2074" w:type="dxa"/>
            <w:shd w:val="clear" w:color="auto" w:fill="auto"/>
            <w:noWrap/>
            <w:vAlign w:val="center"/>
            <w:hideMark/>
          </w:tcPr>
          <w:p w14:paraId="008FF551"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74%</w:t>
            </w:r>
          </w:p>
        </w:tc>
      </w:tr>
      <w:tr w:rsidR="00C25301" w:rsidRPr="008B628A" w14:paraId="6120C4A6" w14:textId="77777777" w:rsidTr="00C25301">
        <w:trPr>
          <w:trHeight w:val="300"/>
        </w:trPr>
        <w:tc>
          <w:tcPr>
            <w:tcW w:w="4240" w:type="dxa"/>
            <w:shd w:val="clear" w:color="auto" w:fill="auto"/>
            <w:noWrap/>
            <w:vAlign w:val="center"/>
            <w:hideMark/>
          </w:tcPr>
          <w:p w14:paraId="54F5D19F" w14:textId="7777777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Termoelektrostacijās</w:t>
            </w:r>
          </w:p>
        </w:tc>
        <w:tc>
          <w:tcPr>
            <w:tcW w:w="1660" w:type="dxa"/>
            <w:vAlign w:val="center"/>
          </w:tcPr>
          <w:p w14:paraId="784A3B24" w14:textId="11AE6D4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2 276 264</w:t>
            </w:r>
          </w:p>
        </w:tc>
        <w:tc>
          <w:tcPr>
            <w:tcW w:w="1660" w:type="dxa"/>
            <w:shd w:val="clear" w:color="auto" w:fill="auto"/>
            <w:noWrap/>
            <w:vAlign w:val="center"/>
            <w:hideMark/>
          </w:tcPr>
          <w:p w14:paraId="7577B29D" w14:textId="7FCD0BCA"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1 499 672</w:t>
            </w:r>
          </w:p>
        </w:tc>
        <w:tc>
          <w:tcPr>
            <w:tcW w:w="2074" w:type="dxa"/>
            <w:shd w:val="clear" w:color="auto" w:fill="auto"/>
            <w:noWrap/>
            <w:vAlign w:val="center"/>
            <w:hideMark/>
          </w:tcPr>
          <w:p w14:paraId="0C0C1E22"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-34%</w:t>
            </w:r>
          </w:p>
        </w:tc>
      </w:tr>
      <w:tr w:rsidR="00C25301" w:rsidRPr="008B628A" w14:paraId="3904CB05" w14:textId="77777777" w:rsidTr="00C25301">
        <w:trPr>
          <w:trHeight w:val="300"/>
        </w:trPr>
        <w:tc>
          <w:tcPr>
            <w:tcW w:w="4240" w:type="dxa"/>
            <w:shd w:val="clear" w:color="auto" w:fill="auto"/>
            <w:noWrap/>
            <w:vAlign w:val="center"/>
            <w:hideMark/>
          </w:tcPr>
          <w:p w14:paraId="4124F616" w14:textId="6BDA9922"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Pārvadei pieslēgtās VES</w:t>
            </w:r>
          </w:p>
        </w:tc>
        <w:tc>
          <w:tcPr>
            <w:tcW w:w="1660" w:type="dxa"/>
            <w:vAlign w:val="center"/>
          </w:tcPr>
          <w:p w14:paraId="700BE65E" w14:textId="6BA43CCC"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52 269</w:t>
            </w:r>
          </w:p>
        </w:tc>
        <w:tc>
          <w:tcPr>
            <w:tcW w:w="1660" w:type="dxa"/>
            <w:shd w:val="clear" w:color="auto" w:fill="auto"/>
            <w:noWrap/>
            <w:vAlign w:val="center"/>
            <w:hideMark/>
          </w:tcPr>
          <w:p w14:paraId="42018568" w14:textId="52CBD08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54 023</w:t>
            </w:r>
          </w:p>
        </w:tc>
        <w:tc>
          <w:tcPr>
            <w:tcW w:w="2074" w:type="dxa"/>
            <w:shd w:val="clear" w:color="auto" w:fill="auto"/>
            <w:noWrap/>
            <w:vAlign w:val="center"/>
            <w:hideMark/>
          </w:tcPr>
          <w:p w14:paraId="4F67B156" w14:textId="1190DCF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0.03 %</w:t>
            </w:r>
          </w:p>
        </w:tc>
      </w:tr>
      <w:tr w:rsidR="00C25301" w:rsidRPr="008B628A" w14:paraId="57E63F22" w14:textId="77777777" w:rsidTr="00C25301">
        <w:trPr>
          <w:trHeight w:val="600"/>
        </w:trPr>
        <w:tc>
          <w:tcPr>
            <w:tcW w:w="4240" w:type="dxa"/>
            <w:shd w:val="clear" w:color="auto" w:fill="auto"/>
            <w:vAlign w:val="center"/>
            <w:hideMark/>
          </w:tcPr>
          <w:p w14:paraId="07ED4D58" w14:textId="2C291005"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Atjaun</w:t>
            </w:r>
            <w:r w:rsidR="00FD6D1E" w:rsidRPr="008B628A">
              <w:rPr>
                <w:rFonts w:ascii="Times New Roman" w:hAnsi="Times New Roman" w:cs="Times New Roman"/>
              </w:rPr>
              <w:t xml:space="preserve">ojamie </w:t>
            </w:r>
            <w:r w:rsidRPr="008B628A">
              <w:rPr>
                <w:rFonts w:ascii="Times New Roman" w:hAnsi="Times New Roman" w:cs="Times New Roman"/>
              </w:rPr>
              <w:t>un atbalstāmie elektroenerģijas ražotāji ar uzstādīto jaudu līdz 10 MW</w:t>
            </w:r>
          </w:p>
        </w:tc>
        <w:tc>
          <w:tcPr>
            <w:tcW w:w="1660" w:type="dxa"/>
            <w:vAlign w:val="center"/>
          </w:tcPr>
          <w:p w14:paraId="52B760C2" w14:textId="16BD5ACB"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1 465 838</w:t>
            </w:r>
          </w:p>
        </w:tc>
        <w:tc>
          <w:tcPr>
            <w:tcW w:w="1660" w:type="dxa"/>
            <w:shd w:val="clear" w:color="auto" w:fill="auto"/>
            <w:noWrap/>
            <w:vAlign w:val="center"/>
            <w:hideMark/>
          </w:tcPr>
          <w:p w14:paraId="35BCEA3B" w14:textId="139192B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1 546 637</w:t>
            </w:r>
          </w:p>
        </w:tc>
        <w:tc>
          <w:tcPr>
            <w:tcW w:w="2074" w:type="dxa"/>
            <w:shd w:val="clear" w:color="auto" w:fill="auto"/>
            <w:noWrap/>
            <w:vAlign w:val="center"/>
            <w:hideMark/>
          </w:tcPr>
          <w:p w14:paraId="2B72BB4B"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6%</w:t>
            </w:r>
          </w:p>
        </w:tc>
      </w:tr>
      <w:tr w:rsidR="00C25301" w:rsidRPr="008B628A" w14:paraId="0838C2EC" w14:textId="77777777" w:rsidTr="00C25301">
        <w:trPr>
          <w:trHeight w:val="315"/>
        </w:trPr>
        <w:tc>
          <w:tcPr>
            <w:tcW w:w="4240" w:type="dxa"/>
            <w:shd w:val="clear" w:color="auto" w:fill="auto"/>
            <w:noWrap/>
            <w:vAlign w:val="center"/>
            <w:hideMark/>
          </w:tcPr>
          <w:p w14:paraId="3710F1AA" w14:textId="7777777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lastRenderedPageBreak/>
              <w:t>Kopējais saražotās elektroenerģijas apjoms</w:t>
            </w:r>
          </w:p>
        </w:tc>
        <w:tc>
          <w:tcPr>
            <w:tcW w:w="1660" w:type="dxa"/>
            <w:vAlign w:val="center"/>
          </w:tcPr>
          <w:p w14:paraId="278C21B6" w14:textId="7950DAC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6 231 257</w:t>
            </w:r>
          </w:p>
        </w:tc>
        <w:tc>
          <w:tcPr>
            <w:tcW w:w="1660" w:type="dxa"/>
            <w:shd w:val="clear" w:color="auto" w:fill="auto"/>
            <w:noWrap/>
            <w:vAlign w:val="center"/>
            <w:hideMark/>
          </w:tcPr>
          <w:p w14:paraId="2013D955" w14:textId="6007D53B"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7 346 336</w:t>
            </w:r>
          </w:p>
        </w:tc>
        <w:tc>
          <w:tcPr>
            <w:tcW w:w="2074" w:type="dxa"/>
            <w:shd w:val="clear" w:color="auto" w:fill="auto"/>
            <w:noWrap/>
            <w:vAlign w:val="center"/>
            <w:hideMark/>
          </w:tcPr>
          <w:p w14:paraId="34854BCD"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18%</w:t>
            </w:r>
          </w:p>
        </w:tc>
      </w:tr>
    </w:tbl>
    <w:p w14:paraId="5F405D61" w14:textId="0A61A59A" w:rsidR="005835B7" w:rsidRPr="008B628A" w:rsidRDefault="005835B7" w:rsidP="00C25301">
      <w:pPr>
        <w:spacing w:before="120" w:after="120" w:line="240" w:lineRule="auto"/>
        <w:jc w:val="both"/>
        <w:rPr>
          <w:rFonts w:ascii="Times New Roman" w:hAnsi="Times New Roman" w:cs="Times New Roman"/>
        </w:rPr>
      </w:pPr>
      <w:r w:rsidRPr="008B628A">
        <w:rPr>
          <w:rFonts w:ascii="Times New Roman" w:hAnsi="Times New Roman" w:cs="Times New Roman"/>
        </w:rPr>
        <w:t>Latvija ir būtiski samazinājusi savu enerģētisko atkarību</w:t>
      </w:r>
      <w:r w:rsidRPr="008B628A">
        <w:rPr>
          <w:rStyle w:val="FootnoteReference"/>
          <w:rFonts w:ascii="Times New Roman" w:hAnsi="Times New Roman" w:cs="Times New Roman"/>
        </w:rPr>
        <w:footnoteReference w:id="209"/>
      </w:r>
      <w:r w:rsidRPr="008B628A">
        <w:rPr>
          <w:rFonts w:ascii="Times New Roman" w:hAnsi="Times New Roman" w:cs="Times New Roman"/>
        </w:rPr>
        <w:t xml:space="preserve"> periodā</w:t>
      </w:r>
      <w:r w:rsidR="00FA1E9C" w:rsidRPr="008B628A">
        <w:rPr>
          <w:rFonts w:ascii="Times New Roman" w:hAnsi="Times New Roman" w:cs="Times New Roman"/>
        </w:rPr>
        <w:t xml:space="preserve"> no 1990.gada</w:t>
      </w:r>
      <w:r w:rsidRPr="008B628A">
        <w:rPr>
          <w:rFonts w:ascii="Times New Roman" w:hAnsi="Times New Roman" w:cs="Times New Roman"/>
        </w:rPr>
        <w:t xml:space="preserve"> līdz 2016.gadam</w:t>
      </w:r>
      <w:r w:rsidR="00FA1E9C" w:rsidRPr="008B628A">
        <w:rPr>
          <w:rFonts w:ascii="Times New Roman" w:hAnsi="Times New Roman" w:cs="Times New Roman"/>
        </w:rPr>
        <w:t xml:space="preserve"> – 46,9% (26,1% samazinājums 2005.-2016.g. periodā)</w:t>
      </w:r>
      <w:r w:rsidR="00B52941" w:rsidRPr="008B628A">
        <w:rPr>
          <w:rFonts w:ascii="Times New Roman" w:hAnsi="Times New Roman" w:cs="Times New Roman"/>
        </w:rPr>
        <w:t xml:space="preserve">, kur 2016. gadā </w:t>
      </w:r>
      <w:r w:rsidR="00FA1E9C" w:rsidRPr="008B628A">
        <w:rPr>
          <w:rFonts w:ascii="Times New Roman" w:hAnsi="Times New Roman" w:cs="Times New Roman"/>
        </w:rPr>
        <w:t xml:space="preserve">47,2 </w:t>
      </w:r>
      <w:r w:rsidR="00B52941" w:rsidRPr="008B628A">
        <w:rPr>
          <w:rFonts w:ascii="Times New Roman" w:hAnsi="Times New Roman" w:cs="Times New Roman"/>
        </w:rPr>
        <w:t>% no Latvijas primārā enerģijas patēriņa ir radīti no importētajiem energoresursiem</w:t>
      </w:r>
      <w:r w:rsidR="00FA1E9C" w:rsidRPr="008B628A">
        <w:rPr>
          <w:rFonts w:ascii="Times New Roman" w:hAnsi="Times New Roman" w:cs="Times New Roman"/>
        </w:rPr>
        <w:t>.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36BE633D" w14:textId="792AA976" w:rsidR="005835B7" w:rsidRPr="008B628A" w:rsidRDefault="005061BB" w:rsidP="00FA1E9C">
      <w:pPr>
        <w:spacing w:before="120" w:after="120" w:line="240" w:lineRule="auto"/>
        <w:jc w:val="center"/>
        <w:rPr>
          <w:rFonts w:ascii="Times New Roman" w:hAnsi="Times New Roman" w:cs="Times New Roman"/>
        </w:rPr>
      </w:pPr>
      <w:r w:rsidRPr="008B628A">
        <w:rPr>
          <w:rFonts w:ascii="Times New Roman" w:hAnsi="Times New Roman" w:cs="Times New Roman"/>
          <w:noProof/>
          <w:lang w:eastAsia="lv-LV"/>
        </w:rPr>
        <w:drawing>
          <wp:inline distT="0" distB="0" distL="0" distR="0" wp14:anchorId="12D0FD79" wp14:editId="616C7E64">
            <wp:extent cx="4710310" cy="25530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31204" cy="2564416"/>
                    </a:xfrm>
                    <a:prstGeom prst="rect">
                      <a:avLst/>
                    </a:prstGeom>
                    <a:noFill/>
                  </pic:spPr>
                </pic:pic>
              </a:graphicData>
            </a:graphic>
          </wp:inline>
        </w:drawing>
      </w:r>
    </w:p>
    <w:p w14:paraId="74B411AB" w14:textId="195A62FE" w:rsidR="00B4101D" w:rsidRPr="008B628A" w:rsidRDefault="006F7439" w:rsidP="00B4101D">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39" w:name="_Toc531333122"/>
      <w:r w:rsidR="006067D4">
        <w:rPr>
          <w:noProof/>
        </w:rPr>
        <w:t>42</w:t>
      </w:r>
      <w:r w:rsidRPr="008B628A">
        <w:rPr>
          <w:noProof/>
        </w:rPr>
        <w:fldChar w:fldCharType="end"/>
      </w:r>
      <w:r w:rsidR="00B4101D" w:rsidRPr="008B628A">
        <w:t>.attēls. Latvijas un ES energoimporta tendences 1990.-2016.gadā (%)</w:t>
      </w:r>
      <w:bookmarkEnd w:id="339"/>
      <w:r w:rsidR="005203D0">
        <w:rPr>
          <w:rStyle w:val="FootnoteReference"/>
        </w:rPr>
        <w:footnoteReference w:id="210"/>
      </w:r>
    </w:p>
    <w:p w14:paraId="295F5D0A" w14:textId="7592911A" w:rsidR="00F96F3B" w:rsidRPr="008B628A" w:rsidRDefault="00F96F3B" w:rsidP="00F96F3B">
      <w:pPr>
        <w:spacing w:before="120" w:after="120" w:line="240" w:lineRule="auto"/>
        <w:jc w:val="both"/>
        <w:rPr>
          <w:rFonts w:ascii="Times New Roman" w:hAnsi="Times New Roman" w:cs="Times New Roman"/>
        </w:rPr>
      </w:pPr>
      <w:r w:rsidRPr="008B628A">
        <w:rPr>
          <w:rFonts w:ascii="Times New Roman" w:hAnsi="Times New Roman" w:cs="Times New Roman"/>
        </w:rPr>
        <w:t>2016.gadā Latvijas enerģētiskā atkarība cieto fosilo kurināmo apjomā bija 84,4%, naftas produktiem – 109,1%, un dabasgāzei – 83,4%, kas ir izskaidrojams ar to, ka Latvijā neiegūst nevienu no šiem kurināmā veidiem, savukārt Latvija neizmanto visu importēto gāzi un daļa gāzes tiek uzglabāta Inčukalna pazemes gāzes krātuvē, kā arī Latvija neizmanto visu importēto šķidro naftas produktu apjomu, bet daļu eksportē.</w:t>
      </w:r>
    </w:p>
    <w:p w14:paraId="30F64D5D" w14:textId="790FCF04" w:rsidR="00FE072E" w:rsidRPr="008B628A" w:rsidRDefault="00FA765C" w:rsidP="00C25301">
      <w:pPr>
        <w:spacing w:before="120" w:after="120" w:line="240" w:lineRule="auto"/>
        <w:jc w:val="both"/>
        <w:rPr>
          <w:rFonts w:ascii="Times New Roman" w:hAnsi="Times New Roman" w:cs="Times New Roman"/>
        </w:rPr>
      </w:pPr>
      <w:r w:rsidRPr="008B628A">
        <w:rPr>
          <w:rFonts w:ascii="Times New Roman" w:hAnsi="Times New Roman" w:cs="Times New Roman"/>
        </w:rPr>
        <w:t>2016.gadā Latvija saražoja 85,3% no Latvijā nepieciešamās elektroenerģijas.</w:t>
      </w:r>
      <w:r w:rsidR="00BB121F" w:rsidRPr="008B628A">
        <w:rPr>
          <w:rFonts w:ascii="Times New Roman" w:hAnsi="Times New Roman" w:cs="Times New Roman"/>
        </w:rPr>
        <w:t xml:space="preserve"> </w:t>
      </w:r>
      <w:r w:rsidR="009C7AA5" w:rsidRPr="008B628A">
        <w:rPr>
          <w:rFonts w:ascii="Times New Roman" w:hAnsi="Times New Roman" w:cs="Times New Roman"/>
        </w:rPr>
        <w:t>Elektroenerģijas i</w:t>
      </w:r>
      <w:r w:rsidR="00FE072E" w:rsidRPr="008B628A">
        <w:rPr>
          <w:rFonts w:ascii="Times New Roman" w:hAnsi="Times New Roman" w:cs="Times New Roman"/>
        </w:rPr>
        <w:t>mports no trešajām valstīm uz Baltiju var notikt vienīgi caur Nord Pool  Lietuvas tirdzniecības apgabalu – LBI. Importētās elektroenerģijas apjoms 2017. gadā no trešajām valstīm bija 416 301 MWh, kas ir par 64% mazāk, salīdzinājumā ar 2016. gadu, kad tas bija 1 146 711 MWh.</w:t>
      </w:r>
    </w:p>
    <w:p w14:paraId="5B26E218" w14:textId="70CCA9EF" w:rsidR="00FE072E" w:rsidRPr="008B628A" w:rsidRDefault="009C7AA5" w:rsidP="00CD366E">
      <w:pPr>
        <w:pStyle w:val="Caption"/>
        <w:rPr>
          <w:szCs w:val="24"/>
        </w:rPr>
      </w:pPr>
      <w:r w:rsidRPr="008B628A">
        <w:rPr>
          <w:szCs w:val="24"/>
        </w:rPr>
        <w:fldChar w:fldCharType="begin"/>
      </w:r>
      <w:r w:rsidRPr="008B628A">
        <w:rPr>
          <w:szCs w:val="24"/>
        </w:rPr>
        <w:instrText xml:space="preserve"> SEQ Tabula \* ARABIC </w:instrText>
      </w:r>
      <w:r w:rsidRPr="008B628A">
        <w:rPr>
          <w:szCs w:val="24"/>
        </w:rPr>
        <w:fldChar w:fldCharType="separate"/>
      </w:r>
      <w:bookmarkStart w:id="340" w:name="_Toc531333156"/>
      <w:r w:rsidR="006067D4">
        <w:rPr>
          <w:noProof/>
          <w:szCs w:val="24"/>
        </w:rPr>
        <w:t>14</w:t>
      </w:r>
      <w:r w:rsidRPr="008B628A">
        <w:rPr>
          <w:szCs w:val="24"/>
        </w:rPr>
        <w:fldChar w:fldCharType="end"/>
      </w:r>
      <w:r w:rsidRPr="008B628A">
        <w:t>.tabula. Latvijas elektroenerģijas imports un eksports 2016.-2017.g. (MWh)</w:t>
      </w:r>
      <w:r w:rsidRPr="008B628A">
        <w:rPr>
          <w:rStyle w:val="FootnoteReference"/>
        </w:rPr>
        <w:footnoteReference w:id="211"/>
      </w:r>
      <w:bookmarkEnd w:id="340"/>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660"/>
        <w:gridCol w:w="1660"/>
        <w:gridCol w:w="1600"/>
      </w:tblGrid>
      <w:tr w:rsidR="009C7AA5" w:rsidRPr="008B628A" w14:paraId="07C01B82" w14:textId="77777777" w:rsidTr="00D42488">
        <w:trPr>
          <w:trHeight w:val="489"/>
          <w:jc w:val="center"/>
        </w:trPr>
        <w:tc>
          <w:tcPr>
            <w:tcW w:w="4240" w:type="dxa"/>
            <w:shd w:val="clear" w:color="auto" w:fill="auto"/>
            <w:noWrap/>
            <w:vAlign w:val="center"/>
            <w:hideMark/>
          </w:tcPr>
          <w:p w14:paraId="7DBC9B9D"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 </w:t>
            </w:r>
          </w:p>
        </w:tc>
        <w:tc>
          <w:tcPr>
            <w:tcW w:w="1660" w:type="dxa"/>
            <w:vAlign w:val="center"/>
          </w:tcPr>
          <w:p w14:paraId="32D8A424"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2016</w:t>
            </w:r>
          </w:p>
          <w:p w14:paraId="72BB15BE" w14:textId="3C1DC7D4"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(MWh)</w:t>
            </w:r>
          </w:p>
        </w:tc>
        <w:tc>
          <w:tcPr>
            <w:tcW w:w="1660" w:type="dxa"/>
            <w:shd w:val="clear" w:color="auto" w:fill="auto"/>
            <w:noWrap/>
            <w:vAlign w:val="center"/>
            <w:hideMark/>
          </w:tcPr>
          <w:p w14:paraId="41966E91"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2017</w:t>
            </w:r>
          </w:p>
          <w:p w14:paraId="47AAE1A0" w14:textId="431C942E"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(MWh)</w:t>
            </w:r>
          </w:p>
        </w:tc>
        <w:tc>
          <w:tcPr>
            <w:tcW w:w="1600" w:type="dxa"/>
            <w:shd w:val="clear" w:color="auto" w:fill="auto"/>
            <w:vAlign w:val="center"/>
            <w:hideMark/>
          </w:tcPr>
          <w:p w14:paraId="17781E6A"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Izmaiņas</w:t>
            </w:r>
          </w:p>
          <w:p w14:paraId="019EA041" w14:textId="76337A55"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(2016.-2017.)</w:t>
            </w:r>
          </w:p>
        </w:tc>
      </w:tr>
      <w:tr w:rsidR="009C7AA5" w:rsidRPr="008B628A" w14:paraId="3BCCCE70" w14:textId="77777777" w:rsidTr="00D42488">
        <w:trPr>
          <w:trHeight w:val="600"/>
          <w:jc w:val="center"/>
        </w:trPr>
        <w:tc>
          <w:tcPr>
            <w:tcW w:w="4240" w:type="dxa"/>
            <w:shd w:val="clear" w:color="auto" w:fill="auto"/>
            <w:vAlign w:val="center"/>
            <w:hideMark/>
          </w:tcPr>
          <w:p w14:paraId="6FEBFD40"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Latvijas pārvades tīklā importētā elektroenerģija</w:t>
            </w:r>
          </w:p>
        </w:tc>
        <w:tc>
          <w:tcPr>
            <w:tcW w:w="1660" w:type="dxa"/>
            <w:vAlign w:val="center"/>
          </w:tcPr>
          <w:p w14:paraId="7C7BB7AD" w14:textId="0B68F6DF"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4 828 354</w:t>
            </w:r>
          </w:p>
        </w:tc>
        <w:tc>
          <w:tcPr>
            <w:tcW w:w="1660" w:type="dxa"/>
            <w:shd w:val="clear" w:color="auto" w:fill="auto"/>
            <w:noWrap/>
            <w:vAlign w:val="center"/>
            <w:hideMark/>
          </w:tcPr>
          <w:p w14:paraId="4B5F74D7" w14:textId="0E3E0613"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4 072 912</w:t>
            </w:r>
          </w:p>
        </w:tc>
        <w:tc>
          <w:tcPr>
            <w:tcW w:w="1600" w:type="dxa"/>
            <w:shd w:val="clear" w:color="auto" w:fill="auto"/>
            <w:noWrap/>
            <w:vAlign w:val="center"/>
            <w:hideMark/>
          </w:tcPr>
          <w:p w14:paraId="281227DC"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-16%</w:t>
            </w:r>
          </w:p>
        </w:tc>
      </w:tr>
      <w:tr w:rsidR="009C7AA5" w:rsidRPr="008B628A" w14:paraId="5D914AB6" w14:textId="77777777" w:rsidTr="00D42488">
        <w:trPr>
          <w:trHeight w:val="600"/>
          <w:jc w:val="center"/>
        </w:trPr>
        <w:tc>
          <w:tcPr>
            <w:tcW w:w="4240" w:type="dxa"/>
            <w:shd w:val="clear" w:color="auto" w:fill="auto"/>
            <w:vAlign w:val="center"/>
            <w:hideMark/>
          </w:tcPr>
          <w:p w14:paraId="3B187335"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No Latvijas pārvades tīkla eksportētā elektroenerģija</w:t>
            </w:r>
          </w:p>
        </w:tc>
        <w:tc>
          <w:tcPr>
            <w:tcW w:w="1660" w:type="dxa"/>
            <w:vAlign w:val="center"/>
          </w:tcPr>
          <w:p w14:paraId="5D0B9C1E" w14:textId="54D379CA"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3 794 883</w:t>
            </w:r>
          </w:p>
        </w:tc>
        <w:tc>
          <w:tcPr>
            <w:tcW w:w="1660" w:type="dxa"/>
            <w:shd w:val="clear" w:color="auto" w:fill="auto"/>
            <w:noWrap/>
            <w:vAlign w:val="center"/>
            <w:hideMark/>
          </w:tcPr>
          <w:p w14:paraId="34088DE6" w14:textId="31427191"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4 137 077</w:t>
            </w:r>
          </w:p>
        </w:tc>
        <w:tc>
          <w:tcPr>
            <w:tcW w:w="1600" w:type="dxa"/>
            <w:shd w:val="clear" w:color="auto" w:fill="auto"/>
            <w:noWrap/>
            <w:vAlign w:val="center"/>
            <w:hideMark/>
          </w:tcPr>
          <w:p w14:paraId="47387BA2"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9%</w:t>
            </w:r>
          </w:p>
        </w:tc>
      </w:tr>
      <w:tr w:rsidR="009C7AA5" w:rsidRPr="008B628A" w14:paraId="40B8A0D7" w14:textId="77777777" w:rsidTr="00D42488">
        <w:trPr>
          <w:trHeight w:val="615"/>
          <w:jc w:val="center"/>
        </w:trPr>
        <w:tc>
          <w:tcPr>
            <w:tcW w:w="4240" w:type="dxa"/>
            <w:shd w:val="clear" w:color="auto" w:fill="auto"/>
            <w:noWrap/>
            <w:vAlign w:val="center"/>
            <w:hideMark/>
          </w:tcPr>
          <w:p w14:paraId="29EC1FA1"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Latvijas elektroenerģijas saldo</w:t>
            </w:r>
          </w:p>
        </w:tc>
        <w:tc>
          <w:tcPr>
            <w:tcW w:w="1660" w:type="dxa"/>
            <w:vAlign w:val="center"/>
          </w:tcPr>
          <w:p w14:paraId="0BE30964" w14:textId="4FF41DBD"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1 033 471 (iztrūkums)</w:t>
            </w:r>
          </w:p>
        </w:tc>
        <w:tc>
          <w:tcPr>
            <w:tcW w:w="1660" w:type="dxa"/>
            <w:shd w:val="clear" w:color="auto" w:fill="auto"/>
            <w:vAlign w:val="center"/>
            <w:hideMark/>
          </w:tcPr>
          <w:p w14:paraId="62863276" w14:textId="21711FF0"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64 166 (pārpalikums)</w:t>
            </w:r>
          </w:p>
        </w:tc>
        <w:tc>
          <w:tcPr>
            <w:tcW w:w="1600" w:type="dxa"/>
            <w:shd w:val="clear" w:color="auto" w:fill="auto"/>
            <w:vAlign w:val="center"/>
            <w:hideMark/>
          </w:tcPr>
          <w:p w14:paraId="514AC3F0"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106 % (pārpalikums)</w:t>
            </w:r>
          </w:p>
        </w:tc>
      </w:tr>
    </w:tbl>
    <w:p w14:paraId="44211CEB" w14:textId="3A37EC90" w:rsidR="00581156" w:rsidRPr="008B628A" w:rsidRDefault="00581156" w:rsidP="005F59CE">
      <w:pPr>
        <w:pStyle w:val="Heading3"/>
      </w:pPr>
      <w:bookmarkStart w:id="341" w:name="_Toc520978879"/>
      <w:bookmarkStart w:id="342" w:name="_Toc527529556"/>
      <w:r w:rsidRPr="008B628A">
        <w:lastRenderedPageBreak/>
        <w:t>Attīstības prognozes</w:t>
      </w:r>
      <w:bookmarkEnd w:id="341"/>
      <w:bookmarkEnd w:id="342"/>
      <w:r w:rsidRPr="008B628A">
        <w:t xml:space="preserve"> </w:t>
      </w:r>
    </w:p>
    <w:p w14:paraId="42A36BCB" w14:textId="327C593D" w:rsidR="006F546A" w:rsidRPr="008B628A" w:rsidRDefault="007A626E" w:rsidP="007A626E">
      <w:pPr>
        <w:pStyle w:val="paragraph"/>
        <w:spacing w:before="120" w:beforeAutospacing="0" w:after="120" w:afterAutospacing="0"/>
        <w:jc w:val="both"/>
        <w:textAlignment w:val="baseline"/>
      </w:pPr>
      <w:r w:rsidRPr="008B628A">
        <w:t>Ir paredzams, ka Latvija izpildīs savus noteiktos enerģētiskās</w:t>
      </w:r>
      <w:r w:rsidR="00B0350B" w:rsidRPr="008B628A">
        <w:t xml:space="preserve"> drošības un</w:t>
      </w:r>
      <w:r w:rsidRPr="008B628A">
        <w:t xml:space="preserve"> atkarības samazināšanas mērķus, galvenokārt pateicoties elektroenerģijas sinhronizācijas pasākumiem, kuru īstenošana jau ir sākta - Baltijas valstis 2018. gada 28. jūnijā, Briselē parakstīja  ar Poliju un EK kopīgu dokumentu par Baltijas valstu elektrotīklu sinhronizāciju ar kontinentālo Eiropu, kas paredz apņemšanos strādāt pie Latvijas, Igaunijas un Lietuvas energotīklu sinhronizācijas ar kontinentālo Eiropu, tādējādi šīs pasākums ir uzskatāms par esošās politikas pasākumu. Galvenie ieguvumi ir – ciešāka integrācija Eiropas tirgū, intensīvāka konkurence, kā arī lielāka drošība, mazinot vēsturiski pārāk augsto Baltijas valstu atkarību no mūsu Krievijas. Nepieciešamību īstenot projektu apliecina arī faktiskā tirdzniecība – </w:t>
      </w:r>
      <w:r w:rsidR="005A2B35">
        <w:t>2018.gadā</w:t>
      </w:r>
      <w:r w:rsidRPr="008B628A">
        <w:t xml:space="preserve"> lielāko daļu elektrības Baltija importē no Skandināvijas valstīm.</w:t>
      </w:r>
    </w:p>
    <w:p w14:paraId="237FFB5C" w14:textId="77777777" w:rsidR="00F97F8B" w:rsidRPr="008B628A" w:rsidRDefault="00B0350B" w:rsidP="00F97F8B">
      <w:pPr>
        <w:pStyle w:val="paragraph"/>
        <w:spacing w:before="120" w:beforeAutospacing="0" w:after="120" w:afterAutospacing="0"/>
        <w:jc w:val="both"/>
        <w:textAlignment w:val="baseline"/>
      </w:pPr>
      <w:r w:rsidRPr="008B628A">
        <w:t xml:space="preserve">Šobrīd Latvija aktīvi strādā kopā ar citām Baltijas valstīm reģionālā dabasgāzes tirgus izveidošanā un </w:t>
      </w:r>
      <w:r w:rsidR="00385733" w:rsidRPr="008B628A">
        <w:t xml:space="preserve">2018.gada 12.oktobrī </w:t>
      </w:r>
      <w:r w:rsidR="005E49FD" w:rsidRPr="008B628A">
        <w:t xml:space="preserve">Baltijas valstu un Somijas gāzes pārvades sistēmu operatori </w:t>
      </w:r>
      <w:r w:rsidR="00F97F8B" w:rsidRPr="008B628A">
        <w:t>parakstīja saprašanās memorandu par būtiskākajiem jautājumiem, kas ir jāatrisina, lai varētu integrēt Latvijas, Igaunijas un Somijas dabasgāzes tirgus. Parakstītajā saprašanās memorandā paredzēta iespēja arī citām valstīm pievienoties iniciatīvai, tādējādi paplašinot integrētā tirgus teritoriju.</w:t>
      </w:r>
    </w:p>
    <w:p w14:paraId="173AE580" w14:textId="055A2D34" w:rsidR="00F97F8B" w:rsidRPr="008B628A" w:rsidRDefault="00F97F8B" w:rsidP="00F97F8B">
      <w:pPr>
        <w:pStyle w:val="paragraph"/>
        <w:spacing w:before="120" w:beforeAutospacing="0" w:after="120" w:afterAutospacing="0"/>
        <w:jc w:val="both"/>
        <w:textAlignment w:val="baseline"/>
      </w:pPr>
      <w:r w:rsidRPr="008B628A">
        <w:t>I</w:t>
      </w:r>
      <w:r w:rsidR="00B0350B" w:rsidRPr="008B628A">
        <w:t>r paredzēts, ka dabasgāzes reģionālais tirgus varētu uzsākt darbu plānotajā laikā – 2020.gadā. Šajā procesā tiktu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w:t>
      </w:r>
      <w:r w:rsidRPr="008B628A">
        <w:t xml:space="preserve"> Latvijā pirmos darbus saistībā ar Baltijas un Somijas dabasgāzes tirgu integrēšanu varēšot sākt 2020.gadā, kad dabasgāzes cauruļvads “Balticconnector” savienos Igaunijas un Somijas dabasgāzes tirgus.</w:t>
      </w:r>
    </w:p>
    <w:p w14:paraId="6D6453B1" w14:textId="67783BC5" w:rsidR="007A626E" w:rsidRPr="008B628A" w:rsidRDefault="007A626E" w:rsidP="007A626E">
      <w:pPr>
        <w:pStyle w:val="paragraph"/>
        <w:spacing w:before="120" w:beforeAutospacing="0" w:after="120" w:afterAutospacing="0"/>
        <w:jc w:val="both"/>
        <w:textAlignment w:val="baseline"/>
      </w:pPr>
      <w:r w:rsidRPr="008B628A">
        <w:t xml:space="preserve">Attiecībā uz enerģētiskās drošības mērķi, Latvija to arī jau izpilda ar esošajiem pasākumiem un esošajām tehnoloģijām, jo Latvijā darbojas dabasgāzes pazemes dabas gāzes krātuve ar kopējo kapacitāti </w:t>
      </w:r>
      <w:r w:rsidR="00963338" w:rsidRPr="008B628A">
        <w:t>–</w:t>
      </w:r>
      <w:r w:rsidRPr="008B628A">
        <w:t xml:space="preserve"> </w:t>
      </w:r>
      <w:r w:rsidR="00963338" w:rsidRPr="008B628A">
        <w:t>24 219 GWh.</w:t>
      </w:r>
    </w:p>
    <w:p w14:paraId="1276E496" w14:textId="4C7C7BD2" w:rsidR="007A626E" w:rsidRPr="008B628A" w:rsidRDefault="007A626E" w:rsidP="007A626E">
      <w:pPr>
        <w:pStyle w:val="paragraph"/>
        <w:spacing w:before="120" w:beforeAutospacing="0" w:after="120" w:afterAutospacing="0"/>
        <w:jc w:val="both"/>
        <w:textAlignment w:val="baseline"/>
      </w:pPr>
      <w:r w:rsidRPr="008B628A">
        <w:t>Inčukalna pazemes gāzes krātuve ir vienīgā funkcionējošā krātuve Baltijas valstīs</w:t>
      </w:r>
      <w:r w:rsidR="00963338" w:rsidRPr="008B628A">
        <w:t>,</w:t>
      </w:r>
      <w:r w:rsidRPr="008B628A">
        <w:t xml:space="preserve"> un tā nodrošina reģionālās gāzapgādes stabilitāti. Vasaras sezonā, kad dabasgāzes patēriņš reģionā ir vairākas reizes mazāks nekā aukstajā laikā, dabasgāze tiek iesūknēta krātuvē, lai apkures sezonā to piegādātu klientiem Latvijā, Igaunijā, Krievijas ziemeļrietumu reģionā un Lietuvā.</w:t>
      </w:r>
    </w:p>
    <w:p w14:paraId="752D8086" w14:textId="4C09DE2F" w:rsidR="0069700A" w:rsidRPr="008B628A" w:rsidRDefault="0069700A" w:rsidP="0069700A">
      <w:pPr>
        <w:pStyle w:val="paragraph"/>
        <w:spacing w:before="120" w:beforeAutospacing="0" w:after="120" w:afterAutospacing="0"/>
        <w:jc w:val="both"/>
        <w:textAlignment w:val="baseline"/>
      </w:pPr>
      <w:r w:rsidRPr="008B628A">
        <w:t xml:space="preserve">Dabasgāzes sistēmas funkcionēšana viena sistēmas objekta iztrūkuma gadījumā tiek izvērtēti un sagatavota pēc Eiropas Parlamenta un Padomes 2017. gada 25. oktobra regulā Nr. 2017/1938 par gāzes piegādes drošības aizsardzības pasākumiem un ar ko atceļ Regulu (ES) Nr. 994/2010 aprakstītās metodikas, kas ņem vērā “N-1 principu” jeb darbības kļūmi vienotajā lielākajā dabasgāzes infrastruktūrā.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 N-1 ļauj novērtēt dabasgāzes patērētāju aizsargātības līmeni jeb gāzes infrastruktūras drošību izvēlētajā teritorijā procentuālā izteiksmē, ņemot vērā dažādu dabasgāzes sistēmas </w:t>
      </w:r>
      <w:r w:rsidR="00B0350B" w:rsidRPr="008B628A">
        <w:t>elementu raksturlielumus.</w:t>
      </w:r>
    </w:p>
    <w:p w14:paraId="319D934E" w14:textId="43E4B559" w:rsidR="00B0350B" w:rsidRPr="008B628A" w:rsidRDefault="00B0350B" w:rsidP="00B0350B">
      <w:pPr>
        <w:pStyle w:val="paragraph"/>
        <w:spacing w:before="120" w:beforeAutospacing="0" w:after="120" w:afterAutospacing="0"/>
        <w:jc w:val="center"/>
        <w:textAlignment w:val="baseline"/>
      </w:pPr>
      <w:r w:rsidRPr="008B628A">
        <w:rPr>
          <w:noProof/>
        </w:rPr>
        <w:lastRenderedPageBreak/>
        <w:drawing>
          <wp:inline distT="0" distB="0" distL="0" distR="0" wp14:anchorId="0F79B45C" wp14:editId="651B4C50">
            <wp:extent cx="3471920" cy="300320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8367" cy="3008776"/>
                    </a:xfrm>
                    <a:prstGeom prst="rect">
                      <a:avLst/>
                    </a:prstGeom>
                    <a:noFill/>
                  </pic:spPr>
                </pic:pic>
              </a:graphicData>
            </a:graphic>
          </wp:inline>
        </w:drawing>
      </w:r>
    </w:p>
    <w:p w14:paraId="0A82C87E" w14:textId="65A583A4" w:rsidR="0069700A"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43" w:name="_Toc531333123"/>
      <w:r w:rsidR="006067D4">
        <w:rPr>
          <w:noProof/>
        </w:rPr>
        <w:t>43</w:t>
      </w:r>
      <w:r w:rsidRPr="008B628A">
        <w:rPr>
          <w:noProof/>
        </w:rPr>
        <w:fldChar w:fldCharType="end"/>
      </w:r>
      <w:r w:rsidR="00B0350B" w:rsidRPr="008B628A">
        <w:t xml:space="preserve">.attēls. </w:t>
      </w:r>
      <w:r w:rsidR="0069700A" w:rsidRPr="008B628A">
        <w:t>N-1 aprēķina rezultāts</w:t>
      </w:r>
      <w:r w:rsidR="00B0350B" w:rsidRPr="008B628A">
        <w:rPr>
          <w:rStyle w:val="FootnoteReference"/>
        </w:rPr>
        <w:footnoteReference w:id="212"/>
      </w:r>
      <w:r w:rsidR="0069700A" w:rsidRPr="008B628A">
        <w:t xml:space="preserve"> atkarībā no Inčukalna PGK piepildījuma</w:t>
      </w:r>
      <w:r w:rsidR="00B0350B" w:rsidRPr="008B628A">
        <w:t xml:space="preserve"> 2017.gadā</w:t>
      </w:r>
      <w:r w:rsidR="00B0350B" w:rsidRPr="008B628A">
        <w:rPr>
          <w:rStyle w:val="FootnoteReference"/>
        </w:rPr>
        <w:footnoteReference w:id="213"/>
      </w:r>
      <w:bookmarkEnd w:id="343"/>
    </w:p>
    <w:p w14:paraId="73D8A871" w14:textId="2B0EE0E6" w:rsidR="0069700A" w:rsidRPr="008B628A" w:rsidRDefault="00B0350B" w:rsidP="0069700A">
      <w:pPr>
        <w:pStyle w:val="paragraph"/>
        <w:spacing w:before="120" w:beforeAutospacing="0" w:after="120" w:afterAutospacing="0"/>
        <w:jc w:val="both"/>
        <w:textAlignment w:val="baseline"/>
      </w:pPr>
      <w:r w:rsidRPr="008B628A">
        <w:t>Līdz ar to ir secināms, ka šā brīža situācijā Latvija izpilda noteiktās prasības un mērķus attiecībā uz enerģētiskās drošības nodrošināšanu</w:t>
      </w:r>
    </w:p>
    <w:p w14:paraId="455F4AFF" w14:textId="77777777" w:rsidR="00581156" w:rsidRPr="008B628A" w:rsidRDefault="00581156" w:rsidP="00581156">
      <w:pPr>
        <w:rPr>
          <w:rFonts w:ascii="Times New Roman" w:hAnsi="Times New Roman" w:cs="Times New Roman"/>
        </w:rPr>
      </w:pPr>
    </w:p>
    <w:p w14:paraId="73CCFA7D" w14:textId="0A99E0C4" w:rsidR="00581156" w:rsidRPr="008B628A" w:rsidRDefault="00347B4E" w:rsidP="006F546A">
      <w:pPr>
        <w:pStyle w:val="Heading2"/>
      </w:pPr>
      <w:bookmarkStart w:id="344" w:name="_Toc520978880"/>
      <w:bookmarkStart w:id="345" w:name="_Toc527529557"/>
      <w:bookmarkStart w:id="346" w:name="_Toc532910017"/>
      <w:r>
        <w:t>I</w:t>
      </w:r>
      <w:r w:rsidR="00581156" w:rsidRPr="008B628A">
        <w:t>ekšējais enerģijas tirgus</w:t>
      </w:r>
      <w:bookmarkEnd w:id="344"/>
      <w:bookmarkEnd w:id="345"/>
      <w:bookmarkEnd w:id="346"/>
      <w:r w:rsidR="00581156" w:rsidRPr="008B628A">
        <w:t xml:space="preserve"> </w:t>
      </w:r>
    </w:p>
    <w:p w14:paraId="24F0B99C" w14:textId="77777777" w:rsidR="006F546A" w:rsidRPr="008B628A" w:rsidRDefault="006F546A" w:rsidP="005F59CE">
      <w:pPr>
        <w:pStyle w:val="Heading3"/>
      </w:pPr>
      <w:bookmarkStart w:id="347" w:name="_Toc256000201"/>
      <w:bookmarkStart w:id="348" w:name="_Toc256000090"/>
      <w:bookmarkStart w:id="349" w:name="_Toc519065052"/>
      <w:bookmarkStart w:id="350" w:name="_Toc519065175"/>
      <w:bookmarkStart w:id="351" w:name="_Toc527529558"/>
      <w:r w:rsidRPr="008B628A">
        <w:t>Elektrotīklu starpsavienotība</w:t>
      </w:r>
      <w:bookmarkEnd w:id="347"/>
      <w:bookmarkEnd w:id="348"/>
      <w:bookmarkEnd w:id="349"/>
      <w:bookmarkEnd w:id="350"/>
      <w:bookmarkEnd w:id="351"/>
    </w:p>
    <w:p w14:paraId="420D5210" w14:textId="6B1A6963" w:rsidR="006F546A" w:rsidRPr="008B628A" w:rsidRDefault="006F546A" w:rsidP="00863FD7">
      <w:pPr>
        <w:pStyle w:val="Heading4"/>
      </w:pPr>
      <w:bookmarkStart w:id="352" w:name="_Ref518574974"/>
      <w:bookmarkStart w:id="353" w:name="_Toc527529559"/>
      <w:r w:rsidRPr="008B628A">
        <w:t>Pašreizējais starpsavienojumu līmenis un galvenie starpsavienotāji</w:t>
      </w:r>
      <w:bookmarkEnd w:id="352"/>
      <w:bookmarkEnd w:id="353"/>
    </w:p>
    <w:p w14:paraId="79D2EF05" w14:textId="5ED68093"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Atkarībā no ražošanas apjomiem un kaimiņvalstīs veicamajiem remontdarbiem pašreizējā Latvijas un Igaunijas starpsavienojuma pieejamā jauda ir līdz 900 MW, Lietuvas un Latvijas savienojama jauda </w:t>
      </w:r>
      <w:r w:rsidR="00347B4E">
        <w:rPr>
          <w:rFonts w:ascii="Times New Roman" w:eastAsia="Times New Roman" w:hAnsi="Times New Roman" w:cs="Times New Roman"/>
          <w:szCs w:val="24"/>
          <w:lang w:eastAsia="lv-LV"/>
        </w:rPr>
        <w:t>–</w:t>
      </w:r>
      <w:r w:rsidRPr="008B628A">
        <w:rPr>
          <w:rFonts w:ascii="Times New Roman" w:eastAsia="Times New Roman" w:hAnsi="Times New Roman" w:cs="Times New Roman"/>
          <w:szCs w:val="24"/>
          <w:lang w:eastAsia="lv-LV"/>
        </w:rPr>
        <w:t xml:space="preserve"> līdz 1300 MW, Latvijas un Krievijas savienojuma jauda - ap 300 MW.</w:t>
      </w:r>
    </w:p>
    <w:p w14:paraId="2C2888AE"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Šobrīd dažādos Baltijas valstu elektropārvades tīklu režīmos ir samazinātas caurlaides spējas Latvijas – Igaunijas šķērsgriezumā dēļ AS „Elering” (Igaunijas PSO) ieviestajiem ierobežojumiem pārrobežu un iekšējās 330 kV elektropārvades līnijās. Situāciju uzlaboja 2013. gadā ekspluatācijā ieviestais Rīgas TEC-2 otrais bloks ar uzstādīto jaudu 450 MW, bet tas strādā pārsvarā tikai koģenerācijas režīmā ziemas sezonā (apkures sezona) kad Rīgas pilsētā ir siltuma slodzes pieprasījums un pārējā laikā minētā elektrostacija elektroenerģijas tirgū nav konkurētspējīga. Pēc Igaunijas-Somijas otrā līdzstrāvas savienojuma Estlink 2 nodošanas ekspluatācija 2013. gadā Latvijas pārvades tīkla noslodze palielinājās, jo Latvijas un Lietuvas (galvenokārt) tirgotāji palielināja elektroenerģijas piegādes no Ziemeļvalstīm. Pēc Lietuvas-Zviedrijas (NordBalt) starpsavienojuma ieslēgšanas darbā 2015. gada decembrī, normālajos režīmos situācija Igaunijas-Latvijas šķērsgriezumā ir uzlabojusies, jo noslodze ir samazinājusies aptuveni par 54 %, bet avārijas un remontu režīmos tā joprojām paliek ierobežota (informācijas no AS “Augstsprieguma tīkls” 2016.gada pārvades sistēmas operatora ziņojuma).</w:t>
      </w:r>
    </w:p>
    <w:p w14:paraId="2A104A69"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2017. gadā Igaunijas – Latvijas starpsavienojums vidēji diennaktī bija noslogots par 54%, bet, salīdzinājumā ar 2016.gadu, ir kritums par 13 procentpunktiem.</w:t>
      </w:r>
    </w:p>
    <w:p w14:paraId="4E0377C2"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2018.gada jūlijā Igaunijas – Latvijas starpsavienojums vidēji diennaktī bija noslogots par 47%, bet, salīdzinājumā 2018.gada jūniju, ir samazinājums par 22 procentpunktiem, Igaunijas – Latvijas starpsavienojums maksimumstundās bija noslogots par 75%, bet laikā, kad Latvijā ir pietiekama </w:t>
      </w:r>
      <w:r w:rsidRPr="008B628A">
        <w:rPr>
          <w:rFonts w:ascii="Times New Roman" w:eastAsia="Times New Roman" w:hAnsi="Times New Roman" w:cs="Times New Roman"/>
          <w:szCs w:val="24"/>
          <w:lang w:eastAsia="lv-LV"/>
        </w:rPr>
        <w:lastRenderedPageBreak/>
        <w:t>vietējā ģenerācija un mazāks nepieciešamās elektroenerģijas imports no Igaunijas, starpsavienojuma noslogojums atsevišķās stundās kritās līdz pat 18% no pieejamās neto pārvades jaudas. Neto pārvades jauda bija 535 794 MWh.</w:t>
      </w:r>
    </w:p>
    <w:p w14:paraId="7616309B"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Jaunākie starpsavienojumi - 700 MW "NordBalt" zemūdens kabelis starp Lietuvu un Zviedriju un 500 MW pārvades līnija "LitPol" starp Lietuvu un Poliju - palielina Baltijas energosistēmas kopējo starpsavienojumu jaudu ar Eiropas elektroenerģijas tirgu no agrākajiem 1 000 MW līdz 2 200 MW.</w:t>
      </w:r>
    </w:p>
    <w:p w14:paraId="6F49F997" w14:textId="6522F7AA" w:rsidR="006F546A" w:rsidRPr="008B628A" w:rsidRDefault="002D6969" w:rsidP="002651A7">
      <w:pPr>
        <w:spacing w:before="120" w:after="120" w:line="240" w:lineRule="auto"/>
        <w:jc w:val="both"/>
      </w:pPr>
      <w:r w:rsidRPr="0017515F">
        <w:rPr>
          <w:rFonts w:ascii="Times New Roman" w:eastAsia="Times New Roman" w:hAnsi="Times New Roman" w:cs="Times New Roman"/>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178 500 MWh diennaktī, bet apkures sezonai prognozējamā jauda plūsmai virzienā no Latvijas uz Krieviju  - 105 000 MWh diennaktī. Savienojuma ar Igauniju tehniskā jauda virzienā uz Igauniju sasniedza 73 080 MWh diennaktī, savukārt savienojuma ar Lietuvu tehniskā jauda virzienā uz Latviju un virzienā uz Lietuvu – attiecīgi 67 600 MWh un 65 100 MWh. Gada griezumā visu dabasgāzes starpsavienojumu noslodze ir zema un visos starpsavienojumos nesasniedz pat 50% no teorētiski pieejamās jaudas, tomēr atsevišķos dabasgāzes pārvades sistēmas režīmos var tikt izmantotas līdz pat 100% no savienojumos pieejamās jaudas, savukārt apkures sezonā </w:t>
      </w:r>
      <w:r>
        <w:rPr>
          <w:rFonts w:ascii="Times New Roman" w:eastAsia="Times New Roman" w:hAnsi="Times New Roman" w:cs="Times New Roman"/>
          <w:szCs w:val="24"/>
          <w:lang w:eastAsia="lv-LV"/>
        </w:rPr>
        <w:t xml:space="preserve">galvenais </w:t>
      </w:r>
      <w:r w:rsidRPr="0017515F">
        <w:rPr>
          <w:rFonts w:ascii="Times New Roman" w:eastAsia="Times New Roman" w:hAnsi="Times New Roman" w:cs="Times New Roman"/>
          <w:szCs w:val="24"/>
          <w:lang w:eastAsia="lv-LV"/>
        </w:rPr>
        <w:t>dabasgāzes apgādes avots Latvijas patēriņa nodrošināšanai</w:t>
      </w:r>
      <w:r>
        <w:rPr>
          <w:rFonts w:ascii="Times New Roman" w:eastAsia="Times New Roman" w:hAnsi="Times New Roman" w:cs="Times New Roman"/>
          <w:szCs w:val="24"/>
          <w:lang w:eastAsia="lv-LV"/>
        </w:rPr>
        <w:t>, ņemot vērā patēriņa pieaugumu visā reģionā un no tā izrietošo piegāžu apjoma samazināšanos pa cauruļvadiem un sašķidrinātās dabasgāzes kuģu pieejamības ierobežotību,</w:t>
      </w:r>
      <w:r w:rsidRPr="0017515F">
        <w:rPr>
          <w:rFonts w:ascii="Times New Roman" w:eastAsia="Times New Roman" w:hAnsi="Times New Roman" w:cs="Times New Roman"/>
          <w:szCs w:val="24"/>
          <w:lang w:eastAsia="lv-LV"/>
        </w:rPr>
        <w:t xml:space="preserve"> ir Inčukalna pazemes gāzes krātuve.  </w:t>
      </w:r>
      <w:r w:rsidR="002651A7" w:rsidRPr="008B628A">
        <w:rPr>
          <w:rFonts w:ascii="Times New Roman" w:eastAsia="Times New Roman" w:hAnsi="Times New Roman" w:cs="Times New Roman"/>
          <w:szCs w:val="24"/>
          <w:lang w:eastAsia="lv-LV"/>
        </w:rPr>
        <w:t xml:space="preserve"> </w:t>
      </w:r>
    </w:p>
    <w:p w14:paraId="14121917" w14:textId="12B7EDC5" w:rsidR="006F546A" w:rsidRPr="008B628A" w:rsidRDefault="006F546A" w:rsidP="00863FD7">
      <w:pPr>
        <w:pStyle w:val="Heading4"/>
      </w:pPr>
      <w:bookmarkStart w:id="354" w:name="_Ref518574977"/>
      <w:bookmarkStart w:id="355" w:name="_Toc527529560"/>
      <w:r w:rsidRPr="008B628A">
        <w:t>Starpsavienotāju paplašināšanas prasību prognozes</w:t>
      </w:r>
      <w:bookmarkEnd w:id="354"/>
      <w:bookmarkEnd w:id="355"/>
    </w:p>
    <w:p w14:paraId="19A9EAD1" w14:textId="77777777" w:rsidR="00DF5F26" w:rsidRPr="008B628A" w:rsidRDefault="00EF47B5" w:rsidP="006F546A">
      <w:pPr>
        <w:pStyle w:val="paragraph"/>
        <w:spacing w:before="120" w:beforeAutospacing="0" w:after="120" w:afterAutospacing="0"/>
        <w:jc w:val="both"/>
        <w:textAlignment w:val="baseline"/>
      </w:pPr>
      <w:r w:rsidRPr="008B628A">
        <w:t xml:space="preserve">Saskaņā ar EK informāciju Latvija 2017.gadā nodrošina 23,7% elektrības starpsavienotības līmeni. </w:t>
      </w:r>
    </w:p>
    <w:p w14:paraId="329539FC" w14:textId="3E8506D9" w:rsidR="00DF5F26" w:rsidRPr="008B628A" w:rsidRDefault="00DF5F26" w:rsidP="00DF5F26">
      <w:pPr>
        <w:pStyle w:val="paragraph"/>
        <w:spacing w:before="120" w:beforeAutospacing="0" w:after="120" w:afterAutospacing="0"/>
        <w:jc w:val="center"/>
        <w:textAlignment w:val="baseline"/>
      </w:pPr>
      <w:r w:rsidRPr="008B628A">
        <w:rPr>
          <w:noProof/>
        </w:rPr>
        <w:drawing>
          <wp:inline distT="0" distB="0" distL="0" distR="0" wp14:anchorId="2981EC87" wp14:editId="3CF2827F">
            <wp:extent cx="2386194" cy="269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3446" cy="2737657"/>
                    </a:xfrm>
                    <a:prstGeom prst="rect">
                      <a:avLst/>
                    </a:prstGeom>
                    <a:noFill/>
                  </pic:spPr>
                </pic:pic>
              </a:graphicData>
            </a:graphic>
          </wp:inline>
        </w:drawing>
      </w:r>
    </w:p>
    <w:p w14:paraId="68C0B4FF" w14:textId="7A55AA79" w:rsidR="00DF5F26" w:rsidRPr="008B628A" w:rsidRDefault="006F7439" w:rsidP="00DF5F26">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56" w:name="_Toc531333124"/>
      <w:r w:rsidR="006067D4">
        <w:rPr>
          <w:noProof/>
        </w:rPr>
        <w:t>44</w:t>
      </w:r>
      <w:r w:rsidRPr="008B628A">
        <w:rPr>
          <w:noProof/>
        </w:rPr>
        <w:fldChar w:fldCharType="end"/>
      </w:r>
      <w:r w:rsidR="00DF5F26" w:rsidRPr="008B628A">
        <w:t>.attēls. Latvijas elektroenerģijas starpsavienojumu līmenis 2017.gadā</w:t>
      </w:r>
      <w:bookmarkEnd w:id="356"/>
    </w:p>
    <w:p w14:paraId="6C3A7B14" w14:textId="21DE5071" w:rsidR="006F546A" w:rsidRPr="008B628A" w:rsidRDefault="00EF47B5" w:rsidP="006F546A">
      <w:pPr>
        <w:pStyle w:val="paragraph"/>
        <w:spacing w:before="120" w:beforeAutospacing="0" w:after="120" w:afterAutospacing="0"/>
        <w:jc w:val="both"/>
        <w:textAlignment w:val="baseline"/>
      </w:pPr>
      <w:r w:rsidRPr="008B628A">
        <w:t>Latvijā 2017.gadā kopumā bija uzstādīta 2940,1 MW elektrības ražošanas jauda, savukārt darbojošos starpsavienojumu Latvija – Igaunija, Latvija – Lietuva un Latvija – Krievija maksimālā jauda ir 2500 MW.</w:t>
      </w:r>
    </w:p>
    <w:p w14:paraId="5C1EFC1A" w14:textId="60ABD624" w:rsidR="000C1115"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357" w:name="_Toc531333157"/>
      <w:r w:rsidR="006067D4">
        <w:rPr>
          <w:noProof/>
        </w:rPr>
        <w:t>15</w:t>
      </w:r>
      <w:r w:rsidRPr="008B628A">
        <w:rPr>
          <w:noProof/>
        </w:rPr>
        <w:fldChar w:fldCharType="end"/>
      </w:r>
      <w:r w:rsidR="000C1115" w:rsidRPr="008B628A">
        <w:t>.tabula. Izveidotie starpsavienojumi</w:t>
      </w:r>
      <w:r w:rsidR="000C5FCB" w:rsidRPr="008B628A">
        <w:t>, to vidējā noslogotība 2017.gadā un izmaiņas 2016.-2017.g.</w:t>
      </w:r>
      <w:bookmarkEnd w:id="357"/>
      <w:r w:rsidR="000C5FCB" w:rsidRPr="008B628A">
        <w:t xml:space="preserve"> </w:t>
      </w:r>
    </w:p>
    <w:tbl>
      <w:tblPr>
        <w:tblStyle w:val="TableGrid"/>
        <w:tblW w:w="0" w:type="auto"/>
        <w:jc w:val="center"/>
        <w:tblLook w:val="04A0" w:firstRow="1" w:lastRow="0" w:firstColumn="1" w:lastColumn="0" w:noHBand="0" w:noVBand="1"/>
      </w:tblPr>
      <w:tblGrid>
        <w:gridCol w:w="2016"/>
        <w:gridCol w:w="2515"/>
        <w:gridCol w:w="3715"/>
      </w:tblGrid>
      <w:tr w:rsidR="000C5FCB" w:rsidRPr="008B628A" w14:paraId="7E01A7B9" w14:textId="77777777" w:rsidTr="000C5FCB">
        <w:trPr>
          <w:jc w:val="center"/>
        </w:trPr>
        <w:tc>
          <w:tcPr>
            <w:tcW w:w="2016" w:type="dxa"/>
            <w:shd w:val="clear" w:color="auto" w:fill="F2F2F2" w:themeFill="background1" w:themeFillShade="F2"/>
          </w:tcPr>
          <w:p w14:paraId="215E6DD0" w14:textId="2ED38B0F"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Starpsavienojumi</w:t>
            </w:r>
          </w:p>
        </w:tc>
        <w:tc>
          <w:tcPr>
            <w:tcW w:w="2515" w:type="dxa"/>
            <w:shd w:val="clear" w:color="auto" w:fill="F2F2F2" w:themeFill="background1" w:themeFillShade="F2"/>
          </w:tcPr>
          <w:p w14:paraId="3EA77CD6" w14:textId="3986D79F"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Vidējā gada noslogotība</w:t>
            </w:r>
            <w:r w:rsidRPr="008B628A">
              <w:rPr>
                <w:rStyle w:val="FootnoteReference"/>
                <w:rFonts w:ascii="Times New Roman" w:hAnsi="Times New Roman" w:cs="Times New Roman"/>
              </w:rPr>
              <w:footnoteReference w:id="214"/>
            </w:r>
            <w:r w:rsidRPr="008B628A">
              <w:rPr>
                <w:rFonts w:ascii="Times New Roman" w:hAnsi="Times New Roman" w:cs="Times New Roman"/>
              </w:rPr>
              <w:t xml:space="preserve"> %</w:t>
            </w:r>
          </w:p>
        </w:tc>
        <w:tc>
          <w:tcPr>
            <w:tcW w:w="3715" w:type="dxa"/>
            <w:shd w:val="clear" w:color="auto" w:fill="F2F2F2" w:themeFill="background1" w:themeFillShade="F2"/>
          </w:tcPr>
          <w:p w14:paraId="3A6CE107" w14:textId="1EC9126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Izmaiņas salīdzinājumā ar 2016.gadu (Procentpunkti)</w:t>
            </w:r>
          </w:p>
        </w:tc>
      </w:tr>
      <w:tr w:rsidR="000C5FCB" w:rsidRPr="008B628A" w14:paraId="7617EB1B" w14:textId="77777777" w:rsidTr="000C5FCB">
        <w:trPr>
          <w:jc w:val="center"/>
        </w:trPr>
        <w:tc>
          <w:tcPr>
            <w:tcW w:w="2016" w:type="dxa"/>
          </w:tcPr>
          <w:p w14:paraId="208C70C6" w14:textId="4CC0FAC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LV</w:t>
            </w:r>
            <w:r w:rsidR="002D6969" w:rsidRPr="00C20617">
              <w:rPr>
                <w:rFonts w:ascii="Times New Roman" w:hAnsi="Times New Roman" w:cs="Times New Roman"/>
              </w:rPr>
              <w:t xml:space="preserve"> </w:t>
            </w:r>
            <w:r w:rsidR="00C20617" w:rsidRPr="00C20617">
              <w:rPr>
                <w:rFonts w:ascii="Times New Roman" w:hAnsi="Times New Roman" w:cs="Times New Roman"/>
              </w:rPr>
              <w:t>→</w:t>
            </w:r>
            <w:r w:rsidRPr="00C20617">
              <w:rPr>
                <w:rFonts w:ascii="Times New Roman" w:hAnsi="Times New Roman" w:cs="Times New Roman"/>
              </w:rPr>
              <w:t xml:space="preserve"> LT</w:t>
            </w:r>
          </w:p>
        </w:tc>
        <w:tc>
          <w:tcPr>
            <w:tcW w:w="2515" w:type="dxa"/>
          </w:tcPr>
          <w:p w14:paraId="46CF2C7A" w14:textId="52990CD2"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40%</w:t>
            </w:r>
          </w:p>
        </w:tc>
        <w:tc>
          <w:tcPr>
            <w:tcW w:w="3715" w:type="dxa"/>
          </w:tcPr>
          <w:p w14:paraId="14EA2847" w14:textId="548DBDA3"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w:t>
            </w:r>
          </w:p>
        </w:tc>
      </w:tr>
      <w:tr w:rsidR="000C5FCB" w:rsidRPr="008B628A" w14:paraId="3F0B4555" w14:textId="77777777" w:rsidTr="000C5FCB">
        <w:trPr>
          <w:jc w:val="center"/>
        </w:trPr>
        <w:tc>
          <w:tcPr>
            <w:tcW w:w="2016" w:type="dxa"/>
          </w:tcPr>
          <w:p w14:paraId="0EA3574F" w14:textId="0FB29020"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EE </w:t>
            </w:r>
            <w:r w:rsidR="00C20617" w:rsidRPr="00C20617">
              <w:rPr>
                <w:rFonts w:ascii="Times New Roman" w:hAnsi="Times New Roman" w:cs="Times New Roman"/>
              </w:rPr>
              <w:t>→</w:t>
            </w:r>
            <w:r w:rsidRPr="00C20617">
              <w:rPr>
                <w:rFonts w:ascii="Times New Roman" w:hAnsi="Times New Roman" w:cs="Times New Roman"/>
              </w:rPr>
              <w:t xml:space="preserve"> LV</w:t>
            </w:r>
          </w:p>
        </w:tc>
        <w:tc>
          <w:tcPr>
            <w:tcW w:w="2515" w:type="dxa"/>
          </w:tcPr>
          <w:p w14:paraId="2B5925C7" w14:textId="0D2F4128"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54%</w:t>
            </w:r>
          </w:p>
        </w:tc>
        <w:tc>
          <w:tcPr>
            <w:tcW w:w="3715" w:type="dxa"/>
          </w:tcPr>
          <w:p w14:paraId="160AFFFD" w14:textId="68E3443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-13</w:t>
            </w:r>
          </w:p>
        </w:tc>
      </w:tr>
      <w:tr w:rsidR="000C5FCB" w:rsidRPr="008B628A" w14:paraId="5AC33AE0" w14:textId="77777777" w:rsidTr="000C5FCB">
        <w:trPr>
          <w:jc w:val="center"/>
        </w:trPr>
        <w:tc>
          <w:tcPr>
            <w:tcW w:w="2016" w:type="dxa"/>
          </w:tcPr>
          <w:p w14:paraId="2E6F9F1A" w14:textId="203370D8"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LBI </w:t>
            </w:r>
            <w:r w:rsidR="00C20617" w:rsidRPr="00C20617">
              <w:rPr>
                <w:rFonts w:ascii="Times New Roman" w:hAnsi="Times New Roman" w:cs="Times New Roman"/>
              </w:rPr>
              <w:t>→</w:t>
            </w:r>
            <w:r w:rsidRPr="00C20617">
              <w:rPr>
                <w:rFonts w:ascii="Times New Roman" w:hAnsi="Times New Roman" w:cs="Times New Roman"/>
              </w:rPr>
              <w:t xml:space="preserve"> LT</w:t>
            </w:r>
          </w:p>
        </w:tc>
        <w:tc>
          <w:tcPr>
            <w:tcW w:w="2515" w:type="dxa"/>
          </w:tcPr>
          <w:p w14:paraId="0B377E64" w14:textId="76847F3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15%</w:t>
            </w:r>
          </w:p>
        </w:tc>
        <w:tc>
          <w:tcPr>
            <w:tcW w:w="3715" w:type="dxa"/>
          </w:tcPr>
          <w:p w14:paraId="6AF882EA" w14:textId="54103984"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-12</w:t>
            </w:r>
          </w:p>
        </w:tc>
      </w:tr>
      <w:tr w:rsidR="000C5FCB" w:rsidRPr="008B628A" w14:paraId="3D1C598C" w14:textId="77777777" w:rsidTr="000C5FCB">
        <w:trPr>
          <w:jc w:val="center"/>
        </w:trPr>
        <w:tc>
          <w:tcPr>
            <w:tcW w:w="2016" w:type="dxa"/>
          </w:tcPr>
          <w:p w14:paraId="0EB6848F" w14:textId="00764C91"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LT </w:t>
            </w:r>
            <w:r w:rsidR="00C20617" w:rsidRPr="00C20617">
              <w:rPr>
                <w:rFonts w:ascii="Times New Roman" w:hAnsi="Times New Roman" w:cs="Times New Roman"/>
              </w:rPr>
              <w:t>→</w:t>
            </w:r>
            <w:r w:rsidRPr="00C20617">
              <w:rPr>
                <w:rFonts w:ascii="Times New Roman" w:hAnsi="Times New Roman" w:cs="Times New Roman"/>
              </w:rPr>
              <w:t xml:space="preserve"> LV</w:t>
            </w:r>
          </w:p>
        </w:tc>
        <w:tc>
          <w:tcPr>
            <w:tcW w:w="2515" w:type="dxa"/>
          </w:tcPr>
          <w:p w14:paraId="0B082BFB" w14:textId="4FF1391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w:t>
            </w:r>
          </w:p>
        </w:tc>
        <w:tc>
          <w:tcPr>
            <w:tcW w:w="3715" w:type="dxa"/>
          </w:tcPr>
          <w:p w14:paraId="538C0157" w14:textId="7428034A"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0</w:t>
            </w:r>
          </w:p>
        </w:tc>
      </w:tr>
      <w:tr w:rsidR="000C5FCB" w:rsidRPr="008B628A" w14:paraId="060C9E63" w14:textId="77777777" w:rsidTr="000C5FCB">
        <w:trPr>
          <w:jc w:val="center"/>
        </w:trPr>
        <w:tc>
          <w:tcPr>
            <w:tcW w:w="2016" w:type="dxa"/>
          </w:tcPr>
          <w:p w14:paraId="03A41BC4" w14:textId="0AEDDCE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PL</w:t>
            </w:r>
            <w:r w:rsidR="00C20617" w:rsidRPr="00C20617">
              <w:rPr>
                <w:rFonts w:ascii="Times New Roman" w:hAnsi="Times New Roman" w:cs="Times New Roman"/>
              </w:rPr>
              <w:t xml:space="preserve"> → </w:t>
            </w:r>
            <w:r w:rsidRPr="00C20617">
              <w:rPr>
                <w:rFonts w:ascii="Times New Roman" w:hAnsi="Times New Roman" w:cs="Times New Roman"/>
              </w:rPr>
              <w:t>LT</w:t>
            </w:r>
          </w:p>
        </w:tc>
        <w:tc>
          <w:tcPr>
            <w:tcW w:w="2515" w:type="dxa"/>
          </w:tcPr>
          <w:p w14:paraId="49C9E1C1" w14:textId="0020FC39"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20%</w:t>
            </w:r>
          </w:p>
        </w:tc>
        <w:tc>
          <w:tcPr>
            <w:tcW w:w="3715" w:type="dxa"/>
          </w:tcPr>
          <w:p w14:paraId="60E681C0" w14:textId="0C78D70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-12</w:t>
            </w:r>
          </w:p>
        </w:tc>
      </w:tr>
      <w:tr w:rsidR="000C5FCB" w:rsidRPr="008B628A" w14:paraId="4665FDD4" w14:textId="77777777" w:rsidTr="000C5FCB">
        <w:trPr>
          <w:jc w:val="center"/>
        </w:trPr>
        <w:tc>
          <w:tcPr>
            <w:tcW w:w="2016" w:type="dxa"/>
          </w:tcPr>
          <w:p w14:paraId="24965398" w14:textId="36C32258"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LT</w:t>
            </w:r>
            <w:r w:rsidR="00C20617" w:rsidRPr="00C20617">
              <w:rPr>
                <w:rFonts w:ascii="Times New Roman" w:hAnsi="Times New Roman" w:cs="Times New Roman"/>
              </w:rPr>
              <w:t xml:space="preserve"> → </w:t>
            </w:r>
            <w:r w:rsidRPr="00C20617">
              <w:rPr>
                <w:rFonts w:ascii="Times New Roman" w:hAnsi="Times New Roman" w:cs="Times New Roman"/>
              </w:rPr>
              <w:t>PL</w:t>
            </w:r>
          </w:p>
        </w:tc>
        <w:tc>
          <w:tcPr>
            <w:tcW w:w="2515" w:type="dxa"/>
          </w:tcPr>
          <w:p w14:paraId="3611A369" w14:textId="3B09C875"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48%</w:t>
            </w:r>
          </w:p>
        </w:tc>
        <w:tc>
          <w:tcPr>
            <w:tcW w:w="3715" w:type="dxa"/>
          </w:tcPr>
          <w:p w14:paraId="5DB6BC63" w14:textId="015C0464"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9</w:t>
            </w:r>
          </w:p>
        </w:tc>
      </w:tr>
      <w:tr w:rsidR="000C5FCB" w:rsidRPr="008B628A" w14:paraId="5A3C5E52" w14:textId="77777777" w:rsidTr="000C5FCB">
        <w:trPr>
          <w:jc w:val="center"/>
        </w:trPr>
        <w:tc>
          <w:tcPr>
            <w:tcW w:w="2016" w:type="dxa"/>
          </w:tcPr>
          <w:p w14:paraId="059D7AEB" w14:textId="1AFB470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SE</w:t>
            </w:r>
            <w:r w:rsidR="00C20617" w:rsidRPr="00C20617">
              <w:rPr>
                <w:rFonts w:ascii="Times New Roman" w:hAnsi="Times New Roman" w:cs="Times New Roman"/>
              </w:rPr>
              <w:t xml:space="preserve"> → L</w:t>
            </w:r>
            <w:r w:rsidRPr="00C20617">
              <w:rPr>
                <w:rFonts w:ascii="Times New Roman" w:hAnsi="Times New Roman" w:cs="Times New Roman"/>
              </w:rPr>
              <w:t>T</w:t>
            </w:r>
          </w:p>
        </w:tc>
        <w:tc>
          <w:tcPr>
            <w:tcW w:w="2515" w:type="dxa"/>
          </w:tcPr>
          <w:p w14:paraId="05814924" w14:textId="0B8451BB"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63%</w:t>
            </w:r>
          </w:p>
        </w:tc>
        <w:tc>
          <w:tcPr>
            <w:tcW w:w="3715" w:type="dxa"/>
          </w:tcPr>
          <w:p w14:paraId="4BDF8D4B" w14:textId="6E401DB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-9</w:t>
            </w:r>
          </w:p>
        </w:tc>
      </w:tr>
      <w:tr w:rsidR="000C5FCB" w:rsidRPr="008B628A" w14:paraId="243BE0AD" w14:textId="77777777" w:rsidTr="000C5FCB">
        <w:trPr>
          <w:jc w:val="center"/>
        </w:trPr>
        <w:tc>
          <w:tcPr>
            <w:tcW w:w="2016" w:type="dxa"/>
          </w:tcPr>
          <w:p w14:paraId="18EA62C5" w14:textId="3F600321"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FI</w:t>
            </w:r>
            <w:r w:rsidR="00C20617" w:rsidRPr="00C20617">
              <w:rPr>
                <w:rFonts w:ascii="Times New Roman" w:hAnsi="Times New Roman" w:cs="Times New Roman"/>
              </w:rPr>
              <w:t xml:space="preserve"> → </w:t>
            </w:r>
            <w:r w:rsidRPr="00C20617">
              <w:rPr>
                <w:rFonts w:ascii="Times New Roman" w:hAnsi="Times New Roman" w:cs="Times New Roman"/>
              </w:rPr>
              <w:t>EE</w:t>
            </w:r>
          </w:p>
        </w:tc>
        <w:tc>
          <w:tcPr>
            <w:tcW w:w="2515" w:type="dxa"/>
          </w:tcPr>
          <w:p w14:paraId="72DBE998" w14:textId="7FFD3F25"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18%</w:t>
            </w:r>
          </w:p>
        </w:tc>
        <w:tc>
          <w:tcPr>
            <w:tcW w:w="3715" w:type="dxa"/>
          </w:tcPr>
          <w:p w14:paraId="799D57BD" w14:textId="316C6BDF"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-19</w:t>
            </w:r>
          </w:p>
        </w:tc>
      </w:tr>
    </w:tbl>
    <w:p w14:paraId="155942B4" w14:textId="77777777" w:rsidR="006F546A" w:rsidRPr="008B628A" w:rsidRDefault="006F546A" w:rsidP="005F59CE">
      <w:pPr>
        <w:pStyle w:val="Heading3"/>
      </w:pPr>
      <w:bookmarkStart w:id="358" w:name="_Toc256000202"/>
      <w:bookmarkStart w:id="359" w:name="_Toc256000091"/>
      <w:bookmarkStart w:id="360" w:name="_Toc519065053"/>
      <w:bookmarkStart w:id="361" w:name="_Toc519065176"/>
      <w:bookmarkStart w:id="362" w:name="_Toc527529561"/>
      <w:bookmarkStart w:id="363" w:name="_Hlk521923388"/>
      <w:r w:rsidRPr="008B628A">
        <w:t>Enerģijas pārvades infrastruktūra</w:t>
      </w:r>
      <w:bookmarkEnd w:id="358"/>
      <w:bookmarkEnd w:id="359"/>
      <w:bookmarkEnd w:id="360"/>
      <w:bookmarkEnd w:id="361"/>
      <w:bookmarkEnd w:id="362"/>
    </w:p>
    <w:p w14:paraId="1C60A179" w14:textId="64FFC3D5" w:rsidR="006F546A" w:rsidRPr="008B628A" w:rsidRDefault="006F546A" w:rsidP="00863FD7">
      <w:pPr>
        <w:pStyle w:val="Heading4"/>
      </w:pPr>
      <w:bookmarkStart w:id="364" w:name="_Ref518574980"/>
      <w:bookmarkStart w:id="365" w:name="_Toc527529562"/>
      <w:r w:rsidRPr="008B628A">
        <w:t>Esošās elektroenerģijas un gāzes pārvades infrastruktūras galvenās iezīmes</w:t>
      </w:r>
      <w:bookmarkEnd w:id="364"/>
      <w:bookmarkEnd w:id="365"/>
    </w:p>
    <w:p w14:paraId="2919041A" w14:textId="77777777" w:rsidR="002651A7" w:rsidRPr="008B628A" w:rsidRDefault="002651A7" w:rsidP="008B56B2">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Šobrīd elektroenerģijas pārvades tīkls sastāv no 1346,43 km 330 kV līnijām un 3893,54 km 110 kV līnijām, 25 330kV transformatoriem un 248 110 kV transformatoriem ar kopējo uzstādīto jaudu 9020,5 MVA.</w:t>
      </w:r>
    </w:p>
    <w:p w14:paraId="3FBF164A" w14:textId="3E586B74" w:rsidR="002651A7" w:rsidRPr="008B628A" w:rsidRDefault="002651A7" w:rsidP="008B56B2">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Dabasgāzes pārvades un uzglabāšanas operators </w:t>
      </w:r>
      <w:r w:rsidR="00583754" w:rsidRPr="008B628A">
        <w:rPr>
          <w:rFonts w:ascii="Times New Roman" w:eastAsia="Times New Roman" w:hAnsi="Times New Roman" w:cs="Times New Roman"/>
          <w:szCs w:val="24"/>
          <w:lang w:eastAsia="lv-LV"/>
        </w:rPr>
        <w:t>a/s</w:t>
      </w:r>
      <w:r w:rsidRPr="008B628A">
        <w:rPr>
          <w:rFonts w:ascii="Times New Roman" w:eastAsia="Times New Roman" w:hAnsi="Times New Roman" w:cs="Times New Roman"/>
          <w:szCs w:val="24"/>
          <w:lang w:eastAsia="lv-LV"/>
        </w:rPr>
        <w:t xml:space="preserve"> „Conexus Baltic Grid” pārvalda 1188 km garu maģistrālo gāzesvadu sistēmu, pārklājot Latvijas reģionus un caur 40 gāzes regulēšanas stacijām pārvadot dabasgāzi uz vietējo gāzes sadales sistēmu. Inčukalna dabasgāzes krātuvē iespējams uzglabāt līdz pat 2,3 mljrd. m</w:t>
      </w:r>
      <w:r w:rsidRPr="008B628A">
        <w:rPr>
          <w:rFonts w:ascii="Times New Roman" w:eastAsia="Times New Roman" w:hAnsi="Times New Roman" w:cs="Times New Roman"/>
          <w:szCs w:val="24"/>
          <w:vertAlign w:val="superscript"/>
          <w:lang w:eastAsia="lv-LV"/>
        </w:rPr>
        <w:t>3</w:t>
      </w:r>
      <w:r w:rsidRPr="008B628A">
        <w:rPr>
          <w:rFonts w:ascii="Times New Roman" w:eastAsia="Times New Roman" w:hAnsi="Times New Roman" w:cs="Times New Roman"/>
          <w:szCs w:val="24"/>
          <w:lang w:eastAsia="lv-LV"/>
        </w:rPr>
        <w:t xml:space="preserve">  jeb 24,22 TWh dabasgāzes.</w:t>
      </w:r>
    </w:p>
    <w:p w14:paraId="421F6DA2" w14:textId="660F5FAA" w:rsidR="006F546A" w:rsidRPr="008B628A" w:rsidRDefault="006F546A" w:rsidP="008B56B2">
      <w:pPr>
        <w:pStyle w:val="Heading4"/>
      </w:pPr>
      <w:bookmarkStart w:id="366" w:name="_Ref518574983"/>
      <w:bookmarkStart w:id="367" w:name="_Toc527529563"/>
      <w:r w:rsidRPr="008B628A">
        <w:t>Tīkla paplašināšanas prasību prognozes</w:t>
      </w:r>
      <w:bookmarkEnd w:id="366"/>
      <w:bookmarkEnd w:id="367"/>
    </w:p>
    <w:p w14:paraId="0C0E24C0" w14:textId="51E993D0" w:rsidR="00E412CD" w:rsidRPr="008B628A" w:rsidRDefault="00E412CD" w:rsidP="008B56B2">
      <w:pPr>
        <w:pStyle w:val="paragraph"/>
        <w:spacing w:before="120" w:beforeAutospacing="0" w:after="120" w:afterAutospacing="0"/>
        <w:jc w:val="both"/>
        <w:textAlignment w:val="baseline"/>
      </w:pPr>
      <w:r w:rsidRPr="008B628A">
        <w:t xml:space="preserve">2017.gadā </w:t>
      </w:r>
      <w:r w:rsidR="00C20617">
        <w:t>A/S</w:t>
      </w:r>
      <w:r w:rsidRPr="008B628A">
        <w:t xml:space="preserve"> “Sadales tīkls”, kuram ir pienākums veikt elektroenerģijas sadali, pildot sadales sistēmas operatora funkcijas</w:t>
      </w:r>
      <w:r w:rsidR="004E4C7C" w:rsidRPr="008B628A">
        <w:t xml:space="preserve"> Latvijā</w:t>
      </w:r>
      <w:r w:rsidRPr="008B628A">
        <w:t>, atjaunot, uzturēt un ekspluatēt energoapgādes veikšanai nepieciešamo sadales sistēmas</w:t>
      </w:r>
      <w:r w:rsidR="004E4C7C" w:rsidRPr="008B628A">
        <w:t xml:space="preserve"> infrastruktūru, ar saviem pakalpojumiem aptvēra 99% no lietotājiem.</w:t>
      </w:r>
    </w:p>
    <w:p w14:paraId="4BF11EE6" w14:textId="79B97F0D" w:rsidR="004E4C7C" w:rsidRPr="008B628A" w:rsidRDefault="00C20617" w:rsidP="008B56B2">
      <w:pPr>
        <w:pStyle w:val="paragraph"/>
        <w:spacing w:before="120" w:beforeAutospacing="0" w:after="120" w:afterAutospacing="0"/>
        <w:jc w:val="both"/>
        <w:textAlignment w:val="baseline"/>
      </w:pPr>
      <w:r>
        <w:t>A/S</w:t>
      </w:r>
      <w:r w:rsidR="004E4C7C" w:rsidRPr="008B628A">
        <w:t xml:space="preserve">  “Sadales tīkls” periodam līdz 2020.gadam ir izvirzījusi trīs galvenos darbības mērķus:</w:t>
      </w:r>
    </w:p>
    <w:p w14:paraId="7C3B2B67" w14:textId="4C814235" w:rsidR="004E4C7C" w:rsidRPr="008B628A" w:rsidRDefault="004E4C7C" w:rsidP="00283C85">
      <w:pPr>
        <w:pStyle w:val="paragraph"/>
        <w:numPr>
          <w:ilvl w:val="0"/>
          <w:numId w:val="32"/>
        </w:numPr>
        <w:spacing w:before="120" w:beforeAutospacing="0" w:after="120" w:afterAutospacing="0"/>
        <w:jc w:val="both"/>
        <w:textAlignment w:val="baseline"/>
      </w:pPr>
      <w:r w:rsidRPr="008B628A">
        <w:t>uz digitālām tehnoloģijām balstīta viedā tīkla attīstība;</w:t>
      </w:r>
    </w:p>
    <w:p w14:paraId="04FD040F" w14:textId="15D5D67B" w:rsidR="004E4C7C" w:rsidRPr="008B628A" w:rsidRDefault="004E4C7C" w:rsidP="00283C85">
      <w:pPr>
        <w:pStyle w:val="paragraph"/>
        <w:numPr>
          <w:ilvl w:val="0"/>
          <w:numId w:val="32"/>
        </w:numPr>
        <w:spacing w:before="120" w:beforeAutospacing="0" w:after="120" w:afterAutospacing="0"/>
        <w:jc w:val="both"/>
        <w:textAlignment w:val="baseline"/>
      </w:pPr>
      <w:r w:rsidRPr="008B628A">
        <w:t>uzņēmuma darbības efektivitātes uzlabošana;</w:t>
      </w:r>
    </w:p>
    <w:p w14:paraId="7E452051" w14:textId="1A0AC79F" w:rsidR="004E4C7C" w:rsidRPr="008B628A" w:rsidRDefault="004E4C7C" w:rsidP="00283C85">
      <w:pPr>
        <w:pStyle w:val="paragraph"/>
        <w:numPr>
          <w:ilvl w:val="0"/>
          <w:numId w:val="32"/>
        </w:numPr>
        <w:spacing w:before="120" w:beforeAutospacing="0" w:after="120" w:afterAutospacing="0"/>
        <w:jc w:val="both"/>
        <w:textAlignment w:val="baseline"/>
      </w:pPr>
      <w:r w:rsidRPr="008B628A">
        <w:t>elektroapgādes kv</w:t>
      </w:r>
      <w:r w:rsidR="008B56B2" w:rsidRPr="008B628A">
        <w:t>alitātes un drošuma uzlabošana.</w:t>
      </w:r>
    </w:p>
    <w:p w14:paraId="4ABDAF0D" w14:textId="77777777" w:rsidR="006F546A" w:rsidRPr="008B628A" w:rsidRDefault="006F546A" w:rsidP="008B56B2">
      <w:pPr>
        <w:pStyle w:val="Heading3"/>
      </w:pPr>
      <w:bookmarkStart w:id="368" w:name="_Toc256000203"/>
      <w:bookmarkStart w:id="369" w:name="_Toc256000092"/>
      <w:bookmarkStart w:id="370" w:name="_Toc519065054"/>
      <w:bookmarkStart w:id="371" w:name="_Toc519065177"/>
      <w:bookmarkStart w:id="372" w:name="_Toc527529564"/>
      <w:r w:rsidRPr="008B628A">
        <w:t>Elektroenerģijas un gāzes tirgi, enerģijas cenas</w:t>
      </w:r>
      <w:bookmarkEnd w:id="368"/>
      <w:bookmarkEnd w:id="369"/>
      <w:bookmarkEnd w:id="370"/>
      <w:bookmarkEnd w:id="371"/>
      <w:bookmarkEnd w:id="372"/>
    </w:p>
    <w:p w14:paraId="69F15F56" w14:textId="737CBEDA" w:rsidR="006F546A" w:rsidRPr="008B628A" w:rsidRDefault="006F546A" w:rsidP="008B56B2">
      <w:pPr>
        <w:pStyle w:val="Heading4"/>
      </w:pPr>
      <w:bookmarkStart w:id="373" w:name="_Ref518574988"/>
      <w:bookmarkStart w:id="374" w:name="_Toc527529565"/>
      <w:r w:rsidRPr="008B628A">
        <w:t>Pašreizējā situācija elektroenerģijas un gāzes tirgos, ietverot enerģijas cenas</w:t>
      </w:r>
      <w:bookmarkEnd w:id="373"/>
      <w:bookmarkEnd w:id="374"/>
    </w:p>
    <w:p w14:paraId="29B18E83" w14:textId="2E5248D3" w:rsidR="00583754" w:rsidRPr="008B628A" w:rsidRDefault="00583754" w:rsidP="008B56B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Salīdzinot visu Nord Pool elektroenerģijas cenu apgabala valstu tirgus, ir secināms, ka viens no lielākajiem cenas kritumiem 2017.gadā kopumā bija arī Latvijā – 3,91 % apmērā līdz 34,68 EUR/MWh cenas atzīmei. Cenas pazemināšanās Latvijā galvenokārt bija saistīta ar NordBalt pirmo pilno darba gadu (pēc testēšanas perioda). Pat</w:t>
      </w:r>
      <w:r w:rsidR="00C20617">
        <w:rPr>
          <w:rFonts w:ascii="Times New Roman" w:hAnsi="Times New Roman" w:cs="Times New Roman"/>
          <w:szCs w:val="24"/>
        </w:rPr>
        <w:t>ei</w:t>
      </w:r>
      <w:r w:rsidRPr="008B628A">
        <w:rPr>
          <w:rFonts w:ascii="Times New Roman" w:hAnsi="Times New Roman" w:cs="Times New Roman"/>
          <w:szCs w:val="24"/>
        </w:rPr>
        <w:t>coties tam, ievērojami samazinājās neplānotu padeves pārrāvumu un apkopju skaits, kas, savukārt, ļāva elektrības cenām Latvijā pietuvoties Ziemeļvalstu tirgus cenām.</w:t>
      </w:r>
    </w:p>
    <w:p w14:paraId="2388E94A" w14:textId="529B5C6C" w:rsidR="00BE36F3" w:rsidRPr="008B628A" w:rsidRDefault="00B52E11" w:rsidP="00BE36F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37D92F88" wp14:editId="0274B6F4">
            <wp:extent cx="4340860" cy="2950845"/>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0D57498" w14:textId="50B87B9D" w:rsidR="00583754" w:rsidRPr="008B628A" w:rsidRDefault="00583754" w:rsidP="00CD366E">
      <w:pPr>
        <w:pStyle w:val="Caption"/>
        <w:rPr>
          <w:sz w:val="24"/>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375" w:name="_Toc531333125"/>
      <w:r w:rsidR="006067D4">
        <w:rPr>
          <w:noProof/>
          <w:szCs w:val="24"/>
        </w:rPr>
        <w:t>45</w:t>
      </w:r>
      <w:r w:rsidRPr="008B628A">
        <w:rPr>
          <w:szCs w:val="24"/>
        </w:rPr>
        <w:fldChar w:fldCharType="end"/>
      </w:r>
      <w:r w:rsidRPr="008B628A">
        <w:t>.attēls. Elektroenerģijas izmaksas mājsaimniecībai ar 200 kWh patēriņu mēnesī</w:t>
      </w:r>
      <w:r w:rsidRPr="008B628A">
        <w:rPr>
          <w:rStyle w:val="FootnoteReference"/>
        </w:rPr>
        <w:footnoteReference w:id="215"/>
      </w:r>
      <w:bookmarkEnd w:id="375"/>
    </w:p>
    <w:p w14:paraId="6C0DCCBB" w14:textId="76D5FBE8"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Kopš Latvijas neatkarības atjaunošanas Latvijas dabasgāzes tirgus  apjoms ir būtiski, vairāk nekā divkārt, sarucis, un </w:t>
      </w:r>
      <w:r w:rsidR="005A2B35">
        <w:rPr>
          <w:rFonts w:ascii="Times New Roman" w:hAnsi="Times New Roman" w:cs="Times New Roman"/>
          <w:szCs w:val="24"/>
        </w:rPr>
        <w:t>2017.gadā</w:t>
      </w:r>
      <w:r w:rsidRPr="008B628A">
        <w:rPr>
          <w:rFonts w:ascii="Times New Roman" w:hAnsi="Times New Roman" w:cs="Times New Roman"/>
          <w:szCs w:val="24"/>
        </w:rPr>
        <w:t>veido aptuveni tikpat, cik 2000.gadā – ap 1,3 m</w:t>
      </w:r>
      <w:r w:rsidR="0020334E" w:rsidRPr="008B628A">
        <w:rPr>
          <w:rFonts w:ascii="Times New Roman" w:hAnsi="Times New Roman" w:cs="Times New Roman"/>
          <w:szCs w:val="24"/>
        </w:rPr>
        <w:t>ljrd.</w:t>
      </w:r>
      <w:r w:rsidRPr="008B628A">
        <w:rPr>
          <w:rFonts w:ascii="Times New Roman" w:hAnsi="Times New Roman" w:cs="Times New Roman"/>
          <w:szCs w:val="24"/>
        </w:rPr>
        <w:t xml:space="preserve"> </w:t>
      </w:r>
      <w:r w:rsidR="0020334E" w:rsidRPr="008B628A">
        <w:rPr>
          <w:rFonts w:ascii="Times New Roman" w:hAnsi="Times New Roman" w:cs="Times New Roman"/>
          <w:szCs w:val="24"/>
        </w:rPr>
        <w:t>m</w:t>
      </w:r>
      <w:r w:rsidR="0020334E" w:rsidRPr="008B628A">
        <w:rPr>
          <w:rFonts w:ascii="Times New Roman" w:hAnsi="Times New Roman" w:cs="Times New Roman"/>
          <w:szCs w:val="24"/>
          <w:vertAlign w:val="superscript"/>
        </w:rPr>
        <w:t>3</w:t>
      </w:r>
      <w:r w:rsidRPr="008B628A">
        <w:rPr>
          <w:rFonts w:ascii="Times New Roman" w:hAnsi="Times New Roman" w:cs="Times New Roman"/>
          <w:szCs w:val="24"/>
        </w:rPr>
        <w:t xml:space="preserve">. Salīdzinājumam jāmin, ka Baltijas valstu un Somijas tirgus kopējais apjoms </w:t>
      </w:r>
      <w:r w:rsidR="00E23203" w:rsidRPr="008B628A">
        <w:rPr>
          <w:rFonts w:ascii="Times New Roman" w:hAnsi="Times New Roman" w:cs="Times New Roman"/>
          <w:szCs w:val="24"/>
        </w:rPr>
        <w:t xml:space="preserve">ir </w:t>
      </w:r>
      <w:r w:rsidRPr="008B628A">
        <w:rPr>
          <w:rFonts w:ascii="Times New Roman" w:hAnsi="Times New Roman" w:cs="Times New Roman"/>
          <w:szCs w:val="24"/>
        </w:rPr>
        <w:t>aptuveni 6-6,5 m</w:t>
      </w:r>
      <w:r w:rsidR="0020334E" w:rsidRPr="008B628A">
        <w:rPr>
          <w:rFonts w:ascii="Times New Roman" w:hAnsi="Times New Roman" w:cs="Times New Roman"/>
          <w:szCs w:val="24"/>
        </w:rPr>
        <w:t>ljrd.</w:t>
      </w:r>
      <w:r w:rsidRPr="008B628A">
        <w:rPr>
          <w:rFonts w:ascii="Times New Roman" w:hAnsi="Times New Roman" w:cs="Times New Roman"/>
          <w:szCs w:val="24"/>
        </w:rPr>
        <w:t xml:space="preserve"> </w:t>
      </w:r>
      <w:r w:rsidR="0020334E" w:rsidRPr="008B628A">
        <w:rPr>
          <w:rFonts w:ascii="Times New Roman" w:hAnsi="Times New Roman" w:cs="Times New Roman"/>
          <w:szCs w:val="24"/>
        </w:rPr>
        <w:t>m</w:t>
      </w:r>
      <w:r w:rsidR="0020334E" w:rsidRPr="008B628A">
        <w:rPr>
          <w:rFonts w:ascii="Times New Roman" w:hAnsi="Times New Roman" w:cs="Times New Roman"/>
          <w:szCs w:val="24"/>
          <w:vertAlign w:val="superscript"/>
        </w:rPr>
        <w:t>3</w:t>
      </w:r>
      <w:r w:rsidRPr="008B628A">
        <w:rPr>
          <w:rFonts w:ascii="Times New Roman" w:hAnsi="Times New Roman" w:cs="Times New Roman"/>
          <w:szCs w:val="24"/>
        </w:rPr>
        <w:t>. Latvijas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68740DD4" w14:textId="485544CD"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Laika periodā no 2013.gada līdz 2017.gada beigām Latvijas mājsaimniecības par dabasgāzi vidēji maksājušas 0,0456 EUR/kWh, kas ir nedaudz vairāk kā Igaunijā, savukārt mazāk kā Lietuvā, un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kopā, kur vidējā mazumtirdzniecības cena iepriekšminētajā laika periodā sasniedza 0,0659 EUR/kWh. Saskaņā ar E</w:t>
      </w:r>
      <w:r w:rsidR="0094517B" w:rsidRPr="008B628A">
        <w:rPr>
          <w:rFonts w:ascii="Times New Roman" w:hAnsi="Times New Roman" w:cs="Times New Roman"/>
          <w:szCs w:val="24"/>
        </w:rPr>
        <w:t>UROSTAT</w:t>
      </w:r>
      <w:r w:rsidRPr="008B628A">
        <w:rPr>
          <w:rFonts w:ascii="Times New Roman" w:hAnsi="Times New Roman" w:cs="Times New Roman"/>
          <w:szCs w:val="24"/>
        </w:rPr>
        <w:t xml:space="preserve"> publikāciju</w:t>
      </w:r>
      <w:r w:rsidRPr="008B628A">
        <w:rPr>
          <w:szCs w:val="24"/>
        </w:rPr>
        <w:footnoteReference w:id="216"/>
      </w:r>
      <w:r w:rsidRPr="008B628A">
        <w:rPr>
          <w:rFonts w:ascii="Times New Roman" w:hAnsi="Times New Roman" w:cs="Times New Roman"/>
          <w:szCs w:val="24"/>
        </w:rPr>
        <w:t xml:space="preserve">,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dalībvalstu vidū vairākās valstīs dabasgāzes mazumtirdzniecības cenas ievērojami pieauga salīdzinot 2016.gada otro pusi un 2017.gada otro pusi. Tostarp kaimiņvalstij Igaunijai bija lielākais mazumtirdzniecības cenu kāpums Eiropā, cena palielinājās par 26%.</w:t>
      </w:r>
    </w:p>
    <w:p w14:paraId="00CA18FD" w14:textId="384281D3" w:rsidR="00583754" w:rsidRPr="008B628A" w:rsidRDefault="00583754" w:rsidP="00C95640">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6731A5CE" wp14:editId="6C03B061">
            <wp:extent cx="4065326" cy="3992459"/>
            <wp:effectExtent l="19050" t="19050" r="11430"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rotWithShape="1">
                    <a:blip r:embed="rId57">
                      <a:extLst>
                        <a:ext uri="{28A0092B-C50C-407E-A947-70E740481C1C}">
                          <a14:useLocalDpi xmlns:a14="http://schemas.microsoft.com/office/drawing/2010/main" val="0"/>
                        </a:ext>
                      </a:extLst>
                    </a:blip>
                    <a:srcRect r="10817"/>
                    <a:stretch/>
                  </pic:blipFill>
                  <pic:spPr bwMode="auto">
                    <a:xfrm>
                      <a:off x="0" y="0"/>
                      <a:ext cx="4090229" cy="401691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642D5755" w14:textId="48709486" w:rsidR="0058375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76" w:name="_Toc531333126"/>
      <w:r w:rsidR="006067D4">
        <w:rPr>
          <w:noProof/>
        </w:rPr>
        <w:t>46</w:t>
      </w:r>
      <w:r w:rsidRPr="008B628A">
        <w:rPr>
          <w:noProof/>
        </w:rPr>
        <w:fldChar w:fldCharType="end"/>
      </w:r>
      <w:r w:rsidR="00C95640" w:rsidRPr="008B628A">
        <w:t xml:space="preserve">.attēls. </w:t>
      </w:r>
      <w:r w:rsidR="00583754" w:rsidRPr="008B628A">
        <w:t>Dabasgāzes cenu izmaiņas mājsaimniecību patērētājiem procentuāls salīdzinājums 2017.gada otrajam pusgadam ar 2016.gada otro pusgadu</w:t>
      </w:r>
      <w:r w:rsidR="00583754" w:rsidRPr="008B628A">
        <w:rPr>
          <w:rStyle w:val="FootnoteReference"/>
        </w:rPr>
        <w:footnoteReference w:id="217"/>
      </w:r>
      <w:bookmarkEnd w:id="376"/>
      <w:r w:rsidR="00583754" w:rsidRPr="008B628A">
        <w:t xml:space="preserve"> </w:t>
      </w:r>
    </w:p>
    <w:p w14:paraId="11D63006" w14:textId="77777777"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Kopumā dabasgāzes un citu energoresursu cenas, kā jau iepriekš minēts,  ir atkarīgas no dažādiem piegādes un pieprasījuma apstākļiem, tās ietekmē gan naftas cena, gan arī būtiska loma ir klimatiskajiem apstākļiem, piemēram, aukstu ziemu gadījumā, palielinās dabasgāzes pieprasījums, kā rezultātā Eiropas dabasgāzes krātuves tiek iztukšotas un pieaug dabasgāzes cena. </w:t>
      </w:r>
    </w:p>
    <w:p w14:paraId="00374838" w14:textId="428BCA78" w:rsidR="00583754" w:rsidRPr="008B628A" w:rsidRDefault="00285A00" w:rsidP="00C95640">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3DEDD4D" wp14:editId="7EDAEC2E">
            <wp:extent cx="4607643" cy="303548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9688" cy="3036836"/>
                    </a:xfrm>
                    <a:prstGeom prst="rect">
                      <a:avLst/>
                    </a:prstGeom>
                    <a:noFill/>
                    <a:ln w="3175">
                      <a:noFill/>
                    </a:ln>
                  </pic:spPr>
                </pic:pic>
              </a:graphicData>
            </a:graphic>
          </wp:inline>
        </w:drawing>
      </w:r>
    </w:p>
    <w:bookmarkStart w:id="377" w:name="_Hlk521409719"/>
    <w:p w14:paraId="63DA2E10" w14:textId="73BF7A18" w:rsidR="00583754" w:rsidRPr="008B628A" w:rsidRDefault="00C95640" w:rsidP="00CD366E">
      <w:pPr>
        <w:pStyle w:val="Caption"/>
        <w:rPr>
          <w:sz w:val="24"/>
          <w:szCs w:val="24"/>
        </w:rPr>
      </w:pPr>
      <w:r w:rsidRPr="008B628A">
        <w:rPr>
          <w:szCs w:val="24"/>
        </w:rPr>
        <w:lastRenderedPageBreak/>
        <w:fldChar w:fldCharType="begin"/>
      </w:r>
      <w:r w:rsidRPr="008B628A">
        <w:rPr>
          <w:szCs w:val="24"/>
        </w:rPr>
        <w:instrText xml:space="preserve"> SEQ Ilustrācija \* ARABIC </w:instrText>
      </w:r>
      <w:r w:rsidRPr="008B628A">
        <w:rPr>
          <w:szCs w:val="24"/>
        </w:rPr>
        <w:fldChar w:fldCharType="separate"/>
      </w:r>
      <w:bookmarkStart w:id="378" w:name="_Toc531333127"/>
      <w:r w:rsidR="006067D4">
        <w:rPr>
          <w:noProof/>
          <w:szCs w:val="24"/>
        </w:rPr>
        <w:t>47</w:t>
      </w:r>
      <w:r w:rsidRPr="008B628A">
        <w:rPr>
          <w:szCs w:val="24"/>
        </w:rPr>
        <w:fldChar w:fldCharType="end"/>
      </w:r>
      <w:r w:rsidRPr="008B628A">
        <w:t xml:space="preserve">.attēls. </w:t>
      </w:r>
      <w:r w:rsidR="00583754" w:rsidRPr="008B628A">
        <w:t xml:space="preserve">Dabasgāzes cenu izmaiņas patērētājiem, kuri nav mājsaimniecības, </w:t>
      </w:r>
      <w:r w:rsidR="00BB291A" w:rsidRPr="008B628A">
        <w:t>EUR</w:t>
      </w:r>
      <w:r w:rsidR="00583754" w:rsidRPr="008B628A">
        <w:t xml:space="preserve"> par kWh (pusgadā)</w:t>
      </w:r>
      <w:r w:rsidR="00583754" w:rsidRPr="008B628A">
        <w:rPr>
          <w:vertAlign w:val="superscript"/>
        </w:rPr>
        <w:footnoteReference w:id="218"/>
      </w:r>
      <w:bookmarkEnd w:id="378"/>
    </w:p>
    <w:bookmarkEnd w:id="377"/>
    <w:p w14:paraId="5274E5FF" w14:textId="6AD17FD3"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Dabasgāzes vairumtirdzniecības cenas attiecas uz sistēmas lietotāju, kura patēriņa apjoms ir lielāks par 25 tūkst.m</w:t>
      </w:r>
      <w:r w:rsidRPr="008B628A">
        <w:rPr>
          <w:rFonts w:ascii="Times New Roman" w:hAnsi="Times New Roman" w:cs="Times New Roman"/>
          <w:szCs w:val="24"/>
          <w:vertAlign w:val="superscript"/>
        </w:rPr>
        <w:t>3</w:t>
      </w:r>
      <w:r w:rsidRPr="008B628A">
        <w:rPr>
          <w:rFonts w:ascii="Times New Roman" w:hAnsi="Times New Roman" w:cs="Times New Roman"/>
          <w:szCs w:val="24"/>
        </w:rPr>
        <w:t xml:space="preserve"> dabasgāzes gadā. Latvijas dabasgāzes cenas lielajiem patērētājiem, kuri nav mājsaimniecības, kopumā ir zem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vidējā cenu līmeņa. Laika periodā no 2013.gada līdz 2017.gada beigām, Latvijas lielie patērētāji vidēji maksāja 0,0456 EUR/kWh, kas ir nedaudz vairāk kā vidēji Igaunijā (0,0433 EUR/kWh), bet mazāk kā vidēji Lietuvā (0,0469 EUR/kWh), un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kopā, kur vidējā vairumtirdzniecības cena no 2013.gada līdz 2017.gada noslēgumam ir 0,0659 EUR/kWh. </w:t>
      </w:r>
    </w:p>
    <w:p w14:paraId="69A84DC3" w14:textId="4E4D6BDD"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2014.gada noslēgumā dabasgāzes cena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bija īpaši kritusies saistībā ar zemo uzglabāšanas pieprasījumu pēc vidēji siltas ziemas un Āzijas zemo patēriņa pieprasījumu. 2015.gadā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vidējās dabasgāzes cenas turpināja kristies, neskatoties uz pieaugošajiem importa apmēriem.</w:t>
      </w:r>
      <w:r w:rsidRPr="008B628A">
        <w:rPr>
          <w:rStyle w:val="FootnoteReference"/>
          <w:rFonts w:ascii="Times New Roman" w:hAnsi="Times New Roman" w:cs="Times New Roman"/>
        </w:rPr>
        <w:footnoteReference w:id="219"/>
      </w:r>
      <w:r w:rsidRPr="008B628A">
        <w:rPr>
          <w:rFonts w:ascii="Times New Roman" w:hAnsi="Times New Roman" w:cs="Times New Roman"/>
          <w:szCs w:val="24"/>
        </w:rPr>
        <w:t xml:space="preserve"> </w:t>
      </w:r>
    </w:p>
    <w:p w14:paraId="78BC21C8" w14:textId="3128387E"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Atskatoties uz Latvijas dabasgāzes tirgus attīstību 2018.gada pirmajā pusē, viens no pozitīviem tirgus rādītājiem ir dabasgāzes vairumtirdzniecības cena, taču to, protams, ietekmēja arī vispārējais dabasgāzes cenu kritums Eiropā 2017.gada pirmajā pusē. Pēc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statistikas</w:t>
      </w:r>
      <w:r w:rsidRPr="008B628A">
        <w:rPr>
          <w:rStyle w:val="FootnoteReference"/>
          <w:rFonts w:ascii="Times New Roman" w:hAnsi="Times New Roman" w:cs="Times New Roman"/>
        </w:rPr>
        <w:footnoteReference w:id="220"/>
      </w:r>
      <w:r w:rsidRPr="008B628A">
        <w:rPr>
          <w:rFonts w:ascii="Times New Roman" w:hAnsi="Times New Roman" w:cs="Times New Roman"/>
          <w:szCs w:val="24"/>
        </w:rPr>
        <w:t xml:space="preserve"> datiem, Latvija </w:t>
      </w:r>
      <w:r w:rsidR="00E94F3D" w:rsidRPr="008B628A">
        <w:rPr>
          <w:rFonts w:ascii="Times New Roman" w:hAnsi="Times New Roman" w:cs="Times New Roman"/>
          <w:szCs w:val="24"/>
        </w:rPr>
        <w:t xml:space="preserve">2017.gadu </w:t>
      </w:r>
      <w:r w:rsidRPr="008B628A">
        <w:rPr>
          <w:rFonts w:ascii="Times New Roman" w:hAnsi="Times New Roman" w:cs="Times New Roman"/>
          <w:szCs w:val="24"/>
        </w:rPr>
        <w:t>ir noslēgusi ar vienu no zemākajām dabasgāzes vairumtirdzniecības cenām E</w:t>
      </w:r>
      <w:r w:rsidR="00E94F3D" w:rsidRPr="008B628A">
        <w:rPr>
          <w:rFonts w:ascii="Times New Roman" w:hAnsi="Times New Roman" w:cs="Times New Roman"/>
          <w:szCs w:val="24"/>
        </w:rPr>
        <w:t>S</w:t>
      </w:r>
      <w:r w:rsidRPr="008B628A">
        <w:rPr>
          <w:rFonts w:ascii="Times New Roman" w:hAnsi="Times New Roman" w:cs="Times New Roman"/>
          <w:szCs w:val="24"/>
        </w:rPr>
        <w:t xml:space="preserve"> – 17,11 EUR par megavatstundu 2017.gada 4.ceturksnī, kas ir zemākā cena visā Baltijas jūras reģionā un zemāka nekā vienā no aktīvākajiem Eiropas dabasgāzes tirgiem – Vācijā, kas, protams, ir acīmredzami pozitīvs signāls mūsu patērētājiem (Vācijas dabasgāzes cena atbilst tirdzniecības platformu </w:t>
      </w:r>
      <w:r w:rsidRPr="008B628A">
        <w:rPr>
          <w:rFonts w:ascii="Times New Roman" w:hAnsi="Times New Roman" w:cs="Times New Roman"/>
          <w:i/>
          <w:szCs w:val="24"/>
        </w:rPr>
        <w:t>hub</w:t>
      </w:r>
      <w:r w:rsidRPr="008B628A">
        <w:rPr>
          <w:rFonts w:ascii="Times New Roman" w:hAnsi="Times New Roman" w:cs="Times New Roman"/>
          <w:szCs w:val="24"/>
        </w:rPr>
        <w:t xml:space="preserve"> cenai). Ir svarīgi piebilst, ka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apkopotā statistika par dabasgāzes vairumtirdzniecības cenu, kura tiek aprēķināta, balstoties uz muitas iestāžu sniegtajiem datiem, ne vienmēr precīzi raksturo konkrētiem klientiem pieejamo faktisko dabasgāzes cenu, tomēr, ņemot vērā to, ka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statistiku E</w:t>
      </w:r>
      <w:r w:rsidR="00E94F3D" w:rsidRPr="008B628A">
        <w:rPr>
          <w:rFonts w:ascii="Times New Roman" w:hAnsi="Times New Roman" w:cs="Times New Roman"/>
          <w:szCs w:val="24"/>
        </w:rPr>
        <w:t>S</w:t>
      </w:r>
      <w:r w:rsidRPr="008B628A">
        <w:rPr>
          <w:rFonts w:ascii="Times New Roman" w:hAnsi="Times New Roman" w:cs="Times New Roman"/>
          <w:szCs w:val="24"/>
        </w:rPr>
        <w:t xml:space="preserve"> valstīs apkopo pēc vienotas metodoloģijas, statistika ir jāvērtē galvenokārt kā instruments, kas ļauj salīdzināt dabasgāzes vairumtirdzniecības cenu svārstību tendences starp dažādām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valstīm.</w:t>
      </w:r>
    </w:p>
    <w:p w14:paraId="6468DDBB" w14:textId="1CCEC078"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Ņemot vērā </w:t>
      </w:r>
      <w:r w:rsidR="00E94F3D" w:rsidRPr="008B628A">
        <w:rPr>
          <w:rFonts w:ascii="Times New Roman" w:hAnsi="Times New Roman" w:cs="Times New Roman"/>
          <w:szCs w:val="24"/>
        </w:rPr>
        <w:t>EK</w:t>
      </w:r>
      <w:r w:rsidRPr="008B628A">
        <w:rPr>
          <w:rFonts w:ascii="Times New Roman" w:hAnsi="Times New Roman" w:cs="Times New Roman"/>
          <w:szCs w:val="24"/>
        </w:rPr>
        <w:t xml:space="preserve"> dabasgāzes tirgus ceturkšņa atskaitēs</w:t>
      </w:r>
      <w:r w:rsidRPr="008B628A">
        <w:rPr>
          <w:rFonts w:ascii="Times New Roman" w:hAnsi="Times New Roman" w:cs="Times New Roman"/>
          <w:szCs w:val="24"/>
          <w:vertAlign w:val="superscript"/>
        </w:rPr>
        <w:t xml:space="preserve">12 </w:t>
      </w:r>
      <w:r w:rsidRPr="008B628A">
        <w:rPr>
          <w:rFonts w:ascii="Times New Roman" w:hAnsi="Times New Roman" w:cs="Times New Roman"/>
          <w:szCs w:val="24"/>
        </w:rPr>
        <w:t xml:space="preserve">sniegto </w:t>
      </w:r>
      <w:r w:rsidR="00FD6D1E" w:rsidRPr="008B628A">
        <w:rPr>
          <w:rFonts w:ascii="Times New Roman" w:hAnsi="Times New Roman" w:cs="Times New Roman"/>
          <w:szCs w:val="24"/>
        </w:rPr>
        <w:t>informāciju</w:t>
      </w:r>
      <w:r w:rsidRPr="008B628A">
        <w:rPr>
          <w:rFonts w:ascii="Times New Roman" w:hAnsi="Times New Roman" w:cs="Times New Roman"/>
          <w:szCs w:val="24"/>
        </w:rPr>
        <w:t xml:space="preserve">, 2017.gada ceturtais ceturksnis (septembris,  oktobris, novembris, decembris) tika noslēgts ar dabasgāzes patēriņa samazinājumu visā Eiropā, kur ievērojamākais dabasgāzes patēriņa samazinājums salīdzinot ar šo pašu laika periodu 2016.gadā, bija vērojams Dānijā (-7%), Zviedrijā (-17%), Somijā (-16%), kā arī Latvijā (-13%). Tik krass patēriņa samazinājums skaidrojams ar salīdzinoši augstu gaisa temperatūru ziemas mēnešos Ziemeļeiropas teritorijā. Kopumā gan Baltijas valstu, gan Ziemeļeiropas dabasgāzes patēriņš 2017.gadā bija zemāks salīdzinot ar 2014.gadu, taču tas saistīts ar laikapstākļiem. </w:t>
      </w:r>
    </w:p>
    <w:p w14:paraId="260F3450" w14:textId="5D06B48F" w:rsidR="00583754" w:rsidRPr="008B628A" w:rsidRDefault="00E94F3D"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Zemā redzamajā </w:t>
      </w:r>
      <w:r w:rsidR="00583754" w:rsidRPr="008B628A">
        <w:rPr>
          <w:rFonts w:ascii="Times New Roman" w:hAnsi="Times New Roman" w:cs="Times New Roman"/>
          <w:szCs w:val="24"/>
        </w:rPr>
        <w:t>attēl</w:t>
      </w:r>
      <w:r w:rsidRPr="008B628A">
        <w:rPr>
          <w:rFonts w:ascii="Times New Roman" w:hAnsi="Times New Roman" w:cs="Times New Roman"/>
          <w:szCs w:val="24"/>
        </w:rPr>
        <w:t xml:space="preserve">ā ir </w:t>
      </w:r>
      <w:r w:rsidR="00583754" w:rsidRPr="008B628A">
        <w:rPr>
          <w:rFonts w:ascii="Times New Roman" w:hAnsi="Times New Roman" w:cs="Times New Roman"/>
          <w:szCs w:val="24"/>
        </w:rPr>
        <w:t>indikatīvi atspoguļotas atšķirīgas uzvarējušo piedāvājumu dabasgāzes tirdzniecības vidējās cenas un cenu diapazoni</w:t>
      </w:r>
      <w:r w:rsidR="00583754" w:rsidRPr="008B628A">
        <w:t xml:space="preserve"> </w:t>
      </w:r>
      <w:r w:rsidR="00583754" w:rsidRPr="008B628A">
        <w:rPr>
          <w:rFonts w:ascii="Times New Roman" w:hAnsi="Times New Roman" w:cs="Times New Roman"/>
          <w:szCs w:val="24"/>
        </w:rPr>
        <w:t>neskaitot sistēmas pakalpojuma tarifus. Cenas izdalītas trijās patēriņa grupās – patēriņ</w:t>
      </w:r>
      <w:r w:rsidR="00C95640" w:rsidRPr="008B628A">
        <w:rPr>
          <w:rFonts w:ascii="Times New Roman" w:hAnsi="Times New Roman" w:cs="Times New Roman"/>
          <w:szCs w:val="24"/>
        </w:rPr>
        <w:t>š līdz 1000, 2500 un 55 000 MWh.</w:t>
      </w:r>
    </w:p>
    <w:p w14:paraId="08EB7180" w14:textId="41E3E3DE" w:rsidR="00583754" w:rsidRPr="008B628A" w:rsidRDefault="00C95640" w:rsidP="00C95640">
      <w:pPr>
        <w:spacing w:before="120" w:after="120" w:line="240" w:lineRule="auto"/>
        <w:jc w:val="center"/>
        <w:rPr>
          <w:rFonts w:ascii="Times New Roman" w:hAnsi="Times New Roman" w:cs="Times New Roman"/>
          <w:color w:val="FF0000"/>
          <w:szCs w:val="24"/>
        </w:rPr>
      </w:pPr>
      <w:r w:rsidRPr="008B628A">
        <w:rPr>
          <w:rFonts w:ascii="Times New Roman" w:hAnsi="Times New Roman" w:cs="Times New Roman"/>
          <w:noProof/>
          <w:color w:val="FF0000"/>
          <w:szCs w:val="24"/>
          <w:lang w:eastAsia="lv-LV"/>
        </w:rPr>
        <w:lastRenderedPageBreak/>
        <w:drawing>
          <wp:inline distT="0" distB="0" distL="0" distR="0" wp14:anchorId="5F7AD302" wp14:editId="7884887B">
            <wp:extent cx="4465809" cy="25570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5107" cy="2562420"/>
                    </a:xfrm>
                    <a:prstGeom prst="rect">
                      <a:avLst/>
                    </a:prstGeom>
                    <a:noFill/>
                    <a:ln>
                      <a:noFill/>
                    </a:ln>
                  </pic:spPr>
                </pic:pic>
              </a:graphicData>
            </a:graphic>
          </wp:inline>
        </w:drawing>
      </w:r>
    </w:p>
    <w:p w14:paraId="4B6DF6B1" w14:textId="334C107B" w:rsidR="0058375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79" w:name="_Toc531333128"/>
      <w:r w:rsidR="006067D4">
        <w:rPr>
          <w:noProof/>
        </w:rPr>
        <w:t>48</w:t>
      </w:r>
      <w:r w:rsidRPr="008B628A">
        <w:rPr>
          <w:noProof/>
        </w:rPr>
        <w:fldChar w:fldCharType="end"/>
      </w:r>
      <w:r w:rsidR="00C95640" w:rsidRPr="008B628A">
        <w:t xml:space="preserve">.attēls. </w:t>
      </w:r>
      <w:r w:rsidR="00583754" w:rsidRPr="008B628A">
        <w:t>Indikatīvās dabasgāzes tirdzniecības vidējās cenas un cenu diapazoni saskaņā ar notikušiem iepirkumiem juridiskajām personām</w:t>
      </w:r>
      <w:r w:rsidR="00583754" w:rsidRPr="008B628A">
        <w:rPr>
          <w:rStyle w:val="FootnoteReference"/>
        </w:rPr>
        <w:footnoteReference w:id="221"/>
      </w:r>
      <w:bookmarkEnd w:id="379"/>
    </w:p>
    <w:p w14:paraId="35C87B5E" w14:textId="534DEA0E" w:rsidR="00583754" w:rsidRDefault="00C95640" w:rsidP="00C2061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w:t>
      </w:r>
      <w:r w:rsidR="00583754" w:rsidRPr="008B628A">
        <w:rPr>
          <w:rFonts w:ascii="Times New Roman" w:hAnsi="Times New Roman" w:cs="Times New Roman"/>
          <w:szCs w:val="24"/>
        </w:rPr>
        <w:t>prēķini veikti balstoties uz izlases veidā atlasītu dabasgāzes patērētāju faktiski noslēgto līgumu publiskoto informāciju par līgumā ietverto dabasgāzes vienas vienības cenu, kura neietver izmaksas par dabasgāzes sadales un pārvades pakalpojumiem,  un neatspoguļo noslēgto līguma citus nosacījumus, kas var ietekmēt šo līgumu saimniecisko izdevīgumu. 6.attēlā redzamajām cenām ir informatīvs rakstus un tās parāda kāda bijusi uzvarējusī cena izlases veidā atlasītiem iepirkumiem 2017.gadā salīdzinot ar 2018.gadu vienā laika periodā – gada trešajā ceturksnī, lai būtu iespējams salīdzināmi uztvert faktiski notikušos darījumus. Šīm cenām ir informatīvs raksturs un reālās dabasgāzes tirgus cenas katram patērētājam ir atšķirīgas atkarībā no noslēgtā līguma. 6.attēlā redzamās cenas ir fiksētās cenas līguma darbības periodā, savukārt līgumu ietvaros, kuros dabasgāzes cena ir piesaistīta tirgus indeksiem vai balstīta uz citiem iespējamajiem nosacījumiem, cenas minētajos periodos var būt piedzīvojušas svārstības.</w:t>
      </w:r>
    </w:p>
    <w:p w14:paraId="2BF04471" w14:textId="77777777" w:rsidR="00C20617" w:rsidRPr="0017515F" w:rsidRDefault="00C20617" w:rsidP="00C20617">
      <w:pPr>
        <w:pStyle w:val="Heading4"/>
      </w:pPr>
      <w:bookmarkStart w:id="380" w:name="_Ref518574991"/>
      <w:bookmarkStart w:id="381" w:name="_Toc527529566"/>
      <w:r w:rsidRPr="0017515F">
        <w:t>Attīstības prognozes</w:t>
      </w:r>
      <w:bookmarkEnd w:id="380"/>
      <w:bookmarkEnd w:id="381"/>
    </w:p>
    <w:p w14:paraId="3B7E6E81" w14:textId="77777777" w:rsidR="00C20617" w:rsidRPr="00C20617" w:rsidRDefault="00C20617" w:rsidP="00C20617">
      <w:pPr>
        <w:pStyle w:val="paragraph"/>
        <w:spacing w:before="120" w:beforeAutospacing="0" w:after="120" w:afterAutospacing="0"/>
        <w:jc w:val="both"/>
        <w:textAlignment w:val="baseline"/>
      </w:pPr>
      <w:r w:rsidRPr="00C20617">
        <w:t>Tā kā Latvijā patērētā elektroenerģija tiek pirkta Nord Pool vairumtirdzniecības biržā, Baltijas un Ziemeļvalstu elektroenerģijas tirgus ir ļoti saistīts. Ziemeļvalstīs liela daļa elektroenerģijas tiek iegūta no ūdens un vēja resursiem. 2018. gada sausuma dēļ bija ierobežota hidroloģisko resursu pieejamība kā Latvijā, tā Ziemeļvalstīs, kas attiecīgi ietekmēja hidroelektrostaciju elektroenerģijas izstrādi un tostarp arī apgrūtināja, piemēram, atomelektrostaciju dzesēšanu Ziemeļvalstīs. Ilgstoši karstā laikā arī vēja ātrums samazinās, ierobežojot arī vēja elektrostaciju elektroenerģijas izstrādi.  Vienlaikus, karstuma dēļ pieauga dzesēšanas un kondicionēšanas iekārtu izmantošana kā privātajā, tā industriālajā sektorā, palielinot kopējo elektroenerģijas patēriņu Eiropas valstīs.  Sausuma, zema vēja ātruma dēļ elektroenerģiju saražot pietiekamā daudzumā, izmantojot vien hidroelektrostaciju un vēja staciju jaudu, nebija iespējams, tāpēc elektrības ražošanai vairāk tika izmantotas fosilā kurināmā stacijas. Līdz ar vispārējo energoresursu (naftas, dabasgāzes, ogļu) cenu pieaugumu pasaulē, kā arī CO</w:t>
      </w:r>
      <w:r w:rsidRPr="00C432CC">
        <w:rPr>
          <w:vertAlign w:val="subscript"/>
        </w:rPr>
        <w:t>2</w:t>
      </w:r>
      <w:r w:rsidRPr="00C20617">
        <w:t xml:space="preserve"> kvotu cenas pieaugumu, elektroenerģijas cena gada laikā būtiski pieaugusi arī Latvijā. Ziemeļvalstīs kopš pērnā gada augusta cenas pieaugušas par 88 %, Igaunijā par 52 %, mums Latvijā – par 58 %. Elektroenerģijas tirgus cena 2019. gadā varētu palikt nemainīga. Tomēr svarīgi, kādi būs turpmākie laikapstākļi gan Skandināvijas valstīs, gan Latvijā – cik ziema būs bagāta ar sniegu, cik lietains būs nākamais pavasaris, lai nodrošinātu hidroelektrostacijas ar hidroresursiem.</w:t>
      </w:r>
    </w:p>
    <w:p w14:paraId="6F18F808" w14:textId="7C622154" w:rsidR="00C20617" w:rsidRPr="00C20617" w:rsidRDefault="00C20617" w:rsidP="00C20617">
      <w:pPr>
        <w:spacing w:before="120" w:after="120" w:line="240" w:lineRule="auto"/>
        <w:jc w:val="both"/>
        <w:rPr>
          <w:rFonts w:ascii="Times New Roman" w:hAnsi="Times New Roman" w:cs="Times New Roman"/>
          <w:szCs w:val="24"/>
        </w:rPr>
      </w:pPr>
      <w:r w:rsidRPr="00C20617">
        <w:rPr>
          <w:rFonts w:ascii="Times New Roman" w:hAnsi="Times New Roman" w:cs="Times New Roman"/>
        </w:rPr>
        <w:t xml:space="preserve">2017.gadā vidējā dabasgāzes tirdzniecības cena Latvijā bija par 2,60 EUR/MWh augstāka nekā 2016. gadā. Tiek prognozēts, ka dabazgāzes cena turpinās kāpt. Lai gan laika posmā no 2014. līdz </w:t>
      </w:r>
      <w:r w:rsidRPr="00C20617">
        <w:rPr>
          <w:rFonts w:ascii="Times New Roman" w:hAnsi="Times New Roman" w:cs="Times New Roman"/>
        </w:rPr>
        <w:lastRenderedPageBreak/>
        <w:t>2016. gadam dabasgāze Latvijā un Eiropā kļuva lētāka, no 2017. gada atkal vērojams cenu kāpums. Vācijas Gaspool biržā dabasgāzes cena 2018. gada augustā bija par 5,20 EUR/MWh augstāka nekā 2017. gada janvārī, savukārt Nīderlandes Title Transfer Facility (TTF) biržā cena pieaugusi par 4,73 EUR/MWh. Tiek prognozēts, ka cenas Gaspool un TTF biržās turpinās kāpt. Attiecīgi dabasgāze varētu kļūt dārgāka arī Latvijā. Nākotnē dabasgāzes cenas ietekmēs daudzi savstarpēji saistīti faktori, tostarp dabasgāzes cenu svārstības biržās un ģeopolitiskie notikumi pasaulē. Vienlaikus jāuzsver, ka pirms tirgus atvēršanas Latvijā dabasgāzes cenas bija būtiski augstākas nekā Gaspool un TTF biržās.</w:t>
      </w:r>
    </w:p>
    <w:p w14:paraId="003EC0BE" w14:textId="477F6A8B" w:rsidR="008B0374" w:rsidRPr="008B628A" w:rsidRDefault="008B0374" w:rsidP="00C20617">
      <w:pPr>
        <w:pStyle w:val="Heading3"/>
      </w:pPr>
      <w:bookmarkStart w:id="382" w:name="_Toc527529567"/>
      <w:r w:rsidRPr="008B628A">
        <w:t>Enerģētiskā nabadzība un enerģētiskā pieejamība</w:t>
      </w:r>
      <w:bookmarkEnd w:id="382"/>
    </w:p>
    <w:p w14:paraId="7E272CE3" w14:textId="15363668" w:rsidR="008B0374" w:rsidRPr="008B628A" w:rsidRDefault="008B0374" w:rsidP="00C20617">
      <w:pPr>
        <w:spacing w:before="120" w:after="120" w:line="240" w:lineRule="auto"/>
        <w:jc w:val="both"/>
        <w:rPr>
          <w:rFonts w:ascii="Times New Roman" w:hAnsi="Times New Roman" w:cs="Times New Roman"/>
        </w:rPr>
      </w:pPr>
      <w:r w:rsidRPr="008B628A">
        <w:rPr>
          <w:rFonts w:ascii="Times New Roman" w:hAnsi="Times New Roman" w:cs="Times New Roman"/>
        </w:rPr>
        <w:t>2016.gadā Latvijā mājsaimniecības par tādiem izdevumiem kā mājoklis, ūdens, elektroenerģija, gāze un cits kurināmais, tērēja apmēram 15,3% no kopējā mājsaimniecību patēriņa izdevumu apjoma, kas ir apmēram par 27,5% vairāk nekā 2005.gada</w:t>
      </w:r>
      <w:r w:rsidR="00B5366C" w:rsidRPr="008B628A">
        <w:rPr>
          <w:rFonts w:ascii="Times New Roman" w:hAnsi="Times New Roman" w:cs="Times New Roman"/>
        </w:rPr>
        <w:t>.</w:t>
      </w:r>
    </w:p>
    <w:bookmarkEnd w:id="363"/>
    <w:p w14:paraId="07874119" w14:textId="7FFC6262" w:rsidR="00581156" w:rsidRPr="008B628A" w:rsidRDefault="0093145C" w:rsidP="0093145C">
      <w:pPr>
        <w:spacing w:before="120" w:after="120" w:line="240" w:lineRule="auto"/>
        <w:jc w:val="both"/>
        <w:rPr>
          <w:rFonts w:ascii="Times New Roman" w:hAnsi="Times New Roman" w:cs="Times New Roman"/>
        </w:rPr>
      </w:pPr>
      <w:r w:rsidRPr="008B628A">
        <w:rPr>
          <w:rFonts w:ascii="Times New Roman" w:hAnsi="Times New Roman" w:cs="Times New Roman"/>
        </w:rPr>
        <w:t>EUROSTAT</w:t>
      </w:r>
      <w:r w:rsidR="00B5366C" w:rsidRPr="008B628A">
        <w:rPr>
          <w:rFonts w:ascii="Times New Roman" w:hAnsi="Times New Roman" w:cs="Times New Roman"/>
        </w:rPr>
        <w:t xml:space="preserve"> dati rāda, ka 2015. gadā siltuma nodrošināšana mājoklī naudas trūkuma dēļ bija liegta 14,5 procentiem Latvijas iedzīvotāju. </w:t>
      </w:r>
      <w:r w:rsidR="00DC13FC" w:rsidRPr="008B628A">
        <w:rPr>
          <w:rFonts w:ascii="Times New Roman" w:hAnsi="Times New Roman" w:cs="Times New Roman"/>
        </w:rPr>
        <w:t>Savukārt 2016.gadā šis rādītājs ir samazinājies līdz 10,6%</w:t>
      </w:r>
      <w:r w:rsidR="000671F8" w:rsidRPr="008B628A">
        <w:rPr>
          <w:rFonts w:ascii="Times New Roman" w:hAnsi="Times New Roman" w:cs="Times New Roman"/>
        </w:rPr>
        <w:t xml:space="preserve">, bet </w:t>
      </w:r>
      <w:r w:rsidR="000671F8" w:rsidRPr="008B628A">
        <w:rPr>
          <w:rFonts w:ascii="Times New Roman" w:hAnsi="Times New Roman" w:cs="Times New Roman"/>
          <w:shd w:val="clear" w:color="auto" w:fill="FFFFFF"/>
        </w:rPr>
        <w:t>2017.gadā – 9,7%</w:t>
      </w:r>
      <w:r w:rsidR="000671F8" w:rsidRPr="008B628A">
        <w:rPr>
          <w:rStyle w:val="FootnoteReference"/>
          <w:rFonts w:ascii="Times New Roman" w:hAnsi="Times New Roman" w:cs="Times New Roman"/>
          <w:shd w:val="clear" w:color="auto" w:fill="FFFFFF"/>
        </w:rPr>
        <w:footnoteReference w:id="222"/>
      </w:r>
      <w:r w:rsidR="00DC13FC" w:rsidRPr="008B628A">
        <w:rPr>
          <w:rFonts w:ascii="Times New Roman" w:hAnsi="Times New Roman" w:cs="Times New Roman"/>
        </w:rPr>
        <w:t xml:space="preserve">. </w:t>
      </w:r>
      <w:r w:rsidR="00B5366C" w:rsidRPr="008B628A">
        <w:rPr>
          <w:rFonts w:ascii="Times New Roman" w:hAnsi="Times New Roman" w:cs="Times New Roman"/>
        </w:rPr>
        <w:t xml:space="preserve">Vidēji Eiropā šādas problēmas ir 9,4% iedzīvotāju. Savukārt </w:t>
      </w:r>
      <w:r w:rsidR="00C20617">
        <w:rPr>
          <w:rFonts w:ascii="Times New Roman" w:hAnsi="Times New Roman" w:cs="Times New Roman"/>
        </w:rPr>
        <w:t>A/S “</w:t>
      </w:r>
      <w:r w:rsidR="00B5366C" w:rsidRPr="008B628A">
        <w:rPr>
          <w:rFonts w:ascii="Times New Roman" w:hAnsi="Times New Roman" w:cs="Times New Roman"/>
        </w:rPr>
        <w:t>Swedbank</w:t>
      </w:r>
      <w:r w:rsidR="00C20617">
        <w:rPr>
          <w:rFonts w:ascii="Times New Roman" w:hAnsi="Times New Roman" w:cs="Times New Roman"/>
        </w:rPr>
        <w:t>”</w:t>
      </w:r>
      <w:r w:rsidR="00B5366C" w:rsidRPr="008B628A">
        <w:rPr>
          <w:rFonts w:ascii="Times New Roman" w:hAnsi="Times New Roman" w:cs="Times New Roman"/>
        </w:rPr>
        <w:t xml:space="preserve"> privātpersonu finanšu institūta pērnā gada aprēķins liecina, ka ar apkuri un elektroenerģiju saistīto rēķinu izmaksas Latvijas iedzīvotājiem prasa vidēji 8 procentus ienākumu.</w:t>
      </w:r>
    </w:p>
    <w:p w14:paraId="0FA8B922" w14:textId="5746174F" w:rsidR="000671F8" w:rsidRPr="008B628A" w:rsidRDefault="000671F8" w:rsidP="0093145C">
      <w:pPr>
        <w:spacing w:before="120" w:after="120" w:line="240" w:lineRule="auto"/>
        <w:jc w:val="both"/>
        <w:rPr>
          <w:rFonts w:ascii="Times New Roman" w:hAnsi="Times New Roman" w:cs="Times New Roman"/>
          <w:sz w:val="22"/>
          <w:shd w:val="clear" w:color="auto" w:fill="FFFFFF"/>
        </w:rPr>
      </w:pPr>
      <w:r w:rsidRPr="008B628A">
        <w:rPr>
          <w:rFonts w:ascii="Times New Roman" w:hAnsi="Times New Roman" w:cs="Times New Roman"/>
          <w:shd w:val="clear" w:color="auto" w:fill="FFFFFF"/>
        </w:rPr>
        <w:t>Šo rādītāju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8B628A">
        <w:rPr>
          <w:rStyle w:val="FootnoteReference"/>
          <w:rFonts w:ascii="Times New Roman" w:hAnsi="Times New Roman" w:cs="Times New Roman"/>
          <w:shd w:val="clear" w:color="auto" w:fill="FFFFFF"/>
        </w:rPr>
        <w:footnoteReference w:id="223"/>
      </w:r>
      <w:r w:rsidRPr="008B628A">
        <w:rPr>
          <w:rFonts w:ascii="Times New Roman" w:hAnsi="Times New Roman" w:cs="Times New Roman"/>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6D30C4A" w14:textId="25B7962A" w:rsidR="000671F8" w:rsidRPr="008B628A" w:rsidRDefault="000671F8" w:rsidP="0093145C">
      <w:pPr>
        <w:pStyle w:val="Caption"/>
        <w:rPr>
          <w:i/>
          <w:shd w:val="clear" w:color="auto" w:fill="FFFFFF"/>
        </w:rPr>
      </w:pPr>
      <w:r w:rsidRPr="008B628A">
        <w:rPr>
          <w:noProof/>
        </w:rPr>
        <w:fldChar w:fldCharType="begin"/>
      </w:r>
      <w:r w:rsidRPr="008B628A">
        <w:rPr>
          <w:noProof/>
        </w:rPr>
        <w:instrText xml:space="preserve"> SEQ Tabula \* ARABIC </w:instrText>
      </w:r>
      <w:r w:rsidRPr="008B628A">
        <w:rPr>
          <w:noProof/>
        </w:rPr>
        <w:fldChar w:fldCharType="separate"/>
      </w:r>
      <w:bookmarkStart w:id="383" w:name="_Toc531333158"/>
      <w:r w:rsidR="006067D4">
        <w:rPr>
          <w:noProof/>
        </w:rPr>
        <w:t>16</w:t>
      </w:r>
      <w:r w:rsidRPr="008B628A">
        <w:rPr>
          <w:noProof/>
        </w:rPr>
        <w:fldChar w:fldCharType="end"/>
      </w:r>
      <w:r w:rsidRPr="008B628A">
        <w:t>.tabula. Mājsaimniecības, kuras naudas trūkuma dēļ nevarēja atļauties uzturēt siltu mājokli</w:t>
      </w:r>
      <w:r w:rsidRPr="008B628A">
        <w:rPr>
          <w:i/>
          <w:iCs w:val="0"/>
          <w:shd w:val="clear" w:color="auto" w:fill="FFFFFF"/>
        </w:rPr>
        <w:t xml:space="preserve"> (%)</w:t>
      </w:r>
      <w:r w:rsidRPr="008B628A">
        <w:rPr>
          <w:rStyle w:val="FootnoteReference"/>
          <w:i/>
          <w:iCs w:val="0"/>
          <w:shd w:val="clear" w:color="auto" w:fill="FFFFFF"/>
        </w:rPr>
        <w:footnoteReference w:id="224"/>
      </w:r>
      <w:bookmarkEnd w:id="383"/>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387"/>
        <w:gridCol w:w="1843"/>
        <w:gridCol w:w="1134"/>
      </w:tblGrid>
      <w:tr w:rsidR="0093145C" w:rsidRPr="008B628A" w14:paraId="4293BF0C" w14:textId="77777777" w:rsidTr="0093145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B62E6" w14:textId="7C84F2A5"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Mājsaimniecības veids</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5E0098" w14:textId="77777777"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2016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9CEE9" w14:textId="77777777"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2017</w:t>
            </w:r>
          </w:p>
        </w:tc>
      </w:tr>
      <w:tr w:rsidR="000671F8" w:rsidRPr="008B628A" w14:paraId="79871EBF"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91519AF"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(no visiem iedzīvotājiem)</w:t>
            </w:r>
          </w:p>
        </w:tc>
      </w:tr>
      <w:tr w:rsidR="000671F8" w:rsidRPr="008B628A" w14:paraId="0268D688"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FB36CDD"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31642E48"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20,1</w:t>
            </w:r>
          </w:p>
        </w:tc>
        <w:tc>
          <w:tcPr>
            <w:tcW w:w="1134" w:type="dxa"/>
            <w:tcBorders>
              <w:top w:val="single" w:sz="4" w:space="0" w:color="auto"/>
              <w:left w:val="single" w:sz="4" w:space="0" w:color="auto"/>
              <w:bottom w:val="single" w:sz="4" w:space="0" w:color="auto"/>
              <w:right w:val="single" w:sz="4" w:space="0" w:color="auto"/>
            </w:tcBorders>
            <w:hideMark/>
          </w:tcPr>
          <w:p w14:paraId="6B504B62"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16,8</w:t>
            </w:r>
          </w:p>
        </w:tc>
      </w:tr>
      <w:tr w:rsidR="000671F8" w:rsidRPr="008B628A" w14:paraId="0401FFD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0AFAD07D"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531CFDE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10,9</w:t>
            </w:r>
          </w:p>
        </w:tc>
        <w:tc>
          <w:tcPr>
            <w:tcW w:w="1134" w:type="dxa"/>
            <w:tcBorders>
              <w:top w:val="single" w:sz="4" w:space="0" w:color="auto"/>
              <w:left w:val="single" w:sz="4" w:space="0" w:color="auto"/>
              <w:bottom w:val="single" w:sz="4" w:space="0" w:color="auto"/>
              <w:right w:val="single" w:sz="4" w:space="0" w:color="auto"/>
            </w:tcBorders>
            <w:hideMark/>
          </w:tcPr>
          <w:p w14:paraId="1A45D4D0" w14:textId="16599C27"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10,7</w:t>
            </w:r>
          </w:p>
        </w:tc>
      </w:tr>
      <w:tr w:rsidR="000671F8" w:rsidRPr="008B628A" w14:paraId="600307BD"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5BBF96A4" w14:textId="3C99E9E2"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(nabadzības riskam pakļauta</w:t>
            </w:r>
            <w:r w:rsidR="008955F9">
              <w:rPr>
                <w:rFonts w:ascii="Times New Roman" w:hAnsi="Times New Roman" w:cs="Times New Roman"/>
                <w:szCs w:val="24"/>
                <w:shd w:val="clear" w:color="auto" w:fill="FFFFFF"/>
              </w:rPr>
              <w:t xml:space="preserve">, </w:t>
            </w:r>
            <w:r w:rsidRPr="008B628A">
              <w:rPr>
                <w:rFonts w:ascii="Times New Roman" w:hAnsi="Times New Roman" w:cs="Times New Roman"/>
                <w:szCs w:val="24"/>
                <w:shd w:val="clear" w:color="auto" w:fill="FFFFFF"/>
              </w:rPr>
              <w:t xml:space="preserve"> turpmāk – NRP)</w:t>
            </w:r>
          </w:p>
        </w:tc>
      </w:tr>
      <w:tr w:rsidR="000671F8" w:rsidRPr="008B628A" w14:paraId="23CF6F7B"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F4CC8A8"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6FBABD8E"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27,8</w:t>
            </w:r>
          </w:p>
        </w:tc>
        <w:tc>
          <w:tcPr>
            <w:tcW w:w="1134" w:type="dxa"/>
            <w:tcBorders>
              <w:top w:val="single" w:sz="4" w:space="0" w:color="auto"/>
              <w:left w:val="single" w:sz="4" w:space="0" w:color="auto"/>
              <w:bottom w:val="single" w:sz="4" w:space="0" w:color="auto"/>
              <w:right w:val="single" w:sz="4" w:space="0" w:color="auto"/>
            </w:tcBorders>
            <w:hideMark/>
          </w:tcPr>
          <w:p w14:paraId="6A06D96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23,8</w:t>
            </w:r>
          </w:p>
        </w:tc>
      </w:tr>
      <w:tr w:rsidR="000671F8" w:rsidRPr="008B628A" w14:paraId="5BE88492"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7F48F75"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2C306A2D"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19,3</w:t>
            </w:r>
          </w:p>
        </w:tc>
        <w:tc>
          <w:tcPr>
            <w:tcW w:w="1134" w:type="dxa"/>
            <w:tcBorders>
              <w:top w:val="single" w:sz="4" w:space="0" w:color="auto"/>
              <w:left w:val="single" w:sz="4" w:space="0" w:color="auto"/>
              <w:bottom w:val="single" w:sz="4" w:space="0" w:color="auto"/>
              <w:right w:val="single" w:sz="4" w:space="0" w:color="auto"/>
            </w:tcBorders>
            <w:hideMark/>
          </w:tcPr>
          <w:p w14:paraId="5865FEB0"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19,7</w:t>
            </w:r>
          </w:p>
        </w:tc>
      </w:tr>
      <w:tr w:rsidR="000671F8" w:rsidRPr="008B628A" w14:paraId="6FCA441F"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0232BEB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virs 65 gadu vecuma (NRP)</w:t>
            </w:r>
          </w:p>
        </w:tc>
      </w:tr>
      <w:tr w:rsidR="000671F8" w:rsidRPr="008B628A" w14:paraId="75A3A2E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DA43F77"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61239FDB"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34,5</w:t>
            </w:r>
          </w:p>
        </w:tc>
        <w:tc>
          <w:tcPr>
            <w:tcW w:w="1134" w:type="dxa"/>
            <w:tcBorders>
              <w:top w:val="single" w:sz="4" w:space="0" w:color="auto"/>
              <w:left w:val="single" w:sz="4" w:space="0" w:color="auto"/>
              <w:bottom w:val="single" w:sz="4" w:space="0" w:color="auto"/>
              <w:right w:val="single" w:sz="4" w:space="0" w:color="auto"/>
            </w:tcBorders>
            <w:hideMark/>
          </w:tcPr>
          <w:p w14:paraId="2EB8766B"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27,8</w:t>
            </w:r>
          </w:p>
        </w:tc>
      </w:tr>
      <w:tr w:rsidR="000671F8" w:rsidRPr="008B628A" w14:paraId="413F089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21ACCB4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7CFE994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20,6</w:t>
            </w:r>
          </w:p>
        </w:tc>
        <w:tc>
          <w:tcPr>
            <w:tcW w:w="1134" w:type="dxa"/>
            <w:tcBorders>
              <w:top w:val="single" w:sz="4" w:space="0" w:color="auto"/>
              <w:left w:val="single" w:sz="4" w:space="0" w:color="auto"/>
              <w:bottom w:val="single" w:sz="4" w:space="0" w:color="auto"/>
              <w:right w:val="single" w:sz="4" w:space="0" w:color="auto"/>
            </w:tcBorders>
            <w:hideMark/>
          </w:tcPr>
          <w:p w14:paraId="4E4B7E74" w14:textId="4A7E8171"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20,3</w:t>
            </w:r>
          </w:p>
        </w:tc>
      </w:tr>
      <w:tr w:rsidR="000671F8" w:rsidRPr="008B628A" w14:paraId="5E3CD053"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2A38C07A"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virs 65 gadu vecuma (no visiem iedzīvotājiem)</w:t>
            </w:r>
          </w:p>
        </w:tc>
      </w:tr>
      <w:tr w:rsidR="000671F8" w:rsidRPr="008B628A" w14:paraId="171F375A"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5E10EF58"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4ABAF21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22,6</w:t>
            </w:r>
          </w:p>
        </w:tc>
        <w:tc>
          <w:tcPr>
            <w:tcW w:w="1134" w:type="dxa"/>
            <w:tcBorders>
              <w:top w:val="single" w:sz="4" w:space="0" w:color="auto"/>
              <w:left w:val="single" w:sz="4" w:space="0" w:color="auto"/>
              <w:bottom w:val="single" w:sz="4" w:space="0" w:color="auto"/>
              <w:right w:val="single" w:sz="4" w:space="0" w:color="auto"/>
            </w:tcBorders>
            <w:hideMark/>
          </w:tcPr>
          <w:p w14:paraId="00E61E2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19,6</w:t>
            </w:r>
          </w:p>
        </w:tc>
      </w:tr>
      <w:tr w:rsidR="000671F8" w:rsidRPr="008B628A" w14:paraId="2143728C"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239B3D3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1588D4FE"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10,5</w:t>
            </w:r>
          </w:p>
        </w:tc>
        <w:tc>
          <w:tcPr>
            <w:tcW w:w="1134" w:type="dxa"/>
            <w:tcBorders>
              <w:top w:val="single" w:sz="4" w:space="0" w:color="auto"/>
              <w:left w:val="single" w:sz="4" w:space="0" w:color="auto"/>
              <w:bottom w:val="single" w:sz="4" w:space="0" w:color="auto"/>
              <w:right w:val="single" w:sz="4" w:space="0" w:color="auto"/>
            </w:tcBorders>
            <w:hideMark/>
          </w:tcPr>
          <w:p w14:paraId="3D5FDA38" w14:textId="007AC1F0"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10,7</w:t>
            </w:r>
          </w:p>
        </w:tc>
      </w:tr>
      <w:tr w:rsidR="000671F8" w:rsidRPr="008B628A" w14:paraId="6D56CC44"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38E18B6"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(sievietes) (no visiem iedzīvotājiem)</w:t>
            </w:r>
          </w:p>
        </w:tc>
      </w:tr>
      <w:tr w:rsidR="000671F8" w:rsidRPr="008B628A" w14:paraId="18C7C6F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5E737DA"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02567673"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22,4</w:t>
            </w:r>
          </w:p>
        </w:tc>
        <w:tc>
          <w:tcPr>
            <w:tcW w:w="1134" w:type="dxa"/>
            <w:tcBorders>
              <w:top w:val="single" w:sz="4" w:space="0" w:color="auto"/>
              <w:left w:val="single" w:sz="4" w:space="0" w:color="auto"/>
              <w:bottom w:val="single" w:sz="4" w:space="0" w:color="auto"/>
              <w:right w:val="single" w:sz="4" w:space="0" w:color="auto"/>
            </w:tcBorders>
            <w:hideMark/>
          </w:tcPr>
          <w:p w14:paraId="4A0ABB7F"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19,2</w:t>
            </w:r>
          </w:p>
        </w:tc>
      </w:tr>
      <w:tr w:rsidR="000671F8" w:rsidRPr="008B628A" w14:paraId="491DF39A"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327C0D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lastRenderedPageBreak/>
              <w:t>ES-28</w:t>
            </w:r>
          </w:p>
        </w:tc>
        <w:tc>
          <w:tcPr>
            <w:tcW w:w="1843" w:type="dxa"/>
            <w:tcBorders>
              <w:top w:val="single" w:sz="4" w:space="0" w:color="auto"/>
              <w:left w:val="single" w:sz="4" w:space="0" w:color="auto"/>
              <w:bottom w:val="single" w:sz="4" w:space="0" w:color="auto"/>
              <w:right w:val="single" w:sz="4" w:space="0" w:color="auto"/>
            </w:tcBorders>
            <w:hideMark/>
          </w:tcPr>
          <w:p w14:paraId="671D3E1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11,9</w:t>
            </w:r>
          </w:p>
        </w:tc>
        <w:tc>
          <w:tcPr>
            <w:tcW w:w="1134" w:type="dxa"/>
            <w:tcBorders>
              <w:top w:val="single" w:sz="4" w:space="0" w:color="auto"/>
              <w:left w:val="single" w:sz="4" w:space="0" w:color="auto"/>
              <w:bottom w:val="single" w:sz="4" w:space="0" w:color="auto"/>
              <w:right w:val="single" w:sz="4" w:space="0" w:color="auto"/>
            </w:tcBorders>
            <w:hideMark/>
          </w:tcPr>
          <w:p w14:paraId="67E4A1BE" w14:textId="34B51905"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11,7</w:t>
            </w:r>
          </w:p>
        </w:tc>
      </w:tr>
      <w:tr w:rsidR="000671F8" w:rsidRPr="008B628A" w14:paraId="20C9383E"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1D174545"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(sievietes) (NRP)</w:t>
            </w:r>
          </w:p>
        </w:tc>
      </w:tr>
      <w:tr w:rsidR="000671F8" w:rsidRPr="008B628A" w14:paraId="781AEE80"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27F63A2"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4C1E3822"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28,7</w:t>
            </w:r>
          </w:p>
        </w:tc>
        <w:tc>
          <w:tcPr>
            <w:tcW w:w="1134" w:type="dxa"/>
            <w:tcBorders>
              <w:top w:val="single" w:sz="4" w:space="0" w:color="auto"/>
              <w:left w:val="single" w:sz="4" w:space="0" w:color="auto"/>
              <w:bottom w:val="single" w:sz="4" w:space="0" w:color="auto"/>
              <w:right w:val="single" w:sz="4" w:space="0" w:color="auto"/>
            </w:tcBorders>
            <w:hideMark/>
          </w:tcPr>
          <w:p w14:paraId="3E5C5AF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25,1</w:t>
            </w:r>
          </w:p>
        </w:tc>
      </w:tr>
      <w:tr w:rsidR="000671F8" w:rsidRPr="008B628A" w14:paraId="0557954E"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C3CA1D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7D1A240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20,0</w:t>
            </w:r>
          </w:p>
        </w:tc>
        <w:tc>
          <w:tcPr>
            <w:tcW w:w="1134" w:type="dxa"/>
            <w:tcBorders>
              <w:top w:val="single" w:sz="4" w:space="0" w:color="auto"/>
              <w:left w:val="single" w:sz="4" w:space="0" w:color="auto"/>
              <w:bottom w:val="single" w:sz="4" w:space="0" w:color="auto"/>
              <w:right w:val="single" w:sz="4" w:space="0" w:color="auto"/>
            </w:tcBorders>
            <w:hideMark/>
          </w:tcPr>
          <w:p w14:paraId="6EE5EA3A" w14:textId="57D2DB04"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20,5</w:t>
            </w:r>
          </w:p>
        </w:tc>
      </w:tr>
      <w:tr w:rsidR="000671F8" w:rsidRPr="008B628A" w14:paraId="18426871"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0C0789E9"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viens 65+ (no visiem iedzīvotājiem)</w:t>
            </w:r>
          </w:p>
        </w:tc>
      </w:tr>
      <w:tr w:rsidR="000671F8" w:rsidRPr="008B628A" w14:paraId="56646F34"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6AD84C0"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09CAA174"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10,2</w:t>
            </w:r>
          </w:p>
        </w:tc>
        <w:tc>
          <w:tcPr>
            <w:tcW w:w="1134" w:type="dxa"/>
            <w:tcBorders>
              <w:top w:val="single" w:sz="4" w:space="0" w:color="auto"/>
              <w:left w:val="single" w:sz="4" w:space="0" w:color="auto"/>
              <w:bottom w:val="single" w:sz="4" w:space="0" w:color="auto"/>
              <w:right w:val="single" w:sz="4" w:space="0" w:color="auto"/>
            </w:tcBorders>
            <w:hideMark/>
          </w:tcPr>
          <w:p w14:paraId="3DA0A19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12,5</w:t>
            </w:r>
          </w:p>
        </w:tc>
      </w:tr>
      <w:tr w:rsidR="000671F8" w:rsidRPr="008B628A" w14:paraId="2BF7FE9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60B0B0F"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50B4313D"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6,6</w:t>
            </w:r>
          </w:p>
        </w:tc>
        <w:tc>
          <w:tcPr>
            <w:tcW w:w="1134" w:type="dxa"/>
            <w:tcBorders>
              <w:top w:val="single" w:sz="4" w:space="0" w:color="auto"/>
              <w:left w:val="single" w:sz="4" w:space="0" w:color="auto"/>
              <w:bottom w:val="single" w:sz="4" w:space="0" w:color="auto"/>
              <w:right w:val="single" w:sz="4" w:space="0" w:color="auto"/>
            </w:tcBorders>
            <w:hideMark/>
          </w:tcPr>
          <w:p w14:paraId="2BD1D57E" w14:textId="74A59944"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7,1</w:t>
            </w:r>
          </w:p>
        </w:tc>
      </w:tr>
      <w:tr w:rsidR="000671F8" w:rsidRPr="008B628A" w14:paraId="369A0EFD"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63EDD89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ar 2 apgādībā esošiem bērniem (NRP)</w:t>
            </w:r>
          </w:p>
        </w:tc>
      </w:tr>
      <w:tr w:rsidR="000671F8" w:rsidRPr="008B628A" w14:paraId="3C5D65A4"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F3DD15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11957AE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15,8</w:t>
            </w:r>
          </w:p>
        </w:tc>
        <w:tc>
          <w:tcPr>
            <w:tcW w:w="1134" w:type="dxa"/>
            <w:tcBorders>
              <w:top w:val="single" w:sz="4" w:space="0" w:color="auto"/>
              <w:left w:val="single" w:sz="4" w:space="0" w:color="auto"/>
              <w:bottom w:val="single" w:sz="4" w:space="0" w:color="auto"/>
              <w:right w:val="single" w:sz="4" w:space="0" w:color="auto"/>
            </w:tcBorders>
            <w:hideMark/>
          </w:tcPr>
          <w:p w14:paraId="2E98F0DF"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23,5</w:t>
            </w:r>
          </w:p>
        </w:tc>
      </w:tr>
      <w:tr w:rsidR="000671F8" w:rsidRPr="008B628A" w14:paraId="3959A2C5"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6111B1E"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394A463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17,6</w:t>
            </w:r>
          </w:p>
        </w:tc>
        <w:tc>
          <w:tcPr>
            <w:tcW w:w="1134" w:type="dxa"/>
            <w:tcBorders>
              <w:top w:val="single" w:sz="4" w:space="0" w:color="auto"/>
              <w:left w:val="single" w:sz="4" w:space="0" w:color="auto"/>
              <w:bottom w:val="single" w:sz="4" w:space="0" w:color="auto"/>
              <w:right w:val="single" w:sz="4" w:space="0" w:color="auto"/>
            </w:tcBorders>
            <w:hideMark/>
          </w:tcPr>
          <w:p w14:paraId="71753AB2" w14:textId="62A7C7BF"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16,</w:t>
            </w:r>
            <w:r w:rsidR="00C20617">
              <w:rPr>
                <w:rFonts w:ascii="Times New Roman" w:hAnsi="Times New Roman" w:cs="Times New Roman"/>
                <w:szCs w:val="24"/>
                <w:shd w:val="clear" w:color="auto" w:fill="FFFFFF"/>
              </w:rPr>
              <w:t>8</w:t>
            </w:r>
          </w:p>
        </w:tc>
      </w:tr>
      <w:tr w:rsidR="000671F8" w:rsidRPr="008B628A" w14:paraId="53B2322E"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EC62CD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ar 3 apgādībā esošiem bērniem (NRP)</w:t>
            </w:r>
          </w:p>
        </w:tc>
      </w:tr>
      <w:tr w:rsidR="000671F8" w:rsidRPr="008B628A" w14:paraId="769B921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763BE9E5"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7388F890"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28,4</w:t>
            </w:r>
          </w:p>
        </w:tc>
        <w:tc>
          <w:tcPr>
            <w:tcW w:w="1134" w:type="dxa"/>
            <w:tcBorders>
              <w:top w:val="single" w:sz="4" w:space="0" w:color="auto"/>
              <w:left w:val="single" w:sz="4" w:space="0" w:color="auto"/>
              <w:bottom w:val="single" w:sz="4" w:space="0" w:color="auto"/>
              <w:right w:val="single" w:sz="4" w:space="0" w:color="auto"/>
            </w:tcBorders>
            <w:hideMark/>
          </w:tcPr>
          <w:p w14:paraId="68B4AE9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26,8</w:t>
            </w:r>
          </w:p>
        </w:tc>
      </w:tr>
      <w:tr w:rsidR="000671F8" w:rsidRPr="008B628A" w14:paraId="0F6597BE"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93FE95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33E6E9E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21,7</w:t>
            </w:r>
          </w:p>
        </w:tc>
        <w:tc>
          <w:tcPr>
            <w:tcW w:w="1134" w:type="dxa"/>
            <w:tcBorders>
              <w:top w:val="single" w:sz="4" w:space="0" w:color="auto"/>
              <w:left w:val="single" w:sz="4" w:space="0" w:color="auto"/>
              <w:bottom w:val="single" w:sz="4" w:space="0" w:color="auto"/>
              <w:right w:val="single" w:sz="4" w:space="0" w:color="auto"/>
            </w:tcBorders>
            <w:hideMark/>
          </w:tcPr>
          <w:p w14:paraId="3CA7E0BD" w14:textId="72DE9BE5"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18,4</w:t>
            </w:r>
          </w:p>
        </w:tc>
      </w:tr>
    </w:tbl>
    <w:p w14:paraId="227F8C25" w14:textId="6B6A2137" w:rsidR="0093145C" w:rsidRPr="008B628A" w:rsidRDefault="0093145C" w:rsidP="0093145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eiro un dzīvokļa pabalstam pašvaldības pērn izlietoja 16,5 miljonus </w:t>
      </w:r>
      <w:r w:rsidRPr="008B628A">
        <w:rPr>
          <w:rFonts w:ascii="Times New Roman" w:hAnsi="Times New Roman" w:cs="Times New Roman"/>
          <w:iCs/>
          <w:szCs w:val="24"/>
        </w:rPr>
        <w:t>EUR.</w:t>
      </w:r>
    </w:p>
    <w:p w14:paraId="56F2E6AC" w14:textId="77777777" w:rsidR="0093145C" w:rsidRPr="008B628A" w:rsidRDefault="0093145C" w:rsidP="000671F8">
      <w:pPr>
        <w:jc w:val="both"/>
        <w:rPr>
          <w:rFonts w:ascii="Times New Roman" w:hAnsi="Times New Roman" w:cs="Times New Roman"/>
          <w:sz w:val="22"/>
          <w:shd w:val="clear" w:color="auto" w:fill="FFFFFF"/>
        </w:rPr>
      </w:pPr>
    </w:p>
    <w:p w14:paraId="6AD8FFAC" w14:textId="77AE4CFA" w:rsidR="00581156" w:rsidRPr="008B628A" w:rsidRDefault="005203D0" w:rsidP="006F546A">
      <w:pPr>
        <w:pStyle w:val="Heading2"/>
      </w:pPr>
      <w:bookmarkStart w:id="384" w:name="_Toc520978884"/>
      <w:bookmarkStart w:id="385" w:name="_Toc527529568"/>
      <w:bookmarkStart w:id="386" w:name="_Toc532910018"/>
      <w:r>
        <w:t>P</w:t>
      </w:r>
      <w:r w:rsidR="00581156" w:rsidRPr="008B628A">
        <w:t>ētniecība, inovācija un konkurētspēja</w:t>
      </w:r>
      <w:bookmarkEnd w:id="384"/>
      <w:bookmarkEnd w:id="385"/>
      <w:bookmarkEnd w:id="386"/>
      <w:r w:rsidR="00581156" w:rsidRPr="008B628A">
        <w:t xml:space="preserve"> </w:t>
      </w:r>
    </w:p>
    <w:p w14:paraId="0F1FA67C" w14:textId="4FEC72CB" w:rsidR="00581156" w:rsidRPr="008B628A" w:rsidRDefault="00581156" w:rsidP="005F59CE">
      <w:pPr>
        <w:pStyle w:val="Heading3"/>
      </w:pPr>
      <w:bookmarkStart w:id="387" w:name="_Toc520978885"/>
      <w:bookmarkStart w:id="388" w:name="_Toc527529569"/>
      <w:r w:rsidRPr="008B628A">
        <w:t>Pašreizējā situācija tehnoloģiju sektorā</w:t>
      </w:r>
      <w:bookmarkEnd w:id="387"/>
      <w:bookmarkEnd w:id="388"/>
      <w:r w:rsidRPr="008B628A">
        <w:t xml:space="preserve"> </w:t>
      </w:r>
    </w:p>
    <w:p w14:paraId="0F81F626" w14:textId="77777777" w:rsidR="00103094" w:rsidRPr="008B628A" w:rsidRDefault="00103094" w:rsidP="00103094">
      <w:pPr>
        <w:spacing w:before="120" w:after="120" w:line="240" w:lineRule="auto"/>
        <w:rPr>
          <w:rFonts w:ascii="Times New Roman" w:hAnsi="Times New Roman" w:cs="Times New Roman"/>
          <w:i/>
        </w:rPr>
      </w:pPr>
      <w:r w:rsidRPr="008B628A">
        <w:rPr>
          <w:rFonts w:ascii="Times New Roman" w:hAnsi="Times New Roman" w:cs="Times New Roman"/>
          <w:i/>
        </w:rPr>
        <w:t>Tiks papildināts Plāna galaversijā</w:t>
      </w:r>
    </w:p>
    <w:p w14:paraId="4C429626" w14:textId="5D976572" w:rsidR="00581156" w:rsidRPr="008B628A" w:rsidRDefault="00581156" w:rsidP="00581156">
      <w:pPr>
        <w:rPr>
          <w:rFonts w:ascii="Times New Roman" w:hAnsi="Times New Roman" w:cs="Times New Roman"/>
        </w:rPr>
      </w:pPr>
    </w:p>
    <w:p w14:paraId="61703F1B" w14:textId="37823A79" w:rsidR="00A24932" w:rsidRPr="008B628A" w:rsidRDefault="00A24932" w:rsidP="00A95294">
      <w:pPr>
        <w:pStyle w:val="Heading3"/>
      </w:pPr>
      <w:bookmarkStart w:id="389" w:name="_Toc527529570"/>
      <w:bookmarkStart w:id="390" w:name="_Toc520978886"/>
      <w:r w:rsidRPr="008B628A">
        <w:t>Pašreizējā situācija inovāciju un konkurētspējas uzlabošanas jomā</w:t>
      </w:r>
      <w:bookmarkEnd w:id="389"/>
    </w:p>
    <w:p w14:paraId="2118E7EC" w14:textId="77777777"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Inovatīvu komersantu attīstībai 2014.-2020.gada ES fondu un Norvēģu finanšu instrumenta periodā tiek īstenoti sekojoši pasākumi:</w:t>
      </w:r>
    </w:p>
    <w:p w14:paraId="6BA51D46" w14:textId="713625D2" w:rsidR="001F44B0" w:rsidRPr="008B628A" w:rsidRDefault="001F44B0" w:rsidP="001F44B0">
      <w:pPr>
        <w:pStyle w:val="Heading4"/>
      </w:pPr>
      <w:r w:rsidRPr="008B628A">
        <w:t>EEZ/Norvēģijas finanšu instrumentu pasākumi</w:t>
      </w:r>
    </w:p>
    <w:p w14:paraId="0BC07784" w14:textId="6027A300"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2017.gadā tika uzsāktas aktivitātes jaunā EEZ/Norvēģijas finanšu instrumentu perioda plānošanai. 2017.gada 14.decembrī starp Latviju un Norvēģiju tika parakstīts Saprašanās memorands, kas paredz, ka programmas “Uzņēmējdarbības attīstība, inovācijas un MVU” ietvaros inovatīvām, videi draudzīgām uzņēmējdarbības aktivitātēm būs pieejami 12,5 milj. EUR, kopā ar valsts budžeta līdzfinansējumu veidojot 14,7 milj. EUR. Programmas koncepcija un MK noteikumu izstrāde plānota līdz 2018.gada beigām;</w:t>
      </w:r>
    </w:p>
    <w:p w14:paraId="458E6443" w14:textId="6EBBD951" w:rsidR="001F44B0" w:rsidRPr="008B628A" w:rsidRDefault="001F44B0" w:rsidP="001F44B0">
      <w:pPr>
        <w:pStyle w:val="Heading4"/>
      </w:pPr>
      <w:r w:rsidRPr="008B628A">
        <w:t>Jaunuzņēmumu (start-up) attīstība Latvijā</w:t>
      </w:r>
    </w:p>
    <w:p w14:paraId="71B5BD2B" w14:textId="587855F0"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Mērķis veicināt inovatīvas komercdarbības attīstību un pētniecību privātajā sektorā, kā arī pētniecības komercializāciju. Ar 2017.gada 1.janvāri ir stājies spēkā Jaunuzņēmumu darbības atbalsta likums. Likums ir paredzēts jaunuzņēmumiem – kapitālsabiedrībām ar augstas izaugsmes potenciālu, kuru pamatdarbība ir saistīta ar mērogojamu biznesa modeļu un inovatīvu  produktu izstrādi, ražošanu vai attīstību. Likuma ietvaros ir paredzēta atbalsta programma fiksētā maksājuma veikšanai ar papildus iespēju saņemt IIN un UIN atvieglojumu un atbalsta programma </w:t>
      </w:r>
      <w:r w:rsidRPr="008B628A">
        <w:rPr>
          <w:rFonts w:ascii="Times New Roman" w:hAnsi="Times New Roman" w:cs="Times New Roman"/>
          <w:szCs w:val="24"/>
        </w:rPr>
        <w:lastRenderedPageBreak/>
        <w:t>augsti kvalificētu darba ņēmēju piesaistei ar papildus iespēju piemērot UIN atvieglojumu. Lai paplašinātu likuma tvērumu, palielinot valsts atbalsta saņēmēju loku un pielāgojot likumu nozares praksei, 2018.gada 12.aprīlī Saeimā galīgajā lasījumā tika apstiprināti grozījumi likumā. Vienlaikus jaunuzņēmumiem pieejams riska kapitāla finansējums – 15 milj. EUR akcelerācijas fondos un 60 milj. EUR sēklas un izaugsmes riska kapitāla fondos. Programmas “Atbalsts tehnoloģiju pārneses sistēmas pilnveidošanai” ietvaros 2017.gadā jaunuzņēmumiem tika nodrošināta iespēja piesaistīt finansējumu augsti kvalificētu darba ņēmēju piesaistei ar maksimālā atbalsta intensitāti – 45%. 2018.gada 31.augustā stājā spēkā grozījumi Ministru kabineta noteikumos, kas paredz atbalsta saņēmēju loku paplašināšanu ar mazajiem un vidējiem uzņēmumiem, kuriem būs iespēja piesaistīt finansējumu tāda kvalificēta darba spēka piesaistei, kas sniedz ieguldījumu jaunu produktu vai tehnoloģiju attīstībai.</w:t>
      </w:r>
    </w:p>
    <w:p w14:paraId="1F17CAF6" w14:textId="753B0890" w:rsidR="00B762E9" w:rsidRPr="008B628A" w:rsidRDefault="00E30EE6" w:rsidP="00A95294">
      <w:pPr>
        <w:pStyle w:val="Heading4"/>
        <w:jc w:val="both"/>
      </w:pPr>
      <w:r w:rsidRPr="008B628A">
        <w:t>Atbalsts jaunu produktu un tehnoloģiju izstrādei kompetences centru ietvaros</w:t>
      </w:r>
      <w:r w:rsidR="00166C61" w:rsidRPr="008B628A">
        <w:rPr>
          <w:rStyle w:val="FootnoteReference"/>
        </w:rPr>
        <w:footnoteReference w:id="225"/>
      </w:r>
    </w:p>
    <w:p w14:paraId="7E2CDFCA" w14:textId="18AB0DBF" w:rsidR="00E30EE6" w:rsidRPr="008B628A" w:rsidRDefault="00E30EE6" w:rsidP="00A95294">
      <w:pPr>
        <w:spacing w:before="120" w:after="120" w:line="240" w:lineRule="auto"/>
        <w:jc w:val="both"/>
        <w:rPr>
          <w:rFonts w:ascii="Times New Roman" w:hAnsi="Times New Roman" w:cs="Times New Roman"/>
        </w:rPr>
      </w:pPr>
      <w:r w:rsidRPr="008B628A">
        <w:rPr>
          <w:rFonts w:ascii="Times New Roman" w:hAnsi="Times New Roman" w:cs="Times New Roman"/>
        </w:rPr>
        <w:t>3 atlases kārtas projektiem, kas nodrošina komersantu konkurētspējas paaugstināšanu, veicinot pētniecības un rūpniecības sektora sadarbību, īstenojot projektus, kas attīsta jaunus produktus un tehnoloģijas un ievieš tās ražošanā</w:t>
      </w:r>
      <w:r w:rsidR="00B762E9" w:rsidRPr="008B628A">
        <w:rPr>
          <w:rFonts w:ascii="Times New Roman" w:hAnsi="Times New Roman" w:cs="Times New Roman"/>
        </w:rPr>
        <w:t>. Pasākuma pirmās, otrās un ceturtās kārtas ietvaros plānotais kopējais attiecināmais finansējums ir 80,14 milj.EUR, tai skaitā ERAF finansējums – 64,3 milj.EUR un privātais līdzfinansējums – 15,83 milj.EUR.</w:t>
      </w:r>
    </w:p>
    <w:p w14:paraId="2E50328A" w14:textId="2C3D0C16" w:rsidR="00E30EE6" w:rsidRPr="008B628A" w:rsidRDefault="00E30EE6" w:rsidP="00A95294">
      <w:pPr>
        <w:pStyle w:val="Heading4"/>
        <w:jc w:val="both"/>
        <w:rPr>
          <w:lang w:eastAsia="lv-LV"/>
        </w:rPr>
      </w:pPr>
      <w:r w:rsidRPr="008B628A">
        <w:rPr>
          <w:lang w:eastAsia="lv-LV"/>
        </w:rPr>
        <w:t>Atbalsts tehnoloģiju pārneses sistēmas pilnveidošanai</w:t>
      </w:r>
      <w:r w:rsidR="00166C61" w:rsidRPr="008B628A">
        <w:rPr>
          <w:rStyle w:val="FootnoteReference"/>
          <w:lang w:eastAsia="lv-LV"/>
        </w:rPr>
        <w:footnoteReference w:id="226"/>
      </w:r>
    </w:p>
    <w:p w14:paraId="4692A660" w14:textId="3D3568C0" w:rsidR="00B762E9" w:rsidRPr="008B628A" w:rsidRDefault="00B762E9" w:rsidP="00A95294">
      <w:pPr>
        <w:spacing w:before="120" w:after="120" w:line="240" w:lineRule="auto"/>
        <w:jc w:val="both"/>
        <w:outlineLvl w:val="3"/>
        <w:rPr>
          <w:rFonts w:ascii="Times New Roman" w:eastAsia="Times New Roman" w:hAnsi="Times New Roman" w:cs="Times New Roman"/>
          <w:i/>
          <w:szCs w:val="24"/>
          <w:lang w:eastAsia="lv-LV"/>
        </w:rPr>
      </w:pPr>
      <w:r w:rsidRPr="008B628A">
        <w:rPr>
          <w:rFonts w:ascii="Times New Roman" w:eastAsia="Times New Roman" w:hAnsi="Times New Roman" w:cs="Times New Roman"/>
          <w:szCs w:val="24"/>
          <w:lang w:eastAsia="lv-LV"/>
        </w:rPr>
        <w:t>SAM pasākumam pieejamais kopējais attiecināmais finansējums ir 42,35 milj.EUR</w:t>
      </w:r>
      <w:r w:rsidRPr="008B628A">
        <w:rPr>
          <w:rFonts w:ascii="Times New Roman" w:eastAsia="Times New Roman" w:hAnsi="Times New Roman" w:cs="Times New Roman"/>
          <w:i/>
          <w:szCs w:val="24"/>
          <w:lang w:eastAsia="lv-LV"/>
        </w:rPr>
        <w:t xml:space="preserve">, </w:t>
      </w:r>
      <w:r w:rsidRPr="008B628A">
        <w:rPr>
          <w:rFonts w:ascii="Times New Roman" w:eastAsia="Times New Roman" w:hAnsi="Times New Roman" w:cs="Times New Roman"/>
          <w:szCs w:val="24"/>
          <w:lang w:eastAsia="lv-LV"/>
        </w:rPr>
        <w:t>tai skaitā ERAF finansējums ir 34,5 milj.EUR</w:t>
      </w:r>
      <w:r w:rsidRPr="008B628A">
        <w:rPr>
          <w:rFonts w:ascii="Times New Roman" w:eastAsia="Times New Roman" w:hAnsi="Times New Roman" w:cs="Times New Roman"/>
          <w:i/>
          <w:szCs w:val="24"/>
          <w:lang w:eastAsia="lv-LV"/>
        </w:rPr>
        <w:t>,</w:t>
      </w:r>
      <w:r w:rsidRPr="008B628A">
        <w:rPr>
          <w:rFonts w:ascii="Times New Roman" w:eastAsia="Times New Roman" w:hAnsi="Times New Roman" w:cs="Times New Roman"/>
          <w:szCs w:val="24"/>
          <w:lang w:eastAsia="lv-LV"/>
        </w:rPr>
        <w:t xml:space="preserve"> valsts budžeta finansējums – 6,088 milj.EUR, bet privātais līdzfinansējums – 1,76 milj.EUR</w:t>
      </w:r>
      <w:r w:rsidRPr="008B628A">
        <w:rPr>
          <w:rFonts w:ascii="Times New Roman" w:eastAsia="Times New Roman" w:hAnsi="Times New Roman" w:cs="Times New Roman"/>
          <w:i/>
          <w:szCs w:val="24"/>
          <w:lang w:eastAsia="lv-LV"/>
        </w:rPr>
        <w:t>.</w:t>
      </w:r>
    </w:p>
    <w:p w14:paraId="55AFAEB6" w14:textId="0060FFAB" w:rsidR="00E30EE6" w:rsidRPr="008B628A" w:rsidRDefault="00E30EE6" w:rsidP="00A95294">
      <w:pPr>
        <w:pStyle w:val="Heading4"/>
        <w:jc w:val="both"/>
      </w:pPr>
      <w:r w:rsidRPr="008B628A">
        <w:t>Atbalsts jaunu produktu ieviešanai ražošanā</w:t>
      </w:r>
      <w:r w:rsidR="004B6E22" w:rsidRPr="008B628A">
        <w:rPr>
          <w:rStyle w:val="FootnoteReference"/>
        </w:rPr>
        <w:footnoteReference w:id="227"/>
      </w:r>
    </w:p>
    <w:p w14:paraId="74A39EBA" w14:textId="56DCB0B9" w:rsidR="002B2045" w:rsidRPr="008B628A" w:rsidRDefault="002B2045"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komersantu produktivitātes un konkurētspējas paaugstināšanu, izstrādājot un ieviešot ražošanā jaunus produktus un tehnoloģijas, kā arī palielinot privātā sektora ieguldījumus pētniecībā, attīstībā un inovācijās atbilstoši Viedās specializācijas stratēģijai. Pasākuma ietvaros ir paredzēts atbalsts pilna mēroga ražošanas iekārtu prototipu izgatavošanai un testēšanai reālā ražošanas vidē RIS3 jomās. Atbalstu piešķir ražošanas iekārtu izgatavošanai un ieviešanai ražošanā, līdz tehnoloģiju gatavības līmenim Nr.8 (TRL8) – iekārta ir eksperimentāla un līdz šim nav lietota reālā ražošanas vidē. Projekta īstenošanas laikā ir jāizgatavo iekārtas prototips. Projekta pēcuzraudzības periodā ar šo iekārtu tiek ražoti produkti.</w:t>
      </w:r>
    </w:p>
    <w:p w14:paraId="6B749075" w14:textId="7B48DAE1" w:rsidR="002B2045" w:rsidRPr="008B628A" w:rsidRDefault="002B2045"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īstenošanai pieejamais plānotais kopējais attiecināmais finansējums ir 70</w:t>
      </w:r>
      <w:r w:rsidR="00A95294" w:rsidRPr="008B628A">
        <w:rPr>
          <w:rFonts w:ascii="Times New Roman" w:hAnsi="Times New Roman" w:cs="Times New Roman"/>
        </w:rPr>
        <w:t xml:space="preserve">,6 milj. EUR, </w:t>
      </w:r>
      <w:r w:rsidRPr="008B628A">
        <w:rPr>
          <w:rFonts w:ascii="Times New Roman" w:hAnsi="Times New Roman" w:cs="Times New Roman"/>
        </w:rPr>
        <w:t>tai skaitā publiskais finansējums – E</w:t>
      </w:r>
      <w:r w:rsidR="00A95294" w:rsidRPr="008B628A">
        <w:rPr>
          <w:rFonts w:ascii="Times New Roman" w:hAnsi="Times New Roman" w:cs="Times New Roman"/>
        </w:rPr>
        <w:t>RAF</w:t>
      </w:r>
      <w:r w:rsidRPr="008B628A">
        <w:rPr>
          <w:rFonts w:ascii="Times New Roman" w:hAnsi="Times New Roman" w:cs="Times New Roman"/>
        </w:rPr>
        <w:t xml:space="preserve"> finansējums 60 </w:t>
      </w:r>
      <w:r w:rsidR="00A95294" w:rsidRPr="008B628A">
        <w:rPr>
          <w:rFonts w:ascii="Times New Roman" w:hAnsi="Times New Roman" w:cs="Times New Roman"/>
        </w:rPr>
        <w:t>milj.EUR</w:t>
      </w:r>
      <w:r w:rsidRPr="008B628A">
        <w:rPr>
          <w:rFonts w:ascii="Times New Roman" w:hAnsi="Times New Roman" w:cs="Times New Roman"/>
        </w:rPr>
        <w:t xml:space="preserve"> un privātais finansējums vismaz 10</w:t>
      </w:r>
      <w:r w:rsidR="00A95294" w:rsidRPr="008B628A">
        <w:rPr>
          <w:rFonts w:ascii="Times New Roman" w:hAnsi="Times New Roman" w:cs="Times New Roman"/>
        </w:rPr>
        <w:t>,6 milj.EUR</w:t>
      </w:r>
      <w:r w:rsidRPr="008B628A">
        <w:rPr>
          <w:rFonts w:ascii="Times New Roman" w:hAnsi="Times New Roman" w:cs="Times New Roman"/>
        </w:rPr>
        <w:t xml:space="preserve">. </w:t>
      </w:r>
    </w:p>
    <w:p w14:paraId="4FCE64C1" w14:textId="3AC9625E" w:rsidR="00E30EE6" w:rsidRPr="008B628A" w:rsidRDefault="00E30EE6" w:rsidP="00A95294">
      <w:pPr>
        <w:pStyle w:val="Heading4"/>
        <w:jc w:val="both"/>
      </w:pPr>
      <w:r w:rsidRPr="008B628A">
        <w:t>Atbalsts nodarbināto apmācībām</w:t>
      </w:r>
      <w:r w:rsidR="00166C61" w:rsidRPr="008B628A">
        <w:rPr>
          <w:rStyle w:val="FootnoteReference"/>
        </w:rPr>
        <w:footnoteReference w:id="228"/>
      </w:r>
    </w:p>
    <w:p w14:paraId="3F4DA8E0" w14:textId="73FBDB5F"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nodrošināt komersantus ar atbilstošas kvalifikācijas darbaspēku, kas sekmētu darba ražīguma pieaugumu un jaunu vai uzlabotu produktu un tehnoloģiju izstrādi un ieviešanu ražošanā. Pasākumam pieejamais kopējais ERAF finansējums ir 18 milj.EUR.</w:t>
      </w:r>
    </w:p>
    <w:p w14:paraId="3BFC202C" w14:textId="13F288FF" w:rsidR="00E30EE6" w:rsidRPr="008B628A" w:rsidRDefault="00E30EE6" w:rsidP="00A95294">
      <w:pPr>
        <w:pStyle w:val="Heading4"/>
        <w:jc w:val="both"/>
      </w:pPr>
      <w:r w:rsidRPr="008B628A">
        <w:t>Inovāciju motivācijas programma</w:t>
      </w:r>
      <w:r w:rsidR="00166C61" w:rsidRPr="008B628A">
        <w:rPr>
          <w:rStyle w:val="FootnoteReference"/>
        </w:rPr>
        <w:footnoteReference w:id="229"/>
      </w:r>
    </w:p>
    <w:p w14:paraId="6654725D" w14:textId="068636A1"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Pasākuma mērķis ir informēt un iedrošināt (tai skaitā piešķirot godalgas) sabiedrību uzsākt inovatīvu uzņēmējdarbību, informēt sabiedrību par norisēm saistībā ar inovācijām un to </w:t>
      </w:r>
      <w:r w:rsidRPr="008B628A">
        <w:rPr>
          <w:rFonts w:ascii="Times New Roman" w:hAnsi="Times New Roman" w:cs="Times New Roman"/>
        </w:rPr>
        <w:lastRenderedPageBreak/>
        <w:t>potenciālu, tādējādi veicinot sabiedrību un uzņēmējus pievērsties inovatīvu risinājumu izstrādei un lietošanai, kā arī paaugstināt inovatīvo komersantu īpatsvaru ekonomikā un motivēt komercdarbības uzsākšanu Latvijas Viedās specializācijas stratēģijā noteiktajās specializācijas prioritātēs vai jomās. Pasākumam plānotais kopējais attiecināmais finansējums ir 5,65 milj.EUR, tai skaitā ERAF finansējums – 4,8 milj.EUR un valsts budžeta finansējums – 847 tūkst.EUR.</w:t>
      </w:r>
    </w:p>
    <w:p w14:paraId="526B0C94" w14:textId="0F672E54" w:rsidR="00E30EE6" w:rsidRPr="008B628A" w:rsidRDefault="00E30EE6" w:rsidP="00A95294">
      <w:pPr>
        <w:pStyle w:val="Heading4"/>
        <w:jc w:val="both"/>
      </w:pPr>
      <w:r w:rsidRPr="008B628A">
        <w:t>Atbalsts IKT un netehnoloģiskām apmācībām, kā arī apmācībām, lai sekmētu investoru piesaisti</w:t>
      </w:r>
      <w:r w:rsidR="00166C61" w:rsidRPr="008B628A">
        <w:rPr>
          <w:rStyle w:val="FootnoteReference"/>
        </w:rPr>
        <w:footnoteReference w:id="230"/>
      </w:r>
    </w:p>
    <w:p w14:paraId="46F09C96" w14:textId="437D5EE8"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pašnodarbināto personu, sīko (mikro), mazo, vidējo un lielo komersantu produktivitāti un darba efektivitāti, paaugstinot to darbinieku kvalifikāciju un prasmes informācijas un komunikācijas tehnoloģiju jomā, nodrošināt komersantus ar atbilstošas kvalifikācijas darbaspēku, sekmējot netehnoloģisko inovāciju ieviešanu komersantos, kā arī nodrošināt atbalstu apmācībām, veicinot investoru piesaisti valstij. Pasākuma ietvaros pieejamais publiskais finansējums ir fonda finansējums 6,91 milj.EUR.</w:t>
      </w:r>
    </w:p>
    <w:p w14:paraId="6FCE6660" w14:textId="5CBCC5B8" w:rsidR="00E30EE6" w:rsidRPr="008B628A" w:rsidRDefault="00E30EE6" w:rsidP="00A95294">
      <w:pPr>
        <w:pStyle w:val="Heading4"/>
        <w:jc w:val="both"/>
      </w:pPr>
      <w:r w:rsidRPr="008B628A">
        <w:t>Atbalsts ieguldījumiem ražošanas telpu un infrastruktūras izveidei vai rekonstrukcijai</w:t>
      </w:r>
      <w:r w:rsidR="004B6E22" w:rsidRPr="008B628A">
        <w:rPr>
          <w:rStyle w:val="FootnoteReference"/>
        </w:rPr>
        <w:footnoteReference w:id="231"/>
      </w:r>
    </w:p>
    <w:p w14:paraId="7FF089B6" w14:textId="77777777" w:rsidR="007C05CD" w:rsidRPr="008B628A" w:rsidRDefault="007C05CD" w:rsidP="007C05CD">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apstrādes rūpniecības komersantu paplašināšanos un jaunu komersantu veidošanos, atbalstot industriālo telpu izveidi reģionos. Pasākuma ietvaros plānotais ERAF finansējums ir 50,6 milj.EUR, pieejamais ERAF finansējums, ņemot vērā snieguma rezervi, ir 49 milj.EUR, kuru sadala vienlīdzīgās daļās starp pieciem plānošanas reģioniem (tas ir, 9,8 milj.EUR katram reģionam).</w:t>
      </w:r>
    </w:p>
    <w:p w14:paraId="5C3A5E32" w14:textId="1BDAC93E" w:rsidR="00E30EE6" w:rsidRPr="008B628A" w:rsidRDefault="00E30EE6" w:rsidP="00A95294">
      <w:pPr>
        <w:pStyle w:val="Heading4"/>
        <w:jc w:val="both"/>
      </w:pPr>
      <w:r w:rsidRPr="008B628A">
        <w:t>Reģionālie biznesa inkubatori un radošo industriju inkubators</w:t>
      </w:r>
      <w:r w:rsidR="008F00B7" w:rsidRPr="008B628A">
        <w:rPr>
          <w:rStyle w:val="FootnoteReference"/>
        </w:rPr>
        <w:footnoteReference w:id="232"/>
      </w:r>
    </w:p>
    <w:p w14:paraId="4F2DA32D" w14:textId="563A2713" w:rsidR="008F00B7" w:rsidRPr="008B628A" w:rsidRDefault="008F00B7" w:rsidP="00A95294">
      <w:pPr>
        <w:pStyle w:val="Heading4"/>
        <w:numPr>
          <w:ilvl w:val="0"/>
          <w:numId w:val="0"/>
        </w:numPr>
        <w:jc w:val="both"/>
        <w:rPr>
          <w:rFonts w:eastAsiaTheme="minorHAnsi"/>
          <w:i w:val="0"/>
          <w:iCs w:val="0"/>
          <w:szCs w:val="22"/>
        </w:rPr>
      </w:pPr>
      <w:r w:rsidRPr="008B628A">
        <w:rPr>
          <w:rFonts w:eastAsiaTheme="minorHAnsi"/>
          <w:i w:val="0"/>
          <w:iCs w:val="0"/>
          <w:szCs w:val="22"/>
        </w:rPr>
        <w:t>Pasākuma mērķis ir atbalstīt jaunu dzīvotspējīgu un konkurētspējīgu komersantu izveidi un attīstību Latvijas reģionos, nodrošinot gala labuma guvējiem uzņēmējdarbībai nepieciešamās konsultācijas, apmācības un pasākumus par vispārīgiem uzņēmējdarbības jautājumiem, mentoru atbalstu, vidi (telpas) un grantu līdzfinansējumu komersantu darbības izmaksām. Pasākuma ietvaros atbalstu sniedz pirmsinkubācijas un inkubācijas atbalsta veidā.</w:t>
      </w:r>
    </w:p>
    <w:p w14:paraId="0FF9ED2E" w14:textId="1E836FF0"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Plānotais kopējais finansējums reģionālajiem biznesa inkubatoriem ir 25,76 milj.EUR, ko veido ERAF finansējums 21,9 milj.EUR apmērā un valsts budžeta finansējums 3,87 milj.EUR. Plānotais kopējais finansējums radošo industriju inkubatoram ir 7,06 milj.EUR, ko veido ERAF 6 milj.EUR un valsts budžeta finansējums 1,06 milj.EUR.</w:t>
      </w:r>
    </w:p>
    <w:p w14:paraId="463C7E9A" w14:textId="28253DB1" w:rsidR="00E30EE6" w:rsidRPr="008B628A" w:rsidRDefault="00E30EE6" w:rsidP="00A95294">
      <w:pPr>
        <w:pStyle w:val="Heading4"/>
        <w:jc w:val="both"/>
      </w:pPr>
      <w:r w:rsidRPr="008B628A">
        <w:t>Starptautiskās konkurētspējas veicināšana</w:t>
      </w:r>
      <w:r w:rsidR="008F00B7" w:rsidRPr="008B628A">
        <w:rPr>
          <w:rStyle w:val="FootnoteReference"/>
        </w:rPr>
        <w:footnoteReference w:id="233"/>
      </w:r>
    </w:p>
    <w:p w14:paraId="3BFF8CEA" w14:textId="37B1ACF8"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nozaru starptautisko konkurētspēju, atbalstot uzņēmējdarbību un ieiešanu ārvalstu tirgos, nodrošinot Latvijas ārvalstu ekonomisko pārstāvniecību darbību un attīstot Latvijas kā tūrisma galamērķa starptautisko konkurētspēju prioritārajos tūrisma sektoros (darījumu un pasākumu tūrisms, labsajūtas tūrisms).</w:t>
      </w:r>
    </w:p>
    <w:p w14:paraId="3645834E" w14:textId="7080DF71"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Pasākumam plānotais kopējais attiecināmais finansējums ir 60,6 milj.EUR, tai skaitā ERAF finansējums – 51,53 milj.EUR, valsts budžeta finansējums – 3,74 milj.EUR un privātais, pašvaldību un plānošanas reģionu līdzfinansējums – 5,35 EUR.</w:t>
      </w:r>
    </w:p>
    <w:p w14:paraId="19D1BD01" w14:textId="0F541867" w:rsidR="00E30EE6" w:rsidRPr="008B628A" w:rsidRDefault="00E30EE6" w:rsidP="00A95294">
      <w:pPr>
        <w:pStyle w:val="Heading4"/>
        <w:jc w:val="both"/>
      </w:pPr>
      <w:r w:rsidRPr="008B628A">
        <w:lastRenderedPageBreak/>
        <w:t>Klasteru programma</w:t>
      </w:r>
      <w:r w:rsidR="00C0595A" w:rsidRPr="008B628A">
        <w:rPr>
          <w:rStyle w:val="FootnoteReference"/>
        </w:rPr>
        <w:footnoteReference w:id="234"/>
      </w:r>
    </w:p>
    <w:p w14:paraId="194D3451" w14:textId="42B30E3E"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komersantu un pētniecības, izglītības, pašvaldības un citu institūciju sadarbību vietējā un starptautiskā līmenī, tādējādi veicinot komersantu konkurētspējas celšanu, palielinot eksporta apjomu un augstas pievienotās vērtības produktu un pakalpojumu īpatsvaru eksportā, kā arī inovācijas un jaunu produktu veidošanos. Pasākuma ietvaros projekta iesniedzējs veido klasteri, kas kopējā sadarbības tīklā apvieno komersantus, pētniecības organizācijas, zinātniskās institūcijas, izglītības iestādes un citas institūcijas un darbojas savstarpēji saistītās nozarēs, tautsaimniecības nišā, produkta vai pakalpojuma grupā vai vērtības ķēdē, vai reģionā. Pasākumam pieejamais finansējums ir 6,2 milj.EUR</w:t>
      </w:r>
      <w:r w:rsidR="002B2045" w:rsidRPr="008B628A">
        <w:rPr>
          <w:rFonts w:ascii="Times New Roman" w:hAnsi="Times New Roman" w:cs="Times New Roman"/>
        </w:rPr>
        <w:t>.</w:t>
      </w:r>
    </w:p>
    <w:p w14:paraId="7901FB3D" w14:textId="3D876D67" w:rsidR="00E30EE6" w:rsidRPr="008B628A" w:rsidRDefault="00E30EE6" w:rsidP="00A95294">
      <w:pPr>
        <w:pStyle w:val="Heading4"/>
        <w:jc w:val="both"/>
      </w:pPr>
      <w:r w:rsidRPr="008B628A">
        <w:t>Akcelerācijas fondi</w:t>
      </w:r>
      <w:r w:rsidR="00C0595A" w:rsidRPr="008B628A">
        <w:rPr>
          <w:rStyle w:val="FootnoteReference"/>
        </w:rPr>
        <w:footnoteReference w:id="235"/>
      </w:r>
    </w:p>
    <w:p w14:paraId="0633C5FD" w14:textId="496A7F7C"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sekmēt saimnieciskās darbības veicēju attīstību un konkurētspēju, sniedzot akcelerācijas (t.i., veicināšanas, stimulēšanas, attīstīšanas, paātrināšanas) pakalpojumus un finansējumu uzņēmējdarbības projektiem, kas paredz tehnoloģiskos vai rūpnieciskos neizdošanās riskus. Pieejamais finansējums pasākuma īstenošanai ir 15 milj.EUR, tai skaitā ERAF fonda finansējums 13 milj.EUR</w:t>
      </w:r>
    </w:p>
    <w:p w14:paraId="5C104F77" w14:textId="631571DE" w:rsidR="00E30EE6" w:rsidRPr="008B628A" w:rsidRDefault="00E30EE6" w:rsidP="00A95294">
      <w:pPr>
        <w:pStyle w:val="Heading4"/>
        <w:jc w:val="both"/>
      </w:pPr>
      <w:r w:rsidRPr="008B628A">
        <w:t>Sēklas un sākuma kapitāla fondi</w:t>
      </w:r>
      <w:r w:rsidR="00C0595A" w:rsidRPr="008B628A">
        <w:rPr>
          <w:rStyle w:val="FootnoteReference"/>
        </w:rPr>
        <w:footnoteReference w:id="236"/>
      </w:r>
    </w:p>
    <w:p w14:paraId="50F0DA70" w14:textId="4E024F41"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Sēklas un sākuma kapitāla fondos būs pieejamas sēklas kapitāla investīcijas apmērā līdz 250</w:t>
      </w:r>
      <w:r w:rsidR="0094517B" w:rsidRPr="008B628A">
        <w:rPr>
          <w:rFonts w:ascii="Times New Roman" w:hAnsi="Times New Roman" w:cs="Times New Roman"/>
        </w:rPr>
        <w:t xml:space="preserve"> tūkst.EUR</w:t>
      </w:r>
      <w:r w:rsidRPr="008B628A">
        <w:rPr>
          <w:rFonts w:ascii="Times New Roman" w:hAnsi="Times New Roman" w:cs="Times New Roman"/>
        </w:rPr>
        <w:t xml:space="preserve"> un sākuma kapitāla investīcijas apmērā līdz 2 milj</w:t>
      </w:r>
      <w:r w:rsidR="0094517B" w:rsidRPr="008B628A">
        <w:rPr>
          <w:rFonts w:ascii="Times New Roman" w:hAnsi="Times New Roman" w:cs="Times New Roman"/>
        </w:rPr>
        <w:t>.EUR</w:t>
      </w:r>
      <w:r w:rsidRPr="008B628A">
        <w:rPr>
          <w:rFonts w:ascii="Times New Roman" w:hAnsi="Times New Roman" w:cs="Times New Roman"/>
        </w:rPr>
        <w:t>. Investīcijas tiks veiktas, lai finansētu saimnieciskās darbības veicēja izveidi un attīstību, un tās tiks veiktas kvazikapitāla un pašu kapitāla veidā. Finansējums pieejams pie diviem sēklas un sākuma kapitāla fondiem, kas izvēlēti atklātā iepirkumā. Pieejamais finansējums pasākuma īstenošanai 30 milj.EUR.</w:t>
      </w:r>
    </w:p>
    <w:p w14:paraId="78C56F41" w14:textId="120018A0" w:rsidR="00E30EE6" w:rsidRPr="008B628A" w:rsidRDefault="00E30EE6" w:rsidP="00A95294">
      <w:pPr>
        <w:pStyle w:val="Heading4"/>
        <w:jc w:val="both"/>
      </w:pPr>
      <w:r w:rsidRPr="008B628A">
        <w:t>Izaugsmes kapitāla fondi</w:t>
      </w:r>
      <w:r w:rsidR="00C0595A" w:rsidRPr="008B628A">
        <w:rPr>
          <w:rStyle w:val="FootnoteReference"/>
        </w:rPr>
        <w:footnoteReference w:id="237"/>
      </w:r>
    </w:p>
    <w:p w14:paraId="770A0EC1" w14:textId="21A52078"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Izaugsmes kapitāla fondos tiks sniegtas riska kapitāla investīcijas komersantu un lauksaimniecības pakalpojumu kooperatīvo sabiebrību attīstībai apmērā līdz 15 % no fonda kapitāla. Investīcijas tiks veiktas kvazikapitāla un pašu kapitāla ieguldījumu veidā. Pieejamais finansējums pasākuma īstenošanai 30 milj.EUR.</w:t>
      </w:r>
    </w:p>
    <w:p w14:paraId="494A0773" w14:textId="24CD26DF" w:rsidR="00E30EE6" w:rsidRPr="008B628A" w:rsidRDefault="00E30EE6" w:rsidP="00A95294">
      <w:pPr>
        <w:pStyle w:val="Heading4"/>
        <w:jc w:val="both"/>
      </w:pPr>
      <w:r w:rsidRPr="008B628A">
        <w:t>Paralēlie aizdevumi</w:t>
      </w:r>
      <w:r w:rsidR="004B6E22" w:rsidRPr="008B628A">
        <w:rPr>
          <w:rStyle w:val="FootnoteReference"/>
        </w:rPr>
        <w:footnoteReference w:id="238"/>
      </w:r>
    </w:p>
    <w:p w14:paraId="74C38B5F" w14:textId="6A008EF4" w:rsidR="00C0595A" w:rsidRPr="008B628A" w:rsidRDefault="00C0595A" w:rsidP="004B6E22">
      <w:pPr>
        <w:spacing w:before="120" w:after="120" w:line="240" w:lineRule="auto"/>
        <w:jc w:val="both"/>
        <w:rPr>
          <w:rFonts w:ascii="Times New Roman" w:hAnsi="Times New Roman" w:cs="Times New Roman"/>
        </w:rPr>
      </w:pPr>
      <w:r w:rsidRPr="008B628A">
        <w:rPr>
          <w:rFonts w:ascii="Times New Roman" w:hAnsi="Times New Roman" w:cs="Times New Roman"/>
        </w:rPr>
        <w:t>Komersantiem un lauksaimniecības pakalpojumu kooperatīvajām sabiedrībām to saimnieciskās darbības attīstīšanai tiek sniegti mezanīna aizdevumi jeb paralēlie aizdevumi (subordinēti ilgtermiņa investīciju aizdevumi ar paaugstinātu kredīta risku). Paralēlie aizdevumi tiks sniegti kopā ar komercbanku aizdevumu.  Paralēlo aizdevumu piešķir, ja tā apmērs ir vismaz 50</w:t>
      </w:r>
      <w:r w:rsidR="0094517B" w:rsidRPr="008B628A">
        <w:rPr>
          <w:rFonts w:ascii="Times New Roman" w:hAnsi="Times New Roman" w:cs="Times New Roman"/>
        </w:rPr>
        <w:t xml:space="preserve"> tūkst.EUR</w:t>
      </w:r>
      <w:r w:rsidRPr="008B628A">
        <w:rPr>
          <w:rFonts w:ascii="Times New Roman" w:hAnsi="Times New Roman" w:cs="Times New Roman"/>
        </w:rPr>
        <w:t>. Pieejamais finansējums pasākuma īstenošanai 32,98 milj.EUR</w:t>
      </w:r>
    </w:p>
    <w:p w14:paraId="380CA3EA" w14:textId="22FB449F" w:rsidR="00E30EE6" w:rsidRPr="008B628A" w:rsidRDefault="00E30EE6" w:rsidP="004B6E22">
      <w:pPr>
        <w:pStyle w:val="Heading4"/>
        <w:jc w:val="both"/>
      </w:pPr>
      <w:r w:rsidRPr="008B628A">
        <w:t>Mikrokreditēšana un aizdevumi biznesa uzsācējiem</w:t>
      </w:r>
      <w:r w:rsidR="004B6E22" w:rsidRPr="008B628A">
        <w:rPr>
          <w:rStyle w:val="FootnoteReference"/>
        </w:rPr>
        <w:footnoteReference w:id="239"/>
      </w:r>
    </w:p>
    <w:p w14:paraId="4135C5D4" w14:textId="560C2C17" w:rsidR="00C0595A" w:rsidRPr="008B628A" w:rsidRDefault="00C0595A" w:rsidP="004B6E22">
      <w:pPr>
        <w:spacing w:before="120" w:after="120" w:line="240" w:lineRule="auto"/>
        <w:jc w:val="both"/>
        <w:rPr>
          <w:rFonts w:ascii="Times New Roman" w:hAnsi="Times New Roman" w:cs="Times New Roman"/>
        </w:rPr>
      </w:pPr>
      <w:r w:rsidRPr="008B628A">
        <w:rPr>
          <w:rFonts w:ascii="Times New Roman" w:hAnsi="Times New Roman" w:cs="Times New Roman"/>
        </w:rPr>
        <w:t>Pasākuma ietvaros atbalsts tiek sniegts komersantiem aizdevumu veidā:</w:t>
      </w:r>
    </w:p>
    <w:p w14:paraId="78468FD5" w14:textId="77777777" w:rsidR="00C0595A" w:rsidRPr="008B628A" w:rsidRDefault="00C0595A" w:rsidP="00283C85">
      <w:pPr>
        <w:pStyle w:val="ListParagraph"/>
        <w:numPr>
          <w:ilvl w:val="0"/>
          <w:numId w:val="60"/>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Mikroaizdevumu piešķir mikro, mazajiem un vidējiem komersantiem dzīvotspējīgu biznesa projektu īstenošanai – investīcijām un apgrozāmiem līdzekļiem.</w:t>
      </w:r>
    </w:p>
    <w:p w14:paraId="5ECB3ACE" w14:textId="77777777" w:rsidR="00C0595A" w:rsidRPr="008B628A" w:rsidRDefault="00C0595A" w:rsidP="00283C85">
      <w:pPr>
        <w:pStyle w:val="ListParagraph"/>
        <w:numPr>
          <w:ilvl w:val="0"/>
          <w:numId w:val="60"/>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Starta aizdevumu piešķir jaundibinātiem komersantiem dzīvotspējīgu biznesa projektu īstenošanai – investīcijām un apgrozāmiem līdzekļiem.</w:t>
      </w:r>
    </w:p>
    <w:p w14:paraId="3D2FA25E" w14:textId="15FC12A9" w:rsidR="00C0595A"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Pieejamais finansējums pasākuma īstenošanai 31,5 milj.EUR</w:t>
      </w:r>
    </w:p>
    <w:p w14:paraId="57F91961" w14:textId="5A11B796" w:rsidR="00E30EE6" w:rsidRPr="008B628A" w:rsidRDefault="00E30EE6" w:rsidP="004B6E22">
      <w:pPr>
        <w:pStyle w:val="Heading4"/>
        <w:jc w:val="both"/>
      </w:pPr>
      <w:r w:rsidRPr="008B628A">
        <w:t>Aizdevumu garantijas</w:t>
      </w:r>
      <w:r w:rsidR="004B6E22" w:rsidRPr="008B628A">
        <w:rPr>
          <w:rStyle w:val="FootnoteReference"/>
        </w:rPr>
        <w:footnoteReference w:id="240"/>
      </w:r>
    </w:p>
    <w:p w14:paraId="05005552" w14:textId="77777777"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Pasākuma ietvaros tiek sniegtas aizdevumu garantijas investīciju aizdevumiem, apgrozāmo līdzekļu aizdevumiem, finanšu līzingam, finanšu līzinga limitiem, faktoringam, kā arī sniedz konkursa, avansa maksājuma, maksājuma, izpildes un laika garantijas. Pieejamas būs arī kredītbrīvdienas esošiem finanšu darījumiem. Aizdevumu garantijas segums paredzēts līdz 80 % apmērā no finanšu pakalpojuma.</w:t>
      </w:r>
    </w:p>
    <w:p w14:paraId="35FED5F3" w14:textId="42C20B5D"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Pieejamais finansējums pasākuma īstenošanai 38,29 milj.EUR</w:t>
      </w:r>
    </w:p>
    <w:p w14:paraId="5EA02BB8" w14:textId="37293CAC" w:rsidR="00E30EE6" w:rsidRPr="008B628A" w:rsidRDefault="00E30EE6" w:rsidP="004B6E22">
      <w:pPr>
        <w:pStyle w:val="Heading4"/>
        <w:jc w:val="both"/>
      </w:pPr>
      <w:r w:rsidRPr="008B628A">
        <w:t>Eksporta kredītu garantijas</w:t>
      </w:r>
      <w:r w:rsidR="004B6E22" w:rsidRPr="008B628A">
        <w:rPr>
          <w:rStyle w:val="FootnoteReference"/>
        </w:rPr>
        <w:footnoteReference w:id="241"/>
      </w:r>
    </w:p>
    <w:p w14:paraId="4E5DB04F" w14:textId="60CB1AB5"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Pasākuma ietvaros eksporta kredītu garantijas paredzēts sniegt darījumiem uz augsta riska tirgiem, darījumiem Latvijas tirgū, </w:t>
      </w:r>
      <w:r w:rsidR="004B6E22" w:rsidRPr="008B628A">
        <w:rPr>
          <w:rFonts w:ascii="Times New Roman" w:hAnsi="Times New Roman" w:cs="Times New Roman"/>
        </w:rPr>
        <w:t>ES</w:t>
      </w:r>
      <w:r w:rsidRPr="008B628A">
        <w:rPr>
          <w:rFonts w:ascii="Times New Roman" w:hAnsi="Times New Roman" w:cs="Times New Roman"/>
        </w:rPr>
        <w:t xml:space="preserve"> un industriāli attīstītajās valstīs. Pieejamais finansējums pasākuma īstenošanai 20 milj.EUR</w:t>
      </w:r>
      <w:r w:rsidR="004B6E22" w:rsidRPr="008B628A">
        <w:rPr>
          <w:rFonts w:ascii="Times New Roman" w:hAnsi="Times New Roman" w:cs="Times New Roman"/>
        </w:rPr>
        <w:t>.</w:t>
      </w:r>
    </w:p>
    <w:p w14:paraId="141B9BFC" w14:textId="608AFD8D" w:rsidR="00303787" w:rsidRPr="008B628A" w:rsidRDefault="00303787" w:rsidP="004B6E22">
      <w:pPr>
        <w:pStyle w:val="Heading3"/>
      </w:pPr>
      <w:bookmarkStart w:id="391" w:name="_Toc527529571"/>
      <w:r w:rsidRPr="008B628A">
        <w:t>Pašreizējā situācija pētniecības jomā</w:t>
      </w:r>
      <w:bookmarkEnd w:id="390"/>
      <w:bookmarkEnd w:id="391"/>
    </w:p>
    <w:p w14:paraId="31DD4598" w14:textId="31EBD0A6"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2017.gadā izstrādāts pirmais RIS3 stratēģijas monitoringa ziņojums, kurā secināts, ka no 2014.gada līdz 2017.gadam ir paveikts nozīmīgs darbs RIS3 ekosistēmas pilnveidē. Īstenotas strukturālās reformas – ir notikusi zinātnisko institūtu konsolidācija no 40 uz 22, ir mainīti zinātnes bāzes finansējuma piešķiršanas nosacījumi, finansējot tikai starptautiski konkurētspējīgas zinātniskās institūcijas un ieviešot finansējuma formulu, kas stimulē pētniecības kvalitāti un ārējā finansējuma piesaisti, ir izstrādāti ieviešanas nosacījumi ES fondu un valsts budžeta ieguldījumiem zinātnē un inovācijās. Vienlaikus secināts, ka galvenais zināšanu un tehnoloģiju ietilpību raksturojošais rādītājs – ieguldījumi P&amp;A – nav pieaudzis, tostarp valsts budžeta investīciju apmērs nav ticis nodrošināts saskaņā ar plānoto.</w:t>
      </w:r>
    </w:p>
    <w:p w14:paraId="0CB47822" w14:textId="77777777" w:rsidR="00751808" w:rsidRPr="008B628A" w:rsidRDefault="00751808" w:rsidP="0075180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Sākot ar 2017.gadu līgumos ar zinātniskajām institūcijām, t.sk. augstskolām, par zinātnes bāzes finansējumu ir iekļauts pienākums veidot pieprasījumu pēc zinātnes un inovācijām. </w:t>
      </w:r>
    </w:p>
    <w:p w14:paraId="211CC791" w14:textId="15970020" w:rsidR="001A4BA1" w:rsidRPr="008B628A" w:rsidRDefault="0012612C" w:rsidP="004B6E22">
      <w:pPr>
        <w:pStyle w:val="Heading4"/>
        <w:jc w:val="both"/>
      </w:pPr>
      <w:bookmarkStart w:id="392" w:name="_Toc527529572"/>
      <w:r w:rsidRPr="008B628A">
        <w:t>VPP</w:t>
      </w:r>
      <w:bookmarkEnd w:id="392"/>
    </w:p>
    <w:p w14:paraId="03F4D3AA" w14:textId="7784247F" w:rsidR="0012612C" w:rsidRPr="008B628A" w:rsidRDefault="0012612C" w:rsidP="004B6E2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VPP ir valsts pasūtījums zinātnisku pētījumu veikšanai noteiktā ekonomikas, izglītības, kultūras vai citā valstij prioritārā nozarē ar mērķi veicināt šīs nozares attīstību. VPP mērķus un uzdevumus nosaka attiecīgās nozaru ministrijas, konsultējoties ar Latvijas Zinātņu akadēmiju un Latvijas Zinātnes padomi. VPP projektu konkursu organizē un īsteno Latvijas Zinātnes padome.</w:t>
      </w:r>
    </w:p>
    <w:p w14:paraId="58E3D69A" w14:textId="6FC6EE95" w:rsidR="0012612C" w:rsidRPr="008B628A" w:rsidRDefault="0012612C" w:rsidP="004B6E2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VPP ietvaros līdz Plāna izstrādes laikam ir īstenoti 2 VPP posmi</w:t>
      </w:r>
      <w:r w:rsidR="006B6FCC" w:rsidRPr="008B628A">
        <w:rPr>
          <w:rFonts w:ascii="Times New Roman" w:hAnsi="Times New Roman" w:cs="Times New Roman"/>
          <w:szCs w:val="24"/>
        </w:rPr>
        <w:t xml:space="preserve">: 2010.-2013.g. un 2014.-2020.g, bet </w:t>
      </w:r>
      <w:r w:rsidR="006B6FCC" w:rsidRPr="008B628A">
        <w:rPr>
          <w:rFonts w:ascii="Times New Roman" w:hAnsi="Times New Roman" w:cs="Times New Roman"/>
          <w:color w:val="000000"/>
          <w:szCs w:val="24"/>
        </w:rPr>
        <w:t xml:space="preserve">2014. -2017. gada VPP īstenošana ir pagarināta līdz 2018. gada beigām. </w:t>
      </w:r>
      <w:r w:rsidR="00E17DBB" w:rsidRPr="008B628A">
        <w:rPr>
          <w:rFonts w:ascii="Times New Roman" w:hAnsi="Times New Roman" w:cs="Times New Roman"/>
          <w:szCs w:val="24"/>
        </w:rPr>
        <w:t>VPP</w:t>
      </w:r>
      <w:r w:rsidRPr="008B628A">
        <w:rPr>
          <w:rFonts w:ascii="Times New Roman" w:hAnsi="Times New Roman" w:cs="Times New Roman"/>
          <w:szCs w:val="24"/>
        </w:rPr>
        <w:t xml:space="preserve"> 2014.-2020.g. periodā uz Plānā iekļauto dimensiju nosacījumiem attiecās 2 VPP bloki:</w:t>
      </w:r>
    </w:p>
    <w:p w14:paraId="68944C70" w14:textId="715FFC71" w:rsidR="006B6FCC" w:rsidRPr="008B628A" w:rsidRDefault="0012612C" w:rsidP="006B6FCC">
      <w:pPr>
        <w:pStyle w:val="NormalWeb"/>
        <w:spacing w:before="120" w:beforeAutospacing="0" w:after="120" w:afterAutospacing="0"/>
        <w:jc w:val="both"/>
        <w:rPr>
          <w:bCs/>
        </w:rPr>
      </w:pPr>
      <w:r w:rsidRPr="008B628A">
        <w:rPr>
          <w:rFonts w:eastAsia="Candara"/>
        </w:rPr>
        <w:t>1) VPP enerģētikā 2014-2017 (LATENERGI)</w:t>
      </w:r>
      <w:r w:rsidRPr="008B628A">
        <w:rPr>
          <w:rStyle w:val="FootnoteReference"/>
          <w:rFonts w:eastAsia="Candara"/>
        </w:rPr>
        <w:footnoteReference w:id="242"/>
      </w:r>
      <w:r w:rsidRPr="008B628A">
        <w:rPr>
          <w:bCs/>
        </w:rPr>
        <w:t xml:space="preserve"> “Energoefektīvi un oglekļa mazietilpīgi risinājumi drošai, ilgtspējīgai un klimata mainību mazinošai energoapgādei” </w:t>
      </w:r>
      <w:r w:rsidRPr="008B628A">
        <w:rPr>
          <w:rFonts w:eastAsia="Candara"/>
        </w:rPr>
        <w:t xml:space="preserve">piedāvātie zinātnisko pētījumu virzieni paredz kompleksu un integrētu pieeju Latvijas energosektora un to ierobežojošo vides faktoru mijiedarbības izpētē. Savlaicīga un kvalitatīva zinātniskā pamatojuma izstrāde deva iespēju piedāvāt praktiskus un pārdomātus risinājumus Latvijas energosektora attīstībai, virzoties uz </w:t>
      </w:r>
      <w:r w:rsidR="0010106D" w:rsidRPr="008B628A">
        <w:rPr>
          <w:rFonts w:eastAsia="Candara"/>
        </w:rPr>
        <w:t xml:space="preserve">ES </w:t>
      </w:r>
      <w:r w:rsidRPr="008B628A">
        <w:rPr>
          <w:rFonts w:eastAsia="Candara"/>
        </w:rPr>
        <w:t>izvirzītā prioritārā mērķa 20/20/20 sasniegšanu. Programmā tika paredzēta starpdisciplināra pieeja gan definēto izpētes virzienu kontekstā, gan programmas realizācijā – ir iesaistītas gan Latvijas vadošās zinātniskās institūcijas enerģētikas un vides aizsardzības jomās, gan tautsaimniecības partneri (uzņēmumi, profesionālās asociācijas), gan lēmējinstitūcijas.</w:t>
      </w:r>
      <w:r w:rsidR="006B6FCC" w:rsidRPr="008B628A">
        <w:rPr>
          <w:rFonts w:eastAsia="Candara"/>
        </w:rPr>
        <w:t xml:space="preserve"> </w:t>
      </w:r>
      <w:r w:rsidR="006B6FCC" w:rsidRPr="008B628A">
        <w:rPr>
          <w:bCs/>
        </w:rPr>
        <w:t xml:space="preserve">Programmas ietvaros tika pētīti tehnoloģiski inovatīvi, izmaksu efektīvi risinājumi ilgtspējīgas </w:t>
      </w:r>
      <w:r w:rsidR="006B6FCC" w:rsidRPr="008B628A">
        <w:rPr>
          <w:bCs/>
        </w:rPr>
        <w:lastRenderedPageBreak/>
        <w:t xml:space="preserve">enerģijas ieguves un patēriņa attīstībai, energoefektivitātes paaugstināšanai un videi draudzīgu </w:t>
      </w:r>
      <w:r w:rsidR="006B6FCC" w:rsidRPr="008B628A">
        <w:rPr>
          <w:rFonts w:eastAsia="Calibri"/>
        </w:rPr>
        <w:t>AER</w:t>
      </w:r>
      <w:r w:rsidR="006B6FCC" w:rsidRPr="008B628A">
        <w:rPr>
          <w:bCs/>
        </w:rPr>
        <w:t xml:space="preserve"> attīstībai. </w:t>
      </w:r>
    </w:p>
    <w:p w14:paraId="487664AB" w14:textId="6FDF65C5" w:rsidR="0012612C" w:rsidRPr="008B628A" w:rsidRDefault="006B6FCC" w:rsidP="006B6FCC">
      <w:pPr>
        <w:spacing w:before="120" w:after="120" w:line="240" w:lineRule="auto"/>
        <w:jc w:val="both"/>
        <w:rPr>
          <w:rFonts w:ascii="Times New Roman" w:hAnsi="Times New Roman" w:cs="Times New Roman"/>
          <w:bCs/>
        </w:rPr>
      </w:pPr>
      <w:r w:rsidRPr="008B628A">
        <w:rPr>
          <w:rFonts w:ascii="Times New Roman" w:eastAsia="Candara" w:hAnsi="Times New Roman" w:cs="Times New Roman"/>
        </w:rPr>
        <w:t xml:space="preserve">Programmas </w:t>
      </w:r>
      <w:r w:rsidR="0012612C" w:rsidRPr="008B628A">
        <w:rPr>
          <w:rFonts w:ascii="Times New Roman" w:hAnsi="Times New Roman" w:cs="Times New Roman"/>
          <w:bCs/>
          <w:szCs w:val="24"/>
        </w:rPr>
        <w:t xml:space="preserve">ietvaros tika īstenoti </w:t>
      </w:r>
      <w:r w:rsidR="0012612C" w:rsidRPr="008B628A">
        <w:rPr>
          <w:rFonts w:ascii="Times New Roman" w:hAnsi="Times New Roman" w:cs="Times New Roman"/>
          <w:bCs/>
        </w:rPr>
        <w:t>6 projekti:</w:t>
      </w:r>
    </w:p>
    <w:p w14:paraId="0100D768"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 xml:space="preserve">Inovatīvas energoelektronikas tehnoloģijas energoefektivitātes palielināšanai Latvijas tautsaimniecībā, nākotnes elektroapgādes tīkliem un </w:t>
      </w:r>
      <w:r w:rsidRPr="008B628A">
        <w:rPr>
          <w:rFonts w:eastAsia="Calibri"/>
        </w:rPr>
        <w:t>AER</w:t>
      </w:r>
      <w:r w:rsidRPr="008B628A">
        <w:rPr>
          <w:bCs/>
        </w:rPr>
        <w:t xml:space="preserve"> izmantošanai;</w:t>
      </w:r>
    </w:p>
    <w:p w14:paraId="185457BF"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Energosistēmas attīstības plānošanas un enerģijas ražošanas, tirgošanas un sadales optimizācija;</w:t>
      </w:r>
    </w:p>
    <w:p w14:paraId="76B6FF3E"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Ilgtspējīga klimata politika un inovatīvi, energoefektīvi tehnoloģiski risinājumi (KPIET);</w:t>
      </w:r>
    </w:p>
    <w:p w14:paraId="656AF674"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Ūdeņraža un biodegvielu ieguves inovatīvās tehnoloģijas, to uzglabāšana, kvalitātes kontrole, kvalitātes nodrošināšana un izmantošana Latvijā;</w:t>
      </w:r>
    </w:p>
    <w:p w14:paraId="537DAB36"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Enerģētikas un klimata politikas ietekmes novērtēšana;</w:t>
      </w:r>
    </w:p>
    <w:p w14:paraId="171E261D"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 xml:space="preserve">Kompleksi pētījumi par </w:t>
      </w:r>
      <w:r w:rsidRPr="008B628A">
        <w:rPr>
          <w:rFonts w:eastAsia="Calibri"/>
        </w:rPr>
        <w:t>AER</w:t>
      </w:r>
      <w:r w:rsidRPr="008B628A">
        <w:rPr>
          <w:bCs/>
        </w:rPr>
        <w:t xml:space="preserve"> ieguves un izmantošanas inovatīvajām tehnoloģijām un biogāzes ražošanas potenciālu atkritumu pārstrādes nozarē.</w:t>
      </w:r>
    </w:p>
    <w:p w14:paraId="27CE167A" w14:textId="1E88DAD8" w:rsidR="006B6FCC" w:rsidRPr="008B628A" w:rsidRDefault="0012612C" w:rsidP="006B6FCC">
      <w:pPr>
        <w:spacing w:before="120" w:after="120" w:line="240" w:lineRule="auto"/>
        <w:jc w:val="both"/>
        <w:rPr>
          <w:rFonts w:ascii="Times New Roman" w:hAnsi="Times New Roman" w:cs="Times New Roman"/>
        </w:rPr>
      </w:pPr>
      <w:r w:rsidRPr="008B628A">
        <w:rPr>
          <w:rFonts w:ascii="Times New Roman" w:hAnsi="Times New Roman" w:cs="Times New Roman"/>
        </w:rPr>
        <w:t>2) VPP par vidi un klimatu EVIDEnT “Latvijas ekosistēmu vērtība un tās dinamika klimata ietekmē” (2014-2017)</w:t>
      </w:r>
      <w:r w:rsidRPr="008B628A">
        <w:rPr>
          <w:rStyle w:val="FootnoteReference"/>
          <w:rFonts w:ascii="Times New Roman" w:hAnsi="Times New Roman" w:cs="Times New Roman"/>
        </w:rPr>
        <w:footnoteReference w:id="243"/>
      </w:r>
      <w:r w:rsidRPr="008B628A">
        <w:rPr>
          <w:rFonts w:ascii="Times New Roman" w:hAnsi="Times New Roman" w:cs="Times New Roman"/>
        </w:rPr>
        <w:t xml:space="preserve"> </w:t>
      </w:r>
      <w:r w:rsidR="006B6FCC" w:rsidRPr="008B628A">
        <w:rPr>
          <w:rFonts w:ascii="Times New Roman" w:hAnsi="Times New Roman" w:cs="Times New Roman"/>
        </w:rPr>
        <w:t>ir orientēta uz visu 10 VPP konkursa 2014.-2017.gadam 1.prioritārā virziena “Vide, Klimats un Enerģija” apakšprogrammas 1.2 “Vide un Klimats” uzdevumu izpildi. Programma ir strukturēta 5 projektos.</w:t>
      </w:r>
    </w:p>
    <w:p w14:paraId="60936F15" w14:textId="21A5E1D9"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adaptēti/izstrādāti vēju lauku, viļņu un straumju modeļi, izstrādāti straumju un viļņu režīma novērošanas sensoru prototipi un veikti lauka mērījumi, veikti barības ķēžu funkcionēšanas pētījumi sistēmā ezers-upe-jūra.</w:t>
      </w:r>
    </w:p>
    <w:p w14:paraId="4D18FBCB" w14:textId="6BD1F7B9"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veikti introducēto sugu pētījumi saldūdens ekosistēmā (HES ūdenskrātuvē), ostu un tām piegulošajās akvatorijās un Baltijas jūras piekrastes zonā.</w:t>
      </w:r>
    </w:p>
    <w:p w14:paraId="0D4FF429" w14:textId="152F2D7F" w:rsidR="00E64D83" w:rsidRPr="00F060A0" w:rsidRDefault="00E64D83"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projektā tika izstrādāts modelēšanas rīks un izveidoti integrētas attīstības scenāriji tautsaimniecības sektoriem, apsekotas lauku saimniecības, izveidota Latvijas lauku saimniecību tipoloģija SEG emisiju samazināšanas kontekstā un veikta Latvijas lauksaimniecības SEG emisiju samazinošo pasākumu atlase un to izmaksu-ieguvumu izvērtējums, vērtēta mežsaimniecības integrētā ietekme.</w:t>
      </w:r>
    </w:p>
    <w:p w14:paraId="43F2485F" w14:textId="44CDE604"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veikti plaši bioloģiskās daudzveidības pētījumi, modelētas dzīvotnes un izvērtēta ekosistēmas pakalpojumu vērtība, kā arī izstrādātas rekomendācijas tautsaimniecības attīstībai.</w:t>
      </w:r>
    </w:p>
    <w:p w14:paraId="47EF8785" w14:textId="0DC01B80" w:rsidR="0012612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w:t>
      </w:r>
      <w:r w:rsidR="00727820" w:rsidRPr="008B628A">
        <w:rPr>
          <w:rFonts w:ascii="Times New Roman" w:hAnsi="Times New Roman" w:cs="Times New Roman"/>
        </w:rPr>
        <w:t>a</w:t>
      </w:r>
      <w:r w:rsidRPr="008B628A">
        <w:rPr>
          <w:rFonts w:ascii="Times New Roman" w:hAnsi="Times New Roman" w:cs="Times New Roman"/>
        </w:rPr>
        <w:t xml:space="preserve"> izstrādāti klimata scenāriji, pilnveidots hidroģeoloģiskais modelis, tai skaitā veicot ūdeņu infiltrācijas mērījumus.</w:t>
      </w:r>
    </w:p>
    <w:p w14:paraId="734F206E" w14:textId="36F63B9E" w:rsidR="00727820" w:rsidRPr="008B628A" w:rsidRDefault="00727820" w:rsidP="00727820">
      <w:pPr>
        <w:spacing w:before="60" w:after="60"/>
        <w:rPr>
          <w:rFonts w:ascii="Times New Roman" w:eastAsia="Times New Roman" w:hAnsi="Times New Roman" w:cs="Times New Roman"/>
          <w:lang w:eastAsia="lv-LV"/>
        </w:rPr>
      </w:pPr>
      <w:r w:rsidRPr="008B628A">
        <w:rPr>
          <w:rFonts w:ascii="Times New Roman" w:eastAsia="Times New Roman" w:hAnsi="Times New Roman" w:cs="Times New Roman"/>
          <w:lang w:eastAsia="lv-LV"/>
        </w:rPr>
        <w:t xml:space="preserve">Plāna izstrādes laikā ir uzsākta VPP 2018.-2021.g. perioda īstenošana. </w:t>
      </w:r>
    </w:p>
    <w:p w14:paraId="10DC84B5" w14:textId="6F298866" w:rsidR="001A4E6F" w:rsidRPr="008B628A" w:rsidRDefault="00B15309" w:rsidP="001A4E6F">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lang w:eastAsia="lv-LV"/>
        </w:rPr>
        <w:t>V</w:t>
      </w:r>
      <w:r w:rsidR="008B56B2" w:rsidRPr="008B628A">
        <w:rPr>
          <w:rFonts w:ascii="Times New Roman" w:eastAsia="Times New Roman" w:hAnsi="Times New Roman" w:cs="Times New Roman"/>
          <w:lang w:eastAsia="lv-LV"/>
        </w:rPr>
        <w:t>PP</w:t>
      </w:r>
      <w:r w:rsidRPr="008B628A">
        <w:rPr>
          <w:rFonts w:ascii="Times New Roman" w:eastAsia="Times New Roman" w:hAnsi="Times New Roman" w:cs="Times New Roman"/>
          <w:lang w:eastAsia="lv-LV"/>
        </w:rPr>
        <w:t xml:space="preserve"> “Enerģētika” ir valsts pasūtījums zinātnisku pētījumu veikšanai enerģētikas nozarē ar mērķi veicināt tās attīstību. Programma apstiprināta ar Ministru kabineta 2018. gada 26. septembra rīkojumu Nr. 462 “Par valsts pētījumu programmu “Enerģētika””</w:t>
      </w:r>
      <w:r w:rsidRPr="008B628A">
        <w:rPr>
          <w:rStyle w:val="FootnoteReference"/>
          <w:rFonts w:ascii="Times New Roman" w:eastAsia="Times New Roman" w:hAnsi="Times New Roman" w:cs="Times New Roman"/>
          <w:lang w:eastAsia="lv-LV"/>
        </w:rPr>
        <w:footnoteReference w:id="244"/>
      </w:r>
      <w:r w:rsidRPr="008B628A">
        <w:rPr>
          <w:rFonts w:ascii="Times New Roman" w:eastAsia="Times New Roman" w:hAnsi="Times New Roman" w:cs="Times New Roman"/>
          <w:lang w:eastAsia="lv-LV"/>
        </w:rPr>
        <w:t xml:space="preserve">. </w:t>
      </w:r>
      <w:r w:rsidRPr="008B628A">
        <w:rPr>
          <w:rFonts w:ascii="Times New Roman" w:eastAsia="Times New Roman" w:hAnsi="Times New Roman" w:cs="Times New Roman"/>
          <w:iCs/>
          <w:szCs w:val="24"/>
          <w:lang w:eastAsia="lv-LV"/>
        </w:rPr>
        <w:t>Ar programmu plānots dot ieguldījumu ilgtspējīgas, modernas, konkurētspējīgas un sabiedrības interesēm atbilstošas enerģētikas attīstībai Latvijā, t.sk. attiecībā uz visaptverošu Plānu, kas noteiks valsts enerģētikas un klimata politiku laika posmā līdz 2030. gadam un tās ietvaros īstenojamiem pasākumiem.</w:t>
      </w:r>
      <w:r w:rsidR="001A4E6F" w:rsidRPr="008B628A">
        <w:rPr>
          <w:rFonts w:ascii="Times New Roman" w:eastAsia="Times New Roman" w:hAnsi="Times New Roman" w:cs="Times New Roman"/>
          <w:iCs/>
          <w:szCs w:val="24"/>
          <w:lang w:eastAsia="lv-LV"/>
        </w:rPr>
        <w:t xml:space="preserve"> Programmas  īstenošanai 2018.–2020. gadam ir piešķirts finansējums 6 </w:t>
      </w:r>
      <w:r w:rsidR="0094517B" w:rsidRPr="008B628A">
        <w:rPr>
          <w:rFonts w:ascii="Times New Roman" w:eastAsia="Times New Roman" w:hAnsi="Times New Roman" w:cs="Times New Roman"/>
          <w:iCs/>
          <w:szCs w:val="24"/>
          <w:lang w:eastAsia="lv-LV"/>
        </w:rPr>
        <w:t>milj.EUR</w:t>
      </w:r>
      <w:r w:rsidR="001A4E6F" w:rsidRPr="008B628A">
        <w:rPr>
          <w:rFonts w:ascii="Times New Roman" w:eastAsia="Times New Roman" w:hAnsi="Times New Roman" w:cs="Times New Roman"/>
          <w:iCs/>
          <w:szCs w:val="24"/>
          <w:lang w:eastAsia="lv-LV"/>
        </w:rPr>
        <w:t xml:space="preserve"> apmērā, ik gadu 2</w:t>
      </w:r>
      <w:r w:rsidR="0094517B" w:rsidRPr="008B628A">
        <w:rPr>
          <w:rFonts w:ascii="Times New Roman" w:eastAsia="Times New Roman" w:hAnsi="Times New Roman" w:cs="Times New Roman"/>
          <w:iCs/>
          <w:szCs w:val="24"/>
          <w:lang w:eastAsia="lv-LV"/>
        </w:rPr>
        <w:t xml:space="preserve"> milj.EUR</w:t>
      </w:r>
      <w:r w:rsidR="001A4E6F" w:rsidRPr="008B628A">
        <w:rPr>
          <w:rFonts w:ascii="Times New Roman" w:eastAsia="Times New Roman" w:hAnsi="Times New Roman" w:cs="Times New Roman"/>
          <w:iCs/>
          <w:szCs w:val="24"/>
          <w:lang w:eastAsia="lv-LV"/>
        </w:rPr>
        <w:t xml:space="preserve">. </w:t>
      </w:r>
    </w:p>
    <w:p w14:paraId="1374329D" w14:textId="45876D82" w:rsidR="00B14D83" w:rsidRPr="008B628A" w:rsidRDefault="00B14D83" w:rsidP="001A4E6F">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Programmas ietvaros tai ir noteikti šādi uzdevumi:</w:t>
      </w:r>
    </w:p>
    <w:p w14:paraId="3670DADD" w14:textId="494F7A54"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lastRenderedPageBreak/>
        <w:t xml:space="preserve">1. atbilstoši </w:t>
      </w:r>
      <w:r w:rsidR="0010106D" w:rsidRPr="008B628A">
        <w:rPr>
          <w:rFonts w:ascii="Times New Roman" w:eastAsia="Times New Roman" w:hAnsi="Times New Roman" w:cs="Times New Roman"/>
          <w:iCs/>
          <w:szCs w:val="24"/>
          <w:lang w:eastAsia="lv-LV"/>
        </w:rPr>
        <w:t>ES</w:t>
      </w:r>
      <w:r w:rsidRPr="008B628A">
        <w:rPr>
          <w:rFonts w:ascii="Times New Roman" w:eastAsia="Times New Roman" w:hAnsi="Times New Roman" w:cs="Times New Roman"/>
          <w:iCs/>
          <w:szCs w:val="24"/>
          <w:lang w:eastAsia="lv-LV"/>
        </w:rPr>
        <w:t xml:space="preserve"> un Latvijas normatīvo aktu saturiskajām un metodiskajām prasībām attīstīt analītisko zināšanu bāzi, kas nepieciešama ilgtermiņa nacionālās enerģētikas politikas stratēģisko mērķu noteikšanai, izstrādāt rīcībpolitikas priekšlikumus enerģētikas politikas stratēģisko mērķu sasniegšanai, kā arī analītiskos rīkus un modeļus politikas mērķu un politikas pasākumu ietekmes novērtēšanai;</w:t>
      </w:r>
    </w:p>
    <w:p w14:paraId="738EE4ED" w14:textId="4351DBFA"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 attīstīt enerģijas infrastruktūras un tirgus attīstībai nepieciešamo zināšanu bāzi, iekļaujot enerģētikas sistēmu attīstības un optimizācijas risinājumus, dažādu enerģijas veidu ieguves un izmantošanas prognozes, ražošanas un patēriņa tendences, energoapgādes materiāltehniskos un tehnoloģiskos risinājumus, kā arī energoapgādes sistēmas drošuma risinājumus;</w:t>
      </w:r>
    </w:p>
    <w:p w14:paraId="6B253734" w14:textId="77777777"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3. attīstīt zināšanu bāzi energoefektivitātes jomā, iekļaujot visaptverošu energoefektivitātes potenciāla novērtējumu tautsaimniecības sektoros un atsevišķās nozarēs, energoefektivitātes pasākumu izvērtējumu, jaunu inženiertehnoloģisko risinājumu izpēti, efektīvas siltumapgādes un aukstumapgādes attīstības potenciāla Latvijā izvērtējumu, kā arī atbilstošas rīcībpolitikas un finansēšanas risinājumu izstrādi;</w:t>
      </w:r>
    </w:p>
    <w:p w14:paraId="1A79A05A" w14:textId="77777777"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4. attīstīt zināšanu bāzi par atjaunojamo un vietējo energoresursu izmantošanu, par šo resursu potenciālu teritoriālā un sektoru griezumā, tirgu, ilgtspēju, tehnisko, sociālo un ekonomisko ietekmi, atbalsta mehānismiem un starpvalstu sadarbības mehānismiem, tehnoloģijām, ietekmi uz kopējo enerģētikas sistēmas drošumu un tirgu, kā arī izstrādāt atbilstošus rīcībpolitikas un finansēšanas risinājumus;</w:t>
      </w:r>
    </w:p>
    <w:p w14:paraId="7780F1A9" w14:textId="47096560"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5. veicināt valsts iestāžu starptautisko sadarbību ar zinātniskajām institūcijām enerģētikas pētniecības jomā, lai risinātu ilgtermiņa enerģētikas problēmas un izaicinājumus un veidotu uz pētniecību un efektivitāti balstītu ilgtspējīgu enerģētikas politiku.</w:t>
      </w:r>
    </w:p>
    <w:p w14:paraId="4E82F50E" w14:textId="6869A67F"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2018. g</w:t>
      </w:r>
      <w:r w:rsidR="00E17DBB" w:rsidRPr="008B628A">
        <w:rPr>
          <w:rFonts w:ascii="Times New Roman" w:eastAsia="Times New Roman" w:hAnsi="Times New Roman" w:cs="Times New Roman"/>
          <w:iCs/>
          <w:szCs w:val="24"/>
          <w:lang w:eastAsia="lv-LV"/>
        </w:rPr>
        <w:t>ada 4. oktobrī ir apstiprināti p</w:t>
      </w:r>
      <w:r w:rsidRPr="008B628A">
        <w:rPr>
          <w:rFonts w:ascii="Times New Roman" w:eastAsia="Times New Roman" w:hAnsi="Times New Roman" w:cs="Times New Roman"/>
          <w:iCs/>
          <w:szCs w:val="24"/>
          <w:lang w:eastAsia="lv-LV"/>
        </w:rPr>
        <w:t>rogrammas ietvaros īstenoto konkursu nolikumi</w:t>
      </w:r>
      <w:r w:rsidRPr="008B628A">
        <w:rPr>
          <w:rStyle w:val="FootnoteReference"/>
          <w:rFonts w:ascii="Times New Roman" w:eastAsia="Times New Roman" w:hAnsi="Times New Roman" w:cs="Times New Roman"/>
          <w:iCs/>
          <w:szCs w:val="24"/>
          <w:lang w:eastAsia="lv-LV"/>
        </w:rPr>
        <w:footnoteReference w:id="245"/>
      </w:r>
      <w:r w:rsidR="003E1015" w:rsidRPr="008B628A">
        <w:rPr>
          <w:rFonts w:ascii="Times New Roman" w:eastAsia="Times New Roman" w:hAnsi="Times New Roman" w:cs="Times New Roman"/>
          <w:iCs/>
          <w:szCs w:val="24"/>
          <w:lang w:eastAsia="lv-LV"/>
        </w:rPr>
        <w:t>, savukārt projektu pieteikumu termiņš ir noteikts 2018.gada 9.novembris vai 12.novembris.</w:t>
      </w:r>
    </w:p>
    <w:p w14:paraId="762A2F02" w14:textId="5162794D" w:rsidR="00B14D83" w:rsidRPr="008B628A" w:rsidRDefault="00B14D83" w:rsidP="00B14D83">
      <w:pPr>
        <w:pStyle w:val="Heading4"/>
        <w:rPr>
          <w:rFonts w:eastAsia="Times New Roman"/>
          <w:lang w:eastAsia="lv-LV"/>
        </w:rPr>
      </w:pPr>
      <w:bookmarkStart w:id="393" w:name="_Toc527529573"/>
      <w:r w:rsidRPr="008B628A">
        <w:rPr>
          <w:rFonts w:eastAsia="Times New Roman"/>
          <w:lang w:eastAsia="lv-LV"/>
        </w:rPr>
        <w:t>Zinātniskā bāze</w:t>
      </w:r>
      <w:bookmarkEnd w:id="393"/>
    </w:p>
    <w:p w14:paraId="08940679" w14:textId="0E991559" w:rsidR="001A4BA1" w:rsidRPr="008B628A" w:rsidRDefault="00B14D83" w:rsidP="00B14D83">
      <w:pPr>
        <w:spacing w:before="120" w:after="0" w:line="240" w:lineRule="auto"/>
        <w:jc w:val="both"/>
        <w:rPr>
          <w:rFonts w:ascii="Times New Roman" w:hAnsi="Times New Roman" w:cs="Times New Roman"/>
        </w:rPr>
      </w:pPr>
      <w:r w:rsidRPr="008B628A">
        <w:rPr>
          <w:rFonts w:ascii="Times New Roman" w:hAnsi="Times New Roman" w:cs="Times New Roman"/>
        </w:rPr>
        <w:t>P</w:t>
      </w:r>
      <w:r w:rsidR="001A4BA1" w:rsidRPr="008B628A">
        <w:rPr>
          <w:rFonts w:ascii="Times New Roman" w:hAnsi="Times New Roman" w:cs="Times New Roman"/>
        </w:rPr>
        <w:t>ētniecību mazoglekļa tehnoloģiju vajadzībām palīdz īstenot arī citas programmas, piemēram, valsts budžeta programma 05.02.00 “Zinātnes bāzes finansējums”, kas ir institucionālais finansējums, kas ir aprēķināts pēc rezultatīvajiem rādītājiem no t.sk enerģētikas jomas un kas tiek izlietots arī šīs nozares zinātniskās infrastruktūras un pētnieku atalgojuma nodrošināšanai 21 valsts zinātniskajā institūcijā. 2018.</w:t>
      </w:r>
      <w:r w:rsidR="0094517B" w:rsidRPr="008B628A">
        <w:rPr>
          <w:rFonts w:ascii="Times New Roman" w:hAnsi="Times New Roman" w:cs="Times New Roman"/>
        </w:rPr>
        <w:t xml:space="preserve"> gadā kopumā ieguldīti 25 milj.</w:t>
      </w:r>
      <w:r w:rsidR="001A4BA1" w:rsidRPr="008B628A">
        <w:rPr>
          <w:rFonts w:ascii="Times New Roman" w:hAnsi="Times New Roman" w:cs="Times New Roman"/>
        </w:rPr>
        <w:t>EUR, no tiem aptuveni 1/3 daļa institūcijās, kurās tiek veikti pētījumi viedās enerģētikas jomā.</w:t>
      </w:r>
    </w:p>
    <w:p w14:paraId="631ABDFD" w14:textId="063BE565" w:rsidR="001A4BA1" w:rsidRPr="008B628A" w:rsidRDefault="00B14D83" w:rsidP="00B14D83">
      <w:pPr>
        <w:pStyle w:val="Heading4"/>
      </w:pPr>
      <w:bookmarkStart w:id="394" w:name="_Toc527529574"/>
      <w:r w:rsidRPr="008B628A">
        <w:t>Kompeten</w:t>
      </w:r>
      <w:r w:rsidR="00471ECB" w:rsidRPr="008B628A">
        <w:t>ces</w:t>
      </w:r>
      <w:r w:rsidRPr="008B628A">
        <w:t xml:space="preserve"> centri</w:t>
      </w:r>
      <w:bookmarkEnd w:id="394"/>
    </w:p>
    <w:p w14:paraId="6F267F97" w14:textId="77777777" w:rsidR="007C05CD" w:rsidRPr="008B628A" w:rsidRDefault="007C05CD" w:rsidP="007C05C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nodarbinātība" 1.2.1.specifiskā atbalsta mērķa "Palielināt privātā sektora investīcijas P&amp;A" ietvaros tiek īstenots 1.2.1.1.pasākums "Atbalsts jaunu produktu un tehnoloģiju izstrādei kompetences centru ietvaros", kura mērķis ir komersantu konkurētspējas paaugstināšana, veicinot pētniecības un rūpniecības sektora sadarbību, īstenojot projektus, kas attīsta jaunus produktus un tehnoloģijas un ievieš tās ražošanā. Kopējais pieejamais atbalsta apjoms ir 80,1 milj.EUR, no kuriem 79,1 milj. EUR ir pieejams kompetences centru pētījumiem (atbalsts eksperimentālajai izstrādei un rūpnieciskajiem pētījumiem) un 1 milj. EUR pārvaldības projektam</w:t>
      </w:r>
    </w:p>
    <w:p w14:paraId="32F9C482" w14:textId="77777777" w:rsidR="007C05CD" w:rsidRPr="008B628A" w:rsidRDefault="007C05CD" w:rsidP="007C05C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Uz 2017. gada 31. decembri astoņos kompetences centros kopā uzsākta 146 projektu īstenošana. Līdz 2017. gada 31. decembrim pabeigti 39 pētījumi, kuru rezultātā radītie produkti ieviesti ražošanā vai plānota tuvākajā laikā. Atbalstu saņēmuši 132 uzņēmumi, lai ieviestu jaunus produktus un tehnoloģijas.</w:t>
      </w:r>
    </w:p>
    <w:p w14:paraId="32F4846C" w14:textId="77777777" w:rsidR="007C05CD" w:rsidRPr="008B628A" w:rsidRDefault="007C05CD" w:rsidP="007C05CD">
      <w:pPr>
        <w:spacing w:before="120" w:after="120" w:line="240" w:lineRule="auto"/>
        <w:jc w:val="both"/>
        <w:rPr>
          <w:rFonts w:ascii="Times New Roman" w:hAnsi="Times New Roman" w:cs="Times New Roman"/>
        </w:rPr>
      </w:pPr>
      <w:r w:rsidRPr="008B628A">
        <w:rPr>
          <w:rFonts w:ascii="Times New Roman" w:hAnsi="Times New Roman" w:cs="Times New Roman"/>
        </w:rPr>
        <w:t xml:space="preserve">Tehnoloģiju pārneses programmas ietvaros līdz 2017.gada nogalei apstiprināti 40 zinātnisko ideju komercializācijas projekti tehniski ekonomiskās priekšizpētes un komercializācijas stratēģijas </w:t>
      </w:r>
      <w:r w:rsidRPr="008B628A">
        <w:rPr>
          <w:rFonts w:ascii="Times New Roman" w:hAnsi="Times New Roman" w:cs="Times New Roman"/>
        </w:rPr>
        <w:lastRenderedPageBreak/>
        <w:t>izstrādei un apstiprināti 10 komersantu pieteikumi par inovācijas vaučeru atbalsta piešķiršanu. Programmas ietvaros pitch sesijās prezentētas 85 komercializējamu projektu idejas.</w:t>
      </w:r>
    </w:p>
    <w:p w14:paraId="53DE41E4" w14:textId="72ABA3C6"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2016.gada 16.septembrī tika noslēgts Līgums Nr. 1.2.1.1/16/A/008 ar Centrālo Finanšu un Līgumu aģentūru par projekta “</w:t>
      </w:r>
      <w:r w:rsidR="00F67E09" w:rsidRPr="008B628A">
        <w:rPr>
          <w:rFonts w:ascii="Times New Roman" w:hAnsi="Times New Roman" w:cs="Times New Roman"/>
          <w:szCs w:val="24"/>
        </w:rPr>
        <w:t>Viedo inženiersistēmu, transporta un enerģētikas kompetences centrs”</w:t>
      </w:r>
      <w:r w:rsidRPr="008B628A">
        <w:rPr>
          <w:rFonts w:ascii="Times New Roman" w:hAnsi="Times New Roman" w:cs="Times New Roman"/>
          <w:szCs w:val="24"/>
        </w:rPr>
        <w:t xml:space="preserve"> īstenošanu </w:t>
      </w:r>
      <w:r w:rsidR="00F86D5E" w:rsidRPr="008B628A">
        <w:rPr>
          <w:rFonts w:ascii="Times New Roman" w:hAnsi="Times New Roman" w:cs="Times New Roman"/>
          <w:szCs w:val="24"/>
        </w:rPr>
        <w:t xml:space="preserve">ERAF </w:t>
      </w:r>
      <w:r w:rsidRPr="008B628A">
        <w:rPr>
          <w:rFonts w:ascii="Times New Roman" w:hAnsi="Times New Roman" w:cs="Times New Roman"/>
          <w:szCs w:val="24"/>
        </w:rPr>
        <w:t>līdzfinansējuma saņemšanai 3 206</w:t>
      </w:r>
      <w:r w:rsidR="000F5D61" w:rsidRPr="008B628A">
        <w:rPr>
          <w:rFonts w:ascii="Times New Roman" w:hAnsi="Times New Roman" w:cs="Times New Roman"/>
          <w:szCs w:val="24"/>
        </w:rPr>
        <w:t> </w:t>
      </w:r>
      <w:r w:rsidRPr="008B628A">
        <w:rPr>
          <w:rFonts w:ascii="Times New Roman" w:hAnsi="Times New Roman" w:cs="Times New Roman"/>
          <w:szCs w:val="24"/>
        </w:rPr>
        <w:t xml:space="preserve">250 </w:t>
      </w:r>
      <w:r w:rsidR="000F5D61" w:rsidRPr="008B628A">
        <w:rPr>
          <w:rFonts w:ascii="Times New Roman" w:hAnsi="Times New Roman" w:cs="Times New Roman"/>
          <w:szCs w:val="24"/>
        </w:rPr>
        <w:t xml:space="preserve">EUR </w:t>
      </w:r>
      <w:r w:rsidRPr="008B628A">
        <w:rPr>
          <w:rFonts w:ascii="Times New Roman" w:hAnsi="Times New Roman" w:cs="Times New Roman"/>
          <w:szCs w:val="24"/>
        </w:rPr>
        <w:t>apmērā darbības programmas “Izaugsme un nodarbinātība” 1.2.1. specifiskā atbalsta mērķa “Palielināt privātā sektora investīcijas P&amp;A” 1.2.1.1. pasākuma “Atbalsts jaunu produktu un tehnoloģiju izstrādei kompetences centru ietvaros”. Šī kompetence centra ietvaros uz 2018.gada 1.jūliju tiek īstenots 21 pētījums, kuru īsteno 21 komersants. Projekts tiek īstenots līdz 2018.gada 31.decembrim.</w:t>
      </w:r>
    </w:p>
    <w:p w14:paraId="3DB6C7A2" w14:textId="71D33838" w:rsidR="00B14D83" w:rsidRPr="008B628A" w:rsidRDefault="00B14D83" w:rsidP="00B14D83">
      <w:pPr>
        <w:pStyle w:val="Heading4"/>
      </w:pPr>
      <w:bookmarkStart w:id="395" w:name="_Toc527529575"/>
      <w:r w:rsidRPr="008B628A">
        <w:t>Apvārsnis 2020</w:t>
      </w:r>
      <w:bookmarkEnd w:id="395"/>
      <w:r w:rsidRPr="008B628A">
        <w:t xml:space="preserve"> </w:t>
      </w:r>
    </w:p>
    <w:p w14:paraId="67BA3C44" w14:textId="77777777" w:rsidR="002F3BAA" w:rsidRPr="008B628A" w:rsidRDefault="002F3BAA" w:rsidP="00211F3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2017.gadā ir uzsākts EK Apvārsnis 2020 Policy Support Facility izvērtējums par Latvijas zinātnes finansējumu. Galvenās rekomendācijas: </w:t>
      </w:r>
    </w:p>
    <w:p w14:paraId="6EA6F7CF"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jāpalielina P&amp;A finansējums, it īpaši no valsts budžeta;</w:t>
      </w:r>
    </w:p>
    <w:p w14:paraId="167DAAC0"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jāturpina augstākās izglītības iestāžu pārvaldības modernizācija (šim mērķim tiks veiktas investīcijas pasākuma Nodrošināt labāku pārvaldību augstākās izglītības institūcijās ietvaros, skat. arī 3.4.4.nodaļu);</w:t>
      </w:r>
    </w:p>
    <w:p w14:paraId="6E0C469D"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investīciju apjoms inovācijās ir jāpalielina arī uzņēmējdarbības sektorā, t.sk. valsts kapitāla uzņēmumos (IZM ierosina nozaru ministriju valsts pētījumu programmas, 2018.gadā tiks uzsākta EM valsts pētījumu programma enerģētikas jomā);</w:t>
      </w:r>
    </w:p>
    <w:p w14:paraId="67FDDE15"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jāpalielina konkursa kārtībā iegūstamais projektu P&amp;A finansējums, tos salāgojot ar nacionālajām vajadzībām (tiks īstenots sākot ar 2018.gadu ar jauniem nosacījumiem fundamentālo un lietišķo pētījumu projektu, kā arī valsts pētījumu programmu finansējumā);</w:t>
      </w:r>
    </w:p>
    <w:p w14:paraId="113DBEF2" w14:textId="011959B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valsts iestāžu struktūra un pārvaldība ir jāsalāgo ar nacionālajām vajadzībām (piemēram, apsv</w:t>
      </w:r>
      <w:r w:rsidR="00FD6D1E" w:rsidRPr="008B628A">
        <w:rPr>
          <w:rFonts w:ascii="Times New Roman" w:hAnsi="Times New Roman" w:cs="Times New Roman"/>
          <w:szCs w:val="24"/>
        </w:rPr>
        <w:t>e</w:t>
      </w:r>
      <w:r w:rsidRPr="008B628A">
        <w:rPr>
          <w:rFonts w:ascii="Times New Roman" w:hAnsi="Times New Roman" w:cs="Times New Roman"/>
          <w:szCs w:val="24"/>
        </w:rPr>
        <w:t>rot iespēju izveidojot vienas pieturas aģentūru pētniecības projektu administrēšanai, kas ir izvērtējams Valsts pārvaldes reformu plāna ietvaros).</w:t>
      </w:r>
    </w:p>
    <w:p w14:paraId="33A972BB" w14:textId="32E4DF3E" w:rsidR="00B14D83" w:rsidRPr="008B628A" w:rsidRDefault="00B14D83" w:rsidP="00B14D83">
      <w:pPr>
        <w:pStyle w:val="Heading4"/>
      </w:pPr>
      <w:bookmarkStart w:id="396" w:name="_Toc527529576"/>
      <w:r w:rsidRPr="008B628A">
        <w:t>LIFE</w:t>
      </w:r>
      <w:bookmarkEnd w:id="396"/>
    </w:p>
    <w:p w14:paraId="32A755B6" w14:textId="4F20AD69"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LIFE programmas projekta "Degradēto purvu atbildīga apsaimniekošana un ilgtspējīga izmantošana Latvijā" (LIFE REstore) sākti SEG emisiju mērījumi kūdrājos Latvijā, lai veiktu SEG  emisiju  uzskaites  metodoloģijas  aprobāciju  un  izstrādātu  nacionālos  SEG  emisiju faktorus apsaimniekotām pārejas un augstā purva augsnēm.</w:t>
      </w:r>
    </w:p>
    <w:p w14:paraId="28507F5E" w14:textId="4401CA22"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 xml:space="preserve">2017. gadā  </w:t>
      </w:r>
      <w:r w:rsidR="008955F9">
        <w:rPr>
          <w:rFonts w:ascii="Times New Roman" w:hAnsi="Times New Roman" w:cs="Times New Roman"/>
          <w:szCs w:val="24"/>
        </w:rPr>
        <w:t xml:space="preserve">Latvijas Vides aizsardzības fonda administrācija (turpmāk – </w:t>
      </w:r>
      <w:r w:rsidRPr="008B628A">
        <w:rPr>
          <w:rFonts w:ascii="Times New Roman" w:hAnsi="Times New Roman" w:cs="Times New Roman"/>
          <w:szCs w:val="24"/>
        </w:rPr>
        <w:t>LVAFA</w:t>
      </w:r>
      <w:r w:rsidR="008955F9">
        <w:rPr>
          <w:rFonts w:ascii="Times New Roman" w:hAnsi="Times New Roman" w:cs="Times New Roman"/>
          <w:szCs w:val="24"/>
        </w:rPr>
        <w:t>)</w:t>
      </w:r>
      <w:r w:rsidRPr="008B628A">
        <w:rPr>
          <w:rFonts w:ascii="Times New Roman" w:hAnsi="Times New Roman" w:cs="Times New Roman"/>
          <w:szCs w:val="24"/>
        </w:rPr>
        <w:t xml:space="preserve"> turpināja  īstenot  iepriekšējos gados uzsāktās  jaunās politikas iniciatīvas </w:t>
      </w:r>
      <w:r w:rsidR="008955F9">
        <w:rPr>
          <w:rFonts w:ascii="Times New Roman" w:hAnsi="Times New Roman" w:cs="Times New Roman"/>
          <w:szCs w:val="24"/>
        </w:rPr>
        <w:t>–</w:t>
      </w:r>
      <w:r w:rsidRPr="008B628A">
        <w:rPr>
          <w:rFonts w:ascii="Times New Roman" w:hAnsi="Times New Roman" w:cs="Times New Roman"/>
          <w:szCs w:val="24"/>
        </w:rPr>
        <w:t xml:space="preserve"> principa “Nauda atgriežas dabā” īstenošanu.  Šī politikas iniciatīva tika  realizēta  caur  projektu  konkursiem  un  prioritāriem  nacionālas  nozīmes  vides aizsardzības  projektiem  apakšprogrammā  „Vides  aizsardzības  projekti”,  kopumā nodrošinot 111 projektu  īstenošanu  par  kopējo  summu 3 668 379 EUR.</w:t>
      </w:r>
    </w:p>
    <w:p w14:paraId="452236FC" w14:textId="77777777"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Projekts  “Kapacitātes  palielināšana  LIFE  programmas  ieviešanai  Latvijā”  (LIFE14 CAP/LV/000002, CAP LIFE LAT) uzsāka darbību 2016. gada 1. janvārī un ilgs līdz 2019. gada  31.  decembrim.  Projekta  īstenotāji  ir  Vides  aizsardzības  un  reģionālās  attīstības ministrija  (vadošais  partneris)  un  Latvijas  vides  aizsardzības  fonda  administrācija (sadarbības  partneris). LIFE  Kapacitātes projekta  galvenais  mērķis  ir  veicināt  LIFE programmas atpazīstamību un sekmēt iesniegto un atbalstīto projektu skaitu.</w:t>
      </w:r>
    </w:p>
    <w:p w14:paraId="53A99515" w14:textId="77777777"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LVAFA  2017.gadā  LIFE  Kapacitātes  projekta CAP LIFE LAT aktivitāšu ietvaros  veica  3 pētījumu iepirkumus:</w:t>
      </w:r>
    </w:p>
    <w:p w14:paraId="2BC93B4B"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t>“Vides un klimata politikas ieviešanas prioritāšu izvērtējums EK LIFE finansējuma piesaistei”, pētījums  veikts  3  jomās – dabas  aizsardzība,  vides aizsardzība  un klimata politika;</w:t>
      </w:r>
    </w:p>
    <w:p w14:paraId="61F47EF7"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lastRenderedPageBreak/>
        <w:t>“Inovāciju  potenciāls  Latvijā  LIFE  apakšprogrammas  Vide  un resursefektivitāte kontekstā”;</w:t>
      </w:r>
    </w:p>
    <w:p w14:paraId="7BB7B7F2"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t>“Pieejamo  finansējuma  avotu  salīdzinājums  dabas,  vides  un  klimata  politikas ieviešanai Latvijā”.</w:t>
      </w:r>
    </w:p>
    <w:p w14:paraId="5218C689" w14:textId="2C198A6C"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LIFE Kapacitātes projekta ietvaros tika veikta arī iedzīvotāju aptauja ar mērķi noskaidrot Latvijas  iedzīvotāju  viedokli  par  klimata  pārmaiņām,  dažādiem  vides  jautājumiem  un programmas LIFE atpazīstamību.</w:t>
      </w:r>
    </w:p>
    <w:p w14:paraId="03BE45DC" w14:textId="4E111A6E" w:rsidR="00B14D83" w:rsidRPr="008B628A" w:rsidRDefault="00B14D83" w:rsidP="00B14D83">
      <w:pPr>
        <w:pStyle w:val="Heading4"/>
      </w:pPr>
      <w:bookmarkStart w:id="397" w:name="_Toc527529577"/>
      <w:r w:rsidRPr="008B628A">
        <w:t>Galvenās problēmas, kas pastāv P&amp;A jomā Latvijā</w:t>
      </w:r>
      <w:bookmarkEnd w:id="397"/>
    </w:p>
    <w:p w14:paraId="358AB5A8"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Latvijas tautsaimniecības struktūru galvenokārt veido mikro, mazie un vidējie uzņēmumi, kuriem nav kapacitātes investēt P&amp;A, un neliels augsto tehnoloģiju uzņēmumu skaits;</w:t>
      </w:r>
    </w:p>
    <w:p w14:paraId="2567B25E"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ilgstoši nepietiekams valsts budžeta finansējums zinātnei;</w:t>
      </w:r>
    </w:p>
    <w:p w14:paraId="16328CCE"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mazs nodarbināto skaits zinātnē, pētniecībā, tehnoloģiju attīstībā un inovācijā, un nepietiekama šajās jomās iesaistītā personāla atjaunotne;</w:t>
      </w:r>
    </w:p>
    <w:p w14:paraId="2C506758"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finanšu ieguldījumi infrastruktūrā nav sabalansēti ar ieguldījumiem cilvēkresursu uzturēšanā un attīstībā; </w:t>
      </w:r>
    </w:p>
    <w:p w14:paraId="239970C4"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nepietiekama sadarbība un koordinācija starp zinātnes, tehnoloģiju attīstības un inovāciju institūcijām, augstākās izglītības iestādēm, valsts pārvaldes iestādēm un industriju;</w:t>
      </w:r>
    </w:p>
    <w:p w14:paraId="5087C1DB"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nepietiekami attīstīta starptautiskā sadarbība;</w:t>
      </w:r>
    </w:p>
    <w:p w14:paraId="0324C04F"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nepietiekami attīstītas P&amp;A procesa rezultātā radīto izgudrojumu komercializācijas iespējas.</w:t>
      </w:r>
    </w:p>
    <w:p w14:paraId="33ACB591" w14:textId="77777777" w:rsidR="00B14D83" w:rsidRPr="008B628A" w:rsidRDefault="00B14D83" w:rsidP="00FD6D1E">
      <w:pPr>
        <w:pStyle w:val="ListParagraph"/>
        <w:spacing w:before="120" w:after="120" w:line="240" w:lineRule="auto"/>
        <w:ind w:left="0"/>
        <w:contextualSpacing w:val="0"/>
        <w:jc w:val="both"/>
        <w:rPr>
          <w:rFonts w:ascii="Times New Roman" w:hAnsi="Times New Roman" w:cs="Times New Roman"/>
          <w:szCs w:val="24"/>
        </w:rPr>
      </w:pPr>
    </w:p>
    <w:p w14:paraId="31870500" w14:textId="4C9E12DC" w:rsidR="00581156" w:rsidRPr="008B628A" w:rsidRDefault="00581156" w:rsidP="005F59CE">
      <w:pPr>
        <w:pStyle w:val="Heading3"/>
      </w:pPr>
      <w:bookmarkStart w:id="398" w:name="_Toc520978887"/>
      <w:bookmarkStart w:id="399" w:name="_Toc527529578"/>
      <w:r w:rsidRPr="008B628A">
        <w:t>Pašreizējā izdevumu situācija</w:t>
      </w:r>
      <w:bookmarkEnd w:id="398"/>
      <w:bookmarkEnd w:id="399"/>
      <w:r w:rsidRPr="008B628A">
        <w:t xml:space="preserve"> </w:t>
      </w:r>
    </w:p>
    <w:p w14:paraId="67466340" w14:textId="1326A06C" w:rsidR="00863FD7" w:rsidRPr="008B628A" w:rsidRDefault="00863FD7" w:rsidP="00863FD7">
      <w:pPr>
        <w:pStyle w:val="Heading4"/>
      </w:pPr>
      <w:bookmarkStart w:id="400" w:name="_Toc527529579"/>
      <w:r w:rsidRPr="008B628A">
        <w:t>Inovācij</w:t>
      </w:r>
      <w:r w:rsidR="003F7B26" w:rsidRPr="008B628A">
        <w:t>a</w:t>
      </w:r>
      <w:r w:rsidRPr="008B628A">
        <w:t>s un konkurētspēj</w:t>
      </w:r>
      <w:bookmarkEnd w:id="400"/>
      <w:r w:rsidR="003F7B26" w:rsidRPr="008B628A">
        <w:t>a</w:t>
      </w:r>
    </w:p>
    <w:p w14:paraId="3D7AF032" w14:textId="75814E03" w:rsidR="00A24932" w:rsidRPr="008B628A" w:rsidRDefault="00A24932" w:rsidP="00A24932">
      <w:pPr>
        <w:spacing w:before="120" w:after="120" w:line="240" w:lineRule="auto"/>
        <w:jc w:val="both"/>
        <w:rPr>
          <w:rFonts w:ascii="Times New Roman" w:hAnsi="Times New Roman" w:cs="Times New Roman"/>
        </w:rPr>
      </w:pPr>
      <w:r w:rsidRPr="008B628A">
        <w:rPr>
          <w:rFonts w:ascii="Times New Roman" w:hAnsi="Times New Roman" w:cs="Times New Roman"/>
        </w:rPr>
        <w:t>Periodā līdz 2020.gadam Latvijā, lai īstenoto LIAS2030 noteiktos inovāciju mērķus, ir pieejams vairāk nekā 500 milj.</w:t>
      </w:r>
      <w:r w:rsidR="00BB291A" w:rsidRPr="008B628A">
        <w:rPr>
          <w:rFonts w:ascii="Times New Roman" w:hAnsi="Times New Roman" w:cs="Times New Roman"/>
        </w:rPr>
        <w:t xml:space="preserve"> </w:t>
      </w:r>
      <w:r w:rsidR="00A9182C" w:rsidRPr="008B628A">
        <w:rPr>
          <w:rFonts w:ascii="Times New Roman" w:hAnsi="Times New Roman" w:cs="Times New Roman"/>
        </w:rPr>
        <w:t>EUR</w:t>
      </w:r>
      <w:r w:rsidRPr="008B628A">
        <w:rPr>
          <w:rFonts w:ascii="Times New Roman" w:hAnsi="Times New Roman" w:cs="Times New Roman"/>
        </w:rPr>
        <w:t xml:space="preserve"> finansējums atbalstam inovāciju attīstībai un atbalsts mazajiem un vidējiem uzņēmumiem konkurētspējas veicināšanai.</w:t>
      </w:r>
    </w:p>
    <w:p w14:paraId="5C8EB871" w14:textId="1D7B22EA" w:rsidR="00863FD7" w:rsidRPr="008B628A" w:rsidRDefault="00863FD7" w:rsidP="00863FD7">
      <w:pPr>
        <w:jc w:val="center"/>
      </w:pPr>
      <w:r w:rsidRPr="008B628A">
        <w:rPr>
          <w:noProof/>
          <w:lang w:eastAsia="lv-LV"/>
        </w:rPr>
        <w:drawing>
          <wp:inline distT="0" distB="0" distL="0" distR="0" wp14:anchorId="6F01D500" wp14:editId="64EABEEF">
            <wp:extent cx="4605296" cy="3486494"/>
            <wp:effectExtent l="0" t="0" r="508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3383" cy="3492617"/>
                    </a:xfrm>
                    <a:prstGeom prst="rect">
                      <a:avLst/>
                    </a:prstGeom>
                    <a:noFill/>
                    <a:ln>
                      <a:noFill/>
                    </a:ln>
                  </pic:spPr>
                </pic:pic>
              </a:graphicData>
            </a:graphic>
          </wp:inline>
        </w:drawing>
      </w:r>
    </w:p>
    <w:p w14:paraId="17F737E3" w14:textId="37DDB2E1" w:rsidR="00A24932" w:rsidRPr="008B628A" w:rsidRDefault="00C654A6"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01" w:name="_Toc531333129"/>
      <w:r w:rsidR="006067D4">
        <w:rPr>
          <w:noProof/>
        </w:rPr>
        <w:t>49</w:t>
      </w:r>
      <w:r w:rsidRPr="008B628A">
        <w:rPr>
          <w:noProof/>
        </w:rPr>
        <w:fldChar w:fldCharType="end"/>
      </w:r>
      <w:r w:rsidR="00A24932" w:rsidRPr="008B628A">
        <w:t>.attēls. Pieejamais finansējums atbalstam inovāciju attīstībai un MVU konkurētspējas veicināšanai periodā līdz 2020.gadam</w:t>
      </w:r>
      <w:bookmarkEnd w:id="401"/>
    </w:p>
    <w:p w14:paraId="79884B33" w14:textId="148C4563" w:rsidR="00303787" w:rsidRPr="008B628A" w:rsidRDefault="00303787" w:rsidP="00863FD7">
      <w:pPr>
        <w:pStyle w:val="Heading4"/>
      </w:pPr>
      <w:bookmarkStart w:id="402" w:name="_Toc527529580"/>
      <w:r w:rsidRPr="008B628A">
        <w:t>Pētniecīb</w:t>
      </w:r>
      <w:r w:rsidR="003F7B26" w:rsidRPr="008B628A">
        <w:t>a</w:t>
      </w:r>
      <w:r w:rsidRPr="008B628A">
        <w:t xml:space="preserve"> un attīstīb</w:t>
      </w:r>
      <w:bookmarkEnd w:id="402"/>
      <w:r w:rsidR="003F7B26" w:rsidRPr="008B628A">
        <w:t>a</w:t>
      </w:r>
    </w:p>
    <w:p w14:paraId="68D05628" w14:textId="77777777" w:rsidR="005F1283" w:rsidRPr="008B628A" w:rsidRDefault="005F1283" w:rsidP="005F128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Saskaņā ar </w:t>
      </w:r>
      <w:r w:rsidRPr="008B628A">
        <w:rPr>
          <w:rFonts w:ascii="Times New Roman" w:hAnsi="Times New Roman" w:cs="Times New Roman"/>
          <w:i/>
          <w:szCs w:val="24"/>
        </w:rPr>
        <w:t>European Innovation Scoreboard</w:t>
      </w:r>
      <w:r w:rsidRPr="008B628A">
        <w:rPr>
          <w:rFonts w:ascii="Times New Roman" w:hAnsi="Times New Roman" w:cs="Times New Roman"/>
          <w:szCs w:val="24"/>
        </w:rPr>
        <w:t xml:space="preserve"> 2018 novērtējumu Latvija salīdzinājumā ar iepriekšējo gadu ir saglabājusi savu pozīciju 24.vietā starp 28 pētījumā iekļautām ES dalībvalstīm, saglabājot pozīciju grupā vidējie inovatori, kuru sniegums inovācijas jomā ir no 50-90% no ES vidējā līmeņa. Tomēr ieguldījumu P&amp;A mērķa sasniegšana joprojām uzskatāma par lielu izaicinājumu.</w:t>
      </w:r>
    </w:p>
    <w:p w14:paraId="1B862668" w14:textId="77777777" w:rsidR="005F1283" w:rsidRPr="008B628A" w:rsidRDefault="005F1283" w:rsidP="005F1283">
      <w:pPr>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2B5DC511" wp14:editId="475DEED9">
            <wp:extent cx="4315554" cy="2758190"/>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0320" cy="2767627"/>
                    </a:xfrm>
                    <a:prstGeom prst="rect">
                      <a:avLst/>
                    </a:prstGeom>
                    <a:noFill/>
                  </pic:spPr>
                </pic:pic>
              </a:graphicData>
            </a:graphic>
          </wp:inline>
        </w:drawing>
      </w:r>
    </w:p>
    <w:p w14:paraId="047C3083" w14:textId="78F20380" w:rsidR="005F1283"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03" w:name="_Toc531333130"/>
      <w:r w:rsidR="006067D4">
        <w:rPr>
          <w:noProof/>
        </w:rPr>
        <w:t>50</w:t>
      </w:r>
      <w:r w:rsidRPr="008B628A">
        <w:rPr>
          <w:noProof/>
        </w:rPr>
        <w:fldChar w:fldCharType="end"/>
      </w:r>
      <w:r w:rsidR="005F1283" w:rsidRPr="008B628A">
        <w:t>.attēls. Ieguldījumu P&amp;A mērķa izpildes situācija līdz 2016.gadam (kopējais finansējums P&amp;A)</w:t>
      </w:r>
      <w:bookmarkEnd w:id="403"/>
    </w:p>
    <w:p w14:paraId="3691C9BB" w14:textId="1C736E36" w:rsidR="00C928F3" w:rsidRPr="008B628A" w:rsidRDefault="00C928F3" w:rsidP="00211F3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Latvijas kopējie izdevumi P&amp;A 2016. gadā bija 110,4</w:t>
      </w:r>
      <w:r w:rsidR="00BB291A" w:rsidRPr="008B628A">
        <w:rPr>
          <w:rFonts w:ascii="Times New Roman" w:hAnsi="Times New Roman" w:cs="Times New Roman"/>
          <w:szCs w:val="24"/>
        </w:rPr>
        <w:t xml:space="preserve"> </w:t>
      </w:r>
      <w:r w:rsidRPr="008B628A">
        <w:rPr>
          <w:rFonts w:ascii="Times New Roman" w:hAnsi="Times New Roman" w:cs="Times New Roman"/>
          <w:szCs w:val="24"/>
        </w:rPr>
        <w:t>milj. EUR un veidoja 0,44% no IKP. Tas ir ne tikai ievērojami mazāk kā 2016.gadā bija plānots (1,1%), bet arī mazāk nekā vidēji iepriekšējos gados. Vislielākais kritums (par 55%) novērojams kopējā P&amp;A ārvalstu finansējumā, galvenokārt – ārvalstu finansējuma uzņēmējdarbības sektorā. To lielā mērā ietekmēja pārejas periods starp diviem ES fondu plānošanas periodiem, kad 2007.-2013.gada plānošanas perioda zinātnes atbalsta aktivitātes tika pabeigtas, bet jaunā plānošanas perioda (2014.-2020.gads) zinātnes, P&amp;A un inovāciju atbalsta pasākumu ieviešana vēl nebija uzsākta. P&amp;A finansēšanas struktūra un dinamika liecina, ka P&amp;A ieguldījumu apjoms Latvijā būtiski ir atkarīgs no ES fondu ieguldījuma, kamēr uzņēmēju ieguldījumi P&amp;A ilgstoši saglabājās zemā līmenī.</w:t>
      </w:r>
    </w:p>
    <w:p w14:paraId="11F4E082" w14:textId="55DCADC5" w:rsidR="00C928F3" w:rsidRPr="008B628A" w:rsidRDefault="00C928F3" w:rsidP="00617A3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Ieguldījumu apmērs P&amp;A ir nepietiekams un joprojām atpaliek no noteiktā NRP mērķa. Tā, piemēram, lai Latvijas P&amp;A izdevumi veidotu 1,5% no IKP, tiem 2020.gadā jābūt aptuveni 462,6 milj. EUR, no kuriem 50% jābūt publiskajam finansējumam. Latvijas zinātnes institucionālais finansējums – zinātnes bāzes finansējums – netiek izmaksāts 100% apmērā no aprēķinātā saskaņā ar normatīvo regulējumu. 2017.gadā ir piešķirti vien 52% no aprēķinātā zinātnes bāzes finansējuma, iztrūkstot vismaz 21,4 milj. EUR. Turklāt, jāņem vērā, ka ilgstošā P&amp;A finansējuma deficīta rezultātā ir būtiski samazinājies arī P&amp;A nodarbināto zinātnisko darbinieku skaits, kas 2016.gadā samazinājās par 8,8% salīdzinājumā ar 2015.gadu. </w:t>
      </w:r>
    </w:p>
    <w:p w14:paraId="2E274D7A" w14:textId="77777777" w:rsidR="00617A33" w:rsidRPr="008B628A" w:rsidRDefault="00617A33" w:rsidP="00617A33">
      <w:pPr>
        <w:spacing w:before="120" w:after="120" w:line="240" w:lineRule="auto"/>
        <w:jc w:val="both"/>
        <w:rPr>
          <w:rFonts w:ascii="Times New Roman" w:eastAsia="Times New Roman" w:hAnsi="Times New Roman"/>
          <w:szCs w:val="24"/>
        </w:rPr>
      </w:pPr>
      <w:r w:rsidRPr="008B628A">
        <w:rPr>
          <w:rFonts w:ascii="Times New Roman" w:eastAsia="Times New Roman" w:hAnsi="Times New Roman"/>
          <w:szCs w:val="24"/>
        </w:rPr>
        <w:t>Laika periodā no 2014. - 2018. gadam (dati uz 01.08.2018.) enerģētikas jomas pētniecībā mazoglekļa tehnoloģiju vajadzībām ieguldīts finansējums 32,1 milj. EUR apmērā. Finansējuma aprēķina veikšanā iekļauti dati par pētījumiem, kas saistīti ar enerģijas ražošanu, energosistēmu pārvaldību, jaunu materiālu un inženiertehnoloģiju izstrādi enerģētikas sektoram.</w:t>
      </w:r>
    </w:p>
    <w:p w14:paraId="34D41D55" w14:textId="25E260C8" w:rsidR="00617A33"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404" w:name="_Toc531333159"/>
      <w:r w:rsidR="006067D4">
        <w:rPr>
          <w:noProof/>
        </w:rPr>
        <w:t>17</w:t>
      </w:r>
      <w:r w:rsidRPr="008B628A">
        <w:rPr>
          <w:noProof/>
        </w:rPr>
        <w:fldChar w:fldCharType="end"/>
      </w:r>
      <w:r w:rsidR="00C04635" w:rsidRPr="008B628A">
        <w:t>.tabula. Pētniecībā enerģētikas jomā ieguldītā finansējuma apjoms (2014-2018) un sadalījums pēc finansējuma avota</w:t>
      </w:r>
      <w:bookmarkEnd w:id="404"/>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843"/>
        <w:gridCol w:w="1961"/>
        <w:gridCol w:w="2835"/>
      </w:tblGrid>
      <w:tr w:rsidR="00617A33" w:rsidRPr="008B628A" w14:paraId="1C21AA1F" w14:textId="77777777" w:rsidTr="00C04635">
        <w:trPr>
          <w:trHeight w:val="1023"/>
          <w:jc w:val="center"/>
        </w:trPr>
        <w:tc>
          <w:tcPr>
            <w:tcW w:w="3425" w:type="dxa"/>
            <w:shd w:val="clear" w:color="auto" w:fill="auto"/>
            <w:vAlign w:val="center"/>
            <w:hideMark/>
          </w:tcPr>
          <w:p w14:paraId="487621D1"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Finansējuma avoti pētniecībai, t.sk. enerģētikas jomā (2014-2018)</w:t>
            </w:r>
          </w:p>
        </w:tc>
        <w:tc>
          <w:tcPr>
            <w:tcW w:w="1843" w:type="dxa"/>
            <w:shd w:val="clear" w:color="auto" w:fill="auto"/>
            <w:vAlign w:val="center"/>
            <w:hideMark/>
          </w:tcPr>
          <w:p w14:paraId="76FC23E4"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Kopā pētniecībai enerģētikas jomā piesaistītais finansējums, EUR</w:t>
            </w:r>
          </w:p>
        </w:tc>
        <w:tc>
          <w:tcPr>
            <w:tcW w:w="1961" w:type="dxa"/>
            <w:shd w:val="clear" w:color="auto" w:fill="auto"/>
            <w:vAlign w:val="center"/>
            <w:hideMark/>
          </w:tcPr>
          <w:p w14:paraId="41F9E148"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Kopējais attiecīgajā programmā pieejamais finansējums, EUR</w:t>
            </w:r>
          </w:p>
        </w:tc>
        <w:tc>
          <w:tcPr>
            <w:tcW w:w="2835" w:type="dxa"/>
            <w:shd w:val="clear" w:color="auto" w:fill="auto"/>
            <w:vAlign w:val="center"/>
            <w:hideMark/>
          </w:tcPr>
          <w:p w14:paraId="2A445FF3"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Pētniecībā enerģētikas jomā ieguldītā finansējuma īpatsvars no kopējā pieejamā finansējuma apjoma, %</w:t>
            </w:r>
          </w:p>
        </w:tc>
      </w:tr>
      <w:tr w:rsidR="00617A33" w:rsidRPr="008B628A" w14:paraId="38A82EFC" w14:textId="77777777" w:rsidTr="00C04635">
        <w:trPr>
          <w:trHeight w:val="375"/>
          <w:jc w:val="center"/>
        </w:trPr>
        <w:tc>
          <w:tcPr>
            <w:tcW w:w="3425" w:type="dxa"/>
            <w:shd w:val="clear" w:color="auto" w:fill="auto"/>
            <w:vAlign w:val="center"/>
            <w:hideMark/>
          </w:tcPr>
          <w:p w14:paraId="52882D9E"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Valsts budžeta finansējums:</w:t>
            </w:r>
          </w:p>
        </w:tc>
        <w:tc>
          <w:tcPr>
            <w:tcW w:w="1843" w:type="dxa"/>
            <w:shd w:val="clear" w:color="auto" w:fill="auto"/>
            <w:vAlign w:val="center"/>
            <w:hideMark/>
          </w:tcPr>
          <w:p w14:paraId="4D4AF5BE" w14:textId="607EF72F"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10 692 024</w:t>
            </w:r>
          </w:p>
        </w:tc>
        <w:tc>
          <w:tcPr>
            <w:tcW w:w="1961" w:type="dxa"/>
            <w:shd w:val="clear" w:color="auto" w:fill="auto"/>
            <w:vAlign w:val="center"/>
            <w:hideMark/>
          </w:tcPr>
          <w:p w14:paraId="4FC250B7" w14:textId="01DDAC21"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53 551 028</w:t>
            </w:r>
          </w:p>
        </w:tc>
        <w:tc>
          <w:tcPr>
            <w:tcW w:w="2835" w:type="dxa"/>
            <w:shd w:val="clear" w:color="auto" w:fill="auto"/>
            <w:vAlign w:val="center"/>
            <w:hideMark/>
          </w:tcPr>
          <w:p w14:paraId="6C9F5C63"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19.97%</w:t>
            </w:r>
          </w:p>
        </w:tc>
      </w:tr>
      <w:tr w:rsidR="00617A33" w:rsidRPr="008B628A" w14:paraId="66539A01" w14:textId="77777777" w:rsidTr="00C04635">
        <w:trPr>
          <w:trHeight w:val="300"/>
          <w:jc w:val="center"/>
        </w:trPr>
        <w:tc>
          <w:tcPr>
            <w:tcW w:w="3425" w:type="dxa"/>
            <w:shd w:val="clear" w:color="auto" w:fill="auto"/>
            <w:noWrap/>
            <w:vAlign w:val="center"/>
            <w:hideMark/>
          </w:tcPr>
          <w:p w14:paraId="271F5E7A"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Fundamentālo un lietišķo pētījumu programma</w:t>
            </w:r>
          </w:p>
        </w:tc>
        <w:tc>
          <w:tcPr>
            <w:tcW w:w="1843" w:type="dxa"/>
            <w:shd w:val="clear" w:color="auto" w:fill="auto"/>
            <w:noWrap/>
            <w:vAlign w:val="center"/>
            <w:hideMark/>
          </w:tcPr>
          <w:p w14:paraId="79783B7E" w14:textId="3021309A"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6 442 024</w:t>
            </w:r>
          </w:p>
        </w:tc>
        <w:tc>
          <w:tcPr>
            <w:tcW w:w="1961" w:type="dxa"/>
            <w:shd w:val="clear" w:color="auto" w:fill="auto"/>
            <w:noWrap/>
            <w:vAlign w:val="center"/>
            <w:hideMark/>
          </w:tcPr>
          <w:p w14:paraId="148F546D" w14:textId="045249C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23 860 083</w:t>
            </w:r>
          </w:p>
        </w:tc>
        <w:tc>
          <w:tcPr>
            <w:tcW w:w="2835" w:type="dxa"/>
            <w:shd w:val="clear" w:color="auto" w:fill="auto"/>
            <w:noWrap/>
            <w:vAlign w:val="center"/>
            <w:hideMark/>
          </w:tcPr>
          <w:p w14:paraId="59A6929E"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27.00%</w:t>
            </w:r>
          </w:p>
        </w:tc>
      </w:tr>
      <w:tr w:rsidR="00617A33" w:rsidRPr="008B628A" w14:paraId="4294CA88" w14:textId="77777777" w:rsidTr="00C04635">
        <w:trPr>
          <w:trHeight w:val="315"/>
          <w:jc w:val="center"/>
        </w:trPr>
        <w:tc>
          <w:tcPr>
            <w:tcW w:w="3425" w:type="dxa"/>
            <w:shd w:val="clear" w:color="auto" w:fill="auto"/>
            <w:noWrap/>
            <w:vAlign w:val="center"/>
            <w:hideMark/>
          </w:tcPr>
          <w:p w14:paraId="3047F3B4"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Valsts pētījumu programma</w:t>
            </w:r>
          </w:p>
        </w:tc>
        <w:tc>
          <w:tcPr>
            <w:tcW w:w="1843" w:type="dxa"/>
            <w:shd w:val="clear" w:color="auto" w:fill="auto"/>
            <w:noWrap/>
            <w:vAlign w:val="center"/>
            <w:hideMark/>
          </w:tcPr>
          <w:p w14:paraId="535D03FA" w14:textId="63E5533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4 250 000</w:t>
            </w:r>
          </w:p>
        </w:tc>
        <w:tc>
          <w:tcPr>
            <w:tcW w:w="1961" w:type="dxa"/>
            <w:shd w:val="clear" w:color="auto" w:fill="auto"/>
            <w:noWrap/>
            <w:vAlign w:val="center"/>
            <w:hideMark/>
          </w:tcPr>
          <w:p w14:paraId="326E6184" w14:textId="6FB69C2D"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29 690 945</w:t>
            </w:r>
          </w:p>
        </w:tc>
        <w:tc>
          <w:tcPr>
            <w:tcW w:w="2835" w:type="dxa"/>
            <w:shd w:val="clear" w:color="auto" w:fill="auto"/>
            <w:noWrap/>
            <w:vAlign w:val="center"/>
            <w:hideMark/>
          </w:tcPr>
          <w:p w14:paraId="4F9FDAAC"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14.31%</w:t>
            </w:r>
          </w:p>
        </w:tc>
      </w:tr>
      <w:tr w:rsidR="00617A33" w:rsidRPr="008B628A" w14:paraId="69767193" w14:textId="77777777" w:rsidTr="00C04635">
        <w:trPr>
          <w:trHeight w:val="300"/>
          <w:jc w:val="center"/>
        </w:trPr>
        <w:tc>
          <w:tcPr>
            <w:tcW w:w="3425" w:type="dxa"/>
            <w:shd w:val="clear" w:color="auto" w:fill="auto"/>
            <w:noWrap/>
            <w:vAlign w:val="center"/>
            <w:hideMark/>
          </w:tcPr>
          <w:p w14:paraId="612A9946"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 xml:space="preserve">ES struktūrfondu finansējums: </w:t>
            </w:r>
          </w:p>
        </w:tc>
        <w:tc>
          <w:tcPr>
            <w:tcW w:w="1843" w:type="dxa"/>
            <w:shd w:val="clear" w:color="auto" w:fill="auto"/>
            <w:noWrap/>
            <w:vAlign w:val="center"/>
            <w:hideMark/>
          </w:tcPr>
          <w:p w14:paraId="3A46F26A" w14:textId="4B926ED2"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8 423 016</w:t>
            </w:r>
          </w:p>
        </w:tc>
        <w:tc>
          <w:tcPr>
            <w:tcW w:w="1961" w:type="dxa"/>
            <w:shd w:val="clear" w:color="auto" w:fill="auto"/>
            <w:noWrap/>
            <w:vAlign w:val="center"/>
            <w:hideMark/>
          </w:tcPr>
          <w:p w14:paraId="4ECE9A22" w14:textId="4BB24D86"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54 523 138</w:t>
            </w:r>
          </w:p>
        </w:tc>
        <w:tc>
          <w:tcPr>
            <w:tcW w:w="2835" w:type="dxa"/>
            <w:shd w:val="clear" w:color="auto" w:fill="auto"/>
            <w:noWrap/>
            <w:vAlign w:val="center"/>
            <w:hideMark/>
          </w:tcPr>
          <w:p w14:paraId="66FBEB15"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15.45%</w:t>
            </w:r>
          </w:p>
        </w:tc>
      </w:tr>
      <w:tr w:rsidR="00617A33" w:rsidRPr="008B628A" w14:paraId="38BE2F3E" w14:textId="77777777" w:rsidTr="00C04635">
        <w:trPr>
          <w:trHeight w:val="300"/>
          <w:jc w:val="center"/>
        </w:trPr>
        <w:tc>
          <w:tcPr>
            <w:tcW w:w="3425" w:type="dxa"/>
            <w:shd w:val="clear" w:color="auto" w:fill="auto"/>
            <w:noWrap/>
            <w:vAlign w:val="center"/>
            <w:hideMark/>
          </w:tcPr>
          <w:p w14:paraId="7FEFF249"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1.1.1.1 pasākums "Praktiskas ievirzes pētījumi"</w:t>
            </w:r>
          </w:p>
        </w:tc>
        <w:tc>
          <w:tcPr>
            <w:tcW w:w="1843" w:type="dxa"/>
            <w:shd w:val="clear" w:color="auto" w:fill="auto"/>
            <w:noWrap/>
            <w:vAlign w:val="center"/>
            <w:hideMark/>
          </w:tcPr>
          <w:p w14:paraId="332ECB36" w14:textId="1254E25A"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7 305 736</w:t>
            </w:r>
          </w:p>
        </w:tc>
        <w:tc>
          <w:tcPr>
            <w:tcW w:w="1961" w:type="dxa"/>
            <w:shd w:val="clear" w:color="auto" w:fill="auto"/>
            <w:noWrap/>
            <w:vAlign w:val="center"/>
            <w:hideMark/>
          </w:tcPr>
          <w:p w14:paraId="2536B7A7" w14:textId="5D7C53E9" w:rsidR="00617A33" w:rsidRPr="008B628A" w:rsidRDefault="00C73C08"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36 770 000</w:t>
            </w:r>
          </w:p>
        </w:tc>
        <w:tc>
          <w:tcPr>
            <w:tcW w:w="2835" w:type="dxa"/>
            <w:shd w:val="clear" w:color="auto" w:fill="auto"/>
            <w:noWrap/>
            <w:vAlign w:val="center"/>
            <w:hideMark/>
          </w:tcPr>
          <w:p w14:paraId="3F303DC3" w14:textId="230E75AB" w:rsidR="00617A33" w:rsidRPr="008B628A" w:rsidRDefault="00C73C08"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19,87</w:t>
            </w:r>
            <w:r w:rsidR="00617A33" w:rsidRPr="008B628A">
              <w:rPr>
                <w:rFonts w:ascii="Times New Roman" w:eastAsia="Times New Roman" w:hAnsi="Times New Roman" w:cs="Times New Roman"/>
                <w:i/>
                <w:iCs/>
                <w:color w:val="000000"/>
                <w:sz w:val="22"/>
                <w:lang w:eastAsia="lv-LV"/>
              </w:rPr>
              <w:t>%</w:t>
            </w:r>
          </w:p>
        </w:tc>
      </w:tr>
      <w:tr w:rsidR="00617A33" w:rsidRPr="008B628A" w14:paraId="53880483" w14:textId="77777777" w:rsidTr="00C04635">
        <w:trPr>
          <w:trHeight w:val="300"/>
          <w:jc w:val="center"/>
        </w:trPr>
        <w:tc>
          <w:tcPr>
            <w:tcW w:w="3425" w:type="dxa"/>
            <w:shd w:val="clear" w:color="auto" w:fill="auto"/>
            <w:noWrap/>
            <w:vAlign w:val="center"/>
            <w:hideMark/>
          </w:tcPr>
          <w:p w14:paraId="73272959"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1.1.1.2.pasākums"Pēcdoktorantūras pētniecības atbalsts"</w:t>
            </w:r>
          </w:p>
        </w:tc>
        <w:tc>
          <w:tcPr>
            <w:tcW w:w="1843" w:type="dxa"/>
            <w:shd w:val="clear" w:color="auto" w:fill="auto"/>
            <w:noWrap/>
            <w:vAlign w:val="center"/>
            <w:hideMark/>
          </w:tcPr>
          <w:p w14:paraId="406A34A4" w14:textId="05ABFAD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1 117 280</w:t>
            </w:r>
          </w:p>
        </w:tc>
        <w:tc>
          <w:tcPr>
            <w:tcW w:w="1961" w:type="dxa"/>
            <w:shd w:val="clear" w:color="auto" w:fill="auto"/>
            <w:noWrap/>
            <w:vAlign w:val="center"/>
            <w:hideMark/>
          </w:tcPr>
          <w:p w14:paraId="4572546A" w14:textId="31C30B35"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14 754 731</w:t>
            </w:r>
          </w:p>
        </w:tc>
        <w:tc>
          <w:tcPr>
            <w:tcW w:w="2835" w:type="dxa"/>
            <w:shd w:val="clear" w:color="auto" w:fill="auto"/>
            <w:noWrap/>
            <w:vAlign w:val="center"/>
            <w:hideMark/>
          </w:tcPr>
          <w:p w14:paraId="4E1D425F"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7.57%</w:t>
            </w:r>
          </w:p>
        </w:tc>
      </w:tr>
      <w:tr w:rsidR="007C05CD" w:rsidRPr="008B628A" w14:paraId="5548B17B" w14:textId="77777777" w:rsidTr="00C04635">
        <w:trPr>
          <w:trHeight w:val="300"/>
          <w:jc w:val="center"/>
        </w:trPr>
        <w:tc>
          <w:tcPr>
            <w:tcW w:w="3425" w:type="dxa"/>
            <w:shd w:val="clear" w:color="auto" w:fill="auto"/>
            <w:noWrap/>
            <w:vAlign w:val="center"/>
          </w:tcPr>
          <w:p w14:paraId="461932BA" w14:textId="003E7354" w:rsidR="007C05CD" w:rsidRPr="008B628A" w:rsidRDefault="007C05CD" w:rsidP="007C05CD">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1.2.1.1. pasākums “Atbalsts jaunu produktu un tehnoloģiju izstrādei kompetences centru ietvaros</w:t>
            </w:r>
            <w:r w:rsidRPr="008B628A">
              <w:rPr>
                <w:rFonts w:ascii="Arial" w:hAnsi="Arial" w:cs="Arial"/>
                <w:color w:val="004F71"/>
              </w:rPr>
              <w:t>”</w:t>
            </w:r>
          </w:p>
        </w:tc>
        <w:tc>
          <w:tcPr>
            <w:tcW w:w="1843" w:type="dxa"/>
            <w:shd w:val="clear" w:color="auto" w:fill="auto"/>
            <w:noWrap/>
            <w:vAlign w:val="center"/>
          </w:tcPr>
          <w:p w14:paraId="4FBBE236" w14:textId="52E83B31" w:rsidR="007C05CD" w:rsidRPr="008B628A" w:rsidRDefault="007C05CD" w:rsidP="007C05CD">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5 455 840</w:t>
            </w:r>
          </w:p>
        </w:tc>
        <w:tc>
          <w:tcPr>
            <w:tcW w:w="1961" w:type="dxa"/>
            <w:shd w:val="clear" w:color="auto" w:fill="auto"/>
            <w:noWrap/>
            <w:vAlign w:val="center"/>
          </w:tcPr>
          <w:p w14:paraId="75E206E2" w14:textId="0438C7A3" w:rsidR="007C05CD" w:rsidRPr="008B628A" w:rsidRDefault="007C05CD" w:rsidP="007C05CD">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32 062 500</w:t>
            </w:r>
          </w:p>
        </w:tc>
        <w:tc>
          <w:tcPr>
            <w:tcW w:w="2835" w:type="dxa"/>
            <w:shd w:val="clear" w:color="auto" w:fill="auto"/>
            <w:noWrap/>
            <w:vAlign w:val="center"/>
          </w:tcPr>
          <w:p w14:paraId="7B2F0110" w14:textId="311F3D3D" w:rsidR="007C05CD" w:rsidRPr="008B628A" w:rsidRDefault="007C05CD" w:rsidP="007C05CD">
            <w:pPr>
              <w:spacing w:before="60" w:after="60" w:line="240" w:lineRule="auto"/>
              <w:jc w:val="center"/>
              <w:rPr>
                <w:rFonts w:ascii="Times New Roman" w:eastAsia="Times New Roman" w:hAnsi="Times New Roman" w:cs="Times New Roman"/>
                <w:i/>
                <w:color w:val="000000"/>
                <w:sz w:val="22"/>
                <w:lang w:eastAsia="lv-LV"/>
              </w:rPr>
            </w:pPr>
            <w:r w:rsidRPr="008B628A">
              <w:rPr>
                <w:rFonts w:ascii="Times New Roman" w:eastAsia="Times New Roman" w:hAnsi="Times New Roman" w:cs="Times New Roman"/>
                <w:i/>
                <w:color w:val="000000"/>
                <w:sz w:val="22"/>
                <w:lang w:eastAsia="lv-LV"/>
              </w:rPr>
              <w:t>17,02%</w:t>
            </w:r>
          </w:p>
        </w:tc>
      </w:tr>
      <w:tr w:rsidR="00617A33" w:rsidRPr="008B628A" w14:paraId="6663E52E" w14:textId="77777777" w:rsidTr="00C04635">
        <w:trPr>
          <w:trHeight w:val="300"/>
          <w:jc w:val="center"/>
        </w:trPr>
        <w:tc>
          <w:tcPr>
            <w:tcW w:w="3425" w:type="dxa"/>
            <w:shd w:val="clear" w:color="auto" w:fill="auto"/>
            <w:noWrap/>
            <w:vAlign w:val="center"/>
            <w:hideMark/>
          </w:tcPr>
          <w:p w14:paraId="2421F2CD"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 xml:space="preserve">ES programma Apvārsnis2020 3 tematiskajās jomās (dati uz 01.06.2018.): </w:t>
            </w:r>
          </w:p>
        </w:tc>
        <w:tc>
          <w:tcPr>
            <w:tcW w:w="1843" w:type="dxa"/>
            <w:shd w:val="clear" w:color="auto" w:fill="auto"/>
            <w:noWrap/>
            <w:vAlign w:val="center"/>
            <w:hideMark/>
          </w:tcPr>
          <w:p w14:paraId="456C7AD0" w14:textId="2291C8D2"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12 565 722</w:t>
            </w:r>
          </w:p>
        </w:tc>
        <w:tc>
          <w:tcPr>
            <w:tcW w:w="1961" w:type="dxa"/>
            <w:shd w:val="clear" w:color="auto" w:fill="auto"/>
            <w:noWrap/>
            <w:vAlign w:val="center"/>
            <w:hideMark/>
          </w:tcPr>
          <w:p w14:paraId="6DB05D52" w14:textId="4DD1EE97"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6 862 789 245</w:t>
            </w:r>
          </w:p>
        </w:tc>
        <w:tc>
          <w:tcPr>
            <w:tcW w:w="2835" w:type="dxa"/>
            <w:shd w:val="clear" w:color="auto" w:fill="auto"/>
            <w:noWrap/>
            <w:vAlign w:val="center"/>
            <w:hideMark/>
          </w:tcPr>
          <w:p w14:paraId="21F8F1E0"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0.18%</w:t>
            </w:r>
          </w:p>
        </w:tc>
      </w:tr>
      <w:tr w:rsidR="00617A33" w:rsidRPr="008B628A" w14:paraId="691CC1AF" w14:textId="77777777" w:rsidTr="00C04635">
        <w:trPr>
          <w:trHeight w:val="300"/>
          <w:jc w:val="center"/>
        </w:trPr>
        <w:tc>
          <w:tcPr>
            <w:tcW w:w="3425" w:type="dxa"/>
            <w:shd w:val="clear" w:color="auto" w:fill="auto"/>
            <w:noWrap/>
            <w:vAlign w:val="center"/>
            <w:hideMark/>
          </w:tcPr>
          <w:p w14:paraId="215C0881"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"Secure, clean and efficient energy"</w:t>
            </w:r>
          </w:p>
        </w:tc>
        <w:tc>
          <w:tcPr>
            <w:tcW w:w="1843" w:type="dxa"/>
            <w:shd w:val="clear" w:color="auto" w:fill="auto"/>
            <w:noWrap/>
            <w:vAlign w:val="center"/>
            <w:hideMark/>
          </w:tcPr>
          <w:p w14:paraId="62BEFAD4" w14:textId="09BAE994"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7 233 880</w:t>
            </w:r>
          </w:p>
        </w:tc>
        <w:tc>
          <w:tcPr>
            <w:tcW w:w="1961" w:type="dxa"/>
            <w:shd w:val="clear" w:color="auto" w:fill="auto"/>
            <w:noWrap/>
            <w:vAlign w:val="center"/>
            <w:hideMark/>
          </w:tcPr>
          <w:p w14:paraId="53A9792C" w14:textId="629F9A9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2 726 528 213</w:t>
            </w:r>
          </w:p>
        </w:tc>
        <w:tc>
          <w:tcPr>
            <w:tcW w:w="2835" w:type="dxa"/>
            <w:shd w:val="clear" w:color="auto" w:fill="auto"/>
            <w:noWrap/>
            <w:vAlign w:val="center"/>
            <w:hideMark/>
          </w:tcPr>
          <w:p w14:paraId="279A64E1"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0.27%</w:t>
            </w:r>
          </w:p>
        </w:tc>
      </w:tr>
      <w:tr w:rsidR="00617A33" w:rsidRPr="008B628A" w14:paraId="0CF5FED7" w14:textId="77777777" w:rsidTr="00C04635">
        <w:trPr>
          <w:trHeight w:val="300"/>
          <w:jc w:val="center"/>
        </w:trPr>
        <w:tc>
          <w:tcPr>
            <w:tcW w:w="3425" w:type="dxa"/>
            <w:shd w:val="clear" w:color="auto" w:fill="auto"/>
            <w:noWrap/>
            <w:vAlign w:val="center"/>
            <w:hideMark/>
          </w:tcPr>
          <w:p w14:paraId="0F3F4E63"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"Smart, green and integrated transport"</w:t>
            </w:r>
          </w:p>
        </w:tc>
        <w:tc>
          <w:tcPr>
            <w:tcW w:w="1843" w:type="dxa"/>
            <w:shd w:val="clear" w:color="auto" w:fill="auto"/>
            <w:noWrap/>
            <w:vAlign w:val="center"/>
            <w:hideMark/>
          </w:tcPr>
          <w:p w14:paraId="0AAEF074" w14:textId="1FFBA705"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4 566 768</w:t>
            </w:r>
          </w:p>
        </w:tc>
        <w:tc>
          <w:tcPr>
            <w:tcW w:w="1961" w:type="dxa"/>
            <w:shd w:val="clear" w:color="auto" w:fill="auto"/>
            <w:noWrap/>
            <w:vAlign w:val="center"/>
            <w:hideMark/>
          </w:tcPr>
          <w:p w14:paraId="744B465D" w14:textId="14433BD1"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2 605 236 981</w:t>
            </w:r>
          </w:p>
        </w:tc>
        <w:tc>
          <w:tcPr>
            <w:tcW w:w="2835" w:type="dxa"/>
            <w:shd w:val="clear" w:color="auto" w:fill="auto"/>
            <w:noWrap/>
            <w:vAlign w:val="center"/>
            <w:hideMark/>
          </w:tcPr>
          <w:p w14:paraId="06D74EC8"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0.18%</w:t>
            </w:r>
          </w:p>
        </w:tc>
      </w:tr>
      <w:tr w:rsidR="00617A33" w:rsidRPr="008B628A" w14:paraId="2A356699" w14:textId="77777777" w:rsidTr="00C04635">
        <w:trPr>
          <w:trHeight w:val="300"/>
          <w:jc w:val="center"/>
        </w:trPr>
        <w:tc>
          <w:tcPr>
            <w:tcW w:w="3425" w:type="dxa"/>
            <w:shd w:val="clear" w:color="auto" w:fill="auto"/>
            <w:vAlign w:val="center"/>
            <w:hideMark/>
          </w:tcPr>
          <w:p w14:paraId="543E29B6"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"Climate action, environment, resource efficiency and raw materials"</w:t>
            </w:r>
          </w:p>
        </w:tc>
        <w:tc>
          <w:tcPr>
            <w:tcW w:w="1843" w:type="dxa"/>
            <w:shd w:val="clear" w:color="auto" w:fill="auto"/>
            <w:noWrap/>
            <w:vAlign w:val="center"/>
            <w:hideMark/>
          </w:tcPr>
          <w:p w14:paraId="6FD32061" w14:textId="725A81F6"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765 074</w:t>
            </w:r>
          </w:p>
        </w:tc>
        <w:tc>
          <w:tcPr>
            <w:tcW w:w="1961" w:type="dxa"/>
            <w:shd w:val="clear" w:color="auto" w:fill="auto"/>
            <w:noWrap/>
            <w:vAlign w:val="center"/>
            <w:hideMark/>
          </w:tcPr>
          <w:p w14:paraId="118E0D58" w14:textId="1538ADA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1 531 024 051</w:t>
            </w:r>
          </w:p>
        </w:tc>
        <w:tc>
          <w:tcPr>
            <w:tcW w:w="2835" w:type="dxa"/>
            <w:shd w:val="clear" w:color="auto" w:fill="auto"/>
            <w:noWrap/>
            <w:vAlign w:val="center"/>
            <w:hideMark/>
          </w:tcPr>
          <w:p w14:paraId="11A2B639"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0.05%</w:t>
            </w:r>
          </w:p>
        </w:tc>
      </w:tr>
      <w:tr w:rsidR="00617A33" w:rsidRPr="008B628A" w14:paraId="06F00463" w14:textId="77777777" w:rsidTr="00C04635">
        <w:trPr>
          <w:trHeight w:val="300"/>
          <w:jc w:val="center"/>
        </w:trPr>
        <w:tc>
          <w:tcPr>
            <w:tcW w:w="3425" w:type="dxa"/>
            <w:shd w:val="clear" w:color="auto" w:fill="auto"/>
            <w:vAlign w:val="center"/>
            <w:hideMark/>
          </w:tcPr>
          <w:p w14:paraId="5DADD6C5"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Privātais finansējums:</w:t>
            </w:r>
          </w:p>
        </w:tc>
        <w:tc>
          <w:tcPr>
            <w:tcW w:w="1843" w:type="dxa"/>
            <w:shd w:val="clear" w:color="auto" w:fill="auto"/>
            <w:noWrap/>
            <w:vAlign w:val="center"/>
            <w:hideMark/>
          </w:tcPr>
          <w:p w14:paraId="71151F93" w14:textId="3A6BDB08"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439 520</w:t>
            </w:r>
          </w:p>
        </w:tc>
        <w:tc>
          <w:tcPr>
            <w:tcW w:w="1961" w:type="dxa"/>
            <w:shd w:val="clear" w:color="auto" w:fill="auto"/>
            <w:noWrap/>
            <w:vAlign w:val="center"/>
            <w:hideMark/>
          </w:tcPr>
          <w:p w14:paraId="52694CB4" w14:textId="77777777"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n/a</w:t>
            </w:r>
          </w:p>
        </w:tc>
        <w:tc>
          <w:tcPr>
            <w:tcW w:w="2835" w:type="dxa"/>
            <w:shd w:val="clear" w:color="auto" w:fill="auto"/>
            <w:noWrap/>
            <w:vAlign w:val="center"/>
            <w:hideMark/>
          </w:tcPr>
          <w:p w14:paraId="2CB06A70" w14:textId="77777777"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n/a</w:t>
            </w:r>
          </w:p>
        </w:tc>
      </w:tr>
      <w:tr w:rsidR="00617A33" w:rsidRPr="008B628A" w14:paraId="6BE4CB45" w14:textId="77777777" w:rsidTr="00C04635">
        <w:trPr>
          <w:trHeight w:val="300"/>
          <w:jc w:val="center"/>
        </w:trPr>
        <w:tc>
          <w:tcPr>
            <w:tcW w:w="3425" w:type="dxa"/>
            <w:shd w:val="clear" w:color="auto" w:fill="auto"/>
            <w:noWrap/>
            <w:vAlign w:val="center"/>
            <w:hideMark/>
          </w:tcPr>
          <w:p w14:paraId="40E4F832"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Līgumpētījumi</w:t>
            </w:r>
          </w:p>
        </w:tc>
        <w:tc>
          <w:tcPr>
            <w:tcW w:w="1843" w:type="dxa"/>
            <w:shd w:val="clear" w:color="auto" w:fill="auto"/>
            <w:noWrap/>
            <w:vAlign w:val="center"/>
            <w:hideMark/>
          </w:tcPr>
          <w:p w14:paraId="2B1272C7" w14:textId="56BE8E2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439 520</w:t>
            </w:r>
          </w:p>
        </w:tc>
        <w:tc>
          <w:tcPr>
            <w:tcW w:w="1961" w:type="dxa"/>
            <w:shd w:val="clear" w:color="auto" w:fill="auto"/>
            <w:noWrap/>
            <w:vAlign w:val="center"/>
            <w:hideMark/>
          </w:tcPr>
          <w:p w14:paraId="7DCA033F"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n/a</w:t>
            </w:r>
          </w:p>
        </w:tc>
        <w:tc>
          <w:tcPr>
            <w:tcW w:w="2835" w:type="dxa"/>
            <w:shd w:val="clear" w:color="auto" w:fill="auto"/>
            <w:noWrap/>
            <w:vAlign w:val="center"/>
            <w:hideMark/>
          </w:tcPr>
          <w:p w14:paraId="49EB889D"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n/a</w:t>
            </w:r>
          </w:p>
        </w:tc>
      </w:tr>
      <w:tr w:rsidR="00617A33" w:rsidRPr="008B628A" w14:paraId="3F552988" w14:textId="77777777" w:rsidTr="00C04635">
        <w:trPr>
          <w:trHeight w:val="315"/>
          <w:jc w:val="center"/>
        </w:trPr>
        <w:tc>
          <w:tcPr>
            <w:tcW w:w="3425" w:type="dxa"/>
            <w:shd w:val="clear" w:color="auto" w:fill="auto"/>
            <w:noWrap/>
            <w:vAlign w:val="center"/>
            <w:hideMark/>
          </w:tcPr>
          <w:p w14:paraId="435706E9"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Kopā</w:t>
            </w:r>
          </w:p>
        </w:tc>
        <w:tc>
          <w:tcPr>
            <w:tcW w:w="1843" w:type="dxa"/>
            <w:shd w:val="clear" w:color="auto" w:fill="auto"/>
            <w:noWrap/>
            <w:vAlign w:val="center"/>
            <w:hideMark/>
          </w:tcPr>
          <w:p w14:paraId="7CB0E166" w14:textId="6761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32 120 282</w:t>
            </w:r>
          </w:p>
        </w:tc>
        <w:tc>
          <w:tcPr>
            <w:tcW w:w="1961" w:type="dxa"/>
            <w:shd w:val="clear" w:color="auto" w:fill="auto"/>
            <w:noWrap/>
            <w:vAlign w:val="center"/>
            <w:hideMark/>
          </w:tcPr>
          <w:p w14:paraId="28C3EE35" w14:textId="273F71C9"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p>
        </w:tc>
        <w:tc>
          <w:tcPr>
            <w:tcW w:w="2835" w:type="dxa"/>
            <w:shd w:val="clear" w:color="auto" w:fill="auto"/>
            <w:noWrap/>
            <w:vAlign w:val="center"/>
            <w:hideMark/>
          </w:tcPr>
          <w:p w14:paraId="7F962D4F" w14:textId="47FD0136"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p>
        </w:tc>
      </w:tr>
    </w:tbl>
    <w:p w14:paraId="7C1E8662" w14:textId="26EC9CF6" w:rsidR="009E7B60" w:rsidRPr="008B628A" w:rsidRDefault="009E7B60" w:rsidP="00CD366E">
      <w:pPr>
        <w:pStyle w:val="Caption"/>
        <w:rPr>
          <w:bCs/>
        </w:rPr>
      </w:pPr>
      <w:r w:rsidRPr="008B628A">
        <w:rPr>
          <w:bCs/>
        </w:rPr>
        <w:fldChar w:fldCharType="begin"/>
      </w:r>
      <w:r w:rsidRPr="008B628A">
        <w:rPr>
          <w:bCs/>
        </w:rPr>
        <w:instrText xml:space="preserve"> SEQ Tabula \* ARABIC </w:instrText>
      </w:r>
      <w:r w:rsidRPr="008B628A">
        <w:rPr>
          <w:bCs/>
        </w:rPr>
        <w:fldChar w:fldCharType="separate"/>
      </w:r>
      <w:bookmarkStart w:id="405" w:name="_Toc531333160"/>
      <w:r w:rsidR="006067D4">
        <w:rPr>
          <w:bCs/>
          <w:noProof/>
        </w:rPr>
        <w:t>18</w:t>
      </w:r>
      <w:r w:rsidRPr="008B628A">
        <w:rPr>
          <w:bCs/>
        </w:rPr>
        <w:fldChar w:fldCharType="end"/>
      </w:r>
      <w:r w:rsidRPr="008B628A">
        <w:t>.tabula. Apvārsnis 2020 iesniegtie un finansējumu saņēmušie Latvijas projekti pēc tematiskā fokusa</w:t>
      </w:r>
      <w:r w:rsidRPr="008B628A">
        <w:rPr>
          <w:rStyle w:val="FootnoteReference"/>
        </w:rPr>
        <w:footnoteReference w:id="246"/>
      </w:r>
      <w:bookmarkEnd w:id="405"/>
    </w:p>
    <w:tbl>
      <w:tblPr>
        <w:tblStyle w:val="TableGrid"/>
        <w:tblW w:w="0" w:type="auto"/>
        <w:jc w:val="center"/>
        <w:tblLook w:val="04A0" w:firstRow="1" w:lastRow="0" w:firstColumn="1" w:lastColumn="0" w:noHBand="0" w:noVBand="1"/>
      </w:tblPr>
      <w:tblGrid>
        <w:gridCol w:w="2109"/>
        <w:gridCol w:w="1586"/>
        <w:gridCol w:w="1223"/>
        <w:gridCol w:w="1598"/>
        <w:gridCol w:w="1195"/>
        <w:gridCol w:w="1547"/>
      </w:tblGrid>
      <w:tr w:rsidR="007856E5" w:rsidRPr="008B628A" w14:paraId="77CDE6C7" w14:textId="77777777" w:rsidTr="007856E5">
        <w:trPr>
          <w:jc w:val="center"/>
        </w:trPr>
        <w:tc>
          <w:tcPr>
            <w:tcW w:w="2109" w:type="dxa"/>
            <w:shd w:val="clear" w:color="auto" w:fill="F2F2F2" w:themeFill="background1" w:themeFillShade="F2"/>
            <w:vAlign w:val="center"/>
          </w:tcPr>
          <w:p w14:paraId="47B6698D"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Energoefektivitāte</w:t>
            </w:r>
          </w:p>
        </w:tc>
        <w:tc>
          <w:tcPr>
            <w:tcW w:w="1586" w:type="dxa"/>
            <w:shd w:val="clear" w:color="auto" w:fill="F2F2F2" w:themeFill="background1" w:themeFillShade="F2"/>
            <w:vAlign w:val="center"/>
          </w:tcPr>
          <w:p w14:paraId="3BFC1E7D" w14:textId="0AB2CA53" w:rsidR="00617A33" w:rsidRPr="008B628A" w:rsidRDefault="004C7936" w:rsidP="00F5415C">
            <w:pPr>
              <w:pStyle w:val="NormalWeb"/>
              <w:spacing w:before="60" w:beforeAutospacing="0" w:after="60" w:afterAutospacing="0"/>
              <w:jc w:val="center"/>
              <w:rPr>
                <w:b/>
                <w:bCs/>
                <w:sz w:val="20"/>
                <w:szCs w:val="20"/>
              </w:rPr>
            </w:pPr>
            <w:r w:rsidRPr="008B628A">
              <w:rPr>
                <w:b/>
                <w:bCs/>
                <w:sz w:val="20"/>
                <w:szCs w:val="20"/>
              </w:rPr>
              <w:t>AE</w:t>
            </w:r>
          </w:p>
        </w:tc>
        <w:tc>
          <w:tcPr>
            <w:tcW w:w="1223" w:type="dxa"/>
            <w:shd w:val="clear" w:color="auto" w:fill="F2F2F2" w:themeFill="background1" w:themeFillShade="F2"/>
            <w:vAlign w:val="center"/>
          </w:tcPr>
          <w:p w14:paraId="522A7A33"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Enerģijas sistēmas</w:t>
            </w:r>
          </w:p>
        </w:tc>
        <w:tc>
          <w:tcPr>
            <w:tcW w:w="1598" w:type="dxa"/>
            <w:shd w:val="clear" w:color="auto" w:fill="F2F2F2" w:themeFill="background1" w:themeFillShade="F2"/>
            <w:vAlign w:val="center"/>
          </w:tcPr>
          <w:p w14:paraId="429ED9BC"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Viedās pilsētas un kopienas</w:t>
            </w:r>
          </w:p>
        </w:tc>
        <w:tc>
          <w:tcPr>
            <w:tcW w:w="953" w:type="dxa"/>
            <w:shd w:val="clear" w:color="auto" w:fill="F2F2F2" w:themeFill="background1" w:themeFillShade="F2"/>
            <w:vAlign w:val="center"/>
          </w:tcPr>
          <w:p w14:paraId="6313C7A7"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Fosilais kurināmais</w:t>
            </w:r>
          </w:p>
        </w:tc>
        <w:tc>
          <w:tcPr>
            <w:tcW w:w="1547" w:type="dxa"/>
            <w:shd w:val="clear" w:color="auto" w:fill="F2F2F2" w:themeFill="background1" w:themeFillShade="F2"/>
            <w:vAlign w:val="center"/>
          </w:tcPr>
          <w:p w14:paraId="08DF4104"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Horizontālās aktivitātes</w:t>
            </w:r>
          </w:p>
        </w:tc>
      </w:tr>
      <w:tr w:rsidR="00617A33" w:rsidRPr="008B628A" w14:paraId="3BE36D98" w14:textId="77777777" w:rsidTr="007856E5">
        <w:trPr>
          <w:jc w:val="center"/>
        </w:trPr>
        <w:tc>
          <w:tcPr>
            <w:tcW w:w="2109" w:type="dxa"/>
            <w:vAlign w:val="center"/>
          </w:tcPr>
          <w:p w14:paraId="311B6691" w14:textId="77777777" w:rsidR="00617A33" w:rsidRPr="008B628A" w:rsidRDefault="00617A33" w:rsidP="00F5415C">
            <w:pPr>
              <w:pStyle w:val="NormalWeb"/>
              <w:spacing w:before="60" w:beforeAutospacing="0" w:after="60" w:afterAutospacing="0"/>
              <w:jc w:val="center"/>
              <w:rPr>
                <w:bCs/>
              </w:rPr>
            </w:pPr>
            <w:r w:rsidRPr="008B628A">
              <w:rPr>
                <w:bCs/>
              </w:rPr>
              <w:t>5,6 milj. EUR</w:t>
            </w:r>
          </w:p>
        </w:tc>
        <w:tc>
          <w:tcPr>
            <w:tcW w:w="1586" w:type="dxa"/>
            <w:vAlign w:val="center"/>
          </w:tcPr>
          <w:p w14:paraId="033A8F56" w14:textId="77777777" w:rsidR="00617A33" w:rsidRPr="008B628A" w:rsidRDefault="00617A33" w:rsidP="00F5415C">
            <w:pPr>
              <w:pStyle w:val="NormalWeb"/>
              <w:spacing w:before="60" w:beforeAutospacing="0" w:after="60" w:afterAutospacing="0"/>
              <w:jc w:val="center"/>
              <w:rPr>
                <w:bCs/>
              </w:rPr>
            </w:pPr>
            <w:r w:rsidRPr="008B628A">
              <w:rPr>
                <w:bCs/>
              </w:rPr>
              <w:t>0,4 milj. EUR</w:t>
            </w:r>
          </w:p>
        </w:tc>
        <w:tc>
          <w:tcPr>
            <w:tcW w:w="1223" w:type="dxa"/>
            <w:vAlign w:val="center"/>
          </w:tcPr>
          <w:p w14:paraId="789994BB" w14:textId="77777777" w:rsidR="00617A33" w:rsidRPr="008B628A" w:rsidRDefault="00617A33" w:rsidP="00F5415C">
            <w:pPr>
              <w:pStyle w:val="NormalWeb"/>
              <w:spacing w:before="60" w:beforeAutospacing="0" w:after="60" w:afterAutospacing="0"/>
              <w:jc w:val="center"/>
              <w:rPr>
                <w:bCs/>
              </w:rPr>
            </w:pPr>
            <w:r w:rsidRPr="008B628A">
              <w:rPr>
                <w:bCs/>
              </w:rPr>
              <w:t>0,2 milj. EUR</w:t>
            </w:r>
          </w:p>
        </w:tc>
        <w:tc>
          <w:tcPr>
            <w:tcW w:w="1598" w:type="dxa"/>
            <w:vAlign w:val="center"/>
          </w:tcPr>
          <w:p w14:paraId="36EBB682" w14:textId="77777777" w:rsidR="00617A33" w:rsidRPr="008B628A" w:rsidRDefault="00617A33" w:rsidP="00F5415C">
            <w:pPr>
              <w:pStyle w:val="NormalWeb"/>
              <w:spacing w:before="60" w:beforeAutospacing="0" w:after="60" w:afterAutospacing="0"/>
              <w:jc w:val="center"/>
              <w:rPr>
                <w:bCs/>
              </w:rPr>
            </w:pPr>
            <w:r w:rsidRPr="008B628A">
              <w:rPr>
                <w:bCs/>
              </w:rPr>
              <w:t>0,0 milj. EUR</w:t>
            </w:r>
          </w:p>
        </w:tc>
        <w:tc>
          <w:tcPr>
            <w:tcW w:w="953" w:type="dxa"/>
            <w:vAlign w:val="center"/>
          </w:tcPr>
          <w:p w14:paraId="0BC56B47" w14:textId="77777777" w:rsidR="00617A33" w:rsidRPr="008B628A" w:rsidRDefault="00617A33" w:rsidP="00F5415C">
            <w:pPr>
              <w:pStyle w:val="NormalWeb"/>
              <w:spacing w:before="60" w:beforeAutospacing="0" w:after="60" w:afterAutospacing="0"/>
              <w:jc w:val="center"/>
              <w:rPr>
                <w:bCs/>
              </w:rPr>
            </w:pPr>
            <w:r w:rsidRPr="008B628A">
              <w:rPr>
                <w:bCs/>
              </w:rPr>
              <w:t>0,0 milj. EUR</w:t>
            </w:r>
          </w:p>
        </w:tc>
        <w:tc>
          <w:tcPr>
            <w:tcW w:w="1547" w:type="dxa"/>
            <w:vAlign w:val="center"/>
          </w:tcPr>
          <w:p w14:paraId="2FB1324D" w14:textId="77777777" w:rsidR="00617A33" w:rsidRPr="008B628A" w:rsidRDefault="00617A33" w:rsidP="00F5415C">
            <w:pPr>
              <w:pStyle w:val="NormalWeb"/>
              <w:spacing w:before="60" w:beforeAutospacing="0" w:after="60" w:afterAutospacing="0"/>
              <w:jc w:val="center"/>
              <w:rPr>
                <w:bCs/>
              </w:rPr>
            </w:pPr>
            <w:r w:rsidRPr="008B628A">
              <w:rPr>
                <w:bCs/>
              </w:rPr>
              <w:t>0,2 milj. EUR</w:t>
            </w:r>
          </w:p>
        </w:tc>
      </w:tr>
    </w:tbl>
    <w:p w14:paraId="18E44A48" w14:textId="769D1946" w:rsidR="00ED1BD8" w:rsidRPr="008B628A" w:rsidRDefault="00ED1BD8" w:rsidP="00863FD7">
      <w:pPr>
        <w:pStyle w:val="Heading4"/>
      </w:pPr>
      <w:bookmarkStart w:id="406" w:name="_Toc527529581"/>
      <w:r w:rsidRPr="008B628A">
        <w:t>Patenti</w:t>
      </w:r>
      <w:bookmarkEnd w:id="406"/>
    </w:p>
    <w:p w14:paraId="09025F09" w14:textId="77777777"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Patenti ir instruments maksimālo labumu gūšanai no inovācijām, jo nodrošina ekskluzīvas lietošanas iespējas un sniedz garantijas investīciju atpelnīšanai. Iesniegto patentu pieteikumu skaits ir viens no rādītājiem, kas atspoguļo valsts inovētspēju.</w:t>
      </w:r>
    </w:p>
    <w:p w14:paraId="3B049C8F" w14:textId="44F1BDC6"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Laika periodā no 2008. līdz 2017.gadam Latvijas pieteicēji ir iesnieguši 488 Eiropas patentu pieteikumus un </w:t>
      </w:r>
      <w:r w:rsidR="00353EAE" w:rsidRPr="008B628A">
        <w:rPr>
          <w:rFonts w:ascii="Times New Roman" w:hAnsi="Times New Roman" w:cs="Times New Roman"/>
          <w:szCs w:val="24"/>
        </w:rPr>
        <w:t>87 ir piešķirti Eiropas patenti</w:t>
      </w:r>
      <w:r w:rsidRPr="008B628A">
        <w:rPr>
          <w:rFonts w:ascii="Times New Roman" w:hAnsi="Times New Roman" w:cs="Times New Roman"/>
          <w:szCs w:val="24"/>
        </w:rPr>
        <w:t xml:space="preserve">. Vērtējot Eiropas patentu pieteikumu dinamiku 2008.-2017.gada periodā novērojama vienmērīga statistikas dinamika, tomēr rādītāji krietni vien </w:t>
      </w:r>
      <w:r w:rsidRPr="008B628A">
        <w:rPr>
          <w:rFonts w:ascii="Times New Roman" w:hAnsi="Times New Roman" w:cs="Times New Roman"/>
          <w:szCs w:val="24"/>
        </w:rPr>
        <w:lastRenderedPageBreak/>
        <w:t>atpaliek no ES vidējiem rādītājiem, kas liek domāt par papildus nepieciešamajiem pasākumiem situācijas uzlabošanai.</w:t>
      </w:r>
    </w:p>
    <w:p w14:paraId="3AF6EDF2" w14:textId="77A90139"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Līdzīgas tendences novērojamas arī Starptautisko pieteikumu skaita ziņā (PCT) – no 2008. līdz 2015.gadam tika iesniegti 205 PCT patentu pieteikumi (vidēji 25 pieteikumi gadā), kas ir zems rādītājs salīdzinājumā ar ES vidējo rādītāju, kā rezultātā nepieciešams veikt papildus stimulējošus pasākumus. Līdz 2018.gada beigām plānots izstrādāt pasākumus inovācijas sadaļas iekļaušanai Uzņēmējdarbības vides pilnveidošanas pasākumu plānā, kur tiks ietverti pasākumi patentu pieteikumu skaita palielināšanai Latvijā.</w:t>
      </w:r>
    </w:p>
    <w:p w14:paraId="29A0E836" w14:textId="477BE708" w:rsidR="00ED1BD8" w:rsidRPr="008B628A" w:rsidRDefault="00ED1BD8" w:rsidP="00ED1BD8">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1D552F40" wp14:editId="33CC80F4">
            <wp:extent cx="4301712" cy="2571676"/>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5455" cy="2579892"/>
                    </a:xfrm>
                    <a:prstGeom prst="rect">
                      <a:avLst/>
                    </a:prstGeom>
                    <a:noFill/>
                  </pic:spPr>
                </pic:pic>
              </a:graphicData>
            </a:graphic>
          </wp:inline>
        </w:drawing>
      </w:r>
    </w:p>
    <w:p w14:paraId="775B084D" w14:textId="49C20DDA" w:rsidR="00ED1BD8"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07" w:name="_Toc531333131"/>
      <w:r w:rsidR="006067D4">
        <w:rPr>
          <w:noProof/>
        </w:rPr>
        <w:t>51</w:t>
      </w:r>
      <w:r w:rsidRPr="008B628A">
        <w:rPr>
          <w:noProof/>
        </w:rPr>
        <w:fldChar w:fldCharType="end"/>
      </w:r>
      <w:r w:rsidR="00ED1BD8" w:rsidRPr="008B628A">
        <w:t>.attēls. Latvijas patentu valdes izsniegtie patenti, pamatojoties uz nacionālajiem pieteikumiem (skaits)</w:t>
      </w:r>
      <w:bookmarkEnd w:id="407"/>
    </w:p>
    <w:p w14:paraId="6945FDD4" w14:textId="5D1128DC"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Pamatojoties uz RIS3 monitoringa ziņojumu, būtiski nav mainījies Latvijas rezidentiem piešķirto Eiropas patentu biroja patentu īpatsvars no visu piešķirto patentu kopskaita, 2011. un 2016.gadā Latvijas rezidentiem piešķirot 0,02% no šo patentu kopskaita. Apskatot piešķirto patentu skaitu uz 1 milj. iedzīvotāju Latvija 2016.gadā ir piešķīrusi 8 patentus.</w:t>
      </w:r>
      <w:r w:rsidRPr="008B628A">
        <w:rPr>
          <w:rStyle w:val="FootnoteReference"/>
          <w:rFonts w:ascii="Times New Roman" w:hAnsi="Times New Roman" w:cs="Times New Roman"/>
          <w:szCs w:val="24"/>
        </w:rPr>
        <w:footnoteReference w:id="247"/>
      </w:r>
    </w:p>
    <w:p w14:paraId="08AC33E6" w14:textId="77777777" w:rsidR="00353EAE" w:rsidRPr="008B628A" w:rsidRDefault="00353EAE" w:rsidP="00353EAE">
      <w:pPr>
        <w:spacing w:before="120" w:after="120" w:line="240" w:lineRule="auto"/>
        <w:rPr>
          <w:rFonts w:ascii="Times New Roman" w:eastAsia="Times New Roman" w:hAnsi="Times New Roman"/>
          <w:szCs w:val="24"/>
        </w:rPr>
      </w:pPr>
      <w:r w:rsidRPr="008B628A">
        <w:rPr>
          <w:rFonts w:ascii="Times New Roman" w:eastAsia="Times New Roman" w:hAnsi="Times New Roman"/>
          <w:szCs w:val="24"/>
        </w:rPr>
        <w:t>Latvijas Republikas Patentu valdē laika periodā no 2015-2018. gadam reģistrēti</w:t>
      </w:r>
      <w:r w:rsidRPr="008B628A">
        <w:rPr>
          <w:rStyle w:val="FootnoteReference"/>
          <w:rFonts w:ascii="Times New Roman" w:eastAsia="Times New Roman" w:hAnsi="Times New Roman"/>
          <w:szCs w:val="24"/>
        </w:rPr>
        <w:footnoteReference w:id="248"/>
      </w:r>
      <w:r w:rsidRPr="008B628A">
        <w:rPr>
          <w:rFonts w:ascii="Times New Roman" w:eastAsia="Times New Roman" w:hAnsi="Times New Roman"/>
          <w:szCs w:val="24"/>
        </w:rPr>
        <w:t xml:space="preserve"> </w:t>
      </w:r>
      <w:r w:rsidRPr="008B628A">
        <w:rPr>
          <w:rFonts w:ascii="Times New Roman" w:eastAsia="Times New Roman" w:hAnsi="Times New Roman"/>
          <w:b/>
          <w:szCs w:val="24"/>
        </w:rPr>
        <w:t>89 patenti</w:t>
      </w:r>
      <w:r w:rsidRPr="008B628A">
        <w:rPr>
          <w:rFonts w:ascii="Times New Roman" w:eastAsia="Times New Roman" w:hAnsi="Times New Roman"/>
          <w:szCs w:val="24"/>
        </w:rPr>
        <w:t xml:space="preserve"> saistībā ar viedās enerģētikas un tīro tehnoloģiju jomu (dati uz 06.08.2018):</w:t>
      </w:r>
    </w:p>
    <w:p w14:paraId="514FADFC" w14:textId="4950840D" w:rsidR="00353EAE"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408" w:name="_Toc531333161"/>
      <w:r w:rsidR="006067D4">
        <w:rPr>
          <w:noProof/>
        </w:rPr>
        <w:t>19</w:t>
      </w:r>
      <w:r w:rsidRPr="008B628A">
        <w:rPr>
          <w:noProof/>
        </w:rPr>
        <w:fldChar w:fldCharType="end"/>
      </w:r>
      <w:r w:rsidR="00353EAE" w:rsidRPr="008B628A">
        <w:t>.tabula. Latvijas Republikas Patentu valdē reģistrētie patenti saistībā ar viedās enerģētikas un tīro tehnoloģiju jomu</w:t>
      </w:r>
      <w:bookmarkEnd w:id="408"/>
    </w:p>
    <w:tbl>
      <w:tblPr>
        <w:tblW w:w="8789" w:type="dxa"/>
        <w:jc w:val="center"/>
        <w:tblLook w:val="04A0" w:firstRow="1" w:lastRow="0" w:firstColumn="1" w:lastColumn="0" w:noHBand="0" w:noVBand="1"/>
      </w:tblPr>
      <w:tblGrid>
        <w:gridCol w:w="4684"/>
        <w:gridCol w:w="932"/>
        <w:gridCol w:w="932"/>
        <w:gridCol w:w="932"/>
        <w:gridCol w:w="932"/>
        <w:gridCol w:w="932"/>
      </w:tblGrid>
      <w:tr w:rsidR="00353EAE" w:rsidRPr="008B628A" w14:paraId="1ABC9D96" w14:textId="77777777" w:rsidTr="003015F7">
        <w:trPr>
          <w:trHeight w:val="300"/>
          <w:tblHeader/>
          <w:jc w:val="center"/>
        </w:trPr>
        <w:tc>
          <w:tcPr>
            <w:tcW w:w="4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D2758F" w14:textId="77777777" w:rsidR="00353EAE" w:rsidRPr="008B628A" w:rsidRDefault="00353EAE" w:rsidP="00353EAE">
            <w:pPr>
              <w:spacing w:before="60" w:after="60" w:line="240" w:lineRule="auto"/>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 </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F4E70F"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2015</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510AE2"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2016</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1B512D"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05F35A"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2018</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55B2E4"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Kopā</w:t>
            </w:r>
          </w:p>
        </w:tc>
      </w:tr>
      <w:tr w:rsidR="00353EAE" w:rsidRPr="008B628A" w14:paraId="23DB43F8"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50F64547"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Inženiertehnoloģijas, apgaismojums, siltumapgāde</w:t>
            </w:r>
          </w:p>
        </w:tc>
        <w:tc>
          <w:tcPr>
            <w:tcW w:w="960" w:type="dxa"/>
            <w:tcBorders>
              <w:top w:val="nil"/>
              <w:left w:val="nil"/>
              <w:bottom w:val="single" w:sz="4" w:space="0" w:color="auto"/>
              <w:right w:val="single" w:sz="4" w:space="0" w:color="auto"/>
            </w:tcBorders>
            <w:noWrap/>
            <w:vAlign w:val="center"/>
            <w:hideMark/>
          </w:tcPr>
          <w:p w14:paraId="12CCA111"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13</w:t>
            </w:r>
          </w:p>
        </w:tc>
        <w:tc>
          <w:tcPr>
            <w:tcW w:w="960" w:type="dxa"/>
            <w:tcBorders>
              <w:top w:val="nil"/>
              <w:left w:val="nil"/>
              <w:bottom w:val="single" w:sz="4" w:space="0" w:color="auto"/>
              <w:right w:val="single" w:sz="4" w:space="0" w:color="auto"/>
            </w:tcBorders>
            <w:noWrap/>
            <w:vAlign w:val="center"/>
            <w:hideMark/>
          </w:tcPr>
          <w:p w14:paraId="4F4BCEB5"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14</w:t>
            </w:r>
          </w:p>
        </w:tc>
        <w:tc>
          <w:tcPr>
            <w:tcW w:w="960" w:type="dxa"/>
            <w:tcBorders>
              <w:top w:val="nil"/>
              <w:left w:val="nil"/>
              <w:bottom w:val="single" w:sz="4" w:space="0" w:color="auto"/>
              <w:right w:val="single" w:sz="4" w:space="0" w:color="auto"/>
            </w:tcBorders>
            <w:noWrap/>
            <w:vAlign w:val="center"/>
            <w:hideMark/>
          </w:tcPr>
          <w:p w14:paraId="2A45E52D"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5675A6A5"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w:t>
            </w:r>
          </w:p>
        </w:tc>
        <w:tc>
          <w:tcPr>
            <w:tcW w:w="960" w:type="dxa"/>
            <w:tcBorders>
              <w:top w:val="nil"/>
              <w:left w:val="nil"/>
              <w:bottom w:val="single" w:sz="4" w:space="0" w:color="auto"/>
              <w:right w:val="single" w:sz="4" w:space="0" w:color="auto"/>
            </w:tcBorders>
            <w:noWrap/>
            <w:vAlign w:val="center"/>
            <w:hideMark/>
          </w:tcPr>
          <w:p w14:paraId="7A86E3B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40</w:t>
            </w:r>
          </w:p>
        </w:tc>
      </w:tr>
      <w:tr w:rsidR="00353EAE" w:rsidRPr="008B628A" w14:paraId="7B59B9D1"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2DCB3C10"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Elektrība</w:t>
            </w:r>
          </w:p>
        </w:tc>
        <w:tc>
          <w:tcPr>
            <w:tcW w:w="960" w:type="dxa"/>
            <w:tcBorders>
              <w:top w:val="nil"/>
              <w:left w:val="nil"/>
              <w:bottom w:val="single" w:sz="4" w:space="0" w:color="auto"/>
              <w:right w:val="single" w:sz="4" w:space="0" w:color="auto"/>
            </w:tcBorders>
            <w:noWrap/>
            <w:vAlign w:val="center"/>
            <w:hideMark/>
          </w:tcPr>
          <w:p w14:paraId="68CC09C7"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10</w:t>
            </w:r>
          </w:p>
        </w:tc>
        <w:tc>
          <w:tcPr>
            <w:tcW w:w="960" w:type="dxa"/>
            <w:tcBorders>
              <w:top w:val="nil"/>
              <w:left w:val="nil"/>
              <w:bottom w:val="single" w:sz="4" w:space="0" w:color="auto"/>
              <w:right w:val="single" w:sz="4" w:space="0" w:color="auto"/>
            </w:tcBorders>
            <w:noWrap/>
            <w:vAlign w:val="center"/>
            <w:hideMark/>
          </w:tcPr>
          <w:p w14:paraId="769FFA92"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9</w:t>
            </w:r>
          </w:p>
        </w:tc>
        <w:tc>
          <w:tcPr>
            <w:tcW w:w="960" w:type="dxa"/>
            <w:tcBorders>
              <w:top w:val="nil"/>
              <w:left w:val="nil"/>
              <w:bottom w:val="single" w:sz="4" w:space="0" w:color="auto"/>
              <w:right w:val="single" w:sz="4" w:space="0" w:color="auto"/>
            </w:tcBorders>
            <w:noWrap/>
            <w:vAlign w:val="center"/>
            <w:hideMark/>
          </w:tcPr>
          <w:p w14:paraId="725CA6B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18</w:t>
            </w:r>
          </w:p>
        </w:tc>
        <w:tc>
          <w:tcPr>
            <w:tcW w:w="960" w:type="dxa"/>
            <w:tcBorders>
              <w:top w:val="nil"/>
              <w:left w:val="nil"/>
              <w:bottom w:val="single" w:sz="4" w:space="0" w:color="auto"/>
              <w:right w:val="single" w:sz="4" w:space="0" w:color="auto"/>
            </w:tcBorders>
            <w:noWrap/>
            <w:vAlign w:val="center"/>
            <w:hideMark/>
          </w:tcPr>
          <w:p w14:paraId="677518C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1244FAE4"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42</w:t>
            </w:r>
          </w:p>
        </w:tc>
      </w:tr>
      <w:tr w:rsidR="00353EAE" w:rsidRPr="008B628A" w14:paraId="3E272BFC"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3C3A8195"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Mehānika, materiāli un citas inženiertehnoloģijas</w:t>
            </w:r>
          </w:p>
        </w:tc>
        <w:tc>
          <w:tcPr>
            <w:tcW w:w="960" w:type="dxa"/>
            <w:tcBorders>
              <w:top w:val="nil"/>
              <w:left w:val="nil"/>
              <w:bottom w:val="single" w:sz="4" w:space="0" w:color="auto"/>
              <w:right w:val="single" w:sz="4" w:space="0" w:color="auto"/>
            </w:tcBorders>
            <w:noWrap/>
            <w:vAlign w:val="center"/>
            <w:hideMark/>
          </w:tcPr>
          <w:p w14:paraId="2B8A184F"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noWrap/>
            <w:vAlign w:val="center"/>
            <w:hideMark/>
          </w:tcPr>
          <w:p w14:paraId="6BD346BE"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234DE222"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2</w:t>
            </w:r>
          </w:p>
        </w:tc>
        <w:tc>
          <w:tcPr>
            <w:tcW w:w="960" w:type="dxa"/>
            <w:tcBorders>
              <w:top w:val="nil"/>
              <w:left w:val="nil"/>
              <w:bottom w:val="single" w:sz="4" w:space="0" w:color="auto"/>
              <w:right w:val="single" w:sz="4" w:space="0" w:color="auto"/>
            </w:tcBorders>
            <w:noWrap/>
            <w:vAlign w:val="center"/>
            <w:hideMark/>
          </w:tcPr>
          <w:p w14:paraId="7DE8F69C"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noWrap/>
            <w:vAlign w:val="center"/>
            <w:hideMark/>
          </w:tcPr>
          <w:p w14:paraId="6D49AAB7"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7</w:t>
            </w:r>
          </w:p>
        </w:tc>
      </w:tr>
      <w:tr w:rsidR="00353EAE" w:rsidRPr="008B628A" w14:paraId="4F31FFC2" w14:textId="77777777" w:rsidTr="00DC7E1F">
        <w:trPr>
          <w:trHeight w:val="342"/>
          <w:jc w:val="center"/>
        </w:trPr>
        <w:tc>
          <w:tcPr>
            <w:tcW w:w="8700" w:type="dxa"/>
            <w:gridSpan w:val="5"/>
            <w:tcBorders>
              <w:top w:val="nil"/>
              <w:left w:val="single" w:sz="4" w:space="0" w:color="auto"/>
              <w:bottom w:val="single" w:sz="4" w:space="0" w:color="auto"/>
              <w:right w:val="single" w:sz="4" w:space="0" w:color="auto"/>
            </w:tcBorders>
            <w:shd w:val="clear" w:color="auto" w:fill="auto"/>
            <w:noWrap/>
            <w:vAlign w:val="bottom"/>
            <w:hideMark/>
          </w:tcPr>
          <w:p w14:paraId="7FCF45F9"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center"/>
            <w:hideMark/>
          </w:tcPr>
          <w:p w14:paraId="4DBC6315"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lang w:eastAsia="lv-LV"/>
              </w:rPr>
            </w:pPr>
            <w:r w:rsidRPr="008B628A">
              <w:rPr>
                <w:rFonts w:ascii="Times New Roman" w:eastAsia="Times New Roman" w:hAnsi="Times New Roman" w:cs="Times New Roman"/>
                <w:b/>
                <w:bCs/>
                <w:color w:val="000000"/>
                <w:lang w:eastAsia="lv-LV"/>
              </w:rPr>
              <w:t>89</w:t>
            </w:r>
          </w:p>
        </w:tc>
      </w:tr>
    </w:tbl>
    <w:p w14:paraId="0076D2EE" w14:textId="18E490A3" w:rsidR="00162248" w:rsidRPr="008B628A" w:rsidRDefault="00162248" w:rsidP="00863FD7">
      <w:pPr>
        <w:pStyle w:val="Heading4"/>
      </w:pPr>
      <w:bookmarkStart w:id="409" w:name="_Toc527529582"/>
      <w:r w:rsidRPr="008B628A">
        <w:t>Pētnieki</w:t>
      </w:r>
      <w:bookmarkEnd w:id="409"/>
    </w:p>
    <w:p w14:paraId="35837C88" w14:textId="77777777" w:rsidR="00353EAE" w:rsidRPr="008B628A" w:rsidRDefault="00353EAE" w:rsidP="00435E9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Zinātnisko darbinieku (zinātnieki, zinātnes tehniskais un apkalpojošais personāls) skaits Latvijā (pilna laika ekvivalentas izteiksmē, turpmāk – PLE) 2015.gadā bija 5570, kas kopā veidoja 0,58% no nodarbināto skaita Latvijā. Kopumā augstskolās starp 2014. un 2015.gadu tās ietvaros </w:t>
      </w:r>
      <w:r w:rsidRPr="008B628A">
        <w:rPr>
          <w:rFonts w:ascii="Times New Roman" w:hAnsi="Times New Roman" w:cs="Times New Roman"/>
          <w:szCs w:val="24"/>
        </w:rPr>
        <w:lastRenderedPageBreak/>
        <w:t>nodarbināto jauno pētnieku skaits ir palielinājies no 307 PLE līdz 397 PLE, jeb par 29 %  šo pētnieku skaitam pieaugot lielākajā daļā augstskolu.</w:t>
      </w:r>
    </w:p>
    <w:p w14:paraId="58328858" w14:textId="1CAA01FE" w:rsidR="00353EAE" w:rsidRPr="008B628A" w:rsidRDefault="00353EAE" w:rsidP="00435E90">
      <w:pPr>
        <w:spacing w:before="120" w:after="120" w:line="240" w:lineRule="auto"/>
        <w:jc w:val="both"/>
        <w:rPr>
          <w:rFonts w:ascii="Times New Roman" w:hAnsi="Times New Roman" w:cs="Times New Roman"/>
          <w:color w:val="000000"/>
          <w:szCs w:val="24"/>
        </w:rPr>
      </w:pPr>
      <w:r w:rsidRPr="008B628A">
        <w:rPr>
          <w:rFonts w:ascii="Times New Roman" w:eastAsia="Times New Roman" w:hAnsi="Times New Roman" w:cs="Times New Roman"/>
          <w:szCs w:val="24"/>
        </w:rPr>
        <w:t>Kopš 2017. gada ir izveidota NZIDIS</w:t>
      </w:r>
      <w:r w:rsidRPr="008B628A">
        <w:rPr>
          <w:rStyle w:val="FootnoteReference"/>
          <w:rFonts w:ascii="Times New Roman" w:eastAsia="Times New Roman" w:hAnsi="Times New Roman" w:cs="Times New Roman"/>
          <w:szCs w:val="24"/>
        </w:rPr>
        <w:footnoteReference w:id="249"/>
      </w:r>
      <w:r w:rsidRPr="008B628A">
        <w:rPr>
          <w:rFonts w:ascii="Times New Roman" w:eastAsia="Times New Roman" w:hAnsi="Times New Roman" w:cs="Times New Roman"/>
          <w:szCs w:val="24"/>
        </w:rPr>
        <w:t>, kurā tiek apkopoti zinātnisko institūciju sniegtā informācija par zinātniskajās institūcijās strādājošajiem p</w:t>
      </w:r>
      <w:r w:rsidRPr="008B628A">
        <w:rPr>
          <w:rFonts w:ascii="Times New Roman" w:hAnsi="Times New Roman" w:cs="Times New Roman"/>
          <w:color w:val="000000"/>
          <w:szCs w:val="24"/>
        </w:rPr>
        <w:t xml:space="preserve">ētniekiem, pētniecības infrastruktūru, pētniecības projektiem un zinātniskās darbības rezultātiem. </w:t>
      </w:r>
      <w:r w:rsidRPr="008B628A">
        <w:rPr>
          <w:rFonts w:ascii="Times New Roman" w:hAnsi="Times New Roman" w:cs="Times New Roman"/>
          <w:szCs w:val="24"/>
        </w:rPr>
        <w:t>Tā kā 2017.gads ir pirmais gads, kad zinātniskajām institūcijām informācija par sevi ir jāsniedz elektroniskā datubāzē, n</w:t>
      </w:r>
      <w:r w:rsidRPr="008B628A">
        <w:rPr>
          <w:rFonts w:ascii="Times New Roman" w:hAnsi="Times New Roman" w:cs="Times New Roman"/>
          <w:color w:val="000000"/>
          <w:szCs w:val="24"/>
        </w:rPr>
        <w:t>e visas institūcijas informāciju ir jau sniegušas (pašlaik ir galvenokārt dati no publiskajām zinātniskajām institūcijām), iesniegtā informācija gan par pētnieku skaitu, gan finansējumu ir indikatīva, nav vēl pilnībā pārbaudīta un verificēta, līdz ar to līdz gada beigām var nedaudz mainīties.</w:t>
      </w:r>
    </w:p>
    <w:p w14:paraId="30D6E6CF" w14:textId="56F629E4" w:rsidR="00271B1A" w:rsidRPr="008B628A" w:rsidRDefault="00271B1A" w:rsidP="00435E90">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IZM zinātnē nodarbināto pētnieku uzskaiti veic pēc zinātnes nozarēm un apakšnozarēm. Saskaņā ar NZIDIS </w:t>
      </w:r>
      <w:r w:rsidRPr="008B628A">
        <w:rPr>
          <w:rStyle w:val="standard-description"/>
          <w:rFonts w:ascii="Times New Roman" w:hAnsi="Times New Roman" w:cs="Times New Roman"/>
          <w:szCs w:val="24"/>
        </w:rPr>
        <w:t>Zinātniskajās institūcijās akadēmiskajos amatos ievēlēto personu reģistrā</w:t>
      </w:r>
      <w:r w:rsidRPr="008B628A">
        <w:rPr>
          <w:rFonts w:ascii="Times New Roman" w:eastAsia="Times New Roman" w:hAnsi="Times New Roman" w:cs="Times New Roman"/>
          <w:szCs w:val="24"/>
        </w:rPr>
        <w:t xml:space="preserve"> pieejamajiem datiem (uz 06.08.2018.) zinātnes apakšnozarēs, kas saistīta sar enerģētikas un klimata jomu reģistrētas 833 personas. Šis skaits ir indikatīvs, ņemot vērā, ka ne visas zinātniskās institūcijas ir norādījušas visu institūcijā reģistrēto pētnieku zinātniskās darbības atbilstību konkrētai apakšnozarei. Par pētniecībā un attīstībā nodarbināto pētnieku skaitu uzņēmumos un zinātniskajās institūcijās, kas īsteno pētniecību, bet nav reģistrētas zinātnisko institūciju reģistrā, IZM rīcībā datu nav.</w:t>
      </w:r>
    </w:p>
    <w:p w14:paraId="3F616240" w14:textId="26DFD5DF" w:rsidR="00271B1A"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410" w:name="_Toc531333162"/>
      <w:r w:rsidR="006067D4">
        <w:rPr>
          <w:noProof/>
        </w:rPr>
        <w:t>20</w:t>
      </w:r>
      <w:r w:rsidRPr="008B628A">
        <w:rPr>
          <w:noProof/>
        </w:rPr>
        <w:fldChar w:fldCharType="end"/>
      </w:r>
      <w:r w:rsidR="00353EAE" w:rsidRPr="008B628A">
        <w:t>.tabula. Reģistrēto pētnieku skaits Latvijā (uz 06.08.2018.)</w:t>
      </w:r>
      <w:bookmarkEnd w:id="410"/>
    </w:p>
    <w:tbl>
      <w:tblPr>
        <w:tblW w:w="9215" w:type="dxa"/>
        <w:jc w:val="center"/>
        <w:tblLook w:val="04A0" w:firstRow="1" w:lastRow="0" w:firstColumn="1" w:lastColumn="0" w:noHBand="0" w:noVBand="1"/>
      </w:tblPr>
      <w:tblGrid>
        <w:gridCol w:w="4395"/>
        <w:gridCol w:w="4820"/>
      </w:tblGrid>
      <w:tr w:rsidR="00271B1A" w:rsidRPr="008B628A" w14:paraId="2C950F99" w14:textId="77777777" w:rsidTr="0094517B">
        <w:trPr>
          <w:trHeight w:val="227"/>
          <w:tblHeade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602FCEE" w14:textId="77777777" w:rsidR="00271B1A" w:rsidRPr="008B628A" w:rsidRDefault="00271B1A" w:rsidP="0094517B">
            <w:pPr>
              <w:spacing w:before="60" w:after="60" w:line="240" w:lineRule="auto"/>
              <w:jc w:val="center"/>
              <w:rPr>
                <w:rFonts w:ascii="Times New Roman" w:eastAsia="Times New Roman" w:hAnsi="Times New Roman" w:cs="Times New Roman"/>
                <w:b/>
                <w:bCs/>
                <w:sz w:val="20"/>
                <w:szCs w:val="20"/>
                <w:lang w:eastAsia="lv-LV"/>
              </w:rPr>
            </w:pPr>
            <w:r w:rsidRPr="008B628A">
              <w:rPr>
                <w:rFonts w:ascii="Times New Roman" w:eastAsia="Times New Roman" w:hAnsi="Times New Roman" w:cs="Times New Roman"/>
                <w:b/>
                <w:bCs/>
                <w:sz w:val="20"/>
                <w:szCs w:val="20"/>
                <w:lang w:eastAsia="lv-LV"/>
              </w:rPr>
              <w:t>Zinātnes apakšnozare</w:t>
            </w:r>
          </w:p>
        </w:tc>
        <w:tc>
          <w:tcPr>
            <w:tcW w:w="48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ADFB79" w14:textId="77777777" w:rsidR="00271B1A" w:rsidRPr="008B628A" w:rsidRDefault="00271B1A" w:rsidP="0094517B">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NZIDIS reģistrēto un pie atbilstošās apakšnozares norādīto akadēmiskajā amatā ievēlēto pētnieku skaits</w:t>
            </w:r>
          </w:p>
        </w:tc>
      </w:tr>
      <w:tr w:rsidR="00271B1A" w:rsidRPr="008B628A" w14:paraId="6774B821"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6D8434B9"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Būvniecības un transporta inženierzinātnes</w:t>
            </w:r>
          </w:p>
        </w:tc>
        <w:tc>
          <w:tcPr>
            <w:tcW w:w="4820" w:type="dxa"/>
            <w:tcBorders>
              <w:top w:val="nil"/>
              <w:left w:val="nil"/>
              <w:bottom w:val="single" w:sz="4" w:space="0" w:color="auto"/>
              <w:right w:val="single" w:sz="4" w:space="0" w:color="auto"/>
            </w:tcBorders>
            <w:shd w:val="clear" w:color="auto" w:fill="auto"/>
            <w:noWrap/>
            <w:vAlign w:val="center"/>
            <w:hideMark/>
          </w:tcPr>
          <w:p w14:paraId="03E79CBD"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124</w:t>
            </w:r>
          </w:p>
        </w:tc>
      </w:tr>
      <w:tr w:rsidR="00271B1A" w:rsidRPr="008B628A" w14:paraId="05521E8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3C8B00B"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Elektrotehnika, elektronika, informācijas un komunikāciju tehnoloģijas</w:t>
            </w:r>
          </w:p>
        </w:tc>
        <w:tc>
          <w:tcPr>
            <w:tcW w:w="4820" w:type="dxa"/>
            <w:tcBorders>
              <w:top w:val="nil"/>
              <w:left w:val="nil"/>
              <w:bottom w:val="single" w:sz="4" w:space="0" w:color="auto"/>
              <w:right w:val="single" w:sz="4" w:space="0" w:color="auto"/>
            </w:tcBorders>
            <w:shd w:val="clear" w:color="auto" w:fill="auto"/>
            <w:noWrap/>
            <w:vAlign w:val="center"/>
            <w:hideMark/>
          </w:tcPr>
          <w:p w14:paraId="4516589B"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222</w:t>
            </w:r>
          </w:p>
        </w:tc>
      </w:tr>
      <w:tr w:rsidR="00271B1A" w:rsidRPr="008B628A" w14:paraId="7D9FEA04"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A691FCB"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Fizika un astronomija</w:t>
            </w:r>
          </w:p>
        </w:tc>
        <w:tc>
          <w:tcPr>
            <w:tcW w:w="4820" w:type="dxa"/>
            <w:tcBorders>
              <w:top w:val="nil"/>
              <w:left w:val="nil"/>
              <w:bottom w:val="single" w:sz="4" w:space="0" w:color="auto"/>
              <w:right w:val="single" w:sz="4" w:space="0" w:color="auto"/>
            </w:tcBorders>
            <w:shd w:val="clear" w:color="auto" w:fill="auto"/>
            <w:noWrap/>
            <w:vAlign w:val="center"/>
            <w:hideMark/>
          </w:tcPr>
          <w:p w14:paraId="6DF57BEB"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81</w:t>
            </w:r>
          </w:p>
        </w:tc>
      </w:tr>
      <w:tr w:rsidR="00271B1A" w:rsidRPr="008B628A" w14:paraId="2B9847A3"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AE1A132"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Inženierzinātnes un tehnoloģijas</w:t>
            </w:r>
          </w:p>
        </w:tc>
        <w:tc>
          <w:tcPr>
            <w:tcW w:w="4820" w:type="dxa"/>
            <w:tcBorders>
              <w:top w:val="nil"/>
              <w:left w:val="nil"/>
              <w:bottom w:val="single" w:sz="4" w:space="0" w:color="auto"/>
              <w:right w:val="single" w:sz="4" w:space="0" w:color="auto"/>
            </w:tcBorders>
            <w:shd w:val="clear" w:color="auto" w:fill="auto"/>
            <w:noWrap/>
            <w:vAlign w:val="center"/>
            <w:hideMark/>
          </w:tcPr>
          <w:p w14:paraId="3CF20435"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11</w:t>
            </w:r>
          </w:p>
        </w:tc>
      </w:tr>
      <w:tr w:rsidR="00271B1A" w:rsidRPr="008B628A" w14:paraId="3A34EE2F"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C00FEA7"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Ķīmija</w:t>
            </w:r>
          </w:p>
        </w:tc>
        <w:tc>
          <w:tcPr>
            <w:tcW w:w="4820" w:type="dxa"/>
            <w:tcBorders>
              <w:top w:val="nil"/>
              <w:left w:val="nil"/>
              <w:bottom w:val="single" w:sz="4" w:space="0" w:color="auto"/>
              <w:right w:val="single" w:sz="4" w:space="0" w:color="auto"/>
            </w:tcBorders>
            <w:shd w:val="clear" w:color="auto" w:fill="auto"/>
            <w:noWrap/>
            <w:vAlign w:val="center"/>
            <w:hideMark/>
          </w:tcPr>
          <w:p w14:paraId="1D35F641"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73</w:t>
            </w:r>
          </w:p>
        </w:tc>
      </w:tr>
      <w:tr w:rsidR="00271B1A" w:rsidRPr="008B628A" w14:paraId="57AA433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BA2615C"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Ķīmijas inženierzinātne</w:t>
            </w:r>
          </w:p>
        </w:tc>
        <w:tc>
          <w:tcPr>
            <w:tcW w:w="4820" w:type="dxa"/>
            <w:tcBorders>
              <w:top w:val="nil"/>
              <w:left w:val="nil"/>
              <w:bottom w:val="single" w:sz="4" w:space="0" w:color="auto"/>
              <w:right w:val="single" w:sz="4" w:space="0" w:color="auto"/>
            </w:tcBorders>
            <w:shd w:val="clear" w:color="auto" w:fill="auto"/>
            <w:noWrap/>
            <w:vAlign w:val="center"/>
            <w:hideMark/>
          </w:tcPr>
          <w:p w14:paraId="3F7DC98F"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80</w:t>
            </w:r>
          </w:p>
        </w:tc>
      </w:tr>
      <w:tr w:rsidR="00271B1A" w:rsidRPr="008B628A" w14:paraId="34D47198"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9E0C39C"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Mašīnbūve un mehānika</w:t>
            </w:r>
          </w:p>
        </w:tc>
        <w:tc>
          <w:tcPr>
            <w:tcW w:w="4820" w:type="dxa"/>
            <w:tcBorders>
              <w:top w:val="nil"/>
              <w:left w:val="nil"/>
              <w:bottom w:val="single" w:sz="4" w:space="0" w:color="auto"/>
              <w:right w:val="single" w:sz="4" w:space="0" w:color="auto"/>
            </w:tcBorders>
            <w:shd w:val="clear" w:color="auto" w:fill="auto"/>
            <w:noWrap/>
            <w:vAlign w:val="center"/>
            <w:hideMark/>
          </w:tcPr>
          <w:p w14:paraId="7EBD0778"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52</w:t>
            </w:r>
          </w:p>
        </w:tc>
      </w:tr>
      <w:tr w:rsidR="00271B1A" w:rsidRPr="008B628A" w14:paraId="6C6A9433"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5169661"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Materiālzinātne</w:t>
            </w:r>
          </w:p>
        </w:tc>
        <w:tc>
          <w:tcPr>
            <w:tcW w:w="4820" w:type="dxa"/>
            <w:tcBorders>
              <w:top w:val="nil"/>
              <w:left w:val="nil"/>
              <w:bottom w:val="single" w:sz="4" w:space="0" w:color="auto"/>
              <w:right w:val="single" w:sz="4" w:space="0" w:color="auto"/>
            </w:tcBorders>
            <w:shd w:val="clear" w:color="auto" w:fill="auto"/>
            <w:noWrap/>
            <w:vAlign w:val="center"/>
            <w:hideMark/>
          </w:tcPr>
          <w:p w14:paraId="5E93EFFD"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56</w:t>
            </w:r>
          </w:p>
        </w:tc>
      </w:tr>
      <w:tr w:rsidR="00271B1A" w:rsidRPr="008B628A" w14:paraId="0A258676"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FC459D1"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Vides inženierija un enerģētika</w:t>
            </w:r>
          </w:p>
        </w:tc>
        <w:tc>
          <w:tcPr>
            <w:tcW w:w="4820" w:type="dxa"/>
            <w:tcBorders>
              <w:top w:val="nil"/>
              <w:left w:val="nil"/>
              <w:bottom w:val="single" w:sz="4" w:space="0" w:color="auto"/>
              <w:right w:val="single" w:sz="4" w:space="0" w:color="auto"/>
            </w:tcBorders>
            <w:shd w:val="clear" w:color="auto" w:fill="auto"/>
            <w:noWrap/>
            <w:vAlign w:val="center"/>
            <w:hideMark/>
          </w:tcPr>
          <w:p w14:paraId="3AB69958"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97</w:t>
            </w:r>
          </w:p>
        </w:tc>
      </w:tr>
      <w:tr w:rsidR="00271B1A" w:rsidRPr="008B628A" w14:paraId="55B63BBE"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CA406E7"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Zemes zinātnes, fiziskā ģeogrāfija un vides zinātnes</w:t>
            </w:r>
          </w:p>
        </w:tc>
        <w:tc>
          <w:tcPr>
            <w:tcW w:w="4820" w:type="dxa"/>
            <w:tcBorders>
              <w:top w:val="nil"/>
              <w:left w:val="nil"/>
              <w:bottom w:val="single" w:sz="4" w:space="0" w:color="auto"/>
              <w:right w:val="single" w:sz="4" w:space="0" w:color="auto"/>
            </w:tcBorders>
            <w:shd w:val="clear" w:color="auto" w:fill="auto"/>
            <w:noWrap/>
            <w:vAlign w:val="center"/>
            <w:hideMark/>
          </w:tcPr>
          <w:p w14:paraId="1BA9A1F0"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37</w:t>
            </w:r>
          </w:p>
        </w:tc>
      </w:tr>
      <w:tr w:rsidR="00271B1A" w:rsidRPr="008B628A" w14:paraId="6EBAC84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B1ED3C5"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4820" w:type="dxa"/>
            <w:tcBorders>
              <w:top w:val="nil"/>
              <w:left w:val="nil"/>
              <w:bottom w:val="single" w:sz="4" w:space="0" w:color="auto"/>
              <w:right w:val="single" w:sz="4" w:space="0" w:color="auto"/>
            </w:tcBorders>
            <w:shd w:val="clear" w:color="auto" w:fill="auto"/>
            <w:noWrap/>
            <w:vAlign w:val="center"/>
            <w:hideMark/>
          </w:tcPr>
          <w:p w14:paraId="78AF0E0C" w14:textId="77777777" w:rsidR="00271B1A" w:rsidRPr="008B628A" w:rsidRDefault="00271B1A" w:rsidP="0094517B">
            <w:pPr>
              <w:spacing w:before="60" w:after="60" w:line="240" w:lineRule="auto"/>
              <w:jc w:val="center"/>
              <w:rPr>
                <w:rFonts w:ascii="Times New Roman" w:eastAsia="Times New Roman" w:hAnsi="Times New Roman" w:cs="Times New Roman"/>
                <w:b/>
                <w:bCs/>
                <w:color w:val="000000"/>
                <w:lang w:eastAsia="lv-LV"/>
              </w:rPr>
            </w:pPr>
            <w:r w:rsidRPr="008B628A">
              <w:rPr>
                <w:rFonts w:ascii="Times New Roman" w:eastAsia="Times New Roman" w:hAnsi="Times New Roman" w:cs="Times New Roman"/>
                <w:b/>
                <w:bCs/>
                <w:color w:val="000000"/>
                <w:lang w:eastAsia="lv-LV"/>
              </w:rPr>
              <w:t>833</w:t>
            </w:r>
          </w:p>
        </w:tc>
      </w:tr>
    </w:tbl>
    <w:p w14:paraId="21074B35" w14:textId="27480898" w:rsidR="00581156" w:rsidRPr="008B628A" w:rsidRDefault="00581156" w:rsidP="005F59CE">
      <w:pPr>
        <w:pStyle w:val="Heading3"/>
      </w:pPr>
      <w:bookmarkStart w:id="411" w:name="_Toc520978888"/>
      <w:bookmarkStart w:id="412" w:name="_Toc527529583"/>
      <w:r w:rsidRPr="008B628A">
        <w:lastRenderedPageBreak/>
        <w:t>Pašreizējais cenas elementu sadalījums</w:t>
      </w:r>
      <w:bookmarkEnd w:id="411"/>
      <w:bookmarkEnd w:id="412"/>
      <w:r w:rsidRPr="008B628A">
        <w:t xml:space="preserve"> </w:t>
      </w:r>
    </w:p>
    <w:p w14:paraId="38D0250F" w14:textId="6CEAB147" w:rsidR="00C95640" w:rsidRPr="008B628A" w:rsidRDefault="00C95640" w:rsidP="00863FD7">
      <w:pPr>
        <w:spacing w:before="120" w:after="120" w:line="240" w:lineRule="auto"/>
        <w:jc w:val="center"/>
        <w:rPr>
          <w:szCs w:val="24"/>
        </w:rPr>
      </w:pPr>
      <w:r w:rsidRPr="008B628A">
        <w:rPr>
          <w:noProof/>
          <w:szCs w:val="24"/>
          <w:lang w:eastAsia="lv-LV"/>
        </w:rPr>
        <w:drawing>
          <wp:inline distT="0" distB="0" distL="0" distR="0" wp14:anchorId="3FA69E74" wp14:editId="7C94C7B6">
            <wp:extent cx="3804166" cy="2779028"/>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1705" cy="2791841"/>
                    </a:xfrm>
                    <a:prstGeom prst="rect">
                      <a:avLst/>
                    </a:prstGeom>
                    <a:noFill/>
                  </pic:spPr>
                </pic:pic>
              </a:graphicData>
            </a:graphic>
          </wp:inline>
        </w:drawing>
      </w:r>
    </w:p>
    <w:p w14:paraId="029FE22A" w14:textId="05778EFF" w:rsidR="00C95640" w:rsidRPr="008B628A" w:rsidRDefault="00C95640" w:rsidP="00CD366E">
      <w:pPr>
        <w:pStyle w:val="Caption"/>
        <w:rPr>
          <w:sz w:val="24"/>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413" w:name="_Toc531333132"/>
      <w:r w:rsidR="006067D4">
        <w:rPr>
          <w:noProof/>
          <w:szCs w:val="24"/>
        </w:rPr>
        <w:t>52</w:t>
      </w:r>
      <w:r w:rsidRPr="008B628A">
        <w:rPr>
          <w:szCs w:val="24"/>
        </w:rPr>
        <w:fldChar w:fldCharType="end"/>
      </w:r>
      <w:r w:rsidRPr="008B628A">
        <w:t>.attēls. Elektroenerģijas cenas galalietotājam komponenšu sadalījums</w:t>
      </w:r>
      <w:r w:rsidRPr="008B628A">
        <w:rPr>
          <w:rStyle w:val="FootnoteReference"/>
        </w:rPr>
        <w:footnoteReference w:id="250"/>
      </w:r>
      <w:bookmarkEnd w:id="413"/>
    </w:p>
    <w:p w14:paraId="0B4515E2" w14:textId="4BCAEA40" w:rsidR="00C95640" w:rsidRPr="008B628A" w:rsidRDefault="00C95640"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Dabasgāzes cenu nosaka tirgus, savukārt pārējos pakalpojumus un nodokļus regulē valsts. </w:t>
      </w:r>
    </w:p>
    <w:p w14:paraId="7465319A" w14:textId="77777777" w:rsidR="00C95640" w:rsidRPr="008B628A" w:rsidRDefault="00C95640" w:rsidP="00863FD7">
      <w:pPr>
        <w:spacing w:before="120" w:after="120" w:line="240" w:lineRule="auto"/>
        <w:jc w:val="center"/>
        <w:rPr>
          <w:szCs w:val="24"/>
        </w:rPr>
      </w:pPr>
      <w:r w:rsidRPr="008B628A">
        <w:rPr>
          <w:noProof/>
          <w:lang w:eastAsia="lv-LV"/>
        </w:rPr>
        <w:drawing>
          <wp:inline distT="0" distB="0" distL="0" distR="0" wp14:anchorId="72E79F9E" wp14:editId="3AE36271">
            <wp:extent cx="6120130" cy="2313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313940"/>
                    </a:xfrm>
                    <a:prstGeom prst="rect">
                      <a:avLst/>
                    </a:prstGeom>
                  </pic:spPr>
                </pic:pic>
              </a:graphicData>
            </a:graphic>
          </wp:inline>
        </w:drawing>
      </w:r>
    </w:p>
    <w:p w14:paraId="11008E4A" w14:textId="398907C0" w:rsidR="00B94CDF"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14" w:name="_Toc531333133"/>
      <w:r w:rsidR="006067D4">
        <w:rPr>
          <w:noProof/>
        </w:rPr>
        <w:t>53</w:t>
      </w:r>
      <w:r w:rsidRPr="008B628A">
        <w:rPr>
          <w:noProof/>
        </w:rPr>
        <w:fldChar w:fldCharType="end"/>
      </w:r>
      <w:r w:rsidR="00B94CDF" w:rsidRPr="008B628A">
        <w:t>.attēls. Kopējo maksājumu veidojošās komponentes</w:t>
      </w:r>
      <w:r w:rsidR="00B94CDF" w:rsidRPr="008B628A">
        <w:rPr>
          <w:rStyle w:val="FootnoteReference"/>
        </w:rPr>
        <w:footnoteReference w:id="251"/>
      </w:r>
      <w:bookmarkEnd w:id="414"/>
    </w:p>
    <w:p w14:paraId="063ED0C8" w14:textId="77777777" w:rsidR="00991558" w:rsidRPr="008B628A" w:rsidRDefault="00991558">
      <w:pPr>
        <w:rPr>
          <w:rFonts w:ascii="Times New Roman" w:hAnsi="Times New Roman" w:cs="Times New Roman"/>
        </w:rPr>
      </w:pPr>
      <w:r w:rsidRPr="008B628A">
        <w:rPr>
          <w:rFonts w:ascii="Times New Roman" w:hAnsi="Times New Roman" w:cs="Times New Roman"/>
        </w:rPr>
        <w:br w:type="page"/>
      </w:r>
    </w:p>
    <w:p w14:paraId="48A06887" w14:textId="1F44A214" w:rsidR="00581156" w:rsidRPr="008B628A" w:rsidRDefault="00581156" w:rsidP="00573EBD">
      <w:pPr>
        <w:pStyle w:val="Heading1"/>
      </w:pPr>
      <w:bookmarkStart w:id="415" w:name="_Toc520978889"/>
      <w:bookmarkStart w:id="416" w:name="_Toc527529584"/>
      <w:bookmarkStart w:id="417" w:name="_Toc532910019"/>
      <w:r w:rsidRPr="008B628A">
        <w:lastRenderedPageBreak/>
        <w:t>PLĀNOTO RĪCĪBPOLITIKU UN PASĀKUMU IETEKMES NOVĒRTĒJUMS</w:t>
      </w:r>
      <w:bookmarkEnd w:id="415"/>
      <w:bookmarkEnd w:id="416"/>
      <w:bookmarkEnd w:id="417"/>
      <w:r w:rsidRPr="008B628A">
        <w:t xml:space="preserve"> </w:t>
      </w:r>
    </w:p>
    <w:p w14:paraId="698B7FC8" w14:textId="1C997C16" w:rsidR="00581156" w:rsidRPr="008B628A" w:rsidRDefault="00581156" w:rsidP="006F546A">
      <w:pPr>
        <w:pStyle w:val="Heading2"/>
      </w:pPr>
      <w:bookmarkStart w:id="418" w:name="_Toc520978890"/>
      <w:bookmarkStart w:id="419" w:name="_Toc527529585"/>
      <w:bookmarkStart w:id="420" w:name="_Toc532910020"/>
      <w:r w:rsidRPr="008B628A">
        <w:t>Ietekme uz energosistēmu un siltumnīcefekta gāzu emisijām un piesaist</w:t>
      </w:r>
      <w:r w:rsidR="000F51FF" w:rsidRPr="008B628A">
        <w:t>i</w:t>
      </w:r>
      <w:bookmarkEnd w:id="418"/>
      <w:bookmarkEnd w:id="419"/>
      <w:bookmarkEnd w:id="420"/>
      <w:r w:rsidRPr="008B628A">
        <w:t xml:space="preserve"> </w:t>
      </w:r>
    </w:p>
    <w:p w14:paraId="72F865BA" w14:textId="7EE27147" w:rsidR="00581156" w:rsidRPr="008B628A" w:rsidRDefault="00581156" w:rsidP="005F59CE">
      <w:pPr>
        <w:pStyle w:val="Heading3"/>
      </w:pPr>
      <w:bookmarkStart w:id="421" w:name="_Toc520978891"/>
      <w:bookmarkStart w:id="422" w:name="_Toc527529586"/>
      <w:r w:rsidRPr="008B628A">
        <w:t>Energosistēmas attīstības un SEG emisiju un CO</w:t>
      </w:r>
      <w:r w:rsidRPr="008B628A">
        <w:rPr>
          <w:vertAlign w:val="subscript"/>
        </w:rPr>
        <w:t>2</w:t>
      </w:r>
      <w:r w:rsidRPr="008B628A">
        <w:t xml:space="preserve"> piesaistes un gaisa piesārņojošo vielu </w:t>
      </w:r>
      <w:r w:rsidR="00D07F6C" w:rsidRPr="008B628A">
        <w:t>prognozes</w:t>
      </w:r>
      <w:bookmarkEnd w:id="421"/>
      <w:bookmarkEnd w:id="422"/>
    </w:p>
    <w:p w14:paraId="0AED892D" w14:textId="5EB5FA20" w:rsidR="00962A65" w:rsidRPr="008B628A" w:rsidRDefault="00962A65" w:rsidP="00962A65">
      <w:pPr>
        <w:pStyle w:val="Heading4"/>
      </w:pPr>
      <w:bookmarkStart w:id="423" w:name="_Toc527529587"/>
      <w:r w:rsidRPr="008B628A">
        <w:t>SEG emisiju un CO</w:t>
      </w:r>
      <w:r w:rsidRPr="008B628A">
        <w:rPr>
          <w:vertAlign w:val="subscript"/>
        </w:rPr>
        <w:t>2</w:t>
      </w:r>
      <w:r w:rsidRPr="008B628A">
        <w:t xml:space="preserve"> piesaistes mērķu izpildes ietekmes izvērtējums</w:t>
      </w:r>
      <w:bookmarkEnd w:id="423"/>
    </w:p>
    <w:p w14:paraId="4D4193FE" w14:textId="36873D3D" w:rsidR="00E61F96" w:rsidRDefault="00E61F96" w:rsidP="00E61F96">
      <w:pPr>
        <w:spacing w:before="120" w:after="120" w:line="240" w:lineRule="auto"/>
        <w:jc w:val="both"/>
        <w:rPr>
          <w:rFonts w:asciiTheme="majorBidi" w:eastAsia="Calibri" w:hAnsiTheme="majorBidi" w:cstheme="majorBidi"/>
          <w:bCs/>
        </w:rPr>
      </w:pPr>
      <w:r>
        <w:rPr>
          <w:rFonts w:asciiTheme="majorBidi" w:eastAsia="Calibri" w:hAnsiTheme="majorBidi" w:cstheme="majorBidi"/>
          <w:bCs/>
        </w:rPr>
        <w:t>Bāzes scenārijā indikatīvi</w:t>
      </w:r>
      <w:r w:rsidRPr="007B1149">
        <w:rPr>
          <w:rFonts w:asciiTheme="majorBidi" w:eastAsia="Calibri" w:hAnsiTheme="majorBidi" w:cstheme="majorBidi"/>
          <w:bCs/>
        </w:rPr>
        <w:t xml:space="preserve"> prognozētais SEG emisiju apjoms ir būtiski zemāks </w:t>
      </w:r>
      <w:r>
        <w:rPr>
          <w:rFonts w:asciiTheme="majorBidi" w:eastAsia="Calibri" w:hAnsiTheme="majorBidi" w:cstheme="majorBidi"/>
          <w:bCs/>
        </w:rPr>
        <w:t>ne</w:t>
      </w:r>
      <w:r w:rsidRPr="007B1149">
        <w:rPr>
          <w:rFonts w:asciiTheme="majorBidi" w:eastAsia="Calibri" w:hAnsiTheme="majorBidi" w:cstheme="majorBidi"/>
          <w:bCs/>
        </w:rPr>
        <w:t xml:space="preserve">kā iepriekš prognozētais SEG emisiju apjoms, kas tika iesniegts EK 2017. gada 30. maijā.  </w:t>
      </w:r>
      <w:r>
        <w:rPr>
          <w:rFonts w:asciiTheme="majorBidi" w:eastAsia="Calibri" w:hAnsiTheme="majorBidi" w:cstheme="majorBidi"/>
          <w:bCs/>
        </w:rPr>
        <w:t>Tādējādi</w:t>
      </w:r>
      <w:r>
        <w:rPr>
          <w:rFonts w:asciiTheme="majorBidi" w:eastAsia="Calibri" w:hAnsiTheme="majorBidi" w:cstheme="majorBidi"/>
        </w:rPr>
        <w:t xml:space="preserve"> papildus</w:t>
      </w:r>
      <w:r w:rsidRPr="00787582">
        <w:rPr>
          <w:rFonts w:asciiTheme="majorBidi" w:eastAsia="Calibri" w:hAnsiTheme="majorBidi" w:cstheme="majorBidi"/>
        </w:rPr>
        <w:t xml:space="preserve"> tika veikta</w:t>
      </w:r>
      <w:r>
        <w:rPr>
          <w:rFonts w:asciiTheme="majorBidi" w:eastAsia="Calibri" w:hAnsiTheme="majorBidi" w:cstheme="majorBidi"/>
        </w:rPr>
        <w:t xml:space="preserve"> arī prognožu</w:t>
      </w:r>
      <w:r w:rsidRPr="00787582">
        <w:rPr>
          <w:rFonts w:asciiTheme="majorBidi" w:eastAsia="Calibri" w:hAnsiTheme="majorBidi" w:cstheme="majorBidi"/>
        </w:rPr>
        <w:t xml:space="preserve"> jutīguma analīze par visiem sektoriem, ņemot vērā iepriekšējās makroekonomiskās prognozes (iepriekš prognozēto iedzīvotāju skaitu un IKP pieaugumu)</w:t>
      </w:r>
      <w:r>
        <w:rPr>
          <w:rFonts w:asciiTheme="majorBidi" w:eastAsia="Calibri" w:hAnsiTheme="majorBidi" w:cstheme="majorBidi"/>
        </w:rPr>
        <w:t xml:space="preserve"> vai atsevišķiem sektoriem citus būtiskos rādītājus. Taču jutīguma analīzē netika analizēta politiku vai pasākumu neizpildes vai izpildes mazākā apmērā iespēja.</w:t>
      </w:r>
    </w:p>
    <w:p w14:paraId="67D74BF1" w14:textId="77777777" w:rsidR="00E61F96" w:rsidRPr="007B1149" w:rsidRDefault="00E61F96" w:rsidP="00E61F96">
      <w:pPr>
        <w:spacing w:before="120" w:after="120" w:line="240" w:lineRule="auto"/>
        <w:jc w:val="both"/>
        <w:rPr>
          <w:rFonts w:asciiTheme="majorBidi" w:eastAsia="Calibri" w:hAnsiTheme="majorBidi" w:cstheme="majorBidi"/>
          <w:bCs/>
        </w:rPr>
      </w:pPr>
      <w:r w:rsidRPr="007B1149">
        <w:rPr>
          <w:rFonts w:asciiTheme="majorBidi" w:eastAsia="Calibri" w:hAnsiTheme="majorBidi" w:cstheme="majorBidi"/>
          <w:bCs/>
        </w:rPr>
        <w:t>Ja vērtējam kopējo SEG emisiju budžetu tonnās, tad iztrūkums salīdzinājumā ar indikatīvi aprēķināto summāro mērķi laika periodā no 2021. līdz 2030. gadam bū</w:t>
      </w:r>
      <w:r>
        <w:rPr>
          <w:rFonts w:asciiTheme="majorBidi" w:eastAsia="Calibri" w:hAnsiTheme="majorBidi" w:cstheme="majorBidi"/>
          <w:bCs/>
        </w:rPr>
        <w:t>s</w:t>
      </w:r>
      <w:r w:rsidRPr="007B1149">
        <w:rPr>
          <w:rFonts w:asciiTheme="majorBidi" w:eastAsia="Calibri" w:hAnsiTheme="majorBidi" w:cstheme="majorBidi"/>
          <w:bCs/>
        </w:rPr>
        <w:t xml:space="preserve"> </w:t>
      </w:r>
      <w:r w:rsidRPr="007B1149">
        <w:rPr>
          <w:rFonts w:asciiTheme="majorBidi" w:eastAsia="Calibri" w:hAnsiTheme="majorBidi" w:cstheme="majorBidi"/>
          <w:b/>
        </w:rPr>
        <w:t>219,56 ktCO</w:t>
      </w:r>
      <w:r w:rsidRPr="007B1149">
        <w:rPr>
          <w:rFonts w:asciiTheme="majorBidi" w:eastAsia="Calibri" w:hAnsiTheme="majorBidi" w:cstheme="majorBidi"/>
          <w:b/>
          <w:vertAlign w:val="subscript"/>
        </w:rPr>
        <w:t>2</w:t>
      </w:r>
      <w:r w:rsidRPr="007B1149">
        <w:rPr>
          <w:rFonts w:asciiTheme="majorBidi" w:eastAsia="Calibri" w:hAnsiTheme="majorBidi" w:cstheme="majorBidi"/>
          <w:b/>
        </w:rPr>
        <w:t xml:space="preserve"> ekv.</w:t>
      </w:r>
      <w:r w:rsidRPr="007B1149">
        <w:rPr>
          <w:rFonts w:asciiTheme="majorBidi" w:eastAsia="Calibri" w:hAnsiTheme="majorBidi" w:cstheme="majorBidi"/>
          <w:bCs/>
        </w:rPr>
        <w:t xml:space="preserve">, </w:t>
      </w:r>
      <w:r>
        <w:rPr>
          <w:rFonts w:asciiTheme="majorBidi" w:eastAsia="Calibri" w:hAnsiTheme="majorBidi" w:cstheme="majorBidi"/>
          <w:bCs/>
        </w:rPr>
        <w:t>savukārt jutīguma analīzes scenārija gadījumā</w:t>
      </w:r>
      <w:r w:rsidRPr="007B1149">
        <w:rPr>
          <w:rFonts w:asciiTheme="majorBidi" w:eastAsia="Calibri" w:hAnsiTheme="majorBidi" w:cstheme="majorBidi"/>
          <w:bCs/>
        </w:rPr>
        <w:t xml:space="preserve"> – </w:t>
      </w:r>
      <w:r w:rsidRPr="007B1149">
        <w:rPr>
          <w:rFonts w:asciiTheme="majorBidi" w:eastAsia="Calibri" w:hAnsiTheme="majorBidi" w:cstheme="majorBidi"/>
          <w:b/>
        </w:rPr>
        <w:t>4549,14 ktCO</w:t>
      </w:r>
      <w:r w:rsidRPr="007B1149">
        <w:rPr>
          <w:rFonts w:asciiTheme="majorBidi" w:eastAsia="Calibri" w:hAnsiTheme="majorBidi" w:cstheme="majorBidi"/>
          <w:b/>
          <w:vertAlign w:val="subscript"/>
        </w:rPr>
        <w:t>2</w:t>
      </w:r>
      <w:r>
        <w:rPr>
          <w:rFonts w:asciiTheme="majorBidi" w:eastAsia="Calibri" w:hAnsiTheme="majorBidi" w:cstheme="majorBidi"/>
          <w:b/>
        </w:rPr>
        <w:t xml:space="preserve"> ekv.</w:t>
      </w:r>
      <w:r w:rsidRPr="007B1149">
        <w:rPr>
          <w:rFonts w:asciiTheme="majorBidi" w:eastAsia="Calibri" w:hAnsiTheme="majorBidi" w:cstheme="majorBidi"/>
          <w:bCs/>
        </w:rPr>
        <w:t xml:space="preserve"> </w:t>
      </w:r>
      <w:r>
        <w:rPr>
          <w:rFonts w:asciiTheme="majorBidi" w:eastAsia="Calibri" w:hAnsiTheme="majorBidi" w:cstheme="majorBidi"/>
          <w:bCs/>
        </w:rPr>
        <w:t>Savukārt, j</w:t>
      </w:r>
      <w:r w:rsidRPr="007B1149">
        <w:rPr>
          <w:rFonts w:asciiTheme="majorBidi" w:eastAsia="Calibri" w:hAnsiTheme="majorBidi" w:cstheme="majorBidi"/>
          <w:bCs/>
        </w:rPr>
        <w:t>a izpildītos 2017. gada 30. maijā iesn</w:t>
      </w:r>
      <w:r>
        <w:rPr>
          <w:rFonts w:asciiTheme="majorBidi" w:eastAsia="Calibri" w:hAnsiTheme="majorBidi" w:cstheme="majorBidi"/>
          <w:bCs/>
        </w:rPr>
        <w:t>iegtā prognoze, iztrūkums būtu</w:t>
      </w:r>
      <w:r w:rsidRPr="007B1149">
        <w:rPr>
          <w:rFonts w:asciiTheme="majorBidi" w:eastAsia="Calibri" w:hAnsiTheme="majorBidi" w:cstheme="majorBidi"/>
          <w:bCs/>
        </w:rPr>
        <w:t xml:space="preserve"> </w:t>
      </w:r>
      <w:r w:rsidRPr="007B1149">
        <w:rPr>
          <w:rFonts w:asciiTheme="majorBidi" w:eastAsia="Calibri" w:hAnsiTheme="majorBidi" w:cstheme="majorBidi"/>
          <w:b/>
        </w:rPr>
        <w:t>9554,92 ktCO</w:t>
      </w:r>
      <w:r w:rsidRPr="007B1149">
        <w:rPr>
          <w:rFonts w:asciiTheme="majorBidi" w:eastAsia="Calibri" w:hAnsiTheme="majorBidi" w:cstheme="majorBidi"/>
          <w:b/>
          <w:vertAlign w:val="subscript"/>
        </w:rPr>
        <w:t>2</w:t>
      </w:r>
      <w:r w:rsidRPr="007B1149">
        <w:rPr>
          <w:rFonts w:asciiTheme="majorBidi" w:eastAsia="Calibri" w:hAnsiTheme="majorBidi" w:cstheme="majorBidi"/>
          <w:b/>
        </w:rPr>
        <w:t xml:space="preserve"> ekv.</w:t>
      </w:r>
    </w:p>
    <w:p w14:paraId="49894021" w14:textId="77777777" w:rsidR="00E61F96" w:rsidRPr="00787582" w:rsidRDefault="00E61F96" w:rsidP="00E61F96">
      <w:pPr>
        <w:spacing w:after="0" w:line="240" w:lineRule="auto"/>
        <w:jc w:val="both"/>
        <w:rPr>
          <w:rFonts w:asciiTheme="majorBidi" w:eastAsia="Calibri" w:hAnsiTheme="majorBidi" w:cstheme="majorBidi"/>
          <w:bCs/>
        </w:rPr>
      </w:pPr>
    </w:p>
    <w:p w14:paraId="316E1B30" w14:textId="77777777" w:rsidR="00E61F96" w:rsidRDefault="00E61F96" w:rsidP="00E61F96">
      <w:pPr>
        <w:spacing w:after="0" w:line="240" w:lineRule="auto"/>
        <w:jc w:val="center"/>
        <w:rPr>
          <w:rFonts w:asciiTheme="majorBidi" w:eastAsia="Calibri" w:hAnsiTheme="majorBidi" w:cstheme="majorBidi"/>
        </w:rPr>
      </w:pPr>
      <w:r>
        <w:rPr>
          <w:noProof/>
          <w:lang w:eastAsia="lv-LV"/>
        </w:rPr>
        <w:drawing>
          <wp:inline distT="0" distB="0" distL="0" distR="0" wp14:anchorId="1A69504F" wp14:editId="37C53B72">
            <wp:extent cx="4822898" cy="2581581"/>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8488" cy="2589926"/>
                    </a:xfrm>
                    <a:prstGeom prst="rect">
                      <a:avLst/>
                    </a:prstGeom>
                  </pic:spPr>
                </pic:pic>
              </a:graphicData>
            </a:graphic>
          </wp:inline>
        </w:drawing>
      </w:r>
    </w:p>
    <w:p w14:paraId="6815DB2C" w14:textId="75DEC188" w:rsidR="00E61F96" w:rsidRPr="00E61F96" w:rsidRDefault="00E61F96" w:rsidP="00E61F96">
      <w:pPr>
        <w:pStyle w:val="Caption"/>
        <w:rPr>
          <w:rFonts w:asciiTheme="majorBidi" w:eastAsia="Calibri" w:hAnsiTheme="majorBidi" w:cstheme="majorBidi"/>
          <w:bCs/>
        </w:rPr>
      </w:pPr>
      <w:r w:rsidRPr="00E61F96">
        <w:rPr>
          <w:rFonts w:asciiTheme="majorBidi" w:eastAsia="Calibri" w:hAnsiTheme="majorBidi" w:cstheme="majorBidi"/>
          <w:bCs/>
        </w:rPr>
        <w:fldChar w:fldCharType="begin"/>
      </w:r>
      <w:r w:rsidRPr="00E61F96">
        <w:rPr>
          <w:rFonts w:asciiTheme="majorBidi" w:eastAsia="Calibri" w:hAnsiTheme="majorBidi" w:cstheme="majorBidi"/>
          <w:bCs/>
        </w:rPr>
        <w:instrText xml:space="preserve"> SEQ Ilustrācija \* ARABIC </w:instrText>
      </w:r>
      <w:r w:rsidRPr="00E61F96">
        <w:rPr>
          <w:rFonts w:asciiTheme="majorBidi" w:eastAsia="Calibri" w:hAnsiTheme="majorBidi" w:cstheme="majorBidi"/>
          <w:bCs/>
        </w:rPr>
        <w:fldChar w:fldCharType="separate"/>
      </w:r>
      <w:r w:rsidR="006067D4">
        <w:rPr>
          <w:rFonts w:asciiTheme="majorBidi" w:eastAsia="Calibri" w:hAnsiTheme="majorBidi" w:cstheme="majorBidi"/>
          <w:bCs/>
          <w:noProof/>
        </w:rPr>
        <w:t>54</w:t>
      </w:r>
      <w:r w:rsidRPr="00E61F96">
        <w:rPr>
          <w:rFonts w:asciiTheme="majorBidi" w:eastAsia="Calibri" w:hAnsiTheme="majorBidi" w:cstheme="majorBidi"/>
          <w:bCs/>
        </w:rPr>
        <w:fldChar w:fldCharType="end"/>
      </w:r>
      <w:r w:rsidRPr="00E61F96">
        <w:t>.attēls.</w:t>
      </w:r>
      <w:r w:rsidRPr="00E61F96">
        <w:rPr>
          <w:rFonts w:asciiTheme="majorBidi" w:eastAsia="Calibri" w:hAnsiTheme="majorBidi" w:cstheme="majorBidi"/>
          <w:bCs/>
        </w:rPr>
        <w:t xml:space="preserve"> Prognozēto SEG emisiju budžetu salīdzinājums par ne-ETS sektora summārām SEG emisijām 2021. - 2030. gadā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p>
    <w:p w14:paraId="6AB71DFB" w14:textId="7533C914" w:rsidR="00962A65" w:rsidRPr="008B628A" w:rsidRDefault="00962A65" w:rsidP="00962A65">
      <w:pPr>
        <w:pStyle w:val="Heading4"/>
      </w:pPr>
      <w:bookmarkStart w:id="424" w:name="_Toc527529588"/>
      <w:r w:rsidRPr="008B628A">
        <w:t>AER devuma sasniegšanas izvērtējums</w:t>
      </w:r>
      <w:bookmarkEnd w:id="424"/>
    </w:p>
    <w:p w14:paraId="3823BE55" w14:textId="77777777" w:rsidR="00962A65" w:rsidRPr="008B628A" w:rsidRDefault="00962A65" w:rsidP="00EE45D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AER ietekmes novērtēšanai uz enerģētikas sistēmas kopējiem rādītājiem tika modelēti alternatīvi scenāriji, kuriem tika noteikti AER daļas mērķi kopējā enerģijas galapatēriņā no  2030. Gadam līdz 2050.gadam (42%; 45%, 48%; 50% un 55%).</w:t>
      </w:r>
    </w:p>
    <w:p w14:paraId="4E498DA8" w14:textId="1B0D27B0" w:rsidR="00962A65" w:rsidRPr="008B628A" w:rsidRDefault="006D2E71" w:rsidP="00EE45D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218BD681" wp14:editId="74DDE36B">
            <wp:extent cx="4666866" cy="2891608"/>
            <wp:effectExtent l="0" t="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5303" cy="2896836"/>
                    </a:xfrm>
                    <a:prstGeom prst="rect">
                      <a:avLst/>
                    </a:prstGeom>
                    <a:noFill/>
                  </pic:spPr>
                </pic:pic>
              </a:graphicData>
            </a:graphic>
          </wp:inline>
        </w:drawing>
      </w:r>
    </w:p>
    <w:p w14:paraId="76CC4A82" w14:textId="264EEEB5" w:rsidR="00962A65" w:rsidRPr="008B628A" w:rsidRDefault="00F13C95"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25" w:name="_Toc531333134"/>
      <w:r w:rsidR="006067D4">
        <w:rPr>
          <w:noProof/>
        </w:rPr>
        <w:t>55</w:t>
      </w:r>
      <w:r w:rsidRPr="008B628A">
        <w:rPr>
          <w:noProof/>
        </w:rPr>
        <w:fldChar w:fldCharType="end"/>
      </w:r>
      <w:r w:rsidR="00EE45D3" w:rsidRPr="008B628A">
        <w:t>.attēls.</w:t>
      </w:r>
      <w:r w:rsidR="00962A65" w:rsidRPr="008B628A">
        <w:t xml:space="preserve"> Saražotās elektroenerģijas no AER daļa no kopējā elektroenerģijas patēriņa 2030.gadā modelētos alternatīvajos scenārijos </w:t>
      </w:r>
      <w:r w:rsidR="00EE45D3" w:rsidRPr="008B628A">
        <w:t>(%)</w:t>
      </w:r>
      <w:bookmarkEnd w:id="425"/>
    </w:p>
    <w:p w14:paraId="16534D52" w14:textId="78C40D6D" w:rsidR="00962A65" w:rsidRPr="008B628A" w:rsidRDefault="00962A65" w:rsidP="00EE45D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AER kopējā mērķa palielināšana uz 2030.gadu nosaka to, ka jāpalielina ir arī elektroenerģijas ražošana </w:t>
      </w:r>
      <w:r w:rsidR="007E783F" w:rsidRPr="008B628A">
        <w:rPr>
          <w:rFonts w:ascii="Times New Roman" w:hAnsi="Times New Roman" w:cs="Times New Roman"/>
          <w:szCs w:val="24"/>
        </w:rPr>
        <w:t>AER</w:t>
      </w:r>
      <w:r w:rsidRPr="008B628A">
        <w:rPr>
          <w:rFonts w:ascii="Times New Roman" w:hAnsi="Times New Roman" w:cs="Times New Roman"/>
          <w:szCs w:val="24"/>
        </w:rPr>
        <w:t xml:space="preserve"> (AER-E).  Ja salīdzinām ar Bāzes scenāriju, tad šīs daļas palielinājums būtiskāks ir sākot ar mērķa scenārijiem, kuriem AER daļa ir noteikta vismaz 45% vai lielāka. Pēc modelēšanas rezultātiem AER_45%_scenārijā AER-E daļa no kopējā patērētā elektroenerģijas daudzuma 2030.gadā ir apmēram 65%, bet  AER_48%_scenārijā tā ir apmēram 67%, un AER_50%_scenārijā sasniedz gandrīz 70%.</w:t>
      </w:r>
    </w:p>
    <w:p w14:paraId="34943861" w14:textId="77777777" w:rsidR="006C0304" w:rsidRPr="008B628A" w:rsidRDefault="006C0304" w:rsidP="006C0304">
      <w:pPr>
        <w:spacing w:after="0" w:line="240" w:lineRule="auto"/>
        <w:jc w:val="both"/>
        <w:rPr>
          <w:rFonts w:ascii="Times New Roman" w:hAnsi="Times New Roman" w:cs="Times New Roman"/>
          <w:szCs w:val="24"/>
        </w:rPr>
      </w:pPr>
      <w:r w:rsidRPr="008B628A">
        <w:rPr>
          <w:rFonts w:ascii="Times New Roman" w:hAnsi="Times New Roman" w:cs="Times New Roman"/>
          <w:szCs w:val="24"/>
        </w:rPr>
        <w:t xml:space="preserve">Izmantojot modelēšanas rezultātus ir aprēķinātas arī vidējās papildus izmaksas elektroenerģijas ražošanai AER mērķa scenārijos. Papildus izmaksas ir aprēķinātas pret Bāzes scenāriju un attiecinātas uz 10 gadu periodu. Kā redzams sekojošā attēlā, tad AER_48% mērķa scenārijā, kad pret Bāzes scenāriju elektroenerģijas ražošana no AER tiek palielināta par 7% punktiem, papildus izmaksas ir apmēram 9 eiro centi/kwh.  </w:t>
      </w:r>
    </w:p>
    <w:p w14:paraId="3543BA41" w14:textId="77777777" w:rsidR="006C0304" w:rsidRPr="008B628A" w:rsidRDefault="006C0304" w:rsidP="006C0304">
      <w:pPr>
        <w:spacing w:after="120" w:line="276" w:lineRule="auto"/>
        <w:jc w:val="both"/>
        <w:rPr>
          <w:rFonts w:cstheme="minorHAnsi"/>
          <w:szCs w:val="24"/>
        </w:rPr>
      </w:pPr>
    </w:p>
    <w:p w14:paraId="024D215D" w14:textId="77777777" w:rsidR="006C0304" w:rsidRPr="008B628A" w:rsidRDefault="006C0304" w:rsidP="006C0304">
      <w:pPr>
        <w:pBdr>
          <w:top w:val="nil"/>
          <w:left w:val="nil"/>
          <w:bottom w:val="nil"/>
          <w:right w:val="nil"/>
          <w:between w:val="nil"/>
          <w:bar w:val="nil"/>
        </w:pBdr>
        <w:spacing w:after="120" w:line="276" w:lineRule="auto"/>
        <w:jc w:val="both"/>
        <w:rPr>
          <w:rFonts w:ascii="Calibri" w:hAnsi="Calibri" w:cs="Calibri"/>
          <w:szCs w:val="24"/>
          <w:u w:val="single"/>
        </w:rPr>
      </w:pPr>
    </w:p>
    <w:p w14:paraId="6405A6C7" w14:textId="77777777" w:rsidR="006C0304" w:rsidRPr="008B628A" w:rsidRDefault="006C0304" w:rsidP="006C0304">
      <w:pPr>
        <w:pBdr>
          <w:top w:val="nil"/>
          <w:left w:val="nil"/>
          <w:bottom w:val="nil"/>
          <w:right w:val="nil"/>
          <w:between w:val="nil"/>
          <w:bar w:val="nil"/>
        </w:pBdr>
        <w:spacing w:after="120" w:line="276" w:lineRule="auto"/>
        <w:jc w:val="center"/>
        <w:rPr>
          <w:rFonts w:ascii="Calibri" w:hAnsi="Calibri" w:cs="Calibri"/>
          <w:szCs w:val="24"/>
        </w:rPr>
      </w:pPr>
      <w:r w:rsidRPr="008B628A">
        <w:rPr>
          <w:rFonts w:ascii="Calibri" w:hAnsi="Calibri" w:cs="Calibri"/>
          <w:noProof/>
          <w:szCs w:val="24"/>
          <w:lang w:eastAsia="lv-LV"/>
        </w:rPr>
        <w:drawing>
          <wp:inline distT="0" distB="0" distL="0" distR="0" wp14:anchorId="5FE58340" wp14:editId="02E908D8">
            <wp:extent cx="4584700" cy="275590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DC10C3" w14:textId="74541F3D" w:rsidR="006C0304" w:rsidRPr="008B628A" w:rsidRDefault="00A44CF8" w:rsidP="006C0304">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26" w:name="_Toc531333135"/>
      <w:r w:rsidR="006067D4">
        <w:rPr>
          <w:noProof/>
        </w:rPr>
        <w:t>56</w:t>
      </w:r>
      <w:r w:rsidRPr="008B628A">
        <w:rPr>
          <w:noProof/>
        </w:rPr>
        <w:fldChar w:fldCharType="end"/>
      </w:r>
      <w:r w:rsidR="006C0304" w:rsidRPr="008B628A">
        <w:t>.attēls. Aprēķinātās elektroenerģijas ražošanas vidējās papildus izmaksas AER mērķa scenārijos (EUR/MWh)</w:t>
      </w:r>
      <w:bookmarkEnd w:id="426"/>
    </w:p>
    <w:p w14:paraId="607BEBF8" w14:textId="77777777" w:rsidR="006C0304" w:rsidRPr="008B628A" w:rsidRDefault="006C0304" w:rsidP="006C0304">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Salīdzinot ar šodienas situāciju, AER mērķa scenārijos papildus uz 2030.gadu saražotais elektroenerģijas daudzums no AER ir aprēķināts un parādīts sekojošā tabulā.</w:t>
      </w:r>
    </w:p>
    <w:p w14:paraId="0D186EDA" w14:textId="58E4A75D" w:rsidR="006C0304" w:rsidRPr="008B628A" w:rsidRDefault="00A44CF8" w:rsidP="006C0304">
      <w:pPr>
        <w:pStyle w:val="Caption"/>
        <w:rPr>
          <w:rFonts w:asciiTheme="minorHAnsi" w:hAnsiTheme="minorHAnsi" w:cstheme="minorHAnsi"/>
          <w:sz w:val="24"/>
          <w:szCs w:val="24"/>
        </w:rPr>
      </w:pPr>
      <w:r w:rsidRPr="008B628A">
        <w:rPr>
          <w:noProof/>
        </w:rPr>
        <w:fldChar w:fldCharType="begin"/>
      </w:r>
      <w:r w:rsidRPr="008B628A">
        <w:rPr>
          <w:noProof/>
        </w:rPr>
        <w:instrText xml:space="preserve"> SEQ Tabula \* ARABIC </w:instrText>
      </w:r>
      <w:r w:rsidRPr="008B628A">
        <w:rPr>
          <w:noProof/>
        </w:rPr>
        <w:fldChar w:fldCharType="separate"/>
      </w:r>
      <w:bookmarkStart w:id="427" w:name="_Toc531333163"/>
      <w:r w:rsidR="006067D4">
        <w:rPr>
          <w:noProof/>
        </w:rPr>
        <w:t>21</w:t>
      </w:r>
      <w:r w:rsidRPr="008B628A">
        <w:rPr>
          <w:noProof/>
        </w:rPr>
        <w:fldChar w:fldCharType="end"/>
      </w:r>
      <w:r w:rsidR="006C0304" w:rsidRPr="008B628A">
        <w:t>.tabula. Papildus saražotā elektroenerģija no AER uz 2030.gadu salīdzinot ar 2016.gadu</w:t>
      </w:r>
      <w:bookmarkEnd w:id="427"/>
    </w:p>
    <w:tbl>
      <w:tblPr>
        <w:tblStyle w:val="TableGrid"/>
        <w:tblW w:w="0" w:type="auto"/>
        <w:jc w:val="center"/>
        <w:tblLook w:val="04A0" w:firstRow="1" w:lastRow="0" w:firstColumn="1" w:lastColumn="0" w:noHBand="0" w:noVBand="1"/>
      </w:tblPr>
      <w:tblGrid>
        <w:gridCol w:w="2405"/>
        <w:gridCol w:w="4536"/>
      </w:tblGrid>
      <w:tr w:rsidR="006C0304" w:rsidRPr="008B628A" w14:paraId="7054B281" w14:textId="77777777" w:rsidTr="006C0304">
        <w:trPr>
          <w:jc w:val="center"/>
        </w:trPr>
        <w:tc>
          <w:tcPr>
            <w:tcW w:w="2405" w:type="dxa"/>
            <w:shd w:val="clear" w:color="auto" w:fill="F2F2F2" w:themeFill="background1" w:themeFillShade="F2"/>
            <w:vAlign w:val="center"/>
          </w:tcPr>
          <w:p w14:paraId="7D6147EE" w14:textId="77777777" w:rsidR="006C0304" w:rsidRPr="008B628A" w:rsidRDefault="006C0304" w:rsidP="006C0304">
            <w:pPr>
              <w:jc w:val="center"/>
              <w:rPr>
                <w:rFonts w:ascii="Times New Roman" w:hAnsi="Times New Roman" w:cs="Times New Roman"/>
                <w:b/>
                <w:szCs w:val="24"/>
              </w:rPr>
            </w:pPr>
            <w:r w:rsidRPr="008B628A">
              <w:rPr>
                <w:rFonts w:ascii="Times New Roman" w:hAnsi="Times New Roman" w:cs="Times New Roman"/>
                <w:b/>
                <w:szCs w:val="24"/>
              </w:rPr>
              <w:t>Scenārijs</w:t>
            </w:r>
          </w:p>
        </w:tc>
        <w:tc>
          <w:tcPr>
            <w:tcW w:w="4536" w:type="dxa"/>
            <w:shd w:val="clear" w:color="auto" w:fill="F2F2F2" w:themeFill="background1" w:themeFillShade="F2"/>
            <w:vAlign w:val="center"/>
          </w:tcPr>
          <w:p w14:paraId="18117225" w14:textId="060D8A38" w:rsidR="006C0304" w:rsidRPr="008B628A" w:rsidRDefault="006C0304" w:rsidP="006C0304">
            <w:pPr>
              <w:jc w:val="center"/>
              <w:rPr>
                <w:rFonts w:ascii="Times New Roman" w:hAnsi="Times New Roman" w:cs="Times New Roman"/>
                <w:b/>
                <w:szCs w:val="24"/>
              </w:rPr>
            </w:pPr>
            <w:r w:rsidRPr="008B628A">
              <w:rPr>
                <w:rFonts w:ascii="Times New Roman" w:hAnsi="Times New Roman" w:cs="Times New Roman"/>
                <w:b/>
                <w:szCs w:val="24"/>
              </w:rPr>
              <w:t>Papildus elektroenerģija no AER (GWh)</w:t>
            </w:r>
          </w:p>
        </w:tc>
      </w:tr>
      <w:tr w:rsidR="006C0304" w:rsidRPr="008B628A" w14:paraId="0FAAF9F7" w14:textId="77777777" w:rsidTr="006C0304">
        <w:trPr>
          <w:jc w:val="center"/>
        </w:trPr>
        <w:tc>
          <w:tcPr>
            <w:tcW w:w="2405" w:type="dxa"/>
            <w:vAlign w:val="center"/>
          </w:tcPr>
          <w:p w14:paraId="7C51007C" w14:textId="41DAE846"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AER_42% scenārijs</w:t>
            </w:r>
          </w:p>
        </w:tc>
        <w:tc>
          <w:tcPr>
            <w:tcW w:w="4536" w:type="dxa"/>
            <w:vAlign w:val="center"/>
          </w:tcPr>
          <w:p w14:paraId="4A8C9E8A"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1033</w:t>
            </w:r>
          </w:p>
        </w:tc>
      </w:tr>
      <w:tr w:rsidR="006C0304" w:rsidRPr="008B628A" w14:paraId="0E5B89E9" w14:textId="77777777" w:rsidTr="006C0304">
        <w:trPr>
          <w:jc w:val="center"/>
        </w:trPr>
        <w:tc>
          <w:tcPr>
            <w:tcW w:w="2405" w:type="dxa"/>
            <w:vAlign w:val="center"/>
          </w:tcPr>
          <w:p w14:paraId="2D442670"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AER_45% scenārijs</w:t>
            </w:r>
          </w:p>
        </w:tc>
        <w:tc>
          <w:tcPr>
            <w:tcW w:w="4536" w:type="dxa"/>
            <w:vAlign w:val="center"/>
          </w:tcPr>
          <w:p w14:paraId="2A8368E3"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1414</w:t>
            </w:r>
          </w:p>
        </w:tc>
      </w:tr>
      <w:tr w:rsidR="006C0304" w:rsidRPr="008B628A" w14:paraId="1033AE47" w14:textId="77777777" w:rsidTr="006C0304">
        <w:trPr>
          <w:jc w:val="center"/>
        </w:trPr>
        <w:tc>
          <w:tcPr>
            <w:tcW w:w="2405" w:type="dxa"/>
            <w:vAlign w:val="center"/>
          </w:tcPr>
          <w:p w14:paraId="68C66105"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AER_48% scenārijs</w:t>
            </w:r>
          </w:p>
        </w:tc>
        <w:tc>
          <w:tcPr>
            <w:tcW w:w="4536" w:type="dxa"/>
            <w:vAlign w:val="center"/>
          </w:tcPr>
          <w:p w14:paraId="1D84F18F"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1555</w:t>
            </w:r>
          </w:p>
        </w:tc>
      </w:tr>
      <w:tr w:rsidR="006C0304" w:rsidRPr="008B628A" w14:paraId="60B32B52" w14:textId="77777777" w:rsidTr="006C0304">
        <w:trPr>
          <w:jc w:val="center"/>
        </w:trPr>
        <w:tc>
          <w:tcPr>
            <w:tcW w:w="2405" w:type="dxa"/>
            <w:vAlign w:val="center"/>
          </w:tcPr>
          <w:p w14:paraId="29B19D88"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AER_50% scenārijs</w:t>
            </w:r>
          </w:p>
        </w:tc>
        <w:tc>
          <w:tcPr>
            <w:tcW w:w="4536" w:type="dxa"/>
            <w:vAlign w:val="center"/>
          </w:tcPr>
          <w:p w14:paraId="1DF525AD"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1582</w:t>
            </w:r>
          </w:p>
        </w:tc>
      </w:tr>
      <w:tr w:rsidR="006C0304" w:rsidRPr="008B628A" w14:paraId="430F2095" w14:textId="77777777" w:rsidTr="006C0304">
        <w:trPr>
          <w:jc w:val="center"/>
        </w:trPr>
        <w:tc>
          <w:tcPr>
            <w:tcW w:w="2405" w:type="dxa"/>
            <w:vAlign w:val="center"/>
          </w:tcPr>
          <w:p w14:paraId="5491E1F2"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AER_55% scenārijs</w:t>
            </w:r>
          </w:p>
        </w:tc>
        <w:tc>
          <w:tcPr>
            <w:tcW w:w="4536" w:type="dxa"/>
            <w:vAlign w:val="center"/>
          </w:tcPr>
          <w:p w14:paraId="7B95F619"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2138</w:t>
            </w:r>
          </w:p>
        </w:tc>
      </w:tr>
    </w:tbl>
    <w:p w14:paraId="438DE8E5" w14:textId="77777777" w:rsidR="006C0304" w:rsidRPr="008B628A" w:rsidRDefault="006C0304" w:rsidP="00EE45D3">
      <w:pPr>
        <w:spacing w:before="120" w:after="120" w:line="240" w:lineRule="auto"/>
        <w:jc w:val="both"/>
        <w:rPr>
          <w:rFonts w:ascii="Times New Roman" w:hAnsi="Times New Roman" w:cs="Times New Roman"/>
          <w:szCs w:val="24"/>
        </w:rPr>
      </w:pPr>
    </w:p>
    <w:p w14:paraId="117A1804" w14:textId="4E01392A" w:rsidR="007E59D8" w:rsidRPr="008B628A" w:rsidRDefault="00E64D83" w:rsidP="007E59D8">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0EC00B71" wp14:editId="575F2876">
            <wp:extent cx="4671060" cy="247217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3732" cy="2473585"/>
                    </a:xfrm>
                    <a:prstGeom prst="rect">
                      <a:avLst/>
                    </a:prstGeom>
                    <a:noFill/>
                  </pic:spPr>
                </pic:pic>
              </a:graphicData>
            </a:graphic>
          </wp:inline>
        </w:drawing>
      </w:r>
    </w:p>
    <w:p w14:paraId="2657907A" w14:textId="7FE56FFC" w:rsidR="007E59D8" w:rsidRPr="008B628A" w:rsidRDefault="007E59D8" w:rsidP="007E59D8">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428" w:name="_Toc531333136"/>
      <w:r w:rsidR="006067D4">
        <w:rPr>
          <w:noProof/>
          <w:szCs w:val="24"/>
        </w:rPr>
        <w:t>57</w:t>
      </w:r>
      <w:r w:rsidRPr="008B628A">
        <w:rPr>
          <w:szCs w:val="24"/>
        </w:rPr>
        <w:fldChar w:fldCharType="end"/>
      </w:r>
      <w:r w:rsidRPr="008B628A">
        <w:t>.attēls. AER daļa CSA saražotajā siltumenerģijas patēriņā līdz 2040.gadam modelētos alternatīvajos scenārijos (%)</w:t>
      </w:r>
      <w:bookmarkEnd w:id="428"/>
    </w:p>
    <w:p w14:paraId="1C5291ED" w14:textId="6CD9AB01" w:rsidR="007E59D8" w:rsidRPr="008B628A" w:rsidRDefault="007E59D8" w:rsidP="002C72B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Papildus energoefektivitātes pasākumi samazina pieprasījumu pēc CSA par apmēram 7% 2030.gadā.</w:t>
      </w:r>
      <w:r w:rsidR="002C72B9" w:rsidRPr="008B628A">
        <w:rPr>
          <w:rFonts w:ascii="Times New Roman" w:hAnsi="Times New Roman" w:cs="Times New Roman"/>
          <w:szCs w:val="24"/>
        </w:rPr>
        <w:t xml:space="preserve"> AER CSA daļā dažādos AER mērķa scenārijos līdz 2030.gadam atšķirība starp scenārijiem ir salīdzinoši maza. AER-50% scenārijā AER daļa  CSA uz 2030.gadu pieaug par 2,4% punktiem pret bāzes scenāriju. Pieaugums pret 2020.gadu ir vidēji 8-10% punkti.</w:t>
      </w:r>
    </w:p>
    <w:p w14:paraId="14CA1271" w14:textId="7DAE60FB" w:rsidR="00962A65" w:rsidRPr="008B628A" w:rsidRDefault="006C0304" w:rsidP="00EE45D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A128978" wp14:editId="21155454">
            <wp:extent cx="4662170" cy="2958591"/>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8995" cy="2962922"/>
                    </a:xfrm>
                    <a:prstGeom prst="rect">
                      <a:avLst/>
                    </a:prstGeom>
                    <a:noFill/>
                  </pic:spPr>
                </pic:pic>
              </a:graphicData>
            </a:graphic>
          </wp:inline>
        </w:drawing>
      </w:r>
    </w:p>
    <w:p w14:paraId="27322FC0" w14:textId="0FFE42E7" w:rsidR="00962A65" w:rsidRPr="008B628A" w:rsidRDefault="00F13C95"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29" w:name="_Toc531333137"/>
      <w:r w:rsidR="006067D4">
        <w:rPr>
          <w:noProof/>
        </w:rPr>
        <w:t>58</w:t>
      </w:r>
      <w:r w:rsidRPr="008B628A">
        <w:rPr>
          <w:noProof/>
        </w:rPr>
        <w:fldChar w:fldCharType="end"/>
      </w:r>
      <w:r w:rsidR="00962A65" w:rsidRPr="008B628A">
        <w:t>.attēls. Modelēto alternatīvo AER mērķa scenāriju aprēķinātās papildus izmaksas pret Bāzes scenāriju (% no IKP)</w:t>
      </w:r>
      <w:bookmarkEnd w:id="429"/>
    </w:p>
    <w:p w14:paraId="4B5EA327" w14:textId="1399431C" w:rsidR="00962A65" w:rsidRPr="008B628A" w:rsidRDefault="00962A65" w:rsidP="00EE45D3">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Tā kā modelēšanā tiek izmantoti pieņēmumi, ka AER izmantošanas tehnoloģiju izmaksas līdz 2030.gadam ir lielākas nekā fosilo degvielu izmantojošās tehnoloģijas, tad ieguvumi no izmaksu samazināšanas par AER kurināmo nespēj kompensēt kopējo enerģētikas sistēmu izmaksu pieaugumu AER alternatīvos scenārijos. Kopējās izmaksas AER alternatīvajos scenārijos tiek salīdzinātas ar Bāzes scenāriju un aprēķinātais sadārdzinājums tiek attiecināts pret IKP. Izmaksas ir aprēķināta</w:t>
      </w:r>
      <w:r w:rsidR="001162B6" w:rsidRPr="008B628A">
        <w:rPr>
          <w:rFonts w:ascii="Times New Roman" w:hAnsi="Times New Roman" w:cs="Times New Roman"/>
          <w:szCs w:val="24"/>
        </w:rPr>
        <w:t>s 15-</w:t>
      </w:r>
      <w:r w:rsidRPr="008B628A">
        <w:rPr>
          <w:rFonts w:ascii="Times New Roman" w:hAnsi="Times New Roman" w:cs="Times New Roman"/>
          <w:szCs w:val="24"/>
        </w:rPr>
        <w:t>gadu periodam, sākot ar 2018. gadu. Būtiskāka kopējo enerģētikas sistēmas  izmaksu palielināšanās ir alternatīvajos scenārijos, kuros AER daļa kopējā enerģijas galapatēriņā ir lielāka par 45% 2030.gadā.</w:t>
      </w:r>
    </w:p>
    <w:p w14:paraId="3A50531A" w14:textId="391DAFB4" w:rsidR="00B34AF1" w:rsidRPr="008B628A" w:rsidRDefault="00B34AF1" w:rsidP="00B34AF1">
      <w:pPr>
        <w:pStyle w:val="Heading4"/>
      </w:pPr>
      <w:bookmarkStart w:id="430" w:name="_Toc527529589"/>
      <w:r w:rsidRPr="008B628A">
        <w:t>Energoefektivitātes devuma sasniegšanas izvērtējums</w:t>
      </w:r>
      <w:bookmarkEnd w:id="430"/>
    </w:p>
    <w:p w14:paraId="150DE588" w14:textId="671A6014" w:rsidR="007E783F" w:rsidRPr="008B628A" w:rsidRDefault="007E783F" w:rsidP="007E783F">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Modelēšanas rezultāti parāda, ka papildus jau bāzes scenārijā ietvertiem pasākumiem ener</w:t>
      </w:r>
      <w:r w:rsidR="00E16FD8">
        <w:rPr>
          <w:rFonts w:ascii="Times New Roman" w:hAnsi="Times New Roman" w:cs="Times New Roman"/>
          <w:szCs w:val="24"/>
        </w:rPr>
        <w:t>go</w:t>
      </w:r>
      <w:r w:rsidRPr="008B628A">
        <w:rPr>
          <w:rFonts w:ascii="Times New Roman" w:hAnsi="Times New Roman" w:cs="Times New Roman"/>
          <w:szCs w:val="24"/>
        </w:rPr>
        <w:t>efektivitātes pasākumu īstenošana, ļauj samazināt enerģijas gala patēriņu šajā scenārijā uz 2030.gadu par apmēram 12 PJ. Ņemot vērā izmaksu ieguvumus, pirmkārt tiek īstenoti ener</w:t>
      </w:r>
      <w:r w:rsidR="00E16FD8">
        <w:rPr>
          <w:rFonts w:ascii="Times New Roman" w:hAnsi="Times New Roman" w:cs="Times New Roman"/>
          <w:szCs w:val="24"/>
        </w:rPr>
        <w:t>go</w:t>
      </w:r>
      <w:r w:rsidRPr="008B628A">
        <w:rPr>
          <w:rFonts w:ascii="Times New Roman" w:hAnsi="Times New Roman" w:cs="Times New Roman"/>
          <w:szCs w:val="24"/>
        </w:rPr>
        <w:t>efektivitātes pasākumi mājsaimniecībās un pakalpojumu sektorā (ēku renovācija). Mazākos apmēros ener</w:t>
      </w:r>
      <w:r w:rsidR="00E16FD8">
        <w:rPr>
          <w:rFonts w:ascii="Times New Roman" w:hAnsi="Times New Roman" w:cs="Times New Roman"/>
          <w:szCs w:val="24"/>
        </w:rPr>
        <w:t>go</w:t>
      </w:r>
      <w:r w:rsidRPr="008B628A">
        <w:rPr>
          <w:rFonts w:ascii="Times New Roman" w:hAnsi="Times New Roman" w:cs="Times New Roman"/>
          <w:szCs w:val="24"/>
        </w:rPr>
        <w:t>efektivitātes pasākumi tiek īstenoti rūpniecībā un transporta sektorā. Rezultāti, protams, ir atkarīgs arī no pieņēmumiem par ener</w:t>
      </w:r>
      <w:r w:rsidR="00852791">
        <w:rPr>
          <w:rFonts w:ascii="Times New Roman" w:hAnsi="Times New Roman" w:cs="Times New Roman"/>
          <w:szCs w:val="24"/>
        </w:rPr>
        <w:t>go</w:t>
      </w:r>
      <w:r w:rsidRPr="008B628A">
        <w:rPr>
          <w:rFonts w:ascii="Times New Roman" w:hAnsi="Times New Roman" w:cs="Times New Roman"/>
          <w:szCs w:val="24"/>
        </w:rPr>
        <w:t>efektivitātes pasākumu izmaksām katrā no sektoriem un pieejamo ener</w:t>
      </w:r>
      <w:r w:rsidR="00852791">
        <w:rPr>
          <w:rFonts w:ascii="Times New Roman" w:hAnsi="Times New Roman" w:cs="Times New Roman"/>
          <w:szCs w:val="24"/>
        </w:rPr>
        <w:t>go</w:t>
      </w:r>
      <w:r w:rsidRPr="008B628A">
        <w:rPr>
          <w:rFonts w:ascii="Times New Roman" w:hAnsi="Times New Roman" w:cs="Times New Roman"/>
          <w:szCs w:val="24"/>
        </w:rPr>
        <w:t>efektivitātes potenciālu.</w:t>
      </w:r>
    </w:p>
    <w:p w14:paraId="4AFB63BF" w14:textId="4CB6ED40" w:rsidR="00DC362B" w:rsidRPr="008B628A" w:rsidRDefault="00DC362B" w:rsidP="00DC362B">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Lielāko devumu šajā enerģijas patēriņa ietaupījumā dod mājsaimniecības (50% no kopējā ietaupījuma) un pakalpojumu sektors (28% no kopējā ietaupījuma), bet pārējo rūpniecības un transporta sektors. Jāatzīmē, ka lai jau </w:t>
      </w:r>
      <w:r w:rsidR="00852791">
        <w:rPr>
          <w:rFonts w:ascii="Times New Roman" w:hAnsi="Times New Roman" w:cs="Times New Roman"/>
          <w:szCs w:val="24"/>
        </w:rPr>
        <w:t>b</w:t>
      </w:r>
      <w:r w:rsidRPr="008B628A">
        <w:rPr>
          <w:rFonts w:ascii="Times New Roman" w:hAnsi="Times New Roman" w:cs="Times New Roman"/>
          <w:szCs w:val="24"/>
        </w:rPr>
        <w:t>āzes scenārijā šie ener</w:t>
      </w:r>
      <w:r w:rsidR="00852791">
        <w:rPr>
          <w:rFonts w:ascii="Times New Roman" w:hAnsi="Times New Roman" w:cs="Times New Roman"/>
          <w:szCs w:val="24"/>
        </w:rPr>
        <w:t>go</w:t>
      </w:r>
      <w:r w:rsidRPr="008B628A">
        <w:rPr>
          <w:rFonts w:ascii="Times New Roman" w:hAnsi="Times New Roman" w:cs="Times New Roman"/>
          <w:szCs w:val="24"/>
        </w:rPr>
        <w:t>efektivitātes pasākumi tiktu īstenoti, ir jāīsteno politika, kas likvidē vai samazina barjeras patērētāju ener</w:t>
      </w:r>
      <w:r w:rsidR="00852791">
        <w:rPr>
          <w:rFonts w:ascii="Times New Roman" w:hAnsi="Times New Roman" w:cs="Times New Roman"/>
          <w:szCs w:val="24"/>
        </w:rPr>
        <w:t>go</w:t>
      </w:r>
      <w:r w:rsidRPr="008B628A">
        <w:rPr>
          <w:rFonts w:ascii="Times New Roman" w:hAnsi="Times New Roman" w:cs="Times New Roman"/>
          <w:szCs w:val="24"/>
        </w:rPr>
        <w:t>efektivitātes pasākumu aktīvākai īstenošanā. Ja pasākumi mājsaimniecībās un pakalpojumu sektorā galvenokārt ir virzīti uz enerģijas patēriņa samazināšanu ēku apsildei (ēku renovācija), tad transportā pasākumi paredz straujāku esošā autotransporta kopas nomaiņu uz efektīvāku, tajā skaitā elektrotransportu. Piemēram, akcīzes nodokļa palielināšana fosilām degvielām, varētu būt kā viena no politikām, kas sekmē straujāku šādu energoefektīvāku automašīnu ienākšanu apritē.</w:t>
      </w:r>
    </w:p>
    <w:bookmarkStart w:id="431" w:name="OLE_LINK114"/>
    <w:bookmarkStart w:id="432" w:name="OLE_LINK140"/>
    <w:p w14:paraId="1C2CABE9" w14:textId="67B8B6F0" w:rsidR="00DC362B" w:rsidRPr="008B628A" w:rsidRDefault="00DC362B" w:rsidP="00DC362B">
      <w:pPr>
        <w:pStyle w:val="Caption"/>
        <w:rPr>
          <w:spacing w:val="10"/>
          <w:lang w:bidi="en-US"/>
        </w:rPr>
      </w:pPr>
      <w:r w:rsidRPr="008B628A">
        <w:fldChar w:fldCharType="begin"/>
      </w:r>
      <w:r w:rsidRPr="008B628A">
        <w:instrText xml:space="preserve"> SEQ Tabula \* ARABIC </w:instrText>
      </w:r>
      <w:r w:rsidRPr="008B628A">
        <w:fldChar w:fldCharType="separate"/>
      </w:r>
      <w:bookmarkStart w:id="433" w:name="_Toc531333164"/>
      <w:r w:rsidR="006067D4">
        <w:rPr>
          <w:noProof/>
        </w:rPr>
        <w:t>22</w:t>
      </w:r>
      <w:r w:rsidRPr="008B628A">
        <w:fldChar w:fldCharType="end"/>
      </w:r>
      <w:r w:rsidRPr="008B628A">
        <w:t xml:space="preserve">.tabula. </w:t>
      </w:r>
      <w:r w:rsidRPr="008B628A">
        <w:rPr>
          <w:spacing w:val="10"/>
          <w:lang w:bidi="en-US"/>
        </w:rPr>
        <w:t>Ener</w:t>
      </w:r>
      <w:r w:rsidR="00852791">
        <w:rPr>
          <w:spacing w:val="10"/>
          <w:lang w:bidi="en-US"/>
        </w:rPr>
        <w:t>go</w:t>
      </w:r>
      <w:r w:rsidRPr="008B628A">
        <w:rPr>
          <w:spacing w:val="10"/>
          <w:lang w:bidi="en-US"/>
        </w:rPr>
        <w:t>efektivitātes pasākumu grupu potenciāls un īpatnējās izmaksas</w:t>
      </w:r>
      <w:bookmarkEnd w:id="433"/>
    </w:p>
    <w:tbl>
      <w:tblPr>
        <w:tblStyle w:val="TableGrid"/>
        <w:tblW w:w="4703" w:type="pct"/>
        <w:jc w:val="center"/>
        <w:tblLayout w:type="fixed"/>
        <w:tblLook w:val="04A0" w:firstRow="1" w:lastRow="0" w:firstColumn="1" w:lastColumn="0" w:noHBand="0" w:noVBand="1"/>
      </w:tblPr>
      <w:tblGrid>
        <w:gridCol w:w="2262"/>
        <w:gridCol w:w="2958"/>
        <w:gridCol w:w="1187"/>
        <w:gridCol w:w="1187"/>
        <w:gridCol w:w="1195"/>
      </w:tblGrid>
      <w:tr w:rsidR="00DC362B" w:rsidRPr="008B628A" w14:paraId="60043001" w14:textId="77777777" w:rsidTr="007E783F">
        <w:trPr>
          <w:trHeight w:val="113"/>
          <w:jc w:val="center"/>
        </w:trPr>
        <w:tc>
          <w:tcPr>
            <w:tcW w:w="2970" w:type="pct"/>
            <w:gridSpan w:val="2"/>
            <w:vMerge w:val="restart"/>
            <w:shd w:val="clear" w:color="auto" w:fill="F2F2F2" w:themeFill="background1" w:themeFillShade="F2"/>
            <w:noWrap/>
            <w:vAlign w:val="center"/>
          </w:tcPr>
          <w:bookmarkEnd w:id="431"/>
          <w:bookmarkEnd w:id="432"/>
          <w:p w14:paraId="3ADB432B" w14:textId="52B3F02C"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 xml:space="preserve">Pasākumu </w:t>
            </w:r>
            <w:r w:rsidRPr="008B628A">
              <w:rPr>
                <w:rFonts w:ascii="Times New Roman" w:hAnsi="Times New Roman" w:cs="Times New Roman"/>
                <w:b/>
                <w:bCs/>
                <w:color w:val="000000"/>
                <w:sz w:val="22"/>
              </w:rPr>
              <w:t>īstenošanas sektors</w:t>
            </w:r>
          </w:p>
        </w:tc>
        <w:tc>
          <w:tcPr>
            <w:tcW w:w="2030" w:type="pct"/>
            <w:gridSpan w:val="3"/>
            <w:shd w:val="clear" w:color="auto" w:fill="F2F2F2" w:themeFill="background1" w:themeFillShade="F2"/>
            <w:noWrap/>
            <w:vAlign w:val="center"/>
          </w:tcPr>
          <w:p w14:paraId="08AC9607"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Pasākumu pakete</w:t>
            </w:r>
          </w:p>
        </w:tc>
      </w:tr>
      <w:tr w:rsidR="00DC362B" w:rsidRPr="008B628A" w14:paraId="04797E33" w14:textId="77777777" w:rsidTr="007E783F">
        <w:trPr>
          <w:trHeight w:val="113"/>
          <w:jc w:val="center"/>
        </w:trPr>
        <w:tc>
          <w:tcPr>
            <w:tcW w:w="2970" w:type="pct"/>
            <w:gridSpan w:val="2"/>
            <w:vMerge/>
            <w:noWrap/>
            <w:vAlign w:val="center"/>
          </w:tcPr>
          <w:p w14:paraId="2C3E963F" w14:textId="77777777" w:rsidR="00DC362B" w:rsidRPr="008B628A" w:rsidRDefault="00DC362B" w:rsidP="00DC362B">
            <w:pPr>
              <w:rPr>
                <w:rFonts w:ascii="Times New Roman" w:hAnsi="Times New Roman" w:cs="Times New Roman"/>
                <w:color w:val="000000"/>
                <w:sz w:val="22"/>
              </w:rPr>
            </w:pPr>
          </w:p>
        </w:tc>
        <w:tc>
          <w:tcPr>
            <w:tcW w:w="675" w:type="pct"/>
            <w:shd w:val="clear" w:color="auto" w:fill="F2F2F2" w:themeFill="background1" w:themeFillShade="F2"/>
            <w:noWrap/>
            <w:vAlign w:val="center"/>
          </w:tcPr>
          <w:p w14:paraId="7816C3C7"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A</w:t>
            </w:r>
          </w:p>
        </w:tc>
        <w:tc>
          <w:tcPr>
            <w:tcW w:w="675" w:type="pct"/>
            <w:shd w:val="clear" w:color="auto" w:fill="F2F2F2" w:themeFill="background1" w:themeFillShade="F2"/>
            <w:noWrap/>
            <w:vAlign w:val="center"/>
          </w:tcPr>
          <w:p w14:paraId="1C61A1C8"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B</w:t>
            </w:r>
          </w:p>
        </w:tc>
        <w:tc>
          <w:tcPr>
            <w:tcW w:w="679" w:type="pct"/>
            <w:shd w:val="clear" w:color="auto" w:fill="F2F2F2" w:themeFill="background1" w:themeFillShade="F2"/>
            <w:noWrap/>
            <w:vAlign w:val="center"/>
          </w:tcPr>
          <w:p w14:paraId="4B11C9DA" w14:textId="52F38BA6"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C</w:t>
            </w:r>
          </w:p>
        </w:tc>
      </w:tr>
      <w:tr w:rsidR="00DC362B" w:rsidRPr="008B628A" w14:paraId="5B548D4B" w14:textId="77777777" w:rsidTr="007E783F">
        <w:trPr>
          <w:trHeight w:val="113"/>
          <w:jc w:val="center"/>
        </w:trPr>
        <w:tc>
          <w:tcPr>
            <w:tcW w:w="1287" w:type="pct"/>
            <w:noWrap/>
            <w:vAlign w:val="center"/>
          </w:tcPr>
          <w:p w14:paraId="43EB2160"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Ēkās</w:t>
            </w:r>
          </w:p>
        </w:tc>
        <w:tc>
          <w:tcPr>
            <w:tcW w:w="1683" w:type="pct"/>
            <w:noWrap/>
            <w:vAlign w:val="center"/>
          </w:tcPr>
          <w:p w14:paraId="2E6C3838" w14:textId="77777777" w:rsidR="00DC362B" w:rsidRPr="008B628A" w:rsidRDefault="00DC362B" w:rsidP="00DC362B">
            <w:pPr>
              <w:rPr>
                <w:rFonts w:ascii="Times New Roman" w:hAnsi="Times New Roman" w:cs="Times New Roman"/>
                <w:b/>
                <w:color w:val="000000"/>
                <w:sz w:val="22"/>
              </w:rPr>
            </w:pPr>
            <w:r w:rsidRPr="008B628A">
              <w:rPr>
                <w:rFonts w:ascii="Times New Roman" w:hAnsi="Times New Roman" w:cs="Times New Roman"/>
                <w:b/>
                <w:color w:val="000000"/>
                <w:sz w:val="22"/>
              </w:rPr>
              <w:t>% no enerģijas lietderīgā patēriņa 2010. gadā</w:t>
            </w:r>
          </w:p>
        </w:tc>
        <w:tc>
          <w:tcPr>
            <w:tcW w:w="675" w:type="pct"/>
            <w:noWrap/>
            <w:vAlign w:val="center"/>
          </w:tcPr>
          <w:p w14:paraId="08B575BE"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15%</w:t>
            </w:r>
          </w:p>
        </w:tc>
        <w:tc>
          <w:tcPr>
            <w:tcW w:w="675" w:type="pct"/>
            <w:noWrap/>
            <w:vAlign w:val="center"/>
          </w:tcPr>
          <w:p w14:paraId="3472B2BF"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15%</w:t>
            </w:r>
          </w:p>
        </w:tc>
        <w:tc>
          <w:tcPr>
            <w:tcW w:w="679" w:type="pct"/>
            <w:noWrap/>
            <w:vAlign w:val="center"/>
          </w:tcPr>
          <w:p w14:paraId="47B73AB8" w14:textId="342BED58"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30%</w:t>
            </w:r>
          </w:p>
        </w:tc>
      </w:tr>
      <w:tr w:rsidR="00DC362B" w:rsidRPr="008B628A" w14:paraId="76674AC3" w14:textId="77777777" w:rsidTr="007E783F">
        <w:trPr>
          <w:trHeight w:val="113"/>
          <w:jc w:val="center"/>
        </w:trPr>
        <w:tc>
          <w:tcPr>
            <w:tcW w:w="1287" w:type="pct"/>
            <w:noWrap/>
            <w:vAlign w:val="center"/>
          </w:tcPr>
          <w:p w14:paraId="55BD5807"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Savrupmājas</w:t>
            </w:r>
          </w:p>
        </w:tc>
        <w:tc>
          <w:tcPr>
            <w:tcW w:w="1683" w:type="pct"/>
            <w:noWrap/>
            <w:vAlign w:val="center"/>
          </w:tcPr>
          <w:p w14:paraId="5BE6DFF4"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432A848F"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100</w:t>
            </w:r>
          </w:p>
        </w:tc>
        <w:tc>
          <w:tcPr>
            <w:tcW w:w="675" w:type="pct"/>
            <w:noWrap/>
            <w:vAlign w:val="center"/>
          </w:tcPr>
          <w:p w14:paraId="512C3186"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199</w:t>
            </w:r>
          </w:p>
        </w:tc>
        <w:tc>
          <w:tcPr>
            <w:tcW w:w="679" w:type="pct"/>
            <w:noWrap/>
            <w:vAlign w:val="center"/>
          </w:tcPr>
          <w:p w14:paraId="43BAF574" w14:textId="4E1BA538"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272</w:t>
            </w:r>
          </w:p>
        </w:tc>
      </w:tr>
      <w:tr w:rsidR="00DC362B" w:rsidRPr="008B628A" w14:paraId="276B4A08" w14:textId="77777777" w:rsidTr="007E783F">
        <w:trPr>
          <w:trHeight w:val="113"/>
          <w:jc w:val="center"/>
        </w:trPr>
        <w:tc>
          <w:tcPr>
            <w:tcW w:w="1287" w:type="pct"/>
            <w:noWrap/>
            <w:vAlign w:val="center"/>
          </w:tcPr>
          <w:p w14:paraId="73AC230F"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Daudzdzīvokļu mājas</w:t>
            </w:r>
          </w:p>
        </w:tc>
        <w:tc>
          <w:tcPr>
            <w:tcW w:w="1683" w:type="pct"/>
            <w:noWrap/>
            <w:vAlign w:val="center"/>
          </w:tcPr>
          <w:p w14:paraId="2DC9D8FB"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3395E9A1"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109</w:t>
            </w:r>
          </w:p>
        </w:tc>
        <w:tc>
          <w:tcPr>
            <w:tcW w:w="675" w:type="pct"/>
            <w:noWrap/>
            <w:vAlign w:val="center"/>
          </w:tcPr>
          <w:p w14:paraId="1930942A"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190</w:t>
            </w:r>
          </w:p>
        </w:tc>
        <w:tc>
          <w:tcPr>
            <w:tcW w:w="679" w:type="pct"/>
            <w:noWrap/>
            <w:vAlign w:val="center"/>
          </w:tcPr>
          <w:p w14:paraId="5753081E" w14:textId="7E5909D8"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254</w:t>
            </w:r>
          </w:p>
        </w:tc>
      </w:tr>
      <w:tr w:rsidR="00DC362B" w:rsidRPr="008B628A" w14:paraId="2DCE9260" w14:textId="77777777" w:rsidTr="007E783F">
        <w:trPr>
          <w:trHeight w:val="113"/>
          <w:jc w:val="center"/>
        </w:trPr>
        <w:tc>
          <w:tcPr>
            <w:tcW w:w="1287" w:type="pct"/>
            <w:noWrap/>
            <w:vAlign w:val="center"/>
          </w:tcPr>
          <w:p w14:paraId="5A03D44B"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Pakalpojumu sektors</w:t>
            </w:r>
          </w:p>
        </w:tc>
        <w:tc>
          <w:tcPr>
            <w:tcW w:w="1683" w:type="pct"/>
            <w:noWrap/>
            <w:vAlign w:val="center"/>
          </w:tcPr>
          <w:p w14:paraId="5FF434B5"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3697006F"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50</w:t>
            </w:r>
          </w:p>
        </w:tc>
        <w:tc>
          <w:tcPr>
            <w:tcW w:w="675" w:type="pct"/>
            <w:noWrap/>
            <w:vAlign w:val="center"/>
          </w:tcPr>
          <w:p w14:paraId="59F885C1"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113</w:t>
            </w:r>
          </w:p>
        </w:tc>
        <w:tc>
          <w:tcPr>
            <w:tcW w:w="679" w:type="pct"/>
            <w:noWrap/>
            <w:vAlign w:val="center"/>
          </w:tcPr>
          <w:p w14:paraId="0623FDDC" w14:textId="485A8702"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181</w:t>
            </w:r>
          </w:p>
        </w:tc>
      </w:tr>
      <w:tr w:rsidR="00DC362B" w:rsidRPr="008B628A" w14:paraId="7A0696D9" w14:textId="77777777" w:rsidTr="007E783F">
        <w:trPr>
          <w:trHeight w:val="113"/>
          <w:jc w:val="center"/>
        </w:trPr>
        <w:tc>
          <w:tcPr>
            <w:tcW w:w="1287" w:type="pct"/>
            <w:noWrap/>
            <w:vAlign w:val="center"/>
          </w:tcPr>
          <w:p w14:paraId="68D24237"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Rūpniecībā</w:t>
            </w:r>
          </w:p>
        </w:tc>
        <w:tc>
          <w:tcPr>
            <w:tcW w:w="1683" w:type="pct"/>
            <w:noWrap/>
            <w:vAlign w:val="center"/>
          </w:tcPr>
          <w:p w14:paraId="654333E9" w14:textId="77777777" w:rsidR="00DC362B" w:rsidRPr="008B628A" w:rsidRDefault="00DC362B" w:rsidP="00DC362B">
            <w:pPr>
              <w:rPr>
                <w:rFonts w:ascii="Times New Roman" w:hAnsi="Times New Roman" w:cs="Times New Roman"/>
                <w:b/>
                <w:color w:val="000000"/>
                <w:sz w:val="22"/>
              </w:rPr>
            </w:pPr>
            <w:r w:rsidRPr="008B628A">
              <w:rPr>
                <w:rFonts w:ascii="Times New Roman" w:hAnsi="Times New Roman" w:cs="Times New Roman"/>
                <w:b/>
                <w:color w:val="000000"/>
                <w:sz w:val="22"/>
              </w:rPr>
              <w:t>% no enerģijas gala patēriņa</w:t>
            </w:r>
          </w:p>
        </w:tc>
        <w:tc>
          <w:tcPr>
            <w:tcW w:w="675" w:type="pct"/>
            <w:noWrap/>
            <w:vAlign w:val="center"/>
          </w:tcPr>
          <w:p w14:paraId="5E2B5C1E"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c>
          <w:tcPr>
            <w:tcW w:w="675" w:type="pct"/>
            <w:noWrap/>
            <w:vAlign w:val="center"/>
          </w:tcPr>
          <w:p w14:paraId="4079C902"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c>
          <w:tcPr>
            <w:tcW w:w="679" w:type="pct"/>
            <w:noWrap/>
            <w:vAlign w:val="center"/>
          </w:tcPr>
          <w:p w14:paraId="63602209" w14:textId="33015A26"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r>
      <w:tr w:rsidR="00DC362B" w:rsidRPr="008B628A" w14:paraId="09FB34C9" w14:textId="77777777" w:rsidTr="007E783F">
        <w:trPr>
          <w:trHeight w:val="113"/>
          <w:jc w:val="center"/>
        </w:trPr>
        <w:tc>
          <w:tcPr>
            <w:tcW w:w="2970" w:type="pct"/>
            <w:gridSpan w:val="2"/>
            <w:noWrap/>
            <w:vAlign w:val="center"/>
          </w:tcPr>
          <w:p w14:paraId="4ECCC9A5"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21609782"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81</w:t>
            </w:r>
          </w:p>
        </w:tc>
        <w:tc>
          <w:tcPr>
            <w:tcW w:w="675" w:type="pct"/>
            <w:noWrap/>
            <w:vAlign w:val="center"/>
          </w:tcPr>
          <w:p w14:paraId="11A12488"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161</w:t>
            </w:r>
          </w:p>
        </w:tc>
        <w:tc>
          <w:tcPr>
            <w:tcW w:w="679" w:type="pct"/>
            <w:noWrap/>
            <w:vAlign w:val="center"/>
          </w:tcPr>
          <w:p w14:paraId="09332410" w14:textId="0E146E1C"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322</w:t>
            </w:r>
          </w:p>
        </w:tc>
      </w:tr>
    </w:tbl>
    <w:p w14:paraId="6C321B0A" w14:textId="01C7CDF9" w:rsidR="00DC362B" w:rsidRPr="008B628A" w:rsidRDefault="00DC362B" w:rsidP="007E783F">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Pamatojoties uz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potenciālu un izmaksām ir aprēķinātas nepieciešamās investīcijas pasākumu īstenošanai.</w:t>
      </w:r>
    </w:p>
    <w:p w14:paraId="59444252" w14:textId="77777777" w:rsidR="00DC362B" w:rsidRPr="008B628A" w:rsidRDefault="00DC362B" w:rsidP="00DC362B">
      <w:pPr>
        <w:spacing w:before="120" w:after="120" w:line="240" w:lineRule="auto"/>
        <w:jc w:val="center"/>
        <w:rPr>
          <w:rFonts w:ascii="Times New Roman" w:eastAsia="Calibri" w:hAnsi="Times New Roman" w:cs="Times New Roman"/>
          <w:szCs w:val="24"/>
        </w:rPr>
      </w:pPr>
      <w:r w:rsidRPr="008B628A">
        <w:rPr>
          <w:rFonts w:ascii="Times New Roman" w:eastAsia="Calibri" w:hAnsi="Times New Roman" w:cs="Times New Roman"/>
          <w:noProof/>
          <w:szCs w:val="24"/>
          <w:lang w:eastAsia="lv-LV"/>
        </w:rPr>
        <w:lastRenderedPageBreak/>
        <w:drawing>
          <wp:inline distT="0" distB="0" distL="0" distR="0" wp14:anchorId="0DB169D4" wp14:editId="6A359B17">
            <wp:extent cx="4584700" cy="275590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B12F03" w14:textId="62E321F8" w:rsidR="00DC362B" w:rsidRPr="008B628A" w:rsidRDefault="00A44CF8" w:rsidP="00DC362B">
      <w:pPr>
        <w:pStyle w:val="Caption"/>
        <w:rPr>
          <w:rFonts w:eastAsia="Calibri"/>
        </w:rPr>
      </w:pPr>
      <w:r w:rsidRPr="008B628A">
        <w:rPr>
          <w:noProof/>
        </w:rPr>
        <w:fldChar w:fldCharType="begin"/>
      </w:r>
      <w:r w:rsidRPr="008B628A">
        <w:rPr>
          <w:noProof/>
        </w:rPr>
        <w:instrText xml:space="preserve"> SEQ Ilustrācija \* ARABIC </w:instrText>
      </w:r>
      <w:r w:rsidRPr="008B628A">
        <w:rPr>
          <w:noProof/>
        </w:rPr>
        <w:fldChar w:fldCharType="separate"/>
      </w:r>
      <w:bookmarkStart w:id="434" w:name="_Toc531333138"/>
      <w:r w:rsidR="006067D4">
        <w:rPr>
          <w:noProof/>
        </w:rPr>
        <w:t>59</w:t>
      </w:r>
      <w:r w:rsidRPr="008B628A">
        <w:rPr>
          <w:noProof/>
        </w:rPr>
        <w:fldChar w:fldCharType="end"/>
      </w:r>
      <w:r w:rsidR="00DC362B" w:rsidRPr="008B628A">
        <w:t xml:space="preserve">.attēls. </w:t>
      </w:r>
      <w:r w:rsidR="00DC362B" w:rsidRPr="008B628A">
        <w:rPr>
          <w:rFonts w:eastAsia="Calibri"/>
        </w:rPr>
        <w:t>Aprēķinātās investīcijas energoefektivitātes pasākumos 2020-2030.gads (milj.EUR (2010.gada cenās)</w:t>
      </w:r>
      <w:bookmarkEnd w:id="434"/>
    </w:p>
    <w:p w14:paraId="6A655D27" w14:textId="46FDD421" w:rsidR="00DC362B" w:rsidRPr="008B628A" w:rsidRDefault="00DC362B" w:rsidP="00D531A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Jāatzīmē, ka lai gan ener</w:t>
      </w:r>
      <w:r w:rsidR="00E64D83">
        <w:rPr>
          <w:rFonts w:ascii="Times New Roman" w:hAnsi="Times New Roman" w:cs="Times New Roman"/>
          <w:szCs w:val="24"/>
        </w:rPr>
        <w:t>goefektivitātes</w:t>
      </w:r>
      <w:r w:rsidRPr="008B628A">
        <w:rPr>
          <w:rFonts w:ascii="Times New Roman" w:hAnsi="Times New Roman" w:cs="Times New Roman"/>
          <w:szCs w:val="24"/>
        </w:rPr>
        <w:t xml:space="preserve"> pasākumi ļauj samazināt sistēmas kopējās izmaksas, tie ir investīciju ietilpīgi, tas ir tie prasa lielas sākotnējās investīcijas. Ener</w:t>
      </w:r>
      <w:r w:rsidR="00011268">
        <w:rPr>
          <w:rFonts w:ascii="Times New Roman" w:hAnsi="Times New Roman" w:cs="Times New Roman"/>
          <w:szCs w:val="24"/>
        </w:rPr>
        <w:t>go</w:t>
      </w:r>
      <w:r w:rsidRPr="008B628A">
        <w:rPr>
          <w:rFonts w:ascii="Times New Roman" w:hAnsi="Times New Roman" w:cs="Times New Roman"/>
          <w:szCs w:val="24"/>
        </w:rPr>
        <w:t>efektivitātes tirgus potenciāla paplašināšana prasa daudzveidīgu politiku un pasākumu īstenošanu.</w:t>
      </w:r>
    </w:p>
    <w:p w14:paraId="3C19B799" w14:textId="13E3949F" w:rsidR="00D531A9" w:rsidRPr="008B628A" w:rsidRDefault="00D531A9" w:rsidP="00D531A9">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 xml:space="preserve">Aprēķinātais enerģijas ietaupījums, pamatojoties uz optimālām izmaksām </w:t>
      </w:r>
      <w:r w:rsidR="00011268">
        <w:rPr>
          <w:rFonts w:ascii="Times New Roman" w:eastAsia="Calibri" w:hAnsi="Times New Roman" w:cs="Times New Roman"/>
          <w:szCs w:val="24"/>
        </w:rPr>
        <w:t>–</w:t>
      </w:r>
      <w:r w:rsidRPr="008B628A">
        <w:rPr>
          <w:rFonts w:ascii="Times New Roman" w:eastAsia="Calibri" w:hAnsi="Times New Roman" w:cs="Times New Roman"/>
          <w:szCs w:val="24"/>
        </w:rPr>
        <w:t xml:space="preserve"> pakalpojumu sektorā 3,3 PJ; rūpniecības sektorā 3,4 PJ; transportā 1,4 PJ un mājsaimniecībās 6 PJ. Aprēķinātās nepieciešamās investīcijas laika periodā 2020-2030.gads (2010.gada EUR)</w:t>
      </w:r>
      <w:r w:rsidR="00011268">
        <w:rPr>
          <w:rFonts w:ascii="Times New Roman" w:eastAsia="Calibri" w:hAnsi="Times New Roman" w:cs="Times New Roman"/>
          <w:szCs w:val="24"/>
        </w:rPr>
        <w:t xml:space="preserve"> </w:t>
      </w:r>
      <w:r w:rsidRPr="008B628A">
        <w:rPr>
          <w:rFonts w:ascii="Times New Roman" w:eastAsia="Calibri" w:hAnsi="Times New Roman" w:cs="Times New Roman"/>
          <w:szCs w:val="24"/>
        </w:rPr>
        <w:t>– mājsaimniecībās 2700 milj.EUR, pakalpojumu sektors 928 milj.EUR un rūpniecība 1352 milj.EUR.</w:t>
      </w:r>
    </w:p>
    <w:p w14:paraId="33519915" w14:textId="6D60CC6C" w:rsidR="00D531A9" w:rsidRPr="008B628A" w:rsidRDefault="00DC362B" w:rsidP="00D531A9">
      <w:pPr>
        <w:spacing w:before="120" w:after="120" w:line="240" w:lineRule="auto"/>
        <w:jc w:val="both"/>
        <w:rPr>
          <w:rFonts w:ascii="Times New Roman" w:eastAsia="Calibri" w:hAnsi="Times New Roman" w:cs="Times New Roman"/>
          <w:szCs w:val="24"/>
        </w:rPr>
      </w:pPr>
      <w:r w:rsidRPr="008B628A">
        <w:rPr>
          <w:rFonts w:ascii="Times New Roman" w:hAnsi="Times New Roman" w:cs="Times New Roman"/>
          <w:szCs w:val="24"/>
          <w:lang w:bidi="en-US"/>
        </w:rPr>
        <w:t>Modelēšanas pieejas izmantošana atļauj novērtēt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pasākumu ietekmi uz enerģijas sistēmas kopējām izmaksām un tās attiecināt pret IKP. Tādejādi mēs varam parādīt par cik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pasākumu īstenošana samazina sistēmas kopējās izmaksas salīdzinot ar  IKP. Makroekonomiskajos modeļos tas tiek tālāk aprēķināts un interpretēts kā papildus ienākumi IKP. Iegūtie rezultāti, salīdzinot scenāriju ar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 xml:space="preserve">efektivitātes pasākumu īstenošanu pret </w:t>
      </w:r>
      <w:r w:rsidR="00011268">
        <w:rPr>
          <w:rFonts w:ascii="Times New Roman" w:hAnsi="Times New Roman" w:cs="Times New Roman"/>
          <w:szCs w:val="24"/>
          <w:lang w:bidi="en-US"/>
        </w:rPr>
        <w:t>b</w:t>
      </w:r>
      <w:r w:rsidRPr="008B628A">
        <w:rPr>
          <w:rFonts w:ascii="Times New Roman" w:hAnsi="Times New Roman" w:cs="Times New Roman"/>
          <w:szCs w:val="24"/>
          <w:lang w:bidi="en-US"/>
        </w:rPr>
        <w:t>āzes scenāriju, parāda, ka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papildus pasākumu īstenošana var samazināt kopējās enerģētikas sistēmas izmaksas periodā par apmēram 0,1% no IKP.</w:t>
      </w:r>
      <w:r w:rsidR="00D531A9" w:rsidRPr="008B628A">
        <w:rPr>
          <w:rFonts w:ascii="Times New Roman" w:eastAsia="Calibri" w:hAnsi="Times New Roman" w:cs="Times New Roman"/>
          <w:szCs w:val="24"/>
        </w:rPr>
        <w:t xml:space="preserve"> </w:t>
      </w:r>
    </w:p>
    <w:p w14:paraId="5C6A8B7A" w14:textId="77777777" w:rsidR="00D531A9" w:rsidRPr="008B628A" w:rsidRDefault="00D531A9" w:rsidP="00D531A9">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Aprēķinātās ietaupītās enerģijas izmaksas (pie anualizētām izmaksām periodā) (2010.gada EUR) – mājsaimniecībās 54 EUR/MWh, pakalpojumu sektors 34 EUR/MWh un rūpniecība 35 EUR/MWh.</w:t>
      </w:r>
    </w:p>
    <w:p w14:paraId="7AA7C0AB" w14:textId="55074B31" w:rsidR="00DC362B" w:rsidRPr="008B628A" w:rsidRDefault="00DC362B" w:rsidP="00DC362B">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Pieņēmumi par ener</w:t>
      </w:r>
      <w:r w:rsidR="00011268">
        <w:rPr>
          <w:rFonts w:ascii="Times New Roman" w:eastAsia="Calibri" w:hAnsi="Times New Roman" w:cs="Times New Roman"/>
          <w:szCs w:val="24"/>
        </w:rPr>
        <w:t>go</w:t>
      </w:r>
      <w:r w:rsidRPr="008B628A">
        <w:rPr>
          <w:rFonts w:ascii="Times New Roman" w:eastAsia="Calibri" w:hAnsi="Times New Roman" w:cs="Times New Roman"/>
          <w:szCs w:val="24"/>
        </w:rPr>
        <w:t xml:space="preserve">efektivitātes politikas īstenošanu </w:t>
      </w:r>
      <w:r w:rsidR="00011268">
        <w:rPr>
          <w:rFonts w:ascii="Times New Roman" w:eastAsia="Calibri" w:hAnsi="Times New Roman" w:cs="Times New Roman"/>
          <w:szCs w:val="24"/>
        </w:rPr>
        <w:t>b</w:t>
      </w:r>
      <w:r w:rsidRPr="008B628A">
        <w:rPr>
          <w:rFonts w:ascii="Times New Roman" w:eastAsia="Calibri" w:hAnsi="Times New Roman" w:cs="Times New Roman"/>
          <w:szCs w:val="24"/>
        </w:rPr>
        <w:t xml:space="preserve">āzes scenārijā, kas noteica enerģijas galapatēriņa samazināšanos līdz 2030.gadam pozitīvi ietekmē enerģijas galapatēriņa intensitāti. Aprēķinātā enerģijas galapatēriņa intensitāte </w:t>
      </w:r>
      <w:r w:rsidR="00011268">
        <w:rPr>
          <w:rFonts w:ascii="Times New Roman" w:eastAsia="Calibri" w:hAnsi="Times New Roman" w:cs="Times New Roman"/>
          <w:szCs w:val="24"/>
        </w:rPr>
        <w:t>b</w:t>
      </w:r>
      <w:r w:rsidRPr="008B628A">
        <w:rPr>
          <w:rFonts w:ascii="Times New Roman" w:eastAsia="Calibri" w:hAnsi="Times New Roman" w:cs="Times New Roman"/>
          <w:szCs w:val="24"/>
        </w:rPr>
        <w:t xml:space="preserve">āzes scenārijā samazinās uz 2030.gadu par 35% pret 2016.gadu. </w:t>
      </w:r>
    </w:p>
    <w:p w14:paraId="3E637CC4" w14:textId="77777777" w:rsidR="00581156" w:rsidRPr="008B628A" w:rsidRDefault="00581156" w:rsidP="00581156">
      <w:pPr>
        <w:rPr>
          <w:rFonts w:ascii="Times New Roman" w:hAnsi="Times New Roman" w:cs="Times New Roman"/>
        </w:rPr>
      </w:pPr>
    </w:p>
    <w:p w14:paraId="09B65023" w14:textId="73DDDDBC" w:rsidR="00581156" w:rsidRPr="008B628A" w:rsidRDefault="00581156" w:rsidP="005F59CE">
      <w:pPr>
        <w:pStyle w:val="Heading3"/>
      </w:pPr>
      <w:bookmarkStart w:id="435" w:name="_Toc520978892"/>
      <w:bookmarkStart w:id="436" w:name="_Toc527529590"/>
      <w:r w:rsidRPr="008B628A">
        <w:t>Rīcībpolitiku savstarpējās ietekmes novērtējums</w:t>
      </w:r>
      <w:bookmarkEnd w:id="435"/>
      <w:bookmarkEnd w:id="436"/>
      <w:r w:rsidRPr="008B628A">
        <w:t xml:space="preserve"> </w:t>
      </w:r>
    </w:p>
    <w:p w14:paraId="1695F876" w14:textId="56F22678" w:rsidR="006F546A" w:rsidRPr="008B628A" w:rsidRDefault="007E783F" w:rsidP="006F546A">
      <w:pPr>
        <w:pStyle w:val="paragraph"/>
        <w:spacing w:before="120" w:beforeAutospacing="0" w:after="120" w:afterAutospacing="0"/>
        <w:jc w:val="both"/>
        <w:textAlignment w:val="baseline"/>
        <w:rPr>
          <w:i/>
        </w:rPr>
      </w:pPr>
      <w:r w:rsidRPr="008B628A">
        <w:rPr>
          <w:i/>
        </w:rPr>
        <w:t>Tiks papildināts Plāna galaversijā</w:t>
      </w:r>
      <w:r w:rsidR="00F97F9D" w:rsidRPr="008B628A">
        <w:rPr>
          <w:i/>
        </w:rPr>
        <w:t>, kad Latvijā tiks izstrādāts politikas plānošanas dokuments gaisa piesārņojošo vielu emisiju samazināšanai.</w:t>
      </w:r>
    </w:p>
    <w:p w14:paraId="322CF587" w14:textId="77777777" w:rsidR="00581156" w:rsidRPr="008B628A" w:rsidRDefault="00581156" w:rsidP="00581156">
      <w:pPr>
        <w:rPr>
          <w:rFonts w:ascii="Times New Roman" w:hAnsi="Times New Roman" w:cs="Times New Roman"/>
        </w:rPr>
      </w:pPr>
    </w:p>
    <w:p w14:paraId="01D41955" w14:textId="61DB326C" w:rsidR="00581156" w:rsidRPr="008B628A" w:rsidRDefault="00581156" w:rsidP="005F59CE">
      <w:pPr>
        <w:pStyle w:val="Heading3"/>
      </w:pPr>
      <w:bookmarkStart w:id="437" w:name="_Toc520978893"/>
      <w:bookmarkStart w:id="438" w:name="_Toc527529591"/>
      <w:r w:rsidRPr="008B628A">
        <w:t>Pašreizējo Latvijas rīcībpolitikas un ES pasākumu mijiedarbība</w:t>
      </w:r>
      <w:bookmarkEnd w:id="437"/>
      <w:bookmarkEnd w:id="438"/>
      <w:r w:rsidRPr="008B628A">
        <w:t xml:space="preserve"> </w:t>
      </w:r>
    </w:p>
    <w:p w14:paraId="2883C08B"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0DC8AD3" w14:textId="77777777" w:rsidR="00581156" w:rsidRPr="008B628A" w:rsidRDefault="00581156" w:rsidP="00581156">
      <w:pPr>
        <w:rPr>
          <w:rFonts w:ascii="Times New Roman" w:hAnsi="Times New Roman" w:cs="Times New Roman"/>
        </w:rPr>
      </w:pPr>
    </w:p>
    <w:p w14:paraId="67C69C4A" w14:textId="1BBE189D" w:rsidR="00581156" w:rsidRPr="008B628A" w:rsidRDefault="00581156" w:rsidP="005F59CE">
      <w:pPr>
        <w:pStyle w:val="Heading3"/>
      </w:pPr>
      <w:bookmarkStart w:id="439" w:name="_Toc520978894"/>
      <w:bookmarkStart w:id="440" w:name="_Toc527529592"/>
      <w:r w:rsidRPr="008B628A">
        <w:lastRenderedPageBreak/>
        <w:t>Citas ietekmes</w:t>
      </w:r>
      <w:bookmarkEnd w:id="439"/>
      <w:bookmarkEnd w:id="440"/>
      <w:r w:rsidRPr="008B628A">
        <w:t xml:space="preserve"> </w:t>
      </w:r>
    </w:p>
    <w:p w14:paraId="617E6F75"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966B958" w14:textId="77777777" w:rsidR="00581156" w:rsidRPr="008B628A" w:rsidRDefault="00581156" w:rsidP="00581156">
      <w:pPr>
        <w:rPr>
          <w:rFonts w:ascii="Times New Roman" w:hAnsi="Times New Roman" w:cs="Times New Roman"/>
        </w:rPr>
      </w:pPr>
    </w:p>
    <w:p w14:paraId="04E1457B" w14:textId="513A6CD7" w:rsidR="00581156" w:rsidRPr="008B628A" w:rsidRDefault="00581156" w:rsidP="006F546A">
      <w:pPr>
        <w:pStyle w:val="Heading2"/>
      </w:pPr>
      <w:bookmarkStart w:id="441" w:name="_Toc520978895"/>
      <w:bookmarkStart w:id="442" w:name="_Toc527529593"/>
      <w:bookmarkStart w:id="443" w:name="_Toc532910021"/>
      <w:r w:rsidRPr="008B628A">
        <w:t>Nepieciešamo investīciju pārskats</w:t>
      </w:r>
      <w:bookmarkEnd w:id="441"/>
      <w:bookmarkEnd w:id="442"/>
      <w:bookmarkEnd w:id="443"/>
      <w:r w:rsidRPr="008B628A">
        <w:t xml:space="preserve"> </w:t>
      </w:r>
    </w:p>
    <w:p w14:paraId="33F980AC" w14:textId="5A45A8A6" w:rsidR="00581156" w:rsidRPr="008B628A" w:rsidRDefault="008953F4" w:rsidP="005F59CE">
      <w:pPr>
        <w:pStyle w:val="Heading3"/>
      </w:pPr>
      <w:bookmarkStart w:id="444" w:name="_Toc520978896"/>
      <w:bookmarkStart w:id="445" w:name="_Toc527529594"/>
      <w:r w:rsidRPr="008B628A">
        <w:t>E</w:t>
      </w:r>
      <w:r w:rsidR="00581156" w:rsidRPr="008B628A">
        <w:t xml:space="preserve">sošās investīciju plūsmas un nākotnes ieguldījumu pieņēmumi attiecībā uz </w:t>
      </w:r>
      <w:r w:rsidRPr="008B628A">
        <w:t>plānoto politiku un pasākumiem</w:t>
      </w:r>
      <w:bookmarkEnd w:id="444"/>
      <w:bookmarkEnd w:id="445"/>
    </w:p>
    <w:p w14:paraId="4A86C8F9"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05CA0FB1" w14:textId="77777777" w:rsidR="00581156" w:rsidRPr="008B628A" w:rsidRDefault="00581156" w:rsidP="00581156">
      <w:pPr>
        <w:rPr>
          <w:rFonts w:ascii="Times New Roman" w:hAnsi="Times New Roman" w:cs="Times New Roman"/>
        </w:rPr>
      </w:pPr>
    </w:p>
    <w:p w14:paraId="33C8BE89" w14:textId="135A46A2" w:rsidR="00581156" w:rsidRPr="008B628A" w:rsidRDefault="008953F4" w:rsidP="005F59CE">
      <w:pPr>
        <w:pStyle w:val="Heading3"/>
      </w:pPr>
      <w:bookmarkStart w:id="446" w:name="_Toc520978897"/>
      <w:bookmarkStart w:id="447" w:name="_Toc527529595"/>
      <w:r w:rsidRPr="008B628A">
        <w:t>N</w:t>
      </w:r>
      <w:r w:rsidR="00581156" w:rsidRPr="008B628A">
        <w:t>ozares vai tirgus riska faktori vai šķēršļi valsts vai reģionālajā kontekstā;</w:t>
      </w:r>
      <w:bookmarkEnd w:id="446"/>
      <w:bookmarkEnd w:id="447"/>
      <w:r w:rsidR="00581156" w:rsidRPr="008B628A">
        <w:t xml:space="preserve"> </w:t>
      </w:r>
    </w:p>
    <w:p w14:paraId="2FD8E0C2"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37426151" w14:textId="77777777" w:rsidR="00581156" w:rsidRPr="008B628A" w:rsidRDefault="00581156" w:rsidP="00581156">
      <w:pPr>
        <w:rPr>
          <w:rFonts w:ascii="Times New Roman" w:hAnsi="Times New Roman" w:cs="Times New Roman"/>
        </w:rPr>
      </w:pPr>
    </w:p>
    <w:p w14:paraId="089C2836" w14:textId="6D44F5CF" w:rsidR="00581156" w:rsidRPr="008B628A" w:rsidRDefault="008953F4" w:rsidP="005F59CE">
      <w:pPr>
        <w:pStyle w:val="Heading3"/>
      </w:pPr>
      <w:bookmarkStart w:id="448" w:name="_Toc520978898"/>
      <w:bookmarkStart w:id="449" w:name="_Toc527529596"/>
      <w:r w:rsidRPr="008B628A">
        <w:t>Pa</w:t>
      </w:r>
      <w:r w:rsidR="00581156" w:rsidRPr="008B628A">
        <w:t>pildu valsts finanšu atbalsta vai resursu analīze, lai novērstu identificētās nepilnības</w:t>
      </w:r>
      <w:bookmarkEnd w:id="448"/>
      <w:bookmarkEnd w:id="449"/>
      <w:r w:rsidR="00581156" w:rsidRPr="008B628A">
        <w:t xml:space="preserve"> </w:t>
      </w:r>
    </w:p>
    <w:p w14:paraId="2E334653"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69BF538A" w14:textId="77777777" w:rsidR="00581156" w:rsidRPr="008B628A" w:rsidRDefault="00581156" w:rsidP="00581156">
      <w:pPr>
        <w:rPr>
          <w:rFonts w:ascii="Times New Roman" w:hAnsi="Times New Roman" w:cs="Times New Roman"/>
        </w:rPr>
      </w:pPr>
    </w:p>
    <w:p w14:paraId="6BF4D09D" w14:textId="2A83A65F" w:rsidR="00581156" w:rsidRPr="008B628A" w:rsidRDefault="00581156" w:rsidP="006F546A">
      <w:pPr>
        <w:pStyle w:val="Heading2"/>
      </w:pPr>
      <w:bookmarkStart w:id="450" w:name="_Toc520978899"/>
      <w:bookmarkStart w:id="451" w:name="_Toc527529597"/>
      <w:bookmarkStart w:id="452" w:name="_Toc532910022"/>
      <w:r w:rsidRPr="008B628A">
        <w:t>Plānā iekļauto rīcībpolitiku un pasākumu ietekme uz citām ES dalībvalstīm un reģionālā sadarbība</w:t>
      </w:r>
      <w:bookmarkEnd w:id="450"/>
      <w:bookmarkEnd w:id="451"/>
      <w:bookmarkEnd w:id="452"/>
      <w:r w:rsidRPr="008B628A">
        <w:t xml:space="preserve"> </w:t>
      </w:r>
    </w:p>
    <w:p w14:paraId="10667C5D" w14:textId="7E4BEBC5" w:rsidR="00581156" w:rsidRPr="008B628A" w:rsidRDefault="00581156" w:rsidP="005F59CE">
      <w:pPr>
        <w:pStyle w:val="Heading3"/>
      </w:pPr>
      <w:bookmarkStart w:id="453" w:name="_Toc520978900"/>
      <w:bookmarkStart w:id="454" w:name="_Toc527529598"/>
      <w:r w:rsidRPr="008B628A">
        <w:t>Ietekme uz energosistēmu kaimiņvalstīs un citās dalībvalstīs reģionā, cik iespējams</w:t>
      </w:r>
      <w:bookmarkEnd w:id="453"/>
      <w:bookmarkEnd w:id="454"/>
      <w:r w:rsidRPr="008B628A">
        <w:t xml:space="preserve"> </w:t>
      </w:r>
    </w:p>
    <w:p w14:paraId="001D9B73"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6BDB960" w14:textId="77777777" w:rsidR="00581156" w:rsidRPr="008B628A" w:rsidRDefault="00581156" w:rsidP="00581156">
      <w:pPr>
        <w:rPr>
          <w:rFonts w:ascii="Times New Roman" w:hAnsi="Times New Roman" w:cs="Times New Roman"/>
        </w:rPr>
      </w:pPr>
    </w:p>
    <w:p w14:paraId="777D7D8D" w14:textId="59DB3C1A" w:rsidR="00581156" w:rsidRPr="008B628A" w:rsidRDefault="00581156" w:rsidP="005F59CE">
      <w:pPr>
        <w:pStyle w:val="Heading3"/>
      </w:pPr>
      <w:bookmarkStart w:id="455" w:name="_Toc520978901"/>
      <w:bookmarkStart w:id="456" w:name="_Toc527529599"/>
      <w:r w:rsidRPr="008B628A">
        <w:t>Ietekme uz enerģijas cenām, energoapgādes pakalpojumiem un enerģijas tirgus integrāciju</w:t>
      </w:r>
      <w:bookmarkEnd w:id="455"/>
      <w:bookmarkEnd w:id="456"/>
      <w:r w:rsidRPr="008B628A">
        <w:t xml:space="preserve"> </w:t>
      </w:r>
    </w:p>
    <w:p w14:paraId="0AE12E39"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244676B9" w14:textId="77777777" w:rsidR="00581156" w:rsidRPr="008B628A" w:rsidRDefault="00581156" w:rsidP="00581156">
      <w:pPr>
        <w:rPr>
          <w:rFonts w:ascii="Times New Roman" w:hAnsi="Times New Roman" w:cs="Times New Roman"/>
        </w:rPr>
      </w:pPr>
    </w:p>
    <w:p w14:paraId="3E454B48" w14:textId="72FB1044" w:rsidR="00581156" w:rsidRPr="008B628A" w:rsidRDefault="00D07F6C" w:rsidP="005F59CE">
      <w:pPr>
        <w:pStyle w:val="Heading3"/>
      </w:pPr>
      <w:bookmarkStart w:id="457" w:name="_Toc520978902"/>
      <w:bookmarkStart w:id="458" w:name="_Toc527529600"/>
      <w:r w:rsidRPr="008B628A">
        <w:t>I</w:t>
      </w:r>
      <w:r w:rsidR="00581156" w:rsidRPr="008B628A">
        <w:t>etekme uz reģionālo sadarbību</w:t>
      </w:r>
      <w:bookmarkEnd w:id="457"/>
      <w:bookmarkEnd w:id="458"/>
    </w:p>
    <w:p w14:paraId="7BB6F0F6"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24ABE70F" w14:textId="2430792C" w:rsidR="00CF1EBD" w:rsidRPr="008B628A" w:rsidRDefault="00CF1EBD">
      <w:r w:rsidRPr="008B628A">
        <w:br w:type="page"/>
      </w:r>
    </w:p>
    <w:p w14:paraId="72A54793" w14:textId="27E4A03E" w:rsidR="006F546A" w:rsidRPr="008B628A" w:rsidRDefault="002A72E8" w:rsidP="00CF1EBD">
      <w:pPr>
        <w:pStyle w:val="Heading1"/>
      </w:pPr>
      <w:bookmarkStart w:id="459" w:name="_Toc527529601"/>
      <w:bookmarkStart w:id="460" w:name="_Toc532910023"/>
      <w:r w:rsidRPr="008B628A">
        <w:lastRenderedPageBreak/>
        <w:t>INTEGRĒTĀ UZRAUDZĪBAS UN ZIŅOŠANAS SISTĒMA</w:t>
      </w:r>
      <w:bookmarkEnd w:id="459"/>
      <w:bookmarkEnd w:id="460"/>
    </w:p>
    <w:p w14:paraId="17524466" w14:textId="162EEF90" w:rsidR="002F2C81" w:rsidRPr="008B628A" w:rsidRDefault="002F2C81" w:rsidP="005F59CE">
      <w:pPr>
        <w:spacing w:before="120" w:after="120" w:line="240" w:lineRule="auto"/>
        <w:jc w:val="both"/>
        <w:rPr>
          <w:rFonts w:ascii="Times New Roman" w:hAnsi="Times New Roman" w:cs="Times New Roman"/>
        </w:rPr>
      </w:pPr>
      <w:r w:rsidRPr="008B628A">
        <w:rPr>
          <w:rFonts w:ascii="Times New Roman" w:hAnsi="Times New Roman" w:cs="Times New Roman"/>
          <w:lang w:eastAsia="lv-LV"/>
        </w:rPr>
        <w:t xml:space="preserve">Saskaņā ar EnS pārvaldības regulas priekšlikumu ir nepieciešams reizi divos gados iesniegt </w:t>
      </w:r>
      <w:r w:rsidR="00E94F3D" w:rsidRPr="008B628A">
        <w:rPr>
          <w:rFonts w:ascii="Times New Roman" w:hAnsi="Times New Roman" w:cs="Times New Roman"/>
          <w:lang w:eastAsia="lv-LV"/>
        </w:rPr>
        <w:t xml:space="preserve">EK </w:t>
      </w:r>
      <w:r w:rsidRPr="008B628A">
        <w:rPr>
          <w:rFonts w:ascii="Times New Roman" w:hAnsi="Times New Roman" w:cs="Times New Roman"/>
          <w:lang w:eastAsia="lv-LV"/>
        </w:rPr>
        <w:t xml:space="preserve">integrēto nacionālo enerģētikas un klimata progresa ziņojumu, kas aptver visas piecas enerģētikas savienības dimensijas un kurā iekļauj </w:t>
      </w:r>
      <w:r w:rsidRPr="008B628A">
        <w:rPr>
          <w:rFonts w:ascii="Times New Roman" w:hAnsi="Times New Roman" w:cs="Times New Roman"/>
        </w:rPr>
        <w:t>šādus elementus:</w:t>
      </w:r>
    </w:p>
    <w:p w14:paraId="64D6D754" w14:textId="5A4C7388"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informācija par progresu virzībā uz Plānā noteikto mērķu un devumu sasniegšanu un to finansēšanai un sasniegšanai vajadzīgo rīcībpolitiku un pasākumu īstenošanu</w:t>
      </w:r>
    </w:p>
    <w:p w14:paraId="4A16B1BB" w14:textId="6CAB784C"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pārskats par faktiskajām investīcijām salīdzinājumā ar sākotnējiem investīciju pieņēmumiem; </w:t>
      </w:r>
    </w:p>
    <w:p w14:paraId="45F337B0" w14:textId="60A17135"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informācija par progresu virzībā uz klimata un enerģētikas daudzlīmeņu dialoga izveidi;</w:t>
      </w:r>
    </w:p>
    <w:p w14:paraId="7A07511D" w14:textId="0CAAF9CA"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integrētā ziņošana par </w:t>
      </w:r>
      <w:r w:rsidR="00C432CC">
        <w:rPr>
          <w:rFonts w:ascii="Times New Roman" w:hAnsi="Times New Roman" w:cs="Times New Roman"/>
        </w:rPr>
        <w:t>AER</w:t>
      </w:r>
      <w:r w:rsidRPr="008B628A">
        <w:rPr>
          <w:rFonts w:ascii="Times New Roman" w:hAnsi="Times New Roman" w:cs="Times New Roman"/>
        </w:rPr>
        <w:t xml:space="preserve"> un jaunākā informācija par rīcībpolitkām un pasākumiem šajā dimensijā;</w:t>
      </w:r>
    </w:p>
    <w:p w14:paraId="2576FEFF" w14:textId="26DE073E"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energoefektivitāti un jaunākā informācija par rīcībpolitkām un pasākumiem šajā dimensijā;</w:t>
      </w:r>
    </w:p>
    <w:p w14:paraId="560B02FC" w14:textId="2EC896F0"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enerģētisko drošību un jaunākā informācija par rīcībpolitkām un pasākumiem šajā dimensijā;</w:t>
      </w:r>
    </w:p>
    <w:p w14:paraId="12F1FC76" w14:textId="60533E9E"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iekšējo enerģijas tirgu un jaunākā informācija par rīcībpolitkām un pasākumiem šajā dimensijā;</w:t>
      </w:r>
    </w:p>
    <w:p w14:paraId="0AAF4D23" w14:textId="74960D89"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enerģētisko nabadzību un jaunākā informācija par rīcībpolitkām un pasākumiem šajā dimensijā;</w:t>
      </w:r>
    </w:p>
    <w:p w14:paraId="641D094A" w14:textId="3B922E51"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pētniecību, inovāciju un konkurētspēju un jaunākā informācija par rīcībpolitkām un pasākumiem šajā dimensijā;</w:t>
      </w:r>
    </w:p>
    <w:p w14:paraId="4F93040E" w14:textId="3F05A4A3"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informācija par </w:t>
      </w:r>
      <w:r w:rsidR="005822AC" w:rsidRPr="008B628A">
        <w:rPr>
          <w:rFonts w:ascii="Times New Roman" w:hAnsi="Times New Roman" w:cs="Times New Roman"/>
        </w:rPr>
        <w:t>p</w:t>
      </w:r>
      <w:r w:rsidRPr="008B628A">
        <w:rPr>
          <w:rFonts w:ascii="Times New Roman" w:hAnsi="Times New Roman" w:cs="Times New Roman"/>
        </w:rPr>
        <w:t>ielāgošanos klimata pārmaiņām;</w:t>
      </w:r>
    </w:p>
    <w:p w14:paraId="29E92CE1" w14:textId="7D47223A" w:rsidR="002F2C81" w:rsidRPr="008B628A" w:rsidRDefault="00725B2F"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P</w:t>
      </w:r>
      <w:r w:rsidR="002F2C81" w:rsidRPr="008B628A">
        <w:rPr>
          <w:rFonts w:ascii="Times New Roman" w:hAnsi="Times New Roman" w:cs="Times New Roman"/>
        </w:rPr>
        <w:t>lānā</w:t>
      </w:r>
      <w:r w:rsidRPr="008B628A">
        <w:rPr>
          <w:rFonts w:ascii="Times New Roman" w:hAnsi="Times New Roman" w:cs="Times New Roman"/>
        </w:rPr>
        <w:t xml:space="preserve"> iekļauto </w:t>
      </w:r>
      <w:r w:rsidR="002F2C81" w:rsidRPr="008B628A">
        <w:rPr>
          <w:rFonts w:ascii="Times New Roman" w:hAnsi="Times New Roman" w:cs="Times New Roman"/>
        </w:rPr>
        <w:t xml:space="preserve">rīcīpolitiku un pasākumu ietekme uz gaisa kvalitāti </w:t>
      </w:r>
      <w:r w:rsidRPr="008B628A">
        <w:rPr>
          <w:rFonts w:ascii="Times New Roman" w:hAnsi="Times New Roman" w:cs="Times New Roman"/>
        </w:rPr>
        <w:t>u</w:t>
      </w:r>
      <w:r w:rsidR="002F2C81" w:rsidRPr="008B628A">
        <w:rPr>
          <w:rFonts w:ascii="Times New Roman" w:hAnsi="Times New Roman" w:cs="Times New Roman"/>
        </w:rPr>
        <w:t>n gai</w:t>
      </w:r>
      <w:r w:rsidRPr="008B628A">
        <w:rPr>
          <w:rFonts w:ascii="Times New Roman" w:hAnsi="Times New Roman" w:cs="Times New Roman"/>
        </w:rPr>
        <w:t>su piesārņojošo vielu emisijām</w:t>
      </w:r>
      <w:r w:rsidR="002F2C81" w:rsidRPr="008B628A">
        <w:rPr>
          <w:rFonts w:ascii="Times New Roman" w:hAnsi="Times New Roman" w:cs="Times New Roman"/>
        </w:rPr>
        <w:t>.</w:t>
      </w:r>
    </w:p>
    <w:p w14:paraId="506F40B2" w14:textId="2266DCAC" w:rsidR="002F2C81" w:rsidRPr="008B628A" w:rsidRDefault="00725B2F" w:rsidP="005F59CE">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 xml:space="preserve">Papildus minētajam integrētajam nacionālajam enerģētikas un klimata progresa ziņojumam reizi divos gados ir nepieciešams sagatavot un </w:t>
      </w:r>
      <w:r w:rsidR="00E94F3D" w:rsidRPr="008B628A">
        <w:rPr>
          <w:rFonts w:ascii="Times New Roman" w:hAnsi="Times New Roman" w:cs="Times New Roman"/>
          <w:lang w:eastAsia="lv-LV"/>
        </w:rPr>
        <w:t>EK</w:t>
      </w:r>
      <w:r w:rsidRPr="008B628A">
        <w:rPr>
          <w:rFonts w:ascii="Times New Roman" w:hAnsi="Times New Roman" w:cs="Times New Roman"/>
          <w:lang w:eastAsia="lv-LV"/>
        </w:rPr>
        <w:t xml:space="preserve"> iesniegt:</w:t>
      </w:r>
    </w:p>
    <w:p w14:paraId="55CA7487" w14:textId="279ACF72" w:rsidR="00725B2F" w:rsidRPr="008B628A" w:rsidRDefault="00725B2F" w:rsidP="00283C85">
      <w:pPr>
        <w:pStyle w:val="ListParagraph"/>
        <w:numPr>
          <w:ilvl w:val="0"/>
          <w:numId w:val="46"/>
        </w:numPr>
        <w:spacing w:before="120" w:after="120" w:line="240" w:lineRule="auto"/>
        <w:contextualSpacing w:val="0"/>
        <w:jc w:val="both"/>
        <w:rPr>
          <w:rFonts w:ascii="Times New Roman" w:hAnsi="Times New Roman" w:cs="Times New Roman"/>
          <w:lang w:eastAsia="lv-LV"/>
        </w:rPr>
      </w:pPr>
      <w:r w:rsidRPr="008B628A">
        <w:rPr>
          <w:rFonts w:ascii="Times New Roman" w:hAnsi="Times New Roman" w:cs="Times New Roman"/>
          <w:lang w:eastAsia="lv-LV"/>
        </w:rPr>
        <w:t>Integrēto ziņojumu par siltumnīcefekta gāzu rīcībpolitikām un pasākumiem un par prognozēm;</w:t>
      </w:r>
    </w:p>
    <w:p w14:paraId="79151058" w14:textId="71018CF1" w:rsidR="00725B2F" w:rsidRPr="008B628A" w:rsidRDefault="00725B2F" w:rsidP="00283C85">
      <w:pPr>
        <w:pStyle w:val="ListParagraph"/>
        <w:numPr>
          <w:ilvl w:val="0"/>
          <w:numId w:val="46"/>
        </w:numPr>
        <w:spacing w:before="120" w:after="120" w:line="240" w:lineRule="auto"/>
        <w:contextualSpacing w:val="0"/>
        <w:jc w:val="both"/>
        <w:rPr>
          <w:rFonts w:ascii="Times New Roman" w:hAnsi="Times New Roman" w:cs="Times New Roman"/>
          <w:lang w:eastAsia="lv-LV"/>
        </w:rPr>
      </w:pPr>
      <w:r w:rsidRPr="008B628A">
        <w:rPr>
          <w:rFonts w:ascii="Times New Roman" w:hAnsi="Times New Roman" w:cs="Times New Roman"/>
          <w:lang w:eastAsia="lv-LV"/>
        </w:rPr>
        <w:t>Integrēto ziņojumu par nacionālajiem pielāgošanās pasākumiem, jaunattīstības valstīm sniegto finansiālo un tehnoloģisko atbalstu un , izsolēs gūtajiem ieņēmumiem.</w:t>
      </w:r>
    </w:p>
    <w:p w14:paraId="6388FD7F" w14:textId="4ABF6381" w:rsidR="00725B2F" w:rsidRPr="008B628A" w:rsidRDefault="00725B2F" w:rsidP="00D4341F">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Līdz ar to ir secināms, ka Latvijai reizi divos gados kā Plāna</w:t>
      </w:r>
      <w:r w:rsidR="007E257A" w:rsidRPr="008B628A">
        <w:rPr>
          <w:rFonts w:ascii="Times New Roman" w:hAnsi="Times New Roman" w:cs="Times New Roman"/>
          <w:lang w:eastAsia="lv-LV"/>
        </w:rPr>
        <w:t xml:space="preserve"> izpildes progresa novērtējums ir jāiesniedz vismaz 3</w:t>
      </w:r>
      <w:r w:rsidR="005F59CE" w:rsidRPr="008B628A">
        <w:rPr>
          <w:rFonts w:ascii="Times New Roman" w:hAnsi="Times New Roman" w:cs="Times New Roman"/>
          <w:lang w:eastAsia="lv-LV"/>
        </w:rPr>
        <w:t xml:space="preserve"> savstarpēji pilnībā saistīti</w:t>
      </w:r>
      <w:r w:rsidR="007E257A" w:rsidRPr="008B628A">
        <w:rPr>
          <w:rFonts w:ascii="Times New Roman" w:hAnsi="Times New Roman" w:cs="Times New Roman"/>
          <w:lang w:eastAsia="lv-LV"/>
        </w:rPr>
        <w:t xml:space="preserve"> ziņojumi, no kuriem viens aptver visas Plāna dimensijas, bet 2 attieca</w:t>
      </w:r>
      <w:r w:rsidR="005F59CE" w:rsidRPr="008B628A">
        <w:rPr>
          <w:rFonts w:ascii="Times New Roman" w:hAnsi="Times New Roman" w:cs="Times New Roman"/>
          <w:lang w:eastAsia="lv-LV"/>
        </w:rPr>
        <w:t>s uz dekarbonizācijas dimensiju, un visos 3 ziņojumos ir jāizmanto vienādi statistikas dati, pieņēmumi un jā</w:t>
      </w:r>
      <w:r w:rsidR="005F42DD" w:rsidRPr="008B628A">
        <w:rPr>
          <w:rFonts w:ascii="Times New Roman" w:hAnsi="Times New Roman" w:cs="Times New Roman"/>
          <w:lang w:eastAsia="lv-LV"/>
        </w:rPr>
        <w:t>a</w:t>
      </w:r>
      <w:r w:rsidR="005F59CE" w:rsidRPr="008B628A">
        <w:rPr>
          <w:rFonts w:ascii="Times New Roman" w:hAnsi="Times New Roman" w:cs="Times New Roman"/>
          <w:lang w:eastAsia="lv-LV"/>
        </w:rPr>
        <w:t>nalizē vienādas rīcībpolitikas un pasākumi.</w:t>
      </w:r>
    </w:p>
    <w:p w14:paraId="59C7D523" w14:textId="7D2A2B75" w:rsidR="000912A9" w:rsidRPr="008B628A" w:rsidRDefault="000912A9"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EnS pārvaldības regulas priekšlikumā iekļauto uzraudzības un ziņošanas nosacījumu īstenošanai Latvijā būs nepieciešams veikt būtiskas izmaiņas gan likumdošanas ietvarā</w:t>
      </w:r>
      <w:r w:rsidR="00104895" w:rsidRPr="008B628A">
        <w:rPr>
          <w:rFonts w:ascii="Times New Roman" w:hAnsi="Times New Roman" w:cs="Times New Roman"/>
          <w:lang w:eastAsia="lv-LV"/>
        </w:rPr>
        <w:t>, gan institucionālās kapacitātes jautājumos.</w:t>
      </w:r>
    </w:p>
    <w:p w14:paraId="55D2303F" w14:textId="499C8B69" w:rsidR="00104895" w:rsidRPr="008B628A" w:rsidRDefault="00104895"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EnS pārval</w:t>
      </w:r>
      <w:r w:rsidR="00C5555D" w:rsidRPr="008B628A">
        <w:rPr>
          <w:rFonts w:ascii="Times New Roman" w:hAnsi="Times New Roman" w:cs="Times New Roman"/>
          <w:lang w:eastAsia="lv-LV"/>
        </w:rPr>
        <w:t>d</w:t>
      </w:r>
      <w:r w:rsidRPr="008B628A">
        <w:rPr>
          <w:rFonts w:ascii="Times New Roman" w:hAnsi="Times New Roman" w:cs="Times New Roman"/>
          <w:lang w:eastAsia="lv-LV"/>
        </w:rPr>
        <w:t>ības regulas priekšlikumā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6F0294C9" w14:textId="278270B1" w:rsidR="00104895" w:rsidRPr="008B628A" w:rsidRDefault="00104895"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lastRenderedPageBreak/>
        <w:t>Šobrīd likumā “Par piesārņojumu” un Ministru kabineta 2017.gada 12.decembra noteikumi Nr.737 “Siltumnīcefekta gāzu inventarizācijas un prognožu sagatavošanas nacionālās sistēmas izveidošanas un uzturēšanas noteikumi” ir noteikti nosacījumi SEG emisiju un CO</w:t>
      </w:r>
      <w:r w:rsidRPr="008B628A">
        <w:rPr>
          <w:rFonts w:ascii="Times New Roman" w:hAnsi="Times New Roman" w:cs="Times New Roman"/>
          <w:vertAlign w:val="subscript"/>
          <w:lang w:eastAsia="lv-LV"/>
        </w:rPr>
        <w:t>2</w:t>
      </w:r>
      <w:r w:rsidRPr="008B628A">
        <w:rPr>
          <w:rFonts w:ascii="Times New Roman" w:hAnsi="Times New Roman" w:cs="Times New Roman"/>
          <w:lang w:eastAsia="lv-LV"/>
        </w:rPr>
        <w:t xml:space="preserve"> piesaistes mērķu progresa novērtējumam un divgadu ziņojumiem par progresa izpildi – ziņojums par politiku, pasākumiem un prognozēm</w:t>
      </w:r>
      <w:r w:rsidR="009F58FF" w:rsidRPr="008B628A">
        <w:rPr>
          <w:rFonts w:ascii="Times New Roman" w:hAnsi="Times New Roman" w:cs="Times New Roman"/>
          <w:lang w:eastAsia="lv-LV"/>
        </w:rPr>
        <w:t xml:space="preserve"> un ir noteikta siltumnīcefekta gāzu inventarizācijas nacionālā sistēma</w:t>
      </w:r>
      <w:r w:rsidRPr="008B628A">
        <w:rPr>
          <w:rFonts w:ascii="Times New Roman" w:hAnsi="Times New Roman" w:cs="Times New Roman"/>
          <w:lang w:eastAsia="lv-LV"/>
        </w:rPr>
        <w:t xml:space="preserve"> </w:t>
      </w:r>
      <w:r w:rsidR="009F58FF" w:rsidRPr="008B628A">
        <w:rPr>
          <w:rFonts w:ascii="Times New Roman" w:hAnsi="Times New Roman" w:cs="Times New Roman"/>
          <w:lang w:eastAsia="lv-LV"/>
        </w:rPr>
        <w:t>un s</w:t>
      </w:r>
      <w:r w:rsidRPr="008B628A">
        <w:rPr>
          <w:rFonts w:ascii="Times New Roman" w:hAnsi="Times New Roman" w:cs="Times New Roman"/>
          <w:lang w:eastAsia="lv-LV"/>
        </w:rPr>
        <w:t>iltumnīcefekta gāzu prognožu sagatavošanas nacionālā sistēma</w:t>
      </w:r>
      <w:r w:rsidR="00CA14C4" w:rsidRPr="008B628A">
        <w:rPr>
          <w:rFonts w:ascii="Times New Roman" w:hAnsi="Times New Roman" w:cs="Times New Roman"/>
          <w:lang w:eastAsia="lv-LV"/>
        </w:rPr>
        <w:t>.</w:t>
      </w:r>
    </w:p>
    <w:p w14:paraId="5CBFE179" w14:textId="21B7684A" w:rsidR="009323FC" w:rsidRPr="008B628A" w:rsidRDefault="00CA14C4"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Kvalitatīvai integrētās uzraudzības un ziņošanas sistēmas īstenošanai ir nepieciešams noteikt vienu</w:t>
      </w:r>
      <w:r w:rsidRPr="008B628A">
        <w:rPr>
          <w:rFonts w:ascii="Times New Roman" w:eastAsia="Times New Roman" w:hAnsi="Times New Roman"/>
          <w:color w:val="000000"/>
          <w:szCs w:val="24"/>
          <w:lang w:eastAsia="lv-LV"/>
        </w:rPr>
        <w:t xml:space="preserve"> tiešās valsts pārvaldes iestādi – ministrijas, pakļautībā vai padotībā esošu atsevišķu kompetento iestādi, kas veiks integrēt</w:t>
      </w:r>
      <w:r w:rsidR="003E0E27" w:rsidRPr="008B628A">
        <w:rPr>
          <w:rFonts w:ascii="Times New Roman" w:eastAsia="Times New Roman" w:hAnsi="Times New Roman"/>
          <w:color w:val="000000"/>
          <w:szCs w:val="24"/>
          <w:lang w:eastAsia="lv-LV"/>
        </w:rPr>
        <w:t xml:space="preserve">ajai ziņošanai nepieciešamo </w:t>
      </w:r>
      <w:r w:rsidRPr="008B628A">
        <w:rPr>
          <w:rFonts w:ascii="Times New Roman" w:eastAsia="Times New Roman" w:hAnsi="Times New Roman"/>
          <w:color w:val="000000"/>
          <w:szCs w:val="24"/>
          <w:lang w:eastAsia="lv-LV"/>
        </w:rPr>
        <w:t>monitoringu</w:t>
      </w:r>
      <w:r w:rsidR="003E0E27" w:rsidRPr="008B628A">
        <w:rPr>
          <w:rFonts w:ascii="Times New Roman" w:eastAsia="Times New Roman" w:hAnsi="Times New Roman"/>
          <w:color w:val="000000"/>
          <w:szCs w:val="24"/>
          <w:lang w:eastAsia="lv-LV"/>
        </w:rPr>
        <w:t>, informāciju un datu apkopojumu un analīzi</w:t>
      </w:r>
      <w:r w:rsidRPr="008B628A">
        <w:rPr>
          <w:rFonts w:ascii="Times New Roman" w:eastAsia="Times New Roman" w:hAnsi="Times New Roman"/>
          <w:color w:val="000000"/>
          <w:szCs w:val="24"/>
          <w:lang w:eastAsia="lv-LV"/>
        </w:rPr>
        <w:t>.</w:t>
      </w:r>
      <w:r w:rsidR="0084577B" w:rsidRPr="008B628A">
        <w:rPr>
          <w:rFonts w:ascii="Times New Roman" w:hAnsi="Times New Roman"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0084577B" w:rsidRPr="008B628A">
        <w:rPr>
          <w:rFonts w:ascii="Times New Roman" w:hAnsi="Times New Roman" w:cs="Times New Roman"/>
          <w:vertAlign w:val="subscript"/>
          <w:lang w:eastAsia="lv-LV"/>
        </w:rPr>
        <w:t>2</w:t>
      </w:r>
      <w:r w:rsidR="0084577B" w:rsidRPr="008B628A">
        <w:rPr>
          <w:rFonts w:ascii="Times New Roman" w:hAnsi="Times New Roman" w:cs="Times New Roman"/>
          <w:lang w:eastAsia="lv-LV"/>
        </w:rPr>
        <w:t xml:space="preserve"> piesaistes nosacījumiem.</w:t>
      </w:r>
      <w:r w:rsidR="00015093" w:rsidRPr="008B628A">
        <w:rPr>
          <w:rFonts w:ascii="Times New Roman" w:hAnsi="Times New Roman" w:cs="Times New Roman"/>
          <w:lang w:eastAsia="lv-LV"/>
        </w:rPr>
        <w:t xml:space="preserve"> </w:t>
      </w:r>
      <w:r w:rsidR="009323FC" w:rsidRPr="008B628A">
        <w:rPr>
          <w:rFonts w:ascii="Times New Roman" w:hAnsi="Times New Roman" w:cs="Times New Roman"/>
          <w:lang w:eastAsia="lv-LV"/>
        </w:rPr>
        <w:t>Savukārt, ja šī iestāde pati nevarēs nodrošināt nepieciešamo kādu datu monitoringu vai šo datu monitorings jau tiek veikts, tad minētā iestāde būs tā, kas šo datus saņems, apstrādās un iekļaus integrētajā ziņojumā.</w:t>
      </w:r>
    </w:p>
    <w:p w14:paraId="6AA152DF" w14:textId="4B40D5B8" w:rsidR="00015093" w:rsidRPr="008B628A" w:rsidRDefault="00015093" w:rsidP="00706C8A">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CC66EB" w14:textId="0843E38F" w:rsidR="00104B56" w:rsidRDefault="00A7615B" w:rsidP="00706C8A">
      <w:pPr>
        <w:spacing w:before="120" w:after="120" w:line="240" w:lineRule="auto"/>
        <w:jc w:val="both"/>
        <w:rPr>
          <w:rFonts w:ascii="Times New Roman" w:eastAsia="Times New Roman" w:hAnsi="Times New Roman"/>
          <w:szCs w:val="24"/>
          <w:lang w:eastAsia="lv-LV"/>
        </w:rPr>
      </w:pPr>
      <w:r w:rsidRPr="008B628A">
        <w:rPr>
          <w:rFonts w:ascii="Times New Roman" w:eastAsia="Times New Roman" w:hAnsi="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00A4201E" w:rsidRPr="008B628A">
        <w:rPr>
          <w:rFonts w:ascii="Times New Roman" w:eastAsia="Times New Roman" w:hAnsi="Times New Roman"/>
          <w:szCs w:val="24"/>
          <w:lang w:eastAsia="lv-LV"/>
        </w:rPr>
        <w:t xml:space="preserve"> </w:t>
      </w:r>
      <w:r w:rsidR="003E0E27" w:rsidRPr="008B628A">
        <w:rPr>
          <w:rFonts w:ascii="Times New Roman" w:eastAsia="Times New Roman" w:hAnsi="Times New Roman"/>
          <w:szCs w:val="24"/>
          <w:lang w:eastAsia="lv-LV"/>
        </w:rPr>
        <w:t>L</w:t>
      </w:r>
      <w:r w:rsidR="00A4201E" w:rsidRPr="008B628A">
        <w:rPr>
          <w:rFonts w:ascii="Times New Roman" w:eastAsia="Times New Roman" w:hAnsi="Times New Roman"/>
          <w:szCs w:val="24"/>
          <w:lang w:eastAsia="lv-LV"/>
        </w:rPr>
        <w:t>ai minimizētu ietekmi uz valsts budžetu un nebūtu jāveido jaunas iestādes, ir iespējams noteikt darbojošos ministriju pakļautībā vai padotībā esošu iestādi kā galveno kompetento iestādi integrēto monitoringa un ziņošanas sistēmas funkciju veikšanai.</w:t>
      </w:r>
    </w:p>
    <w:p w14:paraId="247215C9" w14:textId="31721537" w:rsidR="00686B2A" w:rsidRPr="008B628A" w:rsidRDefault="00686B2A" w:rsidP="005470F3">
      <w:pPr>
        <w:spacing w:before="120" w:after="120" w:line="240" w:lineRule="auto"/>
        <w:jc w:val="both"/>
        <w:rPr>
          <w:rFonts w:ascii="Times New Roman" w:hAnsi="Times New Roman" w:cs="Times New Roman"/>
          <w:lang w:eastAsia="lv-LV"/>
        </w:rPr>
      </w:pPr>
      <w:r>
        <w:rPr>
          <w:rFonts w:ascii="Times New Roman" w:hAnsi="Times New Roman" w:cs="Times New Roman"/>
          <w:lang w:eastAsia="lv-LV"/>
        </w:rPr>
        <w:t xml:space="preserve">Šobrīd </w:t>
      </w:r>
      <w:r w:rsidRPr="00686B2A">
        <w:rPr>
          <w:rFonts w:ascii="Times New Roman" w:hAnsi="Times New Roman" w:cs="Times New Roman"/>
          <w:lang w:eastAsia="lv-LV"/>
        </w:rPr>
        <w:t>Ekonomikas ministrija</w:t>
      </w:r>
      <w:r>
        <w:rPr>
          <w:rFonts w:ascii="Times New Roman" w:hAnsi="Times New Roman" w:cs="Times New Roman"/>
          <w:lang w:eastAsia="lv-LV"/>
        </w:rPr>
        <w:t xml:space="preserve"> </w:t>
      </w:r>
      <w:r w:rsidRPr="00686B2A">
        <w:rPr>
          <w:rFonts w:ascii="Times New Roman" w:hAnsi="Times New Roman" w:cs="Times New Roman"/>
          <w:lang w:eastAsia="lv-LV"/>
        </w:rPr>
        <w:t>2018.-2020.gad</w:t>
      </w:r>
      <w:r>
        <w:rPr>
          <w:rFonts w:ascii="Times New Roman" w:hAnsi="Times New Roman" w:cs="Times New Roman"/>
          <w:lang w:eastAsia="lv-LV"/>
        </w:rPr>
        <w:t>ā katru gadu Energoefektivitātes likuma ietvaros noteikto funkciju izpildei, kas ir neliela daļa no noteiktā i</w:t>
      </w:r>
      <w:r w:rsidRPr="00686B2A">
        <w:rPr>
          <w:rFonts w:ascii="Times New Roman" w:hAnsi="Times New Roman" w:cs="Times New Roman"/>
          <w:lang w:eastAsia="lv-LV"/>
        </w:rPr>
        <w:t>ntegrētā</w:t>
      </w:r>
      <w:r>
        <w:rPr>
          <w:rFonts w:ascii="Times New Roman" w:hAnsi="Times New Roman" w:cs="Times New Roman"/>
          <w:lang w:eastAsia="lv-LV"/>
        </w:rPr>
        <w:t>s</w:t>
      </w:r>
      <w:r w:rsidRPr="00686B2A">
        <w:rPr>
          <w:rFonts w:ascii="Times New Roman" w:hAnsi="Times New Roman" w:cs="Times New Roman"/>
          <w:lang w:eastAsia="lv-LV"/>
        </w:rPr>
        <w:t xml:space="preserve"> ziņošana</w:t>
      </w:r>
      <w:r>
        <w:rPr>
          <w:rFonts w:ascii="Times New Roman" w:hAnsi="Times New Roman" w:cs="Times New Roman"/>
          <w:lang w:eastAsia="lv-LV"/>
        </w:rPr>
        <w:t>s</w:t>
      </w:r>
      <w:r w:rsidRPr="00686B2A">
        <w:rPr>
          <w:rFonts w:ascii="Times New Roman" w:hAnsi="Times New Roman" w:cs="Times New Roman"/>
          <w:lang w:eastAsia="lv-LV"/>
        </w:rPr>
        <w:t xml:space="preserve"> par energoefektivitāti</w:t>
      </w:r>
      <w:r>
        <w:rPr>
          <w:rFonts w:ascii="Times New Roman" w:hAnsi="Times New Roman" w:cs="Times New Roman"/>
          <w:lang w:eastAsia="lv-LV"/>
        </w:rPr>
        <w:t xml:space="preserve"> pienākuma,  ir plānojusi novirzīt apmēram 103,6 tūkst EUR</w:t>
      </w:r>
      <w:r w:rsidRPr="00686B2A">
        <w:rPr>
          <w:rFonts w:ascii="Times New Roman" w:hAnsi="Times New Roman" w:cs="Times New Roman"/>
          <w:lang w:eastAsia="lv-LV"/>
        </w:rPr>
        <w:t>.</w:t>
      </w:r>
    </w:p>
    <w:p w14:paraId="357DB2C6" w14:textId="13FC1037" w:rsidR="00104B56" w:rsidRDefault="00686B2A" w:rsidP="00706C8A">
      <w:pPr>
        <w:spacing w:before="120" w:after="120" w:line="240" w:lineRule="auto"/>
        <w:jc w:val="both"/>
        <w:rPr>
          <w:rFonts w:ascii="Times New Roman" w:hAnsi="Times New Roman" w:cs="Times New Roman"/>
        </w:rPr>
      </w:pPr>
      <w:r w:rsidRPr="008B628A">
        <w:rPr>
          <w:rFonts w:ascii="Times New Roman" w:hAnsi="Times New Roman" w:cs="Times New Roman"/>
          <w:lang w:eastAsia="lv-LV"/>
        </w:rPr>
        <w:t>2018.-2021.g. periodam ietvaros VPP “Enerģētika” projektu konkursa “Valsts ilgtermiņa enerģētikas politikas plānošanas analītiskais ietvars” ietvaros cita starpā ir noteikts uzdevums “</w:t>
      </w:r>
      <w:r w:rsidRPr="008B628A">
        <w:rPr>
          <w:rFonts w:ascii="Times New Roman" w:hAnsi="Times New Roman" w:cs="Times New Roman"/>
        </w:rPr>
        <w:t>nodrošināt valsts enerģētikas politikas īstenošanas rezultātu monitoringa sistēmas izstrādi atbilstoši ES normatīvo aktu prasībām, identificējot nepieciešamos monitoringa datus un indikatorus, kā arī veicot to interpretācijas.”.</w:t>
      </w:r>
      <w:r>
        <w:rPr>
          <w:rFonts w:ascii="Times New Roman" w:hAnsi="Times New Roman" w:cs="Times New Roman"/>
        </w:rPr>
        <w:t xml:space="preserve"> Tādējādi pēc šī projektu konkursa pilnīgas īstenošanas būs zināma integrētā progresa ziņojuma sagatavošanai nepieciešamā monitoringa sistēma, tai skaitā institucionālā sistēma, informācija un datu plūsmu ieguves sistēma, un būs iespējams veikt izvērtējumu integrētā progresa ziņojuma sagatavošanai nepieciešamās sistēmas izveides un uzturēšanas izmaksas (administratīvās un atbilstības izmaksas), kā arī nepieciešamās darbības šīs sistēmas ieviešanai.</w:t>
      </w:r>
    </w:p>
    <w:p w14:paraId="63168E81" w14:textId="0DBEA90D" w:rsidR="00686B2A" w:rsidRDefault="00686B2A" w:rsidP="00706C8A">
      <w:pPr>
        <w:spacing w:before="120" w:after="120" w:line="240" w:lineRule="auto"/>
        <w:jc w:val="both"/>
        <w:rPr>
          <w:rFonts w:ascii="Times New Roman" w:hAnsi="Times New Roman" w:cs="Times New Roman"/>
        </w:rPr>
      </w:pPr>
    </w:p>
    <w:p w14:paraId="1245E497" w14:textId="32402D4C" w:rsidR="00686B2A" w:rsidRPr="007B4F8F" w:rsidRDefault="00686B2A" w:rsidP="00706C8A">
      <w:pPr>
        <w:spacing w:before="120" w:after="120" w:line="240" w:lineRule="auto"/>
        <w:jc w:val="both"/>
        <w:rPr>
          <w:rFonts w:ascii="Times New Roman" w:hAnsi="Times New Roman" w:cs="Times New Roman"/>
        </w:rPr>
        <w:sectPr w:rsidR="00686B2A" w:rsidRPr="007B4F8F" w:rsidSect="00AC0085">
          <w:pgSz w:w="11906" w:h="16838" w:code="9"/>
          <w:pgMar w:top="1134" w:right="851" w:bottom="1134" w:left="1701" w:header="567" w:footer="567" w:gutter="0"/>
          <w:cols w:space="708"/>
          <w:titlePg/>
          <w:docGrid w:linePitch="360"/>
        </w:sectPr>
      </w:pPr>
    </w:p>
    <w:p w14:paraId="023FED9A" w14:textId="48669437" w:rsidR="00104B56" w:rsidRPr="008B628A" w:rsidRDefault="00104B56" w:rsidP="00104B56">
      <w:pPr>
        <w:pStyle w:val="Heading1"/>
        <w:rPr>
          <w:rFonts w:eastAsia="Times New Roman"/>
          <w:lang w:eastAsia="lv-LV"/>
        </w:rPr>
      </w:pPr>
      <w:bookmarkStart w:id="461" w:name="_Toc527529605"/>
      <w:bookmarkStart w:id="462" w:name="_Toc532910024"/>
      <w:r w:rsidRPr="008B628A">
        <w:rPr>
          <w:rFonts w:eastAsia="Times New Roman"/>
          <w:lang w:eastAsia="lv-LV"/>
        </w:rPr>
        <w:lastRenderedPageBreak/>
        <w:t>PLĀNA PĀRSKATS UN ATJAUNINĀŠANA</w:t>
      </w:r>
      <w:bookmarkEnd w:id="461"/>
      <w:bookmarkEnd w:id="462"/>
    </w:p>
    <w:p w14:paraId="2E7F3804" w14:textId="3509B5AC" w:rsidR="00104B56" w:rsidRPr="008B628A" w:rsidRDefault="00104B56" w:rsidP="0082166A">
      <w:pPr>
        <w:spacing w:before="120" w:after="120" w:line="240" w:lineRule="auto"/>
        <w:jc w:val="both"/>
        <w:rPr>
          <w:rFonts w:ascii="Times New Roman" w:eastAsia="Calibri" w:hAnsi="Times New Roman" w:cs="Times New Roman"/>
        </w:rPr>
      </w:pPr>
      <w:r w:rsidRPr="008B628A">
        <w:rPr>
          <w:rFonts w:ascii="Times New Roman" w:hAnsi="Times New Roman" w:cs="Times New Roman"/>
          <w:lang w:eastAsia="lv-LV"/>
        </w:rPr>
        <w:t xml:space="preserve">Saskaņā ar </w:t>
      </w:r>
      <w:r w:rsidRPr="008B628A">
        <w:rPr>
          <w:rFonts w:ascii="Times New Roman" w:eastAsia="Calibri" w:hAnsi="Times New Roman" w:cs="Times New Roman"/>
        </w:rPr>
        <w:t xml:space="preserve">EnS pārvaldības regulas priekšlikumu Latvijai līdz 2023.gada 30.jūnija ir jāsagatavo un jāiesniedz </w:t>
      </w:r>
      <w:r w:rsidR="00E94F3D" w:rsidRPr="008B628A">
        <w:rPr>
          <w:rFonts w:ascii="Times New Roman" w:eastAsia="Calibri" w:hAnsi="Times New Roman" w:cs="Times New Roman"/>
        </w:rPr>
        <w:t>EK</w:t>
      </w:r>
      <w:r w:rsidRPr="008B628A">
        <w:rPr>
          <w:rFonts w:ascii="Times New Roman" w:eastAsia="Calibri" w:hAnsi="Times New Roman" w:cs="Times New Roman"/>
        </w:rPr>
        <w:t xml:space="preserve"> Plāna atjauninājuma projektu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r w:rsidR="00B9124B" w:rsidRPr="008B628A">
        <w:rPr>
          <w:rFonts w:ascii="Times New Roman" w:eastAsia="Calibri" w:hAnsi="Times New Roman" w:cs="Times New Roman"/>
        </w:rPr>
        <w:t>.</w:t>
      </w:r>
    </w:p>
    <w:p w14:paraId="2FBFBA73" w14:textId="727614F8" w:rsidR="00A00DE1" w:rsidRPr="008B628A" w:rsidRDefault="00A00DE1" w:rsidP="0082166A">
      <w:pPr>
        <w:spacing w:before="120" w:after="120" w:line="240" w:lineRule="auto"/>
        <w:jc w:val="both"/>
        <w:rPr>
          <w:rFonts w:ascii="Times New Roman" w:hAnsi="Times New Roman" w:cs="Times New Roman"/>
        </w:rPr>
      </w:pPr>
      <w:r w:rsidRPr="008B628A">
        <w:rPr>
          <w:rFonts w:ascii="Times New Roman" w:eastAsia="Calibri" w:hAnsi="Times New Roman" w:cs="Times New Roman"/>
        </w:rPr>
        <w:t xml:space="preserve">Saskaņā ar EnS pārvaldības regulas priekšlikumu Plānā iekļautos nacionālos mērķrādītājus, mērķus vai piedāvātos devumus Plāna atjauninājumā var mainīt tā, lai tie </w:t>
      </w:r>
      <w:r w:rsidR="00A44AC4" w:rsidRPr="008B628A">
        <w:rPr>
          <w:rFonts w:ascii="Times New Roman" w:eastAsia="Calibri" w:hAnsi="Times New Roman" w:cs="Times New Roman"/>
        </w:rPr>
        <w:t>būtu līdzvērtīgi</w:t>
      </w:r>
      <w:r w:rsidRPr="008B628A">
        <w:rPr>
          <w:rFonts w:ascii="Times New Roman" w:eastAsia="Calibri" w:hAnsi="Times New Roman" w:cs="Times New Roman"/>
        </w:rPr>
        <w:t xml:space="preserve"> vai kļūtu vērienīgāk</w:t>
      </w:r>
      <w:r w:rsidR="00A44AC4" w:rsidRPr="008B628A">
        <w:rPr>
          <w:rFonts w:ascii="Times New Roman" w:eastAsia="Calibri" w:hAnsi="Times New Roman" w:cs="Times New Roman"/>
        </w:rPr>
        <w:t>i</w:t>
      </w:r>
      <w:r w:rsidRPr="008B628A">
        <w:rPr>
          <w:rFonts w:ascii="Times New Roman" w:eastAsia="Calibri" w:hAnsi="Times New Roman" w:cs="Times New Roman"/>
        </w:rPr>
        <w:t xml:space="preserve"> par </w:t>
      </w:r>
      <w:r w:rsidR="00A44AC4" w:rsidRPr="008B628A">
        <w:rPr>
          <w:rFonts w:ascii="Times New Roman" w:eastAsia="Calibri" w:hAnsi="Times New Roman" w:cs="Times New Roman"/>
        </w:rPr>
        <w:t>tiem</w:t>
      </w:r>
      <w:r w:rsidRPr="008B628A">
        <w:rPr>
          <w:rFonts w:ascii="Times New Roman" w:eastAsia="Calibri" w:hAnsi="Times New Roman" w:cs="Times New Roman"/>
        </w:rPr>
        <w:t>, kas izvirzīt</w:t>
      </w:r>
      <w:r w:rsidR="00A44AC4" w:rsidRPr="008B628A">
        <w:rPr>
          <w:rFonts w:ascii="Times New Roman" w:eastAsia="Calibri" w:hAnsi="Times New Roman" w:cs="Times New Roman"/>
        </w:rPr>
        <w:t>i Plāna spēkā esošajā Plānā.</w:t>
      </w:r>
      <w:r w:rsidR="0082166A" w:rsidRPr="008B628A">
        <w:rPr>
          <w:rFonts w:ascii="Times New Roman" w:eastAsia="Calibri" w:hAnsi="Times New Roman" w:cs="Times New Roman"/>
        </w:rPr>
        <w:t xml:space="preserve"> Plāna atjauninājumā ir jāņem vērā jaunākie EK ieteikumi un ieteikumi, kas Latvijai ir sniegti </w:t>
      </w:r>
      <w:r w:rsidR="0082166A" w:rsidRPr="008B628A">
        <w:rPr>
          <w:rFonts w:ascii="Times New Roman" w:hAnsi="Times New Roman" w:cs="Times New Roman"/>
        </w:rPr>
        <w:t xml:space="preserve">Eiropas pusgada kontekstā, kā arī pienākumus, kas izriet no Parīzes nolīguma. </w:t>
      </w:r>
      <w:r w:rsidR="00A44AC4" w:rsidRPr="008B628A">
        <w:rPr>
          <w:rFonts w:ascii="Times New Roman" w:eastAsia="Calibri" w:hAnsi="Times New Roman" w:cs="Times New Roman"/>
        </w:rPr>
        <w:t xml:space="preserve">Saskaņā ar EnS pārvaldības regulas priekšlikumu Plāna atjauninājumā ir jācenšas </w:t>
      </w:r>
      <w:r w:rsidRPr="008B628A">
        <w:rPr>
          <w:rFonts w:ascii="Times New Roman" w:hAnsi="Times New Roman" w:cs="Times New Roman"/>
        </w:rPr>
        <w:t>mazināt jebkādu negatīvu ietekmi uz vidi, kas konstatēta integrētajā ziņošanā</w:t>
      </w:r>
      <w:r w:rsidR="00A44AC4" w:rsidRPr="008B628A">
        <w:rPr>
          <w:rFonts w:ascii="Times New Roman" w:hAnsi="Times New Roman" w:cs="Times New Roman"/>
        </w:rPr>
        <w:t>, kas noteikta Plāna 6. nodaļā</w:t>
      </w:r>
      <w:r w:rsidRPr="008B628A">
        <w:rPr>
          <w:rFonts w:ascii="Times New Roman" w:hAnsi="Times New Roman" w:cs="Times New Roman"/>
        </w:rPr>
        <w:t>.</w:t>
      </w:r>
    </w:p>
    <w:p w14:paraId="7A23C4AB" w14:textId="4B140692" w:rsidR="00A00DE1" w:rsidRPr="008B628A" w:rsidRDefault="0082166A" w:rsidP="0082166A">
      <w:pPr>
        <w:spacing w:before="120" w:after="120" w:line="240" w:lineRule="auto"/>
        <w:jc w:val="both"/>
        <w:rPr>
          <w:rFonts w:ascii="Times New Roman" w:hAnsi="Times New Roman" w:cs="Times New Roman"/>
          <w:bCs/>
        </w:rPr>
      </w:pPr>
      <w:r w:rsidRPr="008B628A">
        <w:rPr>
          <w:rFonts w:ascii="Times New Roman" w:hAnsi="Times New Roman" w:cs="Times New Roman"/>
        </w:rPr>
        <w:t xml:space="preserve">Tomēr Latvija var pati jebkurā laikā </w:t>
      </w:r>
      <w:r w:rsidR="00A00DE1" w:rsidRPr="008B628A">
        <w:rPr>
          <w:rFonts w:ascii="Times New Roman" w:hAnsi="Times New Roman" w:cs="Times New Roman"/>
          <w:bCs/>
        </w:rPr>
        <w:t xml:space="preserve">izdarīt izmaiņas un pielāgojumus nacionālajās rīcībpolitikās, kas izklāstītas </w:t>
      </w:r>
      <w:r w:rsidRPr="008B628A">
        <w:rPr>
          <w:rFonts w:ascii="Times New Roman" w:hAnsi="Times New Roman" w:cs="Times New Roman"/>
          <w:bCs/>
        </w:rPr>
        <w:t>Plānā</w:t>
      </w:r>
      <w:r w:rsidR="00A00DE1" w:rsidRPr="008B628A">
        <w:rPr>
          <w:rFonts w:ascii="Times New Roman" w:hAnsi="Times New Roman" w:cs="Times New Roman"/>
          <w:bCs/>
        </w:rPr>
        <w:t xml:space="preserve"> ar no</w:t>
      </w:r>
      <w:r w:rsidRPr="008B628A">
        <w:rPr>
          <w:rFonts w:ascii="Times New Roman" w:hAnsi="Times New Roman" w:cs="Times New Roman"/>
          <w:bCs/>
        </w:rPr>
        <w:t>sacījumi, ka š</w:t>
      </w:r>
      <w:r w:rsidR="00A00DE1" w:rsidRPr="008B628A">
        <w:rPr>
          <w:rFonts w:ascii="Times New Roman" w:hAnsi="Times New Roman" w:cs="Times New Roman"/>
          <w:bCs/>
        </w:rPr>
        <w:t xml:space="preserve">ādas izmaiņas un pielāgojumi tiek iekļauti </w:t>
      </w:r>
      <w:r w:rsidRPr="008B628A">
        <w:rPr>
          <w:rFonts w:ascii="Times New Roman" w:hAnsi="Times New Roman" w:cs="Times New Roman"/>
          <w:bCs/>
        </w:rPr>
        <w:t xml:space="preserve">šī Plāna 6.nodaļā </w:t>
      </w:r>
      <w:r w:rsidR="00A00DE1" w:rsidRPr="008B628A">
        <w:rPr>
          <w:rFonts w:ascii="Times New Roman" w:hAnsi="Times New Roman" w:cs="Times New Roman"/>
          <w:bCs/>
        </w:rPr>
        <w:t>minētajā integrētajā ziņojumā.</w:t>
      </w:r>
    </w:p>
    <w:p w14:paraId="5A4CF431" w14:textId="4452F9FA" w:rsidR="00C9124A" w:rsidRPr="008B628A" w:rsidRDefault="005A2B35" w:rsidP="00BB6277">
      <w:pPr>
        <w:spacing w:before="120" w:after="120" w:line="240" w:lineRule="auto"/>
        <w:jc w:val="both"/>
        <w:rPr>
          <w:rFonts w:ascii="Times New Roman" w:hAnsi="Times New Roman" w:cs="Times New Roman"/>
          <w:bCs/>
        </w:rPr>
      </w:pPr>
      <w:r>
        <w:rPr>
          <w:rFonts w:ascii="Times New Roman" w:hAnsi="Times New Roman" w:cs="Times New Roman"/>
          <w:bCs/>
        </w:rPr>
        <w:t xml:space="preserve">Ir </w:t>
      </w:r>
      <w:r w:rsidR="00C9124A" w:rsidRPr="008B628A">
        <w:rPr>
          <w:rFonts w:ascii="Times New Roman" w:hAnsi="Times New Roman" w:cs="Times New Roman"/>
          <w:bCs/>
        </w:rPr>
        <w:t>saprotams, ka Plāna aktualizācija</w:t>
      </w:r>
      <w:r w:rsidR="00BB6277" w:rsidRPr="008B628A">
        <w:rPr>
          <w:rFonts w:ascii="Times New Roman" w:hAnsi="Times New Roman" w:cs="Times New Roman"/>
          <w:bCs/>
        </w:rPr>
        <w:t xml:space="preserve">, iespējams periodā pirms </w:t>
      </w:r>
      <w:r w:rsidR="00BB6277" w:rsidRPr="008B628A">
        <w:rPr>
          <w:rFonts w:ascii="Times New Roman" w:eastAsia="Calibri" w:hAnsi="Times New Roman" w:cs="Times New Roman"/>
        </w:rPr>
        <w:t xml:space="preserve">EnS pārvaldības regulas priekšlikumā noteiktā pirmā aktualizācijas termiņa, </w:t>
      </w:r>
      <w:r w:rsidR="00C9124A" w:rsidRPr="008B628A">
        <w:rPr>
          <w:rFonts w:ascii="Times New Roman" w:hAnsi="Times New Roman" w:cs="Times New Roman"/>
          <w:bCs/>
        </w:rPr>
        <w:t>būs nepieciešama, jo:</w:t>
      </w:r>
    </w:p>
    <w:p w14:paraId="2C9F465D" w14:textId="61E686DC" w:rsidR="00C9124A" w:rsidRPr="008B628A" w:rsidRDefault="00C9124A"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 xml:space="preserve">Šobrīd ir uzsākts darbs pie </w:t>
      </w:r>
      <w:r w:rsidR="002F3FE2" w:rsidRPr="008B628A">
        <w:rPr>
          <w:rFonts w:ascii="Times New Roman" w:hAnsi="Times New Roman" w:cs="Times New Roman"/>
        </w:rPr>
        <w:t xml:space="preserve">Latvijas Nacionālā attīstības plāna </w:t>
      </w:r>
      <w:r w:rsidR="00C02FB0" w:rsidRPr="008B628A">
        <w:rPr>
          <w:rFonts w:ascii="Times New Roman" w:hAnsi="Times New Roman" w:cs="Times New Roman"/>
        </w:rPr>
        <w:t>periodam pēc 2021.gada izstrādes;</w:t>
      </w:r>
    </w:p>
    <w:p w14:paraId="63D08F58" w14:textId="5D4150D3" w:rsidR="00C02FB0" w:rsidRPr="008B628A" w:rsidRDefault="00C02FB0"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Drīzumā tiks uzsākts darbs pie nepieciešamās informācijas un datu sagatavošanas jaunajai Latvijas nacionālajai reformu programmai periodam pēc 2021.gada;</w:t>
      </w:r>
    </w:p>
    <w:p w14:paraId="2DC6983A" w14:textId="3E4CCBCE" w:rsidR="00C02FB0" w:rsidRPr="008B628A" w:rsidRDefault="00C02FB0"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 xml:space="preserve">Tuvākajos 2 gados pēc Plāna apstiprināšanas Latvijā un </w:t>
      </w:r>
      <w:r w:rsidR="00E94F3D" w:rsidRPr="008B628A">
        <w:rPr>
          <w:rFonts w:ascii="Times New Roman" w:hAnsi="Times New Roman" w:cs="Times New Roman"/>
        </w:rPr>
        <w:t>EK</w:t>
      </w:r>
      <w:r w:rsidRPr="008B628A">
        <w:rPr>
          <w:rFonts w:ascii="Times New Roman" w:hAnsi="Times New Roman" w:cs="Times New Roman"/>
        </w:rPr>
        <w:t xml:space="preserve"> periodam pēc 2021.gada tiks izstrādāti vairāki </w:t>
      </w:r>
      <w:r w:rsidR="00BB6277" w:rsidRPr="008B628A">
        <w:rPr>
          <w:rFonts w:ascii="Times New Roman" w:hAnsi="Times New Roman" w:cs="Times New Roman"/>
        </w:rPr>
        <w:t xml:space="preserve">jauni vai aktualizēti esošie </w:t>
      </w:r>
      <w:r w:rsidRPr="008B628A">
        <w:rPr>
          <w:rFonts w:ascii="Times New Roman" w:hAnsi="Times New Roman" w:cs="Times New Roman"/>
        </w:rPr>
        <w:t xml:space="preserve">nozaru plānošanas dokumenti, tai skaitā Vides politikas pamatnostādnes, </w:t>
      </w:r>
      <w:r w:rsidR="00E64D83">
        <w:rPr>
          <w:rFonts w:ascii="Times New Roman" w:hAnsi="Times New Roman" w:cs="Times New Roman"/>
        </w:rPr>
        <w:t>Kopējās lauksaimniecības politikas stratēģiskais plāns</w:t>
      </w:r>
      <w:r w:rsidR="00BB6277" w:rsidRPr="008B628A">
        <w:rPr>
          <w:rFonts w:ascii="Times New Roman" w:hAnsi="Times New Roman" w:cs="Times New Roman"/>
        </w:rPr>
        <w:t>,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7F10D21A" w14:textId="208109AE" w:rsidR="00BB6277" w:rsidRPr="008B628A" w:rsidRDefault="00BB6277" w:rsidP="00E2463F">
      <w:pPr>
        <w:spacing w:before="120" w:after="120" w:line="240" w:lineRule="auto"/>
        <w:ind w:left="397" w:hanging="397"/>
        <w:jc w:val="both"/>
        <w:rPr>
          <w:rFonts w:ascii="Times New Roman" w:hAnsi="Times New Roman" w:cs="Times New Roman"/>
        </w:rPr>
      </w:pPr>
    </w:p>
    <w:p w14:paraId="79061C7F"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lang w:eastAsia="lv-LV"/>
        </w:rPr>
        <w:sectPr w:rsidR="00AB46B9" w:rsidRPr="007356BB" w:rsidSect="004B0661">
          <w:pgSz w:w="11906" w:h="16838" w:code="9"/>
          <w:pgMar w:top="1418" w:right="851" w:bottom="1134" w:left="1701" w:header="567" w:footer="567" w:gutter="0"/>
          <w:cols w:space="708"/>
          <w:titlePg/>
          <w:docGrid w:linePitch="360"/>
        </w:sectPr>
      </w:pPr>
    </w:p>
    <w:p w14:paraId="45DF00C8"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bookmarkStart w:id="463" w:name="_Toc531909876"/>
      <w:bookmarkStart w:id="464" w:name="_Hlk528739254"/>
      <w:bookmarkStart w:id="465" w:name="_Hlk531909511"/>
      <w:r w:rsidRPr="007356BB">
        <w:rPr>
          <w:rFonts w:ascii="Times New Roman" w:hAnsi="Times New Roman" w:cs="Times New Roman"/>
        </w:rPr>
        <w:lastRenderedPageBreak/>
        <w:t>Latvijas Nacionālais enerģētikas un klimata plāns 2030. gadam</w:t>
      </w:r>
      <w:bookmarkEnd w:id="463"/>
    </w:p>
    <w:p w14:paraId="172DDC9D" w14:textId="77777777" w:rsidR="00AB46B9" w:rsidRPr="007356BB" w:rsidRDefault="00AB46B9" w:rsidP="005B0D53">
      <w:pPr>
        <w:pStyle w:val="Heading1"/>
        <w:numPr>
          <w:ilvl w:val="0"/>
          <w:numId w:val="0"/>
        </w:numPr>
        <w:ind w:left="709"/>
        <w:jc w:val="right"/>
      </w:pPr>
      <w:bookmarkStart w:id="466" w:name="_Toc531909877"/>
      <w:bookmarkStart w:id="467" w:name="_Toc532910025"/>
      <w:r w:rsidRPr="007356BB">
        <w:t>1.pielikums</w:t>
      </w:r>
      <w:bookmarkEnd w:id="466"/>
      <w:bookmarkEnd w:id="467"/>
    </w:p>
    <w:p w14:paraId="55753259" w14:textId="77777777" w:rsidR="00AB46B9" w:rsidRPr="00DB3E12" w:rsidRDefault="00AB46B9" w:rsidP="005B0D53">
      <w:pPr>
        <w:pStyle w:val="Heading1"/>
        <w:numPr>
          <w:ilvl w:val="0"/>
          <w:numId w:val="0"/>
        </w:numPr>
        <w:ind w:left="709"/>
        <w:jc w:val="center"/>
        <w:rPr>
          <w:szCs w:val="28"/>
        </w:rPr>
      </w:pPr>
      <w:bookmarkStart w:id="468" w:name="_Toc531909878"/>
      <w:bookmarkStart w:id="469" w:name="_Toc532910026"/>
      <w:bookmarkEnd w:id="464"/>
      <w:bookmarkEnd w:id="465"/>
      <w:r w:rsidRPr="00DB3E12">
        <w:rPr>
          <w:szCs w:val="28"/>
        </w:rPr>
        <w:t>Plāna rīcībpolitikas konteksta sasaiste ar Latvijā spēkā esošajiem politikas plānošanas dokumentiem un tajos noteiktajiem politikas virzieniem</w:t>
      </w:r>
      <w:bookmarkEnd w:id="468"/>
      <w:bookmarkEnd w:id="469"/>
    </w:p>
    <w:tbl>
      <w:tblPr>
        <w:tblW w:w="14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40"/>
        <w:gridCol w:w="2122"/>
        <w:gridCol w:w="2930"/>
        <w:gridCol w:w="7162"/>
      </w:tblGrid>
      <w:tr w:rsidR="00AB46B9" w:rsidRPr="008B628A" w14:paraId="22401B94" w14:textId="77777777" w:rsidTr="00B35DDE">
        <w:trPr>
          <w:tblHeader/>
        </w:trPr>
        <w:tc>
          <w:tcPr>
            <w:tcW w:w="2240" w:type="dxa"/>
            <w:shd w:val="clear" w:color="auto" w:fill="F2F2F2" w:themeFill="background1" w:themeFillShade="F2"/>
            <w:vAlign w:val="center"/>
          </w:tcPr>
          <w:p w14:paraId="0C196CD5"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Politikas plānošanas dokuments</w:t>
            </w:r>
          </w:p>
        </w:tc>
        <w:tc>
          <w:tcPr>
            <w:tcW w:w="2122" w:type="dxa"/>
            <w:shd w:val="clear" w:color="auto" w:fill="F2F2F2" w:themeFill="background1" w:themeFillShade="F2"/>
            <w:vAlign w:val="center"/>
          </w:tcPr>
          <w:p w14:paraId="4670DB74"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Aptvertā Plāna dimensija</w:t>
            </w:r>
          </w:p>
        </w:tc>
        <w:tc>
          <w:tcPr>
            <w:tcW w:w="2930" w:type="dxa"/>
            <w:shd w:val="clear" w:color="auto" w:fill="F2F2F2" w:themeFill="background1" w:themeFillShade="F2"/>
            <w:vAlign w:val="center"/>
          </w:tcPr>
          <w:p w14:paraId="729FD431"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Noteiktais mērķis</w:t>
            </w:r>
          </w:p>
        </w:tc>
        <w:tc>
          <w:tcPr>
            <w:tcW w:w="7162" w:type="dxa"/>
            <w:shd w:val="clear" w:color="auto" w:fill="F2F2F2" w:themeFill="background1" w:themeFillShade="F2"/>
            <w:vAlign w:val="center"/>
          </w:tcPr>
          <w:p w14:paraId="789C60F2"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Spēkā esošajā politikas plānošanas dokumentā noteiktie politikas galvenie virzieni konkrētā politikas plānošanas dokumentā noteiktā mērķa sasniegšanai</w:t>
            </w:r>
          </w:p>
        </w:tc>
      </w:tr>
      <w:tr w:rsidR="00AB46B9" w:rsidRPr="008B628A" w14:paraId="3B82EDB0" w14:textId="77777777" w:rsidTr="00B35DDE">
        <w:tc>
          <w:tcPr>
            <w:tcW w:w="2240" w:type="dxa"/>
            <w:vMerge w:val="restart"/>
          </w:tcPr>
          <w:p w14:paraId="106EB364"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LIAS2030</w:t>
            </w:r>
            <w:r w:rsidRPr="008B628A">
              <w:rPr>
                <w:rStyle w:val="FootnoteReference"/>
                <w:b/>
                <w:sz w:val="22"/>
              </w:rPr>
              <w:footnoteReference w:id="252"/>
            </w:r>
          </w:p>
        </w:tc>
        <w:tc>
          <w:tcPr>
            <w:tcW w:w="2122" w:type="dxa"/>
          </w:tcPr>
          <w:p w14:paraId="01E4C6C5"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40AA12F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57A64554"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20BE8FD1"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49A018C5"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5) pētniecība, inovācijas un konkurētspēja</w:t>
            </w:r>
          </w:p>
        </w:tc>
        <w:tc>
          <w:tcPr>
            <w:tcW w:w="2930" w:type="dxa"/>
          </w:tcPr>
          <w:p w14:paraId="1DE3213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Nodrošināt valsts enerģētisko neatkarību, palielinot energoresursu pašnodrošinājumu un integrējoties ES enerģijas tīklos.</w:t>
            </w:r>
          </w:p>
        </w:tc>
        <w:tc>
          <w:tcPr>
            <w:tcW w:w="7162" w:type="dxa"/>
          </w:tcPr>
          <w:p w14:paraId="2D7E5183" w14:textId="77777777" w:rsidR="00AB46B9" w:rsidRPr="008B628A" w:rsidRDefault="00AB46B9" w:rsidP="00B35DDE">
            <w:pPr>
              <w:pStyle w:val="Default"/>
              <w:spacing w:before="60" w:after="60"/>
              <w:rPr>
                <w:sz w:val="22"/>
                <w:szCs w:val="22"/>
              </w:rPr>
            </w:pPr>
            <w:r w:rsidRPr="008B628A">
              <w:rPr>
                <w:b/>
                <w:bCs/>
                <w:sz w:val="22"/>
                <w:szCs w:val="22"/>
              </w:rPr>
              <w:t xml:space="preserve">Enerģētiskā drošība un neatkarība </w:t>
            </w:r>
          </w:p>
          <w:p w14:paraId="6209E535"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 xml:space="preserve">Enerģijas starpsavienojumu izveide. </w:t>
            </w:r>
          </w:p>
          <w:p w14:paraId="30AAFB3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Energoapgādes jaudu palielināšana un reģionalizācija</w:t>
            </w:r>
            <w:r w:rsidRPr="008B628A">
              <w:rPr>
                <w:sz w:val="22"/>
                <w:szCs w:val="22"/>
              </w:rPr>
              <w:t>.</w:t>
            </w:r>
          </w:p>
          <w:p w14:paraId="2A7377F2"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Izkliedētās un mikrolīmeņa enerģijas ražošana.</w:t>
            </w:r>
          </w:p>
          <w:p w14:paraId="2ACD3D08" w14:textId="77777777" w:rsidR="00AB46B9" w:rsidRPr="008B628A" w:rsidRDefault="00AB46B9" w:rsidP="00B35DDE">
            <w:pPr>
              <w:pStyle w:val="Default"/>
              <w:spacing w:before="60" w:after="60"/>
              <w:ind w:left="284" w:hanging="284"/>
              <w:rPr>
                <w:sz w:val="22"/>
                <w:szCs w:val="22"/>
              </w:rPr>
            </w:pPr>
          </w:p>
          <w:p w14:paraId="1EAB25A3" w14:textId="77777777" w:rsidR="00AB46B9" w:rsidRPr="008B628A" w:rsidRDefault="00AB46B9" w:rsidP="00B35DDE">
            <w:pPr>
              <w:pStyle w:val="Default"/>
              <w:spacing w:before="60" w:after="60"/>
              <w:rPr>
                <w:sz w:val="22"/>
                <w:szCs w:val="22"/>
              </w:rPr>
            </w:pPr>
            <w:r w:rsidRPr="008B628A">
              <w:rPr>
                <w:b/>
                <w:bCs/>
                <w:sz w:val="22"/>
                <w:szCs w:val="22"/>
              </w:rPr>
              <w:t xml:space="preserve">AER izmantošana un inovācija </w:t>
            </w:r>
          </w:p>
          <w:p w14:paraId="26CFADDE"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Biomasas izmantošana siltumenerģijas un elektroenerģijas ražošanai</w:t>
            </w:r>
            <w:r w:rsidRPr="008B628A">
              <w:rPr>
                <w:sz w:val="22"/>
                <w:szCs w:val="22"/>
              </w:rPr>
              <w:t xml:space="preserve">.  </w:t>
            </w:r>
          </w:p>
          <w:p w14:paraId="084DD45A"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Salmu, niedru un kūdras izmantošana siltumapgādē. </w:t>
            </w:r>
          </w:p>
          <w:p w14:paraId="2CD824BD"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Vēja enerģijas potenciāla attīstīšana.</w:t>
            </w:r>
          </w:p>
          <w:p w14:paraId="7B06284B"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 xml:space="preserve">Saules enerģijas attīstīšana. </w:t>
            </w:r>
          </w:p>
          <w:p w14:paraId="3644C9F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Hidroenerģijas izmantošana. </w:t>
            </w:r>
          </w:p>
          <w:p w14:paraId="080416C5"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Biogāzes resursu izmantošana.</w:t>
            </w:r>
            <w:r w:rsidRPr="008B628A">
              <w:rPr>
                <w:sz w:val="22"/>
                <w:szCs w:val="22"/>
              </w:rPr>
              <w:t xml:space="preserve"> </w:t>
            </w:r>
          </w:p>
          <w:p w14:paraId="1FEA2C7B"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Biodegvielas izmantošana.</w:t>
            </w:r>
            <w:r w:rsidRPr="008B628A">
              <w:rPr>
                <w:sz w:val="22"/>
                <w:szCs w:val="22"/>
              </w:rPr>
              <w:t xml:space="preserve"> </w:t>
            </w:r>
          </w:p>
          <w:p w14:paraId="75B924E6"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Pētniecības iestāžu un uzņēmumu sadarbība AER jomā. </w:t>
            </w:r>
          </w:p>
          <w:p w14:paraId="5AC990ED" w14:textId="77777777" w:rsidR="00AB46B9" w:rsidRPr="008B628A" w:rsidRDefault="00AB46B9" w:rsidP="00B35DDE">
            <w:pPr>
              <w:pStyle w:val="Default"/>
              <w:spacing w:before="60" w:after="60"/>
              <w:ind w:left="284" w:hanging="284"/>
              <w:rPr>
                <w:b/>
                <w:bCs/>
                <w:sz w:val="22"/>
                <w:szCs w:val="22"/>
              </w:rPr>
            </w:pPr>
          </w:p>
          <w:p w14:paraId="01C9BA3B" w14:textId="77777777" w:rsidR="00AB46B9" w:rsidRPr="008B628A" w:rsidRDefault="00AB46B9" w:rsidP="00B35DDE">
            <w:pPr>
              <w:pStyle w:val="Default"/>
              <w:spacing w:before="60" w:after="60"/>
              <w:rPr>
                <w:sz w:val="22"/>
                <w:szCs w:val="22"/>
              </w:rPr>
            </w:pPr>
            <w:r w:rsidRPr="008B628A">
              <w:rPr>
                <w:b/>
                <w:bCs/>
                <w:sz w:val="22"/>
                <w:szCs w:val="22"/>
              </w:rPr>
              <w:t xml:space="preserve">Energoefektivitātes pasākumi </w:t>
            </w:r>
          </w:p>
          <w:p w14:paraId="32FA0CA7"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Daudzdzīvokļu māju renovācija un siltumenerģijas patēriņa samazināšana</w:t>
            </w:r>
            <w:r w:rsidRPr="008B628A">
              <w:rPr>
                <w:sz w:val="22"/>
                <w:szCs w:val="22"/>
              </w:rPr>
              <w:t xml:space="preserve">. </w:t>
            </w:r>
          </w:p>
          <w:p w14:paraId="3DC4246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Siltumenerģijas ražošanas efektivitātes paaugstināšana</w:t>
            </w:r>
            <w:r w:rsidRPr="008B628A">
              <w:rPr>
                <w:sz w:val="22"/>
                <w:szCs w:val="22"/>
              </w:rPr>
              <w:t xml:space="preserve">. </w:t>
            </w:r>
          </w:p>
          <w:p w14:paraId="28B4998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Investīcijas centralizētajās siltumapgādes sistēmās. </w:t>
            </w:r>
          </w:p>
          <w:p w14:paraId="33735073"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Elektroenerģijas pārvades un sadales zudumu samazināšana. </w:t>
            </w:r>
          </w:p>
          <w:p w14:paraId="69E21548"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lastRenderedPageBreak/>
              <w:t xml:space="preserve">Elektriskā transporta energoefektivitātes uzlabošana un sasaiste ar citiem transporta veidiem. </w:t>
            </w:r>
          </w:p>
          <w:p w14:paraId="21574C44"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Energoefektīvs ielu apgaismojums pilsētās. </w:t>
            </w:r>
          </w:p>
          <w:p w14:paraId="2D158FC4"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Racionāla enerģijas patēriņa veicināšana mājsaimniecībās</w:t>
            </w:r>
            <w:r w:rsidRPr="008B628A">
              <w:rPr>
                <w:sz w:val="22"/>
                <w:szCs w:val="22"/>
              </w:rPr>
              <w:t xml:space="preserve">. </w:t>
            </w:r>
          </w:p>
          <w:p w14:paraId="2F391B7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Valsts un pašvaldību iepirkumu konkursu kritērijos būtu jāiekļauj energoefektivitāte un produktu dzīves cikla analīzes apsvērumi. </w:t>
            </w:r>
          </w:p>
          <w:p w14:paraId="3CE03040" w14:textId="77777777" w:rsidR="00AB46B9" w:rsidRPr="008B628A" w:rsidRDefault="00AB46B9" w:rsidP="00B35DDE">
            <w:pPr>
              <w:pStyle w:val="Default"/>
              <w:spacing w:before="60" w:after="60"/>
              <w:ind w:left="284" w:hanging="284"/>
              <w:rPr>
                <w:sz w:val="22"/>
                <w:szCs w:val="22"/>
              </w:rPr>
            </w:pPr>
          </w:p>
          <w:p w14:paraId="7FA7D6AC" w14:textId="77777777" w:rsidR="00AB46B9" w:rsidRPr="008B628A" w:rsidRDefault="00AB46B9" w:rsidP="00B35DDE">
            <w:pPr>
              <w:pStyle w:val="Default"/>
              <w:spacing w:before="60" w:after="60"/>
              <w:rPr>
                <w:sz w:val="22"/>
                <w:szCs w:val="22"/>
              </w:rPr>
            </w:pPr>
            <w:r w:rsidRPr="008B628A">
              <w:rPr>
                <w:b/>
                <w:bCs/>
                <w:sz w:val="22"/>
                <w:szCs w:val="22"/>
              </w:rPr>
              <w:t xml:space="preserve">Energoefektīva un videi draudzīga transporta politika </w:t>
            </w:r>
          </w:p>
          <w:p w14:paraId="64E37300"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Videi draudzīgs transports</w:t>
            </w:r>
            <w:r w:rsidRPr="008B628A">
              <w:rPr>
                <w:sz w:val="22"/>
                <w:szCs w:val="22"/>
              </w:rPr>
              <w:t xml:space="preserve">. </w:t>
            </w:r>
          </w:p>
          <w:p w14:paraId="04BFC436"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Platjoslas interneta un e-pakalpojumu pieejamība.</w:t>
            </w:r>
          </w:p>
          <w:p w14:paraId="4BD6ECB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Gājēju ielas, veloceliņi un zaļie koridori.</w:t>
            </w:r>
            <w:r w:rsidRPr="008B628A">
              <w:rPr>
                <w:sz w:val="22"/>
                <w:szCs w:val="22"/>
              </w:rPr>
              <w:t xml:space="preserve"> </w:t>
            </w:r>
          </w:p>
          <w:p w14:paraId="0F44CD14" w14:textId="77777777" w:rsidR="00AB46B9" w:rsidRPr="008B628A" w:rsidRDefault="00AB46B9" w:rsidP="00B35DDE">
            <w:pPr>
              <w:pStyle w:val="Default"/>
              <w:spacing w:before="60" w:after="60"/>
              <w:rPr>
                <w:sz w:val="22"/>
                <w:szCs w:val="22"/>
              </w:rPr>
            </w:pPr>
          </w:p>
          <w:p w14:paraId="5D7C3781" w14:textId="77777777" w:rsidR="00AB46B9" w:rsidRPr="008B628A" w:rsidRDefault="00AB46B9" w:rsidP="00B35DDE">
            <w:pPr>
              <w:pStyle w:val="Default"/>
              <w:spacing w:before="60" w:after="60"/>
              <w:rPr>
                <w:b/>
                <w:sz w:val="22"/>
                <w:szCs w:val="22"/>
              </w:rPr>
            </w:pPr>
            <w:r w:rsidRPr="008B628A">
              <w:rPr>
                <w:b/>
                <w:sz w:val="22"/>
                <w:szCs w:val="22"/>
              </w:rPr>
              <w:t>Inovatīva un ekoefektīva ekonomika</w:t>
            </w:r>
          </w:p>
          <w:p w14:paraId="016A3565"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Lietotāju virzītu inovāciju aģentūra.</w:t>
            </w:r>
          </w:p>
          <w:p w14:paraId="628F1BE3"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Zinātnieku un uzņēmumu sadarbība pētniecības jomā.</w:t>
            </w:r>
          </w:p>
          <w:p w14:paraId="272DB626"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Sadarbības inovāciju programma.</w:t>
            </w:r>
          </w:p>
          <w:p w14:paraId="1FB19737"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Pētniecības un attīstības internacionalizācija.</w:t>
            </w:r>
          </w:p>
          <w:p w14:paraId="7B02D06D"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Klasteru attīstības programma.</w:t>
            </w:r>
          </w:p>
          <w:p w14:paraId="3602CF53"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Atvērtā koda programmatūras iepirkums.</w:t>
            </w:r>
          </w:p>
          <w:p w14:paraId="24D86205"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Intelektuālā īpašuma digitāla licencēšana.</w:t>
            </w:r>
          </w:p>
          <w:p w14:paraId="1C351C81"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Pētniecisko institūciju starptautiskās konkurētspējas stiprināšana.</w:t>
            </w:r>
          </w:p>
          <w:p w14:paraId="3C934DAA"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Riska kapitāla nozare.</w:t>
            </w:r>
          </w:p>
          <w:p w14:paraId="7A175390"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P&amp;A nodokļu kredīts.</w:t>
            </w:r>
          </w:p>
          <w:p w14:paraId="6BEDAF39"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Pensiju fondu inovāciju obligācijas.</w:t>
            </w:r>
          </w:p>
          <w:p w14:paraId="18681DE9"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Inovāciju iepirkuma programma.</w:t>
            </w:r>
          </w:p>
          <w:p w14:paraId="6D504564" w14:textId="77777777" w:rsidR="00AB46B9" w:rsidRPr="008B628A" w:rsidRDefault="00AB46B9" w:rsidP="00283C85">
            <w:pPr>
              <w:pStyle w:val="ListParagraph"/>
              <w:numPr>
                <w:ilvl w:val="0"/>
                <w:numId w:val="73"/>
              </w:numPr>
              <w:spacing w:before="60" w:after="60" w:line="240" w:lineRule="auto"/>
              <w:ind w:left="284" w:hanging="284"/>
              <w:contextualSpacing w:val="0"/>
              <w:rPr>
                <w:b/>
                <w:sz w:val="22"/>
              </w:rPr>
            </w:pPr>
            <w:r w:rsidRPr="008B628A">
              <w:rPr>
                <w:rFonts w:ascii="Times New Roman" w:hAnsi="Times New Roman" w:cs="Times New Roman"/>
                <w:iCs/>
                <w:sz w:val="22"/>
              </w:rPr>
              <w:t>Inovāciju galvojumi.</w:t>
            </w:r>
          </w:p>
        </w:tc>
      </w:tr>
      <w:tr w:rsidR="00AB46B9" w:rsidRPr="008B628A" w14:paraId="56115333" w14:textId="77777777" w:rsidTr="00B35DDE">
        <w:tc>
          <w:tcPr>
            <w:tcW w:w="2240" w:type="dxa"/>
            <w:vMerge/>
          </w:tcPr>
          <w:p w14:paraId="28E54331" w14:textId="77777777" w:rsidR="00AB46B9" w:rsidRPr="008B628A" w:rsidRDefault="00AB46B9" w:rsidP="00B35DDE">
            <w:pPr>
              <w:spacing w:before="60" w:after="60" w:line="240" w:lineRule="auto"/>
              <w:jc w:val="both"/>
              <w:rPr>
                <w:rFonts w:ascii="Times New Roman" w:hAnsi="Times New Roman" w:cs="Times New Roman"/>
                <w:sz w:val="22"/>
              </w:rPr>
            </w:pPr>
          </w:p>
        </w:tc>
        <w:tc>
          <w:tcPr>
            <w:tcW w:w="2122" w:type="dxa"/>
          </w:tcPr>
          <w:p w14:paraId="7E4F88D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dekarbonizācija</w:t>
            </w:r>
          </w:p>
        </w:tc>
        <w:tc>
          <w:tcPr>
            <w:tcW w:w="2930" w:type="dxa"/>
          </w:tcPr>
          <w:p w14:paraId="4C426CDD" w14:textId="77777777" w:rsidR="00AB46B9" w:rsidRPr="008B628A" w:rsidRDefault="00AB46B9" w:rsidP="00283C85">
            <w:pPr>
              <w:pStyle w:val="ListParagraph"/>
              <w:numPr>
                <w:ilvl w:val="0"/>
                <w:numId w:val="74"/>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Būt ES līderei dabas kapitāla saglabāšanā, palielināšanā un ilgtspējīgā izmantošanā</w:t>
            </w:r>
          </w:p>
          <w:p w14:paraId="2B572763" w14:textId="77777777" w:rsidR="00AB46B9" w:rsidRPr="008B628A" w:rsidRDefault="00AB46B9" w:rsidP="00283C85">
            <w:pPr>
              <w:pStyle w:val="ListParagraph"/>
              <w:numPr>
                <w:ilvl w:val="0"/>
                <w:numId w:val="74"/>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Saglabāt Latvijas savdabību – daudzveidīgo dabas un kultūras mantojumu, tipiskās un unikālās ainavas.</w:t>
            </w:r>
          </w:p>
        </w:tc>
        <w:tc>
          <w:tcPr>
            <w:tcW w:w="7162" w:type="dxa"/>
          </w:tcPr>
          <w:p w14:paraId="498ED748"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Zaļā budžeta reforma. </w:t>
            </w:r>
          </w:p>
          <w:p w14:paraId="07E5C897"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Nodokļi un nodevas par dabas kapitāla izmantošanu </w:t>
            </w:r>
          </w:p>
          <w:p w14:paraId="154CFDC2"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Inovāciju programma </w:t>
            </w:r>
          </w:p>
          <w:p w14:paraId="45AFB818"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Pārmaiņas rosinošas vides izglītības programmas </w:t>
            </w:r>
          </w:p>
          <w:p w14:paraId="0136488A"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Mežrūpniecības pārstrukturēšana</w:t>
            </w:r>
            <w:r w:rsidRPr="008B628A">
              <w:rPr>
                <w:rFonts w:ascii="Times New Roman" w:hAnsi="Times New Roman" w:cs="Times New Roman"/>
                <w:sz w:val="22"/>
              </w:rPr>
              <w:t xml:space="preserve">. </w:t>
            </w:r>
          </w:p>
          <w:p w14:paraId="1A89851E"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Agrārās industrijas attīstība </w:t>
            </w:r>
          </w:p>
          <w:p w14:paraId="28C47F1B"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Inovācijas un modernizācija lauksaimniecībā </w:t>
            </w:r>
          </w:p>
          <w:p w14:paraId="154CFE6C"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Zemes ielabošanas pasākumi </w:t>
            </w:r>
          </w:p>
          <w:p w14:paraId="45C93BA1"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Biomasas izmantošana </w:t>
            </w:r>
          </w:p>
          <w:p w14:paraId="54016F22"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Zemju apmežošana</w:t>
            </w:r>
            <w:r w:rsidRPr="008B628A">
              <w:rPr>
                <w:rFonts w:ascii="Times New Roman" w:hAnsi="Times New Roman" w:cs="Times New Roman"/>
                <w:sz w:val="22"/>
              </w:rPr>
              <w:t xml:space="preserve">. </w:t>
            </w:r>
          </w:p>
        </w:tc>
      </w:tr>
      <w:tr w:rsidR="00AB46B9" w:rsidRPr="008B628A" w14:paraId="47936F15" w14:textId="77777777" w:rsidTr="00B35DDE">
        <w:tc>
          <w:tcPr>
            <w:tcW w:w="2240" w:type="dxa"/>
            <w:vMerge w:val="restart"/>
          </w:tcPr>
          <w:p w14:paraId="71B1C24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LNAP2020</w:t>
            </w:r>
            <w:r w:rsidRPr="008B628A">
              <w:rPr>
                <w:rStyle w:val="FootnoteReference"/>
                <w:b/>
                <w:sz w:val="22"/>
              </w:rPr>
              <w:footnoteReference w:id="253"/>
            </w:r>
          </w:p>
        </w:tc>
        <w:tc>
          <w:tcPr>
            <w:tcW w:w="2122" w:type="dxa"/>
          </w:tcPr>
          <w:p w14:paraId="4B7766E6"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3EB3737A"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0561D4B5" w14:textId="77777777" w:rsidR="00AB46B9" w:rsidRPr="008B628A" w:rsidRDefault="00AB46B9" w:rsidP="00B35DDE">
            <w:pPr>
              <w:spacing w:before="60" w:after="60" w:line="240" w:lineRule="auto"/>
              <w:jc w:val="both"/>
              <w:rPr>
                <w:rFonts w:ascii="Times New Roman" w:hAnsi="Times New Roman" w:cs="Times New Roman"/>
                <w:sz w:val="22"/>
              </w:rPr>
            </w:pPr>
          </w:p>
        </w:tc>
        <w:tc>
          <w:tcPr>
            <w:tcW w:w="2930" w:type="dxa"/>
          </w:tcPr>
          <w:p w14:paraId="1529DEE0" w14:textId="1A5B48F9" w:rsidR="00AB46B9" w:rsidRPr="008B628A" w:rsidRDefault="00AB46B9" w:rsidP="00B35DDE">
            <w:pPr>
              <w:pStyle w:val="Default"/>
              <w:spacing w:before="60" w:after="60"/>
              <w:jc w:val="both"/>
              <w:rPr>
                <w:iCs/>
                <w:sz w:val="22"/>
                <w:szCs w:val="22"/>
              </w:rPr>
            </w:pPr>
            <w:r w:rsidRPr="008B628A">
              <w:rPr>
                <w:iCs/>
                <w:sz w:val="22"/>
                <w:szCs w:val="22"/>
              </w:rPr>
              <w:t xml:space="preserve">Nodrošināt tautas saimniecībai nepieciešamo energoresursu ilgtspējīgu izmantošanu, veicinot resursu tirgu pieejamību, sektoru energointensitātes un emisiju intensitātes samazināšanos un vietējo </w:t>
            </w:r>
            <w:r w:rsidR="00C432CC">
              <w:rPr>
                <w:iCs/>
                <w:sz w:val="22"/>
                <w:szCs w:val="22"/>
              </w:rPr>
              <w:t>AER</w:t>
            </w:r>
            <w:r w:rsidRPr="008B628A">
              <w:rPr>
                <w:iCs/>
                <w:sz w:val="22"/>
                <w:szCs w:val="22"/>
              </w:rPr>
              <w:t xml:space="preserve"> īpatsvara palielināšanos kopējā patērētajā apjomā, fokusējoties uz konkurētspējīgām enerģijas cenām</w:t>
            </w:r>
          </w:p>
        </w:tc>
        <w:tc>
          <w:tcPr>
            <w:tcW w:w="7162" w:type="dxa"/>
          </w:tcPr>
          <w:p w14:paraId="0257F6EB"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Pašvaldību energoplānu izstrāde, paredzot kompleksus pasākumus energoefektivitātes veicināšanai un pārejai uz AER; </w:t>
            </w:r>
          </w:p>
          <w:p w14:paraId="03A84A0D"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Energoefektivitātes programmas valsts un pašvaldību sabiedrisko ēku sektorā </w:t>
            </w:r>
          </w:p>
          <w:p w14:paraId="6A2D7C6F"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Atbalsta programmas dzīvojamo ēku energoefektivitātei un pārejai uz AER; </w:t>
            </w:r>
          </w:p>
          <w:p w14:paraId="6E0BA97F"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Atbalsts inovatīvu enerģētikas un energoefektivitātes tehnoloģiju projektiem </w:t>
            </w:r>
          </w:p>
          <w:p w14:paraId="50724F5E"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Atbalsta programmas pārejai uz AER transporta sektorā un nepieciešamās infrastruktūras nodrošināšana, atbalstot tikai tādus alternatīvos energoresursus, kas ir ekonomiski izdevīgi, kā arī atbalstot inovāciju, kuras rezultātā tiek sekmēta ekonomiski izdevīgu alternatīvo energoresursu izmantošana </w:t>
            </w:r>
          </w:p>
          <w:p w14:paraId="4C5BA815"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AER izmantošana enerģijas ražošanā, samazinot atkarību no fosilajiem energoresursiem, un energoefektivitātes veicināšana centralizētajā siltumapgādē </w:t>
            </w:r>
          </w:p>
          <w:p w14:paraId="734C0CC9"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Energoinfrastruktūras tīklu attīstība </w:t>
            </w:r>
          </w:p>
        </w:tc>
      </w:tr>
      <w:tr w:rsidR="00AB46B9" w:rsidRPr="008B628A" w14:paraId="00C3D871" w14:textId="77777777" w:rsidTr="00B35DDE">
        <w:tc>
          <w:tcPr>
            <w:tcW w:w="2240" w:type="dxa"/>
            <w:vMerge/>
          </w:tcPr>
          <w:p w14:paraId="7E196067" w14:textId="77777777" w:rsidR="00AB46B9" w:rsidRPr="008B628A" w:rsidRDefault="00AB46B9" w:rsidP="00B35DDE">
            <w:pPr>
              <w:spacing w:before="60" w:after="60" w:line="240" w:lineRule="auto"/>
              <w:jc w:val="both"/>
              <w:rPr>
                <w:rFonts w:ascii="Times New Roman" w:hAnsi="Times New Roman" w:cs="Times New Roman"/>
                <w:sz w:val="22"/>
              </w:rPr>
            </w:pPr>
          </w:p>
        </w:tc>
        <w:tc>
          <w:tcPr>
            <w:tcW w:w="2122" w:type="dxa"/>
          </w:tcPr>
          <w:p w14:paraId="2E943F3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0849D4C2" w14:textId="77777777" w:rsidR="00AB46B9" w:rsidRPr="008B628A" w:rsidRDefault="00AB46B9" w:rsidP="00B35DDE">
            <w:pPr>
              <w:pStyle w:val="Default"/>
              <w:spacing w:before="60" w:after="60"/>
              <w:jc w:val="both"/>
              <w:rPr>
                <w:iCs/>
                <w:sz w:val="22"/>
                <w:szCs w:val="22"/>
              </w:rPr>
            </w:pPr>
            <w:r w:rsidRPr="008B628A">
              <w:rPr>
                <w:iCs/>
                <w:sz w:val="22"/>
                <w:szCs w:val="22"/>
              </w:rPr>
              <w:t>Saglabāt dabas kapitālu kā bāzi ilgtspējīgai ekonomiskajai izaugsmei un sekmēt tā ilgtspējīgu izmantošanu, mazinot dabas un cilvēka darbības radītos riskus vides kvalitātei</w:t>
            </w:r>
          </w:p>
        </w:tc>
        <w:tc>
          <w:tcPr>
            <w:tcW w:w="7162" w:type="dxa"/>
          </w:tcPr>
          <w:p w14:paraId="1373DDA9"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Stimulēt zemes un citu dabas resursu ilgtspējīgu izmantošanu un bioloģisko daudzveidību, pielietojot vidi saudzējošas tehnoloģijas </w:t>
            </w:r>
          </w:p>
          <w:p w14:paraId="5F0B654C"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Energoefektīvu un ekoloģiskas izcelsmes preču un pakalpojumu ("Zaļais publiskais iepirkums") plašāka nodrošināšana publiskajos iepirkumos </w:t>
            </w:r>
          </w:p>
          <w:p w14:paraId="533A0AB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Palielināt ūdenstilpju un lauksaimniecībā izmantojamās zemes izmantošanu pārtikas ražošanai, t.sk. uzlabojot publisko ūdens režīmu regulējošo infrastruktūru </w:t>
            </w:r>
          </w:p>
          <w:p w14:paraId="74B932B1"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Palielināt augsnes auglību un meža resursu vērtību, pēc iespējas mazinot ietekmi uz vidi un pielietojot vidi saudzējošas tehnoloģijas </w:t>
            </w:r>
          </w:p>
          <w:p w14:paraId="7FDA9CF1"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Atkritumu šķirošana un dalīti savākto atkritumu pārstrāde </w:t>
            </w:r>
          </w:p>
        </w:tc>
      </w:tr>
      <w:tr w:rsidR="00AB46B9" w:rsidRPr="008B628A" w14:paraId="31B80A14" w14:textId="77777777" w:rsidTr="00B35DDE">
        <w:tc>
          <w:tcPr>
            <w:tcW w:w="2240" w:type="dxa"/>
          </w:tcPr>
          <w:p w14:paraId="74532982"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LNRP2020</w:t>
            </w:r>
            <w:r w:rsidRPr="008B628A">
              <w:rPr>
                <w:rStyle w:val="FootnoteReference"/>
                <w:b/>
                <w:sz w:val="22"/>
              </w:rPr>
              <w:footnoteReference w:id="254"/>
            </w:r>
          </w:p>
        </w:tc>
        <w:tc>
          <w:tcPr>
            <w:tcW w:w="2122" w:type="dxa"/>
          </w:tcPr>
          <w:p w14:paraId="356C64DA"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1A65D18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4F248CE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p w14:paraId="483D3CE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4) Inovācijas, pētniecība un konkurētspēja</w:t>
            </w:r>
          </w:p>
        </w:tc>
        <w:tc>
          <w:tcPr>
            <w:tcW w:w="2930" w:type="dxa"/>
          </w:tcPr>
          <w:p w14:paraId="70552C7F" w14:textId="77777777" w:rsidR="00AB46B9" w:rsidRPr="008B628A" w:rsidRDefault="00AB46B9" w:rsidP="00283C85">
            <w:pPr>
              <w:pStyle w:val="Default"/>
              <w:numPr>
                <w:ilvl w:val="0"/>
                <w:numId w:val="75"/>
              </w:numPr>
              <w:spacing w:before="60" w:after="60"/>
              <w:ind w:left="227" w:hanging="227"/>
              <w:jc w:val="both"/>
              <w:rPr>
                <w:iCs/>
                <w:sz w:val="22"/>
                <w:szCs w:val="22"/>
              </w:rPr>
            </w:pPr>
            <w:r w:rsidRPr="008B628A">
              <w:rPr>
                <w:iCs/>
                <w:sz w:val="22"/>
                <w:szCs w:val="22"/>
              </w:rPr>
              <w:t>Uzņēmējdarbības vides uzlabošana, efektīva ES fondu izmantošana, uzņēmumu pieejas finansēm nodrošināšana ar mērķi atbalstīt produktīvās investīcijas</w:t>
            </w:r>
          </w:p>
          <w:p w14:paraId="0E98FD26" w14:textId="77777777" w:rsidR="00AB46B9" w:rsidRPr="008B628A" w:rsidRDefault="00AB46B9" w:rsidP="00283C85">
            <w:pPr>
              <w:pStyle w:val="Default"/>
              <w:numPr>
                <w:ilvl w:val="0"/>
                <w:numId w:val="75"/>
              </w:numPr>
              <w:spacing w:before="60" w:after="60"/>
              <w:ind w:left="227" w:hanging="227"/>
              <w:jc w:val="both"/>
              <w:rPr>
                <w:iCs/>
                <w:sz w:val="22"/>
                <w:szCs w:val="22"/>
              </w:rPr>
            </w:pPr>
            <w:r w:rsidRPr="008B628A">
              <w:rPr>
                <w:iCs/>
                <w:sz w:val="22"/>
                <w:szCs w:val="22"/>
              </w:rPr>
              <w:t>Sabalansētas tautsaimniecības attīstības nodrošināšana, veicinot tirgojamo nozaru attīstību un ceļot produktivitāti</w:t>
            </w:r>
          </w:p>
        </w:tc>
        <w:tc>
          <w:tcPr>
            <w:tcW w:w="7162" w:type="dxa"/>
          </w:tcPr>
          <w:p w14:paraId="1E345BC5" w14:textId="77777777" w:rsidR="00AB46B9" w:rsidRPr="008B628A" w:rsidRDefault="00AB46B9" w:rsidP="00B35DDE">
            <w:pPr>
              <w:pStyle w:val="Default"/>
              <w:spacing w:before="60" w:after="60"/>
              <w:jc w:val="both"/>
              <w:rPr>
                <w:b/>
                <w:iCs/>
                <w:sz w:val="22"/>
                <w:szCs w:val="22"/>
              </w:rPr>
            </w:pPr>
            <w:r w:rsidRPr="008B628A">
              <w:rPr>
                <w:b/>
                <w:iCs/>
                <w:sz w:val="22"/>
                <w:szCs w:val="22"/>
              </w:rPr>
              <w:t>Energoefektivitātes palielināšanas mērķis</w:t>
            </w:r>
          </w:p>
          <w:p w14:paraId="59B15A8C"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mājokļu siltināšana </w:t>
            </w:r>
          </w:p>
          <w:p w14:paraId="03EB9FBA"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sabiedriskās un ražošanas ēkās </w:t>
            </w:r>
          </w:p>
          <w:p w14:paraId="015B678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efektīvas apgaismojuma infrastruktūras ieviešana pašvaldību publiskajās teritorijās </w:t>
            </w:r>
          </w:p>
          <w:p w14:paraId="2A9E9DE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siltumenerģijas ražošanā </w:t>
            </w:r>
          </w:p>
          <w:p w14:paraId="221C58D3"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transporta sektorā </w:t>
            </w:r>
          </w:p>
          <w:p w14:paraId="34885495" w14:textId="77777777" w:rsidR="00AB46B9" w:rsidRPr="008B628A" w:rsidRDefault="00AB46B9" w:rsidP="00B35DDE">
            <w:pPr>
              <w:pStyle w:val="Default"/>
              <w:spacing w:before="60" w:after="60"/>
              <w:jc w:val="both"/>
              <w:rPr>
                <w:b/>
                <w:iCs/>
                <w:sz w:val="22"/>
                <w:szCs w:val="22"/>
              </w:rPr>
            </w:pPr>
            <w:r w:rsidRPr="008B628A">
              <w:rPr>
                <w:b/>
                <w:iCs/>
                <w:sz w:val="22"/>
                <w:szCs w:val="22"/>
              </w:rPr>
              <w:t>AE īpatsvara palielināšanas mērķis</w:t>
            </w:r>
          </w:p>
          <w:p w14:paraId="6D21A39E"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tiesiskās bāzes sakārtošana </w:t>
            </w:r>
          </w:p>
          <w:p w14:paraId="3E8ED188" w14:textId="77777777" w:rsidR="00AB46B9" w:rsidRPr="008B628A" w:rsidRDefault="00AB46B9" w:rsidP="00283C85">
            <w:pPr>
              <w:pStyle w:val="Default"/>
              <w:numPr>
                <w:ilvl w:val="0"/>
                <w:numId w:val="72"/>
              </w:numPr>
              <w:spacing w:before="60" w:after="60"/>
              <w:ind w:left="284" w:hanging="284"/>
              <w:jc w:val="both"/>
              <w:rPr>
                <w:iCs/>
                <w:sz w:val="22"/>
                <w:szCs w:val="22"/>
              </w:rPr>
            </w:pPr>
            <w:bookmarkStart w:id="470" w:name="OLE_LINK88"/>
            <w:r w:rsidRPr="008B628A">
              <w:rPr>
                <w:iCs/>
                <w:sz w:val="22"/>
                <w:szCs w:val="22"/>
              </w:rPr>
              <w:t xml:space="preserve">finanšu resursu pieejamības nodrošināšana atjaunojamās enerģijas ražošanai </w:t>
            </w:r>
            <w:bookmarkEnd w:id="470"/>
          </w:p>
          <w:p w14:paraId="08092AA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biodegvielas izmantošanas veicināšana transporta sektorā </w:t>
            </w:r>
          </w:p>
          <w:p w14:paraId="62B5C66B" w14:textId="77777777" w:rsidR="00AB46B9" w:rsidRPr="008B628A" w:rsidRDefault="00AB46B9" w:rsidP="00B35DDE">
            <w:pPr>
              <w:pStyle w:val="Default"/>
              <w:spacing w:before="60" w:after="60"/>
              <w:jc w:val="both"/>
              <w:rPr>
                <w:b/>
                <w:iCs/>
                <w:sz w:val="22"/>
                <w:szCs w:val="22"/>
              </w:rPr>
            </w:pPr>
            <w:r w:rsidRPr="008B628A">
              <w:rPr>
                <w:b/>
                <w:iCs/>
                <w:sz w:val="22"/>
                <w:szCs w:val="22"/>
              </w:rPr>
              <w:t>Siltumnīcefekta gāzu (SEG) emisiju samazināšanas mērķis</w:t>
            </w:r>
          </w:p>
          <w:p w14:paraId="7289E5D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ne-ETS nozaru emisiju ierobežošana </w:t>
            </w:r>
          </w:p>
          <w:p w14:paraId="2F434352" w14:textId="77777777" w:rsidR="00AB46B9" w:rsidRPr="008B628A" w:rsidRDefault="00AB46B9" w:rsidP="00283C85">
            <w:pPr>
              <w:pStyle w:val="Default"/>
              <w:numPr>
                <w:ilvl w:val="0"/>
                <w:numId w:val="72"/>
              </w:numPr>
              <w:spacing w:before="60" w:after="60"/>
              <w:ind w:left="284" w:hanging="284"/>
              <w:jc w:val="both"/>
              <w:rPr>
                <w:iCs/>
                <w:sz w:val="22"/>
                <w:szCs w:val="22"/>
              </w:rPr>
            </w:pPr>
            <w:bookmarkStart w:id="471" w:name="OLE_LINK102"/>
            <w:bookmarkStart w:id="472" w:name="OLE_LINK101"/>
            <w:r w:rsidRPr="008B628A">
              <w:rPr>
                <w:iCs/>
                <w:sz w:val="22"/>
                <w:szCs w:val="22"/>
              </w:rPr>
              <w:t xml:space="preserve">pētniecība, inovācijas, sabiedrības informēšana </w:t>
            </w:r>
            <w:bookmarkEnd w:id="471"/>
            <w:bookmarkEnd w:id="472"/>
          </w:p>
          <w:p w14:paraId="427A6EF0" w14:textId="77777777" w:rsidR="00AB46B9" w:rsidRPr="008B628A" w:rsidRDefault="00AB46B9" w:rsidP="00B35DDE">
            <w:pPr>
              <w:pStyle w:val="Default"/>
              <w:spacing w:before="60" w:after="60"/>
              <w:jc w:val="both"/>
              <w:rPr>
                <w:b/>
                <w:iCs/>
                <w:sz w:val="22"/>
                <w:szCs w:val="22"/>
              </w:rPr>
            </w:pPr>
            <w:r w:rsidRPr="008B628A">
              <w:rPr>
                <w:b/>
                <w:iCs/>
                <w:sz w:val="22"/>
                <w:szCs w:val="22"/>
              </w:rPr>
              <w:t>Ieguldījumu pētniecībā un attīstībā (R&amp;D) palielināšanas mērķis</w:t>
            </w:r>
          </w:p>
          <w:p w14:paraId="6DFED855"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Inovāciju veicināšana</w:t>
            </w:r>
          </w:p>
          <w:p w14:paraId="64BE2B57"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lastRenderedPageBreak/>
              <w:t>Atbalsts inovatīvu komersantu attīstībai</w:t>
            </w:r>
          </w:p>
          <w:p w14:paraId="6E91892F"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Patentu tehniskās bibliotēkas kapacitātes celšana un jaunu atbalsta pakalpojumu ieviešana</w:t>
            </w:r>
          </w:p>
          <w:p w14:paraId="6048D57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Zinātniskās darbības potenciāla attīstība</w:t>
            </w:r>
          </w:p>
          <w:p w14:paraId="65315C8A" w14:textId="77777777" w:rsidR="00AB46B9" w:rsidRPr="008B628A" w:rsidRDefault="00AB46B9" w:rsidP="00283C85">
            <w:pPr>
              <w:pStyle w:val="Default"/>
              <w:numPr>
                <w:ilvl w:val="0"/>
                <w:numId w:val="72"/>
              </w:numPr>
              <w:spacing w:before="60" w:after="60"/>
              <w:ind w:left="284" w:hanging="284"/>
              <w:jc w:val="both"/>
              <w:rPr>
                <w:b/>
                <w:color w:val="000000" w:themeColor="text1"/>
                <w:sz w:val="22"/>
                <w:szCs w:val="22"/>
              </w:rPr>
            </w:pPr>
            <w:r w:rsidRPr="008B628A">
              <w:rPr>
                <w:iCs/>
                <w:sz w:val="22"/>
                <w:szCs w:val="22"/>
              </w:rPr>
              <w:t>Uzņēmumu un zinātnieku ilgtermiņa sadarbības platformas izveide</w:t>
            </w:r>
          </w:p>
        </w:tc>
      </w:tr>
      <w:tr w:rsidR="00AB46B9" w:rsidRPr="008B628A" w14:paraId="34BD0057" w14:textId="77777777" w:rsidTr="00B35DDE">
        <w:tc>
          <w:tcPr>
            <w:tcW w:w="2240" w:type="dxa"/>
          </w:tcPr>
          <w:p w14:paraId="7C6762F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LEIS2030</w:t>
            </w:r>
            <w:r w:rsidRPr="008B628A">
              <w:rPr>
                <w:rStyle w:val="FootnoteReference"/>
                <w:b/>
                <w:sz w:val="22"/>
              </w:rPr>
              <w:footnoteReference w:id="255"/>
            </w:r>
          </w:p>
        </w:tc>
        <w:tc>
          <w:tcPr>
            <w:tcW w:w="2122" w:type="dxa"/>
          </w:tcPr>
          <w:p w14:paraId="254CF62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148AF34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31A3D9D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75E8C7E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7E4A992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5) dekarbonizācija</w:t>
            </w:r>
          </w:p>
        </w:tc>
        <w:tc>
          <w:tcPr>
            <w:tcW w:w="2930" w:type="dxa"/>
          </w:tcPr>
          <w:p w14:paraId="0EE14C27" w14:textId="77777777" w:rsidR="00AB46B9" w:rsidRPr="008B628A" w:rsidRDefault="00AB46B9" w:rsidP="00B35DDE">
            <w:pPr>
              <w:spacing w:before="60" w:after="60" w:line="240" w:lineRule="auto"/>
              <w:jc w:val="both"/>
              <w:rPr>
                <w:rFonts w:ascii="Times New Roman" w:hAnsi="Times New Roman" w:cs="Times New Roman"/>
                <w:iCs/>
                <w:sz w:val="22"/>
              </w:rPr>
            </w:pPr>
            <w:r w:rsidRPr="008B628A">
              <w:rPr>
                <w:rFonts w:ascii="Times New Roman" w:hAnsi="Times New Roman" w:cs="Times New Roman"/>
                <w:iCs/>
                <w:sz w:val="22"/>
              </w:rPr>
              <w:t>Konkurētspējīga ekonomika ar ilgtspējīgu enerģētiku un energoapgādes drošības paaugstināšanu:</w:t>
            </w:r>
          </w:p>
          <w:p w14:paraId="74331A74"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50% AER īpatsvaru bruto enerģijas galapatēriņā;</w:t>
            </w:r>
          </w:p>
          <w:p w14:paraId="678ACD5F"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Samazināt vidējo siltumenerģijas patēriņu apkurei par 50%;</w:t>
            </w:r>
          </w:p>
          <w:p w14:paraId="52F5B1D1"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Par 50% samazināt enerģijas un energoresursu importu no esošajiem trešo valstu piegādātājiem;</w:t>
            </w:r>
          </w:p>
          <w:p w14:paraId="36B385E1" w14:textId="77777777" w:rsidR="00AB46B9" w:rsidRPr="008B628A" w:rsidRDefault="00AB46B9" w:rsidP="00B35DDE">
            <w:pPr>
              <w:pStyle w:val="Default"/>
              <w:spacing w:before="60" w:after="60"/>
              <w:jc w:val="both"/>
              <w:rPr>
                <w:iCs/>
                <w:sz w:val="22"/>
                <w:szCs w:val="22"/>
              </w:rPr>
            </w:pPr>
          </w:p>
        </w:tc>
        <w:tc>
          <w:tcPr>
            <w:tcW w:w="7162" w:type="dxa"/>
          </w:tcPr>
          <w:p w14:paraId="2023D23F" w14:textId="77777777" w:rsidR="00AB46B9" w:rsidRPr="008B628A" w:rsidRDefault="00AB46B9" w:rsidP="00B35DDE">
            <w:pPr>
              <w:spacing w:before="60" w:after="60" w:line="240" w:lineRule="auto"/>
              <w:jc w:val="both"/>
              <w:rPr>
                <w:rFonts w:ascii="Times New Roman" w:hAnsi="Times New Roman" w:cs="Times New Roman"/>
                <w:color w:val="000000" w:themeColor="text1"/>
                <w:sz w:val="22"/>
              </w:rPr>
            </w:pPr>
            <w:r w:rsidRPr="008B628A">
              <w:rPr>
                <w:rFonts w:ascii="Times New Roman" w:hAnsi="Times New Roman" w:cs="Times New Roman"/>
                <w:b/>
                <w:color w:val="000000" w:themeColor="text1"/>
                <w:sz w:val="22"/>
              </w:rPr>
              <w:t>Ilgtspējīga enerģētika</w:t>
            </w:r>
            <w:r w:rsidRPr="008B628A">
              <w:rPr>
                <w:rFonts w:ascii="Times New Roman" w:hAnsi="Times New Roman" w:cs="Times New Roman"/>
                <w:color w:val="000000" w:themeColor="text1"/>
                <w:sz w:val="22"/>
              </w:rPr>
              <w:t>:</w:t>
            </w:r>
          </w:p>
          <w:p w14:paraId="194575A2"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īstermiņā noteikt ievērojami augstākas izmaksu ziņā efektīvas obligātas būvnormatīvu klases jaunu un renovētu ēku siltumnoturībai, kā arī brīvprātīgas klases, t.sk., 0 enerģijas patēriņa ēkas;</w:t>
            </w:r>
          </w:p>
          <w:p w14:paraId="18BE8AEA"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intensīvu atbalsta programmu esošā dzīvojamā fonda un sabiedrisko ēku energoefektivitātes palielināšanai, sevišķi daudzdzīvokļu sektorā, kur sagaidāma lielākā atdeve šādiem atbalsta mehānismiem;</w:t>
            </w:r>
          </w:p>
          <w:p w14:paraId="60E3FC49"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viedo skaitītāju ieviešanu, palielinot patērētāju izpratni par savu enerģijas patēriņu un radot iespēju to regulēt un samazināt patērēto energoresursu daudzumu;</w:t>
            </w:r>
          </w:p>
          <w:p w14:paraId="25526F16"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stingrākas prasības centralizētās siltumapgādes sistēmām attiecībā uz enerģijas zudumu tīklos samazināšanu, vērtējot investīciju lietderību un 2030. gadā zudumu līmeņatzīmi tuvinot 10%;</w:t>
            </w:r>
          </w:p>
          <w:p w14:paraId="667C6E6A"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stimulēt jaunu patērētāju pieslēgšanu efektīvām centralizētās siltumapgādes sistēmām, tai skaitā, ierobežojot zemas lietderības fosilo autonomās apkures iekārtas uzstādīšanu teritorijā, kurā ir pieejama centralizētā siltumapgāde;</w:t>
            </w:r>
          </w:p>
          <w:p w14:paraId="4EA4C707"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siltumapgādes pakalpojumu sniedzējiem pienākumu novirzīt 1,5% no to apgrozījuma gadā energoservisa pakalpojumu nodrošināšanai;</w:t>
            </w:r>
          </w:p>
          <w:p w14:paraId="22742E50"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mazo un vidējo uzņēmumu darbības energoefektivitātes paaugstināšanu, ieviešot energoauditu un energovadības sistēmu. Aktivizēt nozares asociācijas lomu energoefektivitātes veicināšanai, rosinot diskusiju par enerģijas patēriņa līmeņatzīmju noteikšanu nozarē. Īstenot valsts atbalstu energoefektivitātes paaugstināšanas pasākumu ieviešanai rūpniecībā;</w:t>
            </w:r>
          </w:p>
          <w:p w14:paraId="5E217393"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stimulēt „zaļā iepirkuma” principu plašāku ieviešanu, kas ļaus panākt energoresursu ietaupījumu, veicot preces vai pakalpojuma dzīves cikla analīzi, un samazināt ietekmi uz vidi;</w:t>
            </w:r>
          </w:p>
          <w:p w14:paraId="445BB74D"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publiskā sektora parauglomu energoefektivitātes pasākumu veikšanā transporta, ēku un siltumapgādes sektoros, veicot pilotprojektus, publiski daloties ar informāciju par tiem tostarp par iespējām projektiem piesaistīt publisko un privāto finansējumu.</w:t>
            </w:r>
          </w:p>
          <w:p w14:paraId="0D93EA34"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vidējā termiņā (līdz 2020. gadam) piemērot valsts atbalsta izņēmumu konkrēta mērķa sasniegšanai un nodrošināt tiešu augstas intensitātes atbalstu centralizētās siltumapgādes sistēmās pārejai uz AER;</w:t>
            </w:r>
          </w:p>
          <w:p w14:paraId="7E8C8F93"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nacionāla mēroga enerģētikas finanšu instrumenta ietvaros paredzēt atbalstu AER attīstībai, īpaši izpētes un attīstības (R&amp;D) projektiem, tehnoloģiju pārņemšanai un to ražošanas bāzes izveidei;</w:t>
            </w:r>
          </w:p>
          <w:p w14:paraId="716CED90"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ieviest prasības un atbalsta mehānismus AER  tehnoloģiju izmantošanas veicināšanai jaunās un renovētās ēkās, lai veicinātu jaunu AER sistēmu integrāciju centralizētajās siltumapgādes sistēmās;</w:t>
            </w:r>
          </w:p>
          <w:p w14:paraId="7AE2B48E"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 izstrādāt efektīvu un pārredzamu regulējumu sauszemes un jūras vēja enerģijas attīstībai, paredzot konkrētus nosacījumus vēja parku izpētei, būvniecībai un ekspluatācijai. Regulējums atvieglos šīs enerģijas attīstības uzraudzību valsts mērogā un nodrošinās skaidri definētu investīciju vidi potenciālajiem šīs enerģijas attīstītājiem;</w:t>
            </w:r>
          </w:p>
          <w:p w14:paraId="6635A68B"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plašāku AER izmantošanu publiskajā transportā, tai skaitā īstenojot tālāku dzelzceļa transporta elektrifikāciju un veicot sabiedriskā transporta pāreju biodegvielu izmantošanai;</w:t>
            </w:r>
          </w:p>
          <w:p w14:paraId="3342FF2F"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atteikties no tieša valsts atbalsta 1. paaudzes biodegvielai, vidējā termiņā saglabājot obligāto biodegvielas piejaukumu fosilajai degviela;</w:t>
            </w:r>
          </w:p>
          <w:p w14:paraId="2C447C00"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izstrādāt valsts atbalsta mehānismu 2. paaudzes biodegvielas ražošanas veicināšanai;</w:t>
            </w:r>
          </w:p>
          <w:p w14:paraId="5A55E23E"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AER izmantošanas (t.sk., biomasa un biodegviela) atbilstību ilgtspējas kritērijiem un pozitīvu AER izraisīto ietekmi uz saistītajām nozarēm, nosakot skaidru regulējumu un atbilstības kontroles principus; </w:t>
            </w:r>
          </w:p>
          <w:p w14:paraId="2BD540FD"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veidot privāto elektriskā autotransporta infrastruktūru, nodrošinot vienota uzlādes tīkla standarta ieviešanu;</w:t>
            </w:r>
          </w:p>
          <w:p w14:paraId="2F2AE2EF"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izstrādāt jaunu elektroenerģijas ražošanas atbalsta instrumentu, ievērojot šādus principus: enerģijas apjoma elastība, saprātīgas izmaksas, reakcija uz tirgus signāliem un tehnoloģiskā neitralitāte, kā arī pilnveidot izcelsmes apliecinājumu sistēmu;</w:t>
            </w:r>
          </w:p>
          <w:p w14:paraId="1B50A712"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izvērtēt energoietilpīgu eksporta nozaru uzņēmumu konkurētspējas riskus sakarā ar obligātās iepirkuma komponentes pieauguma prognozēm;</w:t>
            </w:r>
          </w:p>
          <w:p w14:paraId="00261285"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ilgtermiņa principu mazas jaudas elektroenerģijas ražošanas iekārtu  neto uzskaitei sadales tīklos ar 12 mēnešu norēķinu periodu;</w:t>
            </w:r>
          </w:p>
          <w:p w14:paraId="4FA1158A"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atkritumu izmantošanu enerģijas ražošanai, kas ļaus palielināt vietējo enerģijas resursu izmantošanu un vienlaikus risinās atkritumu utilizācijas problēmu valstī. </w:t>
            </w:r>
          </w:p>
          <w:p w14:paraId="71C422D4"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Energoapgādes drošības paaugstināšana:</w:t>
            </w:r>
          </w:p>
          <w:p w14:paraId="0C790320"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nacionālā mērogā elastīgu un drošu energoapgādes tīklu, ņemot vērā arvien plašāku mikroģenerācijas izplatību un tā rezultātā radušās izmaiņas Latvijas enerģijas portfelī. Decentralizētas mikroģenerācijas procesā saražoto enerģiju iespējams efektīvi integrēt tīklā tikai pie nosacījuma, ka energoapgādes tīkli tiek rūpīgi uzraudzīti, tiek analizēta un plānota to darbība un attīstība, kā arī nodrošināta efektīva jaudu balansēšana tīklā;</w:t>
            </w:r>
          </w:p>
          <w:p w14:paraId="1979898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nacionāla mēroga enerģētikas finanšu instrumenta ietvaros sniegt atbalstu būtiskākajiem nacionāla mēroga enerģētikas infrastruktūras projektiem;</w:t>
            </w:r>
          </w:p>
          <w:p w14:paraId="669D4AD8"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attīstīt enerģētikas politikas ietekmes izvērtēšanas kapacitāti, pilnvērtīgi aptverot enerģētikas politikas tiešās un netiešās izmaksas uz patērētājiem un ieguvumus ekonomikai kopumā, tajā skaitā alternatīvās izmaksas un lokālo piesārņojumu; </w:t>
            </w:r>
          </w:p>
          <w:p w14:paraId="3B4D1BA8"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valsts mēroga sociālo atbalstu enerģētikas sektorā, tostarp īstenojot sociālos atbalsta  pasākumus noteikta statusa patērētājiem, lai izskaustu enerģētisko nabadzību un nodrošinātu enerģijas pieejamību par atbilstošu, pieņemamu cenu ikvienam Latvijas iedzīvotājam;</w:t>
            </w:r>
          </w:p>
          <w:p w14:paraId="182AD80C"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 xml:space="preserve">nodrošināt enerģijas tirgu liberalizāciju, atvieglojot jaunu tirgus dalībnieku ienākšanu tirgū, veicinot enerģijas piegāžu avotu un ceļu diversifikāciju reģionālā mērogā un veicinot sabiedrības informētību par tās ieguvumiem un pienākumiem brīvā un efektīvā enerģijas tirgū; </w:t>
            </w:r>
          </w:p>
          <w:p w14:paraId="3EAEF9EF"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turpināt ciešu sadarbību ar reģionālajiem partneriem Baltijas enerģijas tirgus starpsavienojumu plāna (BEMIP) un Eiropas Infrastruktūras savienošanas instrumenta (CEF) ietvaros, balstoties uz solidaritātes un savstarpēja finansiālā atbalsta principiem, līdzsvarojot nacionālās un reģionālās intereses kopēji izdevīgiem risinājumiem (piem., dabasgāzes piegādes un uzglabāšanas infrastruktūras attīstība);</w:t>
            </w:r>
          </w:p>
          <w:p w14:paraId="59B71ACB"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turpināt Skandināvijas un Baltijas valstu elektroenerģijas tirgu integrāciju Nord Pool Spot biržas ietvaros, tajā skaitā nākotnes darījumu finanšu instrumentu tirdzniecību, izveidojot vienotu cenu reģiona zonu, attīstot ekonomiski pamatotus reģionālos starpsavienojumus, samazinot straujas elektroenerģijas cenu svārstības, palielinot tirgu likviditāti un dodot signālus jaunu jaudu, tostarp AER attīstībai;</w:t>
            </w:r>
          </w:p>
          <w:p w14:paraId="608BB6D6"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izveidot efektīvu un atvērtu reģionālu dabasgāzes tirgu, pārņemot ES 3. enerģētikas paketi, un atbalstīt Baltijas reģiona dabasgāzes piegāžu diversifikācijas risinājumus, tostarp reģionāla sašķidrinātā dabasgāzes termināļa attīstību, dabasgāzes starpsavienojumus starp Poliju-Lietuvu un Somiju-Igauniju, kā arī palielinot reģionālās dabasgāzes krātuves jaudas;  </w:t>
            </w:r>
          </w:p>
          <w:p w14:paraId="6AF2087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attīstīt tirgus priekšnoteikumus tikai ekonomiski pamatotiem reģionāliem zema oglekļa bāzes jaudu projektiem, atsakoties no tieša valsts atbalsta jauniem bāzes jaudas projektiem;</w:t>
            </w:r>
          </w:p>
          <w:p w14:paraId="623B4CBD"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degvielas apgādes drošumu, pilnveidojot Centrālās krājumu uzturēšanas struktūras (CKUS) darbību ar efektīvākiem reaģēšanas mehānismiem krīzes situācijā;</w:t>
            </w:r>
          </w:p>
          <w:p w14:paraId="17FBDF9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vietējo energoresursu ieguves potenciālu, tajā skaitā kūdras ieguvi un slānekļa gāzes un naftas potenciāla tālāku izpēti, kā arī pieņemt atbilstošu regulējumu ogļūdeņražu izpētes un ieguves investīciju vides nostiprināšanai.</w:t>
            </w:r>
          </w:p>
        </w:tc>
      </w:tr>
      <w:tr w:rsidR="00AB46B9" w:rsidRPr="008B628A" w14:paraId="00167CEF" w14:textId="77777777" w:rsidTr="00B35DDE">
        <w:tc>
          <w:tcPr>
            <w:tcW w:w="2240" w:type="dxa"/>
          </w:tcPr>
          <w:p w14:paraId="51C2DFB3"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EAP2020</w:t>
            </w:r>
            <w:r w:rsidRPr="008B628A">
              <w:rPr>
                <w:rStyle w:val="FootnoteReference"/>
                <w:b/>
                <w:sz w:val="22"/>
              </w:rPr>
              <w:footnoteReference w:id="256"/>
            </w:r>
          </w:p>
        </w:tc>
        <w:tc>
          <w:tcPr>
            <w:tcW w:w="2122" w:type="dxa"/>
          </w:tcPr>
          <w:p w14:paraId="3C0CA48E"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4C119CD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5ABB12B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55C8CC51"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13532C3A"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5) dekarbonizācija</w:t>
            </w:r>
          </w:p>
        </w:tc>
        <w:tc>
          <w:tcPr>
            <w:tcW w:w="2930" w:type="dxa"/>
          </w:tcPr>
          <w:p w14:paraId="78D456A7" w14:textId="77777777" w:rsidR="00AB46B9" w:rsidRPr="008B628A" w:rsidRDefault="00AB46B9" w:rsidP="00B35DDE">
            <w:pPr>
              <w:pStyle w:val="Default"/>
              <w:spacing w:before="60" w:after="60"/>
              <w:jc w:val="both"/>
              <w:rPr>
                <w:iCs/>
                <w:sz w:val="22"/>
                <w:szCs w:val="22"/>
              </w:rPr>
            </w:pPr>
            <w:r w:rsidRPr="008B628A">
              <w:rPr>
                <w:iCs/>
                <w:sz w:val="22"/>
                <w:szCs w:val="22"/>
              </w:rPr>
              <w:t>Paaugstināt tautsaimniecības konkurētspēju, sekmējot piegāžu drošumu, brīvā tirgus un konkurences noteiktu energoresursu un enerģijas cenu veidošanos, ilgtspējīgu enerģijas ražošanu un patēriņu</w:t>
            </w:r>
          </w:p>
        </w:tc>
        <w:tc>
          <w:tcPr>
            <w:tcW w:w="7162" w:type="dxa"/>
          </w:tcPr>
          <w:p w14:paraId="050D3D9B"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Primāro energoresursu diversifikācija</w:t>
            </w:r>
          </w:p>
          <w:p w14:paraId="68011D6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vietējo primāro energoresursu izpēti un ieguvi  Latvijā</w:t>
            </w:r>
          </w:p>
          <w:p w14:paraId="0DD0E35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energoresursu piegādes ceļu un avotu diversifikāciju</w:t>
            </w:r>
          </w:p>
          <w:p w14:paraId="21AD3C1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Atkritumu pārstrāde</w:t>
            </w:r>
          </w:p>
          <w:p w14:paraId="0DE6475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Efektīva enerģijas tirgus izveide</w:t>
            </w:r>
          </w:p>
          <w:p w14:paraId="564CD044"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Aktīva līdzdalība ES tīkla kodeksu izstrādē ES enerģijas tirgus pilnveidošanai </w:t>
            </w:r>
          </w:p>
          <w:p w14:paraId="5BDEA8D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Samazināt cenu svārstību risku elektroenerģijas vairumtirdzniecībā</w:t>
            </w:r>
          </w:p>
          <w:p w14:paraId="08009F78"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Liberalizēt elektroenerģijas tirgu mājsaimniecībām </w:t>
            </w:r>
          </w:p>
          <w:p w14:paraId="1AF28421"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Nodalīt dabasgāzes pārvades un uzglabāšanas pakalpojumus no tirdzniecības un sadales pakalpojumiem</w:t>
            </w:r>
          </w:p>
          <w:p w14:paraId="64C3AF0B"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Efektīva enerģijas infrastruktūra</w:t>
            </w:r>
          </w:p>
          <w:p w14:paraId="421F16A8"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Vienkāršot KIP projektu ieviešanas procesu</w:t>
            </w:r>
          </w:p>
          <w:p w14:paraId="3DB506D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elektroenerģijas pārvades sistēmas infrastruktūru</w:t>
            </w:r>
          </w:p>
          <w:p w14:paraId="64D36D5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elektroenerģijas sadales sistēmas  drošumu un veikt elektrotīkla modernizāciju</w:t>
            </w:r>
          </w:p>
          <w:p w14:paraId="1E15C42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dabasgāzes sadales, pārvades un uzglabāšanas sistēmas infrastruktūru</w:t>
            </w:r>
          </w:p>
          <w:p w14:paraId="4411B13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Uzlabot normatīvo regulējumu cita veida infrastruktūrai </w:t>
            </w:r>
          </w:p>
          <w:p w14:paraId="75C8E15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Efektīvs siltumenerģijas tirgus</w:t>
            </w:r>
          </w:p>
          <w:p w14:paraId="367A0706"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Normatīvo regulējumu pilnveidošana.</w:t>
            </w:r>
          </w:p>
          <w:p w14:paraId="026C360B"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Infrastruktūras izveidošana, sakārtošana un attīstība</w:t>
            </w:r>
          </w:p>
          <w:p w14:paraId="0C61F4B4"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AER īpatsvara pieaugums</w:t>
            </w:r>
          </w:p>
          <w:p w14:paraId="24F5536B"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Īstenot pasākumus, lai palielinātu AER īpatsvaru bruto enerģijas gala patēriņā.</w:t>
            </w:r>
          </w:p>
          <w:p w14:paraId="728DF8E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Īstenot pasākumus, lai palielinātu no AER saražotas enerģijas īpatsvaru enerģijas gala patēriņā transportā</w:t>
            </w:r>
          </w:p>
          <w:p w14:paraId="4B931DC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Uzlabota energoefektivitāte</w:t>
            </w:r>
          </w:p>
          <w:p w14:paraId="65EA721F"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Normatīvā regulējuma pilnveidošana un īstenošana</w:t>
            </w:r>
          </w:p>
          <w:p w14:paraId="6E2901C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paaugstināšana ēkās</w:t>
            </w:r>
          </w:p>
          <w:p w14:paraId="3635119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paaugstināšana rūpniecības sektorā</w:t>
            </w:r>
          </w:p>
          <w:p w14:paraId="2CEFDA64"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Sabiedrības informēšana un izglītošana par energoefektivitātes lietderību</w:t>
            </w:r>
          </w:p>
          <w:p w14:paraId="089A0BB1"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Ekodizaina prasību ieviešana</w:t>
            </w:r>
          </w:p>
          <w:p w14:paraId="18BF453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 xml:space="preserve">Efektīva krīzes situācijas pārvaldība  </w:t>
            </w:r>
          </w:p>
          <w:p w14:paraId="7CCF267E"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tautsaimniecību ar energoapgādi apdraudējuma gadījumā </w:t>
            </w:r>
          </w:p>
          <w:p w14:paraId="3204B5F9"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naftas rezerves</w:t>
            </w:r>
          </w:p>
          <w:p w14:paraId="79C5D13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Starptautiskās un reģionālās sadarbības stiprināšana</w:t>
            </w:r>
          </w:p>
          <w:p w14:paraId="34F8414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Aktīvi  iesaistīties BEMIP darbā </w:t>
            </w:r>
          </w:p>
          <w:p w14:paraId="32ED75BF"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sadarbību ar Igauniju un Lietuvu, kā arī citām reģiona valstīm</w:t>
            </w:r>
          </w:p>
          <w:p w14:paraId="5ACAED43"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Koordinēt Baltijas jūras reģiona stratēģijas Enerģētikas prioritāti </w:t>
            </w:r>
          </w:p>
          <w:p w14:paraId="35FD0B1E"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Latvijas aktīvu dalību starptautiskās organizācijās </w:t>
            </w:r>
          </w:p>
          <w:p w14:paraId="47A04754"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Sabiedrības informēšana par enerģētikas sektora aktualitātēm</w:t>
            </w:r>
          </w:p>
          <w:p w14:paraId="6ADD3BA7"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sabiedrības izpratni par notikumiem enerģētikas sektorā </w:t>
            </w:r>
          </w:p>
          <w:p w14:paraId="44466337"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institucionālo ietvaru valsts un uzņēmēju sadarbībai  </w:t>
            </w:r>
          </w:p>
          <w:p w14:paraId="5B58FE09"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sz w:val="22"/>
              </w:rPr>
            </w:pPr>
            <w:r w:rsidRPr="008B628A">
              <w:rPr>
                <w:rFonts w:ascii="Times New Roman" w:hAnsi="Times New Roman" w:cs="Times New Roman"/>
                <w:color w:val="000000" w:themeColor="text1"/>
                <w:sz w:val="22"/>
              </w:rPr>
              <w:t xml:space="preserve">Veicināt Viedās specializācijas attīstību enerģētikas jomā </w:t>
            </w:r>
          </w:p>
        </w:tc>
      </w:tr>
      <w:tr w:rsidR="00AB46B9" w:rsidRPr="008B628A" w14:paraId="1499F0C1" w14:textId="77777777" w:rsidTr="00B35DDE">
        <w:tc>
          <w:tcPr>
            <w:tcW w:w="2240" w:type="dxa"/>
          </w:tcPr>
          <w:p w14:paraId="79C3923F" w14:textId="77777777" w:rsidR="00AB46B9" w:rsidRPr="008B628A" w:rsidRDefault="00AB46B9" w:rsidP="00B35DDE">
            <w:pPr>
              <w:spacing w:before="60" w:after="60" w:line="240" w:lineRule="auto"/>
              <w:jc w:val="both"/>
              <w:rPr>
                <w:rFonts w:ascii="Times New Roman" w:eastAsia="Calibri" w:hAnsi="Times New Roman" w:cs="Times New Roman"/>
                <w:b/>
                <w:szCs w:val="24"/>
              </w:rPr>
            </w:pPr>
            <w:r w:rsidRPr="008B628A">
              <w:rPr>
                <w:rFonts w:ascii="Times New Roman" w:eastAsia="Calibri" w:hAnsi="Times New Roman" w:cs="Times New Roman"/>
                <w:b/>
                <w:szCs w:val="24"/>
              </w:rPr>
              <w:lastRenderedPageBreak/>
              <w:t>EPAPP2020</w:t>
            </w:r>
            <w:r w:rsidRPr="008B628A">
              <w:rPr>
                <w:rStyle w:val="FootnoteReference"/>
                <w:rFonts w:eastAsia="Calibri"/>
                <w:b/>
              </w:rPr>
              <w:footnoteReference w:id="257"/>
            </w:r>
          </w:p>
        </w:tc>
        <w:tc>
          <w:tcPr>
            <w:tcW w:w="2122" w:type="dxa"/>
          </w:tcPr>
          <w:p w14:paraId="5ECE684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2F83814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63034294" w14:textId="77777777" w:rsidR="00AB46B9" w:rsidRPr="008B628A" w:rsidRDefault="00AB46B9" w:rsidP="00B35DDE">
            <w:pPr>
              <w:spacing w:before="60" w:after="60" w:line="240" w:lineRule="auto"/>
              <w:jc w:val="both"/>
              <w:rPr>
                <w:rFonts w:ascii="Times New Roman" w:hAnsi="Times New Roman" w:cs="Times New Roman"/>
                <w:bCs/>
                <w:sz w:val="22"/>
              </w:rPr>
            </w:pPr>
            <w:r w:rsidRPr="008B628A">
              <w:rPr>
                <w:rFonts w:ascii="Times New Roman" w:hAnsi="Times New Roman" w:cs="Times New Roman"/>
                <w:bCs/>
                <w:sz w:val="22"/>
              </w:rPr>
              <w:t>Nodrošināt alternatīvo pasākumu ieviešanu:</w:t>
            </w:r>
          </w:p>
          <w:p w14:paraId="0F1E140A"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rūpniecības sektorā</w:t>
            </w:r>
          </w:p>
          <w:p w14:paraId="0FF3892B"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mājsaimniecību sektorā</w:t>
            </w:r>
          </w:p>
          <w:p w14:paraId="0CE1FFAE"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pakalpojumu sektorā</w:t>
            </w:r>
          </w:p>
          <w:p w14:paraId="551A6D82"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lastRenderedPageBreak/>
              <w:t>transporta sektorā</w:t>
            </w:r>
          </w:p>
          <w:p w14:paraId="71E7F003" w14:textId="77777777" w:rsidR="00AB46B9" w:rsidRPr="008B628A" w:rsidRDefault="00AB46B9" w:rsidP="00283C85">
            <w:pPr>
              <w:pStyle w:val="ListParagraph"/>
              <w:numPr>
                <w:ilvl w:val="0"/>
                <w:numId w:val="92"/>
              </w:numPr>
              <w:spacing w:before="60" w:after="60" w:line="240" w:lineRule="auto"/>
              <w:ind w:left="227" w:hanging="227"/>
              <w:contextualSpacing w:val="0"/>
              <w:rPr>
                <w:rFonts w:ascii="Times New Roman" w:hAnsi="Times New Roman" w:cs="Times New Roman"/>
                <w:bCs/>
                <w:sz w:val="22"/>
              </w:rPr>
            </w:pPr>
            <w:r w:rsidRPr="008B628A">
              <w:rPr>
                <w:rFonts w:ascii="Times New Roman" w:hAnsi="Times New Roman" w:cs="Times New Roman"/>
                <w:bCs/>
                <w:sz w:val="22"/>
              </w:rPr>
              <w:t>lauksaimniecības, mežsaimniecības un zivsaimniecības sektorā</w:t>
            </w:r>
          </w:p>
          <w:p w14:paraId="69EF907C"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Alternatīvo pasākumu ieviešana, kas aptver vairākus sektorus</w:t>
            </w:r>
          </w:p>
        </w:tc>
        <w:tc>
          <w:tcPr>
            <w:tcW w:w="7162" w:type="dxa"/>
          </w:tcPr>
          <w:p w14:paraId="2686C661" w14:textId="77777777" w:rsidR="00AB46B9" w:rsidRPr="008B628A" w:rsidRDefault="00AB46B9" w:rsidP="00B35DDE">
            <w:pPr>
              <w:spacing w:before="60" w:after="60" w:line="240" w:lineRule="auto"/>
              <w:jc w:val="both"/>
              <w:rPr>
                <w:rFonts w:ascii="Times New Roman" w:hAnsi="Times New Roman" w:cs="Times New Roman"/>
                <w:bCs/>
                <w:sz w:val="22"/>
              </w:rPr>
            </w:pPr>
            <w:r w:rsidRPr="008B628A">
              <w:rPr>
                <w:rFonts w:ascii="Times New Roman" w:hAnsi="Times New Roman" w:cs="Times New Roman"/>
                <w:bCs/>
                <w:sz w:val="22"/>
              </w:rPr>
              <w:lastRenderedPageBreak/>
              <w:t>Sasniegts obligātais</w:t>
            </w:r>
            <w:r w:rsidRPr="008B628A">
              <w:rPr>
                <w:sz w:val="22"/>
              </w:rPr>
              <w:t xml:space="preserve"> </w:t>
            </w:r>
            <w:r w:rsidRPr="008B628A">
              <w:rPr>
                <w:rFonts w:ascii="Times New Roman" w:hAnsi="Times New Roman" w:cs="Times New Roman"/>
                <w:bCs/>
                <w:sz w:val="22"/>
              </w:rPr>
              <w:t>enerģijas galapatēriņa ietaupījuma mērķis, periodā no 2014. līdz 2020. gadam uzkrātas 9896 GWh.</w:t>
            </w:r>
          </w:p>
          <w:p w14:paraId="1B754F35"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Energoefektivitātes pasākumi lielajos uzņēmumos</w:t>
            </w:r>
          </w:p>
          <w:p w14:paraId="7E6C612B"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Energoefektivitātes pasākumi lielajos elektroenerģijas patērētājos</w:t>
            </w:r>
          </w:p>
          <w:p w14:paraId="1ED8A250"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Energopārvaldība valsts iestādēs un pašvaldībās</w:t>
            </w:r>
          </w:p>
          <w:p w14:paraId="77D79BEB"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lastRenderedPageBreak/>
              <w:t>Brīvprātīgas vienošanās par energoefektivitāti</w:t>
            </w:r>
          </w:p>
          <w:p w14:paraId="258583CE"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EKII, KPFI</w:t>
            </w:r>
          </w:p>
          <w:p w14:paraId="0E1E2C03"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Dažādu sektoru (satiksmes, zemkopības, labklājības, kultūras uc.) ESF programmas, kur tiek atjaunotas ēkas un iekārtas un energoefektivitāte tiek uzskaitīta, bet ir kā papildu ieguvums.</w:t>
            </w:r>
          </w:p>
          <w:p w14:paraId="368B2F14"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sz w:val="22"/>
              </w:rPr>
              <w:t>Pašvaldību finansēta ēku renovācija</w:t>
            </w:r>
          </w:p>
        </w:tc>
      </w:tr>
      <w:tr w:rsidR="00AB46B9" w:rsidRPr="008B628A" w14:paraId="4A4A5BB9" w14:textId="77777777" w:rsidTr="00B35DDE">
        <w:tc>
          <w:tcPr>
            <w:tcW w:w="2240" w:type="dxa"/>
          </w:tcPr>
          <w:p w14:paraId="70B5D176" w14:textId="77777777" w:rsidR="00AB46B9" w:rsidRPr="008B628A" w:rsidRDefault="00AB46B9" w:rsidP="00B35DDE">
            <w:pPr>
              <w:spacing w:before="60" w:after="60" w:line="240" w:lineRule="auto"/>
              <w:jc w:val="both"/>
              <w:rPr>
                <w:rFonts w:ascii="Times New Roman" w:eastAsia="Calibri" w:hAnsi="Times New Roman" w:cs="Times New Roman"/>
                <w:b/>
                <w:szCs w:val="24"/>
              </w:rPr>
            </w:pPr>
            <w:r w:rsidRPr="008B628A">
              <w:rPr>
                <w:rFonts w:ascii="Times New Roman" w:eastAsia="Calibri" w:hAnsi="Times New Roman" w:cs="Times New Roman"/>
                <w:b/>
                <w:szCs w:val="24"/>
              </w:rPr>
              <w:lastRenderedPageBreak/>
              <w:t>KEEPP</w:t>
            </w:r>
            <w:r w:rsidRPr="008B628A">
              <w:rPr>
                <w:rStyle w:val="FootnoteReference"/>
                <w:rFonts w:eastAsia="Calibri"/>
                <w:b/>
              </w:rPr>
              <w:footnoteReference w:id="258"/>
            </w:r>
          </w:p>
        </w:tc>
        <w:tc>
          <w:tcPr>
            <w:tcW w:w="2122" w:type="dxa"/>
          </w:tcPr>
          <w:p w14:paraId="0A31824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28605CC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13D3F67E" w14:textId="5AF2056B" w:rsidR="00AB46B9" w:rsidRPr="008B628A" w:rsidRDefault="00815510" w:rsidP="00283C85">
            <w:pPr>
              <w:pStyle w:val="ListParagraph"/>
              <w:numPr>
                <w:ilvl w:val="0"/>
                <w:numId w:val="91"/>
              </w:numPr>
              <w:spacing w:after="0" w:line="240" w:lineRule="auto"/>
              <w:ind w:left="227" w:hanging="227"/>
              <w:contextualSpacing w:val="0"/>
              <w:jc w:val="both"/>
              <w:rPr>
                <w:rFonts w:ascii="Times New Roman" w:hAnsi="Times New Roman"/>
                <w:sz w:val="22"/>
              </w:rPr>
            </w:pPr>
            <w:r>
              <w:rPr>
                <w:rFonts w:ascii="Times New Roman" w:hAnsi="Times New Roman"/>
                <w:sz w:val="22"/>
              </w:rPr>
              <w:t>V</w:t>
            </w:r>
            <w:r w:rsidR="00AB46B9" w:rsidRPr="008B628A">
              <w:rPr>
                <w:rFonts w:ascii="Times New Roman" w:hAnsi="Times New Roman"/>
                <w:sz w:val="22"/>
              </w:rPr>
              <w:t xml:space="preserve">alsts </w:t>
            </w:r>
            <w:r>
              <w:rPr>
                <w:rFonts w:ascii="Times New Roman" w:hAnsi="Times New Roman"/>
                <w:sz w:val="22"/>
              </w:rPr>
              <w:t>neobligātais</w:t>
            </w:r>
            <w:r w:rsidRPr="008B628A">
              <w:rPr>
                <w:rFonts w:ascii="Times New Roman" w:hAnsi="Times New Roman"/>
                <w:sz w:val="22"/>
              </w:rPr>
              <w:t xml:space="preserve"> </w:t>
            </w:r>
            <w:r w:rsidR="00AB46B9" w:rsidRPr="008B628A">
              <w:rPr>
                <w:rFonts w:ascii="Times New Roman" w:hAnsi="Times New Roman"/>
                <w:sz w:val="22"/>
              </w:rPr>
              <w:t>energoefektivitātes mērķis – primārās enerģijas ietaupījums 2020.gadā – 0,670 Mtoe (28 PJ).</w:t>
            </w:r>
          </w:p>
          <w:p w14:paraId="45A3FC17" w14:textId="77777777" w:rsidR="00AB46B9" w:rsidRPr="008B628A" w:rsidRDefault="00AB46B9" w:rsidP="00283C85">
            <w:pPr>
              <w:pStyle w:val="ListParagraph"/>
              <w:numPr>
                <w:ilvl w:val="0"/>
                <w:numId w:val="91"/>
              </w:numPr>
              <w:spacing w:after="0" w:line="240" w:lineRule="auto"/>
              <w:ind w:left="227" w:hanging="227"/>
              <w:contextualSpacing w:val="0"/>
              <w:jc w:val="both"/>
              <w:rPr>
                <w:rFonts w:ascii="Times New Roman" w:hAnsi="Times New Roman"/>
                <w:sz w:val="22"/>
              </w:rPr>
            </w:pPr>
            <w:r w:rsidRPr="008B628A">
              <w:rPr>
                <w:rFonts w:ascii="Times New Roman" w:hAnsi="Times New Roman"/>
                <w:sz w:val="22"/>
              </w:rPr>
              <w:t>Mērķis centrālās valdības ēku renovācijai – katru gadu 3 % platības – (maksimālās aplēses – kopā 678 460 m</w:t>
            </w:r>
            <w:r w:rsidRPr="008B628A">
              <w:rPr>
                <w:rFonts w:ascii="Times New Roman" w:hAnsi="Times New Roman"/>
                <w:sz w:val="22"/>
                <w:vertAlign w:val="superscript"/>
              </w:rPr>
              <w:t>2</w:t>
            </w:r>
            <w:r w:rsidRPr="008B628A">
              <w:rPr>
                <w:rFonts w:ascii="Times New Roman" w:hAnsi="Times New Roman"/>
                <w:sz w:val="22"/>
              </w:rPr>
              <w:t>), kas kopā ar pašvaldību ēku renovāciju nodrošina 0,016 Mtoe (0,67 PJ, 186 GWh) enerģijas ietaupījumu kopumā laikposmā no 2014.gada līdz 2020.gadam.</w:t>
            </w:r>
          </w:p>
          <w:p w14:paraId="3F0AE0A9" w14:textId="77777777" w:rsidR="00AB46B9" w:rsidRPr="008B628A" w:rsidRDefault="00AB46B9" w:rsidP="00283C85">
            <w:pPr>
              <w:pStyle w:val="ListParagraph"/>
              <w:numPr>
                <w:ilvl w:val="0"/>
                <w:numId w:val="91"/>
              </w:numPr>
              <w:spacing w:after="0" w:line="240" w:lineRule="auto"/>
              <w:ind w:left="227" w:hanging="227"/>
              <w:contextualSpacing w:val="0"/>
              <w:jc w:val="both"/>
              <w:rPr>
                <w:rFonts w:ascii="Times New Roman" w:hAnsi="Times New Roman"/>
                <w:sz w:val="28"/>
                <w:szCs w:val="28"/>
              </w:rPr>
            </w:pPr>
            <w:r w:rsidRPr="008B628A">
              <w:rPr>
                <w:rFonts w:ascii="Times New Roman" w:hAnsi="Times New Roman"/>
                <w:sz w:val="22"/>
              </w:rPr>
              <w:t>Mērķis enerģijas gala ietaupījumam – obligātais enerģijas ietaupījums 1,5 % apjomā no galalietotājiem piegādātās enerģijas – 0,213 Mtoe (8,9 PJ).</w:t>
            </w:r>
          </w:p>
        </w:tc>
        <w:tc>
          <w:tcPr>
            <w:tcW w:w="7162" w:type="dxa"/>
          </w:tcPr>
          <w:p w14:paraId="1F599939"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pienākumu shēma</w:t>
            </w:r>
          </w:p>
          <w:p w14:paraId="4B57F3C7"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veicināšana dzīvojamās un publiskās ēkās (ESF programmas)</w:t>
            </w:r>
          </w:p>
          <w:p w14:paraId="082FEB7E"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veicināšana siltumapgādē (ESF programmas)</w:t>
            </w:r>
          </w:p>
          <w:p w14:paraId="3169FE37"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hAnsi="Times New Roman" w:cs="Times New Roman"/>
                <w:color w:val="000000" w:themeColor="text1"/>
                <w:sz w:val="22"/>
              </w:rPr>
              <w:t>Energoefektivitātes paaugstināšana rūpniecības sektorā (ESF programmas)</w:t>
            </w:r>
          </w:p>
        </w:tc>
      </w:tr>
      <w:tr w:rsidR="00AB46B9" w:rsidRPr="008B628A" w14:paraId="740C4F29" w14:textId="77777777" w:rsidTr="00B35DDE">
        <w:tc>
          <w:tcPr>
            <w:tcW w:w="2240" w:type="dxa"/>
          </w:tcPr>
          <w:p w14:paraId="21AD9696"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eastAsia="Calibri" w:hAnsi="Times New Roman" w:cs="Times New Roman"/>
                <w:b/>
                <w:szCs w:val="24"/>
              </w:rPr>
              <w:t>ĒAIS</w:t>
            </w:r>
            <w:r w:rsidRPr="008B628A">
              <w:rPr>
                <w:rStyle w:val="FootnoteReference"/>
                <w:rFonts w:eastAsia="Calibri"/>
                <w:b/>
              </w:rPr>
              <w:footnoteReference w:id="259"/>
            </w:r>
          </w:p>
        </w:tc>
        <w:tc>
          <w:tcPr>
            <w:tcW w:w="2122" w:type="dxa"/>
          </w:tcPr>
          <w:p w14:paraId="1B76ABD2"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32AA5B0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4C72D6D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Aktuālie mērķi ēku energoefektivitātes jomā ir:</w:t>
            </w:r>
          </w:p>
          <w:p w14:paraId="6CA7B709"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lastRenderedPageBreak/>
              <w:t>finansējuma pieejamība ekonomiski pamatotiem projektiem visā Latvijas teritorijā, t.sk. reģionos;</w:t>
            </w:r>
          </w:p>
          <w:p w14:paraId="7925CD6D"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kvalitatīva projektu vadība un uzraudzība;</w:t>
            </w:r>
          </w:p>
          <w:p w14:paraId="3A46C3DC"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aktivitāšu uzraudzības fokusēšana uz rezultātu, tai skaitā enerģijas ietaupījumu, sasniegšanu;</w:t>
            </w:r>
          </w:p>
          <w:p w14:paraId="47D4B31A"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augstas energoefektivitātes un kvalitatīvas būvniecības sasniegšana;</w:t>
            </w:r>
          </w:p>
          <w:p w14:paraId="45E7C0AA"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būvkomersanta atlases procedūras uzlabošana;</w:t>
            </w:r>
          </w:p>
          <w:p w14:paraId="66D719E4"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hAnsi="Times New Roman" w:cs="Times New Roman"/>
                <w:sz w:val="22"/>
              </w:rPr>
            </w:pPr>
            <w:r w:rsidRPr="008B628A">
              <w:rPr>
                <w:rFonts w:ascii="Times New Roman" w:eastAsia="Calibri" w:hAnsi="Times New Roman" w:cs="Times New Roman"/>
                <w:sz w:val="22"/>
              </w:rPr>
              <w:t>resursu izmaksu samazināšana.</w:t>
            </w:r>
          </w:p>
        </w:tc>
        <w:tc>
          <w:tcPr>
            <w:tcW w:w="7162" w:type="dxa"/>
          </w:tcPr>
          <w:p w14:paraId="65091B63"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lastRenderedPageBreak/>
              <w:t xml:space="preserve">izveidot finanšu instrumentu, kas būtu piemērots gadījumiem, ja daudzdzīvokļu dzīvojamai mājai ir nepieciešams veikt ieguldījumus </w:t>
            </w:r>
            <w:r w:rsidRPr="008B628A">
              <w:rPr>
                <w:rFonts w:ascii="Times New Roman" w:eastAsia="Times New Roman" w:hAnsi="Times New Roman" w:cs="Times New Roman"/>
                <w:sz w:val="22"/>
              </w:rPr>
              <w:lastRenderedPageBreak/>
              <w:t>dzīvojamās mājas uzturēšanai vai energoefektivitātes pasākumu veikšanai, taču nav veikts pietiekamā apjomā (vai nav vispār veikts) maksājums uzkrājuma fondā.</w:t>
            </w:r>
          </w:p>
          <w:p w14:paraId="296CA3D2"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Veicināt ESKO  pakalpojuma veidošanos. ESKO ar bankas garantiju vai apdrošināšanas polisi atbild par projekta ietvaros sasniedzamo energoefektivitātes līmeni. ESKO sedz daudzdzīvokļu māju iedzīvotājiem radītos zaudējumus, ja pēc atjaunošanas projekta pabeigšanas netiek sasniegts noteiktais energotaupības līmenis. </w:t>
            </w:r>
          </w:p>
          <w:p w14:paraId="47D5769F"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turpināt izglītot potenciālos projektu iesniedzējus un projektu īstenotājus informatīvās kampaņas „Dzīvo siltāk” ietvaros, tai skaitā organizējot izglītojošus seminārus un konferences energoefektivitātes jomā ne tikai daudzdzīvokļu māju sektorā, bet arī publiskajā sektorā. </w:t>
            </w:r>
          </w:p>
          <w:p w14:paraId="6334889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Regulāri pārskatīt  minimālās ēku energoefektivitātes prasības un tās noteikt, lai panāktu izmaksu ziņā optimālu līdzsvaru starp finanšu ieguldījumiem un ēkas dzīves cikla laikā ietaupītajām enerģijas izmaksām. </w:t>
            </w:r>
          </w:p>
          <w:p w14:paraId="716969C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b/>
                <w:sz w:val="22"/>
              </w:rPr>
            </w:pPr>
            <w:r w:rsidRPr="008B628A">
              <w:rPr>
                <w:rFonts w:ascii="Times New Roman" w:eastAsia="Times New Roman" w:hAnsi="Times New Roman" w:cs="Times New Roman"/>
                <w:sz w:val="22"/>
              </w:rPr>
              <w:t>Izstrādāt atbalsta instrumentus gandrīz nulles enerģijas patēriņa ēku būvniecībai saskaņā ar Direktīvas 2010/</w:t>
            </w:r>
            <w:r w:rsidRPr="008B628A">
              <w:rPr>
                <w:rFonts w:ascii="Times New Roman" w:eastAsia="Calibri" w:hAnsi="Times New Roman" w:cs="Times New Roman"/>
                <w:sz w:val="22"/>
              </w:rPr>
              <w:t>2010/30/ES</w:t>
            </w:r>
            <w:r w:rsidRPr="008B628A">
              <w:rPr>
                <w:rFonts w:ascii="Times New Roman" w:eastAsia="Times New Roman" w:hAnsi="Times New Roman" w:cs="Times New Roman"/>
                <w:sz w:val="22"/>
              </w:rPr>
              <w:t xml:space="preserve"> 10.panta 1.punktu.</w:t>
            </w:r>
          </w:p>
        </w:tc>
      </w:tr>
      <w:tr w:rsidR="00AB46B9" w:rsidRPr="008B628A" w14:paraId="451415CE" w14:textId="77777777" w:rsidTr="00B35DDE">
        <w:tc>
          <w:tcPr>
            <w:tcW w:w="2240" w:type="dxa"/>
          </w:tcPr>
          <w:p w14:paraId="1745BD93"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VPP2020</w:t>
            </w:r>
            <w:r w:rsidRPr="008B628A">
              <w:rPr>
                <w:rStyle w:val="FootnoteReference"/>
                <w:b/>
                <w:sz w:val="22"/>
              </w:rPr>
              <w:footnoteReference w:id="260"/>
            </w:r>
          </w:p>
        </w:tc>
        <w:tc>
          <w:tcPr>
            <w:tcW w:w="2122" w:type="dxa"/>
          </w:tcPr>
          <w:p w14:paraId="6986769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66812014" w14:textId="77777777" w:rsidR="00AB46B9" w:rsidRPr="008B628A" w:rsidRDefault="00AB46B9" w:rsidP="00283C85">
            <w:pPr>
              <w:pStyle w:val="ListParagraph"/>
              <w:numPr>
                <w:ilvl w:val="0"/>
                <w:numId w:val="76"/>
              </w:numPr>
              <w:spacing w:before="60" w:after="60" w:line="240" w:lineRule="auto"/>
              <w:ind w:left="227" w:hanging="227"/>
              <w:contextualSpacing w:val="0"/>
              <w:jc w:val="both"/>
              <w:rPr>
                <w:rFonts w:ascii="Times New Roman" w:hAnsi="Times New Roman" w:cs="Times New Roman"/>
                <w:sz w:val="22"/>
              </w:rPr>
            </w:pPr>
            <w:bookmarkStart w:id="473" w:name="_Hlk522017198"/>
            <w:r w:rsidRPr="008B628A">
              <w:rPr>
                <w:rFonts w:ascii="Times New Roman" w:hAnsi="Times New Roman" w:cs="Times New Roman"/>
                <w:sz w:val="22"/>
              </w:rPr>
              <w:t>nodrošināt Latvijas ieguldījumu globālo klimata pārmaiņu samazināšanā, ņemot vērā Latvijas vides, sociālās un ekonomiskās intereses</w:t>
            </w:r>
          </w:p>
          <w:p w14:paraId="02B87E34" w14:textId="77777777" w:rsidR="00AB46B9" w:rsidRPr="008B628A" w:rsidRDefault="00AB46B9" w:rsidP="00283C85">
            <w:pPr>
              <w:pStyle w:val="ListParagraph"/>
              <w:numPr>
                <w:ilvl w:val="0"/>
                <w:numId w:val="76"/>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veicināt Latvijas gatavību pielāgoties klimata pārmaiņām un to izraisītajai ietekmei.</w:t>
            </w:r>
            <w:bookmarkEnd w:id="473"/>
          </w:p>
        </w:tc>
        <w:tc>
          <w:tcPr>
            <w:tcW w:w="7162" w:type="dxa"/>
          </w:tcPr>
          <w:p w14:paraId="7ACE49A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SEG emisiju samazināšana un CO</w:t>
            </w:r>
            <w:r w:rsidRPr="008B628A">
              <w:rPr>
                <w:rFonts w:ascii="Times New Roman" w:hAnsi="Times New Roman" w:cs="Times New Roman"/>
                <w:b/>
                <w:sz w:val="22"/>
                <w:vertAlign w:val="subscript"/>
              </w:rPr>
              <w:t>2</w:t>
            </w:r>
            <w:r w:rsidRPr="008B628A">
              <w:rPr>
                <w:rFonts w:ascii="Times New Roman" w:hAnsi="Times New Roman" w:cs="Times New Roman"/>
                <w:b/>
                <w:sz w:val="22"/>
              </w:rPr>
              <w:t xml:space="preserve"> piesaistes nodrošināšana</w:t>
            </w:r>
          </w:p>
          <w:p w14:paraId="56EDB2A4"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SEG emisiju samazināšanas pasākumu īstenošana visos tautsaimniecības sektoros, vienlaikus virzot valsti uz ilgtspējīgu un oglekļa mazietilpīgu, tai pat laikā izmaksu efektīvu attīstību.</w:t>
            </w:r>
          </w:p>
          <w:p w14:paraId="77EB15E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Klimata politikas mērķu integrēšana citu nozaru politikā, nosakot katras nozares atbildību, kā arī veicinot sadarbību starp valsti, pašvaldībām un privāto sektoru.</w:t>
            </w:r>
          </w:p>
          <w:p w14:paraId="10B4B822"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Pielāgošanās klimata pārmaiņām</w:t>
            </w:r>
          </w:p>
          <w:p w14:paraId="0008A93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Efektīvu pielāgošanās pasākumu īstenošana un to integrēšana teritoriju attīstības plānošanā un nozaru politikā ar mērķi mazināt klimata pārmaiņu ietekmi un pielāgoties tām.</w:t>
            </w:r>
          </w:p>
          <w:p w14:paraId="6750C460"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lastRenderedPageBreak/>
              <w:t>Plūdu riska mazināšana un plūdu seku pārvaldība</w:t>
            </w:r>
          </w:p>
          <w:p w14:paraId="208A7A75"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SEG emisiju uzskaite un prognozēšana</w:t>
            </w:r>
          </w:p>
          <w:p w14:paraId="7B88AAF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b/>
                <w:sz w:val="22"/>
              </w:rPr>
              <w:t>Sabiedrības izglītošana par klimata pārmaiņām un pielāgošanos tām, kā arī iedzīvotāju iesaistīšana politikas veidošanā un ieviešanā.</w:t>
            </w:r>
          </w:p>
        </w:tc>
      </w:tr>
      <w:tr w:rsidR="00AB46B9" w:rsidRPr="008B628A" w14:paraId="6AA8B11B" w14:textId="77777777" w:rsidTr="00B35DDE">
        <w:tc>
          <w:tcPr>
            <w:tcW w:w="2240" w:type="dxa"/>
          </w:tcPr>
          <w:p w14:paraId="2E9569B6"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ADAP2020</w:t>
            </w:r>
            <w:r w:rsidRPr="008B628A">
              <w:rPr>
                <w:rStyle w:val="FootnoteReference"/>
                <w:b/>
                <w:sz w:val="22"/>
              </w:rPr>
              <w:footnoteReference w:id="261"/>
            </w:r>
          </w:p>
        </w:tc>
        <w:tc>
          <w:tcPr>
            <w:tcW w:w="2122" w:type="dxa"/>
          </w:tcPr>
          <w:p w14:paraId="350537D8"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243C334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34892F5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0DEB28E8"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eastAsia="Times New Roman" w:hAnsi="Times New Roman" w:cs="Times New Roman"/>
                <w:sz w:val="22"/>
              </w:rPr>
              <w:t>Veicināt alternatīvo degvielu attīstību un samazināt transporta negatīvo ietekmi uz vidi</w:t>
            </w:r>
          </w:p>
        </w:tc>
        <w:tc>
          <w:tcPr>
            <w:tcW w:w="7162" w:type="dxa"/>
          </w:tcPr>
          <w:p w14:paraId="118CF425"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Alternatīvo degvielu visaptveroša infrastruktūra Latvijā, SEG emisiju samazinājums autotransporta nozarē</w:t>
            </w:r>
          </w:p>
          <w:p w14:paraId="677EFB31"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Latvijas tautsaimniecībai efektīvāko alternatīvo degvielu ieviešanas scenāriju izvērtēšana un risinājumu noteikšana.</w:t>
            </w:r>
          </w:p>
          <w:p w14:paraId="0D777925"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Normatīvo aktu pilnveidošana</w:t>
            </w:r>
          </w:p>
          <w:p w14:paraId="3B6F3AF6"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Alternatīvo degvielu infrastruktūras izveide un attīstība.</w:t>
            </w:r>
          </w:p>
          <w:p w14:paraId="3535C3E3"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sz w:val="22"/>
              </w:rPr>
            </w:pPr>
            <w:r w:rsidRPr="008B628A">
              <w:rPr>
                <w:rFonts w:ascii="Times New Roman" w:eastAsia="Times New Roman" w:hAnsi="Times New Roman" w:cs="Times New Roman"/>
                <w:sz w:val="22"/>
              </w:rPr>
              <w:t>Sabiedrības informēšana</w:t>
            </w:r>
          </w:p>
        </w:tc>
      </w:tr>
      <w:tr w:rsidR="00AB46B9" w:rsidRPr="008B628A" w14:paraId="38EA7124" w14:textId="77777777" w:rsidTr="00B35DDE">
        <w:tc>
          <w:tcPr>
            <w:tcW w:w="2240" w:type="dxa"/>
          </w:tcPr>
          <w:p w14:paraId="649F4A40"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Atkritumu apsaimniekošanas valsts plāns 2013.–2020.gadam</w:t>
            </w:r>
            <w:r w:rsidRPr="008B628A">
              <w:rPr>
                <w:rStyle w:val="FootnoteReference"/>
                <w:b/>
                <w:sz w:val="22"/>
              </w:rPr>
              <w:footnoteReference w:id="262"/>
            </w:r>
          </w:p>
        </w:tc>
        <w:tc>
          <w:tcPr>
            <w:tcW w:w="2122" w:type="dxa"/>
          </w:tcPr>
          <w:p w14:paraId="4DF0533D"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17B62AC5" w14:textId="77777777" w:rsidR="00AB46B9" w:rsidRPr="008B628A" w:rsidRDefault="00AB46B9" w:rsidP="00283C85">
            <w:pPr>
              <w:pStyle w:val="ListParagraph"/>
              <w:numPr>
                <w:ilvl w:val="0"/>
                <w:numId w:val="79"/>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Samazināt apglabājamo atkritumu plūsmu, palielinot atkritumu pārstrādi 50% līdz 80% apmērā atkarībā no atkritumu veida.</w:t>
            </w:r>
          </w:p>
          <w:p w14:paraId="429398B7" w14:textId="77777777" w:rsidR="00AB46B9" w:rsidRPr="008B628A" w:rsidRDefault="00AB46B9" w:rsidP="00283C85">
            <w:pPr>
              <w:pStyle w:val="ListParagraph"/>
              <w:numPr>
                <w:ilvl w:val="0"/>
                <w:numId w:val="79"/>
              </w:numPr>
              <w:spacing w:before="60" w:after="60" w:line="240" w:lineRule="auto"/>
              <w:ind w:left="227" w:hanging="227"/>
              <w:contextualSpacing w:val="0"/>
              <w:jc w:val="both"/>
              <w:rPr>
                <w:rFonts w:ascii="Times New Roman" w:hAnsi="Times New Roman" w:cs="Times New Roman"/>
                <w:sz w:val="22"/>
              </w:rPr>
            </w:pPr>
            <w:r w:rsidRPr="008B628A">
              <w:rPr>
                <w:rFonts w:ascii="Times New Roman" w:eastAsia="Times New Roman" w:hAnsi="Times New Roman" w:cs="Times New Roman"/>
                <w:sz w:val="22"/>
              </w:rPr>
              <w:t>Attīstīt un pilnveidot sabiedrības vides apziņu un zaļo domāšanu, lai panāktu klimata pārmaiņu, dabas un energoresursu patēriņa, vides piesārņojuma samazināšanu.</w:t>
            </w:r>
          </w:p>
        </w:tc>
        <w:tc>
          <w:tcPr>
            <w:tcW w:w="7162" w:type="dxa"/>
          </w:tcPr>
          <w:p w14:paraId="33567375"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novērst</w:t>
            </w:r>
            <w:r w:rsidRPr="008B628A">
              <w:rPr>
                <w:sz w:val="22"/>
                <w:szCs w:val="22"/>
                <w:lang w:val="lv-LV"/>
              </w:rPr>
              <w:t xml:space="preserve"> atkritumu rašanos, palielinoties ekonomiskajai izaugsmei, un</w:t>
            </w:r>
            <w:r w:rsidRPr="008B628A">
              <w:rPr>
                <w:b/>
                <w:sz w:val="22"/>
                <w:szCs w:val="22"/>
                <w:lang w:val="lv-LV"/>
              </w:rPr>
              <w:t xml:space="preserve"> nodrošināt</w:t>
            </w:r>
            <w:r w:rsidRPr="008B628A">
              <w:rPr>
                <w:sz w:val="22"/>
                <w:szCs w:val="22"/>
                <w:lang w:val="lv-LV"/>
              </w:rPr>
              <w:t xml:space="preserve">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16981437"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 xml:space="preserve">nodrošināt </w:t>
            </w:r>
            <w:r w:rsidRPr="008B628A">
              <w:rPr>
                <w:sz w:val="22"/>
                <w:szCs w:val="22"/>
                <w:lang w:val="lv-LV"/>
              </w:rPr>
              <w:t>atkritumu kā resursu racionālu izmantošanu;</w:t>
            </w:r>
          </w:p>
          <w:p w14:paraId="634C4B1C"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nodrošināt</w:t>
            </w:r>
            <w:r w:rsidRPr="008B628A">
              <w:rPr>
                <w:sz w:val="22"/>
                <w:szCs w:val="22"/>
                <w:lang w:val="lv-LV"/>
              </w:rPr>
              <w: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14:paraId="00EA55CE"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nodrošināt</w:t>
            </w:r>
            <w:r w:rsidRPr="008B628A">
              <w:rPr>
                <w:sz w:val="22"/>
                <w:szCs w:val="22"/>
                <w:lang w:val="lv-LV"/>
              </w:rPr>
              <w:t xml:space="preserve"> apglabājamo atkritumu daudzuma samazināšanu un atkritumu apglabāšanu cilvēku veselībai un videi drošā veidā; </w:t>
            </w:r>
          </w:p>
        </w:tc>
      </w:tr>
      <w:tr w:rsidR="00AB46B9" w:rsidRPr="008B628A" w14:paraId="26AED6B9" w14:textId="77777777" w:rsidTr="00B35DDE">
        <w:tc>
          <w:tcPr>
            <w:tcW w:w="2240" w:type="dxa"/>
          </w:tcPr>
          <w:p w14:paraId="1503397D"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Latvijas lauku attīstības programma 2014.-2020.gadam</w:t>
            </w:r>
            <w:r w:rsidRPr="008B628A">
              <w:rPr>
                <w:rStyle w:val="FootnoteReference"/>
                <w:b/>
                <w:sz w:val="22"/>
              </w:rPr>
              <w:footnoteReference w:id="263"/>
            </w:r>
          </w:p>
        </w:tc>
        <w:tc>
          <w:tcPr>
            <w:tcW w:w="2122" w:type="dxa"/>
          </w:tcPr>
          <w:p w14:paraId="37C13352"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09DAB28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25FE8695"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307DD0CE"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zināšanu pārnesi un inovācijas lauksaimniecībā, mežsaimniecībā un lauku apvidos</w:t>
            </w:r>
          </w:p>
          <w:p w14:paraId="65C03E08"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Uzlabot lauku saimniecību dzīvotspēju un visu lauksaimniecības veidu konkurētspēju visos reģionos un veicināt inovatīvas saimniecību tehnoloģijas un ilgtspējīgu meža apsaimniekošanu</w:t>
            </w:r>
          </w:p>
          <w:p w14:paraId="1B18B8E3"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pārtikas preču aprites organizēšanu, tostarp lauksaimniecības produktu pārstrādi un tirdzniecību, dzīvnieku labturību un riska pārvaldību lauksaimniecībā</w:t>
            </w:r>
          </w:p>
          <w:p w14:paraId="1E79993C"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Atjaunot, saglabāt un uzlabot ekosistēmas, kas saistītas ar lauksaimniecību un mežsaimniecību</w:t>
            </w:r>
          </w:p>
          <w:p w14:paraId="39F85230"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Veicināt resursu efektīvu izmantošanu un atbalstīt pret klimata pārmaiņām noturīgu ekonomiku ar zemu oglekļa dioksīda emisiju līmeni </w:t>
            </w:r>
            <w:r w:rsidRPr="008B628A">
              <w:rPr>
                <w:rFonts w:ascii="Times New Roman" w:eastAsia="Times New Roman" w:hAnsi="Times New Roman" w:cs="Times New Roman"/>
                <w:sz w:val="22"/>
              </w:rPr>
              <w:lastRenderedPageBreak/>
              <w:t>lauksaimniecības, pārtikas un mežsaimniecības nozarēs</w:t>
            </w:r>
          </w:p>
          <w:p w14:paraId="0675C88B"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sociālo iekļautību, nabadzības mazināšanu un ekonomisko attīstību lauku apvidos</w:t>
            </w:r>
          </w:p>
        </w:tc>
        <w:tc>
          <w:tcPr>
            <w:tcW w:w="7162" w:type="dxa"/>
          </w:tcPr>
          <w:p w14:paraId="6F9B2C73"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lastRenderedPageBreak/>
              <w:t>Zināšanu pārnese un inovācijas lauksaimniecībā, mežsaimniecībā un lauku teritorijās</w:t>
            </w:r>
          </w:p>
          <w:p w14:paraId="2F051B3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Sekmēt inovāciju, sadarbību un zināšanu bāzes attīstību lauku apvidos</w:t>
            </w:r>
          </w:p>
          <w:p w14:paraId="71F19B97"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Stiprināt saikni starp lauksaimniecību, pārtikas ražošanu un mežsaimniecību un pētniecību un inovāciju, tostarp lai uzlabotu vides apsaimniekošanu un vides stāvokļa rādītājus</w:t>
            </w:r>
          </w:p>
          <w:p w14:paraId="5CEAD9CD"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Rosināt mūžizglītību un apmācības lauksaimniecības un mežsaimniecības nozarēs </w:t>
            </w:r>
          </w:p>
          <w:p w14:paraId="38B287AE"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Lauku saimniecību konkurētspējas un dzīvotspējas palielināšana, inovatīvu tehnoloģiju ieviešanas veicināšana lauksaimniecībā</w:t>
            </w:r>
          </w:p>
          <w:p w14:paraId="340C01D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visu lauku saimniecību ekonomiskos rādītājus un veicināt lauku saimniecību pārstrukturēšanu un modernizēšanu, jo īpaši lai pastiprinātu dalību tirgū un virzību uz tirgu, kā arī lai veicinātu lauksaimnieciskās darbības dažādošanu</w:t>
            </w:r>
          </w:p>
          <w:p w14:paraId="4BB06B74"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Atvieglot atbilstīgi kvalificētu lauksaimnieku ienākšanu lauksaimniecības nozarē un jo īpaši paaudžu maiņu</w:t>
            </w:r>
          </w:p>
          <w:p w14:paraId="4A1717C2"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Pārtikas aprites organizēšanas, dzīvnieku labturības un riska pārvaldības veicināšana lauksaimniecībā</w:t>
            </w:r>
          </w:p>
          <w:p w14:paraId="72F7466A"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primāro ražotāju konkurētspēju, tos labāk integrējot lauksaimniecības pārtikas apritē, izmantojot kvalitātes shēmas, piešķirot papildu vērtību lauksaimniecības produktiem, veicinot noietu vietējos tirgos un izmantojot īsas piegādes ķēdes, ražotāju grupas un organizācijas un starpnozaru organizācijas;</w:t>
            </w:r>
          </w:p>
          <w:p w14:paraId="135541A7"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Lauku saimniecību riska novēršanas un pārvaldības atbalsts.</w:t>
            </w:r>
          </w:p>
          <w:p w14:paraId="48C461E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Ar lauksaimniecību un mežsaimniecību saistīto ekosistēmu atjaunošana, saglabāšana un veicināšana</w:t>
            </w:r>
          </w:p>
          <w:p w14:paraId="30EDE57E"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 xml:space="preserve">Atjaunot, saglabāt un veicināt bioloģisko daudzveidību (tostarp Natura 2000 teritorijās un apgabalos, kuros ir dabiskie vai citi specifiski ierobežojumi), un </w:t>
            </w:r>
            <w:r w:rsidRPr="008B628A">
              <w:rPr>
                <w:rFonts w:ascii="Times New Roman" w:hAnsi="Times New Roman" w:cs="Times New Roman"/>
                <w:sz w:val="22"/>
              </w:rPr>
              <w:lastRenderedPageBreak/>
              <w:t>apgabalos ar augstas dabas vērtības lauksaimniecību, kā arī Eiropas ainavu stāvokli;</w:t>
            </w:r>
          </w:p>
          <w:p w14:paraId="3189DA2E"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Uzlabot ūdens resursu apsaimniekošanu, tostarp mēslošanas līdzekļu un pesticīdu lietošanu.</w:t>
            </w:r>
          </w:p>
          <w:p w14:paraId="1083F486"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Novērst augsnes eroziju un uzlabot augsnes apsaimniekošanu.</w:t>
            </w:r>
          </w:p>
          <w:p w14:paraId="31487C0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Resursu efektīvas izmantošanas veicināšana un pret klimata pārmaiņām noturīgas ekonomikas ar zemu oglekļa dioksīda emisiju līmeni atbalstīšana lauksaimniecības, pārtikas un mežsaimniecības nozarēs</w:t>
            </w:r>
          </w:p>
          <w:p w14:paraId="44CB70C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enerģijas izmantošanas efektivitāti lauksaimniecībā un pārtikas pārstrādē</w:t>
            </w:r>
          </w:p>
          <w:p w14:paraId="4BB2B11A" w14:textId="32A75F8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Sekmēt </w:t>
            </w:r>
            <w:r w:rsidR="00C432CC">
              <w:rPr>
                <w:rFonts w:ascii="Times New Roman" w:hAnsi="Times New Roman" w:cs="Times New Roman"/>
                <w:sz w:val="22"/>
              </w:rPr>
              <w:t>AER</w:t>
            </w:r>
            <w:r w:rsidRPr="008B628A">
              <w:rPr>
                <w:rFonts w:ascii="Times New Roman" w:hAnsi="Times New Roman" w:cs="Times New Roman"/>
                <w:sz w:val="22"/>
              </w:rPr>
              <w:t>, blakusproduktu, atkritumu, atlieku un citu nepārtikas izejvielu piegādi un izmantošanu bioekonomikas vajadzībām.</w:t>
            </w:r>
          </w:p>
          <w:p w14:paraId="2141035F"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siltumnīcefekta gāzu un amonjaka emisijas lauksaimniecībā.</w:t>
            </w:r>
          </w:p>
          <w:p w14:paraId="562B0D9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Veicināt oglekļa uzglabāšanu un piesaisti lauksaimniecībā un mežsaimniecībā</w:t>
            </w:r>
          </w:p>
          <w:p w14:paraId="4CB4DE33"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Sociālās iekļaušanas, nabadzības mazināšanas un ekonomiskās attīstības veicināšana lauku teritorijās</w:t>
            </w:r>
          </w:p>
          <w:p w14:paraId="51BD38E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Veicināt dažādošanu, mazu uzņēmumu izveidi un attīstīšanu, kā arī darbvietu radīšanu.</w:t>
            </w:r>
          </w:p>
          <w:p w14:paraId="633C9862"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Sekmēt vietējo attīstību lauku apvidos</w:t>
            </w:r>
          </w:p>
        </w:tc>
      </w:tr>
      <w:tr w:rsidR="00AB46B9" w:rsidRPr="008B628A" w14:paraId="7830F7A1" w14:textId="77777777" w:rsidTr="00B35DDE">
        <w:trPr>
          <w:trHeight w:val="68"/>
        </w:trPr>
        <w:tc>
          <w:tcPr>
            <w:tcW w:w="2240" w:type="dxa"/>
          </w:tcPr>
          <w:p w14:paraId="1C7038F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MSNP2020</w:t>
            </w:r>
            <w:bookmarkStart w:id="474" w:name="_Hlk522544935"/>
            <w:r w:rsidRPr="008B628A">
              <w:rPr>
                <w:rStyle w:val="FootnoteReference"/>
                <w:b/>
                <w:sz w:val="22"/>
              </w:rPr>
              <w:footnoteReference w:id="264"/>
            </w:r>
            <w:bookmarkEnd w:id="474"/>
          </w:p>
        </w:tc>
        <w:tc>
          <w:tcPr>
            <w:tcW w:w="2122" w:type="dxa"/>
          </w:tcPr>
          <w:p w14:paraId="1847548C"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dekarbonizācija</w:t>
            </w:r>
          </w:p>
          <w:p w14:paraId="03834466"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2) AER enerģija</w:t>
            </w:r>
          </w:p>
          <w:p w14:paraId="5DE39FB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0074400D" w14:textId="77777777" w:rsidR="00AB46B9" w:rsidRPr="008B628A" w:rsidRDefault="00AB46B9" w:rsidP="00B35DDE">
            <w:pPr>
              <w:spacing w:before="60" w:after="60" w:line="240" w:lineRule="auto"/>
              <w:jc w:val="both"/>
              <w:rPr>
                <w:rFonts w:ascii="Times New Roman" w:hAnsi="Times New Roman" w:cs="Times New Roman"/>
                <w:sz w:val="22"/>
              </w:rPr>
            </w:pPr>
          </w:p>
        </w:tc>
        <w:tc>
          <w:tcPr>
            <w:tcW w:w="2930" w:type="dxa"/>
          </w:tcPr>
          <w:p w14:paraId="06C9E826" w14:textId="77777777" w:rsidR="00AB46B9" w:rsidRPr="008B628A" w:rsidRDefault="00AB46B9" w:rsidP="00283C85">
            <w:pPr>
              <w:pStyle w:val="VirsrkastsOtrais"/>
              <w:numPr>
                <w:ilvl w:val="0"/>
                <w:numId w:val="84"/>
              </w:numPr>
              <w:tabs>
                <w:tab w:val="left" w:pos="567"/>
              </w:tabs>
              <w:spacing w:before="60" w:after="60"/>
              <w:ind w:left="227" w:hanging="227"/>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Latvijas mežu apsaimniekošana ir ilgtspējīga un starptautiski atzīta</w:t>
            </w:r>
          </w:p>
          <w:p w14:paraId="0ADBC0D7" w14:textId="77777777" w:rsidR="00AB46B9" w:rsidRPr="008B628A" w:rsidRDefault="00AB46B9" w:rsidP="00283C85">
            <w:pPr>
              <w:pStyle w:val="ListParagraph"/>
              <w:numPr>
                <w:ilvl w:val="0"/>
                <w:numId w:val="84"/>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Latvijas meža nozares produkcija ir konkurētspējīga ar augstu </w:t>
            </w:r>
            <w:r w:rsidRPr="008B628A">
              <w:rPr>
                <w:rFonts w:ascii="Times New Roman" w:eastAsia="Times New Roman" w:hAnsi="Times New Roman" w:cs="Times New Roman"/>
                <w:sz w:val="22"/>
              </w:rPr>
              <w:lastRenderedPageBreak/>
              <w:t>pievienoto vērtību un atbilst klienta vajadzībām</w:t>
            </w:r>
          </w:p>
          <w:p w14:paraId="2B81BE94" w14:textId="77777777" w:rsidR="00AB46B9" w:rsidRPr="008B628A" w:rsidRDefault="00AB46B9" w:rsidP="00283C85">
            <w:pPr>
              <w:pStyle w:val="ListParagraph"/>
              <w:numPr>
                <w:ilvl w:val="0"/>
                <w:numId w:val="84"/>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Meža un saistīto nozaru attīstībai atbilstošs izglītības un zinātniskais potenciāls un cilvēkresursu prasmju līmenis</w:t>
            </w:r>
          </w:p>
        </w:tc>
        <w:tc>
          <w:tcPr>
            <w:tcW w:w="7162" w:type="dxa"/>
          </w:tcPr>
          <w:p w14:paraId="2B78F405"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lastRenderedPageBreak/>
              <w:t>Meža un meža zemes efektīva un ilgtspējīga apsaimniekošana</w:t>
            </w:r>
          </w:p>
          <w:p w14:paraId="5A36212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Nodrošināt meža resursu pieejamību tagad un nākamajām paaudzēm</w:t>
            </w:r>
          </w:p>
          <w:p w14:paraId="69A268E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meža kooperatīvo apsaimniekošanu</w:t>
            </w:r>
          </w:p>
          <w:p w14:paraId="169F9A5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Saglabāt meža bioloģisko daudzveidību esošajā līmenī</w:t>
            </w:r>
          </w:p>
          <w:p w14:paraId="03F10ACC"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Meža apsaimniekošanas risku mazināšana</w:t>
            </w:r>
          </w:p>
          <w:p w14:paraId="5137EC01"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mežaudžu dabisko atmirumu</w:t>
            </w:r>
          </w:p>
          <w:p w14:paraId="6965CF88" w14:textId="77777777" w:rsidR="00AB46B9" w:rsidRPr="008B628A" w:rsidRDefault="00AB46B9" w:rsidP="00B35DDE">
            <w:pPr>
              <w:spacing w:before="60" w:after="60" w:line="240" w:lineRule="auto"/>
              <w:jc w:val="both"/>
              <w:rPr>
                <w:rFonts w:ascii="Times New Roman" w:hAnsi="Times New Roman"/>
                <w:color w:val="000000"/>
                <w:szCs w:val="24"/>
              </w:rPr>
            </w:pPr>
          </w:p>
          <w:p w14:paraId="01D78733"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lastRenderedPageBreak/>
              <w:t>Meža nozares konkurētspējas attīstība</w:t>
            </w:r>
          </w:p>
          <w:p w14:paraId="446A6D7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meža nozares apstrādātas koksnes produkcijas eksportu</w:t>
            </w:r>
          </w:p>
          <w:p w14:paraId="41F75CEF"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tālāk apstrādes produkcijas īpatsvaru</w:t>
            </w:r>
          </w:p>
          <w:p w14:paraId="49B5055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Jaunu koksnes produktu un uzņēmumu attīstība</w:t>
            </w:r>
          </w:p>
          <w:p w14:paraId="409B474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apaļo kokmateriālu un kokapstrādes blakusproduktu eksporta īpatsvaru</w:t>
            </w:r>
          </w:p>
          <w:p w14:paraId="200B4D9C" w14:textId="77777777" w:rsidR="00AB46B9" w:rsidRPr="008B628A" w:rsidRDefault="00AB46B9" w:rsidP="00B35DDE">
            <w:pPr>
              <w:spacing w:before="60" w:after="60" w:line="240" w:lineRule="auto"/>
              <w:jc w:val="both"/>
              <w:rPr>
                <w:rFonts w:ascii="Times New Roman" w:hAnsi="Times New Roman"/>
                <w:color w:val="000000"/>
                <w:szCs w:val="24"/>
              </w:rPr>
            </w:pPr>
          </w:p>
          <w:p w14:paraId="6CAD1E14"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t>Meža nozares zinātnes attīstība</w:t>
            </w:r>
          </w:p>
          <w:p w14:paraId="4867DF40"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meža nozares zinātnisko institūtu konkurētspēju un starptautiskā atpazīstamību</w:t>
            </w:r>
          </w:p>
          <w:p w14:paraId="53EC6900"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Palielināt nozares zinātnisko institūtu ienākumus no meža nozares uzņēmumiem sniegtiem P&amp;A pakalpojumiem  </w:t>
            </w:r>
          </w:p>
          <w:p w14:paraId="2F84FB2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Meža nozares izglītības attīstība</w:t>
            </w:r>
          </w:p>
          <w:p w14:paraId="1BA4761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mežsaimniecības un kokapstrādes mācību programmās studējošo skaitu un konkursu uz vienu budžeta vietu</w:t>
            </w:r>
          </w:p>
          <w:p w14:paraId="0F541A0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Sabiedrības un meža īpašnieku informēšana un izglītošana</w:t>
            </w:r>
          </w:p>
          <w:p w14:paraId="2877D3D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sabiedrības zināšanas un izpratni  par ilgtspējīgu meža apsaimniekošanu  un koksnes produktu pielietošanu</w:t>
            </w:r>
          </w:p>
          <w:p w14:paraId="1807A426"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apsaimniekoto privāto mežu īpatsvaru</w:t>
            </w:r>
          </w:p>
        </w:tc>
      </w:tr>
      <w:tr w:rsidR="00AB46B9" w:rsidRPr="008B628A" w14:paraId="4C5C2A27" w14:textId="77777777" w:rsidTr="00B35DDE">
        <w:trPr>
          <w:trHeight w:val="68"/>
        </w:trPr>
        <w:tc>
          <w:tcPr>
            <w:tcW w:w="2240" w:type="dxa"/>
          </w:tcPr>
          <w:p w14:paraId="0998D3AD"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TAP2020</w:t>
            </w:r>
            <w:r w:rsidRPr="008B628A">
              <w:rPr>
                <w:rStyle w:val="FootnoteReference"/>
                <w:b/>
                <w:sz w:val="22"/>
              </w:rPr>
              <w:footnoteReference w:id="265"/>
            </w:r>
          </w:p>
        </w:tc>
        <w:tc>
          <w:tcPr>
            <w:tcW w:w="2122" w:type="dxa"/>
          </w:tcPr>
          <w:p w14:paraId="46FD54CF"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7FAB758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6FC9485C"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17E9DCCC"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konkurētspējīga, ilgtspējīga, komodāla transporta sistēma, kas nodrošina augstas kvalitātes mobilitāti, efektīvi izmantojot resursus, t.sk. ES fondus.</w:t>
            </w:r>
          </w:p>
        </w:tc>
        <w:tc>
          <w:tcPr>
            <w:tcW w:w="7162" w:type="dxa"/>
          </w:tcPr>
          <w:p w14:paraId="01C83CD4"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Latvija – ilgtspējīgs transporta un loģistikas pakalpojumu sniedzējs</w:t>
            </w:r>
          </w:p>
          <w:p w14:paraId="79D245C3"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Samazināt valsts autoceļu ar asfalta segumu sliktā un ļoti sliktā stāvoklī garums par 57%, salīdzinot ar 2012.gadu</w:t>
            </w:r>
          </w:p>
          <w:p w14:paraId="12CB4541"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Konkurētspējīga dzelzceļa infrastruktūra</w:t>
            </w:r>
          </w:p>
          <w:p w14:paraId="1B2C78F3"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Rīga – dinamiski augošs Baltijas reģiona un Ziemeļeiropas līmeņa gaisa satiksmes centrs</w:t>
            </w:r>
          </w:p>
          <w:p w14:paraId="1428CDC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Uzlabota transporta drošība</w:t>
            </w:r>
          </w:p>
          <w:p w14:paraId="7C6C3545"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lastRenderedPageBreak/>
              <w:t>Nodrošināta iekšējā un ārējā sasniedzamība, un augstas kvalitātes mobilitātes iespējas visā valsts teritorijā</w:t>
            </w:r>
          </w:p>
          <w:p w14:paraId="5E44854F" w14:textId="77777777" w:rsidR="00AB46B9" w:rsidRPr="008B628A" w:rsidRDefault="00AB46B9" w:rsidP="00283C85">
            <w:pPr>
              <w:pStyle w:val="VirsrkastsOtrais"/>
              <w:numPr>
                <w:ilvl w:val="0"/>
                <w:numId w:val="87"/>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Nodrošināta iespēja visiem iedzīvotājiem nokļūt novada centrā, apmeklēt izglītības iestādes, nokļūt darbavietās, valsts un pašvaldību institūcijās to normālajā darba laikā ar sabiedrisko transportu</w:t>
            </w:r>
          </w:p>
          <w:p w14:paraId="05BB219D" w14:textId="77777777" w:rsidR="00AB46B9" w:rsidRPr="008B628A" w:rsidRDefault="00AB46B9" w:rsidP="00283C85">
            <w:pPr>
              <w:pStyle w:val="VirsrkastsOtrais"/>
              <w:numPr>
                <w:ilvl w:val="0"/>
                <w:numId w:val="87"/>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Radīti priekšnosacījumi reģionālo lidostu attīstībai</w:t>
            </w:r>
          </w:p>
          <w:p w14:paraId="77052573"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Energoefektivitātes paaugstināšana un elektromobilitātes veicināšana</w:t>
            </w:r>
          </w:p>
          <w:p w14:paraId="1B7AAD6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 xml:space="preserve">Palielinājusies elektromobilitātes loma </w:t>
            </w:r>
          </w:p>
        </w:tc>
      </w:tr>
      <w:tr w:rsidR="00AB46B9" w:rsidRPr="008B628A" w14:paraId="60FE2442" w14:textId="77777777" w:rsidTr="00B35DDE">
        <w:trPr>
          <w:trHeight w:val="68"/>
        </w:trPr>
        <w:tc>
          <w:tcPr>
            <w:tcW w:w="2240" w:type="dxa"/>
          </w:tcPr>
          <w:p w14:paraId="06CA082B"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ADAP2020</w:t>
            </w:r>
            <w:r w:rsidRPr="008B628A">
              <w:rPr>
                <w:rStyle w:val="FootnoteReference"/>
                <w:b/>
                <w:sz w:val="22"/>
              </w:rPr>
              <w:footnoteReference w:id="266"/>
            </w:r>
          </w:p>
        </w:tc>
        <w:tc>
          <w:tcPr>
            <w:tcW w:w="2122" w:type="dxa"/>
          </w:tcPr>
          <w:p w14:paraId="0FA7FF9D"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3B05E10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6B96D62E"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14A3A098" w14:textId="72BE7CC9" w:rsidR="00AB46B9" w:rsidRPr="008B628A" w:rsidRDefault="00AB46B9" w:rsidP="00B35DDE">
            <w:pPr>
              <w:pStyle w:val="VirsrkastsOtrais"/>
              <w:numPr>
                <w:ilvl w:val="0"/>
                <w:numId w:val="0"/>
              </w:numPr>
              <w:tabs>
                <w:tab w:val="left" w:pos="567"/>
              </w:tabs>
              <w:spacing w:before="60" w:after="60"/>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noteikt nepieciešamos izpētes un analīzes virzienus, kuru rezultātā tiks izstrādāta turpmākā rīcībpolitika attiecībā uz alternatīvo degvielu ieviešanu noteiktos transporta sektoros, lai mazinātu siltumnīcefekta gāzu emisijas.</w:t>
            </w:r>
          </w:p>
        </w:tc>
        <w:tc>
          <w:tcPr>
            <w:tcW w:w="7162" w:type="dxa"/>
          </w:tcPr>
          <w:p w14:paraId="6454A0B0"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Veicināt alternatīvo degvielu attīstību un samazināt transporta negatīvo ietekmi uz vidi</w:t>
            </w:r>
          </w:p>
          <w:p w14:paraId="1DA565FE"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visaptverošu pētījumu par alternatīvo degvielu ieviešanas scenārijiem autotransportā siltumnīcefekta gāzu emisiju samazināšanai un tā ietekmi uz Latvijas tautsaimniecību.</w:t>
            </w:r>
          </w:p>
          <w:p w14:paraId="6D4683E2"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iespējas ilgtspējīgām biodegvielām (gan šķidrām, gan gāzveida) noteikt minimālo akcīzes nodokļa likmi, ņemot vērā biodegvielu siltumietilpību. Pakāpeniski vienādot akcīzes nodokļa likmes gāzveida kurināmajiem (dabasgāze un naftas gāzes), ņemot vērā gāzveida enerģijas produktu siltumietilpību</w:t>
            </w:r>
            <w:r w:rsidRPr="008B628A">
              <w:rPr>
                <w:rStyle w:val="FootnoteReference"/>
                <w:b w:val="0"/>
                <w:color w:val="000000"/>
                <w:sz w:val="22"/>
                <w:szCs w:val="22"/>
                <w:lang w:val="lv-LV"/>
              </w:rPr>
              <w:footnoteReference w:id="267"/>
            </w:r>
            <w:r w:rsidRPr="008B628A">
              <w:rPr>
                <w:rFonts w:ascii="Times New Roman" w:hAnsi="Times New Roman"/>
                <w:b w:val="0"/>
                <w:color w:val="000000"/>
                <w:sz w:val="22"/>
                <w:szCs w:val="22"/>
                <w:lang w:val="lv-LV"/>
              </w:rPr>
              <w:t>.</w:t>
            </w:r>
          </w:p>
          <w:p w14:paraId="453E614C"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administratīvo procedūru vienkāršošanu tādu ETL uzlādes punktu ierīkošanai, kas nav publiski pieejami.</w:t>
            </w:r>
          </w:p>
          <w:p w14:paraId="0527858B"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iespējas veicināt ETL iegādi.</w:t>
            </w:r>
          </w:p>
          <w:p w14:paraId="583ACC4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izvērtējumu par nepieciešamību un ekonomisko pamatojumu LNG uzpildes punktu izveidei ostās (TEN-T pamattīklā).</w:t>
            </w:r>
          </w:p>
          <w:p w14:paraId="62BCCFFC"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pētījumu par pieprasījumu un izmaksu samērīgumu krasta elektropadevei kuģiem ostās salīdzinājumā ar ieguvumiem vides jomā, ņemot vērā sākotnējo izvērtējumu Plāna ietvaros.</w:t>
            </w:r>
          </w:p>
          <w:p w14:paraId="0083D5DC"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Normatīvo aktu pilnveidošana</w:t>
            </w:r>
          </w:p>
          <w:p w14:paraId="5CB00E32"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lastRenderedPageBreak/>
              <w:t xml:space="preserve">Aktualizēt normatīvos aktus, nosakot prasības CNG, LNG un FCEV  uzpildes stacijām. </w:t>
            </w:r>
          </w:p>
          <w:p w14:paraId="691D739F"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nosakot prasības ETL uzlādes stacijām, kā arī ETL uzlādes punktu operatoriem.</w:t>
            </w:r>
          </w:p>
          <w:p w14:paraId="29E98FCD"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grozījumus normatīvajos aktos, papildinot ar ETL, FCEV,  ar dabasgāzi darbināma transportlīdzekļa un bezemisiju transportlīdzekļa definīcijām.</w:t>
            </w:r>
          </w:p>
          <w:p w14:paraId="003E7AAD"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attiecībā uz alternatīvo degvielu transportlīdzekļu lietotājiem sniedzamo informāciju CNG, LNG un FCEV uzpildes stacijās.</w:t>
            </w:r>
          </w:p>
          <w:p w14:paraId="77F4F218"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attiecībā uz alternatīvo degvielu transportlīdzekļu lietotājiem sniedzamo informāciju ETL uzlādes stacijās, transportlīdzekļu lietotāju rokasgrāmatās un transportlīdzekļu tirdzniecības vietās.</w:t>
            </w:r>
          </w:p>
          <w:p w14:paraId="0AF88C38"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CNG, LNG, FCEV, ar biodegvielu, parafinizēto un sintētisko degvielu, kas iegūtas no AER, darbināmu transportlīdzekļu iegādes veicināšanai.</w:t>
            </w:r>
          </w:p>
          <w:p w14:paraId="7C27E7D4"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Alternatīvo degvielu infrastruktūras izveide un attīstība</w:t>
            </w:r>
          </w:p>
          <w:p w14:paraId="21F5A5A8"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ETL uzlādes infrastruktūru uz TEN-T ceļiem.</w:t>
            </w:r>
          </w:p>
          <w:p w14:paraId="67E0D866"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ETL uzlādes infrastruktūru uz pārējiem ceļiem (TEN-T ceļus savienojošie reģionālie ceļi un pilsētas un apdzīvotas vietas).</w:t>
            </w:r>
          </w:p>
          <w:p w14:paraId="37DAAE00"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CNG uzpildes infrastruktūru.</w:t>
            </w:r>
          </w:p>
          <w:p w14:paraId="5B5213E2"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uzpildes stacijas transportlīdzekļiem, kas darbināmi ar biodegvielu, parafinizēto un sintētisko degvielu, kas iegūtas no AER.</w:t>
            </w:r>
          </w:p>
          <w:p w14:paraId="76D1B5CA"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Attīstīt videi draudzīgu sabiedriskā transporta infrastruktūru (autobusi), sniedzot lielāku atbalstu bezemisiju transportam (saskaņā ar Transporta attīstības pamatnostādnēm 2014.-2020.gadam).</w:t>
            </w:r>
          </w:p>
          <w:p w14:paraId="66380DC7"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Attīstīt videi draudzīgu sabiedriskā (sliežu transporta) infrastruktūru (saskaņā ar Transporta attīstības pamatnostādnēm 2014.-2020.gadam).</w:t>
            </w:r>
          </w:p>
          <w:p w14:paraId="0F756DD4"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Veicināt alternatīvo degvielu transportlīdzekļu popularitāti.</w:t>
            </w:r>
          </w:p>
          <w:p w14:paraId="27030C06"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Sabiedrības informēšana</w:t>
            </w:r>
          </w:p>
          <w:p w14:paraId="3AF109E3" w14:textId="77777777" w:rsidR="00AB46B9" w:rsidRPr="008B628A" w:rsidRDefault="00AB46B9" w:rsidP="00283C85">
            <w:pPr>
              <w:pStyle w:val="VirsrkastsOtrais"/>
              <w:numPr>
                <w:ilvl w:val="0"/>
                <w:numId w:val="90"/>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lastRenderedPageBreak/>
              <w:t>Veidot sabiedrības izpratni par alternatīvo degvielu ieviešanas plānu Latvijā.</w:t>
            </w:r>
          </w:p>
          <w:p w14:paraId="4C151CC9" w14:textId="77777777" w:rsidR="00AB46B9" w:rsidRPr="008B628A" w:rsidRDefault="00AB46B9" w:rsidP="00283C85">
            <w:pPr>
              <w:pStyle w:val="VirsrkastsOtrais"/>
              <w:numPr>
                <w:ilvl w:val="0"/>
                <w:numId w:val="90"/>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Iesaistīt nevalstiskās organizācijas alternatīvo degvielu attīstības politikas plānošanā.</w:t>
            </w:r>
          </w:p>
        </w:tc>
      </w:tr>
      <w:tr w:rsidR="00AB46B9" w:rsidRPr="008B628A" w14:paraId="75F4FA2F" w14:textId="77777777" w:rsidTr="00B35DDE">
        <w:trPr>
          <w:trHeight w:val="68"/>
        </w:trPr>
        <w:tc>
          <w:tcPr>
            <w:tcW w:w="2240" w:type="dxa"/>
          </w:tcPr>
          <w:p w14:paraId="10C1DEA2" w14:textId="77777777" w:rsidR="00AB46B9" w:rsidRPr="008B628A" w:rsidRDefault="00AB46B9" w:rsidP="00B35DDE">
            <w:pPr>
              <w:spacing w:before="60" w:after="60" w:line="240" w:lineRule="auto"/>
              <w:rPr>
                <w:rFonts w:ascii="Times New Roman" w:hAnsi="Times New Roman" w:cs="Times New Roman"/>
                <w:b/>
                <w:szCs w:val="24"/>
              </w:rPr>
            </w:pPr>
            <w:r w:rsidRPr="008B628A">
              <w:rPr>
                <w:rFonts w:ascii="Times New Roman" w:eastAsia="Calibri" w:hAnsi="Times New Roman" w:cs="Times New Roman"/>
                <w:b/>
                <w:szCs w:val="24"/>
              </w:rPr>
              <w:lastRenderedPageBreak/>
              <w:t>ZTAIP2020</w:t>
            </w:r>
            <w:r w:rsidRPr="008B628A">
              <w:rPr>
                <w:rStyle w:val="FootnoteReference"/>
                <w:rFonts w:eastAsia="Calibri"/>
                <w:b/>
              </w:rPr>
              <w:footnoteReference w:id="268"/>
            </w:r>
          </w:p>
        </w:tc>
        <w:tc>
          <w:tcPr>
            <w:tcW w:w="2122" w:type="dxa"/>
          </w:tcPr>
          <w:p w14:paraId="78869A7B"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5EE15246" w14:textId="77777777" w:rsidR="00AB46B9" w:rsidRPr="008B628A" w:rsidRDefault="00AB46B9" w:rsidP="00B35DDE">
            <w:pPr>
              <w:pStyle w:val="Default"/>
              <w:spacing w:before="60" w:after="60"/>
            </w:pPr>
            <w:r w:rsidRPr="008B628A">
              <w:rPr>
                <w:bCs/>
              </w:rPr>
              <w:t xml:space="preserve">Zinātnes un industrijas sadarbības un pētniecības rezultātu komercializēšanas sekmēšana </w:t>
            </w:r>
          </w:p>
          <w:p w14:paraId="051E2F5C" w14:textId="77777777" w:rsidR="00AB46B9" w:rsidRPr="008B628A" w:rsidRDefault="00AB46B9" w:rsidP="00B35DDE">
            <w:pPr>
              <w:spacing w:before="60" w:after="60" w:line="240" w:lineRule="auto"/>
              <w:rPr>
                <w:rFonts w:ascii="Times New Roman" w:hAnsi="Times New Roman" w:cs="Times New Roman"/>
                <w:szCs w:val="24"/>
              </w:rPr>
            </w:pPr>
          </w:p>
        </w:tc>
        <w:tc>
          <w:tcPr>
            <w:tcW w:w="7162" w:type="dxa"/>
          </w:tcPr>
          <w:p w14:paraId="720B8D6C" w14:textId="77777777" w:rsidR="00AB46B9" w:rsidRPr="008B628A" w:rsidRDefault="00AB46B9" w:rsidP="00B35DDE">
            <w:pPr>
              <w:spacing w:before="60" w:after="60" w:line="240" w:lineRule="auto"/>
              <w:jc w:val="both"/>
              <w:rPr>
                <w:rFonts w:ascii="Times New Roman" w:hAnsi="Times New Roman" w:cs="Times New Roman"/>
                <w:b/>
                <w:szCs w:val="24"/>
              </w:rPr>
            </w:pPr>
            <w:r w:rsidRPr="008B628A">
              <w:rPr>
                <w:rFonts w:ascii="Times New Roman" w:hAnsi="Times New Roman" w:cs="Times New Roman"/>
                <w:b/>
                <w:szCs w:val="24"/>
              </w:rPr>
              <w:t>Zinātnes un industrijas sadarbības un pētniecības rezultātu komercializēšanas sekmēšana:</w:t>
            </w:r>
          </w:p>
          <w:p w14:paraId="403D607F" w14:textId="77777777" w:rsidR="00AB46B9" w:rsidRPr="008B628A" w:rsidRDefault="00AB46B9" w:rsidP="00283C85">
            <w:pPr>
              <w:pStyle w:val="ListParagraph"/>
              <w:numPr>
                <w:ilvl w:val="0"/>
                <w:numId w:val="94"/>
              </w:numPr>
              <w:spacing w:before="60" w:after="60" w:line="240" w:lineRule="auto"/>
              <w:ind w:left="227" w:hanging="227"/>
              <w:contextualSpacing w:val="0"/>
              <w:jc w:val="both"/>
              <w:rPr>
                <w:rFonts w:ascii="Times New Roman" w:hAnsi="Times New Roman" w:cs="Times New Roman"/>
                <w:szCs w:val="24"/>
              </w:rPr>
            </w:pPr>
            <w:r w:rsidRPr="008B628A">
              <w:rPr>
                <w:rFonts w:ascii="Times New Roman" w:hAnsi="Times New Roman" w:cs="Times New Roman"/>
                <w:szCs w:val="24"/>
              </w:rPr>
              <w:t>Izveidot Vienotu tehnoloģiju pārneses platformu, kas ietver 2-3 tehnoloģiju pārneses centru izveidi un paplašināt tehnoloģiju pārneses pakalpojumus nodrošinot atbalstu intelektuālā īpašuma aizsardzībai un pētniecības rezultātu ekonomiskās lietderības un tehnoloģiskās iespējamības pārbaudei un komercializācijas stratēģijas izstrādei un īstenošanai (</w:t>
            </w:r>
            <w:r w:rsidRPr="008B628A">
              <w:rPr>
                <w:rFonts w:ascii="Times New Roman" w:hAnsi="Times New Roman" w:cs="Times New Roman"/>
                <w:i/>
                <w:iCs/>
                <w:szCs w:val="24"/>
              </w:rPr>
              <w:t xml:space="preserve">proof of concept </w:t>
            </w:r>
            <w:r w:rsidRPr="008B628A">
              <w:rPr>
                <w:rFonts w:ascii="Times New Roman" w:hAnsi="Times New Roman" w:cs="Times New Roman"/>
                <w:szCs w:val="24"/>
              </w:rPr>
              <w:t>fonds) uzņēmumus;</w:t>
            </w:r>
          </w:p>
          <w:p w14:paraId="0DABB025" w14:textId="77777777" w:rsidR="00AB46B9" w:rsidRPr="008B628A" w:rsidRDefault="00AB46B9" w:rsidP="00283C85">
            <w:pPr>
              <w:pStyle w:val="Default"/>
              <w:numPr>
                <w:ilvl w:val="0"/>
                <w:numId w:val="94"/>
              </w:numPr>
              <w:spacing w:before="60" w:after="60"/>
              <w:ind w:left="227" w:hanging="227"/>
              <w:jc w:val="both"/>
            </w:pPr>
            <w:r w:rsidRPr="008B628A">
              <w:t>Atbalstīt inovatīvu pētījumu izstrādi privātā sektora vajadzībām un pētniecisko rezultātu komercializēšanu atbilstoši Viedās specializācijas stratēģijai, kur kā prioritārās jomas noteiktas Viedā enerģētika, Zināšanu ietilpīga bioekonomika, Viedie materiāli, Viedie materiāli, tehnoloģijas un inženiersistēmas, Informācijas un komunikāciju tehnoloģijas, Biomedicīna, medicīnas tehnoloģijas, biofarmācija un biotehnoloģijas.</w:t>
            </w:r>
          </w:p>
          <w:p w14:paraId="0E914446" w14:textId="77777777" w:rsidR="00AB46B9" w:rsidRPr="008B628A" w:rsidRDefault="00AB46B9" w:rsidP="00283C85">
            <w:pPr>
              <w:pStyle w:val="Default"/>
              <w:numPr>
                <w:ilvl w:val="0"/>
                <w:numId w:val="94"/>
              </w:numPr>
              <w:spacing w:before="60" w:after="60"/>
              <w:ind w:left="227" w:hanging="227"/>
              <w:jc w:val="both"/>
            </w:pPr>
            <w:r w:rsidRPr="008B628A">
              <w:t>Attīstīt kompetences centrus kā zinātnisko institūciju un komersantu ilgtermiņa sadarbības platformu, sniedzot atbalstu industrijas pasūtītu pētījumu un produktu attīstības projektu īstenošanai, līdzfinansējot gan individuālus, gan sadarbības projektus.</w:t>
            </w:r>
          </w:p>
        </w:tc>
      </w:tr>
      <w:tr w:rsidR="00AB46B9" w:rsidRPr="008B628A" w14:paraId="51636FF0" w14:textId="77777777" w:rsidTr="00B35DDE">
        <w:trPr>
          <w:trHeight w:val="68"/>
        </w:trPr>
        <w:tc>
          <w:tcPr>
            <w:tcW w:w="2240" w:type="dxa"/>
          </w:tcPr>
          <w:p w14:paraId="522EC539" w14:textId="77777777" w:rsidR="00AB46B9" w:rsidRPr="008B628A" w:rsidRDefault="00AB46B9" w:rsidP="00B35DDE">
            <w:pPr>
              <w:spacing w:before="60" w:after="60" w:line="240" w:lineRule="auto"/>
              <w:rPr>
                <w:rFonts w:ascii="Times New Roman" w:hAnsi="Times New Roman" w:cs="Times New Roman"/>
                <w:b/>
                <w:szCs w:val="24"/>
              </w:rPr>
            </w:pPr>
            <w:bookmarkStart w:id="475" w:name="_Hlk528252971"/>
            <w:r w:rsidRPr="008B628A">
              <w:rPr>
                <w:rFonts w:ascii="Times New Roman" w:hAnsi="Times New Roman" w:cs="Times New Roman"/>
                <w:b/>
                <w:szCs w:val="24"/>
              </w:rPr>
              <w:t>NIPP2020</w:t>
            </w:r>
            <w:r w:rsidRPr="008B628A">
              <w:rPr>
                <w:rStyle w:val="FootnoteReference"/>
                <w:b/>
              </w:rPr>
              <w:footnoteReference w:id="269"/>
            </w:r>
            <w:bookmarkEnd w:id="475"/>
          </w:p>
        </w:tc>
        <w:tc>
          <w:tcPr>
            <w:tcW w:w="2122" w:type="dxa"/>
          </w:tcPr>
          <w:p w14:paraId="67510820"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2AB1AD76"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color w:val="000000"/>
                <w:szCs w:val="24"/>
              </w:rPr>
              <w:t xml:space="preserve">Veicināt ekonomikas strukturālās izmaiņas par labu preču un pakalpojumu ar augstāku pievienoto </w:t>
            </w:r>
            <w:r w:rsidRPr="008B628A">
              <w:rPr>
                <w:rFonts w:ascii="Times New Roman" w:hAnsi="Times New Roman" w:cs="Times New Roman"/>
                <w:color w:val="000000"/>
                <w:szCs w:val="24"/>
              </w:rPr>
              <w:lastRenderedPageBreak/>
              <w:t>vērtību ražošanai, t.sk. rūpniecības lomas palielināšanai, rūpniecības un pakalpojumu modernizācijai un eksporta sarežģītības attīstībai</w:t>
            </w:r>
            <w:r w:rsidRPr="008B628A">
              <w:rPr>
                <w:rFonts w:ascii="Times New Roman" w:hAnsi="Times New Roman" w:cs="Times New Roman"/>
                <w:szCs w:val="24"/>
              </w:rPr>
              <w:t xml:space="preserve"> </w:t>
            </w:r>
          </w:p>
        </w:tc>
        <w:tc>
          <w:tcPr>
            <w:tcW w:w="7162" w:type="dxa"/>
          </w:tcPr>
          <w:p w14:paraId="7D5848AD"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
                <w:bCs/>
                <w:i/>
                <w:color w:val="000000"/>
                <w:szCs w:val="24"/>
                <w:lang w:eastAsia="lv-LV"/>
              </w:rPr>
              <w:lastRenderedPageBreak/>
              <w:t>4.Inovācijas kapacitātes paaugstināšana</w:t>
            </w:r>
            <w:r w:rsidRPr="008B628A">
              <w:rPr>
                <w:rFonts w:ascii="Times New Roman" w:eastAsia="Times New Roman" w:hAnsi="Times New Roman" w:cs="Times New Roman"/>
                <w:bCs/>
                <w:color w:val="000000"/>
                <w:szCs w:val="24"/>
                <w:lang w:eastAsia="lv-LV"/>
              </w:rPr>
              <w:t xml:space="preserve"> </w:t>
            </w:r>
          </w:p>
          <w:p w14:paraId="3EE9199F"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atbalstīt jaunu produktu un tehnoloģiju izstrādes veicināšanai, gan individuālo, gan partnerības projektu veidā.</w:t>
            </w:r>
          </w:p>
          <w:p w14:paraId="0F88BD82"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eastAsia="Times New Roman" w:hAnsi="Times New Roman" w:cs="Times New Roman"/>
                <w:bCs/>
                <w:color w:val="000000"/>
                <w:szCs w:val="24"/>
                <w:lang w:eastAsia="lv-LV"/>
              </w:rPr>
              <w:lastRenderedPageBreak/>
              <w:t>atbalstīt rūpniecisko pētījumu īstenošanai un sadarbībā ar augstskolām darbaspēka kapacitātes paaugstināšanai inovatīvajās tehnoloģijās</w:t>
            </w:r>
          </w:p>
          <w:p w14:paraId="0BDAE86A"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atbalstīt uzņēmumus videi draudzīgu un energoefektīvu produktu un tehnoloģiju izstrādei un ieviešanai ražošanā.</w:t>
            </w:r>
          </w:p>
          <w:p w14:paraId="6812E938" w14:textId="77777777" w:rsidR="00AB46B9" w:rsidRPr="008B628A" w:rsidRDefault="00AB46B9" w:rsidP="00B35DDE">
            <w:pPr>
              <w:spacing w:before="60" w:after="60" w:line="240" w:lineRule="auto"/>
              <w:ind w:left="-19"/>
              <w:jc w:val="both"/>
              <w:rPr>
                <w:rFonts w:ascii="Times New Roman" w:hAnsi="Times New Roman" w:cs="Times New Roman"/>
                <w:color w:val="000000"/>
                <w:szCs w:val="24"/>
              </w:rPr>
            </w:pPr>
            <w:r w:rsidRPr="008B628A">
              <w:rPr>
                <w:rFonts w:ascii="Times New Roman" w:eastAsia="Times New Roman" w:hAnsi="Times New Roman" w:cs="Times New Roman"/>
                <w:b/>
                <w:bCs/>
                <w:i/>
                <w:color w:val="000000"/>
                <w:szCs w:val="24"/>
                <w:lang w:eastAsia="lv-LV"/>
              </w:rPr>
              <w:t>6.Energoresursu izmaksu samazināšana</w:t>
            </w:r>
          </w:p>
          <w:p w14:paraId="388A0AD2" w14:textId="77777777" w:rsidR="00AB46B9" w:rsidRPr="008B628A" w:rsidRDefault="00AB46B9" w:rsidP="00283C85">
            <w:pPr>
              <w:pStyle w:val="ListParagraph"/>
              <w:numPr>
                <w:ilvl w:val="0"/>
                <w:numId w:val="96"/>
              </w:numPr>
              <w:spacing w:before="60" w:after="60" w:line="240" w:lineRule="auto"/>
              <w:ind w:left="227" w:hanging="227"/>
              <w:contextualSpacing w:val="0"/>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īstenot OIK atbalsta mehānisma sistēmas revīziju ar mērķi samazināt kopējo OIK slogu elektrības patērētājiem, neradot citus ekonomikas izaicinājumus tautsaimniecībā;</w:t>
            </w:r>
          </w:p>
          <w:p w14:paraId="22CDEF56" w14:textId="77777777" w:rsidR="00AB46B9" w:rsidRPr="008B628A" w:rsidRDefault="00AB46B9" w:rsidP="00283C85">
            <w:pPr>
              <w:pStyle w:val="ListParagraph"/>
              <w:numPr>
                <w:ilvl w:val="0"/>
                <w:numId w:val="96"/>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szCs w:val="24"/>
              </w:rPr>
              <w:t xml:space="preserve">- </w:t>
            </w:r>
            <w:r w:rsidRPr="008B628A">
              <w:rPr>
                <w:rFonts w:ascii="Times New Roman" w:eastAsia="Times New Roman" w:hAnsi="Times New Roman" w:cs="Times New Roman"/>
                <w:bCs/>
                <w:color w:val="000000"/>
                <w:szCs w:val="24"/>
                <w:lang w:eastAsia="lv-LV"/>
              </w:rPr>
              <w:t xml:space="preserve">izstrādāt valsts atbalsta programmu </w:t>
            </w:r>
            <w:r w:rsidRPr="008B628A">
              <w:rPr>
                <w:rFonts w:ascii="Times New Roman" w:hAnsi="Times New Roman" w:cs="Times New Roman"/>
                <w:color w:val="000000"/>
                <w:szCs w:val="24"/>
              </w:rPr>
              <w:t>energoefektivitātes veicināšanai, jo īpaši energoresursu patēriņa mazināšanai.</w:t>
            </w:r>
          </w:p>
        </w:tc>
      </w:tr>
      <w:tr w:rsidR="00AB46B9" w:rsidRPr="008B628A" w14:paraId="6CDB2DB7" w14:textId="77777777" w:rsidTr="00B35DDE">
        <w:trPr>
          <w:trHeight w:val="68"/>
        </w:trPr>
        <w:tc>
          <w:tcPr>
            <w:tcW w:w="2240" w:type="dxa"/>
          </w:tcPr>
          <w:p w14:paraId="6ECA1EC7" w14:textId="77777777" w:rsidR="00AB46B9" w:rsidRPr="008B628A" w:rsidRDefault="00AB46B9" w:rsidP="00B35DDE">
            <w:pPr>
              <w:spacing w:before="60" w:after="60" w:line="240" w:lineRule="auto"/>
              <w:rPr>
                <w:rFonts w:ascii="Times New Roman" w:hAnsi="Times New Roman" w:cs="Times New Roman"/>
                <w:b/>
                <w:szCs w:val="24"/>
              </w:rPr>
            </w:pPr>
            <w:bookmarkStart w:id="476" w:name="_Hlk531904573"/>
            <w:r w:rsidRPr="008B628A">
              <w:rPr>
                <w:rFonts w:ascii="Times New Roman" w:hAnsi="Times New Roman" w:cs="Times New Roman"/>
                <w:b/>
                <w:szCs w:val="24"/>
              </w:rPr>
              <w:lastRenderedPageBreak/>
              <w:t>Reģionālās politikas pamatnostādnes 2013.-2019.gadam</w:t>
            </w:r>
            <w:bookmarkEnd w:id="476"/>
          </w:p>
        </w:tc>
        <w:tc>
          <w:tcPr>
            <w:tcW w:w="2122" w:type="dxa"/>
          </w:tcPr>
          <w:p w14:paraId="5B0BBB44"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6C1C0D05"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radīt līdzvērtīgus dzīves un darba apstākļus visiem iedzīvotājiem, neatkarīgi no dzīves vietas, sekmējot uzņēmējdarbību reģionos, attīstot kvalitatīvu transporta un komunikāciju</w:t>
            </w:r>
          </w:p>
          <w:p w14:paraId="0B2C798C"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infrastruktūru un publiskos pakalpojumus un stiprināt Latvijas un tās reģionu starptautisko konkurētspēju, palielinot Rīgas kā</w:t>
            </w:r>
          </w:p>
          <w:p w14:paraId="443FA5BC"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Ziemeļeiropas metropoles un citu valsts lielāko pilsētu starptautisko lomu.</w:t>
            </w:r>
          </w:p>
        </w:tc>
        <w:tc>
          <w:tcPr>
            <w:tcW w:w="7162" w:type="dxa"/>
          </w:tcPr>
          <w:p w14:paraId="58C5E7C6"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Reģionālās politikas vidēja termiņa mērķi:</w:t>
            </w:r>
          </w:p>
          <w:p w14:paraId="3B5985E6"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1. Sekmēt teritorijās uzņēmējdarbības attīstību un darbavietu radīšanu, veicināt darbavietu un pakalpojumu sasniedzamību, kā arī uzlabot pakalpojumu kvalitāti un pieejamību.</w:t>
            </w:r>
          </w:p>
          <w:p w14:paraId="7472A2C4"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2. Stiprināt reģionu un pašvaldību rīcībspēju un lomu savas teritorijas attīstības Veicināšanā.</w:t>
            </w:r>
          </w:p>
        </w:tc>
      </w:tr>
    </w:tbl>
    <w:p w14:paraId="2F75B0B4" w14:textId="77777777" w:rsidR="00AB46B9" w:rsidRPr="008B628A" w:rsidRDefault="00AB46B9" w:rsidP="00AB46B9"/>
    <w:p w14:paraId="19E7B3C6" w14:textId="77777777" w:rsidR="00AB46B9" w:rsidRPr="008B628A" w:rsidRDefault="00AB46B9" w:rsidP="00B9124B">
      <w:pPr>
        <w:spacing w:before="120" w:after="120" w:line="240" w:lineRule="auto"/>
        <w:jc w:val="both"/>
        <w:rPr>
          <w:rFonts w:ascii="Times New Roman" w:hAnsi="Times New Roman" w:cs="Times New Roman"/>
          <w:lang w:eastAsia="lv-LV"/>
        </w:rPr>
        <w:sectPr w:rsidR="00AB46B9" w:rsidRPr="008B628A" w:rsidSect="00B35DDE">
          <w:headerReference w:type="default" r:id="rId71"/>
          <w:footerReference w:type="default" r:id="rId72"/>
          <w:footerReference w:type="first" r:id="rId73"/>
          <w:pgSz w:w="16838" w:h="11906" w:orient="landscape"/>
          <w:pgMar w:top="1701" w:right="1418" w:bottom="851" w:left="1134" w:header="567" w:footer="567" w:gutter="0"/>
          <w:cols w:space="708"/>
          <w:titlePg/>
          <w:docGrid w:linePitch="360"/>
        </w:sectPr>
      </w:pPr>
    </w:p>
    <w:p w14:paraId="7BF9C204"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r w:rsidRPr="007356BB">
        <w:rPr>
          <w:rFonts w:ascii="Times New Roman" w:hAnsi="Times New Roman" w:cs="Times New Roman"/>
        </w:rPr>
        <w:lastRenderedPageBreak/>
        <w:t>Latvijas Nacionālais enerģētikas un klimata plāns 2030. gadam </w:t>
      </w:r>
    </w:p>
    <w:p w14:paraId="3795184D" w14:textId="77777777" w:rsidR="00AB46B9" w:rsidRPr="007356BB" w:rsidRDefault="00AB46B9" w:rsidP="005B0D53">
      <w:pPr>
        <w:pStyle w:val="Heading1"/>
        <w:numPr>
          <w:ilvl w:val="0"/>
          <w:numId w:val="0"/>
        </w:numPr>
        <w:ind w:left="709"/>
        <w:jc w:val="right"/>
      </w:pPr>
      <w:bookmarkStart w:id="477" w:name="_Toc532910027"/>
      <w:r w:rsidRPr="007356BB">
        <w:t>2.pielikums</w:t>
      </w:r>
      <w:bookmarkEnd w:id="477"/>
      <w:r w:rsidRPr="007356BB">
        <w:t> </w:t>
      </w:r>
    </w:p>
    <w:p w14:paraId="6DD21DC2" w14:textId="77777777" w:rsidR="00AB46B9" w:rsidRPr="008B628A" w:rsidRDefault="00AB46B9" w:rsidP="005B0D53">
      <w:pPr>
        <w:pStyle w:val="Heading1"/>
        <w:numPr>
          <w:ilvl w:val="0"/>
          <w:numId w:val="0"/>
        </w:numPr>
        <w:ind w:left="709"/>
        <w:jc w:val="center"/>
        <w:rPr>
          <w:rFonts w:eastAsia="Calibri"/>
          <w:noProof/>
          <w:szCs w:val="28"/>
          <w:lang w:eastAsia="lv-LV" w:bidi="lv-LV"/>
        </w:rPr>
      </w:pPr>
      <w:bookmarkStart w:id="478" w:name="_Toc532910028"/>
      <w:bookmarkStart w:id="479" w:name="_Hlk529787106"/>
      <w:r w:rsidRPr="008B628A">
        <w:rPr>
          <w:rFonts w:eastAsia="Calibri"/>
          <w:noProof/>
          <w:szCs w:val="28"/>
          <w:lang w:eastAsia="lv-LV" w:bidi="lv-LV"/>
        </w:rPr>
        <w:t>Indikatīvā ERAF un KF sasaiste ar Plānu</w:t>
      </w:r>
      <w:bookmarkEnd w:id="478"/>
    </w:p>
    <w:bookmarkEnd w:id="479"/>
    <w:p w14:paraId="30CC88E0" w14:textId="77777777" w:rsidR="00AB46B9" w:rsidRPr="008B628A" w:rsidRDefault="00AB46B9" w:rsidP="00AB46B9">
      <w:pPr>
        <w:spacing w:before="120" w:after="120" w:line="240" w:lineRule="auto"/>
        <w:ind w:right="-309"/>
        <w:jc w:val="center"/>
        <w:rPr>
          <w:rFonts w:ascii="Times New Roman" w:eastAsia="Calibri" w:hAnsi="Times New Roman" w:cs="Times New Roman"/>
          <w:b/>
          <w:bCs/>
          <w:noProof/>
          <w:sz w:val="28"/>
          <w:szCs w:val="28"/>
          <w:vertAlign w:val="superscript"/>
          <w:lang w:eastAsia="lv-LV" w:bidi="lv-LV"/>
        </w:rPr>
      </w:pPr>
      <w:r w:rsidRPr="008B628A">
        <w:rPr>
          <w:rFonts w:ascii="Times New Roman" w:eastAsia="Calibri" w:hAnsi="Times New Roman" w:cs="Times New Roman"/>
          <w:b/>
          <w:noProof/>
          <w:sz w:val="28"/>
          <w:szCs w:val="28"/>
          <w:lang w:eastAsia="lv-LV" w:bidi="lv-LV"/>
        </w:rPr>
        <w:t>1.tabula. Indikatīvā informācija par kopīgo ERAF un Kohēzijas fonda rezultātu rādītāju atbilstību Plāna rādītājiem</w:t>
      </w:r>
    </w:p>
    <w:tbl>
      <w:tblPr>
        <w:tblW w:w="14468" w:type="dxa"/>
        <w:tblInd w:w="93" w:type="dxa"/>
        <w:tblLook w:val="04A0" w:firstRow="1" w:lastRow="0" w:firstColumn="1" w:lastColumn="0" w:noHBand="0" w:noVBand="1"/>
      </w:tblPr>
      <w:tblGrid>
        <w:gridCol w:w="1733"/>
        <w:gridCol w:w="6473"/>
        <w:gridCol w:w="6262"/>
      </w:tblGrid>
      <w:tr w:rsidR="00AB46B9" w:rsidRPr="008B628A" w14:paraId="670F4022" w14:textId="77777777" w:rsidTr="00AB46B9">
        <w:trPr>
          <w:trHeight w:val="186"/>
          <w:tblHeader/>
        </w:trPr>
        <w:tc>
          <w:tcPr>
            <w:tcW w:w="173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ABB458"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bookmarkStart w:id="480" w:name="_Hlk527912224"/>
            <w:r w:rsidRPr="008B628A">
              <w:rPr>
                <w:rFonts w:ascii="Times New Roman" w:eastAsia="Calibri" w:hAnsi="Times New Roman" w:cs="Times New Roman"/>
                <w:b/>
                <w:noProof/>
                <w:color w:val="000000"/>
                <w:szCs w:val="24"/>
                <w:lang w:eastAsia="lv-LV" w:bidi="lv-LV"/>
              </w:rPr>
              <w:t>Politikas mērķis</w:t>
            </w:r>
          </w:p>
        </w:tc>
        <w:tc>
          <w:tcPr>
            <w:tcW w:w="6473" w:type="dxa"/>
            <w:tcBorders>
              <w:top w:val="single" w:sz="4" w:space="0" w:color="auto"/>
              <w:left w:val="nil"/>
              <w:bottom w:val="single" w:sz="4" w:space="0" w:color="auto"/>
              <w:right w:val="single" w:sz="4" w:space="0" w:color="auto"/>
            </w:tcBorders>
            <w:shd w:val="clear" w:color="auto" w:fill="F2F2F2"/>
            <w:vAlign w:val="center"/>
            <w:hideMark/>
          </w:tcPr>
          <w:p w14:paraId="23326BF0"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EFAF un KF fondu rezultāti</w:t>
            </w:r>
            <w:r w:rsidRPr="008B628A">
              <w:rPr>
                <w:rFonts w:ascii="Times New Roman" w:eastAsia="Calibri" w:hAnsi="Times New Roman" w:cs="Times New Roman"/>
                <w:b/>
                <w:noProof/>
                <w:color w:val="000000"/>
                <w:szCs w:val="24"/>
                <w:vertAlign w:val="superscript"/>
                <w:lang w:eastAsia="lv-LV" w:bidi="lv-LV"/>
              </w:rPr>
              <w:footnoteReference w:id="270"/>
            </w:r>
          </w:p>
        </w:tc>
        <w:tc>
          <w:tcPr>
            <w:tcW w:w="6262" w:type="dxa"/>
            <w:tcBorders>
              <w:top w:val="single" w:sz="4" w:space="0" w:color="auto"/>
              <w:left w:val="nil"/>
              <w:bottom w:val="single" w:sz="4" w:space="0" w:color="auto"/>
              <w:right w:val="single" w:sz="4" w:space="0" w:color="auto"/>
            </w:tcBorders>
            <w:shd w:val="clear" w:color="auto" w:fill="F2F2F2"/>
            <w:vAlign w:val="center"/>
            <w:hideMark/>
          </w:tcPr>
          <w:p w14:paraId="6063931A" w14:textId="05658B08" w:rsidR="00AB46B9" w:rsidRPr="008B628A" w:rsidRDefault="00AB46B9" w:rsidP="00283C85">
            <w:pPr>
              <w:spacing w:before="60" w:after="60" w:line="240" w:lineRule="auto"/>
              <w:jc w:val="center"/>
              <w:rPr>
                <w:rFonts w:ascii="Times New Roman" w:eastAsia="Calibri" w:hAnsi="Times New Roman" w:cs="Times New Roman"/>
                <w:b/>
                <w:noProof/>
                <w:color w:val="000000"/>
                <w:szCs w:val="24"/>
                <w:lang w:eastAsia="lv-LV" w:bidi="lv-LV"/>
              </w:rPr>
            </w:pPr>
            <w:r w:rsidRPr="008B628A">
              <w:rPr>
                <w:rFonts w:ascii="Times New Roman" w:eastAsia="Calibri" w:hAnsi="Times New Roman" w:cs="Times New Roman"/>
                <w:b/>
                <w:noProof/>
                <w:color w:val="000000"/>
                <w:szCs w:val="24"/>
                <w:lang w:eastAsia="lv-LV" w:bidi="lv-LV"/>
              </w:rPr>
              <w:t>Plāna rezultāti</w:t>
            </w:r>
            <w:r w:rsidR="002621C4" w:rsidRPr="008B628A">
              <w:rPr>
                <w:rStyle w:val="FootnoteReference"/>
                <w:rFonts w:ascii="Times New Roman" w:eastAsia="Calibri" w:hAnsi="Times New Roman" w:cs="Times New Roman"/>
                <w:b/>
                <w:noProof/>
                <w:color w:val="000000"/>
                <w:szCs w:val="24"/>
                <w:lang w:eastAsia="lv-LV" w:bidi="lv-LV"/>
              </w:rPr>
              <w:footnoteReference w:id="271"/>
            </w:r>
          </w:p>
        </w:tc>
      </w:tr>
      <w:tr w:rsidR="00AB46B9" w:rsidRPr="008B628A" w14:paraId="6F5BCE48" w14:textId="77777777" w:rsidTr="00AB46B9">
        <w:trPr>
          <w:trHeight w:val="2091"/>
        </w:trPr>
        <w:tc>
          <w:tcPr>
            <w:tcW w:w="1733" w:type="dxa"/>
            <w:vMerge w:val="restart"/>
            <w:tcBorders>
              <w:top w:val="nil"/>
              <w:left w:val="single" w:sz="4" w:space="0" w:color="auto"/>
              <w:bottom w:val="single" w:sz="4" w:space="0" w:color="auto"/>
              <w:right w:val="single" w:sz="4" w:space="0" w:color="auto"/>
            </w:tcBorders>
            <w:vAlign w:val="center"/>
            <w:hideMark/>
          </w:tcPr>
          <w:p w14:paraId="4F1C4393"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1. Viedāka Eiropa, veicinot inovatīvas un viedas ekonomiskās pārmaiņas</w:t>
            </w:r>
          </w:p>
        </w:tc>
        <w:tc>
          <w:tcPr>
            <w:tcW w:w="6473" w:type="dxa"/>
            <w:tcBorders>
              <w:top w:val="nil"/>
              <w:left w:val="nil"/>
              <w:bottom w:val="single" w:sz="4" w:space="0" w:color="auto"/>
              <w:right w:val="single" w:sz="4" w:space="0" w:color="auto"/>
            </w:tcBorders>
            <w:vAlign w:val="center"/>
            <w:hideMark/>
          </w:tcPr>
          <w:p w14:paraId="0A593579"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w:t>
            </w:r>
            <w:r w:rsidRPr="008B628A">
              <w:rPr>
                <w:rFonts w:ascii="Times New Roman" w:eastAsia="Calibri" w:hAnsi="Times New Roman" w:cs="Times New Roman"/>
                <w:noProof/>
                <w:color w:val="000000"/>
                <w:szCs w:val="24"/>
                <w:vertAlign w:val="superscript"/>
                <w:lang w:eastAsia="lv-LV" w:bidi="lv-LV"/>
              </w:rPr>
              <w:footnoteReference w:id="272"/>
            </w:r>
            <w:r w:rsidRPr="008B628A">
              <w:rPr>
                <w:rFonts w:ascii="Times New Roman" w:eastAsia="Calibri" w:hAnsi="Times New Roman" w:cs="Times New Roman"/>
                <w:noProof/>
                <w:color w:val="000000"/>
                <w:szCs w:val="24"/>
                <w:lang w:eastAsia="lv-LV" w:bidi="lv-LV"/>
              </w:rPr>
              <w:t xml:space="preserve">01 – Atbalstītajās struktūrās izveidotās darbvietas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02 – Publisko atbalstu papildinošās privātās investīcijas (tai skaitā: dotācijas, finanšu instrumenti)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03 – MVU, kas ievieš produktu vai procesu inovāciju</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04 – MVU, kas ievieš tirgvedības vai organizatorisku inovāciju</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05 – MVU, kas inovē sava uzņēmuma iekšienē</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06 – Eiropas Patentu birojam iesniegtie patentu pieteikumi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07 – Preču zīmju un dizainparaugu pieteikumi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08 – Publiskā un privātā sektora koppublikācijas</w:t>
            </w:r>
          </w:p>
        </w:tc>
        <w:tc>
          <w:tcPr>
            <w:tcW w:w="6262" w:type="dxa"/>
            <w:vMerge w:val="restart"/>
            <w:tcBorders>
              <w:top w:val="nil"/>
              <w:left w:val="nil"/>
              <w:bottom w:val="single" w:sz="4" w:space="0" w:color="auto"/>
              <w:right w:val="single" w:sz="4" w:space="0" w:color="auto"/>
            </w:tcBorders>
            <w:hideMark/>
          </w:tcPr>
          <w:p w14:paraId="1B6518FC"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Inovatīvu produktu apgrozījums</w:t>
            </w:r>
          </w:p>
          <w:p w14:paraId="107C2D9A"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Inovatīvu uzņēmumu īpatsvars</w:t>
            </w:r>
          </w:p>
          <w:p w14:paraId="06EE2D50"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Augsto tehnoloģiju nozaru eksporta īpatsvars</w:t>
            </w:r>
          </w:p>
          <w:p w14:paraId="7A4D0AA9"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Reģistrēto intelektuālā īpašuma vienību skaitsun ieņēmumi no tiem</w:t>
            </w:r>
          </w:p>
          <w:p w14:paraId="789EE2DD"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Zinātnē nodarbināto skaits</w:t>
            </w:r>
          </w:p>
          <w:p w14:paraId="027220AA"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Pētniecībā un inovācijā ieguldītais un piesaistītais ārvalstu finansējums</w:t>
            </w:r>
          </w:p>
        </w:tc>
      </w:tr>
      <w:tr w:rsidR="00AB46B9" w:rsidRPr="008B628A" w14:paraId="68DD2E2C" w14:textId="77777777" w:rsidTr="00AB46B9">
        <w:trPr>
          <w:trHeight w:val="1030"/>
        </w:trPr>
        <w:tc>
          <w:tcPr>
            <w:tcW w:w="0" w:type="auto"/>
            <w:vMerge/>
            <w:tcBorders>
              <w:top w:val="nil"/>
              <w:left w:val="single" w:sz="4" w:space="0" w:color="auto"/>
              <w:bottom w:val="single" w:sz="4" w:space="0" w:color="auto"/>
              <w:right w:val="single" w:sz="4" w:space="0" w:color="auto"/>
            </w:tcBorders>
            <w:vAlign w:val="center"/>
            <w:hideMark/>
          </w:tcPr>
          <w:p w14:paraId="300586A9"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5F0BDE87"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11 – Jaunu publisko digitālo pakalpojumu un lietotņu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12 – Uzņēmumu izstrādāto jauno digitālo produktu, pakalpojumu un lietotņu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13 – Uzņēmumi, kas panākuši augstu digitālo intensitāti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14 – Uzņēmumi, kas izmanto publiskos digitālos pakalpojumus</w:t>
            </w:r>
          </w:p>
        </w:tc>
        <w:tc>
          <w:tcPr>
            <w:tcW w:w="0" w:type="auto"/>
            <w:vMerge/>
            <w:tcBorders>
              <w:top w:val="nil"/>
              <w:left w:val="nil"/>
              <w:bottom w:val="single" w:sz="4" w:space="0" w:color="auto"/>
              <w:right w:val="single" w:sz="4" w:space="0" w:color="auto"/>
            </w:tcBorders>
            <w:vAlign w:val="center"/>
            <w:hideMark/>
          </w:tcPr>
          <w:p w14:paraId="6564D8C7"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p>
        </w:tc>
      </w:tr>
      <w:tr w:rsidR="00AB46B9" w:rsidRPr="008B628A" w14:paraId="6F4265F1" w14:textId="77777777" w:rsidTr="00AB46B9">
        <w:trPr>
          <w:trHeight w:val="416"/>
        </w:trPr>
        <w:tc>
          <w:tcPr>
            <w:tcW w:w="0" w:type="auto"/>
            <w:vMerge/>
            <w:tcBorders>
              <w:top w:val="nil"/>
              <w:left w:val="single" w:sz="4" w:space="0" w:color="auto"/>
              <w:bottom w:val="single" w:sz="4" w:space="0" w:color="auto"/>
              <w:right w:val="single" w:sz="4" w:space="0" w:color="auto"/>
            </w:tcBorders>
            <w:vAlign w:val="center"/>
            <w:hideMark/>
          </w:tcPr>
          <w:p w14:paraId="08412CB3"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75C72EB"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16 – Atbalstītie straujas izaugsmes uzņēmumi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17 – 3 gadus veci uzņēmumi, kas joprojām darbojas tirgū</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18 – MVU, kuri izmanto inkubatora pakalpojumus vienu gadu pēc inkubatora izveides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19 – Uzņēmumi ar lielāku apgrozījumu</w:t>
            </w:r>
          </w:p>
          <w:p w14:paraId="40B17B6F"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25 – Pievienotā vērtība uz vienu darbinieku atbalstītajos MVU</w:t>
            </w:r>
          </w:p>
        </w:tc>
        <w:tc>
          <w:tcPr>
            <w:tcW w:w="0" w:type="auto"/>
            <w:vMerge/>
            <w:tcBorders>
              <w:top w:val="nil"/>
              <w:left w:val="nil"/>
              <w:bottom w:val="single" w:sz="4" w:space="0" w:color="auto"/>
              <w:right w:val="single" w:sz="4" w:space="0" w:color="auto"/>
            </w:tcBorders>
            <w:vAlign w:val="center"/>
            <w:hideMark/>
          </w:tcPr>
          <w:p w14:paraId="73D937E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p>
        </w:tc>
      </w:tr>
      <w:tr w:rsidR="00AB46B9" w:rsidRPr="008B628A" w14:paraId="1A53D6C9"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614DC443"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7F6F25F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24 – MVU, kuri gūst labumu no prasmju pilnveides darbībām, ko īsteno vietēja/reģionāla ekosistēma</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97 – Atbalstītās māceklības MVU</w:t>
            </w:r>
          </w:p>
          <w:p w14:paraId="6610569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98 — MVU darbinieki, kuri iegūst profesionālo tālākizglītību un apmācību (</w:t>
            </w:r>
            <w:r w:rsidRPr="008B628A">
              <w:rPr>
                <w:rFonts w:ascii="Times New Roman" w:eastAsia="Calibri" w:hAnsi="Times New Roman" w:cs="Times New Roman"/>
                <w:i/>
                <w:noProof/>
                <w:color w:val="000000"/>
                <w:szCs w:val="24"/>
                <w:lang w:eastAsia="lv-LV" w:bidi="lv-LV"/>
              </w:rPr>
              <w:t>CVET</w:t>
            </w:r>
            <w:r w:rsidRPr="008B628A">
              <w:rPr>
                <w:rFonts w:ascii="Times New Roman" w:eastAsia="Calibri" w:hAnsi="Times New Roman" w:cs="Times New Roman"/>
                <w:noProof/>
                <w:color w:val="000000"/>
                <w:szCs w:val="24"/>
                <w:lang w:eastAsia="lv-LV" w:bidi="lv-LV"/>
              </w:rPr>
              <w:t>) (pēc prasmju veida: tehniskas, vadības, uzņēmējdarbības, zaļās un citas prasmes)</w:t>
            </w:r>
          </w:p>
          <w:p w14:paraId="1BD69B07"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99 — MVU darbinieki, kuri iziet alternatīvu apmācību saistībā ar zinātnesietilpīgu pakalpojumu darbībām (</w:t>
            </w:r>
            <w:r w:rsidRPr="008B628A">
              <w:rPr>
                <w:rFonts w:ascii="Times New Roman" w:eastAsia="Calibri" w:hAnsi="Times New Roman" w:cs="Times New Roman"/>
                <w:i/>
                <w:noProof/>
                <w:color w:val="000000"/>
                <w:szCs w:val="24"/>
                <w:lang w:eastAsia="lv-LV" w:bidi="lv-LV"/>
              </w:rPr>
              <w:t>KISA</w:t>
            </w:r>
            <w:r w:rsidRPr="008B628A">
              <w:rPr>
                <w:rFonts w:ascii="Times New Roman" w:eastAsia="Calibri" w:hAnsi="Times New Roman" w:cs="Times New Roman"/>
                <w:noProof/>
                <w:color w:val="000000"/>
                <w:szCs w:val="24"/>
                <w:lang w:eastAsia="lv-LV" w:bidi="lv-LV"/>
              </w:rPr>
              <w:t>) (pēc prasmju veida: tehniskas, vadības, uzņēmējdarbības, zaļās un citas prasmes)</w:t>
            </w:r>
          </w:p>
          <w:p w14:paraId="1306098D"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100 — MVU darbinieki, kuri iziet formālu apmācību prasmju pilnveidei (pēc prasmju veida: tehniskas, vadības, uzņēmējdarbības, zaļās un citas prasmes)</w:t>
            </w:r>
          </w:p>
        </w:tc>
        <w:tc>
          <w:tcPr>
            <w:tcW w:w="6262" w:type="dxa"/>
            <w:tcBorders>
              <w:top w:val="nil"/>
              <w:left w:val="nil"/>
              <w:bottom w:val="single" w:sz="4" w:space="0" w:color="auto"/>
              <w:right w:val="single" w:sz="4" w:space="0" w:color="auto"/>
            </w:tcBorders>
            <w:hideMark/>
          </w:tcPr>
          <w:p w14:paraId="69A92DED"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Neaatiecas uz Plāna aptvērumu</w:t>
            </w:r>
          </w:p>
        </w:tc>
      </w:tr>
      <w:tr w:rsidR="00AB46B9" w:rsidRPr="008B628A" w14:paraId="625DE6E2" w14:textId="77777777" w:rsidTr="00AB46B9">
        <w:trPr>
          <w:trHeight w:val="2805"/>
        </w:trPr>
        <w:tc>
          <w:tcPr>
            <w:tcW w:w="1733" w:type="dxa"/>
            <w:vMerge w:val="restart"/>
            <w:tcBorders>
              <w:top w:val="nil"/>
              <w:left w:val="single" w:sz="4" w:space="0" w:color="auto"/>
              <w:bottom w:val="single" w:sz="4" w:space="0" w:color="auto"/>
              <w:right w:val="single" w:sz="4" w:space="0" w:color="auto"/>
            </w:tcBorders>
            <w:vAlign w:val="center"/>
            <w:hideMark/>
          </w:tcPr>
          <w:p w14:paraId="1D638FE6"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lastRenderedPageBreak/>
              <w:t>2. Zaļāka Eiropa ar zemām oglekļa emisijām, veicinot tīru un taisnīgu enerģētikas pārkārtošanu, “zaļas” un “zilas” investīcijas, aprites ekonomiku, pielāgošanos klimata pārmaiņām un risku novēršanu un pārvaldību</w:t>
            </w:r>
          </w:p>
        </w:tc>
        <w:tc>
          <w:tcPr>
            <w:tcW w:w="6473" w:type="dxa"/>
            <w:tcBorders>
              <w:top w:val="nil"/>
              <w:left w:val="nil"/>
              <w:bottom w:val="single" w:sz="4" w:space="0" w:color="auto"/>
              <w:right w:val="single" w:sz="4" w:space="0" w:color="auto"/>
            </w:tcBorders>
            <w:vAlign w:val="center"/>
            <w:hideMark/>
          </w:tcPr>
          <w:p w14:paraId="0F942AD9"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26 – Gada enerģijas galapatēriņš (tai skaitā: dzīvojamajās, privātajās nedzīvojamajās un publiskajās nedzīvojamajās ēkās)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27 – Mājsaimniecības, kuru mājoklī uzlabota energoefektivitāte</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28 – Ēkas ar uzlabotu energoefektivitātes klasi (tai skaitā: dzīvojamās, privātās nedzīvojamās un publiskās nedzīvojamās ēkas)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29 – Aplēstās siltumnīcefekta gāzu emisijas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30 – Uzņēmumi ar uzlabotu energoefektivitāti</w:t>
            </w:r>
          </w:p>
        </w:tc>
        <w:tc>
          <w:tcPr>
            <w:tcW w:w="6262" w:type="dxa"/>
            <w:tcBorders>
              <w:top w:val="nil"/>
              <w:left w:val="nil"/>
              <w:bottom w:val="single" w:sz="4" w:space="0" w:color="auto"/>
              <w:right w:val="single" w:sz="4" w:space="0" w:color="auto"/>
            </w:tcBorders>
            <w:hideMark/>
          </w:tcPr>
          <w:p w14:paraId="423C7477"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Energoresursu kopējais patēriņš (kopā un atsevišķās tautsaimniecības nozarēs)</w:t>
            </w:r>
          </w:p>
          <w:p w14:paraId="244CC476"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Kopējais enerģijas galapatēriņš (kopā un atsevišķās tautsaimniecības nozarēs);</w:t>
            </w:r>
          </w:p>
          <w:p w14:paraId="3019A46E"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Ēku skaits, kurās ir veikti energoefekvitātes uzlabošanas pasākumi;</w:t>
            </w:r>
          </w:p>
          <w:p w14:paraId="62C5E753"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Veiktie energoefektivitātes pasākumi uzņēmumos;</w:t>
            </w:r>
          </w:p>
          <w:p w14:paraId="5D485369"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Nodrošinātais enerģijas galapatēriņa ietaupījums;</w:t>
            </w:r>
          </w:p>
          <w:p w14:paraId="3AB4D171"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Īpatnējais siltumenerģijas patēriņš ēkās;</w:t>
            </w:r>
          </w:p>
          <w:p w14:paraId="45D39DEA"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SEG emisiju apjoms</w:t>
            </w:r>
          </w:p>
        </w:tc>
      </w:tr>
      <w:tr w:rsidR="00AB46B9" w:rsidRPr="008B628A" w14:paraId="2941B916"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476F53E1"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4F1A82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31 – Kopējā saražotā atjaunojamā enerģija (tai skaitā: elektroenerģija, siltumenerģija)</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32 – Atjaunojamā enerģija: tīklam pieslēgtā jauda (kas nodota ekspluatācijā) </w:t>
            </w:r>
          </w:p>
        </w:tc>
        <w:tc>
          <w:tcPr>
            <w:tcW w:w="6262" w:type="dxa"/>
            <w:tcBorders>
              <w:top w:val="nil"/>
              <w:left w:val="nil"/>
              <w:bottom w:val="single" w:sz="4" w:space="0" w:color="auto"/>
              <w:right w:val="single" w:sz="4" w:space="0" w:color="auto"/>
            </w:tcBorders>
            <w:hideMark/>
          </w:tcPr>
          <w:p w14:paraId="15CD53C3"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Kopējā saražotā atjaunojamā enerģija</w:t>
            </w:r>
          </w:p>
          <w:p w14:paraId="01132707"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saražotās elektroenerģijas apjomā</w:t>
            </w:r>
          </w:p>
          <w:p w14:paraId="56CCDA15"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centralizētās siltumapgādē un aukstumapgādē</w:t>
            </w:r>
          </w:p>
          <w:p w14:paraId="0BD74DB8"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transportā</w:t>
            </w:r>
          </w:p>
          <w:p w14:paraId="5DCD54F9"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jauda</w:t>
            </w:r>
          </w:p>
        </w:tc>
      </w:tr>
      <w:tr w:rsidR="00AB46B9" w:rsidRPr="008B628A" w14:paraId="4857C3E4"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596658A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66412CD"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33 – Viedajiem tīkliem pieslēgtie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34 – Viedo tīklu projektu izvēršana</w:t>
            </w:r>
          </w:p>
        </w:tc>
        <w:tc>
          <w:tcPr>
            <w:tcW w:w="6262" w:type="dxa"/>
            <w:tcBorders>
              <w:top w:val="nil"/>
              <w:left w:val="nil"/>
              <w:bottom w:val="single" w:sz="4" w:space="0" w:color="auto"/>
              <w:right w:val="single" w:sz="4" w:space="0" w:color="auto"/>
            </w:tcBorders>
            <w:hideMark/>
          </w:tcPr>
          <w:p w14:paraId="08322049" w14:textId="77777777" w:rsidR="00AB46B9" w:rsidRPr="008B628A" w:rsidRDefault="00AB46B9" w:rsidP="00283C85">
            <w:pPr>
              <w:numPr>
                <w:ilvl w:val="0"/>
                <w:numId w:val="100"/>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Viedajiem tīkliem pieslēgtie lietotāji</w:t>
            </w:r>
          </w:p>
          <w:p w14:paraId="060D53E2" w14:textId="77777777" w:rsidR="00AB46B9" w:rsidRPr="008B628A" w:rsidRDefault="00AB46B9" w:rsidP="00283C85">
            <w:pPr>
              <w:numPr>
                <w:ilvl w:val="0"/>
                <w:numId w:val="100"/>
              </w:numPr>
              <w:spacing w:before="60" w:after="60" w:line="240" w:lineRule="auto"/>
              <w:jc w:val="both"/>
              <w:rPr>
                <w:rFonts w:ascii="Times New Roman" w:eastAsia="Calibri" w:hAnsi="Times New Roman" w:cs="Times New Roman"/>
                <w:noProof/>
                <w:color w:val="000000"/>
                <w:szCs w:val="24"/>
              </w:rPr>
            </w:pPr>
            <w:r w:rsidRPr="008B628A">
              <w:rPr>
                <w:rFonts w:ascii="Times New Roman" w:eastAsia="Times New Roman" w:hAnsi="Times New Roman" w:cs="Times New Roman"/>
                <w:noProof/>
                <w:color w:val="000000"/>
                <w:szCs w:val="24"/>
              </w:rPr>
              <w:t>Rekonsutruētie vai jaunuzbūvētie tīkli;</w:t>
            </w:r>
          </w:p>
        </w:tc>
      </w:tr>
      <w:tr w:rsidR="00AB46B9" w:rsidRPr="008B628A" w14:paraId="7F07FCE4" w14:textId="77777777" w:rsidTr="00AB46B9">
        <w:trPr>
          <w:trHeight w:val="1545"/>
        </w:trPr>
        <w:tc>
          <w:tcPr>
            <w:tcW w:w="0" w:type="auto"/>
            <w:vMerge/>
            <w:tcBorders>
              <w:top w:val="nil"/>
              <w:left w:val="single" w:sz="4" w:space="0" w:color="auto"/>
              <w:bottom w:val="single" w:sz="4" w:space="0" w:color="auto"/>
              <w:right w:val="single" w:sz="4" w:space="0" w:color="auto"/>
            </w:tcBorders>
            <w:vAlign w:val="center"/>
            <w:hideMark/>
          </w:tcPr>
          <w:p w14:paraId="6A02E3E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0BEE3292"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35 – Iedzīvotāji, kuri gūst labumu no pretplūdu pasākumiem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36 – Iedzīvotāji, kuri gūst labumu no pasākumiem aizsardzībai pret meža ugunsgrēkiem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37 – Iedzīvotāji, kuri gūst labumu no pasākumiem aizsardzībai pret klimatiskām dabas katastrofām (kas nav plūdi un meža ugunsgrēki)</w:t>
            </w:r>
          </w:p>
          <w:p w14:paraId="4C16C51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RKR 96 – Iedzīvotāji, kuri gūst labumu no pasākumiem aizsardzībai pret neklimatiskiem dabas riskiem un ar cilvēka darbību saistītiem riskiem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38 – Aplēstais vidējais reaģēšanas laiks katastrofas gadījumā</w:t>
            </w:r>
          </w:p>
        </w:tc>
        <w:tc>
          <w:tcPr>
            <w:tcW w:w="6262" w:type="dxa"/>
            <w:tcBorders>
              <w:top w:val="nil"/>
              <w:left w:val="nil"/>
              <w:bottom w:val="single" w:sz="4" w:space="0" w:color="auto"/>
              <w:right w:val="single" w:sz="4" w:space="0" w:color="auto"/>
            </w:tcBorders>
            <w:hideMark/>
          </w:tcPr>
          <w:p w14:paraId="2094943F"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Neattiecas uz Plāna aptvērumu</w:t>
            </w:r>
          </w:p>
        </w:tc>
      </w:tr>
      <w:tr w:rsidR="00AB46B9" w:rsidRPr="008B628A" w14:paraId="0E8FD09A" w14:textId="77777777" w:rsidTr="00AB46B9">
        <w:trPr>
          <w:trHeight w:val="982"/>
        </w:trPr>
        <w:tc>
          <w:tcPr>
            <w:tcW w:w="0" w:type="auto"/>
            <w:vMerge/>
            <w:tcBorders>
              <w:top w:val="nil"/>
              <w:left w:val="single" w:sz="4" w:space="0" w:color="auto"/>
              <w:bottom w:val="single" w:sz="4" w:space="0" w:color="auto"/>
              <w:right w:val="single" w:sz="4" w:space="0" w:color="auto"/>
            </w:tcBorders>
            <w:vAlign w:val="center"/>
            <w:hideMark/>
          </w:tcPr>
          <w:p w14:paraId="707DA605"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F56FCF0"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41 – Iedzīvotāji, kuri pieslēgti uzlabotai ūdensapgādei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42 – Iedzīvotāji, kuri pieslēgti vismaz otrējai notekūdeņu attīrīšanai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43 – Ūdens zudumi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44 – Pienācīgi attīrīti notekūdeņi </w:t>
            </w:r>
          </w:p>
        </w:tc>
        <w:tc>
          <w:tcPr>
            <w:tcW w:w="6262" w:type="dxa"/>
            <w:tcBorders>
              <w:top w:val="nil"/>
              <w:left w:val="nil"/>
              <w:bottom w:val="single" w:sz="4" w:space="0" w:color="auto"/>
              <w:right w:val="single" w:sz="4" w:space="0" w:color="auto"/>
            </w:tcBorders>
            <w:hideMark/>
          </w:tcPr>
          <w:p w14:paraId="6732450C"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udensapgādes un notekūdeņu apsaimniekošanas politikas plānošanas dokumentos)</w:t>
            </w:r>
          </w:p>
        </w:tc>
      </w:tr>
      <w:tr w:rsidR="00AB46B9" w:rsidRPr="008B628A" w14:paraId="653B966C" w14:textId="77777777" w:rsidTr="00AB46B9">
        <w:trPr>
          <w:trHeight w:val="1464"/>
        </w:trPr>
        <w:tc>
          <w:tcPr>
            <w:tcW w:w="0" w:type="auto"/>
            <w:vMerge/>
            <w:tcBorders>
              <w:top w:val="nil"/>
              <w:left w:val="single" w:sz="4" w:space="0" w:color="auto"/>
              <w:bottom w:val="single" w:sz="4" w:space="0" w:color="auto"/>
              <w:right w:val="single" w:sz="4" w:space="0" w:color="auto"/>
            </w:tcBorders>
            <w:vAlign w:val="center"/>
            <w:hideMark/>
          </w:tcPr>
          <w:p w14:paraId="3E42655C"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43743DB"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46 – Iedzīvotāji, kuriem pieejamas atkritumu pārstrādes iekārtas un nelielas atkritumu apsaimniekošanas sistēmas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47 – pārstrādātie atkritumi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48 – pārstrādātie atkritumi, ko izmanto par izejvielām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49 – Reģenerētie atkritumi</w:t>
            </w:r>
          </w:p>
        </w:tc>
        <w:tc>
          <w:tcPr>
            <w:tcW w:w="6262" w:type="dxa"/>
            <w:tcBorders>
              <w:top w:val="nil"/>
              <w:left w:val="nil"/>
              <w:bottom w:val="single" w:sz="4" w:space="0" w:color="auto"/>
              <w:right w:val="single" w:sz="4" w:space="0" w:color="auto"/>
            </w:tcBorders>
            <w:hideMark/>
          </w:tcPr>
          <w:p w14:paraId="2732DC5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atkritumu apsaimniekošanas politikas plānošanas dokumentos)</w:t>
            </w:r>
          </w:p>
        </w:tc>
      </w:tr>
      <w:tr w:rsidR="00AB46B9" w:rsidRPr="008B628A" w14:paraId="3B91D5BE" w14:textId="77777777" w:rsidTr="00AB46B9">
        <w:trPr>
          <w:trHeight w:val="1530"/>
        </w:trPr>
        <w:tc>
          <w:tcPr>
            <w:tcW w:w="0" w:type="auto"/>
            <w:vMerge/>
            <w:tcBorders>
              <w:top w:val="nil"/>
              <w:left w:val="single" w:sz="4" w:space="0" w:color="auto"/>
              <w:bottom w:val="single" w:sz="4" w:space="0" w:color="auto"/>
              <w:right w:val="single" w:sz="4" w:space="0" w:color="auto"/>
            </w:tcBorders>
            <w:vAlign w:val="center"/>
            <w:hideMark/>
          </w:tcPr>
          <w:p w14:paraId="3A069C81"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AAED097"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50 – Iedzīvotāji, kuri gūst labumu no gaisa kvalitātes pasākumiem</w:t>
            </w:r>
          </w:p>
          <w:p w14:paraId="0F84EE8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95 – Iedzīvotāji, kuriem ir piekļuve jaunai vai modernizētai zaļajai infrastruktūrai pilsētu teritorijās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51 – Iedzīvotāji, kuri gūst labumu no trokšņa samazināšanas pasākumiem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52 – Sanētā zeme, ko izmanto apzaļumotām teritorijām, sociālajiem mājokļiem un ekonomiskām vai kopienas darbībām</w:t>
            </w:r>
          </w:p>
        </w:tc>
        <w:tc>
          <w:tcPr>
            <w:tcW w:w="6262" w:type="dxa"/>
            <w:tcBorders>
              <w:top w:val="nil"/>
              <w:left w:val="nil"/>
              <w:bottom w:val="single" w:sz="4" w:space="0" w:color="auto"/>
              <w:right w:val="single" w:sz="4" w:space="0" w:color="auto"/>
            </w:tcBorders>
            <w:hideMark/>
          </w:tcPr>
          <w:p w14:paraId="79BF50F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Latvijas rīcības plānā gaisa piesārņojošo vielu emisiju samazināšanai)</w:t>
            </w:r>
          </w:p>
        </w:tc>
      </w:tr>
      <w:tr w:rsidR="00AB46B9" w:rsidRPr="008B628A" w14:paraId="6BCDC9D4" w14:textId="77777777" w:rsidTr="00AB46B9">
        <w:trPr>
          <w:trHeight w:val="1020"/>
        </w:trPr>
        <w:tc>
          <w:tcPr>
            <w:tcW w:w="1733" w:type="dxa"/>
            <w:vMerge w:val="restart"/>
            <w:tcBorders>
              <w:top w:val="nil"/>
              <w:left w:val="single" w:sz="4" w:space="0" w:color="auto"/>
              <w:bottom w:val="single" w:sz="4" w:space="0" w:color="auto"/>
              <w:right w:val="single" w:sz="4" w:space="0" w:color="auto"/>
            </w:tcBorders>
            <w:hideMark/>
          </w:tcPr>
          <w:p w14:paraId="64C1B4E9"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 xml:space="preserve">3. Ciešāk savienota Eiropa, uzlabojot </w:t>
            </w:r>
            <w:r w:rsidRPr="008B628A">
              <w:rPr>
                <w:rFonts w:ascii="Times New Roman" w:eastAsia="Calibri" w:hAnsi="Times New Roman" w:cs="Times New Roman"/>
                <w:b/>
                <w:noProof/>
                <w:color w:val="000000"/>
                <w:szCs w:val="24"/>
                <w:lang w:eastAsia="lv-LV" w:bidi="lv-LV"/>
              </w:rPr>
              <w:lastRenderedPageBreak/>
              <w:t>mobilitāti un reģionālo IKT savienotību</w:t>
            </w:r>
          </w:p>
        </w:tc>
        <w:tc>
          <w:tcPr>
            <w:tcW w:w="6473" w:type="dxa"/>
            <w:tcBorders>
              <w:top w:val="nil"/>
              <w:left w:val="nil"/>
              <w:bottom w:val="single" w:sz="4" w:space="0" w:color="auto"/>
              <w:right w:val="single" w:sz="4" w:space="0" w:color="auto"/>
            </w:tcBorders>
            <w:vAlign w:val="center"/>
            <w:hideMark/>
          </w:tcPr>
          <w:p w14:paraId="76463525"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RKR 53 – Mājsaimniecības, kas abonē platjoslas pieslēgumu ļoti augstas veiktspējas tīklam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54 – Uzņēmumi, kas abonē platjoslas pieslēgumu ļoti augstas veiktspējas tīklam</w:t>
            </w:r>
          </w:p>
        </w:tc>
        <w:tc>
          <w:tcPr>
            <w:tcW w:w="6262" w:type="dxa"/>
            <w:tcBorders>
              <w:top w:val="nil"/>
              <w:left w:val="nil"/>
              <w:bottom w:val="single" w:sz="4" w:space="0" w:color="auto"/>
              <w:right w:val="single" w:sz="4" w:space="0" w:color="auto"/>
            </w:tcBorders>
            <w:hideMark/>
          </w:tcPr>
          <w:p w14:paraId="7E71B8DC"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8DE68AB"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50C4B83C"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5DCB721"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55 – Jaunuzbūvēto, rekonstruēto vai modernizēto autoceļu lietotāji </w:t>
            </w:r>
          </w:p>
          <w:p w14:paraId="1F6A44F5"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56 – Laika ietaupījums no uzlabotas autoceļu infrastruktūras</w:t>
            </w:r>
          </w:p>
          <w:p w14:paraId="4AE427E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101 – Laika ietaupījums no uzlabotas dzelzceļa infrastruktūras </w:t>
            </w:r>
          </w:p>
        </w:tc>
        <w:tc>
          <w:tcPr>
            <w:tcW w:w="6262" w:type="dxa"/>
            <w:tcBorders>
              <w:top w:val="nil"/>
              <w:left w:val="nil"/>
              <w:bottom w:val="single" w:sz="4" w:space="0" w:color="auto"/>
              <w:right w:val="single" w:sz="4" w:space="0" w:color="auto"/>
            </w:tcBorders>
            <w:hideMark/>
          </w:tcPr>
          <w:p w14:paraId="2DDC5610" w14:textId="77777777" w:rsidR="00AB46B9" w:rsidRPr="008B628A" w:rsidRDefault="00AB46B9" w:rsidP="00283C85">
            <w:pPr>
              <w:numPr>
                <w:ilvl w:val="0"/>
                <w:numId w:val="101"/>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Jaunuzbūvēto, rekonstruēto vai modernizēto autoceļu garums</w:t>
            </w:r>
          </w:p>
        </w:tc>
      </w:tr>
      <w:tr w:rsidR="00AB46B9" w:rsidRPr="008B628A" w14:paraId="09F7810C" w14:textId="77777777" w:rsidTr="00AB46B9">
        <w:trPr>
          <w:trHeight w:val="1338"/>
        </w:trPr>
        <w:tc>
          <w:tcPr>
            <w:tcW w:w="0" w:type="auto"/>
            <w:vMerge/>
            <w:tcBorders>
              <w:top w:val="nil"/>
              <w:left w:val="single" w:sz="4" w:space="0" w:color="auto"/>
              <w:bottom w:val="single" w:sz="4" w:space="0" w:color="auto"/>
              <w:right w:val="single" w:sz="4" w:space="0" w:color="auto"/>
            </w:tcBorders>
            <w:vAlign w:val="center"/>
            <w:hideMark/>
          </w:tcPr>
          <w:p w14:paraId="0762658E"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64DEAEC2"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57 – Ekspluatācijā esošo Eiropas Dzelzceļa satiksmes vadības sistēmas standartiem atbilstošo sliežu ceļu garums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58 – Pa atbalstītajiem sliežu ceļiem gadā pārvadāto pasažieru skaits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59 – Pa dzelzceļu pārvadātās kravas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60 – Pa iekšējiem ūdensceļiem pārvadātās kravas </w:t>
            </w:r>
          </w:p>
        </w:tc>
        <w:tc>
          <w:tcPr>
            <w:tcW w:w="6262" w:type="dxa"/>
            <w:tcBorders>
              <w:top w:val="nil"/>
              <w:left w:val="nil"/>
              <w:bottom w:val="single" w:sz="4" w:space="0" w:color="auto"/>
              <w:right w:val="single" w:sz="4" w:space="0" w:color="auto"/>
            </w:tcBorders>
            <w:hideMark/>
          </w:tcPr>
          <w:p w14:paraId="4DE32ED4" w14:textId="77777777" w:rsidR="00AB46B9" w:rsidRPr="008B628A" w:rsidRDefault="00AB46B9" w:rsidP="00283C85">
            <w:pPr>
              <w:numPr>
                <w:ilvl w:val="0"/>
                <w:numId w:val="102"/>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Pa dzelzceļā pārvadāto pasažieru skaits;</w:t>
            </w:r>
          </w:p>
          <w:p w14:paraId="1F885981" w14:textId="77777777" w:rsidR="00AB46B9" w:rsidRPr="008B628A" w:rsidRDefault="00AB46B9" w:rsidP="00283C85">
            <w:pPr>
              <w:numPr>
                <w:ilvl w:val="0"/>
                <w:numId w:val="102"/>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Pa dzelzceļu pārvadāto kravu skaits</w:t>
            </w:r>
          </w:p>
          <w:p w14:paraId="4CDE5F36" w14:textId="02033149" w:rsidR="00AB46B9" w:rsidRPr="008B628A" w:rsidRDefault="00AB46B9" w:rsidP="00283C85">
            <w:pPr>
              <w:spacing w:before="60" w:after="60" w:line="240" w:lineRule="auto"/>
              <w:ind w:left="227" w:hanging="227"/>
              <w:jc w:val="both"/>
              <w:rPr>
                <w:rFonts w:ascii="Times New Roman" w:eastAsia="Calibri" w:hAnsi="Times New Roman" w:cs="Times New Roman"/>
                <w:noProof/>
                <w:color w:val="000000"/>
                <w:szCs w:val="24"/>
              </w:rPr>
            </w:pPr>
          </w:p>
        </w:tc>
      </w:tr>
      <w:tr w:rsidR="00AB46B9" w:rsidRPr="008B628A" w14:paraId="6DE5AB14" w14:textId="77777777" w:rsidTr="00AB46B9">
        <w:trPr>
          <w:trHeight w:val="719"/>
        </w:trPr>
        <w:tc>
          <w:tcPr>
            <w:tcW w:w="0" w:type="auto"/>
            <w:vMerge/>
            <w:tcBorders>
              <w:top w:val="nil"/>
              <w:left w:val="single" w:sz="4" w:space="0" w:color="auto"/>
              <w:bottom w:val="single" w:sz="4" w:space="0" w:color="auto"/>
              <w:right w:val="single" w:sz="4" w:space="0" w:color="auto"/>
            </w:tcBorders>
            <w:vAlign w:val="center"/>
            <w:hideMark/>
          </w:tcPr>
          <w:p w14:paraId="771E6872"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6499DB5E" w14:textId="381E6D4A"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62 – </w:t>
            </w:r>
            <w:r w:rsidR="00283C85">
              <w:rPr>
                <w:rFonts w:ascii="Times New Roman" w:eastAsia="Calibri" w:hAnsi="Times New Roman" w:cs="Times New Roman"/>
                <w:noProof/>
                <w:color w:val="000000"/>
                <w:szCs w:val="24"/>
                <w:lang w:eastAsia="lv-LV" w:bidi="lv-LV"/>
              </w:rPr>
              <w:t>Videi draudzīgajā sabiedriskajā transportā pārvadāto pasažieru skaits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64 – Atdalītas veloinfrastruktūras lietotāju skaits gadā</w:t>
            </w:r>
          </w:p>
        </w:tc>
        <w:tc>
          <w:tcPr>
            <w:tcW w:w="6262" w:type="dxa"/>
            <w:tcBorders>
              <w:top w:val="nil"/>
              <w:left w:val="nil"/>
              <w:bottom w:val="single" w:sz="4" w:space="0" w:color="auto"/>
              <w:right w:val="single" w:sz="4" w:space="0" w:color="auto"/>
            </w:tcBorders>
            <w:hideMark/>
          </w:tcPr>
          <w:p w14:paraId="7D818C06" w14:textId="222DBFDD" w:rsidR="00AB46B9" w:rsidRPr="00283C85" w:rsidRDefault="00283C85" w:rsidP="00283C85">
            <w:pPr>
              <w:pStyle w:val="ListParagraph"/>
              <w:numPr>
                <w:ilvl w:val="0"/>
                <w:numId w:val="139"/>
              </w:numPr>
              <w:spacing w:before="60" w:after="60" w:line="240" w:lineRule="auto"/>
              <w:ind w:left="227" w:hanging="227"/>
              <w:contextualSpacing w:val="0"/>
              <w:rPr>
                <w:rFonts w:ascii="Times New Roman" w:eastAsia="Calibri" w:hAnsi="Times New Roman" w:cs="Times New Roman"/>
                <w:noProof/>
                <w:color w:val="000000"/>
                <w:szCs w:val="24"/>
                <w:lang w:eastAsia="lv-LV" w:bidi="lv-LV"/>
              </w:rPr>
            </w:pPr>
            <w:r>
              <w:rPr>
                <w:rFonts w:ascii="Times New Roman" w:eastAsia="Calibri" w:hAnsi="Times New Roman" w:cs="Times New Roman"/>
                <w:noProof/>
                <w:color w:val="000000"/>
                <w:szCs w:val="24"/>
                <w:lang w:eastAsia="lv-LV" w:bidi="lv-LV"/>
              </w:rPr>
              <w:t>Videi draudzīgajā sabiedriskajā transportā pārvadāto pasažieru skaits</w:t>
            </w:r>
          </w:p>
        </w:tc>
      </w:tr>
      <w:tr w:rsidR="00AB46B9" w:rsidRPr="008B628A" w14:paraId="583E34D6" w14:textId="77777777" w:rsidTr="00AB46B9">
        <w:trPr>
          <w:trHeight w:val="447"/>
        </w:trPr>
        <w:tc>
          <w:tcPr>
            <w:tcW w:w="1733" w:type="dxa"/>
            <w:vMerge w:val="restart"/>
            <w:tcBorders>
              <w:top w:val="nil"/>
              <w:left w:val="single" w:sz="4" w:space="0" w:color="auto"/>
              <w:bottom w:val="single" w:sz="4" w:space="0" w:color="auto"/>
              <w:right w:val="single" w:sz="4" w:space="0" w:color="auto"/>
            </w:tcBorders>
            <w:vAlign w:val="center"/>
            <w:hideMark/>
          </w:tcPr>
          <w:p w14:paraId="1EE1037F"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4. Sociālāka Eiropa, īstenojot Eiropas sociālo tiesību pīlāru</w:t>
            </w:r>
          </w:p>
        </w:tc>
        <w:tc>
          <w:tcPr>
            <w:tcW w:w="6473" w:type="dxa"/>
            <w:tcBorders>
              <w:top w:val="nil"/>
              <w:left w:val="nil"/>
              <w:bottom w:val="single" w:sz="4" w:space="0" w:color="auto"/>
              <w:right w:val="single" w:sz="4" w:space="0" w:color="auto"/>
            </w:tcBorders>
            <w:vAlign w:val="center"/>
            <w:hideMark/>
          </w:tcPr>
          <w:p w14:paraId="394FE1E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65 – Darba meklētāji, kuri gadā izmanto atbalstīto nodarbinātības dienestu pakalpojumus</w:t>
            </w:r>
          </w:p>
        </w:tc>
        <w:tc>
          <w:tcPr>
            <w:tcW w:w="6262" w:type="dxa"/>
            <w:tcBorders>
              <w:top w:val="nil"/>
              <w:left w:val="nil"/>
              <w:bottom w:val="single" w:sz="4" w:space="0" w:color="auto"/>
              <w:right w:val="single" w:sz="4" w:space="0" w:color="auto"/>
            </w:tcBorders>
            <w:hideMark/>
          </w:tcPr>
          <w:p w14:paraId="489A0853"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378B398" w14:textId="77777777" w:rsidTr="00AB46B9">
        <w:trPr>
          <w:trHeight w:val="1275"/>
        </w:trPr>
        <w:tc>
          <w:tcPr>
            <w:tcW w:w="0" w:type="auto"/>
            <w:vMerge/>
            <w:tcBorders>
              <w:top w:val="nil"/>
              <w:left w:val="single" w:sz="4" w:space="0" w:color="auto"/>
              <w:bottom w:val="single" w:sz="4" w:space="0" w:color="auto"/>
              <w:right w:val="single" w:sz="4" w:space="0" w:color="auto"/>
            </w:tcBorders>
            <w:vAlign w:val="center"/>
            <w:hideMark/>
          </w:tcPr>
          <w:p w14:paraId="657DEA07"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A880B2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66 – Uzbūvētās vai renovētās pagaidu uzņemšanas infrastruktūras izmantojuma līmenis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67 – Atjaunoto mājokļu izmantojuma līmenis – migranti, bēgļi un personas, kas saņēmušas starptautisko aizsardzību, vai uz to pieteikušās</w:t>
            </w:r>
          </w:p>
          <w:p w14:paraId="40208D44"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68 – Atjaunoto mājokļu izmantojuma līmenis – cits </w:t>
            </w:r>
          </w:p>
        </w:tc>
        <w:tc>
          <w:tcPr>
            <w:tcW w:w="6262" w:type="dxa"/>
            <w:tcBorders>
              <w:top w:val="nil"/>
              <w:left w:val="nil"/>
              <w:bottom w:val="single" w:sz="4" w:space="0" w:color="auto"/>
              <w:right w:val="single" w:sz="4" w:space="0" w:color="auto"/>
            </w:tcBorders>
            <w:hideMark/>
          </w:tcPr>
          <w:p w14:paraId="3BD8491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257F3187"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788ECFEB"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9CB546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70 – Atbalstīto bērnu aprūpes infrastruktūru izmantojušo bērnu skaits gadā</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71 – Atbalstīto izglītības infrastruktūru izmantojušo skolēnu/studentu skaits gadā</w:t>
            </w:r>
          </w:p>
        </w:tc>
        <w:tc>
          <w:tcPr>
            <w:tcW w:w="6262" w:type="dxa"/>
            <w:tcBorders>
              <w:top w:val="nil"/>
              <w:left w:val="nil"/>
              <w:bottom w:val="single" w:sz="4" w:space="0" w:color="auto"/>
              <w:right w:val="single" w:sz="4" w:space="0" w:color="auto"/>
            </w:tcBorders>
            <w:hideMark/>
          </w:tcPr>
          <w:p w14:paraId="2871816E"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20EF5C9" w14:textId="77777777" w:rsidTr="00AB46B9">
        <w:trPr>
          <w:trHeight w:val="1496"/>
        </w:trPr>
        <w:tc>
          <w:tcPr>
            <w:tcW w:w="0" w:type="auto"/>
            <w:vMerge/>
            <w:tcBorders>
              <w:top w:val="nil"/>
              <w:left w:val="single" w:sz="4" w:space="0" w:color="auto"/>
              <w:bottom w:val="single" w:sz="4" w:space="0" w:color="auto"/>
              <w:right w:val="single" w:sz="4" w:space="0" w:color="auto"/>
            </w:tcBorders>
            <w:vAlign w:val="center"/>
            <w:hideMark/>
          </w:tcPr>
          <w:p w14:paraId="1B9BD65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47AC0B1"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72 – Cilvēki, kam ir piekļuve uzlabotiem veselības aprūpes pakalpojumiem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73 – Atbalstīto veselības aprūpes iestāžu izmantojušo cilvēku skaits gadā</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74 – Atbalstīto sociālās aprūpes iestāžu izmantojušo cilvēku skaits gadā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75 – Vidējais reaģēšanas laiks ārkārtas medicīniskās palīdzības sniegšanai atbalstītajā teritorijā </w:t>
            </w:r>
          </w:p>
        </w:tc>
        <w:tc>
          <w:tcPr>
            <w:tcW w:w="6262" w:type="dxa"/>
            <w:tcBorders>
              <w:top w:val="nil"/>
              <w:left w:val="nil"/>
              <w:bottom w:val="single" w:sz="4" w:space="0" w:color="auto"/>
              <w:right w:val="single" w:sz="4" w:space="0" w:color="auto"/>
            </w:tcBorders>
            <w:hideMark/>
          </w:tcPr>
          <w:p w14:paraId="343F0E28"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bl>
    <w:bookmarkEnd w:id="480"/>
    <w:p w14:paraId="7FFDA057" w14:textId="77777777" w:rsidR="00AB46B9" w:rsidRPr="008B628A" w:rsidRDefault="00AB46B9" w:rsidP="00AB46B9">
      <w:pPr>
        <w:spacing w:before="120" w:after="120" w:line="240" w:lineRule="auto"/>
        <w:jc w:val="both"/>
        <w:rPr>
          <w:rFonts w:ascii="Times New Roman" w:eastAsia="Calibri" w:hAnsi="Times New Roman" w:cs="Times New Roman"/>
          <w:noProof/>
          <w:sz w:val="20"/>
          <w:szCs w:val="20"/>
          <w:lang w:eastAsia="lv-LV" w:bidi="lv-LV"/>
        </w:rPr>
      </w:pPr>
      <w:r w:rsidRPr="008B628A">
        <w:rPr>
          <w:rFonts w:ascii="Times New Roman" w:eastAsia="Calibri" w:hAnsi="Times New Roman" w:cs="Times New Roman"/>
          <w:noProof/>
          <w:sz w:val="20"/>
          <w:szCs w:val="20"/>
          <w:lang w:eastAsia="lv-LV" w:bidi="lv-LV"/>
        </w:rPr>
        <w:tab/>
      </w:r>
    </w:p>
    <w:p w14:paraId="3FFD2670" w14:textId="77777777" w:rsidR="00AB46B9" w:rsidRPr="008B628A" w:rsidRDefault="00AB46B9" w:rsidP="00AB46B9">
      <w:pPr>
        <w:spacing w:after="200" w:line="276" w:lineRule="auto"/>
        <w:rPr>
          <w:rFonts w:ascii="Times New Roman" w:eastAsia="Calibri" w:hAnsi="Times New Roman" w:cs="Times New Roman"/>
          <w:noProof/>
          <w:sz w:val="20"/>
          <w:szCs w:val="20"/>
          <w:lang w:eastAsia="lv-LV" w:bidi="lv-LV"/>
        </w:rPr>
      </w:pPr>
      <w:r w:rsidRPr="008B628A">
        <w:rPr>
          <w:rFonts w:ascii="Times New Roman" w:eastAsia="Calibri" w:hAnsi="Times New Roman" w:cs="Times New Roman"/>
          <w:noProof/>
          <w:sz w:val="20"/>
          <w:szCs w:val="20"/>
          <w:lang w:eastAsia="lv-LV" w:bidi="lv-LV"/>
        </w:rPr>
        <w:br w:type="page"/>
      </w:r>
    </w:p>
    <w:p w14:paraId="6DB861D7" w14:textId="77777777" w:rsidR="00AB46B9" w:rsidRPr="008B628A" w:rsidRDefault="00AB46B9" w:rsidP="00AB46B9">
      <w:pPr>
        <w:spacing w:before="120" w:after="120" w:line="240" w:lineRule="auto"/>
        <w:jc w:val="center"/>
        <w:rPr>
          <w:rFonts w:ascii="Times New Roman" w:eastAsia="Calibri" w:hAnsi="Times New Roman" w:cs="Times New Roman"/>
          <w:b/>
          <w:noProof/>
          <w:sz w:val="28"/>
          <w:szCs w:val="28"/>
          <w:lang w:eastAsia="lv-LV" w:bidi="lv-LV"/>
        </w:rPr>
      </w:pPr>
      <w:r w:rsidRPr="008B628A">
        <w:rPr>
          <w:rFonts w:ascii="Times New Roman" w:eastAsia="Calibri" w:hAnsi="Times New Roman" w:cs="Times New Roman"/>
          <w:b/>
          <w:noProof/>
          <w:sz w:val="28"/>
          <w:szCs w:val="28"/>
          <w:lang w:eastAsia="lv-LV" w:bidi="lv-LV"/>
        </w:rPr>
        <w:lastRenderedPageBreak/>
        <w:t>2. tabula. Tematiskie veicinošie nosacījumi, ko piemēro ERAF, ESF+ un Kohēzijas fondam</w:t>
      </w:r>
    </w:p>
    <w:tbl>
      <w:tblPr>
        <w:tblStyle w:val="TableGrid2"/>
        <w:tblW w:w="14459" w:type="dxa"/>
        <w:jc w:val="center"/>
        <w:tblInd w:w="0" w:type="dxa"/>
        <w:tblLook w:val="04A0" w:firstRow="1" w:lastRow="0" w:firstColumn="1" w:lastColumn="0" w:noHBand="0" w:noVBand="1"/>
      </w:tblPr>
      <w:tblGrid>
        <w:gridCol w:w="1812"/>
        <w:gridCol w:w="2550"/>
        <w:gridCol w:w="2336"/>
        <w:gridCol w:w="4483"/>
        <w:gridCol w:w="3278"/>
      </w:tblGrid>
      <w:tr w:rsidR="00AB46B9" w:rsidRPr="008B628A" w14:paraId="19C545E5" w14:textId="77777777" w:rsidTr="00965BD7">
        <w:trPr>
          <w:trHeight w:val="573"/>
          <w:tblHeader/>
          <w:jc w:val="center"/>
        </w:trPr>
        <w:tc>
          <w:tcPr>
            <w:tcW w:w="185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8E5610" w14:textId="77777777" w:rsidR="00AB46B9" w:rsidRPr="008B628A" w:rsidRDefault="00AB46B9" w:rsidP="00283C85">
            <w:pPr>
              <w:spacing w:before="60" w:after="60"/>
              <w:jc w:val="center"/>
              <w:rPr>
                <w:rFonts w:ascii="Times New Roman" w:hAnsi="Times New Roman"/>
                <w:b/>
                <w:noProof/>
                <w:szCs w:val="24"/>
              </w:rPr>
            </w:pPr>
            <w:r w:rsidRPr="008B628A">
              <w:rPr>
                <w:rFonts w:ascii="Times New Roman" w:hAnsi="Times New Roman"/>
                <w:b/>
                <w:noProof/>
                <w:szCs w:val="24"/>
              </w:rPr>
              <w:t>Politikas mērķis</w:t>
            </w:r>
          </w:p>
        </w:tc>
        <w:tc>
          <w:tcPr>
            <w:tcW w:w="25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887F73" w14:textId="77777777" w:rsidR="00AB46B9" w:rsidRPr="008B628A" w:rsidRDefault="00AB46B9" w:rsidP="00283C85">
            <w:pPr>
              <w:spacing w:before="60" w:after="60"/>
              <w:jc w:val="center"/>
              <w:rPr>
                <w:rFonts w:ascii="Times New Roman" w:hAnsi="Times New Roman"/>
                <w:noProof/>
                <w:szCs w:val="24"/>
              </w:rPr>
            </w:pPr>
            <w:r w:rsidRPr="008B628A">
              <w:rPr>
                <w:rFonts w:ascii="Times New Roman" w:hAnsi="Times New Roman"/>
                <w:b/>
                <w:noProof/>
                <w:szCs w:val="24"/>
              </w:rPr>
              <w:t>Konkrētais mērķis</w:t>
            </w:r>
          </w:p>
        </w:tc>
        <w:tc>
          <w:tcPr>
            <w:tcW w:w="24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8E3E3D" w14:textId="77777777" w:rsidR="00AB46B9" w:rsidRPr="008B628A" w:rsidRDefault="00AB46B9" w:rsidP="00283C85">
            <w:pPr>
              <w:spacing w:before="60" w:after="60"/>
              <w:jc w:val="center"/>
              <w:rPr>
                <w:rFonts w:ascii="Times New Roman" w:hAnsi="Times New Roman"/>
                <w:b/>
                <w:noProof/>
                <w:szCs w:val="24"/>
              </w:rPr>
            </w:pPr>
            <w:r w:rsidRPr="008B628A">
              <w:rPr>
                <w:rFonts w:ascii="Times New Roman" w:hAnsi="Times New Roman"/>
                <w:b/>
                <w:noProof/>
                <w:szCs w:val="24"/>
              </w:rPr>
              <w:t>Veicinošā nosacījuma nosaukums</w:t>
            </w:r>
          </w:p>
        </w:tc>
        <w:tc>
          <w:tcPr>
            <w:tcW w:w="49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F66D5F" w14:textId="77777777" w:rsidR="00AB46B9" w:rsidRPr="008B628A" w:rsidRDefault="00AB46B9" w:rsidP="00283C85">
            <w:pPr>
              <w:spacing w:before="60" w:after="60"/>
              <w:ind w:left="34"/>
              <w:jc w:val="center"/>
              <w:rPr>
                <w:rFonts w:ascii="Times New Roman" w:hAnsi="Times New Roman"/>
                <w:noProof/>
                <w:szCs w:val="24"/>
              </w:rPr>
            </w:pPr>
            <w:r w:rsidRPr="008B628A">
              <w:rPr>
                <w:rFonts w:ascii="Times New Roman" w:hAnsi="Times New Roman"/>
                <w:b/>
                <w:noProof/>
                <w:szCs w:val="24"/>
              </w:rPr>
              <w:t>Veicinošā nosacījuma izpildes kritēriji</w:t>
            </w:r>
          </w:p>
        </w:tc>
        <w:tc>
          <w:tcPr>
            <w:tcW w:w="364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CEACBB" w14:textId="77777777" w:rsidR="00AB46B9" w:rsidRPr="008B628A" w:rsidRDefault="00AB46B9" w:rsidP="00283C85">
            <w:pPr>
              <w:spacing w:before="60" w:after="60"/>
              <w:ind w:left="34"/>
              <w:jc w:val="center"/>
              <w:rPr>
                <w:rFonts w:ascii="Times New Roman" w:hAnsi="Times New Roman"/>
                <w:b/>
                <w:noProof/>
                <w:szCs w:val="24"/>
              </w:rPr>
            </w:pPr>
            <w:r w:rsidRPr="008B628A">
              <w:rPr>
                <w:rFonts w:ascii="Times New Roman" w:hAnsi="Times New Roman"/>
                <w:b/>
                <w:noProof/>
                <w:szCs w:val="24"/>
              </w:rPr>
              <w:t>Veicinošā nosacījuma sasaiste ar Plānu, tā izvērtējums Plānā</w:t>
            </w:r>
          </w:p>
        </w:tc>
      </w:tr>
      <w:tr w:rsidR="00AB46B9" w:rsidRPr="008B628A" w14:paraId="2596A273" w14:textId="77777777" w:rsidTr="00965BD7">
        <w:trPr>
          <w:trHeight w:val="573"/>
          <w:jc w:val="center"/>
        </w:trPr>
        <w:tc>
          <w:tcPr>
            <w:tcW w:w="1852" w:type="dxa"/>
            <w:tcBorders>
              <w:top w:val="single" w:sz="4" w:space="0" w:color="auto"/>
              <w:left w:val="single" w:sz="4" w:space="0" w:color="auto"/>
              <w:bottom w:val="single" w:sz="4" w:space="0" w:color="auto"/>
              <w:right w:val="single" w:sz="4" w:space="0" w:color="auto"/>
            </w:tcBorders>
            <w:hideMark/>
          </w:tcPr>
          <w:p w14:paraId="4017325D"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1. Viedāka Eiropa, veicinot inovatīvas un viedas ekonomiskās pārmaiņas</w:t>
            </w:r>
          </w:p>
        </w:tc>
        <w:tc>
          <w:tcPr>
            <w:tcW w:w="2564" w:type="dxa"/>
            <w:tcBorders>
              <w:top w:val="single" w:sz="4" w:space="0" w:color="auto"/>
              <w:left w:val="single" w:sz="4" w:space="0" w:color="auto"/>
              <w:bottom w:val="single" w:sz="4" w:space="0" w:color="auto"/>
              <w:right w:val="single" w:sz="4" w:space="0" w:color="auto"/>
            </w:tcBorders>
          </w:tcPr>
          <w:p w14:paraId="54F4014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2FE13B4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Visi šā politikas mērķa konkrētie mērķi </w:t>
            </w:r>
          </w:p>
          <w:p w14:paraId="6EAB3D99" w14:textId="77777777" w:rsidR="00AB46B9" w:rsidRPr="008B628A" w:rsidRDefault="00AB46B9" w:rsidP="00283C85">
            <w:pPr>
              <w:spacing w:before="60" w:after="60"/>
              <w:jc w:val="both"/>
              <w:rPr>
                <w:rFonts w:ascii="Times New Roman" w:hAnsi="Times New Roman"/>
                <w:noProof/>
                <w:szCs w:val="24"/>
              </w:rPr>
            </w:pPr>
          </w:p>
          <w:p w14:paraId="3A6702A1" w14:textId="77777777" w:rsidR="00AB46B9" w:rsidRPr="008B628A" w:rsidRDefault="00AB46B9" w:rsidP="00283C85">
            <w:pPr>
              <w:spacing w:before="60" w:after="60"/>
              <w:jc w:val="both"/>
              <w:rPr>
                <w:rFonts w:ascii="Times New Roman" w:hAnsi="Times New Roman"/>
                <w:noProof/>
                <w:szCs w:val="24"/>
              </w:rPr>
            </w:pPr>
          </w:p>
          <w:p w14:paraId="1CDCB1A2"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tcPr>
          <w:p w14:paraId="599750D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Valsts vai reģionālas viedās specializācijas stratēģijas laba pārvaldība </w:t>
            </w:r>
          </w:p>
          <w:p w14:paraId="1D0542C4" w14:textId="77777777" w:rsidR="00AB46B9" w:rsidRPr="008B628A" w:rsidRDefault="00AB46B9" w:rsidP="00283C85">
            <w:pPr>
              <w:spacing w:before="60" w:after="60"/>
              <w:jc w:val="both"/>
              <w:rPr>
                <w:rFonts w:ascii="Times New Roman" w:hAnsi="Times New Roman"/>
                <w:noProof/>
                <w:szCs w:val="24"/>
              </w:rPr>
            </w:pPr>
          </w:p>
        </w:tc>
        <w:tc>
          <w:tcPr>
            <w:tcW w:w="4941" w:type="dxa"/>
            <w:tcBorders>
              <w:top w:val="single" w:sz="4" w:space="0" w:color="auto"/>
              <w:left w:val="single" w:sz="4" w:space="0" w:color="auto"/>
              <w:bottom w:val="single" w:sz="4" w:space="0" w:color="auto"/>
              <w:right w:val="single" w:sz="4" w:space="0" w:color="auto"/>
            </w:tcBorders>
            <w:hideMark/>
          </w:tcPr>
          <w:p w14:paraId="6DDF19F0" w14:textId="77777777" w:rsidR="00AB46B9" w:rsidRPr="008B628A" w:rsidRDefault="00AB46B9" w:rsidP="00283C85">
            <w:pPr>
              <w:spacing w:before="60" w:after="60"/>
              <w:ind w:left="34"/>
              <w:jc w:val="both"/>
              <w:rPr>
                <w:rFonts w:ascii="Times New Roman" w:hAnsi="Times New Roman"/>
                <w:noProof/>
                <w:szCs w:val="24"/>
              </w:rPr>
            </w:pPr>
            <w:r w:rsidRPr="008B628A">
              <w:rPr>
                <w:rFonts w:ascii="Times New Roman" w:hAnsi="Times New Roman"/>
                <w:noProof/>
                <w:szCs w:val="24"/>
              </w:rPr>
              <w:t>Viedās specializācijas stratēģiju (-as) balsta uz:</w:t>
            </w:r>
          </w:p>
          <w:p w14:paraId="22F309FF"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inovāciju izplatīšanas, tostarp digitalizācijas, trūkumu aktuālu analīzi;</w:t>
            </w:r>
          </w:p>
          <w:p w14:paraId="60D32E36"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 xml:space="preserve">tādas reģionālās/valsts kompetentās iestādes vai struktūras pastāvēšanu, kas ir atbildīga par viedās specializācijas stratēģijas pārvaldību; </w:t>
            </w:r>
          </w:p>
          <w:p w14:paraId="20A0BEC3"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monitoringa un novērtēšanas rīkiem, kas paredzēti, lai vērtētu virzību uz stratēģijas mērķu sasniegšanu;</w:t>
            </w:r>
          </w:p>
          <w:p w14:paraId="51C2FCF4"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uzņēmējdarbības potenciāla atklāšanas procesa efektīvu darbību;</w:t>
            </w:r>
          </w:p>
          <w:p w14:paraId="406F0CBC"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darbībām, kas nepieciešamas, lai uzlabotu valstu vai reģionālās pētniecības un inovācijas sistēmas;</w:t>
            </w:r>
          </w:p>
          <w:p w14:paraId="7F4857F1"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rūpniecības restrukturizācijas darbībām;</w:t>
            </w:r>
          </w:p>
          <w:p w14:paraId="1562BBFA"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starptautiskās sadarbības pasākumiem.</w:t>
            </w:r>
          </w:p>
        </w:tc>
        <w:tc>
          <w:tcPr>
            <w:tcW w:w="3642" w:type="dxa"/>
            <w:tcBorders>
              <w:top w:val="single" w:sz="4" w:space="0" w:color="auto"/>
              <w:left w:val="single" w:sz="4" w:space="0" w:color="auto"/>
              <w:bottom w:val="single" w:sz="4" w:space="0" w:color="auto"/>
              <w:right w:val="single" w:sz="4" w:space="0" w:color="auto"/>
            </w:tcBorders>
            <w:hideMark/>
          </w:tcPr>
          <w:p w14:paraId="07D23061" w14:textId="77777777" w:rsidR="00AB46B9" w:rsidRPr="008B628A" w:rsidRDefault="00AB46B9" w:rsidP="00283C85">
            <w:pPr>
              <w:spacing w:before="60" w:after="60"/>
              <w:ind w:left="34"/>
              <w:jc w:val="both"/>
              <w:rPr>
                <w:rFonts w:ascii="Times New Roman" w:hAnsi="Times New Roman"/>
                <w:noProof/>
                <w:szCs w:val="24"/>
              </w:rPr>
            </w:pPr>
            <w:r w:rsidRPr="008B628A">
              <w:rPr>
                <w:rFonts w:ascii="Times New Roman" w:hAnsi="Times New Roman"/>
                <w:noProof/>
                <w:szCs w:val="24"/>
              </w:rPr>
              <w:t>Plānā iekļautā inovāciju, pētniecības un dekarbonizācijas dimensija (Plāna 2.5., 3.5. un 4.6.nodaļa)</w:t>
            </w:r>
          </w:p>
        </w:tc>
      </w:tr>
      <w:tr w:rsidR="00AB46B9" w:rsidRPr="008B628A" w14:paraId="03FEC34D" w14:textId="77777777" w:rsidTr="00965BD7">
        <w:trPr>
          <w:trHeight w:val="573"/>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1EE2EBDF"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 xml:space="preserve">2. Zaļāka Eiropa ar zemām oglekļa emisijām, veicinot tīru un taisnīgu enerģētikas pārkārtošanu, </w:t>
            </w:r>
            <w:r w:rsidRPr="008B628A">
              <w:rPr>
                <w:rFonts w:ascii="Times New Roman" w:hAnsi="Times New Roman"/>
                <w:b/>
                <w:noProof/>
                <w:szCs w:val="24"/>
              </w:rPr>
              <w:lastRenderedPageBreak/>
              <w:t>“zaļas” un “zilas” investīcijas, aprites ekonomiku, pielāgošanos klimata pārmaiņām un risku novēršanu un pārvaldību</w:t>
            </w:r>
          </w:p>
        </w:tc>
        <w:tc>
          <w:tcPr>
            <w:tcW w:w="2564" w:type="dxa"/>
            <w:tcBorders>
              <w:top w:val="single" w:sz="4" w:space="0" w:color="auto"/>
              <w:left w:val="single" w:sz="4" w:space="0" w:color="auto"/>
              <w:bottom w:val="single" w:sz="4" w:space="0" w:color="auto"/>
              <w:right w:val="single" w:sz="4" w:space="0" w:color="auto"/>
            </w:tcBorders>
          </w:tcPr>
          <w:p w14:paraId="027F988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ERAF un Kohēzijas fonds. </w:t>
            </w:r>
          </w:p>
          <w:p w14:paraId="740BA76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 2.1. Energoefektivitātes pasākumu veicināšana</w:t>
            </w:r>
          </w:p>
          <w:p w14:paraId="7E21AF8C" w14:textId="77777777" w:rsidR="00AB46B9" w:rsidRPr="008B628A" w:rsidRDefault="00AB46B9" w:rsidP="00283C85">
            <w:pPr>
              <w:spacing w:before="60" w:after="60"/>
              <w:jc w:val="both"/>
              <w:rPr>
                <w:rFonts w:ascii="Times New Roman" w:hAnsi="Times New Roman"/>
                <w:noProof/>
                <w:szCs w:val="24"/>
              </w:rPr>
            </w:pPr>
          </w:p>
          <w:p w14:paraId="6D588751" w14:textId="77777777" w:rsidR="00AB46B9" w:rsidRPr="008B628A" w:rsidRDefault="00AB46B9" w:rsidP="00283C85">
            <w:pPr>
              <w:spacing w:before="60" w:after="60"/>
              <w:jc w:val="both"/>
              <w:rPr>
                <w:rFonts w:ascii="Times New Roman" w:hAnsi="Times New Roman"/>
                <w:noProof/>
                <w:szCs w:val="24"/>
              </w:rPr>
            </w:pPr>
          </w:p>
          <w:p w14:paraId="784C1932" w14:textId="77777777" w:rsidR="00AB46B9" w:rsidRPr="008B628A" w:rsidRDefault="00AB46B9" w:rsidP="00283C85">
            <w:pPr>
              <w:spacing w:before="60" w:after="60"/>
              <w:jc w:val="both"/>
              <w:rPr>
                <w:rFonts w:ascii="Times New Roman" w:hAnsi="Times New Roman"/>
                <w:noProof/>
                <w:szCs w:val="24"/>
              </w:rPr>
            </w:pPr>
          </w:p>
          <w:p w14:paraId="1A6F8D3A" w14:textId="77777777" w:rsidR="00AB46B9" w:rsidRPr="008B628A" w:rsidRDefault="00AB46B9" w:rsidP="00283C85">
            <w:pPr>
              <w:spacing w:before="60" w:after="60"/>
              <w:jc w:val="both"/>
              <w:rPr>
                <w:rFonts w:ascii="Times New Roman" w:hAnsi="Times New Roman"/>
                <w:noProof/>
                <w:szCs w:val="24"/>
              </w:rPr>
            </w:pPr>
          </w:p>
          <w:p w14:paraId="44899980" w14:textId="77777777" w:rsidR="00AB46B9" w:rsidRPr="008B628A" w:rsidRDefault="00AB46B9" w:rsidP="00283C85">
            <w:pPr>
              <w:spacing w:before="60" w:after="60"/>
              <w:jc w:val="right"/>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6DD29C83" w14:textId="77777777" w:rsidR="00AB46B9" w:rsidRPr="008B628A" w:rsidRDefault="00AB46B9" w:rsidP="00283C85">
            <w:pPr>
              <w:spacing w:before="60" w:after="60"/>
              <w:jc w:val="both"/>
              <w:rPr>
                <w:rFonts w:ascii="Times New Roman" w:hAnsi="Times New Roman"/>
                <w:i/>
                <w:noProof/>
                <w:szCs w:val="24"/>
              </w:rPr>
            </w:pPr>
            <w:r w:rsidRPr="008B628A">
              <w:rPr>
                <w:rFonts w:ascii="Times New Roman" w:hAnsi="Times New Roman"/>
                <w:noProof/>
                <w:szCs w:val="24"/>
              </w:rPr>
              <w:lastRenderedPageBreak/>
              <w:t>Stratēģiskās politikas satvars, kas atbalsta dzīvojamo un nedzīvojamo ēku renovēšanu energoefektivitātes uzlabošanai</w:t>
            </w:r>
          </w:p>
        </w:tc>
        <w:tc>
          <w:tcPr>
            <w:tcW w:w="4941" w:type="dxa"/>
            <w:tcBorders>
              <w:top w:val="single" w:sz="4" w:space="0" w:color="auto"/>
              <w:left w:val="single" w:sz="4" w:space="0" w:color="auto"/>
              <w:bottom w:val="single" w:sz="4" w:space="0" w:color="auto"/>
              <w:right w:val="single" w:sz="4" w:space="0" w:color="auto"/>
            </w:tcBorders>
            <w:hideMark/>
          </w:tcPr>
          <w:p w14:paraId="43CB45B3" w14:textId="77777777" w:rsidR="00AB46B9" w:rsidRPr="008B628A" w:rsidRDefault="00AB46B9" w:rsidP="00283C85">
            <w:pPr>
              <w:numPr>
                <w:ilvl w:val="0"/>
                <w:numId w:val="104"/>
              </w:numPr>
              <w:spacing w:before="60" w:after="60"/>
              <w:jc w:val="both"/>
              <w:rPr>
                <w:rFonts w:ascii="Times New Roman" w:hAnsi="Times New Roman"/>
                <w:noProof/>
                <w:szCs w:val="24"/>
              </w:rPr>
            </w:pPr>
            <w:r w:rsidRPr="008B628A">
              <w:rPr>
                <w:rFonts w:ascii="Times New Roman" w:hAnsi="Times New Roman"/>
                <w:noProof/>
                <w:szCs w:val="24"/>
              </w:rPr>
              <w:t>Saskaņā ar Direktīvas 2010/31/ES par ēku energoefektivitāti, lai atbalstītu valsts dzīvojamo un nedzīvojamo ēku fonda renovāciju, ir pieņemta valsts ilgtermiņa renovācijas stratēģija, kas:</w:t>
            </w:r>
          </w:p>
          <w:p w14:paraId="683DC475"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t>satur indikatīvus atskaites punktus attiecībā uz 2030. un 2040. gadu un mērķus 2050. gadam;</w:t>
            </w:r>
          </w:p>
          <w:p w14:paraId="24A6B3F1"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lastRenderedPageBreak/>
              <w:t>sniedz indikatīvu budžeta resursu izklāstu stratēģijas īstenošanas atbalstam;</w:t>
            </w:r>
          </w:p>
          <w:p w14:paraId="2A51EC8F"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t xml:space="preserve">nosaka efektīvus mehānismus, kas paredzēti, lai veicinātu investīcijas ēku renovācijā.  </w:t>
            </w:r>
          </w:p>
          <w:p w14:paraId="23ECF2C8" w14:textId="77777777" w:rsidR="00AB46B9" w:rsidRPr="008B628A" w:rsidRDefault="00AB46B9" w:rsidP="00283C85">
            <w:pPr>
              <w:numPr>
                <w:ilvl w:val="0"/>
                <w:numId w:val="104"/>
              </w:numPr>
              <w:spacing w:before="60" w:after="60"/>
              <w:jc w:val="both"/>
              <w:rPr>
                <w:rFonts w:ascii="Times New Roman" w:hAnsi="Times New Roman"/>
                <w:noProof/>
                <w:szCs w:val="24"/>
              </w:rPr>
            </w:pPr>
            <w:r w:rsidRPr="008B628A">
              <w:rPr>
                <w:rFonts w:ascii="Times New Roman" w:hAnsi="Times New Roman"/>
                <w:noProof/>
                <w:szCs w:val="24"/>
              </w:rPr>
              <w:t xml:space="preserve">Energoefektivitātes uzlabošanas pasākumi nepieciešamo enerģijas ietaupījumu panākšanai. </w:t>
            </w:r>
          </w:p>
        </w:tc>
        <w:tc>
          <w:tcPr>
            <w:tcW w:w="3642" w:type="dxa"/>
            <w:tcBorders>
              <w:top w:val="single" w:sz="4" w:space="0" w:color="auto"/>
              <w:left w:val="single" w:sz="4" w:space="0" w:color="auto"/>
              <w:bottom w:val="single" w:sz="4" w:space="0" w:color="auto"/>
              <w:right w:val="single" w:sz="4" w:space="0" w:color="auto"/>
            </w:tcBorders>
            <w:hideMark/>
          </w:tcPr>
          <w:p w14:paraId="542AAB6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Pānā iekļautā energoefektivitātes dimensija (Plāna 2.2. un 3.2.nodaļa)</w:t>
            </w:r>
          </w:p>
        </w:tc>
      </w:tr>
      <w:tr w:rsidR="00AB46B9" w:rsidRPr="008B628A" w14:paraId="1ED62272" w14:textId="77777777" w:rsidTr="00965BD7">
        <w:trPr>
          <w:trHeight w:val="2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70084"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3EFBB3D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92F7B4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2.1. Energoefektivitātes pasākumu veicināšana</w:t>
            </w:r>
          </w:p>
          <w:p w14:paraId="0D9823EA" w14:textId="2A31D8A9"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2.2. </w:t>
            </w:r>
            <w:r w:rsidR="00C432CC">
              <w:rPr>
                <w:rFonts w:ascii="Times New Roman" w:hAnsi="Times New Roman"/>
                <w:noProof/>
                <w:szCs w:val="24"/>
              </w:rPr>
              <w:t>AE</w:t>
            </w:r>
            <w:r w:rsidRPr="008B628A">
              <w:rPr>
                <w:rFonts w:ascii="Times New Roman" w:hAnsi="Times New Roman"/>
                <w:noProof/>
                <w:szCs w:val="24"/>
              </w:rPr>
              <w:t xml:space="preserve"> veicināšana, investējot ražošanas jaudā</w:t>
            </w:r>
          </w:p>
        </w:tc>
        <w:tc>
          <w:tcPr>
            <w:tcW w:w="2423" w:type="dxa"/>
            <w:tcBorders>
              <w:top w:val="single" w:sz="4" w:space="0" w:color="auto"/>
              <w:left w:val="single" w:sz="4" w:space="0" w:color="auto"/>
              <w:bottom w:val="single" w:sz="4" w:space="0" w:color="auto"/>
              <w:right w:val="single" w:sz="4" w:space="0" w:color="auto"/>
            </w:tcBorders>
            <w:hideMark/>
          </w:tcPr>
          <w:p w14:paraId="20A67D6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Enerģētikas nozares pārvaldība </w:t>
            </w:r>
          </w:p>
        </w:tc>
        <w:tc>
          <w:tcPr>
            <w:tcW w:w="4941" w:type="dxa"/>
            <w:tcBorders>
              <w:top w:val="single" w:sz="4" w:space="0" w:color="auto"/>
              <w:left w:val="single" w:sz="4" w:space="0" w:color="auto"/>
              <w:bottom w:val="single" w:sz="4" w:space="0" w:color="auto"/>
              <w:right w:val="single" w:sz="4" w:space="0" w:color="auto"/>
            </w:tcBorders>
            <w:hideMark/>
          </w:tcPr>
          <w:p w14:paraId="2E26D25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pieņemts valsts enerģētikas un klimata plāns, un tas ietver:</w:t>
            </w:r>
          </w:p>
          <w:p w14:paraId="2260CE64" w14:textId="77777777" w:rsidR="00AB46B9" w:rsidRPr="008B628A" w:rsidRDefault="00AB46B9" w:rsidP="00283C85">
            <w:pPr>
              <w:numPr>
                <w:ilvl w:val="0"/>
                <w:numId w:val="105"/>
              </w:numPr>
              <w:spacing w:before="60" w:after="60"/>
              <w:ind w:left="317"/>
              <w:jc w:val="both"/>
              <w:rPr>
                <w:rFonts w:ascii="Times New Roman" w:hAnsi="Times New Roman"/>
                <w:noProof/>
                <w:szCs w:val="24"/>
              </w:rPr>
            </w:pPr>
            <w:r w:rsidRPr="008B628A">
              <w:rPr>
                <w:rFonts w:ascii="Times New Roman" w:hAnsi="Times New Roman"/>
                <w:noProof/>
                <w:szCs w:val="24"/>
              </w:rPr>
              <w:t>visus regulas par Enerģētikas savienības pārvaldību</w:t>
            </w:r>
            <w:r w:rsidRPr="008B628A">
              <w:rPr>
                <w:rFonts w:ascii="Times New Roman" w:hAnsi="Times New Roman"/>
                <w:noProof/>
                <w:szCs w:val="24"/>
                <w:vertAlign w:val="superscript"/>
              </w:rPr>
              <w:footnoteReference w:id="273"/>
            </w:r>
            <w:r w:rsidRPr="008B628A">
              <w:rPr>
                <w:rFonts w:ascii="Times New Roman" w:hAnsi="Times New Roman"/>
                <w:noProof/>
                <w:szCs w:val="24"/>
              </w:rPr>
              <w:t xml:space="preserve"> I pielikuma veidnē prasītos elementus;</w:t>
            </w:r>
          </w:p>
          <w:p w14:paraId="76DAAA4A" w14:textId="77777777" w:rsidR="00AB46B9" w:rsidRPr="008B628A" w:rsidRDefault="00AB46B9" w:rsidP="00283C85">
            <w:pPr>
              <w:numPr>
                <w:ilvl w:val="0"/>
                <w:numId w:val="105"/>
              </w:numPr>
              <w:spacing w:before="60" w:after="60"/>
              <w:ind w:left="317"/>
              <w:jc w:val="both"/>
              <w:rPr>
                <w:rFonts w:ascii="Times New Roman" w:hAnsi="Times New Roman"/>
                <w:noProof/>
                <w:szCs w:val="24"/>
              </w:rPr>
            </w:pPr>
            <w:r w:rsidRPr="008B628A">
              <w:rPr>
                <w:rFonts w:ascii="Times New Roman" w:hAnsi="Times New Roman"/>
                <w:noProof/>
                <w:szCs w:val="24"/>
              </w:rPr>
              <w:t>mazoglekļa enerģijas veicināšanas pasākumiem paredzēto finanšu resursu un mehānismu indikatīvu izklāstu.</w:t>
            </w:r>
          </w:p>
        </w:tc>
        <w:tc>
          <w:tcPr>
            <w:tcW w:w="3642" w:type="dxa"/>
            <w:tcBorders>
              <w:top w:val="single" w:sz="4" w:space="0" w:color="auto"/>
              <w:left w:val="single" w:sz="4" w:space="0" w:color="auto"/>
              <w:bottom w:val="single" w:sz="4" w:space="0" w:color="auto"/>
              <w:right w:val="single" w:sz="4" w:space="0" w:color="auto"/>
            </w:tcBorders>
            <w:hideMark/>
          </w:tcPr>
          <w:p w14:paraId="3DC3E28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Plāna apstiprināšana Ministru kabinetā paredzēta 2019.gada 4.ceturksnī</w:t>
            </w:r>
          </w:p>
        </w:tc>
      </w:tr>
      <w:tr w:rsidR="00AB46B9" w:rsidRPr="008B628A" w14:paraId="399CC827"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43B3F"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0F918C7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DC6B45A" w14:textId="186A2C60"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2.2. </w:t>
            </w:r>
            <w:r w:rsidR="00C432CC">
              <w:rPr>
                <w:rFonts w:ascii="Times New Roman" w:hAnsi="Times New Roman"/>
                <w:noProof/>
                <w:szCs w:val="24"/>
              </w:rPr>
              <w:t>AE</w:t>
            </w:r>
            <w:r w:rsidRPr="008B628A">
              <w:rPr>
                <w:rFonts w:ascii="Times New Roman" w:hAnsi="Times New Roman"/>
                <w:noProof/>
                <w:szCs w:val="24"/>
              </w:rPr>
              <w:t xml:space="preserve"> veicināšana, investējot ražošanas jaudā</w:t>
            </w:r>
          </w:p>
          <w:p w14:paraId="2B01DBF4" w14:textId="77777777" w:rsidR="00AB46B9" w:rsidRPr="008B628A" w:rsidRDefault="00AB46B9" w:rsidP="00283C85">
            <w:pPr>
              <w:spacing w:before="60" w:after="60"/>
              <w:jc w:val="both"/>
              <w:rPr>
                <w:rFonts w:ascii="Times New Roman" w:hAnsi="Times New Roman"/>
                <w:noProof/>
                <w:szCs w:val="24"/>
              </w:rPr>
            </w:pPr>
          </w:p>
          <w:p w14:paraId="015FF1C4"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58CAA2AD" w14:textId="6E532786"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Efektīvi veicināt </w:t>
            </w:r>
            <w:r w:rsidR="00C432CC">
              <w:rPr>
                <w:rFonts w:ascii="Times New Roman" w:hAnsi="Times New Roman"/>
                <w:noProof/>
                <w:szCs w:val="24"/>
              </w:rPr>
              <w:t>AE</w:t>
            </w:r>
            <w:r w:rsidRPr="008B628A">
              <w:rPr>
                <w:rFonts w:ascii="Times New Roman" w:hAnsi="Times New Roman"/>
                <w:noProof/>
                <w:szCs w:val="24"/>
              </w:rPr>
              <w:t xml:space="preserve"> izmantošanu dažādās nozarēs un visā ES </w:t>
            </w:r>
          </w:p>
        </w:tc>
        <w:tc>
          <w:tcPr>
            <w:tcW w:w="4941" w:type="dxa"/>
            <w:tcBorders>
              <w:top w:val="single" w:sz="4" w:space="0" w:color="auto"/>
              <w:left w:val="single" w:sz="4" w:space="0" w:color="auto"/>
              <w:bottom w:val="single" w:sz="4" w:space="0" w:color="auto"/>
              <w:right w:val="single" w:sz="4" w:space="0" w:color="auto"/>
            </w:tcBorders>
            <w:hideMark/>
          </w:tcPr>
          <w:p w14:paraId="70CFA2B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sagatavoti pasākumi, kas nodrošina:</w:t>
            </w:r>
          </w:p>
          <w:p w14:paraId="68A1F994" w14:textId="4C68A592" w:rsidR="00AB46B9" w:rsidRPr="008B628A" w:rsidRDefault="00AB46B9" w:rsidP="00283C85">
            <w:pPr>
              <w:numPr>
                <w:ilvl w:val="0"/>
                <w:numId w:val="106"/>
              </w:numPr>
              <w:spacing w:before="60" w:after="60"/>
              <w:ind w:left="317" w:hanging="317"/>
              <w:jc w:val="both"/>
              <w:rPr>
                <w:rFonts w:ascii="Times New Roman" w:hAnsi="Times New Roman"/>
                <w:noProof/>
                <w:szCs w:val="24"/>
              </w:rPr>
            </w:pPr>
            <w:r w:rsidRPr="008B628A">
              <w:rPr>
                <w:rFonts w:ascii="Times New Roman" w:hAnsi="Times New Roman"/>
                <w:noProof/>
                <w:szCs w:val="24"/>
              </w:rPr>
              <w:t xml:space="preserve">atbilstību 2020. gada valsts </w:t>
            </w:r>
            <w:r w:rsidR="00C432CC">
              <w:rPr>
                <w:rFonts w:ascii="Times New Roman" w:hAnsi="Times New Roman"/>
                <w:noProof/>
                <w:szCs w:val="24"/>
              </w:rPr>
              <w:t>AER</w:t>
            </w:r>
            <w:r w:rsidRPr="008B628A">
              <w:rPr>
                <w:rFonts w:ascii="Times New Roman" w:hAnsi="Times New Roman"/>
                <w:noProof/>
                <w:szCs w:val="24"/>
              </w:rPr>
              <w:t xml:space="preserve"> saistošajam mērķim un līdz 2030. gadam – šai atskaites pozīcijai saskaņā ar pārstrādāto Direktīvu 2009/28/EK</w:t>
            </w:r>
            <w:r w:rsidRPr="008B628A">
              <w:rPr>
                <w:rFonts w:ascii="Times New Roman" w:hAnsi="Times New Roman"/>
                <w:noProof/>
                <w:szCs w:val="24"/>
                <w:vertAlign w:val="superscript"/>
              </w:rPr>
              <w:footnoteReference w:id="274"/>
            </w:r>
          </w:p>
          <w:p w14:paraId="28F09E79" w14:textId="21EE1E43" w:rsidR="00AB46B9" w:rsidRPr="008B628A" w:rsidRDefault="00C432CC" w:rsidP="00283C85">
            <w:pPr>
              <w:numPr>
                <w:ilvl w:val="0"/>
                <w:numId w:val="106"/>
              </w:numPr>
              <w:spacing w:before="60" w:after="60"/>
              <w:ind w:left="317" w:hanging="317"/>
              <w:jc w:val="both"/>
              <w:rPr>
                <w:rFonts w:ascii="Times New Roman" w:hAnsi="Times New Roman"/>
                <w:noProof/>
                <w:szCs w:val="24"/>
              </w:rPr>
            </w:pPr>
            <w:r>
              <w:rPr>
                <w:rFonts w:ascii="Times New Roman" w:hAnsi="Times New Roman"/>
                <w:noProof/>
                <w:szCs w:val="24"/>
              </w:rPr>
              <w:t>AER</w:t>
            </w:r>
            <w:r w:rsidR="00AB46B9" w:rsidRPr="008B628A">
              <w:rPr>
                <w:rFonts w:ascii="Times New Roman" w:hAnsi="Times New Roman"/>
                <w:noProof/>
                <w:szCs w:val="24"/>
              </w:rPr>
              <w:t xml:space="preserve"> procentuālās daļas pieaugumu siltumapgādes un aukstumapgādes </w:t>
            </w:r>
            <w:r w:rsidR="00AB46B9" w:rsidRPr="008B628A">
              <w:rPr>
                <w:rFonts w:ascii="Times New Roman" w:hAnsi="Times New Roman"/>
                <w:noProof/>
                <w:szCs w:val="24"/>
              </w:rPr>
              <w:lastRenderedPageBreak/>
              <w:t>nozarē par 1 procentpunktu gadā līdz 2030. gadam.</w:t>
            </w:r>
          </w:p>
        </w:tc>
        <w:tc>
          <w:tcPr>
            <w:tcW w:w="3642" w:type="dxa"/>
            <w:tcBorders>
              <w:top w:val="single" w:sz="4" w:space="0" w:color="auto"/>
              <w:left w:val="single" w:sz="4" w:space="0" w:color="auto"/>
              <w:bottom w:val="single" w:sz="4" w:space="0" w:color="auto"/>
              <w:right w:val="single" w:sz="4" w:space="0" w:color="auto"/>
            </w:tcBorders>
            <w:hideMark/>
          </w:tcPr>
          <w:p w14:paraId="31FC5D8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Plānā iekļautā dekarbonizācijas stratēģija (Plāna 2.1., 3.1. un 4.2.nodaļa)</w:t>
            </w:r>
          </w:p>
        </w:tc>
      </w:tr>
      <w:tr w:rsidR="00AB46B9" w:rsidRPr="008B628A" w14:paraId="757F71F3"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75E47"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6BA8A90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4069463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2.4. Veicināt pielāgošanos klimata pārmaiņām, risku novēršanu un noturību pret katastrofām</w:t>
            </w:r>
          </w:p>
          <w:p w14:paraId="21B76959" w14:textId="77777777" w:rsidR="00AB46B9" w:rsidRPr="008B628A" w:rsidRDefault="00AB46B9" w:rsidP="00283C85">
            <w:pPr>
              <w:spacing w:before="60" w:after="60"/>
              <w:jc w:val="both"/>
              <w:rPr>
                <w:rFonts w:ascii="Times New Roman" w:hAnsi="Times New Roman"/>
                <w:noProof/>
                <w:szCs w:val="24"/>
              </w:rPr>
            </w:pPr>
          </w:p>
          <w:p w14:paraId="14514C1C"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tcPr>
          <w:p w14:paraId="0DE17A4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Efektīvs katastrofu risku pārvaldības satvars</w:t>
            </w:r>
          </w:p>
          <w:p w14:paraId="1E1DDBA7" w14:textId="77777777" w:rsidR="00AB46B9" w:rsidRPr="008B628A" w:rsidRDefault="00AB46B9" w:rsidP="00283C85">
            <w:pPr>
              <w:spacing w:before="60" w:after="60"/>
              <w:jc w:val="both"/>
              <w:rPr>
                <w:rFonts w:ascii="Times New Roman" w:hAnsi="Times New Roman"/>
                <w:noProof/>
                <w:szCs w:val="24"/>
              </w:rPr>
            </w:pPr>
          </w:p>
          <w:p w14:paraId="7A805CEC" w14:textId="77777777" w:rsidR="00AB46B9" w:rsidRPr="008B628A" w:rsidRDefault="00AB46B9" w:rsidP="00283C85">
            <w:pPr>
              <w:spacing w:before="60" w:after="60"/>
              <w:jc w:val="both"/>
              <w:rPr>
                <w:rFonts w:ascii="Times New Roman" w:hAnsi="Times New Roman"/>
                <w:noProof/>
                <w:szCs w:val="24"/>
              </w:rPr>
            </w:pPr>
          </w:p>
        </w:tc>
        <w:tc>
          <w:tcPr>
            <w:tcW w:w="4941" w:type="dxa"/>
            <w:tcBorders>
              <w:top w:val="single" w:sz="4" w:space="0" w:color="auto"/>
              <w:left w:val="single" w:sz="4" w:space="0" w:color="auto"/>
              <w:bottom w:val="single" w:sz="4" w:space="0" w:color="auto"/>
              <w:right w:val="single" w:sz="4" w:space="0" w:color="auto"/>
            </w:tcBorders>
          </w:tcPr>
          <w:p w14:paraId="2979BFF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vai reģionālais katastrofu risku pārvaldības plāns, kas atbilst spēkā esošajām stratēģijām attiecībā uz pielāgošanos klimata pārmaiņām un kas ietver:</w:t>
            </w:r>
          </w:p>
          <w:p w14:paraId="3EC67F36"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galveno risku aprakstu, kuri novērtēti saskaņā ar Lēmuma Nr. 1313/2013/ES 6. panta a) punkts noteikumiem; apraksts atspoguļo pašreizējos un ilgtermiņa (25 līdz 35 gadi) draudus. Attiecībā uz riskiem, kas saistīti ar klimatu, novērtējums balstās uz klimata pārmaiņu prognozēm un scenārijiem;</w:t>
            </w:r>
          </w:p>
          <w:p w14:paraId="600B0698"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lai risinātu galvenos identificētos riskus, aprakstu par pasākumiem katastrofu novēršanai, sagatavošanos tām un reaģēšanai. Proporcionāli riskiem un to ekonomiskajai ietekmei, spēju nepietiekamībai</w:t>
            </w:r>
            <w:r w:rsidRPr="008B628A">
              <w:rPr>
                <w:rFonts w:ascii="Times New Roman" w:hAnsi="Times New Roman"/>
                <w:noProof/>
                <w:szCs w:val="24"/>
                <w:vertAlign w:val="superscript"/>
              </w:rPr>
              <w:footnoteReference w:id="275"/>
            </w:r>
            <w:r w:rsidRPr="008B628A">
              <w:rPr>
                <w:rFonts w:ascii="Times New Roman" w:hAnsi="Times New Roman"/>
                <w:noProof/>
                <w:szCs w:val="24"/>
              </w:rPr>
              <w:t xml:space="preserve">, efektivitātei un iedarbīgumam, pasākumiem nosaka prioritāti, ņemot vērā iespējamās alternatīvas; </w:t>
            </w:r>
          </w:p>
          <w:p w14:paraId="2208D61A"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 xml:space="preserve">informāciju par budžeta un finanšu resursiem un mehānismiem, kas pieejami, lai segtu darbības un </w:t>
            </w:r>
            <w:r w:rsidRPr="008B628A">
              <w:rPr>
                <w:rFonts w:ascii="Times New Roman" w:hAnsi="Times New Roman"/>
                <w:noProof/>
                <w:szCs w:val="24"/>
              </w:rPr>
              <w:lastRenderedPageBreak/>
              <w:t>uzturēšanas izmaksas, kas saistītas ar novēršanu, sagatavošanos un reaģēšanu.</w:t>
            </w:r>
          </w:p>
          <w:p w14:paraId="480A77F7" w14:textId="77777777" w:rsidR="00AB46B9" w:rsidRPr="008B628A" w:rsidRDefault="00AB46B9" w:rsidP="00283C85">
            <w:pPr>
              <w:spacing w:before="60" w:after="60"/>
              <w:ind w:left="317"/>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54A9145F" w14:textId="77777777" w:rsidR="00AB46B9" w:rsidRPr="008B628A" w:rsidRDefault="00AB46B9" w:rsidP="00283C85">
            <w:pPr>
              <w:spacing w:before="60" w:after="60"/>
              <w:rPr>
                <w:rFonts w:ascii="Times New Roman" w:hAnsi="Times New Roman"/>
                <w:noProof/>
                <w:color w:val="000000"/>
                <w:szCs w:val="24"/>
              </w:rPr>
            </w:pPr>
            <w:r w:rsidRPr="008B628A">
              <w:rPr>
                <w:rFonts w:ascii="Times New Roman" w:hAnsi="Times New Roman"/>
                <w:noProof/>
                <w:color w:val="000000"/>
                <w:szCs w:val="24"/>
              </w:rPr>
              <w:lastRenderedPageBreak/>
              <w:t>Neattiecas uz Plāna aptvērumu</w:t>
            </w:r>
          </w:p>
        </w:tc>
      </w:tr>
      <w:tr w:rsidR="00AB46B9" w:rsidRPr="008B628A" w14:paraId="40E64A50"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377A1"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8513B2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F57DF1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2.5. Veicināt ūdensefektivitāti</w:t>
            </w:r>
          </w:p>
          <w:p w14:paraId="4916B34C" w14:textId="77777777" w:rsidR="00AB46B9" w:rsidRPr="008B628A" w:rsidRDefault="00AB46B9" w:rsidP="00283C85">
            <w:pPr>
              <w:spacing w:before="60" w:after="60"/>
              <w:jc w:val="both"/>
              <w:rPr>
                <w:rFonts w:ascii="Times New Roman" w:hAnsi="Times New Roman"/>
                <w:noProof/>
                <w:szCs w:val="24"/>
              </w:rPr>
            </w:pPr>
          </w:p>
          <w:p w14:paraId="06E9560F"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4097430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Atjaunināts plāns par nepieciešamajām investīcijām ūdensapgādes un notekūdeņu nozarēs </w:t>
            </w:r>
          </w:p>
        </w:tc>
        <w:tc>
          <w:tcPr>
            <w:tcW w:w="4941" w:type="dxa"/>
            <w:tcBorders>
              <w:top w:val="single" w:sz="4" w:space="0" w:color="auto"/>
              <w:left w:val="single" w:sz="4" w:space="0" w:color="auto"/>
              <w:bottom w:val="single" w:sz="4" w:space="0" w:color="auto"/>
              <w:right w:val="single" w:sz="4" w:space="0" w:color="auto"/>
            </w:tcBorders>
            <w:hideMark/>
          </w:tcPr>
          <w:p w14:paraId="05F4667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investīciju plāns, un tas ietver:</w:t>
            </w:r>
          </w:p>
          <w:p w14:paraId="0C0C0980"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Komunālo notekūdeņu attīrīšanas direktīvas (KNAD) 91/271/EEK un Dzeramā ūdens direktīvas (DzŪD) 98/83/EK pašreizējās īstenošanas situācijas novērtējumu;</w:t>
            </w:r>
          </w:p>
          <w:p w14:paraId="44D5294C"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visu publisko investīciju identificēšanu un plānošanu, tostarp indikatīvu izmaksu aprēķinu:</w:t>
            </w:r>
          </w:p>
          <w:p w14:paraId="409E327C"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kas nepieciešamas, lai panāktu atbilstību KNAD, tostarp prioritārās kārtības noteikšanu attiecībā uz aglomerāciju lielumu un ietekmi uz vidi, norādot investīciju sadalījumu pēc notekūdeņu aglomerācijas;</w:t>
            </w:r>
          </w:p>
          <w:p w14:paraId="10038BC7"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 xml:space="preserve">kas nepieciešamas, lai īstenotu DzŪD (Dzeramā ūdens direktīvu 98/83/EK); </w:t>
            </w:r>
          </w:p>
          <w:p w14:paraId="731604C4"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 xml:space="preserve">kas nepieciešamas, lai apmierinātu vajadzības, kuras izriet no ierosinātās pārstrādāšanas (COM(2017)753 final), jo īpaši ņemot vērā pārskatītos kvalitātes </w:t>
            </w:r>
            <w:r w:rsidRPr="008B628A">
              <w:rPr>
                <w:rFonts w:ascii="Times New Roman" w:hAnsi="Times New Roman"/>
                <w:noProof/>
                <w:szCs w:val="24"/>
              </w:rPr>
              <w:lastRenderedPageBreak/>
              <w:t xml:space="preserve">parametrus, kas sīki izklāstīti I pielikumā; </w:t>
            </w:r>
          </w:p>
          <w:p w14:paraId="2EC1CB3D"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esošās notekūdeņu un ūdensapgādes infrastruktūras, tostarp tīklu, atjaunošanai nepieciešamo investīciju aprēķinu, kas balstīts uz to vecumu un nolietojuma plāniem;</w:t>
            </w:r>
          </w:p>
          <w:p w14:paraId="5B9EBCB3"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 xml:space="preserve">norādi par iespējamiem publiskā finansējuma avotiem, ja nepieciešams papildināt lietotājiem piemērotās maksas. </w:t>
            </w:r>
          </w:p>
        </w:tc>
        <w:tc>
          <w:tcPr>
            <w:tcW w:w="3642" w:type="dxa"/>
            <w:tcBorders>
              <w:top w:val="single" w:sz="4" w:space="0" w:color="auto"/>
              <w:left w:val="single" w:sz="4" w:space="0" w:color="auto"/>
              <w:bottom w:val="single" w:sz="4" w:space="0" w:color="auto"/>
              <w:right w:val="single" w:sz="4" w:space="0" w:color="auto"/>
            </w:tcBorders>
            <w:hideMark/>
          </w:tcPr>
          <w:p w14:paraId="73B9FB30" w14:textId="77777777" w:rsidR="00AB46B9" w:rsidRPr="008B628A" w:rsidRDefault="00AB46B9" w:rsidP="00283C85">
            <w:pPr>
              <w:spacing w:before="60" w:after="60"/>
              <w:rPr>
                <w:rFonts w:ascii="Times New Roman" w:hAnsi="Times New Roman"/>
                <w:noProof/>
                <w:color w:val="000000"/>
                <w:szCs w:val="24"/>
              </w:rPr>
            </w:pPr>
            <w:r w:rsidRPr="008B628A">
              <w:rPr>
                <w:rFonts w:ascii="Times New Roman" w:hAnsi="Times New Roman"/>
                <w:noProof/>
                <w:color w:val="000000"/>
                <w:szCs w:val="24"/>
              </w:rPr>
              <w:lastRenderedPageBreak/>
              <w:t>Neattiecas uz Plāna aptvērumu (ir iekļaujams udensapgādes un notekūdeņu apsaimniekošanas politikas plānošanas dokumentos)</w:t>
            </w:r>
          </w:p>
        </w:tc>
      </w:tr>
      <w:tr w:rsidR="00AB46B9" w:rsidRPr="008B628A" w14:paraId="47AF1CF0"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DABDD"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50771E1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04CA4C4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2.6. Attīstīt (pāriet uz) aprites ekonomiku, investējot atkritumu nozarē un resursu efektivitātē</w:t>
            </w:r>
          </w:p>
        </w:tc>
        <w:tc>
          <w:tcPr>
            <w:tcW w:w="2423" w:type="dxa"/>
            <w:tcBorders>
              <w:top w:val="single" w:sz="4" w:space="0" w:color="auto"/>
              <w:left w:val="single" w:sz="4" w:space="0" w:color="auto"/>
              <w:bottom w:val="single" w:sz="4" w:space="0" w:color="auto"/>
              <w:right w:val="single" w:sz="4" w:space="0" w:color="auto"/>
            </w:tcBorders>
            <w:hideMark/>
          </w:tcPr>
          <w:p w14:paraId="5FDCCCD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Atjaunināts atkritumu apsaimniekošanas plāns </w:t>
            </w:r>
          </w:p>
        </w:tc>
        <w:tc>
          <w:tcPr>
            <w:tcW w:w="4941" w:type="dxa"/>
            <w:tcBorders>
              <w:top w:val="single" w:sz="4" w:space="0" w:color="auto"/>
              <w:left w:val="single" w:sz="4" w:space="0" w:color="auto"/>
              <w:bottom w:val="single" w:sz="4" w:space="0" w:color="auto"/>
              <w:right w:val="single" w:sz="4" w:space="0" w:color="auto"/>
            </w:tcBorders>
          </w:tcPr>
          <w:p w14:paraId="34AAD21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Saskaņā ar 28. pantu Direktīvā 2008/98/EK, kas grozīta ar Direktīvu ES 2018/xxxx, ir sagatavots(-i) atkritumu apsaimniekošanas plāns(-i), kas aptver visu dalībvalsts teritoriju un ietver:</w:t>
            </w:r>
          </w:p>
          <w:p w14:paraId="184A4D24"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pašreizējās atkritumu apsaimniekošanas situācijas attiecīgajā ģeogrāfiskajā vienībā analīzi, tostarp radīto atkritumu veidu, daudzumu un avotu, un to nākotnes attīstības novērtējumu, ņemot vērā to pasākumu paredzamo ietekmi, kas noteikti saskaņā ar 29. pantu Direktīvā 2008/98/EK, kas grozīta ar Direktīvu 2018/xx/ES, izstrādātajās atkritumu novēršanas programmā(-ās);</w:t>
            </w:r>
          </w:p>
          <w:p w14:paraId="757E2BED"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 xml:space="preserve">esošo atkritumu savākšanas shēmu novērtējumu, tostarp dalītas savākšanas </w:t>
            </w:r>
            <w:r w:rsidRPr="008B628A">
              <w:rPr>
                <w:rFonts w:ascii="Times New Roman" w:hAnsi="Times New Roman"/>
                <w:noProof/>
                <w:szCs w:val="24"/>
              </w:rPr>
              <w:lastRenderedPageBreak/>
              <w:t xml:space="preserve">materiālo un teritoriālo segumu un pasākumus tās darbības uzlabošanai, kā arī novērtējumu par jaunu savākšanas shēmu nepieciešamību; </w:t>
            </w:r>
          </w:p>
          <w:p w14:paraId="046818BD"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 xml:space="preserve">investīciju nepietiekamības novērtējumu, kas pamato papildu vai uzlabotas atkritumu apsaimniekošanas infrastruktūras nepieciešamību, un informāciju par pieejamajiem ienākumu avotiem darbības un uzturēšanas izmaksu segšanai; </w:t>
            </w:r>
          </w:p>
          <w:p w14:paraId="2889C508"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informāciju par turpmāk ierīkojamo atkritumu apstrādes objektu vietas izvēlei izmantojamajiem kritērijiem un to jaudu.</w:t>
            </w:r>
          </w:p>
          <w:p w14:paraId="48588A7D" w14:textId="77777777" w:rsidR="00AB46B9" w:rsidRPr="008B628A" w:rsidRDefault="00AB46B9" w:rsidP="00283C85">
            <w:pPr>
              <w:spacing w:before="60" w:after="60"/>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07C5BB4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 (ir iekļaujams atkritumu apsaimniekošanas politikas plānošanas dokumentos)</w:t>
            </w:r>
          </w:p>
        </w:tc>
      </w:tr>
      <w:tr w:rsidR="00AB46B9" w:rsidRPr="008B628A" w14:paraId="0C81FA6C"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60439"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300CBAC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ERAF un Kohēzijas fonds. </w:t>
            </w:r>
          </w:p>
          <w:p w14:paraId="736717D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2.6. Veicināt zaļo infrastruktūru pilsētvidē un samazināt piesārņojumu</w:t>
            </w:r>
          </w:p>
        </w:tc>
        <w:tc>
          <w:tcPr>
            <w:tcW w:w="2423" w:type="dxa"/>
            <w:tcBorders>
              <w:top w:val="single" w:sz="4" w:space="0" w:color="auto"/>
              <w:left w:val="single" w:sz="4" w:space="0" w:color="auto"/>
              <w:bottom w:val="single" w:sz="4" w:space="0" w:color="auto"/>
              <w:right w:val="single" w:sz="4" w:space="0" w:color="auto"/>
            </w:tcBorders>
            <w:hideMark/>
          </w:tcPr>
          <w:p w14:paraId="550BB8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Prioritārās rīcības plāns nepieciešamajiem saglabāšanas pasākumiem, kuriem nepieciešams Savienības līdzfinansējums </w:t>
            </w:r>
          </w:p>
        </w:tc>
        <w:tc>
          <w:tcPr>
            <w:tcW w:w="4941" w:type="dxa"/>
            <w:tcBorders>
              <w:top w:val="single" w:sz="4" w:space="0" w:color="auto"/>
              <w:left w:val="single" w:sz="4" w:space="0" w:color="auto"/>
              <w:bottom w:val="single" w:sz="4" w:space="0" w:color="auto"/>
              <w:right w:val="single" w:sz="4" w:space="0" w:color="auto"/>
            </w:tcBorders>
            <w:hideMark/>
          </w:tcPr>
          <w:p w14:paraId="3DA675D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prioritārās rīcības plāns saskaņā ar Direktīvas 92/43/EEK 8. pantu, un tas ietver:</w:t>
            </w:r>
          </w:p>
          <w:p w14:paraId="36036F81" w14:textId="77777777" w:rsidR="00AB46B9" w:rsidRPr="008B628A" w:rsidRDefault="00AB46B9" w:rsidP="00283C85">
            <w:pPr>
              <w:numPr>
                <w:ilvl w:val="0"/>
                <w:numId w:val="110"/>
              </w:numPr>
              <w:spacing w:before="60" w:after="60"/>
              <w:ind w:left="459"/>
              <w:jc w:val="both"/>
              <w:rPr>
                <w:rFonts w:ascii="Times New Roman" w:hAnsi="Times New Roman"/>
                <w:noProof/>
                <w:szCs w:val="24"/>
              </w:rPr>
            </w:pPr>
            <w:r w:rsidRPr="008B628A">
              <w:rPr>
                <w:rFonts w:ascii="Times New Roman" w:hAnsi="Times New Roman"/>
                <w:noProof/>
                <w:szCs w:val="24"/>
              </w:rPr>
              <w:t>visus elementus, kas prasīti prioritārās rīcības plāna 2021.–2027. gadam veidnē un par kuriem vienojusies Komisija un dalībvalstis;</w:t>
            </w:r>
          </w:p>
          <w:p w14:paraId="3CD97CC2" w14:textId="77777777" w:rsidR="00AB46B9" w:rsidRPr="008B628A" w:rsidRDefault="00AB46B9" w:rsidP="00283C85">
            <w:pPr>
              <w:numPr>
                <w:ilvl w:val="0"/>
                <w:numId w:val="110"/>
              </w:numPr>
              <w:spacing w:before="60" w:after="60"/>
              <w:ind w:left="459"/>
              <w:jc w:val="both"/>
              <w:rPr>
                <w:rFonts w:ascii="Times New Roman" w:hAnsi="Times New Roman"/>
                <w:noProof/>
                <w:szCs w:val="24"/>
              </w:rPr>
            </w:pPr>
            <w:r w:rsidRPr="008B628A">
              <w:rPr>
                <w:rFonts w:ascii="Times New Roman" w:hAnsi="Times New Roman"/>
                <w:noProof/>
                <w:szCs w:val="24"/>
              </w:rPr>
              <w:t xml:space="preserve">prioritāro pasākumu identifikāciju un finansiālo vajadzību aplēses. </w:t>
            </w:r>
          </w:p>
        </w:tc>
        <w:tc>
          <w:tcPr>
            <w:tcW w:w="3642" w:type="dxa"/>
            <w:tcBorders>
              <w:top w:val="single" w:sz="4" w:space="0" w:color="auto"/>
              <w:left w:val="single" w:sz="4" w:space="0" w:color="auto"/>
              <w:bottom w:val="single" w:sz="4" w:space="0" w:color="auto"/>
              <w:right w:val="single" w:sz="4" w:space="0" w:color="auto"/>
            </w:tcBorders>
            <w:hideMark/>
          </w:tcPr>
          <w:p w14:paraId="7E93F09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Neattiecas uz Plāna aptvērumu</w:t>
            </w:r>
          </w:p>
        </w:tc>
      </w:tr>
      <w:tr w:rsidR="00AB46B9" w:rsidRPr="008B628A" w14:paraId="788F3E19" w14:textId="77777777" w:rsidTr="00965BD7">
        <w:trPr>
          <w:trHeight w:val="609"/>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7170B6CE"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 xml:space="preserve">3. Ciešāk savienota </w:t>
            </w:r>
            <w:r w:rsidRPr="008B628A">
              <w:rPr>
                <w:rFonts w:ascii="Times New Roman" w:hAnsi="Times New Roman"/>
                <w:b/>
                <w:noProof/>
                <w:szCs w:val="24"/>
              </w:rPr>
              <w:lastRenderedPageBreak/>
              <w:t>Eiropa, uzlabojot mobilitāti un reģionālo IKT savienotību</w:t>
            </w:r>
          </w:p>
        </w:tc>
        <w:tc>
          <w:tcPr>
            <w:tcW w:w="2564" w:type="dxa"/>
            <w:tcBorders>
              <w:top w:val="single" w:sz="4" w:space="0" w:color="auto"/>
              <w:left w:val="single" w:sz="4" w:space="0" w:color="auto"/>
              <w:bottom w:val="single" w:sz="4" w:space="0" w:color="auto"/>
              <w:right w:val="single" w:sz="4" w:space="0" w:color="auto"/>
            </w:tcBorders>
          </w:tcPr>
          <w:p w14:paraId="0C21F82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ERAF</w:t>
            </w:r>
          </w:p>
          <w:p w14:paraId="0E3A62D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3.1. Uzlabot digitālo savienotību </w:t>
            </w:r>
          </w:p>
          <w:p w14:paraId="70EF7892" w14:textId="77777777" w:rsidR="00AB46B9" w:rsidRPr="008B628A" w:rsidRDefault="00AB46B9" w:rsidP="00283C85">
            <w:pPr>
              <w:spacing w:before="60" w:after="60"/>
              <w:jc w:val="both"/>
              <w:rPr>
                <w:rFonts w:ascii="Times New Roman" w:hAnsi="Times New Roman"/>
                <w:noProof/>
                <w:szCs w:val="24"/>
              </w:rPr>
            </w:pPr>
          </w:p>
          <w:p w14:paraId="2DF17366"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22E4DB5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Valsts vai reģionālais platjoslas plāns</w:t>
            </w:r>
          </w:p>
        </w:tc>
        <w:tc>
          <w:tcPr>
            <w:tcW w:w="4941" w:type="dxa"/>
            <w:tcBorders>
              <w:top w:val="single" w:sz="4" w:space="0" w:color="auto"/>
              <w:left w:val="single" w:sz="4" w:space="0" w:color="auto"/>
              <w:bottom w:val="single" w:sz="4" w:space="0" w:color="auto"/>
              <w:right w:val="single" w:sz="4" w:space="0" w:color="auto"/>
            </w:tcBorders>
            <w:hideMark/>
          </w:tcPr>
          <w:p w14:paraId="40C020F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vai reģionālais platjoslas plāns, kas ietver:</w:t>
            </w:r>
          </w:p>
          <w:p w14:paraId="25BD03E3"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lastRenderedPageBreak/>
              <w:t>novērtējumu par investīciju nepietiekamību, kas jārisina, lai sasniegtu ES gigabitu savienojamības mērķus</w:t>
            </w:r>
            <w:r w:rsidRPr="008B628A">
              <w:rPr>
                <w:rFonts w:ascii="Times New Roman" w:hAnsi="Times New Roman"/>
                <w:noProof/>
                <w:szCs w:val="24"/>
                <w:vertAlign w:val="superscript"/>
              </w:rPr>
              <w:footnoteReference w:id="276"/>
            </w:r>
            <w:r w:rsidRPr="008B628A">
              <w:rPr>
                <w:rFonts w:ascii="Times New Roman" w:hAnsi="Times New Roman"/>
                <w:noProof/>
                <w:szCs w:val="24"/>
              </w:rPr>
              <w:t>, kuri balstīti uz:</w:t>
            </w:r>
          </w:p>
          <w:p w14:paraId="5F4AEDBC"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 xml:space="preserve"> neseno esošās privātās un publiskās infrastruktūras un pakalpojumu kvalitātes apzināšanu</w:t>
            </w:r>
            <w:r w:rsidRPr="008B628A">
              <w:rPr>
                <w:rFonts w:ascii="Times New Roman" w:hAnsi="Times New Roman"/>
                <w:noProof/>
                <w:szCs w:val="24"/>
                <w:vertAlign w:val="superscript"/>
              </w:rPr>
              <w:footnoteReference w:id="277"/>
            </w:r>
            <w:r w:rsidRPr="008B628A">
              <w:rPr>
                <w:rFonts w:ascii="Times New Roman" w:hAnsi="Times New Roman"/>
                <w:noProof/>
                <w:szCs w:val="24"/>
              </w:rPr>
              <w:t xml:space="preserve">, izmantojot standarta platjoslas pārklājuma rādītājus; </w:t>
            </w:r>
          </w:p>
          <w:p w14:paraId="588F3012"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apspriešanos par plānotajām investīcijām;</w:t>
            </w:r>
          </w:p>
          <w:p w14:paraId="0833F62A"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tādas plānotas valsts intervences pamatojumu, kas balstās uz ilgtspējīgiem investīciju modeļiem, kuri:</w:t>
            </w:r>
          </w:p>
          <w:p w14:paraId="4C7751A5"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 xml:space="preserve">veicina atvērtas, kvalitatīvas un nākotnē izmantojamas infrastruktūras un pakalpojumu pieejamību cenas ziņā un uzlabo piekļuvi tiem; </w:t>
            </w:r>
          </w:p>
          <w:p w14:paraId="1883FD1D"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finansiālās palīdzības veidus pielāgo konstatētajām tirgus nepilnībām;</w:t>
            </w:r>
          </w:p>
          <w:p w14:paraId="1A91F0AB"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lastRenderedPageBreak/>
              <w:t>ļauj papildus kārtā izmantot dažādus finansējuma veidus no ES, valsts vai reģionālajiem resursiem;</w:t>
            </w:r>
          </w:p>
          <w:p w14:paraId="6BCA8D43"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pasākumus, ar ko atbalsta pieprasījumu pēc ļoti augstas veiktspējas (</w:t>
            </w:r>
            <w:r w:rsidRPr="008B628A">
              <w:rPr>
                <w:rFonts w:ascii="Times New Roman" w:hAnsi="Times New Roman"/>
                <w:i/>
                <w:noProof/>
                <w:szCs w:val="24"/>
              </w:rPr>
              <w:t>VHC</w:t>
            </w:r>
            <w:r w:rsidRPr="008B628A">
              <w:rPr>
                <w:rFonts w:ascii="Times New Roman" w:hAnsi="Times New Roman"/>
                <w:noProof/>
                <w:szCs w:val="24"/>
              </w:rPr>
              <w:t>) tīkliem un to izmantošanu, tostarp darbības, ar kurām veicina minēto tīklu izvēršanu, jo īpaši īstenojot ES Platjoslas izmaksu samazināšanas direktīvu</w:t>
            </w:r>
            <w:r w:rsidRPr="008B628A">
              <w:rPr>
                <w:rFonts w:ascii="Times New Roman" w:hAnsi="Times New Roman"/>
                <w:noProof/>
                <w:szCs w:val="24"/>
                <w:vertAlign w:val="superscript"/>
              </w:rPr>
              <w:footnoteReference w:id="278"/>
            </w:r>
            <w:r w:rsidRPr="008B628A">
              <w:rPr>
                <w:rFonts w:ascii="Times New Roman" w:hAnsi="Times New Roman"/>
                <w:noProof/>
                <w:szCs w:val="24"/>
              </w:rPr>
              <w:t>;</w:t>
            </w:r>
          </w:p>
          <w:p w14:paraId="549A2592"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tehniskās palīdzības mehānismus, tostarp platjoslas kompetences birojus, ar kuriem stiprina vietējo ieinteresēto personu spējas un konsultē projektu virzītājus;</w:t>
            </w:r>
          </w:p>
          <w:p w14:paraId="38A030F9" w14:textId="77777777" w:rsidR="00AB46B9" w:rsidRPr="008B628A" w:rsidRDefault="00AB46B9" w:rsidP="00283C85">
            <w:pPr>
              <w:numPr>
                <w:ilvl w:val="0"/>
                <w:numId w:val="111"/>
              </w:numPr>
              <w:spacing w:before="60" w:after="60"/>
              <w:ind w:left="459"/>
              <w:jc w:val="both"/>
              <w:rPr>
                <w:rFonts w:ascii="Times New Roman" w:hAnsi="Times New Roman"/>
                <w:noProof/>
                <w:szCs w:val="24"/>
                <w:u w:val="single"/>
              </w:rPr>
            </w:pPr>
            <w:r w:rsidRPr="008B628A">
              <w:rPr>
                <w:rFonts w:ascii="Times New Roman" w:hAnsi="Times New Roman"/>
                <w:noProof/>
                <w:szCs w:val="24"/>
              </w:rPr>
              <w:t>uzraudzības mehānismus, kas balstīti uz standarta platjoslas pārklājuma rādītājiem.</w:t>
            </w:r>
          </w:p>
        </w:tc>
        <w:tc>
          <w:tcPr>
            <w:tcW w:w="3642" w:type="dxa"/>
            <w:tcBorders>
              <w:top w:val="single" w:sz="4" w:space="0" w:color="auto"/>
              <w:left w:val="single" w:sz="4" w:space="0" w:color="auto"/>
              <w:bottom w:val="single" w:sz="4" w:space="0" w:color="auto"/>
              <w:right w:val="single" w:sz="4" w:space="0" w:color="auto"/>
            </w:tcBorders>
            <w:hideMark/>
          </w:tcPr>
          <w:p w14:paraId="74839F9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32A6B214" w14:textId="77777777" w:rsidTr="00965BD7">
        <w:trPr>
          <w:trHeight w:val="28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E2CDC"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141BBD6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073EDFB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3.2. Izveidot ilgtspējīgu, klimatnoturīgu, intelektisku, drošu un intermodālu </w:t>
            </w:r>
            <w:r w:rsidRPr="008B628A">
              <w:rPr>
                <w:rFonts w:ascii="Times New Roman" w:hAnsi="Times New Roman"/>
                <w:i/>
                <w:noProof/>
                <w:szCs w:val="24"/>
              </w:rPr>
              <w:t>TEN-T</w:t>
            </w:r>
            <w:r w:rsidRPr="008B628A">
              <w:rPr>
                <w:rFonts w:ascii="Times New Roman" w:hAnsi="Times New Roman"/>
                <w:noProof/>
                <w:szCs w:val="24"/>
              </w:rPr>
              <w:t xml:space="preserve"> </w:t>
            </w:r>
          </w:p>
        </w:tc>
        <w:tc>
          <w:tcPr>
            <w:tcW w:w="2423" w:type="dxa"/>
            <w:vMerge w:val="restart"/>
            <w:tcBorders>
              <w:top w:val="single" w:sz="4" w:space="0" w:color="auto"/>
              <w:left w:val="single" w:sz="4" w:space="0" w:color="auto"/>
              <w:bottom w:val="single" w:sz="4" w:space="0" w:color="auto"/>
              <w:right w:val="single" w:sz="4" w:space="0" w:color="auto"/>
            </w:tcBorders>
            <w:hideMark/>
          </w:tcPr>
          <w:p w14:paraId="1218E5D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Visaptveroša transporta plānošana atbilstošajā līmenī</w:t>
            </w:r>
          </w:p>
        </w:tc>
        <w:tc>
          <w:tcPr>
            <w:tcW w:w="4941" w:type="dxa"/>
            <w:vMerge w:val="restart"/>
            <w:tcBorders>
              <w:top w:val="single" w:sz="4" w:space="0" w:color="auto"/>
              <w:left w:val="single" w:sz="4" w:space="0" w:color="auto"/>
              <w:bottom w:val="single" w:sz="4" w:space="0" w:color="auto"/>
              <w:right w:val="single" w:sz="4" w:space="0" w:color="auto"/>
            </w:tcBorders>
            <w:hideMark/>
          </w:tcPr>
          <w:p w14:paraId="60354C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esošās un plānotās infrastruktūras multimodāla kartēšana līdz 2030. gadam, un tā:</w:t>
            </w:r>
          </w:p>
          <w:p w14:paraId="77B95974"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plānoto investīciju ekonomisko pamatojumu, kura pamatā ir pamatīga pieprasījuma analīze un satiksmes modelēšana, kurā būtu jāņem vērā dzelzceļa liberalizācijas paredzamā ietekme; </w:t>
            </w:r>
          </w:p>
          <w:p w14:paraId="1CA9ACE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atspoguļo gaisa kvalitātes uzlabošanas plānus, jo īpaši ņemot vērā valstu dekarbonizācijas plānus;</w:t>
            </w:r>
          </w:p>
          <w:p w14:paraId="345BEE9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investīcijas </w:t>
            </w:r>
            <w:r w:rsidRPr="008B628A">
              <w:rPr>
                <w:rFonts w:ascii="Times New Roman" w:hAnsi="Times New Roman"/>
                <w:i/>
                <w:noProof/>
                <w:szCs w:val="24"/>
              </w:rPr>
              <w:t>TEN-T</w:t>
            </w:r>
            <w:r w:rsidRPr="008B628A">
              <w:rPr>
                <w:rFonts w:ascii="Times New Roman" w:hAnsi="Times New Roman"/>
                <w:noProof/>
                <w:szCs w:val="24"/>
              </w:rPr>
              <w:t xml:space="preserve"> pamattīkla koridoros, kas definēti Regulā (ES) 1316/2013, saskaņā ar attiecīgajiem </w:t>
            </w:r>
            <w:r w:rsidRPr="008B628A">
              <w:rPr>
                <w:rFonts w:ascii="Times New Roman" w:hAnsi="Times New Roman"/>
                <w:i/>
                <w:noProof/>
                <w:szCs w:val="24"/>
              </w:rPr>
              <w:t>TEN-T</w:t>
            </w:r>
            <w:r w:rsidRPr="008B628A">
              <w:rPr>
                <w:rFonts w:ascii="Times New Roman" w:hAnsi="Times New Roman"/>
                <w:noProof/>
                <w:szCs w:val="24"/>
              </w:rPr>
              <w:t xml:space="preserve"> darba plāniem; </w:t>
            </w:r>
          </w:p>
          <w:p w14:paraId="45DDFA2A"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attiecībā uz investīcijām ārpus </w:t>
            </w:r>
            <w:r w:rsidRPr="008B628A">
              <w:rPr>
                <w:rFonts w:ascii="Times New Roman" w:hAnsi="Times New Roman"/>
                <w:i/>
                <w:noProof/>
                <w:szCs w:val="24"/>
              </w:rPr>
              <w:t>TEN-T</w:t>
            </w:r>
            <w:r w:rsidRPr="008B628A">
              <w:rPr>
                <w:rFonts w:ascii="Times New Roman" w:hAnsi="Times New Roman"/>
                <w:noProof/>
                <w:szCs w:val="24"/>
              </w:rPr>
              <w:t xml:space="preserve"> pamattīkla nodrošina papildināmību, reģioniem un vietējām kopienām sniedzot pietiekamu savienojamību ar </w:t>
            </w:r>
            <w:r w:rsidRPr="008B628A">
              <w:rPr>
                <w:rFonts w:ascii="Times New Roman" w:hAnsi="Times New Roman"/>
                <w:i/>
                <w:noProof/>
                <w:szCs w:val="24"/>
              </w:rPr>
              <w:t>TEN-T</w:t>
            </w:r>
            <w:r w:rsidRPr="008B628A">
              <w:rPr>
                <w:rFonts w:ascii="Times New Roman" w:hAnsi="Times New Roman"/>
                <w:noProof/>
                <w:szCs w:val="24"/>
              </w:rPr>
              <w:t xml:space="preserve"> pamattīklu un tā mezgliem;</w:t>
            </w:r>
          </w:p>
          <w:p w14:paraId="6FD30422"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nodrošina dzelzceļu tīkla savstarpēju izmantojamību, izmantojot </w:t>
            </w:r>
            <w:r w:rsidRPr="008B628A">
              <w:rPr>
                <w:rFonts w:ascii="Times New Roman" w:hAnsi="Times New Roman"/>
                <w:i/>
                <w:noProof/>
                <w:szCs w:val="24"/>
              </w:rPr>
              <w:t>baseline-3</w:t>
            </w:r>
            <w:r w:rsidRPr="008B628A">
              <w:rPr>
                <w:rFonts w:ascii="Times New Roman" w:hAnsi="Times New Roman"/>
                <w:noProof/>
                <w:szCs w:val="24"/>
              </w:rPr>
              <w:t xml:space="preserve"> atbilstošas </w:t>
            </w:r>
            <w:r w:rsidRPr="008B628A">
              <w:rPr>
                <w:rFonts w:ascii="Times New Roman" w:hAnsi="Times New Roman"/>
                <w:i/>
                <w:noProof/>
                <w:szCs w:val="24"/>
              </w:rPr>
              <w:t>ERTMS,</w:t>
            </w:r>
            <w:r w:rsidRPr="008B628A">
              <w:rPr>
                <w:rFonts w:ascii="Times New Roman" w:hAnsi="Times New Roman"/>
                <w:noProof/>
                <w:szCs w:val="24"/>
              </w:rPr>
              <w:t xml:space="preserve"> aptveros un aptverot vismaz Eiropas izvēršanas plānu;</w:t>
            </w:r>
          </w:p>
          <w:p w14:paraId="0D527541"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veicina multimodalitāti, nosakot multimodālo vai pārkraušanas kravu un </w:t>
            </w:r>
            <w:r w:rsidRPr="008B628A">
              <w:rPr>
                <w:rFonts w:ascii="Times New Roman" w:hAnsi="Times New Roman"/>
                <w:noProof/>
                <w:szCs w:val="24"/>
              </w:rPr>
              <w:lastRenderedPageBreak/>
              <w:t>pasažieru termināļu un aktīvo mezglu vajadzības;</w:t>
            </w:r>
          </w:p>
          <w:p w14:paraId="2F68FD7B"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ietver pasākumus, kuru mērķis ir sekmēt alternatīvas degvielas saskaņā ar attiecīgajiem valstu politikas satvariem;</w:t>
            </w:r>
          </w:p>
          <w:p w14:paraId="69D11A5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ceļu satiksmes drošības risku novērtējumu saskaņā ar esošajām valstu ceļu satiksmes drošības stratēģijām, kā arī attiecīgo ceļu un to posmu kartēšanu un attiecīgo investīciju prioritāro secību; </w:t>
            </w:r>
          </w:p>
          <w:p w14:paraId="15ED7B51" w14:textId="77777777" w:rsidR="00AB46B9" w:rsidRPr="008B628A" w:rsidRDefault="00AB46B9" w:rsidP="00283C85">
            <w:pPr>
              <w:numPr>
                <w:ilvl w:val="0"/>
                <w:numId w:val="112"/>
              </w:numPr>
              <w:spacing w:before="60" w:after="60"/>
              <w:jc w:val="both"/>
              <w:rPr>
                <w:rFonts w:ascii="Times New Roman" w:hAnsi="Times New Roman"/>
                <w:noProof/>
                <w:szCs w:val="24"/>
                <w:u w:val="single"/>
              </w:rPr>
            </w:pPr>
            <w:r w:rsidRPr="008B628A">
              <w:rPr>
                <w:rFonts w:ascii="Times New Roman" w:hAnsi="Times New Roman"/>
                <w:noProof/>
                <w:szCs w:val="24"/>
              </w:rPr>
              <w:t>sniedz informāciju par budžeta un finanšu resursiem, kas attiecas uz plānotajām investīcijām un nepieciešami esošās un plānotās infrastruktūras darbības un uzturēšanas izmaksu segšanai.</w:t>
            </w:r>
          </w:p>
        </w:tc>
        <w:tc>
          <w:tcPr>
            <w:tcW w:w="3642" w:type="dxa"/>
            <w:vMerge w:val="restart"/>
            <w:tcBorders>
              <w:top w:val="single" w:sz="4" w:space="0" w:color="auto"/>
              <w:left w:val="single" w:sz="4" w:space="0" w:color="auto"/>
              <w:bottom w:val="single" w:sz="4" w:space="0" w:color="auto"/>
              <w:right w:val="single" w:sz="4" w:space="0" w:color="auto"/>
            </w:tcBorders>
            <w:hideMark/>
          </w:tcPr>
          <w:p w14:paraId="52A08CD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Plāna dekarbonizācijas un energoefektivitātes dimensijas.</w:t>
            </w:r>
          </w:p>
          <w:p w14:paraId="7449148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Detalizēti pasākumi un to izvērtējums ir iekļaujami transporta attīstības politikas plānošanas dokumentos</w:t>
            </w:r>
          </w:p>
        </w:tc>
      </w:tr>
      <w:tr w:rsidR="00AB46B9" w:rsidRPr="008B628A" w14:paraId="351B4D9B" w14:textId="77777777" w:rsidTr="00965BD7">
        <w:trPr>
          <w:trHeight w:val="3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A741F"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6C158E5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3.3. Attīstīt ilgtspējīgu, klimatnoturīgu, intelektisku un intermodālu mobilitāti valstu, reģionu un vietējā līmenī, ietverot uzlabotu piekļuvi </w:t>
            </w:r>
            <w:r w:rsidRPr="008B628A">
              <w:rPr>
                <w:rFonts w:ascii="Times New Roman" w:hAnsi="Times New Roman"/>
                <w:i/>
                <w:noProof/>
                <w:szCs w:val="24"/>
              </w:rPr>
              <w:t>TEN-T</w:t>
            </w:r>
            <w:r w:rsidRPr="008B628A">
              <w:rPr>
                <w:rFonts w:ascii="Times New Roman" w:hAnsi="Times New Roman"/>
                <w:noProof/>
                <w:szCs w:val="24"/>
              </w:rPr>
              <w:t xml:space="preserve"> un pārrobežu mobilitāti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2B1F2" w14:textId="77777777" w:rsidR="00AB46B9" w:rsidRPr="008B628A" w:rsidRDefault="00AB46B9" w:rsidP="00283C85">
            <w:pPr>
              <w:spacing w:before="60" w:after="60"/>
              <w:rPr>
                <w:rFonts w:ascii="Times New Roman" w:hAnsi="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3AA7" w14:textId="77777777" w:rsidR="00AB46B9" w:rsidRPr="008B628A" w:rsidRDefault="00AB46B9" w:rsidP="00283C85">
            <w:pPr>
              <w:spacing w:before="60" w:after="60"/>
              <w:rPr>
                <w:rFonts w:ascii="Times New Roman" w:hAnsi="Times New Roman"/>
                <w:noProof/>
                <w:szCs w:val="24"/>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3D2CF" w14:textId="77777777" w:rsidR="00AB46B9" w:rsidRPr="008B628A" w:rsidRDefault="00AB46B9" w:rsidP="00283C85">
            <w:pPr>
              <w:spacing w:before="60" w:after="60"/>
              <w:rPr>
                <w:rFonts w:ascii="Times New Roman" w:hAnsi="Times New Roman"/>
                <w:noProof/>
                <w:szCs w:val="24"/>
              </w:rPr>
            </w:pPr>
          </w:p>
        </w:tc>
      </w:tr>
      <w:tr w:rsidR="00AB46B9" w:rsidRPr="008B628A" w14:paraId="044B7119" w14:textId="77777777" w:rsidTr="00965BD7">
        <w:trPr>
          <w:trHeight w:val="131"/>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737CF744"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4. Sociālāka Eiropa, īstenojot Eiropas sociālo tiesību pīlāru</w:t>
            </w:r>
          </w:p>
        </w:tc>
        <w:tc>
          <w:tcPr>
            <w:tcW w:w="2564" w:type="dxa"/>
            <w:tcBorders>
              <w:top w:val="single" w:sz="4" w:space="0" w:color="auto"/>
              <w:left w:val="single" w:sz="4" w:space="0" w:color="auto"/>
              <w:bottom w:val="single" w:sz="4" w:space="0" w:color="auto"/>
              <w:right w:val="single" w:sz="4" w:space="0" w:color="auto"/>
            </w:tcBorders>
            <w:hideMark/>
          </w:tcPr>
          <w:p w14:paraId="1C26E23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1AC225C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 Attīstot infrastruktūru, uzlabot darba tirgu efektivitāti un piekļuvi kvalitatīvai nodarbinātībai </w:t>
            </w:r>
          </w:p>
          <w:p w14:paraId="253071E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4E8D80C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4.1.1. Uzlabot visu darba meklētāju, tostarp jauniešu, un neaktīvu personu piekļuvi nodarbinātībai un </w:t>
            </w:r>
            <w:r w:rsidRPr="008B628A">
              <w:rPr>
                <w:rFonts w:ascii="Times New Roman" w:hAnsi="Times New Roman"/>
                <w:noProof/>
                <w:szCs w:val="24"/>
              </w:rPr>
              <w:lastRenderedPageBreak/>
              <w:t xml:space="preserve">veicināt pašnodarbinātību un sociālo ekonomiku </w:t>
            </w:r>
          </w:p>
          <w:p w14:paraId="259158E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4.1.2. Modernizēt darba tirgus iestādes un pakalpojumus, lai nodrošinātu savlaicīgu un individuāli pielāgotu palīdzību un atbalstu atbilstībai starp piedāvājumu un pieprasījumu darba tirgū, pārmaiņām darba tirgū un darba tirgus mobilitātei </w:t>
            </w:r>
          </w:p>
        </w:tc>
        <w:tc>
          <w:tcPr>
            <w:tcW w:w="2423" w:type="dxa"/>
            <w:tcBorders>
              <w:top w:val="single" w:sz="4" w:space="0" w:color="auto"/>
              <w:left w:val="single" w:sz="4" w:space="0" w:color="auto"/>
              <w:bottom w:val="single" w:sz="4" w:space="0" w:color="auto"/>
              <w:right w:val="single" w:sz="4" w:space="0" w:color="auto"/>
            </w:tcBorders>
            <w:hideMark/>
          </w:tcPr>
          <w:p w14:paraId="540CB29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Stratēģiskās politikas satvars aktīvai darba tirgus politikai</w:t>
            </w:r>
          </w:p>
        </w:tc>
        <w:tc>
          <w:tcPr>
            <w:tcW w:w="4941" w:type="dxa"/>
            <w:tcBorders>
              <w:top w:val="single" w:sz="4" w:space="0" w:color="auto"/>
              <w:left w:val="single" w:sz="4" w:space="0" w:color="auto"/>
              <w:bottom w:val="single" w:sz="4" w:space="0" w:color="auto"/>
              <w:right w:val="single" w:sz="4" w:space="0" w:color="auto"/>
            </w:tcBorders>
            <w:hideMark/>
          </w:tcPr>
          <w:p w14:paraId="062C43C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stratēģiskās politikas satvars aktīvai darba tirgus politikai, ņemot vērā nodarbinātības pamatnostādnes, un tas ietver:</w:t>
            </w:r>
          </w:p>
          <w:p w14:paraId="6B317CAA"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kārtību, kādā veic darba meklētāju profilēšanu un to vajadzību novērtēšanu, tostarp uzņēmējdarbības iespējas;</w:t>
            </w:r>
          </w:p>
          <w:p w14:paraId="64886F41"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informāciju par darba vietām un darba iespējām, ņemot vērā darba tirgus vajadzības;</w:t>
            </w:r>
          </w:p>
          <w:p w14:paraId="61210739"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lastRenderedPageBreak/>
              <w:t xml:space="preserve">kārtību, kādā nodrošina, ka tā izstrādi, īstenošanu, uzraudzību un pārskatīšanu veic ciešā sadarbībā ar attiecīgajām ieinteresētajām personām; </w:t>
            </w:r>
          </w:p>
          <w:p w14:paraId="4B1F0427"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 xml:space="preserve">aktīvas darba tirgus politikas uzraudzības, novērtēšanas un pārskatīšanas kārtību;  </w:t>
            </w:r>
          </w:p>
          <w:p w14:paraId="7FEF1BF7"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attiecībā uz jaunatnes nodarbinātības intervencēm – uz pierādījumiem balstītas un mērķorientētas pieejas jauniešiem, kas nestrādā, nemācās un neapgūst arodu, tostarp informēšanas pasākumi, un pieejas, kas balstītas uz kvalitātes prasībām, ņemot vērā kvalitatīvas māceklības un stažēšanās kritērijus, tostarp Garantijas jauniešiem shēmas īstenošanas kontekstā.</w:t>
            </w:r>
          </w:p>
        </w:tc>
        <w:tc>
          <w:tcPr>
            <w:tcW w:w="3642" w:type="dxa"/>
            <w:tcBorders>
              <w:top w:val="single" w:sz="4" w:space="0" w:color="auto"/>
              <w:left w:val="single" w:sz="4" w:space="0" w:color="auto"/>
              <w:bottom w:val="single" w:sz="4" w:space="0" w:color="auto"/>
              <w:right w:val="single" w:sz="4" w:space="0" w:color="auto"/>
            </w:tcBorders>
            <w:hideMark/>
          </w:tcPr>
          <w:p w14:paraId="1310BDB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1D6C1366"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E8E78"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43EC68E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5F80976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 Attīstot infrastruktūru, uzlabot darba tirgu efektivitāti un piekļuvi kvalitatīvai nodarbinātībai </w:t>
            </w:r>
          </w:p>
          <w:p w14:paraId="633CC9BE" w14:textId="77777777" w:rsidR="00AB46B9" w:rsidRPr="008B628A" w:rsidRDefault="00AB46B9" w:rsidP="00283C85">
            <w:pPr>
              <w:spacing w:before="60" w:after="60"/>
              <w:jc w:val="both"/>
              <w:rPr>
                <w:rFonts w:ascii="Times New Roman" w:hAnsi="Times New Roman"/>
                <w:noProof/>
                <w:szCs w:val="24"/>
              </w:rPr>
            </w:pPr>
          </w:p>
          <w:p w14:paraId="2E1465E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5F9512C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4.1.3. Veicināt darba un privātās dzīves līdzsvaru, tostarp </w:t>
            </w:r>
            <w:r w:rsidRPr="008B628A">
              <w:rPr>
                <w:rFonts w:ascii="Times New Roman" w:hAnsi="Times New Roman"/>
                <w:noProof/>
                <w:szCs w:val="24"/>
              </w:rPr>
              <w:lastRenderedPageBreak/>
              <w:t>piekļuvi bērnu aprūpes pakalpojumiem, veselīgu un labi pielāgotu darba vidi, kas mazina veselības riskus, darba ņēmēju pielāgošanos pārmaiņām un veselīgas un aktīvas vecumdienas</w:t>
            </w:r>
          </w:p>
        </w:tc>
        <w:tc>
          <w:tcPr>
            <w:tcW w:w="2423" w:type="dxa"/>
            <w:tcBorders>
              <w:top w:val="single" w:sz="4" w:space="0" w:color="auto"/>
              <w:left w:val="single" w:sz="4" w:space="0" w:color="auto"/>
              <w:bottom w:val="single" w:sz="4" w:space="0" w:color="auto"/>
              <w:right w:val="single" w:sz="4" w:space="0" w:color="auto"/>
            </w:tcBorders>
            <w:hideMark/>
          </w:tcPr>
          <w:p w14:paraId="74FE0BF2"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Valsts dzimumu līdztiesības stratēģiskais satvars </w:t>
            </w:r>
          </w:p>
        </w:tc>
        <w:tc>
          <w:tcPr>
            <w:tcW w:w="4941" w:type="dxa"/>
            <w:tcBorders>
              <w:top w:val="single" w:sz="4" w:space="0" w:color="auto"/>
              <w:left w:val="single" w:sz="4" w:space="0" w:color="auto"/>
              <w:bottom w:val="single" w:sz="4" w:space="0" w:color="auto"/>
              <w:right w:val="single" w:sz="4" w:space="0" w:color="auto"/>
            </w:tcBorders>
            <w:hideMark/>
          </w:tcPr>
          <w:p w14:paraId="511D30D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stratēģiskās politikas satvars dzimumu līdztiesības jomā, un tas ietver:</w:t>
            </w:r>
          </w:p>
          <w:p w14:paraId="67E74733" w14:textId="77777777" w:rsidR="00AB46B9" w:rsidRPr="008B628A" w:rsidRDefault="00AB46B9" w:rsidP="00283C85">
            <w:pPr>
              <w:numPr>
                <w:ilvl w:val="0"/>
                <w:numId w:val="114"/>
              </w:numPr>
              <w:spacing w:before="60" w:after="60"/>
              <w:ind w:left="459"/>
              <w:jc w:val="both"/>
              <w:rPr>
                <w:rFonts w:ascii="Times New Roman" w:hAnsi="Times New Roman"/>
                <w:bCs/>
                <w:noProof/>
                <w:szCs w:val="24"/>
              </w:rPr>
            </w:pPr>
            <w:r w:rsidRPr="008B628A">
              <w:rPr>
                <w:rFonts w:ascii="Times New Roman" w:hAnsi="Times New Roman"/>
                <w:noProof/>
                <w:szCs w:val="24"/>
              </w:rPr>
              <w:t>uz pierādījumiem balstītu problēmu noteikšanu dzimumu līdztiesības jomā;</w:t>
            </w:r>
          </w:p>
          <w:p w14:paraId="2EA357FB"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t xml:space="preserve">pasākumus nodarbinātības, atalgojuma un pensiju atšķirības starp dzimumiem novēršanai un darba un privātās dzīves līdzsvara veicināšanai, tostarp uzlabojot piekļuvi agrīnajai pirmsskolas izglītībai un aprūpei, un mērķus; </w:t>
            </w:r>
          </w:p>
          <w:p w14:paraId="4B72F39A"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lastRenderedPageBreak/>
              <w:t>stratēģiskās politikas satvara un datu vākšanas metožu uzraudzības, novērtēšanas un pārskatīšanas kārtību;</w:t>
            </w:r>
          </w:p>
          <w:p w14:paraId="13F8365C"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t>kārtību, kādā nodrošina, ka tā izstrādi, īstenošanu, uzraudzību un pārskatīšanu veic ciešā sadarbībā ar līdztiesības struktūrām, sociālajiem partneriem un attiecīgajām pilsoniskās sabiedrības organizācijām.</w:t>
            </w:r>
          </w:p>
        </w:tc>
        <w:tc>
          <w:tcPr>
            <w:tcW w:w="3642" w:type="dxa"/>
            <w:tcBorders>
              <w:top w:val="single" w:sz="4" w:space="0" w:color="auto"/>
              <w:left w:val="single" w:sz="4" w:space="0" w:color="auto"/>
              <w:bottom w:val="single" w:sz="4" w:space="0" w:color="auto"/>
              <w:right w:val="single" w:sz="4" w:space="0" w:color="auto"/>
            </w:tcBorders>
            <w:hideMark/>
          </w:tcPr>
          <w:p w14:paraId="344A31F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18B9436D"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0DFC8"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2C05F08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7AE9EC1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 Uzlabot piekļuvi iekļaujošiem un kvalitatīviem pakalpojumiem izglītībā, apmācībās un mūžizglītībā, attīstot infrastruktūru</w:t>
            </w:r>
          </w:p>
          <w:p w14:paraId="7B14431D" w14:textId="77777777" w:rsidR="00AB46B9" w:rsidRPr="008B628A" w:rsidRDefault="00AB46B9" w:rsidP="00283C85">
            <w:pPr>
              <w:spacing w:before="60" w:after="60"/>
              <w:jc w:val="both"/>
              <w:rPr>
                <w:rFonts w:ascii="Times New Roman" w:hAnsi="Times New Roman"/>
                <w:noProof/>
                <w:szCs w:val="24"/>
              </w:rPr>
            </w:pPr>
          </w:p>
          <w:p w14:paraId="535FB86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1A33286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4.2.1.</w:t>
            </w:r>
            <w:r w:rsidRPr="008B628A">
              <w:rPr>
                <w:rFonts w:ascii="Times New Roman" w:hAnsi="Times New Roman"/>
                <w:noProof/>
                <w:szCs w:val="24"/>
              </w:rPr>
              <w:tab/>
              <w:t xml:space="preserve">Uzlabot izglītības un apmācības sistēmu kvalitāti, efektivitāti un atbilstību darba tirgum. </w:t>
            </w:r>
          </w:p>
          <w:p w14:paraId="37A1EC7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4.2.2.</w:t>
            </w:r>
            <w:r w:rsidRPr="008B628A">
              <w:rPr>
                <w:rFonts w:ascii="Times New Roman" w:hAnsi="Times New Roman"/>
                <w:noProof/>
                <w:szCs w:val="24"/>
              </w:rPr>
              <w:tab/>
              <w:t xml:space="preserve">Veicināt elastīgu prasmju pilnveides un pārkvalifikācijas iespējas visiem, tostarp </w:t>
            </w:r>
            <w:r w:rsidRPr="008B628A">
              <w:rPr>
                <w:rFonts w:ascii="Times New Roman" w:hAnsi="Times New Roman"/>
                <w:noProof/>
                <w:szCs w:val="24"/>
              </w:rPr>
              <w:lastRenderedPageBreak/>
              <w:t xml:space="preserve">veicinot pārmaiņas karjerā un profesionālo mobilitāti. </w:t>
            </w:r>
          </w:p>
          <w:p w14:paraId="59F913B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4.2.3. Veicināt kvalitatīvas un iekļaujošas izglītības un apmācības vienlīdzīgu pieejamību, sākot no agrīnās pirmsskolas izglītības un aprūpes līdz pat vispārējai un profesionālajai izglītībai un apmācībai un terciārajam līmenim, jo īpaši nelabvēlīgā stāvoklī esošām grupām.</w:t>
            </w:r>
          </w:p>
        </w:tc>
        <w:tc>
          <w:tcPr>
            <w:tcW w:w="2423" w:type="dxa"/>
            <w:tcBorders>
              <w:top w:val="single" w:sz="4" w:space="0" w:color="auto"/>
              <w:left w:val="single" w:sz="4" w:space="0" w:color="auto"/>
              <w:bottom w:val="single" w:sz="4" w:space="0" w:color="auto"/>
              <w:right w:val="single" w:sz="4" w:space="0" w:color="auto"/>
            </w:tcBorders>
            <w:hideMark/>
          </w:tcPr>
          <w:p w14:paraId="4375BA0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Stratēģiskās politikas satvars izglītībai un apmācībai visos līmeņos</w:t>
            </w:r>
          </w:p>
        </w:tc>
        <w:tc>
          <w:tcPr>
            <w:tcW w:w="4941" w:type="dxa"/>
            <w:tcBorders>
              <w:top w:val="single" w:sz="4" w:space="0" w:color="auto"/>
              <w:left w:val="single" w:sz="4" w:space="0" w:color="auto"/>
              <w:bottom w:val="single" w:sz="4" w:space="0" w:color="auto"/>
              <w:right w:val="single" w:sz="4" w:space="0" w:color="auto"/>
            </w:tcBorders>
            <w:hideMark/>
          </w:tcPr>
          <w:p w14:paraId="166D9B7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Ir sagatavots valsts vai reģionāls stratēģiskās politikas satvars izglītības un apmācības sistēmai, un tas ietver: </w:t>
            </w:r>
          </w:p>
          <w:p w14:paraId="05F31688"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uz pierādījumiem balstītas prasmju prognozēšanas un paredzēšanas sistēmas, kā arī absolventu gaitu apzināšanas mehānismus un pakalpojumus kvalitatīvu un efektīvu konsultāciju sniegšanai visu vecumu audzēkņiem; </w:t>
            </w:r>
          </w:p>
          <w:p w14:paraId="59B40625"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pasākumus kvalitatīvas, atbilstīgas un iekļaujošas izglītības un apmācības nodrošināšanai un galveno kompetenču ieguvei visos līmeņos, tostarp augstākajā izglītībā; </w:t>
            </w:r>
          </w:p>
          <w:p w14:paraId="6A5C8FC2"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koordinācijas mehānismus visos izglītības un apmācības līmeņos, tostarp terciārajā izglītībā, un skaidru </w:t>
            </w:r>
            <w:r w:rsidRPr="008B628A">
              <w:rPr>
                <w:rFonts w:ascii="Times New Roman" w:hAnsi="Times New Roman"/>
                <w:noProof/>
                <w:szCs w:val="24"/>
              </w:rPr>
              <w:lastRenderedPageBreak/>
              <w:t xml:space="preserve">pienākumu sadali starp attiecīgajām valsts un/vai reģionālajām struktūrām; </w:t>
            </w:r>
          </w:p>
          <w:p w14:paraId="7C03E8E7"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stratēģiskās politikas satvara uzraudzības, novērtēšanas un pārskatīšanas kārtību; </w:t>
            </w:r>
          </w:p>
          <w:p w14:paraId="3D0AE78B"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pasākumus, kas vērsti uz mazprasmīgiem, mazkvalificētiem pieaugušajiem un pieaugušajiem ar nelabvēlīgu sociāli ekonomisko vidi, un prasmju pilnveides ceļu; </w:t>
            </w:r>
          </w:p>
          <w:p w14:paraId="6661A2A0"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pasākumus, ar ko attiecībā uz piemērotām mācīšanās metodēm atbalsta skolotājus, pasniedzējus un akadēmiskos mācībspēkus, kā arī galveno kompetenču novērtējumu un apstiprinājumu;</w:t>
            </w:r>
          </w:p>
          <w:p w14:paraId="4AA8B9E1"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pasākumus, ar ko veicina audzēkņu un mācībspēku mobilitāti un izglītības un apmācības pakalpojumu sniedzēju starptautisko sadarbību, tostarp atzīstot mācību rezultātus un kvalifikāciju.</w:t>
            </w:r>
          </w:p>
        </w:tc>
        <w:tc>
          <w:tcPr>
            <w:tcW w:w="3642" w:type="dxa"/>
            <w:tcBorders>
              <w:top w:val="single" w:sz="4" w:space="0" w:color="auto"/>
              <w:left w:val="single" w:sz="4" w:space="0" w:color="auto"/>
              <w:bottom w:val="single" w:sz="4" w:space="0" w:color="auto"/>
              <w:right w:val="single" w:sz="4" w:space="0" w:color="auto"/>
            </w:tcBorders>
            <w:hideMark/>
          </w:tcPr>
          <w:p w14:paraId="45EFB9D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3CC93839"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C69AB"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24E7A0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47ABF4C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4.3. Palielināt marginalizētu kopienu, migrantu un nelabvēlīgā situācijā esošo grupu sociāli ekonomisko integrāciju, izmantojot integrētus pasākumus, </w:t>
            </w:r>
            <w:r w:rsidRPr="008B628A">
              <w:rPr>
                <w:rFonts w:ascii="Times New Roman" w:hAnsi="Times New Roman"/>
                <w:noProof/>
                <w:szCs w:val="24"/>
              </w:rPr>
              <w:lastRenderedPageBreak/>
              <w:t xml:space="preserve">tostarp mājokļa un sociālo pakalpojumu jomā. </w:t>
            </w:r>
          </w:p>
          <w:p w14:paraId="2ADB0E0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30B4F25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4.3.1</w:t>
            </w:r>
            <w:r w:rsidRPr="008B628A">
              <w:rPr>
                <w:rFonts w:ascii="Times New Roman" w:hAnsi="Times New Roman"/>
                <w:noProof/>
                <w:szCs w:val="24"/>
              </w:rPr>
              <w:tab/>
              <w:t xml:space="preserve">Veicināt aktīvu iekļaušanu, tostarp lai veicinātu vienlīdzīgas iespējas un aktīvu līdzdalību un uzlabotu nodarbināmību </w:t>
            </w:r>
          </w:p>
          <w:p w14:paraId="28C0B883"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04733E1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Valsts stratēģiskās politikas satvars sociālās iekļaušanas un nabadzības mazināšanas jomā</w:t>
            </w:r>
          </w:p>
        </w:tc>
        <w:tc>
          <w:tcPr>
            <w:tcW w:w="4941" w:type="dxa"/>
            <w:tcBorders>
              <w:top w:val="single" w:sz="4" w:space="0" w:color="auto"/>
              <w:left w:val="single" w:sz="4" w:space="0" w:color="auto"/>
              <w:bottom w:val="single" w:sz="4" w:space="0" w:color="auto"/>
              <w:right w:val="single" w:sz="4" w:space="0" w:color="auto"/>
            </w:tcBorders>
            <w:hideMark/>
          </w:tcPr>
          <w:p w14:paraId="5421397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stratēģiskās politikas satvars sociālās iekļaušanas un nabadzības mazināšanas jomā, un tas ietver:</w:t>
            </w:r>
          </w:p>
          <w:p w14:paraId="19A76168"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 xml:space="preserve">uz pierādījumiem balstītus secinājumus par nabadzību un sociālo atstumtību, tostarp par bērnu nabadzību, bezpajumtniecību, teritoriālo un izglītības segregāciju, ierobežotu </w:t>
            </w:r>
            <w:r w:rsidRPr="008B628A">
              <w:rPr>
                <w:rFonts w:ascii="Times New Roman" w:hAnsi="Times New Roman"/>
                <w:noProof/>
                <w:szCs w:val="24"/>
              </w:rPr>
              <w:lastRenderedPageBreak/>
              <w:t>piekļuvi pamatpakalpojumiem un infrastruktūrai, un par neaizsargāto personu īpašajām vajadzībām;</w:t>
            </w:r>
          </w:p>
          <w:p w14:paraId="455082F6"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 xml:space="preserve">pasākumus, ar ko novērš un apkaro segregāciju visās jomās, tostarp nodrošinot pienācīgu ienākumu atbalstu, un ietver iekļaujošu darba tirgu un piekļuvi kvalitatīviem pakalpojumiem, kas paredzēti neaizsargātām personām, tostarp migrantiem; </w:t>
            </w:r>
          </w:p>
          <w:p w14:paraId="3CBCE957"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pasākumus pārejai no institucionālās aprūpes uz aprūpi vietējā kopienā;</w:t>
            </w:r>
          </w:p>
          <w:p w14:paraId="36507D82"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kārtību, kādā nodrošina, ka tā izstrādi, īstenošanu, uzraudzību un pārskatīšanu veic ciešā sadarbībā ar sociālajiem partneriem un attiecīgajām pilsoniskās sabiedrības organizācijām.</w:t>
            </w:r>
          </w:p>
        </w:tc>
        <w:tc>
          <w:tcPr>
            <w:tcW w:w="3642" w:type="dxa"/>
            <w:tcBorders>
              <w:top w:val="single" w:sz="4" w:space="0" w:color="auto"/>
              <w:left w:val="single" w:sz="4" w:space="0" w:color="auto"/>
              <w:bottom w:val="single" w:sz="4" w:space="0" w:color="auto"/>
              <w:right w:val="single" w:sz="4" w:space="0" w:color="auto"/>
            </w:tcBorders>
          </w:tcPr>
          <w:p w14:paraId="48EBA1F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Plānā iekļautie nosacījumi enerģētiskās nabadzības mazināšanai</w:t>
            </w:r>
          </w:p>
          <w:p w14:paraId="12B17459" w14:textId="77777777" w:rsidR="00AB46B9" w:rsidRPr="008B628A" w:rsidRDefault="00AB46B9" w:rsidP="00283C85">
            <w:pPr>
              <w:spacing w:before="60" w:after="60"/>
              <w:jc w:val="both"/>
              <w:rPr>
                <w:rFonts w:ascii="Times New Roman" w:hAnsi="Times New Roman"/>
                <w:noProof/>
                <w:szCs w:val="24"/>
              </w:rPr>
            </w:pPr>
          </w:p>
        </w:tc>
      </w:tr>
      <w:tr w:rsidR="00AB46B9" w:rsidRPr="008B628A" w14:paraId="5A7D46AD"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EBDE6"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2F47D6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71F164D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4.3.2</w:t>
            </w:r>
            <w:r w:rsidRPr="008B628A">
              <w:rPr>
                <w:rFonts w:ascii="Times New Roman" w:hAnsi="Times New Roman"/>
                <w:noProof/>
                <w:szCs w:val="24"/>
              </w:rPr>
              <w:tab/>
              <w:t>Veicināt marginalizēto kopienu, piemēram, romu, sociālekonomisko integrāciju.</w:t>
            </w:r>
          </w:p>
        </w:tc>
        <w:tc>
          <w:tcPr>
            <w:tcW w:w="2423" w:type="dxa"/>
            <w:tcBorders>
              <w:top w:val="single" w:sz="4" w:space="0" w:color="auto"/>
              <w:left w:val="single" w:sz="4" w:space="0" w:color="auto"/>
              <w:bottom w:val="single" w:sz="4" w:space="0" w:color="auto"/>
              <w:right w:val="single" w:sz="4" w:space="0" w:color="auto"/>
            </w:tcBorders>
            <w:hideMark/>
          </w:tcPr>
          <w:p w14:paraId="54B5EDF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Romu integrācijas valsts stratēģija</w:t>
            </w:r>
          </w:p>
        </w:tc>
        <w:tc>
          <w:tcPr>
            <w:tcW w:w="4941" w:type="dxa"/>
            <w:tcBorders>
              <w:top w:val="single" w:sz="4" w:space="0" w:color="auto"/>
              <w:left w:val="single" w:sz="4" w:space="0" w:color="auto"/>
              <w:bottom w:val="single" w:sz="4" w:space="0" w:color="auto"/>
              <w:right w:val="single" w:sz="4" w:space="0" w:color="auto"/>
            </w:tcBorders>
            <w:hideMark/>
          </w:tcPr>
          <w:p w14:paraId="6277B5C9" w14:textId="77777777" w:rsidR="00AB46B9" w:rsidRPr="008B628A" w:rsidRDefault="00AB46B9" w:rsidP="00283C85">
            <w:pPr>
              <w:spacing w:before="60" w:after="60"/>
              <w:jc w:val="both"/>
              <w:rPr>
                <w:rFonts w:ascii="Times New Roman" w:eastAsia="Times New Roman" w:hAnsi="Times New Roman"/>
                <w:noProof/>
                <w:szCs w:val="24"/>
              </w:rPr>
            </w:pPr>
            <w:r w:rsidRPr="008B628A">
              <w:rPr>
                <w:rFonts w:ascii="Times New Roman" w:hAnsi="Times New Roman"/>
                <w:noProof/>
                <w:szCs w:val="24"/>
              </w:rPr>
              <w:t>Ir sagatavota romu integrācijas valsts stratēģija (</w:t>
            </w:r>
            <w:r w:rsidRPr="008B628A">
              <w:rPr>
                <w:rFonts w:ascii="Times New Roman" w:hAnsi="Times New Roman"/>
                <w:i/>
                <w:noProof/>
                <w:szCs w:val="24"/>
              </w:rPr>
              <w:t>NRIS</w:t>
            </w:r>
            <w:r w:rsidRPr="008B628A">
              <w:rPr>
                <w:rFonts w:ascii="Times New Roman" w:hAnsi="Times New Roman"/>
                <w:noProof/>
                <w:szCs w:val="24"/>
              </w:rPr>
              <w:t>), kas ietver:</w:t>
            </w:r>
          </w:p>
          <w:p w14:paraId="2585C6AC"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pasākumus romu integrācijas paātrināšanai, segregācijas novēršanai un izskaušanai, ņemot vērā dzimumu dimensiju un gados jauno romu stāvokli, un pasākumus, un pamatprasību noteikšanu, izmērāmus starpposma mērķus, un galamērķus;</w:t>
            </w:r>
          </w:p>
          <w:p w14:paraId="1823887B" w14:textId="77777777" w:rsidR="00AB46B9" w:rsidRPr="008B628A" w:rsidRDefault="00AB46B9" w:rsidP="00283C85">
            <w:pPr>
              <w:numPr>
                <w:ilvl w:val="0"/>
                <w:numId w:val="117"/>
              </w:numPr>
              <w:spacing w:before="60" w:after="60"/>
              <w:ind w:left="360"/>
              <w:jc w:val="both"/>
              <w:rPr>
                <w:rFonts w:ascii="Times New Roman" w:hAnsi="Times New Roman"/>
                <w:noProof/>
                <w:szCs w:val="24"/>
              </w:rPr>
            </w:pPr>
            <w:r w:rsidRPr="008B628A">
              <w:rPr>
                <w:rFonts w:ascii="Times New Roman" w:hAnsi="Times New Roman"/>
                <w:noProof/>
                <w:szCs w:val="24"/>
              </w:rPr>
              <w:lastRenderedPageBreak/>
              <w:t>romu integrācijas pasākumu uzraudzības, novērtēšanas un pārskatīšanas kārtību;</w:t>
            </w:r>
          </w:p>
          <w:p w14:paraId="2637A1EA"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kārtību romu iekļaušanas pasākumu integrēšanai reģionālajā un vietējā līmenī;</w:t>
            </w:r>
          </w:p>
          <w:p w14:paraId="3F4B4F92"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kārtību, kādā nodrošina, ka tās izstrādi, īstenošanu, uzraudzību un pārskatīšanu veic ciešā sadarbībā ar romu pilsonisko sadarbību un visām citām ieinteresētajām personām, tostarp reģionālajā un vietējā līmenī.</w:t>
            </w:r>
          </w:p>
        </w:tc>
        <w:tc>
          <w:tcPr>
            <w:tcW w:w="3642" w:type="dxa"/>
            <w:tcBorders>
              <w:top w:val="single" w:sz="4" w:space="0" w:color="auto"/>
              <w:left w:val="single" w:sz="4" w:space="0" w:color="auto"/>
              <w:bottom w:val="single" w:sz="4" w:space="0" w:color="auto"/>
              <w:right w:val="single" w:sz="4" w:space="0" w:color="auto"/>
            </w:tcBorders>
            <w:hideMark/>
          </w:tcPr>
          <w:p w14:paraId="47386B6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2F2DFC1E"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D4925"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FBBD24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637FC73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4.4. nodrošināt vienādu piekļuvi veselības aprūpei, tostarp primārajai aprūpei, attīstot infrastruktūru;</w:t>
            </w:r>
          </w:p>
          <w:p w14:paraId="380A4A8B" w14:textId="77777777" w:rsidR="00AB46B9" w:rsidRPr="008B628A" w:rsidRDefault="00AB46B9" w:rsidP="00283C85">
            <w:pPr>
              <w:spacing w:before="60" w:after="60"/>
              <w:jc w:val="both"/>
              <w:rPr>
                <w:rFonts w:ascii="Times New Roman" w:hAnsi="Times New Roman"/>
                <w:noProof/>
                <w:szCs w:val="24"/>
              </w:rPr>
            </w:pPr>
          </w:p>
          <w:p w14:paraId="7DDA8DD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4481292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4.3.4.</w:t>
            </w:r>
            <w:r w:rsidRPr="008B628A">
              <w:rPr>
                <w:rFonts w:ascii="Times New Roman" w:hAnsi="Times New Roman"/>
                <w:noProof/>
                <w:szCs w:val="24"/>
              </w:rPr>
              <w:tab/>
              <w:t xml:space="preserve">Uzlabot vienlīdzīgu un savlaicīgu piekļuvi kvalitatīviem, ilgtspējīgiem un izmaksu ziņā pieejamiem pakalpojumiem; uzlabot </w:t>
            </w:r>
            <w:r w:rsidRPr="008B628A">
              <w:rPr>
                <w:rFonts w:ascii="Times New Roman" w:hAnsi="Times New Roman"/>
                <w:noProof/>
                <w:szCs w:val="24"/>
              </w:rPr>
              <w:lastRenderedPageBreak/>
              <w:t>veselības aprūpes sistēmu pieejamību, efektivitāti un izturētspēju; uzlabot piekļuvi ilgtermiņa aprūpes pakalpojumiem.</w:t>
            </w:r>
          </w:p>
        </w:tc>
        <w:tc>
          <w:tcPr>
            <w:tcW w:w="2423" w:type="dxa"/>
            <w:tcBorders>
              <w:top w:val="single" w:sz="4" w:space="0" w:color="auto"/>
              <w:left w:val="single" w:sz="4" w:space="0" w:color="auto"/>
              <w:bottom w:val="single" w:sz="4" w:space="0" w:color="auto"/>
              <w:right w:val="single" w:sz="4" w:space="0" w:color="auto"/>
            </w:tcBorders>
            <w:hideMark/>
          </w:tcPr>
          <w:p w14:paraId="2A15B81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Stratēģiskās politikas satvars veselības aizsardzības jomā </w:t>
            </w:r>
          </w:p>
        </w:tc>
        <w:tc>
          <w:tcPr>
            <w:tcW w:w="4941" w:type="dxa"/>
            <w:tcBorders>
              <w:top w:val="single" w:sz="4" w:space="0" w:color="auto"/>
              <w:left w:val="single" w:sz="4" w:space="0" w:color="auto"/>
              <w:bottom w:val="single" w:sz="4" w:space="0" w:color="auto"/>
              <w:right w:val="single" w:sz="4" w:space="0" w:color="auto"/>
            </w:tcBorders>
          </w:tcPr>
          <w:p w14:paraId="1E43C67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ieviests valsts vai reģionāls stratēģiskās politikas satvars veselības aizsardzības jomā, un tas ietver:</w:t>
            </w:r>
          </w:p>
          <w:p w14:paraId="292165A0"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t xml:space="preserve">veselības aprūpes un ilgtermiņa aprūpes vajadzību apzināšanu, tostarp attiecībā uz medicīnisko personālu, lai nodrošinātu ilgtspējīgus un saskaņotus pasākumus; </w:t>
            </w:r>
          </w:p>
          <w:p w14:paraId="01446CEB"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t>pasākumus veselības aprūpes un ilgtermiņa aprūpes pakalpojumu efektivitātes, ilgtspējas, piekļūstamības un pieejamības cenas ziņā nodrošināšanai, tostarp īpašu uzmanību pievēršot personām, kuras ir atstumtas no veselības aprūpes un ilgtermiņa aprūpes sistēmām;</w:t>
            </w:r>
          </w:p>
          <w:p w14:paraId="391312EB"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lastRenderedPageBreak/>
              <w:t>pasākumus, kas veicina pakalpojumu sniegšanu vietējā kopienā, tostarp profilakses un primārās veselības aprūpes pakalpojumus, aprūpi mājās un pakalpojumus vietējā kopienā.</w:t>
            </w:r>
          </w:p>
          <w:p w14:paraId="2BC986E8" w14:textId="77777777" w:rsidR="00AB46B9" w:rsidRPr="008B628A" w:rsidRDefault="00AB46B9" w:rsidP="00283C85">
            <w:pPr>
              <w:spacing w:before="60" w:after="60"/>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6D4946C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bl>
    <w:p w14:paraId="122DD60E" w14:textId="77777777" w:rsidR="00AB46B9" w:rsidRPr="008B628A" w:rsidRDefault="00AB46B9" w:rsidP="00AB46B9">
      <w:pPr>
        <w:spacing w:before="120" w:after="120" w:line="240" w:lineRule="auto"/>
        <w:jc w:val="both"/>
        <w:rPr>
          <w:rFonts w:ascii="Times New Roman" w:eastAsia="Calibri" w:hAnsi="Times New Roman" w:cs="Times New Roman"/>
          <w:noProof/>
          <w:lang w:eastAsia="lv-LV" w:bidi="lv-LV"/>
        </w:rPr>
      </w:pPr>
    </w:p>
    <w:p w14:paraId="5893065F" w14:textId="77777777" w:rsidR="00AB46B9" w:rsidRPr="008B628A" w:rsidRDefault="00AB46B9" w:rsidP="00B9124B">
      <w:pPr>
        <w:spacing w:before="120" w:after="120" w:line="240" w:lineRule="auto"/>
        <w:jc w:val="both"/>
        <w:rPr>
          <w:rFonts w:ascii="Times New Roman" w:hAnsi="Times New Roman" w:cs="Times New Roman"/>
          <w:lang w:eastAsia="lv-LV"/>
        </w:rPr>
        <w:sectPr w:rsidR="00AB46B9" w:rsidRPr="008B628A" w:rsidSect="00B35DDE">
          <w:pgSz w:w="16838" w:h="11906" w:orient="landscape"/>
          <w:pgMar w:top="1701" w:right="1418" w:bottom="851" w:left="1134" w:header="567" w:footer="567" w:gutter="0"/>
          <w:cols w:space="708"/>
          <w:titlePg/>
          <w:docGrid w:linePitch="360"/>
        </w:sectPr>
      </w:pPr>
    </w:p>
    <w:p w14:paraId="74EF35BB"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bookmarkStart w:id="481" w:name="_Toc531909879"/>
      <w:r w:rsidRPr="007356BB">
        <w:rPr>
          <w:rFonts w:ascii="Times New Roman" w:hAnsi="Times New Roman" w:cs="Times New Roman"/>
        </w:rPr>
        <w:lastRenderedPageBreak/>
        <w:t>Latvijas Nacionālais enerģētikas un klimata plāns 2030. gadam</w:t>
      </w:r>
      <w:bookmarkEnd w:id="481"/>
    </w:p>
    <w:p w14:paraId="17ED4724" w14:textId="77777777" w:rsidR="00AB46B9" w:rsidRPr="007356BB" w:rsidRDefault="00AB46B9" w:rsidP="005B0D53">
      <w:pPr>
        <w:pStyle w:val="Heading1"/>
        <w:numPr>
          <w:ilvl w:val="0"/>
          <w:numId w:val="0"/>
        </w:numPr>
        <w:ind w:left="709"/>
        <w:jc w:val="right"/>
      </w:pPr>
      <w:bookmarkStart w:id="482" w:name="_Toc531909880"/>
      <w:bookmarkStart w:id="483" w:name="_Toc532910029"/>
      <w:r w:rsidRPr="007356BB">
        <w:t>3.pielikums</w:t>
      </w:r>
      <w:bookmarkEnd w:id="482"/>
      <w:bookmarkEnd w:id="483"/>
    </w:p>
    <w:p w14:paraId="04CEDB77" w14:textId="0030FB66" w:rsidR="00AB46B9" w:rsidRPr="008B628A" w:rsidRDefault="00AB46B9" w:rsidP="005B0D53">
      <w:pPr>
        <w:pStyle w:val="Heading1"/>
        <w:numPr>
          <w:ilvl w:val="0"/>
          <w:numId w:val="0"/>
        </w:numPr>
        <w:ind w:left="709"/>
        <w:jc w:val="center"/>
      </w:pPr>
      <w:bookmarkStart w:id="484" w:name="_Toc532910030"/>
      <w:bookmarkStart w:id="485" w:name="_Hlk528741841"/>
      <w:r w:rsidRPr="008B628A">
        <w:t xml:space="preserve">Periodam līdz 2050.gada sagatavoto prognožu bāzes scenārijā ietvertās galvenās </w:t>
      </w:r>
      <w:r w:rsidR="002653B0">
        <w:t xml:space="preserve">īstenotās </w:t>
      </w:r>
      <w:r w:rsidRPr="008B628A">
        <w:t>rīcībpolitikas un galvenie to īstenošanas pasākumi</w:t>
      </w:r>
      <w:r w:rsidR="002653B0" w:rsidRPr="005B0D53">
        <w:rPr>
          <w:rStyle w:val="FootnoteReference"/>
          <w:b w:val="0"/>
        </w:rPr>
        <w:footnoteReference w:id="279"/>
      </w:r>
      <w:bookmarkEnd w:id="484"/>
    </w:p>
    <w:tbl>
      <w:tblPr>
        <w:tblStyle w:val="TableGrid3"/>
        <w:tblW w:w="14029" w:type="dxa"/>
        <w:tblLook w:val="04A0" w:firstRow="1" w:lastRow="0" w:firstColumn="1" w:lastColumn="0" w:noHBand="0" w:noVBand="1"/>
      </w:tblPr>
      <w:tblGrid>
        <w:gridCol w:w="4531"/>
        <w:gridCol w:w="5387"/>
        <w:gridCol w:w="4111"/>
      </w:tblGrid>
      <w:tr w:rsidR="00D25D35" w:rsidRPr="00965BD7" w14:paraId="30EF906F" w14:textId="77777777" w:rsidTr="00D25D35">
        <w:trPr>
          <w:tblHeader/>
        </w:trPr>
        <w:tc>
          <w:tcPr>
            <w:tcW w:w="4531" w:type="dxa"/>
            <w:shd w:val="clear" w:color="auto" w:fill="F2F2F2" w:themeFill="background1" w:themeFillShade="F2"/>
            <w:vAlign w:val="center"/>
          </w:tcPr>
          <w:bookmarkEnd w:id="485"/>
          <w:p w14:paraId="0EC61E3A"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Rīcībpolitika</w:t>
            </w:r>
          </w:p>
        </w:tc>
        <w:tc>
          <w:tcPr>
            <w:tcW w:w="5387" w:type="dxa"/>
            <w:shd w:val="clear" w:color="auto" w:fill="F2F2F2" w:themeFill="background1" w:themeFillShade="F2"/>
            <w:vAlign w:val="center"/>
          </w:tcPr>
          <w:p w14:paraId="6182612C"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Rīcībpolitikā noteiktais pasākums</w:t>
            </w:r>
          </w:p>
        </w:tc>
        <w:tc>
          <w:tcPr>
            <w:tcW w:w="4111" w:type="dxa"/>
            <w:shd w:val="clear" w:color="auto" w:fill="F2F2F2" w:themeFill="background1" w:themeFillShade="F2"/>
            <w:vAlign w:val="center"/>
          </w:tcPr>
          <w:p w14:paraId="61D6C779"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Rezultatīvais rādītājs</w:t>
            </w:r>
          </w:p>
        </w:tc>
      </w:tr>
      <w:tr w:rsidR="00D25D35" w:rsidRPr="00965BD7" w14:paraId="56304978" w14:textId="77777777" w:rsidTr="00D25D35">
        <w:tc>
          <w:tcPr>
            <w:tcW w:w="4531" w:type="dxa"/>
          </w:tcPr>
          <w:p w14:paraId="3B65E78F"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Energoefektivitātes likums</w:t>
            </w:r>
          </w:p>
          <w:p w14:paraId="4F712D9E"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3EFE9F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eastAsia="Calibri" w:hAnsi="Times New Roman" w:cs="Times New Roman"/>
                <w:color w:val="000000" w:themeColor="text1"/>
                <w:szCs w:val="24"/>
                <w:lang w:val="lv-LV"/>
              </w:rPr>
              <w:t>Energoaudita pienākums lielajiem uzņēmumiem un lielajiem elektroenerģijas patērētājiem</w:t>
            </w:r>
          </w:p>
        </w:tc>
        <w:tc>
          <w:tcPr>
            <w:tcW w:w="4111" w:type="dxa"/>
          </w:tcPr>
          <w:p w14:paraId="65F0050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Ietaupīta enerģija, GWh</w:t>
            </w:r>
          </w:p>
        </w:tc>
      </w:tr>
      <w:tr w:rsidR="00D25D35" w:rsidRPr="00965BD7" w14:paraId="5B91A08F" w14:textId="77777777" w:rsidTr="00D25D35">
        <w:tc>
          <w:tcPr>
            <w:tcW w:w="4531" w:type="dxa"/>
          </w:tcPr>
          <w:p w14:paraId="157F5364" w14:textId="26FA978A" w:rsidR="00D25D35" w:rsidRPr="00965BD7" w:rsidRDefault="00D25D35" w:rsidP="00AB46B9">
            <w:pPr>
              <w:spacing w:before="60" w:after="60"/>
              <w:jc w:val="both"/>
              <w:rPr>
                <w:rFonts w:ascii="Times New Roman" w:hAnsi="Times New Roman" w:cs="Times New Roman"/>
                <w:szCs w:val="24"/>
                <w:lang w:val="lv-LV"/>
              </w:rPr>
            </w:pPr>
            <w:r w:rsidRPr="00965BD7">
              <w:rPr>
                <w:rFonts w:ascii="Times New Roman" w:eastAsia="Times New Roman" w:hAnsi="Times New Roman" w:cs="Times New Roman"/>
                <w:b/>
                <w:color w:val="000000" w:themeColor="text1"/>
                <w:szCs w:val="24"/>
                <w:lang w:val="lv-LV" w:eastAsia="lv-LV"/>
              </w:rPr>
              <w:t>Ministru kabineta</w:t>
            </w:r>
            <w:r>
              <w:rPr>
                <w:rFonts w:ascii="Times New Roman" w:eastAsia="Times New Roman" w:hAnsi="Times New Roman" w:cs="Times New Roman"/>
                <w:b/>
                <w:color w:val="000000" w:themeColor="text1"/>
                <w:szCs w:val="24"/>
                <w:lang w:val="lv-LV" w:eastAsia="lv-LV"/>
              </w:rPr>
              <w:t xml:space="preserve"> 2013.gada 9.jūlija </w:t>
            </w:r>
            <w:r w:rsidRPr="00965BD7">
              <w:rPr>
                <w:rFonts w:ascii="Times New Roman" w:eastAsia="Times New Roman" w:hAnsi="Times New Roman" w:cs="Times New Roman"/>
                <w:b/>
                <w:color w:val="000000" w:themeColor="text1"/>
                <w:szCs w:val="24"/>
                <w:lang w:val="lv-LV" w:eastAsia="lv-LV"/>
              </w:rPr>
              <w:t>noteikumi Nr. 383 “Noteikumi par ēku energosertifikāciju”</w:t>
            </w:r>
          </w:p>
        </w:tc>
        <w:tc>
          <w:tcPr>
            <w:tcW w:w="5387" w:type="dxa"/>
          </w:tcPr>
          <w:p w14:paraId="50AEF22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Ēku energoefektivitātes minimālais pieļaujamais līmenis pārbūvējamām vai atjaunojamām ēkām</w:t>
            </w:r>
          </w:p>
        </w:tc>
        <w:tc>
          <w:tcPr>
            <w:tcW w:w="4111" w:type="dxa"/>
          </w:tcPr>
          <w:p w14:paraId="628C9F4D"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24661CAE" w14:textId="77777777" w:rsidTr="00D25D35">
        <w:tc>
          <w:tcPr>
            <w:tcW w:w="4531" w:type="dxa"/>
            <w:vMerge w:val="restart"/>
          </w:tcPr>
          <w:p w14:paraId="7CC97E90"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Eiropas Savienības struktūrfondu un Kohēzijas fonda 2014.—2020.gada plānošanas perioda vadības likums</w:t>
            </w:r>
          </w:p>
          <w:p w14:paraId="59095ABD" w14:textId="77777777" w:rsidR="00D25D35" w:rsidRPr="00965BD7" w:rsidRDefault="00D25D35" w:rsidP="00AB46B9">
            <w:pPr>
              <w:spacing w:before="60" w:after="60"/>
              <w:rPr>
                <w:rFonts w:ascii="Times New Roman" w:hAnsi="Times New Roman" w:cs="Times New Roman"/>
                <w:b/>
                <w:szCs w:val="24"/>
                <w:lang w:val="lv-LV"/>
              </w:rPr>
            </w:pPr>
          </w:p>
          <w:p w14:paraId="56EAEB63"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Koncepcija par Eiropas Parlamenta un Padomes 2012.gada 25.oktobra Direktīvas 2012/27/ES par energoefektivitāti, ar ko groza Direktīvas 2009/125/EK un 2010/30/ES, un atceļ Direktīvas 2004/8/EK un 2006/32/EK, prasību pārņemšanu normatīvajos aktos</w:t>
            </w:r>
          </w:p>
          <w:p w14:paraId="0D550FEE" w14:textId="77777777" w:rsidR="00D25D35" w:rsidRPr="00965BD7" w:rsidRDefault="00D25D35" w:rsidP="00AB46B9">
            <w:pPr>
              <w:spacing w:before="60" w:after="60"/>
              <w:rPr>
                <w:rFonts w:ascii="Times New Roman" w:hAnsi="Times New Roman" w:cs="Times New Roman"/>
                <w:szCs w:val="24"/>
                <w:lang w:val="lv-LV"/>
              </w:rPr>
            </w:pPr>
          </w:p>
          <w:p w14:paraId="1350E492"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 xml:space="preserve">Energoefektivitātes politikas alternatīvo pasākumu plāns enerģijas galapatēriņa </w:t>
            </w:r>
            <w:r w:rsidRPr="00965BD7">
              <w:rPr>
                <w:rFonts w:ascii="Times New Roman" w:hAnsi="Times New Roman" w:cs="Times New Roman"/>
                <w:b/>
                <w:szCs w:val="24"/>
                <w:lang w:val="lv-LV"/>
              </w:rPr>
              <w:lastRenderedPageBreak/>
              <w:t>ietaupījuma mērķa 2014.–2020. gadam sasniegšanai</w:t>
            </w:r>
          </w:p>
        </w:tc>
        <w:tc>
          <w:tcPr>
            <w:tcW w:w="5387" w:type="dxa"/>
          </w:tcPr>
          <w:p w14:paraId="215D76F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lastRenderedPageBreak/>
              <w:t>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w:t>
            </w:r>
          </w:p>
        </w:tc>
        <w:tc>
          <w:tcPr>
            <w:tcW w:w="4111" w:type="dxa"/>
          </w:tcPr>
          <w:p w14:paraId="19AA28AB"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34D72F92" w14:textId="77777777" w:rsidTr="00D25D35">
        <w:tc>
          <w:tcPr>
            <w:tcW w:w="4531" w:type="dxa"/>
            <w:vMerge/>
          </w:tcPr>
          <w:p w14:paraId="7C671826"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1A165AF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4.2.1. specifiskā atbalsta mērķa "Veicināt energoefektivitātes paaugstināšanu valsts un dzīvojamās ēkās" 4.2.1.2. pasākuma "Veicināt energoefektivitātes paaugstināšanu valsts ēkās" īstenošana</w:t>
            </w:r>
          </w:p>
        </w:tc>
        <w:tc>
          <w:tcPr>
            <w:tcW w:w="4111" w:type="dxa"/>
          </w:tcPr>
          <w:p w14:paraId="66ABDA8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6DC9C4E1" w14:textId="77777777" w:rsidTr="00D25D35">
        <w:tc>
          <w:tcPr>
            <w:tcW w:w="4531" w:type="dxa"/>
            <w:vMerge/>
          </w:tcPr>
          <w:p w14:paraId="3E48B766"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06B0A93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 xml:space="preserve">Darbības programmas "Izaugsme un nodarbinātība" 4.2.2. specifiskā atbalsta mērķa "Atbilstoši pašvaldības integrētajām attīstības programmām sekmēt energoefektivitātes paaugstināšanu un </w:t>
            </w:r>
            <w:r w:rsidRPr="00965BD7">
              <w:rPr>
                <w:rFonts w:ascii="Times New Roman" w:hAnsi="Times New Roman" w:cs="Times New Roman"/>
                <w:color w:val="000000" w:themeColor="text1"/>
                <w:szCs w:val="24"/>
                <w:lang w:val="lv-LV"/>
              </w:rPr>
              <w:lastRenderedPageBreak/>
              <w:t>atjaunojamo energoresursu izmantošanu pašvaldību ēkās" īstenošana</w:t>
            </w:r>
          </w:p>
        </w:tc>
        <w:tc>
          <w:tcPr>
            <w:tcW w:w="4111" w:type="dxa"/>
          </w:tcPr>
          <w:p w14:paraId="4258385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lastRenderedPageBreak/>
              <w:t>Ietaupītā enerģija, GWh</w:t>
            </w:r>
          </w:p>
          <w:p w14:paraId="4D760C2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Uzstādītie AER, MW </w:t>
            </w:r>
          </w:p>
        </w:tc>
      </w:tr>
      <w:tr w:rsidR="00D25D35" w:rsidRPr="00965BD7" w14:paraId="0D4F5717" w14:textId="77777777" w:rsidTr="00D25D35">
        <w:tc>
          <w:tcPr>
            <w:tcW w:w="4531" w:type="dxa"/>
            <w:vMerge/>
          </w:tcPr>
          <w:p w14:paraId="7092DAEE"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CE5CB94"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4.1.1. specifiskā atbalsta mērķa "Veicināt efektīvu energoresursu izmantošanu, enerģijas patēriņa samazināšanu un pāreju uz AER apstrādes rūpniecības nozarē" īstenošana</w:t>
            </w:r>
          </w:p>
        </w:tc>
        <w:tc>
          <w:tcPr>
            <w:tcW w:w="4111" w:type="dxa"/>
          </w:tcPr>
          <w:p w14:paraId="26BFD4FE"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285AE12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Uzstādītie AER, MW </w:t>
            </w:r>
          </w:p>
        </w:tc>
      </w:tr>
      <w:tr w:rsidR="00D25D35" w:rsidRPr="00965BD7" w14:paraId="587955AB" w14:textId="77777777" w:rsidTr="00D25D35">
        <w:tc>
          <w:tcPr>
            <w:tcW w:w="4531" w:type="dxa"/>
            <w:vMerge/>
          </w:tcPr>
          <w:p w14:paraId="37CCD48A"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8027B0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ES Fondu 2014.-2020.gadu programmēšanas periodā Lauku Attīstības programmas 2014.-2020.gadam apakšpasākums “Atbalsts ieguldījumiem pārstrādē” atbalsts pārtikas pārstrādes uzņēmumiem</w:t>
            </w:r>
          </w:p>
        </w:tc>
        <w:tc>
          <w:tcPr>
            <w:tcW w:w="4111" w:type="dxa"/>
          </w:tcPr>
          <w:p w14:paraId="2236FE5C"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32C8CD17"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7D04AFA2" w14:textId="77777777" w:rsidTr="00D25D35">
        <w:tc>
          <w:tcPr>
            <w:tcW w:w="4531" w:type="dxa"/>
            <w:vMerge/>
          </w:tcPr>
          <w:p w14:paraId="41D860A8"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2500D73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Ziņotie un plānotie energoefektivitātes politikas alternatīvo pasākumu plāns </w:t>
            </w:r>
          </w:p>
        </w:tc>
        <w:tc>
          <w:tcPr>
            <w:tcW w:w="4111" w:type="dxa"/>
          </w:tcPr>
          <w:p w14:paraId="2C4D05B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 ( Sk. Energoefektivitātes politikas alternatīvo pasākumu plāna  enerģijas galapatēriņa ietaupījuma mērķa 2014-2020.gadam sasniegšanai 1.un 2.tabula)</w:t>
            </w:r>
          </w:p>
        </w:tc>
      </w:tr>
      <w:tr w:rsidR="00D25D35" w:rsidRPr="00965BD7" w14:paraId="33E16E2E" w14:textId="77777777" w:rsidTr="00D25D35">
        <w:tc>
          <w:tcPr>
            <w:tcW w:w="4531" w:type="dxa"/>
            <w:vMerge/>
          </w:tcPr>
          <w:p w14:paraId="37D2D602"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2E68E3D1"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Brīvprātīga vienošanās par energoefektivitātes uzlabošanu</w:t>
            </w:r>
          </w:p>
        </w:tc>
        <w:tc>
          <w:tcPr>
            <w:tcW w:w="4111" w:type="dxa"/>
          </w:tcPr>
          <w:p w14:paraId="08F8A1A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455DECD1"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017BE224" w14:textId="77777777" w:rsidTr="00D25D35">
        <w:tc>
          <w:tcPr>
            <w:tcW w:w="4531" w:type="dxa"/>
            <w:vMerge/>
          </w:tcPr>
          <w:p w14:paraId="6A4CA8DC"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19F6EB12"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Energoefektivitātes pienākumu shēma</w:t>
            </w:r>
          </w:p>
        </w:tc>
        <w:tc>
          <w:tcPr>
            <w:tcW w:w="4111" w:type="dxa"/>
          </w:tcPr>
          <w:p w14:paraId="30A4E1A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55195EF1" w14:textId="77777777" w:rsidTr="00D25D35">
        <w:tc>
          <w:tcPr>
            <w:tcW w:w="4531" w:type="dxa"/>
            <w:vMerge/>
          </w:tcPr>
          <w:p w14:paraId="089F21EC"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5BE51FF8"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Pašvaldību finansētie energoefektivitātes pasākumi</w:t>
            </w:r>
          </w:p>
        </w:tc>
        <w:tc>
          <w:tcPr>
            <w:tcW w:w="4111" w:type="dxa"/>
          </w:tcPr>
          <w:p w14:paraId="00084C2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r w:rsidRPr="00965BD7">
              <w:rPr>
                <w:rFonts w:ascii="Times New Roman" w:hAnsi="Times New Roman" w:cs="Times New Roman"/>
                <w:szCs w:val="24"/>
                <w:vertAlign w:val="superscript"/>
                <w:lang w:val="lv-LV"/>
              </w:rPr>
              <w:footnoteReference w:id="280"/>
            </w:r>
          </w:p>
        </w:tc>
      </w:tr>
      <w:tr w:rsidR="00D25D35" w:rsidRPr="00965BD7" w14:paraId="02CEE251" w14:textId="77777777" w:rsidTr="00D25D35">
        <w:tc>
          <w:tcPr>
            <w:tcW w:w="4531" w:type="dxa"/>
            <w:vMerge/>
          </w:tcPr>
          <w:p w14:paraId="495C2988"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6FB2106F" w14:textId="083C4D1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ES Fondu programmas dzīvojamo un valsts ēku ener</w:t>
            </w:r>
            <w:r>
              <w:rPr>
                <w:rFonts w:ascii="Times New Roman" w:hAnsi="Times New Roman" w:cs="Times New Roman"/>
                <w:color w:val="000000" w:themeColor="text1"/>
                <w:szCs w:val="24"/>
                <w:lang w:val="lv-LV"/>
              </w:rPr>
              <w:t>go</w:t>
            </w:r>
            <w:r w:rsidRPr="00965BD7">
              <w:rPr>
                <w:rFonts w:ascii="Times New Roman" w:hAnsi="Times New Roman" w:cs="Times New Roman"/>
                <w:color w:val="000000" w:themeColor="text1"/>
                <w:szCs w:val="24"/>
                <w:lang w:val="lv-LV"/>
              </w:rPr>
              <w:t>efektivitātes paaugstināšanai tiek turpinātas vismaz tādā pašā apmērā nākošajos periodos.</w:t>
            </w:r>
          </w:p>
        </w:tc>
        <w:tc>
          <w:tcPr>
            <w:tcW w:w="4111" w:type="dxa"/>
          </w:tcPr>
          <w:p w14:paraId="1D2D5DD9"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0200581A" w14:textId="77777777" w:rsidTr="00D25D35">
        <w:tc>
          <w:tcPr>
            <w:tcW w:w="4531" w:type="dxa"/>
          </w:tcPr>
          <w:p w14:paraId="115A2102"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Atjaunojamās enerģijas atbalsta politika</w:t>
            </w:r>
          </w:p>
        </w:tc>
        <w:tc>
          <w:tcPr>
            <w:tcW w:w="5387" w:type="dxa"/>
          </w:tcPr>
          <w:p w14:paraId="49B10418"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bCs/>
                <w:iCs/>
                <w:szCs w:val="24"/>
                <w:shd w:val="clear" w:color="auto" w:fill="FFFFFF"/>
                <w:lang w:val="lv-LV"/>
              </w:rPr>
              <w:t>Kompleksi pasākumi OIK atcelšanai</w:t>
            </w:r>
            <w:r w:rsidRPr="00965BD7">
              <w:rPr>
                <w:rFonts w:ascii="Times New Roman" w:hAnsi="Times New Roman" w:cs="Times New Roman"/>
                <w:i/>
                <w:szCs w:val="24"/>
                <w:shd w:val="clear" w:color="auto" w:fill="FFFFFF"/>
                <w:lang w:val="lv-LV"/>
              </w:rPr>
              <w:t> </w:t>
            </w:r>
            <w:r w:rsidRPr="00965BD7">
              <w:rPr>
                <w:rFonts w:ascii="Times New Roman" w:hAnsi="Times New Roman" w:cs="Times New Roman"/>
                <w:szCs w:val="24"/>
                <w:shd w:val="clear" w:color="auto" w:fill="FFFFFF"/>
                <w:lang w:val="lv-LV"/>
              </w:rPr>
              <w:t>un elektroenerģijas tirgus attīstībai</w:t>
            </w:r>
          </w:p>
        </w:tc>
        <w:tc>
          <w:tcPr>
            <w:tcW w:w="4111" w:type="dxa"/>
          </w:tcPr>
          <w:p w14:paraId="26F6F9AB"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Subsīdiju samazināšana un atcelšana (MEUR/gadā)</w:t>
            </w:r>
          </w:p>
        </w:tc>
      </w:tr>
      <w:tr w:rsidR="00D25D35" w:rsidRPr="00965BD7" w14:paraId="252AF7CA" w14:textId="77777777" w:rsidTr="00D25D35">
        <w:tc>
          <w:tcPr>
            <w:tcW w:w="4531" w:type="dxa"/>
          </w:tcPr>
          <w:p w14:paraId="62409989"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lastRenderedPageBreak/>
              <w:t>Eiropas Savienības struktūrfondu un Kohēzijas fonda 2014.—2020.gada plānošanas perioda vadības likums</w:t>
            </w:r>
          </w:p>
          <w:p w14:paraId="634F1089" w14:textId="77777777" w:rsidR="00D25D35" w:rsidRPr="00965BD7" w:rsidRDefault="00D25D35" w:rsidP="00AB46B9">
            <w:pPr>
              <w:spacing w:before="60" w:after="60"/>
              <w:rPr>
                <w:rFonts w:ascii="Times New Roman" w:hAnsi="Times New Roman" w:cs="Times New Roman"/>
                <w:b/>
                <w:bCs/>
                <w:szCs w:val="24"/>
                <w:shd w:val="clear" w:color="auto" w:fill="FFFFFF"/>
                <w:lang w:val="lv-LV"/>
              </w:rPr>
            </w:pPr>
          </w:p>
        </w:tc>
        <w:tc>
          <w:tcPr>
            <w:tcW w:w="5387" w:type="dxa"/>
          </w:tcPr>
          <w:p w14:paraId="6B3A3A99"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4.3.1. specifiskā atbalsta mērķa "Veicināt energoefektivitāti un vietējo AER izmantošanu centralizētajā siltumapgādē" otrās projektu iesniegumu atlases kārtas īstenošana</w:t>
            </w:r>
          </w:p>
        </w:tc>
        <w:tc>
          <w:tcPr>
            <w:tcW w:w="4111" w:type="dxa"/>
          </w:tcPr>
          <w:p w14:paraId="33E6EFD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Uzstādītās AER siltumenerģijas ražošanas jaudas;</w:t>
            </w:r>
          </w:p>
          <w:p w14:paraId="3D8B4F6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Atjaunotie siltumtīkli, km</w:t>
            </w:r>
          </w:p>
          <w:p w14:paraId="24716BB9" w14:textId="77777777" w:rsidR="00D25D35" w:rsidRPr="00965BD7" w:rsidRDefault="00D25D35" w:rsidP="00AB46B9">
            <w:pPr>
              <w:spacing w:before="60" w:after="60"/>
              <w:rPr>
                <w:rFonts w:ascii="Times New Roman" w:hAnsi="Times New Roman" w:cs="Times New Roman"/>
                <w:szCs w:val="24"/>
                <w:lang w:val="lv-LV"/>
              </w:rPr>
            </w:pPr>
          </w:p>
          <w:p w14:paraId="2E3E5B1F"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7D57BFFF" w14:textId="77777777" w:rsidTr="00D25D35">
        <w:tc>
          <w:tcPr>
            <w:tcW w:w="4531" w:type="dxa"/>
          </w:tcPr>
          <w:p w14:paraId="1E043C28" w14:textId="11813541" w:rsidR="00D25D35" w:rsidRPr="00965BD7" w:rsidRDefault="00D25D35" w:rsidP="00AB46B9">
            <w:pPr>
              <w:autoSpaceDE w:val="0"/>
              <w:autoSpaceDN w:val="0"/>
              <w:adjustRightInd w:val="0"/>
              <w:spacing w:before="60" w:after="60"/>
              <w:jc w:val="both"/>
              <w:rPr>
                <w:rFonts w:ascii="Times New Roman" w:hAnsi="Times New Roman" w:cs="Times New Roman"/>
                <w:b/>
                <w:i/>
                <w:color w:val="000000" w:themeColor="text1"/>
                <w:szCs w:val="24"/>
                <w:lang w:val="lv-LV"/>
              </w:rPr>
            </w:pPr>
            <w:r>
              <w:rPr>
                <w:rFonts w:ascii="Times New Roman" w:hAnsi="Times New Roman" w:cs="Times New Roman"/>
                <w:b/>
                <w:color w:val="000000" w:themeColor="text1"/>
                <w:szCs w:val="24"/>
                <w:lang w:val="lv-LV"/>
              </w:rPr>
              <w:t>Eiropas Parlamenta un P</w:t>
            </w:r>
            <w:r w:rsidRPr="00965BD7">
              <w:rPr>
                <w:rFonts w:ascii="Times New Roman" w:hAnsi="Times New Roman" w:cs="Times New Roman"/>
                <w:b/>
                <w:color w:val="000000" w:themeColor="text1"/>
                <w:szCs w:val="24"/>
                <w:lang w:val="lv-LV"/>
              </w:rPr>
              <w:t>adomes</w:t>
            </w:r>
            <w:r>
              <w:rPr>
                <w:rFonts w:ascii="Times New Roman" w:hAnsi="Times New Roman" w:cs="Times New Roman"/>
                <w:b/>
                <w:color w:val="000000" w:themeColor="text1"/>
                <w:szCs w:val="24"/>
                <w:lang w:val="lv-LV"/>
              </w:rPr>
              <w:t xml:space="preserve"> 2009.gada 23.aprīļa </w:t>
            </w:r>
            <w:r w:rsidRPr="00965BD7">
              <w:rPr>
                <w:rFonts w:ascii="Times New Roman" w:hAnsi="Times New Roman" w:cs="Times New Roman"/>
                <w:b/>
                <w:color w:val="000000" w:themeColor="text1"/>
                <w:szCs w:val="24"/>
                <w:lang w:val="lv-LV"/>
              </w:rPr>
              <w:t>direktīva Nr. 2009/33/EK par “tīro” un energoefektīvo autotransporta līdzekļu izmantošanas veicināšanu (un tās grozījumi (COM(2017) 653))</w:t>
            </w:r>
          </w:p>
        </w:tc>
        <w:tc>
          <w:tcPr>
            <w:tcW w:w="5387" w:type="dxa"/>
          </w:tcPr>
          <w:p w14:paraId="238489EC"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Publiskais iepirkums un zaļais publiskais iepirkums</w:t>
            </w:r>
          </w:p>
        </w:tc>
        <w:tc>
          <w:tcPr>
            <w:tcW w:w="4111" w:type="dxa"/>
          </w:tcPr>
          <w:p w14:paraId="2EABEFD6"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504BFF00" w14:textId="77777777" w:rsidTr="00D25D35">
        <w:tc>
          <w:tcPr>
            <w:tcW w:w="4531" w:type="dxa"/>
          </w:tcPr>
          <w:p w14:paraId="2A6DA2FB" w14:textId="6FFE6FBF" w:rsidR="00D25D35" w:rsidRPr="00965BD7" w:rsidRDefault="00D25D35" w:rsidP="00726CF7">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Eiropas Parlamenta un Padomes</w:t>
            </w:r>
            <w:r>
              <w:rPr>
                <w:rFonts w:ascii="Times New Roman" w:hAnsi="Times New Roman" w:cs="Times New Roman"/>
                <w:b/>
                <w:bCs/>
                <w:szCs w:val="24"/>
                <w:shd w:val="clear" w:color="auto" w:fill="FFFFFF"/>
                <w:lang w:val="lv-LV"/>
              </w:rPr>
              <w:t xml:space="preserve"> 2009.gada 23.aprīļa </w:t>
            </w:r>
            <w:r w:rsidRPr="00965BD7">
              <w:rPr>
                <w:rFonts w:ascii="Times New Roman" w:hAnsi="Times New Roman" w:cs="Times New Roman"/>
                <w:b/>
                <w:bCs/>
                <w:szCs w:val="24"/>
                <w:shd w:val="clear" w:color="auto" w:fill="FFFFFF"/>
                <w:lang w:val="lv-LV"/>
              </w:rPr>
              <w:t>direktīva Nr.2009/28/EK par atjaunojamo</w:t>
            </w:r>
            <w:r>
              <w:rPr>
                <w:rFonts w:ascii="Times New Roman" w:hAnsi="Times New Roman" w:cs="Times New Roman"/>
                <w:b/>
                <w:bCs/>
                <w:szCs w:val="24"/>
                <w:shd w:val="clear" w:color="auto" w:fill="FFFFFF"/>
                <w:lang w:val="lv-LV"/>
              </w:rPr>
              <w:t xml:space="preserve"> </w:t>
            </w:r>
            <w:r w:rsidRPr="00965BD7">
              <w:rPr>
                <w:rFonts w:ascii="Times New Roman" w:hAnsi="Times New Roman" w:cs="Times New Roman"/>
                <w:b/>
                <w:bCs/>
                <w:szCs w:val="24"/>
                <w:shd w:val="clear" w:color="auto" w:fill="FFFFFF"/>
                <w:lang w:val="lv-LV"/>
              </w:rPr>
              <w:t>energoresursu izmantošanas veicināšanu un ar ko groza un sekojoši atceļ Direktīvas 2001/77/EK un 2003/30/EK (un tās pārskats)</w:t>
            </w:r>
          </w:p>
        </w:tc>
        <w:tc>
          <w:tcPr>
            <w:tcW w:w="5387" w:type="dxa"/>
          </w:tcPr>
          <w:p w14:paraId="4B124F13" w14:textId="77777777" w:rsidR="00D25D35" w:rsidRPr="00965BD7" w:rsidRDefault="00D25D35" w:rsidP="00726CF7">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Biodegvielu obligātais piejaukums</w:t>
            </w:r>
          </w:p>
        </w:tc>
        <w:tc>
          <w:tcPr>
            <w:tcW w:w="4111" w:type="dxa"/>
          </w:tcPr>
          <w:p w14:paraId="18706837" w14:textId="77777777" w:rsidR="00D25D35" w:rsidRPr="00965BD7" w:rsidRDefault="00D25D35" w:rsidP="00726CF7">
            <w:pPr>
              <w:spacing w:before="60" w:after="60"/>
              <w:rPr>
                <w:rFonts w:ascii="Times New Roman" w:hAnsi="Times New Roman" w:cs="Times New Roman"/>
                <w:szCs w:val="24"/>
                <w:lang w:val="lv-LV"/>
              </w:rPr>
            </w:pPr>
            <w:r w:rsidRPr="00965BD7">
              <w:rPr>
                <w:rFonts w:ascii="Times New Roman" w:hAnsi="Times New Roman" w:cs="Times New Roman"/>
                <w:szCs w:val="24"/>
                <w:lang w:val="lv-LV"/>
              </w:rPr>
              <w:t>Biodegvielu % no degvielas patēriņa transportā/autotransportā</w:t>
            </w:r>
          </w:p>
        </w:tc>
      </w:tr>
      <w:tr w:rsidR="00D25D35" w:rsidRPr="00965BD7" w14:paraId="743F087F" w14:textId="77777777" w:rsidTr="00D25D35">
        <w:tc>
          <w:tcPr>
            <w:tcW w:w="4531" w:type="dxa"/>
            <w:vMerge w:val="restart"/>
          </w:tcPr>
          <w:p w14:paraId="0E8293FF" w14:textId="77777777" w:rsidR="00D25D35" w:rsidRPr="00965BD7" w:rsidRDefault="00D25D35" w:rsidP="00AB46B9">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Alternatīvo degvielu attīstības plāns 2017.–2020. gadam</w:t>
            </w:r>
          </w:p>
        </w:tc>
        <w:tc>
          <w:tcPr>
            <w:tcW w:w="5387" w:type="dxa"/>
          </w:tcPr>
          <w:p w14:paraId="42744DD1"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ETL uzlādes staciju tīkla izveide</w:t>
            </w:r>
          </w:p>
          <w:p w14:paraId="02DA1CE7"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04937275"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Darbības programmas "Izaugsme un nodarbinātība" 4.4.1. specifiskā atbalsta mērķa "Attīstīt ETL uzlādes infrastruktūru Latvijā" īstenošana</w:t>
            </w:r>
          </w:p>
        </w:tc>
        <w:tc>
          <w:tcPr>
            <w:tcW w:w="4111" w:type="dxa"/>
          </w:tcPr>
          <w:p w14:paraId="279AB040"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Uzstādīto ETL uzlādes staciju skaits (līdzstrāvas ātrās uzlādes stacijas ar jaudu vismaz 50 kW) – 150 stacijas.</w:t>
            </w:r>
          </w:p>
        </w:tc>
      </w:tr>
      <w:tr w:rsidR="00D25D35" w:rsidRPr="00965BD7" w14:paraId="2972E0A1" w14:textId="77777777" w:rsidTr="00D25D35">
        <w:tc>
          <w:tcPr>
            <w:tcW w:w="4531" w:type="dxa"/>
            <w:vMerge/>
          </w:tcPr>
          <w:p w14:paraId="3135F091" w14:textId="77777777" w:rsidR="00D25D35" w:rsidRPr="00965BD7" w:rsidRDefault="00D25D35" w:rsidP="00AB46B9">
            <w:pPr>
              <w:autoSpaceDE w:val="0"/>
              <w:autoSpaceDN w:val="0"/>
              <w:adjustRightInd w:val="0"/>
              <w:spacing w:before="60" w:after="60"/>
              <w:jc w:val="both"/>
              <w:rPr>
                <w:rFonts w:ascii="Times New Roman" w:hAnsi="Times New Roman" w:cs="Times New Roman"/>
                <w:b/>
                <w:bCs/>
                <w:color w:val="000000"/>
                <w:szCs w:val="24"/>
                <w:shd w:val="clear" w:color="auto" w:fill="FFFFFF"/>
                <w:lang w:val="lv-LV"/>
              </w:rPr>
            </w:pPr>
          </w:p>
        </w:tc>
        <w:tc>
          <w:tcPr>
            <w:tcW w:w="5387" w:type="dxa"/>
          </w:tcPr>
          <w:p w14:paraId="7D5AAB09"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Videi draudzīga sabiedriskā transporta attīstība.</w:t>
            </w:r>
          </w:p>
          <w:p w14:paraId="1A607999"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0225A9D8"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 xml:space="preserve">Darbības programmas "Izaugsme un nodarbinātība" 4.5.1. specifiskā atbalsta mērķa "Attīstīt videi </w:t>
            </w:r>
            <w:r w:rsidRPr="00965BD7">
              <w:rPr>
                <w:rFonts w:ascii="Times New Roman" w:hAnsi="Times New Roman" w:cs="Times New Roman"/>
                <w:color w:val="000000" w:themeColor="text1"/>
                <w:szCs w:val="24"/>
                <w:lang w:val="lv-LV"/>
              </w:rPr>
              <w:lastRenderedPageBreak/>
              <w:t>draudzīgu sabiedriskā transporta infrastruktūru" 4.5.1.2. pasākuma "Attīstīt videi draudzīgu sabiedriskā transporta infrastruktūru (autobusi)" īstenošana</w:t>
            </w:r>
          </w:p>
          <w:p w14:paraId="79F16CFA" w14:textId="77777777" w:rsidR="00D25D35" w:rsidRPr="00965BD7" w:rsidRDefault="00D25D35" w:rsidP="00AB46B9">
            <w:pPr>
              <w:spacing w:before="60" w:after="60"/>
              <w:rPr>
                <w:rFonts w:ascii="Times New Roman" w:hAnsi="Times New Roman" w:cs="Times New Roman"/>
                <w:color w:val="000000" w:themeColor="text1"/>
                <w:szCs w:val="24"/>
                <w:lang w:val="lv-LV"/>
              </w:rPr>
            </w:pPr>
          </w:p>
        </w:tc>
        <w:tc>
          <w:tcPr>
            <w:tcW w:w="4111" w:type="dxa"/>
          </w:tcPr>
          <w:p w14:paraId="3DEEA4C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lastRenderedPageBreak/>
              <w:t>Līdz 2023.gada 31.decembrim: 50 jauni un pārbūvēti videi draudzīgi sabiedriskie autobusi.</w:t>
            </w:r>
          </w:p>
        </w:tc>
      </w:tr>
      <w:tr w:rsidR="00D25D35" w:rsidRPr="00965BD7" w14:paraId="35A91E9F" w14:textId="77777777" w:rsidTr="00D25D35">
        <w:tc>
          <w:tcPr>
            <w:tcW w:w="4531" w:type="dxa"/>
          </w:tcPr>
          <w:p w14:paraId="372036BD"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TAP2020</w:t>
            </w:r>
          </w:p>
          <w:p w14:paraId="69E0B79D"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6CF102C2"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Eiropas Savienības struktūrfondu un Kohēzijas fonda 2014.—2020.gada plānošanas perioda vadības likums</w:t>
            </w:r>
          </w:p>
        </w:tc>
        <w:tc>
          <w:tcPr>
            <w:tcW w:w="5387" w:type="dxa"/>
          </w:tcPr>
          <w:p w14:paraId="7503CEEC"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Darbības programmas "Izaugsme un nodarbinātība" prioritārā virziena "Ilgtspējīga transporta sistēma" 6.2.1. specifiskā atbalsta mērķa "Nodrošināt konkurētspējīgu un videi draudzīgu TEN-T dzelzceļa tīklu, veicinot tā drošību, kvalitāti un kapacitāti" 6.2.1.1. pasākuma "Latvijas dzelzceļa tīkla elektrifikācija" īstenošana</w:t>
            </w:r>
          </w:p>
          <w:p w14:paraId="2E263D14"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24F461EB" w14:textId="6216F3F1" w:rsidR="00D25D35" w:rsidRPr="00965BD7" w:rsidRDefault="00D25D35" w:rsidP="00AB46B9">
            <w:pPr>
              <w:spacing w:before="60" w:after="60"/>
              <w:rPr>
                <w:rFonts w:ascii="Times New Roman" w:hAnsi="Times New Roman" w:cs="Times New Roman"/>
                <w:color w:val="000000" w:themeColor="text1"/>
                <w:szCs w:val="24"/>
                <w:lang w:val="lv-LV"/>
              </w:rPr>
            </w:pPr>
          </w:p>
        </w:tc>
        <w:tc>
          <w:tcPr>
            <w:tcW w:w="4111" w:type="dxa"/>
          </w:tcPr>
          <w:p w14:paraId="4E5D38DB"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Elektrificēto rekonstruēto vai modernizēto dzelzceļa līniju kopējais garums, (ii) CO</w:t>
            </w:r>
            <w:r w:rsidRPr="00965BD7">
              <w:rPr>
                <w:rFonts w:ascii="Times New Roman" w:hAnsi="Times New Roman" w:cs="Times New Roman"/>
                <w:color w:val="000000" w:themeColor="text1"/>
                <w:szCs w:val="24"/>
                <w:vertAlign w:val="subscript"/>
                <w:lang w:val="lv-LV"/>
              </w:rPr>
              <w:t>2</w:t>
            </w:r>
            <w:r w:rsidRPr="00965BD7">
              <w:rPr>
                <w:rFonts w:ascii="Times New Roman" w:hAnsi="Times New Roman" w:cs="Times New Roman"/>
                <w:color w:val="000000" w:themeColor="text1"/>
                <w:szCs w:val="24"/>
                <w:lang w:val="lv-LV"/>
              </w:rPr>
              <w:t xml:space="preserve"> emisijas dzelzceļa pārvadājumos samazināšana</w:t>
            </w:r>
          </w:p>
          <w:p w14:paraId="695B0425"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5A23296E" w14:textId="77777777" w:rsidTr="00D25D35">
        <w:tc>
          <w:tcPr>
            <w:tcW w:w="4531" w:type="dxa"/>
          </w:tcPr>
          <w:p w14:paraId="01B68286" w14:textId="77777777" w:rsidR="00D25D35" w:rsidRPr="00965BD7" w:rsidRDefault="00D25D35" w:rsidP="00283C85">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TAP2020</w:t>
            </w:r>
          </w:p>
          <w:p w14:paraId="51B9ED79" w14:textId="77777777" w:rsidR="00D25D35" w:rsidRPr="00965BD7" w:rsidRDefault="00D25D35" w:rsidP="00283C85">
            <w:pPr>
              <w:spacing w:before="60" w:after="60"/>
              <w:rPr>
                <w:rFonts w:ascii="Times New Roman" w:hAnsi="Times New Roman" w:cs="Times New Roman"/>
                <w:color w:val="000000" w:themeColor="text1"/>
                <w:szCs w:val="24"/>
                <w:lang w:val="lv-LV"/>
              </w:rPr>
            </w:pPr>
          </w:p>
          <w:p w14:paraId="12BB1883" w14:textId="64D82DE6" w:rsidR="00D25D35" w:rsidRPr="00965BD7" w:rsidRDefault="00D25D35" w:rsidP="00283C85">
            <w:pPr>
              <w:spacing w:before="60" w:after="60"/>
              <w:rPr>
                <w:rFonts w:ascii="Times New Roman" w:hAnsi="Times New Roman" w:cs="Times New Roman"/>
                <w:b/>
                <w:color w:val="000000" w:themeColor="text1"/>
                <w:szCs w:val="24"/>
              </w:rPr>
            </w:pPr>
            <w:r w:rsidRPr="00965BD7">
              <w:rPr>
                <w:rFonts w:ascii="Times New Roman" w:hAnsi="Times New Roman" w:cs="Times New Roman"/>
                <w:b/>
                <w:szCs w:val="24"/>
                <w:lang w:val="lv-LV"/>
              </w:rPr>
              <w:t>Eiropas Savienības struktūrfondu un Kohēzijas fonda 2014.—2020.gada plānošanas perioda vadības likums</w:t>
            </w:r>
          </w:p>
        </w:tc>
        <w:tc>
          <w:tcPr>
            <w:tcW w:w="5387" w:type="dxa"/>
          </w:tcPr>
          <w:p w14:paraId="2EA802E0" w14:textId="2599601C" w:rsidR="00D25D35" w:rsidRPr="00965BD7" w:rsidRDefault="00D25D35" w:rsidP="00AB46B9">
            <w:pPr>
              <w:spacing w:before="60" w:after="60"/>
              <w:rPr>
                <w:rFonts w:ascii="Times New Roman" w:hAnsi="Times New Roman" w:cs="Times New Roman"/>
                <w:color w:val="000000" w:themeColor="text1"/>
                <w:szCs w:val="24"/>
              </w:rPr>
            </w:pPr>
            <w:r w:rsidRPr="00965BD7">
              <w:rPr>
                <w:rFonts w:ascii="Times New Roman" w:hAnsi="Times New Roman" w:cs="Times New Roman"/>
                <w:color w:val="000000" w:themeColor="text1"/>
                <w:szCs w:val="24"/>
                <w:lang w:val="lv-LV"/>
              </w:rPr>
              <w:t>Darbības programmas "Izaugsme un nodarbinātība" 4.5.1. specifiskā atbalsta mērķa "Attīstīt videi draudzīgu sabiedriskā transporta infrastruktūru" 4.5.1.1. pasākuma "Attīstīt videi draudzīgu sabiedriskā transporta infrastruktūru (sliežu transporta)" īstenošana</w:t>
            </w:r>
          </w:p>
        </w:tc>
        <w:tc>
          <w:tcPr>
            <w:tcW w:w="4111" w:type="dxa"/>
          </w:tcPr>
          <w:p w14:paraId="7E83286F" w14:textId="77777777" w:rsidR="00D25D35" w:rsidRPr="00965BD7" w:rsidRDefault="00D25D35" w:rsidP="00AB46B9">
            <w:pPr>
              <w:spacing w:before="60" w:after="60"/>
              <w:rPr>
                <w:rFonts w:ascii="Times New Roman" w:hAnsi="Times New Roman" w:cs="Times New Roman"/>
                <w:color w:val="000000" w:themeColor="text1"/>
                <w:szCs w:val="24"/>
              </w:rPr>
            </w:pPr>
          </w:p>
        </w:tc>
      </w:tr>
      <w:tr w:rsidR="00D25D35" w:rsidRPr="00965BD7" w14:paraId="780B8A3B" w14:textId="77777777" w:rsidTr="00D25D35">
        <w:tc>
          <w:tcPr>
            <w:tcW w:w="4531" w:type="dxa"/>
          </w:tcPr>
          <w:p w14:paraId="340888AA" w14:textId="7579C38D" w:rsidR="00D25D35" w:rsidRPr="00965BD7" w:rsidRDefault="00D25D35" w:rsidP="00AB46B9">
            <w:pPr>
              <w:spacing w:before="60" w:after="60"/>
              <w:rPr>
                <w:rFonts w:ascii="Times New Roman" w:hAnsi="Times New Roman" w:cs="Times New Roman"/>
                <w:bCs/>
                <w:szCs w:val="24"/>
                <w:shd w:val="clear" w:color="auto" w:fill="FFFFFF"/>
                <w:lang w:val="lv-LV"/>
              </w:rPr>
            </w:pPr>
            <w:r w:rsidRPr="00965BD7">
              <w:rPr>
                <w:rFonts w:ascii="Times New Roman" w:hAnsi="Times New Roman" w:cs="Times New Roman"/>
                <w:b/>
                <w:bCs/>
                <w:szCs w:val="24"/>
                <w:shd w:val="clear" w:color="auto" w:fill="FFFFFF"/>
                <w:lang w:val="lv-LV"/>
              </w:rPr>
              <w:t>Eiropas Parlamenta un Padomes</w:t>
            </w:r>
            <w:r>
              <w:rPr>
                <w:rFonts w:ascii="Times New Roman" w:hAnsi="Times New Roman" w:cs="Times New Roman"/>
                <w:b/>
                <w:bCs/>
                <w:szCs w:val="24"/>
                <w:shd w:val="clear" w:color="auto" w:fill="FFFFFF"/>
                <w:lang w:val="lv-LV"/>
              </w:rPr>
              <w:t xml:space="preserve"> 2009.gada 23.aprīļa </w:t>
            </w:r>
            <w:r w:rsidRPr="00965BD7">
              <w:rPr>
                <w:rFonts w:ascii="Times New Roman" w:hAnsi="Times New Roman" w:cs="Times New Roman"/>
                <w:b/>
                <w:bCs/>
                <w:szCs w:val="24"/>
                <w:shd w:val="clear" w:color="auto" w:fill="FFFFFF"/>
                <w:lang w:val="lv-LV"/>
              </w:rPr>
              <w:t>direktīva Nr.2009/28/EK par atjaunojamo</w:t>
            </w:r>
            <w:r>
              <w:rPr>
                <w:rFonts w:ascii="Times New Roman" w:hAnsi="Times New Roman" w:cs="Times New Roman"/>
                <w:b/>
                <w:bCs/>
                <w:szCs w:val="24"/>
                <w:shd w:val="clear" w:color="auto" w:fill="FFFFFF"/>
                <w:lang w:val="lv-LV"/>
              </w:rPr>
              <w:t xml:space="preserve"> </w:t>
            </w:r>
            <w:r w:rsidRPr="00965BD7">
              <w:rPr>
                <w:rFonts w:ascii="Times New Roman" w:hAnsi="Times New Roman" w:cs="Times New Roman"/>
                <w:b/>
                <w:bCs/>
                <w:szCs w:val="24"/>
                <w:shd w:val="clear" w:color="auto" w:fill="FFFFFF"/>
                <w:lang w:val="lv-LV"/>
              </w:rPr>
              <w:t>energoresursu izmantošanas veicināšanu un ar ko groza un sekojoši atceļ Direktīvas 2001/77/EK un 2003/30/EK (un tās pārskats)</w:t>
            </w:r>
          </w:p>
        </w:tc>
        <w:tc>
          <w:tcPr>
            <w:tcW w:w="5387" w:type="dxa"/>
          </w:tcPr>
          <w:p w14:paraId="466F9F80" w14:textId="77777777" w:rsidR="00D25D35" w:rsidRPr="00965BD7" w:rsidRDefault="00D25D35" w:rsidP="00AB46B9">
            <w:pPr>
              <w:spacing w:before="60" w:after="60"/>
              <w:rPr>
                <w:rFonts w:ascii="Times New Roman" w:hAnsi="Times New Roman" w:cs="Times New Roman"/>
                <w:i/>
                <w:szCs w:val="24"/>
                <w:lang w:val="lv-LV"/>
              </w:rPr>
            </w:pPr>
            <w:r w:rsidRPr="00965BD7">
              <w:rPr>
                <w:rFonts w:ascii="Times New Roman" w:hAnsi="Times New Roman" w:cs="Times New Roman"/>
                <w:bCs/>
                <w:iCs/>
                <w:szCs w:val="24"/>
                <w:shd w:val="clear" w:color="auto" w:fill="FFFFFF"/>
                <w:lang w:val="lv-LV"/>
              </w:rPr>
              <w:t>Atjaunojamās enerģijas obligātais mērķis (14%) degvielas izmantošanā transportā uz 2030.gadu</w:t>
            </w:r>
          </w:p>
        </w:tc>
        <w:tc>
          <w:tcPr>
            <w:tcW w:w="4111" w:type="dxa"/>
          </w:tcPr>
          <w:p w14:paraId="4346BEC0"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AER % no transportā izmantojamām degvielām, kas aprēķināta atbilstoši Direktīvas metodoloģijai. </w:t>
            </w:r>
          </w:p>
        </w:tc>
      </w:tr>
      <w:tr w:rsidR="00D25D35" w:rsidRPr="00225CC0" w14:paraId="11A46060" w14:textId="77777777" w:rsidTr="00D25D35">
        <w:tc>
          <w:tcPr>
            <w:tcW w:w="4531" w:type="dxa"/>
          </w:tcPr>
          <w:p w14:paraId="2591C05D" w14:textId="24049857"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lastRenderedPageBreak/>
              <w:t>Ministru kabineta 2017.gada 30.maija noteikumi Nr. 295 “Noteikumi par transportlīdzekļu valsts tehnisko apskati un tehnisko kontroli uz ceļa”,</w:t>
            </w:r>
          </w:p>
        </w:tc>
        <w:tc>
          <w:tcPr>
            <w:tcW w:w="5387" w:type="dxa"/>
          </w:tcPr>
          <w:p w14:paraId="638D856D" w14:textId="29F27EA7"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Sistemātiskas transportlīdzekļu valsts tehniskās apskates un tehniskās kontroles uz ceļa nodrošina, ka satiksmē atļauj piedalīties tikai tehniskām un vides prasībām atbilstošām automašīnām.</w:t>
            </w:r>
          </w:p>
        </w:tc>
        <w:tc>
          <w:tcPr>
            <w:tcW w:w="4111" w:type="dxa"/>
          </w:tcPr>
          <w:p w14:paraId="4744980A" w14:textId="77777777" w:rsidR="00D25D35" w:rsidRPr="00225CC0" w:rsidRDefault="00D25D35" w:rsidP="00225CC0">
            <w:pPr>
              <w:spacing w:before="60" w:after="60"/>
              <w:rPr>
                <w:rFonts w:ascii="Times New Roman" w:hAnsi="Times New Roman" w:cs="Times New Roman"/>
                <w:szCs w:val="24"/>
                <w:lang w:val="lv-LV"/>
              </w:rPr>
            </w:pPr>
          </w:p>
        </w:tc>
      </w:tr>
      <w:tr w:rsidR="00D25D35" w:rsidRPr="00225CC0" w14:paraId="4C64827A" w14:textId="77777777" w:rsidTr="00D25D35">
        <w:tc>
          <w:tcPr>
            <w:tcW w:w="4531" w:type="dxa"/>
          </w:tcPr>
          <w:p w14:paraId="51096C1A"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Eiropas Parlamenta un Padomes 2009.gada 23.aprīļa direktīva Nr.2009/28/EK par atjaunojamo energoresursu izmantošanas veicināšanu un ar ko groza un sekojoši atceļ Direktīvas 2001/77/EK un 2003/30/EK (un tās pārskats)</w:t>
            </w:r>
          </w:p>
          <w:p w14:paraId="5A7B0D5F" w14:textId="7EAC68FE"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Eiropas Parlamenta un Paromes 1998.gada 13.oktobra direktīva Nr.98/70/EK, kas attiecas uz benzīna un dīzeļdegvielu kvalitāti un ar ko groza Padomes Direktīvu 93/12/EEK</w:t>
            </w:r>
          </w:p>
        </w:tc>
        <w:tc>
          <w:tcPr>
            <w:tcW w:w="5387" w:type="dxa"/>
          </w:tcPr>
          <w:p w14:paraId="3DBCCD2E" w14:textId="6A2DA960"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Degvielas piegādātājs līdz 2020. gada 31. decembrim nodrošina transporta enerģijas (izņemot elektroenerģijas) aprites cikla SEG emisiju uz vienu enerģijas vienību samazinājumu vismaz par 6% attiecībā pret 2010. gadā</w:t>
            </w:r>
          </w:p>
        </w:tc>
        <w:tc>
          <w:tcPr>
            <w:tcW w:w="4111" w:type="dxa"/>
          </w:tcPr>
          <w:p w14:paraId="0F18251F" w14:textId="77777777" w:rsidR="00D25D35" w:rsidRPr="00225CC0" w:rsidRDefault="00D25D35" w:rsidP="00225CC0">
            <w:pPr>
              <w:spacing w:before="60" w:after="60"/>
              <w:rPr>
                <w:rFonts w:ascii="Times New Roman" w:hAnsi="Times New Roman" w:cs="Times New Roman"/>
                <w:szCs w:val="24"/>
                <w:lang w:val="lv-LV"/>
              </w:rPr>
            </w:pPr>
          </w:p>
        </w:tc>
      </w:tr>
      <w:tr w:rsidR="00D25D35" w:rsidRPr="00965BD7" w14:paraId="4A8113E3" w14:textId="77777777" w:rsidTr="00D25D35">
        <w:tc>
          <w:tcPr>
            <w:tcW w:w="4531" w:type="dxa"/>
            <w:vMerge w:val="restart"/>
          </w:tcPr>
          <w:p w14:paraId="46EE6779" w14:textId="7C8AD259"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Nodokļu politika transportā</w:t>
            </w:r>
          </w:p>
        </w:tc>
        <w:tc>
          <w:tcPr>
            <w:tcW w:w="5387" w:type="dxa"/>
          </w:tcPr>
          <w:p w14:paraId="43046F0A" w14:textId="3CB93198"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Akcīzes nodoklis naftas produktiem un dabasgāzei</w:t>
            </w:r>
          </w:p>
        </w:tc>
        <w:tc>
          <w:tcPr>
            <w:tcW w:w="4111" w:type="dxa"/>
            <w:vMerge w:val="restart"/>
          </w:tcPr>
          <w:p w14:paraId="1C24A38F" w14:textId="77777777" w:rsidR="00D25D35" w:rsidRPr="00965BD7" w:rsidRDefault="00D25D35" w:rsidP="00726CF7">
            <w:pPr>
              <w:spacing w:before="60" w:after="60"/>
              <w:rPr>
                <w:rFonts w:ascii="Times New Roman" w:hAnsi="Times New Roman" w:cs="Times New Roman"/>
                <w:szCs w:val="24"/>
              </w:rPr>
            </w:pPr>
          </w:p>
        </w:tc>
      </w:tr>
      <w:tr w:rsidR="00D25D35" w:rsidRPr="00965BD7" w14:paraId="3362487C" w14:textId="77777777" w:rsidTr="00D25D35">
        <w:tc>
          <w:tcPr>
            <w:tcW w:w="4531" w:type="dxa"/>
            <w:vMerge/>
          </w:tcPr>
          <w:p w14:paraId="54E4D9D5"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p>
        </w:tc>
        <w:tc>
          <w:tcPr>
            <w:tcW w:w="5387" w:type="dxa"/>
          </w:tcPr>
          <w:p w14:paraId="6A85AF92" w14:textId="3EDB74F9"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Transportlīdzekļa ekspluatācijas nodoklis</w:t>
            </w:r>
          </w:p>
        </w:tc>
        <w:tc>
          <w:tcPr>
            <w:tcW w:w="4111" w:type="dxa"/>
            <w:vMerge/>
          </w:tcPr>
          <w:p w14:paraId="25AD6329" w14:textId="77777777" w:rsidR="00D25D35" w:rsidRPr="00965BD7" w:rsidRDefault="00D25D35" w:rsidP="00726CF7">
            <w:pPr>
              <w:spacing w:before="60" w:after="60"/>
              <w:rPr>
                <w:rFonts w:ascii="Times New Roman" w:hAnsi="Times New Roman" w:cs="Times New Roman"/>
                <w:szCs w:val="24"/>
              </w:rPr>
            </w:pPr>
          </w:p>
        </w:tc>
      </w:tr>
      <w:tr w:rsidR="00D25D35" w:rsidRPr="00965BD7" w14:paraId="2B13D607" w14:textId="77777777" w:rsidTr="00D25D35">
        <w:tc>
          <w:tcPr>
            <w:tcW w:w="4531" w:type="dxa"/>
            <w:vMerge/>
          </w:tcPr>
          <w:p w14:paraId="5C838294"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p>
        </w:tc>
        <w:tc>
          <w:tcPr>
            <w:tcW w:w="5387" w:type="dxa"/>
          </w:tcPr>
          <w:p w14:paraId="3C35572F" w14:textId="48726DBE"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Atbrīvojums no elektroenerģijas nodokļa. Elektroenerģijas likums nosaka, ka no nodokļa ir atbrīvota elektroenerģija, kuru izmanto preču pārvadājumiem un sabiedriskajiem pasažieru pārvadājumiem, tajā skaitā dzelzceļa transportā un pilsētu sabiedriskajos pasažieru pārvadājumos.</w:t>
            </w:r>
          </w:p>
        </w:tc>
        <w:tc>
          <w:tcPr>
            <w:tcW w:w="4111" w:type="dxa"/>
            <w:vMerge/>
          </w:tcPr>
          <w:p w14:paraId="655E83BC" w14:textId="77777777" w:rsidR="00D25D35" w:rsidRPr="0089347A" w:rsidRDefault="00D25D35" w:rsidP="00726CF7">
            <w:pPr>
              <w:spacing w:before="60" w:after="60"/>
              <w:rPr>
                <w:rFonts w:ascii="Times New Roman" w:hAnsi="Times New Roman" w:cs="Times New Roman"/>
                <w:szCs w:val="24"/>
                <w:lang w:val="lv-LV"/>
              </w:rPr>
            </w:pPr>
          </w:p>
        </w:tc>
      </w:tr>
      <w:tr w:rsidR="00D25D35" w:rsidRPr="00965BD7" w14:paraId="6913F9B3" w14:textId="77777777" w:rsidTr="00D25D35">
        <w:tc>
          <w:tcPr>
            <w:tcW w:w="4531" w:type="dxa"/>
            <w:vMerge w:val="restart"/>
          </w:tcPr>
          <w:p w14:paraId="3C90219F" w14:textId="17D39D84" w:rsidR="00D25D35" w:rsidRPr="00965BD7" w:rsidRDefault="00D25D35" w:rsidP="00726CF7">
            <w:pPr>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Samazināt SEG emisijas no atkritumu apsaimniekošanas</w:t>
            </w:r>
          </w:p>
        </w:tc>
        <w:tc>
          <w:tcPr>
            <w:tcW w:w="5387" w:type="dxa"/>
          </w:tcPr>
          <w:p w14:paraId="0066AAD4" w14:textId="7D4760C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Palielināt centralizētajai kanalizācijai un notekūdeņu attīrīšanas iekārtām pieslēgto iedzīvotāju skaitu noteiktās aglomerācijās. Šim pasākumam jābūt </w:t>
            </w:r>
            <w:r w:rsidRPr="00965BD7">
              <w:rPr>
                <w:rFonts w:ascii="Times New Roman" w:hAnsi="Times New Roman" w:cs="Times New Roman"/>
                <w:bCs/>
                <w:szCs w:val="24"/>
                <w:lang w:val="lv-LV"/>
              </w:rPr>
              <w:lastRenderedPageBreak/>
              <w:t>pilnībā īstenotam ne vēlāk kā līdz 2023. gada 31. decembrim.</w:t>
            </w:r>
          </w:p>
        </w:tc>
        <w:tc>
          <w:tcPr>
            <w:tcW w:w="4111" w:type="dxa"/>
            <w:vMerge w:val="restart"/>
          </w:tcPr>
          <w:p w14:paraId="7DB4473A" w14:textId="77777777" w:rsidR="00D25D35" w:rsidRPr="00965BD7" w:rsidRDefault="00D25D35" w:rsidP="00726CF7">
            <w:pPr>
              <w:rPr>
                <w:rFonts w:ascii="Times New Roman" w:hAnsi="Times New Roman" w:cs="Times New Roman"/>
                <w:szCs w:val="24"/>
                <w:lang w:val="lv-LV"/>
              </w:rPr>
            </w:pPr>
          </w:p>
        </w:tc>
      </w:tr>
      <w:tr w:rsidR="00D25D35" w:rsidRPr="00965BD7" w14:paraId="1C537223" w14:textId="77777777" w:rsidTr="00D25D35">
        <w:tc>
          <w:tcPr>
            <w:tcW w:w="4531" w:type="dxa"/>
            <w:vMerge/>
          </w:tcPr>
          <w:p w14:paraId="2C20F481"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750CCB6" w14:textId="3658066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Attīstīt un uzlabot ūdensapgādes un kanalizācijas sistēmas pakalpojumu kvalitāti un nodrošināt pieslēgšanas iespējas.</w:t>
            </w:r>
          </w:p>
        </w:tc>
        <w:tc>
          <w:tcPr>
            <w:tcW w:w="4111" w:type="dxa"/>
            <w:vMerge/>
          </w:tcPr>
          <w:p w14:paraId="41CA1F69" w14:textId="77777777" w:rsidR="00D25D35" w:rsidRPr="00965BD7" w:rsidRDefault="00D25D35" w:rsidP="00726CF7">
            <w:pPr>
              <w:rPr>
                <w:rFonts w:ascii="Times New Roman" w:hAnsi="Times New Roman" w:cs="Times New Roman"/>
                <w:szCs w:val="24"/>
                <w:lang w:val="lv-LV"/>
              </w:rPr>
            </w:pPr>
          </w:p>
        </w:tc>
      </w:tr>
      <w:tr w:rsidR="00D25D35" w:rsidRPr="00965BD7" w14:paraId="06254827" w14:textId="77777777" w:rsidTr="00D25D35">
        <w:tc>
          <w:tcPr>
            <w:tcW w:w="4531" w:type="dxa"/>
            <w:vMerge/>
          </w:tcPr>
          <w:p w14:paraId="71B376BF"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69F9CD05" w14:textId="77777777" w:rsidR="00D25D35" w:rsidRPr="00965BD7" w:rsidRDefault="00D25D35" w:rsidP="00726CF7">
            <w:pPr>
              <w:rPr>
                <w:rFonts w:ascii="Times New Roman" w:hAnsi="Times New Roman" w:cs="Times New Roman"/>
                <w:bCs/>
                <w:szCs w:val="24"/>
                <w:lang w:val="lv-LV"/>
              </w:rPr>
            </w:pPr>
            <w:r w:rsidRPr="00965BD7">
              <w:rPr>
                <w:rFonts w:ascii="Times New Roman" w:hAnsi="Times New Roman" w:cs="Times New Roman"/>
                <w:bCs/>
                <w:szCs w:val="24"/>
                <w:lang w:val="lv-LV"/>
              </w:rPr>
              <w:t>Veicināt dažāda veida atkritumu atkārtotu izmantošanu, pārstrādi un reģenerāciju.</w:t>
            </w:r>
          </w:p>
          <w:p w14:paraId="0CDF65D7" w14:textId="2F3B167A"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Industriālās atkritumu kompostēšanas apjomu pieaugums atbilstoši apstiprinātajām investīcijām,  ievērojot, ka Atkritumu Direktīvā (2008/98/EK) ir ietverti jaunie mērķi attiecībā uz pārtikas atkritumiem, tekstila atkritumiem, tad ir plānots attīstīt šo atkritumu plūsmju pārstrādi, kā arī attīstīt plastmasas , papīra, metāla pārstrādi. </w:t>
            </w:r>
          </w:p>
        </w:tc>
        <w:tc>
          <w:tcPr>
            <w:tcW w:w="4111" w:type="dxa"/>
            <w:vMerge/>
          </w:tcPr>
          <w:p w14:paraId="7152A4AC" w14:textId="77777777" w:rsidR="00D25D35" w:rsidRPr="00965BD7" w:rsidRDefault="00D25D35" w:rsidP="00726CF7">
            <w:pPr>
              <w:rPr>
                <w:rFonts w:ascii="Times New Roman" w:hAnsi="Times New Roman" w:cs="Times New Roman"/>
                <w:szCs w:val="24"/>
                <w:lang w:val="lv-LV"/>
              </w:rPr>
            </w:pPr>
          </w:p>
        </w:tc>
      </w:tr>
      <w:tr w:rsidR="00D25D35" w:rsidRPr="00965BD7" w14:paraId="49E8CC8E" w14:textId="77777777" w:rsidTr="00D25D35">
        <w:tc>
          <w:tcPr>
            <w:tcW w:w="4531" w:type="dxa"/>
            <w:vMerge/>
          </w:tcPr>
          <w:p w14:paraId="1E739E5D"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8DA221C" w14:textId="70BE6026" w:rsidR="00D25D35" w:rsidRPr="00965BD7" w:rsidRDefault="00D25D35" w:rsidP="00726CF7">
            <w:pPr>
              <w:rPr>
                <w:rFonts w:ascii="Times New Roman" w:hAnsi="Times New Roman" w:cs="Times New Roman"/>
                <w:bCs/>
                <w:szCs w:val="24"/>
                <w:lang w:val="lv-LV"/>
              </w:rPr>
            </w:pPr>
            <w:r>
              <w:rPr>
                <w:rFonts w:ascii="Times New Roman" w:hAnsi="Times New Roman" w:cs="Times New Roman"/>
                <w:bCs/>
                <w:szCs w:val="24"/>
                <w:lang w:val="lv-LV"/>
              </w:rPr>
              <w:t>Direktīvas 1</w:t>
            </w:r>
            <w:r w:rsidRPr="00965BD7">
              <w:rPr>
                <w:rFonts w:ascii="Times New Roman" w:hAnsi="Times New Roman" w:cs="Times New Roman"/>
                <w:bCs/>
                <w:szCs w:val="24"/>
                <w:lang w:val="lv-LV"/>
              </w:rPr>
              <w:t>999/31/EK</w:t>
            </w:r>
            <w:r>
              <w:rPr>
                <w:rStyle w:val="FootnoteReference"/>
                <w:rFonts w:ascii="Times New Roman" w:hAnsi="Times New Roman" w:cs="Times New Roman"/>
                <w:bCs/>
                <w:szCs w:val="24"/>
                <w:lang w:val="lv-LV"/>
              </w:rPr>
              <w:footnoteReference w:id="281"/>
            </w:r>
            <w:r>
              <w:rPr>
                <w:rFonts w:ascii="Times New Roman" w:hAnsi="Times New Roman" w:cs="Times New Roman"/>
                <w:bCs/>
                <w:szCs w:val="24"/>
                <w:lang w:val="lv-LV"/>
              </w:rPr>
              <w:t xml:space="preserve"> </w:t>
            </w:r>
            <w:r w:rsidRPr="00965BD7">
              <w:rPr>
                <w:rFonts w:ascii="Times New Roman" w:hAnsi="Times New Roman" w:cs="Times New Roman"/>
                <w:bCs/>
                <w:szCs w:val="24"/>
                <w:lang w:val="lv-LV"/>
              </w:rPr>
              <w:t>prasību izpildīšana attiecībā uz bioloģiski noārdāmo atkritumu apglabāšanu – pašlaik tiek realizēti 2 projekti BNA atkritumu pārstrādei:</w:t>
            </w:r>
          </w:p>
          <w:p w14:paraId="335B5334" w14:textId="77777777" w:rsidR="00D25D35" w:rsidRPr="0006254D" w:rsidRDefault="00D25D35" w:rsidP="00283C85">
            <w:pPr>
              <w:pStyle w:val="ListParagraph"/>
              <w:numPr>
                <w:ilvl w:val="0"/>
                <w:numId w:val="134"/>
              </w:numPr>
              <w:rPr>
                <w:rFonts w:ascii="Times New Roman" w:hAnsi="Times New Roman" w:cs="Times New Roman"/>
                <w:bCs/>
                <w:szCs w:val="24"/>
                <w:lang w:val="lv-LV"/>
              </w:rPr>
            </w:pPr>
            <w:r w:rsidRPr="0006254D">
              <w:rPr>
                <w:rFonts w:ascii="Times New Roman" w:hAnsi="Times New Roman" w:cs="Times New Roman"/>
                <w:bCs/>
                <w:szCs w:val="24"/>
                <w:lang w:val="lv-LV"/>
              </w:rPr>
              <w:t>Rēzeknē Krizevņiku poligonā paredzētā pārstrādes jauda ir 8 000 t/gadā</w:t>
            </w:r>
          </w:p>
          <w:p w14:paraId="548F1EFD" w14:textId="2FA30C98" w:rsidR="00D25D35" w:rsidRPr="0006254D" w:rsidRDefault="00D25D35" w:rsidP="00283C85">
            <w:pPr>
              <w:pStyle w:val="ListParagraph"/>
              <w:numPr>
                <w:ilvl w:val="0"/>
                <w:numId w:val="134"/>
              </w:numPr>
              <w:rPr>
                <w:rFonts w:ascii="Times New Roman" w:hAnsi="Times New Roman" w:cs="Times New Roman"/>
                <w:bCs/>
                <w:iCs/>
                <w:szCs w:val="24"/>
                <w:shd w:val="clear" w:color="auto" w:fill="FFFFFF"/>
                <w:lang w:val="lv-LV"/>
              </w:rPr>
            </w:pPr>
            <w:r w:rsidRPr="0006254D">
              <w:rPr>
                <w:rFonts w:ascii="Times New Roman" w:hAnsi="Times New Roman" w:cs="Times New Roman"/>
                <w:bCs/>
                <w:szCs w:val="24"/>
                <w:lang w:val="lv-LV"/>
              </w:rPr>
              <w:t>Getliņos paredzētā pārstrādes jauda ir 100 000 t/gadā</w:t>
            </w:r>
          </w:p>
        </w:tc>
        <w:tc>
          <w:tcPr>
            <w:tcW w:w="4111" w:type="dxa"/>
            <w:vMerge/>
          </w:tcPr>
          <w:p w14:paraId="11A4BB83" w14:textId="77777777" w:rsidR="00D25D35" w:rsidRPr="00965BD7" w:rsidRDefault="00D25D35" w:rsidP="00726CF7">
            <w:pPr>
              <w:rPr>
                <w:rFonts w:ascii="Times New Roman" w:hAnsi="Times New Roman" w:cs="Times New Roman"/>
                <w:szCs w:val="24"/>
                <w:lang w:val="lv-LV"/>
              </w:rPr>
            </w:pPr>
          </w:p>
        </w:tc>
      </w:tr>
      <w:tr w:rsidR="00D25D35" w:rsidRPr="00965BD7" w14:paraId="419716B1" w14:textId="77777777" w:rsidTr="00D25D35">
        <w:tc>
          <w:tcPr>
            <w:tcW w:w="4531" w:type="dxa"/>
            <w:vMerge/>
          </w:tcPr>
          <w:p w14:paraId="52A600D7"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457B1923" w14:textId="518E6BBC" w:rsidR="00D25D35" w:rsidRPr="00965BD7" w:rsidRDefault="00D25D35" w:rsidP="0006254D">
            <w:pPr>
              <w:pStyle w:val="xmsonormal"/>
              <w:shd w:val="clear" w:color="auto" w:fill="FFFFFF"/>
              <w:spacing w:before="0" w:beforeAutospacing="0" w:after="0" w:afterAutospacing="0"/>
              <w:rPr>
                <w:bCs/>
                <w:iCs/>
                <w:shd w:val="clear" w:color="auto" w:fill="FFFFFF"/>
                <w:lang w:val="lv-LV"/>
              </w:rPr>
            </w:pPr>
            <w:r w:rsidRPr="00965BD7">
              <w:rPr>
                <w:bCs/>
                <w:lang w:val="lv-LV"/>
              </w:rPr>
              <w:t>Apglabāto atkritumu apjoma s</w:t>
            </w:r>
            <w:r>
              <w:rPr>
                <w:bCs/>
                <w:lang w:val="lv-LV"/>
              </w:rPr>
              <w:t>amazinājums līdz 10% 2035. gadā</w:t>
            </w:r>
          </w:p>
        </w:tc>
        <w:tc>
          <w:tcPr>
            <w:tcW w:w="4111" w:type="dxa"/>
            <w:vMerge/>
          </w:tcPr>
          <w:p w14:paraId="1E80362C" w14:textId="77777777" w:rsidR="00D25D35" w:rsidRPr="00965BD7" w:rsidRDefault="00D25D35" w:rsidP="00726CF7">
            <w:pPr>
              <w:rPr>
                <w:rFonts w:ascii="Times New Roman" w:hAnsi="Times New Roman" w:cs="Times New Roman"/>
                <w:szCs w:val="24"/>
                <w:lang w:val="lv-LV"/>
              </w:rPr>
            </w:pPr>
          </w:p>
        </w:tc>
      </w:tr>
      <w:tr w:rsidR="00D25D35" w:rsidRPr="00965BD7" w14:paraId="3656A2D8" w14:textId="77777777" w:rsidTr="00D25D35">
        <w:tc>
          <w:tcPr>
            <w:tcW w:w="4531" w:type="dxa"/>
            <w:vMerge w:val="restart"/>
          </w:tcPr>
          <w:p w14:paraId="0717BDB0" w14:textId="0F6736FB" w:rsidR="00D25D35" w:rsidRPr="00965BD7" w:rsidRDefault="00D25D35" w:rsidP="00726CF7">
            <w:pPr>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Ricībpolitika rūpniecisko procesu un ķīmisko vielu izmantošanas emisiju samazināšanai</w:t>
            </w:r>
          </w:p>
        </w:tc>
        <w:tc>
          <w:tcPr>
            <w:tcW w:w="5387" w:type="dxa"/>
          </w:tcPr>
          <w:p w14:paraId="34D4BFC9" w14:textId="2AD9FDDF"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Eiropas Parlamenta un Padomes Direktīva 2010/75/ES (2010. gada 24. novembris ) par rūpnieciskajām emisijām (piesārņojuma integrēta novēršana un kontrole).</w:t>
            </w:r>
          </w:p>
        </w:tc>
        <w:tc>
          <w:tcPr>
            <w:tcW w:w="4111" w:type="dxa"/>
          </w:tcPr>
          <w:p w14:paraId="60CE5A5C" w14:textId="77777777" w:rsidR="00D25D35" w:rsidRPr="00965BD7" w:rsidRDefault="00D25D35" w:rsidP="00726CF7">
            <w:pPr>
              <w:rPr>
                <w:rFonts w:ascii="Times New Roman" w:hAnsi="Times New Roman" w:cs="Times New Roman"/>
                <w:szCs w:val="24"/>
                <w:lang w:val="lv-LV"/>
              </w:rPr>
            </w:pPr>
          </w:p>
        </w:tc>
      </w:tr>
      <w:tr w:rsidR="00D25D35" w:rsidRPr="00965BD7" w14:paraId="35B388C6" w14:textId="77777777" w:rsidTr="00D25D35">
        <w:tc>
          <w:tcPr>
            <w:tcW w:w="4531" w:type="dxa"/>
            <w:vMerge/>
          </w:tcPr>
          <w:p w14:paraId="7FB3D596"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3115D7F3" w14:textId="5F2AE36B"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Likums “Par piesārņojumu”, kā rezultātā tiek ieviesti labākie pieejamie tehniskie paņēmieni (LPTP) . Līdz šim jauni labākie pieejamie tehniskie paņēmieni pieņemti šādām nozarēm – cementa ražošana, dzelzs- tērauda rūpniecība, stikla šķiedras ražošana, ādu miecēšana, hlora un sārmu rūpniecībā, celulozes un papīra ražošanā, minerāleļļas un gāzes pārstrāde, koksnes materiālu plātņu ražošana, krāsaino metālu ražošana, mājputnu un cūku intensīva audzēšana, lielām sadedzināšanas iekārtām, liela apjoma ķīmisku vielu ražošana, atkritumu apstrāde. </w:t>
            </w:r>
          </w:p>
        </w:tc>
        <w:tc>
          <w:tcPr>
            <w:tcW w:w="4111" w:type="dxa"/>
          </w:tcPr>
          <w:p w14:paraId="2E0A53E1" w14:textId="1C3AF2CF" w:rsidR="00D25D35" w:rsidRPr="00965BD7" w:rsidRDefault="00D25D35" w:rsidP="00726CF7">
            <w:pPr>
              <w:rPr>
                <w:rFonts w:ascii="Times New Roman" w:hAnsi="Times New Roman" w:cs="Times New Roman"/>
                <w:szCs w:val="24"/>
                <w:lang w:val="lv-LV"/>
              </w:rPr>
            </w:pPr>
          </w:p>
        </w:tc>
      </w:tr>
      <w:tr w:rsidR="00D25D35" w:rsidRPr="00965BD7" w14:paraId="7B45D86B" w14:textId="77777777" w:rsidTr="00D25D35">
        <w:tc>
          <w:tcPr>
            <w:tcW w:w="4531" w:type="dxa"/>
            <w:vMerge/>
          </w:tcPr>
          <w:p w14:paraId="57EF30E7"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E33F16D" w14:textId="0B637AC2"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Eiropas Parlamenta un Padomes Regula (ES) Nr. 517/2014 (2014. gada 16. aprīlis) par fluorētām siltumnīcefekta gāzēm un ar ko atceļ Regulu (EK) Nr. 842/2006 (F-gāzu regula); </w:t>
            </w:r>
          </w:p>
        </w:tc>
        <w:tc>
          <w:tcPr>
            <w:tcW w:w="4111" w:type="dxa"/>
          </w:tcPr>
          <w:p w14:paraId="79C19E76" w14:textId="03C2CF44" w:rsidR="00D25D35" w:rsidRPr="00965BD7" w:rsidRDefault="00D25D35" w:rsidP="00726CF7">
            <w:pPr>
              <w:rPr>
                <w:rFonts w:ascii="Times New Roman" w:hAnsi="Times New Roman" w:cs="Times New Roman"/>
                <w:szCs w:val="24"/>
                <w:lang w:val="lv-LV"/>
              </w:rPr>
            </w:pPr>
            <w:r w:rsidRPr="00965BD7">
              <w:rPr>
                <w:rFonts w:ascii="Times New Roman" w:hAnsi="Times New Roman" w:cs="Times New Roman"/>
                <w:bCs/>
                <w:szCs w:val="24"/>
                <w:lang w:val="lv-LV"/>
              </w:rPr>
              <w:t>ES tirgū nedrīkst laist vairāk fluorogļūdeņražus, kā noteikts regulas 5.pielikumā, t.i., 2015.gadā 100 %, 2030 – 21%. Ražotājiem un importētājiem EK izsniedz kvotas F-gāzu laišanai tirgū.</w:t>
            </w:r>
          </w:p>
        </w:tc>
      </w:tr>
      <w:tr w:rsidR="00D25D35" w:rsidRPr="00965BD7" w14:paraId="799A407A" w14:textId="77777777" w:rsidTr="00D25D35">
        <w:tc>
          <w:tcPr>
            <w:tcW w:w="4531" w:type="dxa"/>
            <w:vMerge/>
          </w:tcPr>
          <w:p w14:paraId="2C87103B"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54866121" w14:textId="026913C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Eiropas Parlamenta un Padomes Direktīva 2006/40/EK (2006. gada 17. maijs) par emisijām no mehānisko transportlīdzekļu gaisa kondicionēšanas sistēmām un par grozījumiem Padomes Direktīvā 70/156/EEK (Direktīva par mobilajiem gaisa kondicionieriem). Ministru kabineta 2009.gada 22.decembrī noteikumi Nr.1494 “Mopēdu, mehānisko transportlīdzekļu, to piekabju un sastāvdaļu atbilstības novērtēšanas noteikumi”</w:t>
            </w:r>
          </w:p>
        </w:tc>
        <w:tc>
          <w:tcPr>
            <w:tcW w:w="4111" w:type="dxa"/>
          </w:tcPr>
          <w:p w14:paraId="424911F8" w14:textId="77777777" w:rsidR="00D25D35" w:rsidRPr="00965BD7" w:rsidRDefault="00D25D35" w:rsidP="00726CF7">
            <w:pPr>
              <w:rPr>
                <w:rFonts w:ascii="Times New Roman" w:hAnsi="Times New Roman" w:cs="Times New Roman"/>
                <w:szCs w:val="24"/>
                <w:lang w:val="lv-LV"/>
              </w:rPr>
            </w:pPr>
          </w:p>
        </w:tc>
      </w:tr>
      <w:tr w:rsidR="00D25D35" w:rsidRPr="00965BD7" w14:paraId="259B747E" w14:textId="77777777" w:rsidTr="00D25D35">
        <w:trPr>
          <w:trHeight w:val="5830"/>
        </w:trPr>
        <w:tc>
          <w:tcPr>
            <w:tcW w:w="4531" w:type="dxa"/>
            <w:vMerge/>
          </w:tcPr>
          <w:p w14:paraId="3A81CD90"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3B771E77" w14:textId="77777777" w:rsidR="00D25D35" w:rsidRPr="00965BD7" w:rsidRDefault="00D25D35" w:rsidP="00726CF7">
            <w:pPr>
              <w:rPr>
                <w:rFonts w:ascii="Times New Roman" w:hAnsi="Times New Roman" w:cs="Times New Roman"/>
                <w:bCs/>
                <w:szCs w:val="24"/>
                <w:lang w:val="lv-LV"/>
              </w:rPr>
            </w:pPr>
            <w:r w:rsidRPr="00965BD7">
              <w:rPr>
                <w:rFonts w:ascii="Times New Roman" w:hAnsi="Times New Roman" w:cs="Times New Roman"/>
                <w:bCs/>
                <w:szCs w:val="24"/>
                <w:lang w:val="lv-LV"/>
              </w:rPr>
              <w:t>Likums “Par piesārņojumu” nosaka kārtību, kādā ierobežojama gaistošo organisko savienojumu emisija no iekārtām, kurās izmanto organiskos šķīdinātājus. Likumā iekļautas tiesību normas, kas izriet no:</w:t>
            </w:r>
          </w:p>
          <w:p w14:paraId="63D88D34" w14:textId="77777777" w:rsidR="00D25D35" w:rsidRPr="00965BD7" w:rsidRDefault="00D25D35" w:rsidP="00283C85">
            <w:pPr>
              <w:pStyle w:val="ListParagraph"/>
              <w:numPr>
                <w:ilvl w:val="0"/>
                <w:numId w:val="133"/>
              </w:numPr>
              <w:ind w:left="227" w:hanging="227"/>
              <w:contextualSpacing w:val="0"/>
              <w:rPr>
                <w:rFonts w:ascii="Times New Roman" w:hAnsi="Times New Roman" w:cs="Times New Roman"/>
                <w:bCs/>
                <w:szCs w:val="24"/>
                <w:lang w:val="lv-LV"/>
              </w:rPr>
            </w:pPr>
            <w:r w:rsidRPr="00965BD7">
              <w:rPr>
                <w:rFonts w:ascii="Times New Roman" w:hAnsi="Times New Roman" w:cs="Times New Roman"/>
                <w:bCs/>
                <w:szCs w:val="24"/>
                <w:lang w:val="lv-LV"/>
              </w:rPr>
              <w:t>Eiropas Parlamenta un Padomes 2010. gada 24.novembra direktīvas 2010/75/ES par rūpnieciskajām emisijām (piesārņojuma integrēta novēršana un kontrole) (pārstrādāta versija) (Dokuments attiecas uz EEZ);</w:t>
            </w:r>
          </w:p>
          <w:p w14:paraId="20B7D373" w14:textId="05ADE12E" w:rsidR="00D25D35" w:rsidRPr="00965BD7" w:rsidRDefault="00D25D35" w:rsidP="00283C85">
            <w:pPr>
              <w:pStyle w:val="ListParagraph"/>
              <w:numPr>
                <w:ilvl w:val="0"/>
                <w:numId w:val="133"/>
              </w:numPr>
              <w:ind w:left="227" w:hanging="227"/>
              <w:contextualSpacing w:val="0"/>
              <w:rPr>
                <w:rFonts w:ascii="Times New Roman" w:hAnsi="Times New Roman" w:cs="Times New Roman"/>
                <w:bCs/>
                <w:szCs w:val="24"/>
                <w:lang w:val="lv-LV"/>
              </w:rPr>
            </w:pPr>
            <w:r w:rsidRPr="00965BD7">
              <w:rPr>
                <w:rFonts w:ascii="Times New Roman" w:hAnsi="Times New Roman" w:cs="Times New Roman"/>
                <w:bCs/>
                <w:szCs w:val="24"/>
                <w:lang w:val="lv-LV"/>
              </w:rPr>
              <w:t>Eiropas Parlamenta un Padomes 2004. gada 21.aprīļa direktīvas 2004/42/EK, ar ko ierobežo gaistošo organisko savienojumu emisijas, kuras rada organisko šķīdinātāju izmantošana noteiktās krāsās, lakās un transportlīdzekļu galīgās apdares materiālos, un ar ko groza direktīvu 1999/13/EK.</w:t>
            </w:r>
          </w:p>
        </w:tc>
        <w:tc>
          <w:tcPr>
            <w:tcW w:w="4111" w:type="dxa"/>
          </w:tcPr>
          <w:p w14:paraId="473796DA" w14:textId="2DD9AC2C" w:rsidR="00D25D35" w:rsidRPr="00965BD7" w:rsidRDefault="00D25D35" w:rsidP="00726CF7">
            <w:pPr>
              <w:rPr>
                <w:rFonts w:ascii="Times New Roman" w:hAnsi="Times New Roman" w:cs="Times New Roman"/>
                <w:szCs w:val="24"/>
                <w:lang w:val="lv-LV"/>
              </w:rPr>
            </w:pPr>
            <w:r w:rsidRPr="00965BD7">
              <w:rPr>
                <w:rFonts w:ascii="Times New Roman" w:hAnsi="Times New Roman" w:cs="Times New Roman"/>
                <w:bCs/>
                <w:szCs w:val="24"/>
                <w:lang w:val="lv-LV"/>
              </w:rPr>
              <w:t>nosaka pieļaujamo GOS saturu noteiktos produktos – krāsās, lakās un transportlīdzekļu galīgās apdares materiālos. Šiem produktiem jābūt atbilstoši marķētiem. Pieļaujamais saturs bija jāsamazina 2 posmos no 2007.gada un 2010.gada jāievēro vēl zemāks GOS saturs minētajos produktos.</w:t>
            </w:r>
          </w:p>
        </w:tc>
      </w:tr>
      <w:tr w:rsidR="00D25D35" w:rsidRPr="00965BD7" w14:paraId="078E26DE" w14:textId="77777777" w:rsidTr="00D25D35">
        <w:tc>
          <w:tcPr>
            <w:tcW w:w="4531" w:type="dxa"/>
            <w:vMerge/>
          </w:tcPr>
          <w:p w14:paraId="0C5A6B10"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3C9F6A5" w14:textId="52A1C890"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Ministru kabineta noteikumi Nr.186 „Kārtība, kādā ierobežojama gaistošo organisko savienojumu emisija no iekārtām, kurās izmanto organiskos šķīdinātājus”, kas nosaka emisiju robežvērtības, kas jāievēro specifiskām darbībām (24 veidu), kuru veikšanā izmanto noteiktu organisko šķīdinātāju daudzumu. VVD veic šo darbību un emisiju kontroli.</w:t>
            </w:r>
          </w:p>
        </w:tc>
        <w:tc>
          <w:tcPr>
            <w:tcW w:w="4111" w:type="dxa"/>
          </w:tcPr>
          <w:p w14:paraId="7607C366" w14:textId="779AEEAC" w:rsidR="00D25D35" w:rsidRPr="00965BD7" w:rsidRDefault="00D25D35" w:rsidP="00726CF7">
            <w:pPr>
              <w:rPr>
                <w:rFonts w:ascii="Times New Roman" w:hAnsi="Times New Roman" w:cs="Times New Roman"/>
                <w:szCs w:val="24"/>
                <w:lang w:val="lv-LV"/>
              </w:rPr>
            </w:pPr>
          </w:p>
        </w:tc>
      </w:tr>
      <w:tr w:rsidR="00D25D35" w:rsidRPr="00965BD7" w14:paraId="47B5D10E" w14:textId="77777777" w:rsidTr="00D25D35">
        <w:tc>
          <w:tcPr>
            <w:tcW w:w="4531" w:type="dxa"/>
            <w:vMerge/>
          </w:tcPr>
          <w:p w14:paraId="5FBE65F9"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265AFCDE" w14:textId="6CE159B2"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MK noteikumi Nr. 736 2017. gada 12. decembrī (prot. Nr. 61 37. §) “Kārtība, kādā novērš, ierobežo </w:t>
            </w:r>
            <w:r w:rsidRPr="00965BD7">
              <w:rPr>
                <w:rFonts w:ascii="Times New Roman" w:hAnsi="Times New Roman" w:cs="Times New Roman"/>
                <w:bCs/>
                <w:szCs w:val="24"/>
                <w:lang w:val="lv-LV"/>
              </w:rPr>
              <w:lastRenderedPageBreak/>
              <w:t>un kontrolē gaisu piesārņojošo vielu emisiju no sadedzināšanas iekārtām”, kuru mērķis ir samazināt gaisa piesārņojuma radīto negatīvo ietekmi uz cilvēku veselību un vidi, izstrādājot vienotu regulējumu visu sadedzināšanas iekārtu (iekārta, kurā oksidē kurināmo, lai iegūtu enerģiju tālākai izmantošanai) radītā gaisa piesārņojuma samazināšanai un atbilstoša kontroles mehānisma izveidei. Noteikumu projekts paredz noteikt stingrākas gaisu piesārņojošo vielu emisiju prasības vidējas jaudas sadedzināšanas iekārtām (1-50 MW), kā arī noteikt prasības attiecībā uz šo iekārtu darbības uzraudzību.</w:t>
            </w:r>
          </w:p>
        </w:tc>
        <w:tc>
          <w:tcPr>
            <w:tcW w:w="4111" w:type="dxa"/>
          </w:tcPr>
          <w:p w14:paraId="0BA38A59" w14:textId="6635C0AC" w:rsidR="00D25D35" w:rsidRPr="00965BD7" w:rsidRDefault="00D25D35" w:rsidP="00726CF7">
            <w:pPr>
              <w:rPr>
                <w:rFonts w:ascii="Times New Roman" w:hAnsi="Times New Roman" w:cs="Times New Roman"/>
                <w:szCs w:val="24"/>
                <w:lang w:val="lv-LV"/>
              </w:rPr>
            </w:pPr>
          </w:p>
        </w:tc>
      </w:tr>
      <w:tr w:rsidR="00D25D35" w:rsidRPr="00965BD7" w14:paraId="42F6B8B5" w14:textId="77777777" w:rsidTr="00D25D35">
        <w:tc>
          <w:tcPr>
            <w:tcW w:w="4531" w:type="dxa"/>
            <w:vMerge w:val="restart"/>
          </w:tcPr>
          <w:p w14:paraId="1F1F5A2F" w14:textId="349F2E67" w:rsidR="00D25D35" w:rsidRPr="00965BD7" w:rsidRDefault="00D25D35" w:rsidP="00726CF7">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Rīcībpolitika</w:t>
            </w:r>
            <w:r w:rsidRPr="00965BD7">
              <w:rPr>
                <w:rFonts w:ascii="Times New Roman" w:hAnsi="Times New Roman" w:cs="Times New Roman"/>
                <w:b/>
                <w:szCs w:val="24"/>
                <w:lang w:val="lv-LV"/>
              </w:rPr>
              <w:t xml:space="preserve"> SEG emisiju samazināšanai un CO</w:t>
            </w:r>
            <w:r w:rsidRPr="00965BD7">
              <w:rPr>
                <w:rFonts w:ascii="Times New Roman" w:hAnsi="Times New Roman" w:cs="Times New Roman"/>
                <w:b/>
                <w:szCs w:val="24"/>
                <w:vertAlign w:val="subscript"/>
                <w:lang w:val="lv-LV"/>
              </w:rPr>
              <w:t>2</w:t>
            </w:r>
            <w:r w:rsidRPr="00965BD7">
              <w:rPr>
                <w:rFonts w:ascii="Times New Roman" w:hAnsi="Times New Roman" w:cs="Times New Roman"/>
                <w:b/>
                <w:szCs w:val="24"/>
                <w:lang w:val="lv-LV"/>
              </w:rPr>
              <w:t xml:space="preserve"> piesaistes veicināšanai ZIZIMM darbībās</w:t>
            </w:r>
          </w:p>
        </w:tc>
        <w:tc>
          <w:tcPr>
            <w:tcW w:w="5387" w:type="dxa"/>
          </w:tcPr>
          <w:p w14:paraId="10D37E57" w14:textId="24EABA8B"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un atjaunošana aramzemē</w:t>
            </w:r>
          </w:p>
        </w:tc>
        <w:tc>
          <w:tcPr>
            <w:tcW w:w="4111" w:type="dxa"/>
          </w:tcPr>
          <w:p w14:paraId="1CA28B1A" w14:textId="77777777" w:rsidR="00D25D35" w:rsidRPr="00965BD7" w:rsidRDefault="00D25D35" w:rsidP="00726CF7">
            <w:pPr>
              <w:spacing w:before="60" w:after="60"/>
              <w:rPr>
                <w:bCs/>
                <w:sz w:val="20"/>
                <w:szCs w:val="20"/>
                <w:lang w:val="lv-LV"/>
              </w:rPr>
            </w:pPr>
          </w:p>
        </w:tc>
      </w:tr>
      <w:tr w:rsidR="00D25D35" w:rsidRPr="00965BD7" w14:paraId="738FD095" w14:textId="77777777" w:rsidTr="00D25D35">
        <w:tc>
          <w:tcPr>
            <w:tcW w:w="4531" w:type="dxa"/>
            <w:vMerge/>
          </w:tcPr>
          <w:p w14:paraId="42D244CC"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7A6311C" w14:textId="5C03383E"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Atbalsts integrētās dārzkopības ieviešanai un veicināšanai</w:t>
            </w:r>
          </w:p>
        </w:tc>
        <w:tc>
          <w:tcPr>
            <w:tcW w:w="4111" w:type="dxa"/>
          </w:tcPr>
          <w:p w14:paraId="5DB6C155" w14:textId="77777777" w:rsidR="00D25D35" w:rsidRPr="00965BD7" w:rsidRDefault="00D25D35" w:rsidP="00726CF7">
            <w:pPr>
              <w:spacing w:before="60" w:after="60"/>
              <w:rPr>
                <w:bCs/>
                <w:sz w:val="20"/>
                <w:szCs w:val="20"/>
                <w:lang w:val="lv-LV"/>
              </w:rPr>
            </w:pPr>
          </w:p>
        </w:tc>
      </w:tr>
      <w:tr w:rsidR="00D25D35" w:rsidRPr="00965BD7" w14:paraId="6F2F59D7" w14:textId="77777777" w:rsidTr="00D25D35">
        <w:tc>
          <w:tcPr>
            <w:tcW w:w="4531" w:type="dxa"/>
            <w:vMerge/>
          </w:tcPr>
          <w:p w14:paraId="083DD47D"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470D6267" w14:textId="029182E3"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Bioloģiskās daudzveidības uzturēšana zālājos</w:t>
            </w:r>
          </w:p>
        </w:tc>
        <w:tc>
          <w:tcPr>
            <w:tcW w:w="4111" w:type="dxa"/>
          </w:tcPr>
          <w:p w14:paraId="6784DC96" w14:textId="77777777" w:rsidR="00D25D35" w:rsidRPr="00965BD7" w:rsidRDefault="00D25D35" w:rsidP="00726CF7">
            <w:pPr>
              <w:spacing w:before="60" w:after="60"/>
              <w:rPr>
                <w:bCs/>
                <w:sz w:val="20"/>
                <w:szCs w:val="20"/>
                <w:lang w:val="lv-LV"/>
              </w:rPr>
            </w:pPr>
          </w:p>
        </w:tc>
      </w:tr>
      <w:tr w:rsidR="00D25D35" w:rsidRPr="00965BD7" w14:paraId="2C54F766" w14:textId="77777777" w:rsidTr="00D25D35">
        <w:tc>
          <w:tcPr>
            <w:tcW w:w="4531" w:type="dxa"/>
            <w:vMerge/>
          </w:tcPr>
          <w:p w14:paraId="1E1E1455"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02FEBB2D" w14:textId="2356E235"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Pākšaugu audzēšana</w:t>
            </w:r>
          </w:p>
        </w:tc>
        <w:tc>
          <w:tcPr>
            <w:tcW w:w="4111" w:type="dxa"/>
          </w:tcPr>
          <w:p w14:paraId="015F6CF7" w14:textId="77777777" w:rsidR="00D25D35" w:rsidRPr="00965BD7" w:rsidRDefault="00D25D35" w:rsidP="00726CF7">
            <w:pPr>
              <w:spacing w:before="60" w:after="60"/>
              <w:rPr>
                <w:bCs/>
                <w:sz w:val="20"/>
                <w:szCs w:val="20"/>
                <w:lang w:val="lv-LV"/>
              </w:rPr>
            </w:pPr>
          </w:p>
        </w:tc>
      </w:tr>
      <w:tr w:rsidR="00D25D35" w:rsidRPr="00965BD7" w14:paraId="64F2C816" w14:textId="77777777" w:rsidTr="00D25D35">
        <w:tc>
          <w:tcPr>
            <w:tcW w:w="4531" w:type="dxa"/>
            <w:vMerge/>
          </w:tcPr>
          <w:p w14:paraId="2E49E15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6356E9CC" w14:textId="1C81AD78"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meža zemē</w:t>
            </w:r>
          </w:p>
        </w:tc>
        <w:tc>
          <w:tcPr>
            <w:tcW w:w="4111" w:type="dxa"/>
          </w:tcPr>
          <w:p w14:paraId="1854287B" w14:textId="77777777" w:rsidR="00D25D35" w:rsidRPr="00965BD7" w:rsidRDefault="00D25D35" w:rsidP="00726CF7">
            <w:pPr>
              <w:spacing w:before="60" w:after="60"/>
              <w:rPr>
                <w:bCs/>
                <w:sz w:val="20"/>
                <w:szCs w:val="20"/>
                <w:lang w:val="lv-LV"/>
              </w:rPr>
            </w:pPr>
          </w:p>
        </w:tc>
      </w:tr>
      <w:tr w:rsidR="00D25D35" w:rsidRPr="00965BD7" w14:paraId="25C42C51" w14:textId="77777777" w:rsidTr="00D25D35">
        <w:tc>
          <w:tcPr>
            <w:tcW w:w="4531" w:type="dxa"/>
            <w:vMerge/>
          </w:tcPr>
          <w:p w14:paraId="7B9970C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4887C05B" w14:textId="07C3AA10"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Apmežošana 2014.-2020. gadā</w:t>
            </w:r>
          </w:p>
        </w:tc>
        <w:tc>
          <w:tcPr>
            <w:tcW w:w="4111" w:type="dxa"/>
          </w:tcPr>
          <w:p w14:paraId="1AEB42E5" w14:textId="77777777" w:rsidR="00D25D35" w:rsidRPr="00965BD7" w:rsidRDefault="00D25D35" w:rsidP="00726CF7">
            <w:pPr>
              <w:spacing w:before="60" w:after="60"/>
              <w:rPr>
                <w:bCs/>
                <w:sz w:val="20"/>
                <w:szCs w:val="20"/>
                <w:lang w:val="lv-LV"/>
              </w:rPr>
            </w:pPr>
          </w:p>
        </w:tc>
      </w:tr>
      <w:tr w:rsidR="00D25D35" w:rsidRPr="00965BD7" w14:paraId="474FFE03" w14:textId="77777777" w:rsidTr="00D25D35">
        <w:tc>
          <w:tcPr>
            <w:tcW w:w="4531" w:type="dxa"/>
            <w:vMerge/>
          </w:tcPr>
          <w:p w14:paraId="29149150"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517669C" w14:textId="785FEB05"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Apmežošana 2007.-2013. gadā</w:t>
            </w:r>
          </w:p>
        </w:tc>
        <w:tc>
          <w:tcPr>
            <w:tcW w:w="4111" w:type="dxa"/>
          </w:tcPr>
          <w:p w14:paraId="3DC81928" w14:textId="77777777" w:rsidR="00D25D35" w:rsidRPr="00965BD7" w:rsidRDefault="00D25D35" w:rsidP="00726CF7">
            <w:pPr>
              <w:spacing w:before="60" w:after="60"/>
              <w:rPr>
                <w:bCs/>
                <w:sz w:val="20"/>
                <w:szCs w:val="20"/>
                <w:lang w:val="lv-LV"/>
              </w:rPr>
            </w:pPr>
          </w:p>
        </w:tc>
      </w:tr>
      <w:tr w:rsidR="00D25D35" w:rsidRPr="00965BD7" w14:paraId="79EC9045" w14:textId="77777777" w:rsidTr="00D25D35">
        <w:tc>
          <w:tcPr>
            <w:tcW w:w="4531" w:type="dxa"/>
            <w:vMerge/>
          </w:tcPr>
          <w:p w14:paraId="567E221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3FEDF5E3" w14:textId="12C81C66"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Meža ekosistēmu noturības un ekoloģiskās vērtības uzlabošana</w:t>
            </w:r>
          </w:p>
        </w:tc>
        <w:tc>
          <w:tcPr>
            <w:tcW w:w="4111" w:type="dxa"/>
          </w:tcPr>
          <w:p w14:paraId="26FEEE24" w14:textId="77777777" w:rsidR="00D25D35" w:rsidRPr="00965BD7" w:rsidRDefault="00D25D35" w:rsidP="00726CF7">
            <w:pPr>
              <w:spacing w:before="60" w:after="60"/>
              <w:rPr>
                <w:bCs/>
                <w:sz w:val="20"/>
                <w:szCs w:val="20"/>
                <w:lang w:val="lv-LV"/>
              </w:rPr>
            </w:pPr>
          </w:p>
        </w:tc>
      </w:tr>
      <w:tr w:rsidR="00D25D35" w:rsidRPr="00965BD7" w14:paraId="6454F8CC" w14:textId="77777777" w:rsidTr="00D25D35">
        <w:tc>
          <w:tcPr>
            <w:tcW w:w="4531" w:type="dxa"/>
            <w:vMerge/>
          </w:tcPr>
          <w:p w14:paraId="40A58B2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9D76FFE" w14:textId="21F6390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Dabas katastrofās iznīcinātu mežaudžu atjaunošana</w:t>
            </w:r>
          </w:p>
        </w:tc>
        <w:tc>
          <w:tcPr>
            <w:tcW w:w="4111" w:type="dxa"/>
          </w:tcPr>
          <w:p w14:paraId="48F0388B" w14:textId="77777777" w:rsidR="00D25D35" w:rsidRPr="00965BD7" w:rsidRDefault="00D25D35" w:rsidP="00726CF7">
            <w:pPr>
              <w:spacing w:before="60" w:after="60"/>
              <w:rPr>
                <w:bCs/>
                <w:sz w:val="20"/>
                <w:szCs w:val="20"/>
                <w:lang w:val="lv-LV"/>
              </w:rPr>
            </w:pPr>
          </w:p>
        </w:tc>
      </w:tr>
      <w:tr w:rsidR="00D25D35" w:rsidRPr="00965BD7" w14:paraId="34E149C1" w14:textId="77777777" w:rsidTr="00D25D35">
        <w:tc>
          <w:tcPr>
            <w:tcW w:w="4531" w:type="dxa"/>
            <w:vMerge/>
          </w:tcPr>
          <w:p w14:paraId="4F54AAD6"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E2AAD6E" w14:textId="7DF61E9F"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Jaunu augļu dārzu izveidošana</w:t>
            </w:r>
          </w:p>
        </w:tc>
        <w:tc>
          <w:tcPr>
            <w:tcW w:w="4111" w:type="dxa"/>
          </w:tcPr>
          <w:p w14:paraId="464C3F0F" w14:textId="77777777" w:rsidR="00D25D35" w:rsidRPr="00965BD7" w:rsidRDefault="00D25D35" w:rsidP="00726CF7">
            <w:pPr>
              <w:spacing w:before="60" w:after="60"/>
              <w:rPr>
                <w:bCs/>
                <w:sz w:val="20"/>
                <w:szCs w:val="20"/>
                <w:lang w:val="lv-LV"/>
              </w:rPr>
            </w:pPr>
          </w:p>
        </w:tc>
      </w:tr>
      <w:tr w:rsidR="00D25D35" w:rsidRPr="00965BD7" w14:paraId="17205578" w14:textId="77777777" w:rsidTr="00D25D35">
        <w:tc>
          <w:tcPr>
            <w:tcW w:w="4531" w:type="dxa"/>
            <w:vMerge/>
          </w:tcPr>
          <w:p w14:paraId="635718B3"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F5B88E9" w14:textId="6601C799"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un atjaunošana aramzemē</w:t>
            </w:r>
          </w:p>
        </w:tc>
        <w:tc>
          <w:tcPr>
            <w:tcW w:w="4111" w:type="dxa"/>
          </w:tcPr>
          <w:p w14:paraId="15A00C1E" w14:textId="77777777" w:rsidR="00D25D35" w:rsidRPr="00965BD7" w:rsidRDefault="00D25D35" w:rsidP="00726CF7">
            <w:pPr>
              <w:spacing w:before="60" w:after="60"/>
              <w:rPr>
                <w:bCs/>
                <w:sz w:val="20"/>
                <w:szCs w:val="20"/>
                <w:lang w:val="lv-LV"/>
              </w:rPr>
            </w:pPr>
          </w:p>
        </w:tc>
      </w:tr>
      <w:tr w:rsidR="00D25D35" w:rsidRPr="00965BD7" w14:paraId="1F8C6BEB" w14:textId="77777777" w:rsidTr="00D25D35">
        <w:tc>
          <w:tcPr>
            <w:tcW w:w="4531" w:type="dxa"/>
            <w:vMerge/>
          </w:tcPr>
          <w:p w14:paraId="7D60088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68346987" w14:textId="6D5332F0"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Pasēja ziemāju sējumos</w:t>
            </w:r>
          </w:p>
        </w:tc>
        <w:tc>
          <w:tcPr>
            <w:tcW w:w="4111" w:type="dxa"/>
          </w:tcPr>
          <w:p w14:paraId="3DC14054" w14:textId="77777777" w:rsidR="00D25D35" w:rsidRPr="00965BD7" w:rsidRDefault="00D25D35" w:rsidP="00726CF7">
            <w:pPr>
              <w:spacing w:before="60" w:after="60"/>
              <w:rPr>
                <w:bCs/>
                <w:sz w:val="20"/>
                <w:szCs w:val="20"/>
                <w:lang w:val="lv-LV"/>
              </w:rPr>
            </w:pPr>
          </w:p>
        </w:tc>
      </w:tr>
      <w:tr w:rsidR="00D25D35" w:rsidRPr="00965BD7" w14:paraId="344C5F8A" w14:textId="77777777" w:rsidTr="00D25D35">
        <w:tc>
          <w:tcPr>
            <w:tcW w:w="4531" w:type="dxa"/>
            <w:vMerge/>
          </w:tcPr>
          <w:p w14:paraId="65EAC268"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A30EE0A" w14:textId="2BD612C8"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Pākšaugu audzēšanas ieviešana konvencionālajā kultūraugu rotācijā</w:t>
            </w:r>
          </w:p>
        </w:tc>
        <w:tc>
          <w:tcPr>
            <w:tcW w:w="4111" w:type="dxa"/>
          </w:tcPr>
          <w:p w14:paraId="4228E2CE" w14:textId="77777777" w:rsidR="00D25D35" w:rsidRPr="00965BD7" w:rsidRDefault="00D25D35" w:rsidP="00726CF7">
            <w:pPr>
              <w:spacing w:before="60" w:after="60"/>
              <w:rPr>
                <w:bCs/>
                <w:sz w:val="20"/>
                <w:szCs w:val="20"/>
                <w:lang w:val="lv-LV"/>
              </w:rPr>
            </w:pPr>
          </w:p>
        </w:tc>
      </w:tr>
      <w:tr w:rsidR="00D25D35" w:rsidRPr="00965BD7" w14:paraId="369A8829" w14:textId="77777777" w:rsidTr="00D25D35">
        <w:tc>
          <w:tcPr>
            <w:tcW w:w="4531" w:type="dxa"/>
            <w:vMerge/>
          </w:tcPr>
          <w:p w14:paraId="7A3D636D"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01C3CB1" w14:textId="4E9B4438"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Zaļā papuve pirms ziemāju sējumiem</w:t>
            </w:r>
          </w:p>
        </w:tc>
        <w:tc>
          <w:tcPr>
            <w:tcW w:w="4111" w:type="dxa"/>
          </w:tcPr>
          <w:p w14:paraId="765121F2" w14:textId="77777777" w:rsidR="00D25D35" w:rsidRPr="00965BD7" w:rsidRDefault="00D25D35" w:rsidP="00726CF7">
            <w:pPr>
              <w:spacing w:before="60" w:after="60"/>
              <w:rPr>
                <w:bCs/>
                <w:sz w:val="20"/>
                <w:szCs w:val="20"/>
                <w:lang w:val="lv-LV"/>
              </w:rPr>
            </w:pPr>
          </w:p>
        </w:tc>
      </w:tr>
      <w:tr w:rsidR="00D25D35" w:rsidRPr="00965BD7" w14:paraId="0E5DA6C4" w14:textId="77777777" w:rsidTr="00D25D35">
        <w:tc>
          <w:tcPr>
            <w:tcW w:w="4531" w:type="dxa"/>
            <w:vMerge/>
          </w:tcPr>
          <w:p w14:paraId="21B090A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0DA95306" w14:textId="3594EFB6"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Dabas katastrofās iznīcinātu mežaudžu atjaunošana</w:t>
            </w:r>
          </w:p>
        </w:tc>
        <w:tc>
          <w:tcPr>
            <w:tcW w:w="4111" w:type="dxa"/>
          </w:tcPr>
          <w:p w14:paraId="33E2BB30" w14:textId="77777777" w:rsidR="00D25D35" w:rsidRPr="00965BD7" w:rsidRDefault="00D25D35" w:rsidP="00726CF7">
            <w:pPr>
              <w:spacing w:before="60" w:after="60"/>
              <w:rPr>
                <w:bCs/>
                <w:sz w:val="20"/>
                <w:szCs w:val="20"/>
                <w:lang w:val="lv-LV"/>
              </w:rPr>
            </w:pPr>
          </w:p>
        </w:tc>
      </w:tr>
      <w:tr w:rsidR="00D25D35" w:rsidRPr="00965BD7" w14:paraId="598A7660" w14:textId="77777777" w:rsidTr="00D25D35">
        <w:tc>
          <w:tcPr>
            <w:tcW w:w="4531" w:type="dxa"/>
            <w:vMerge/>
          </w:tcPr>
          <w:p w14:paraId="698863AB"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306490BB" w14:textId="2DBCEB0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Jaunaudžu kopšanas cirte</w:t>
            </w:r>
          </w:p>
        </w:tc>
        <w:tc>
          <w:tcPr>
            <w:tcW w:w="4111" w:type="dxa"/>
          </w:tcPr>
          <w:p w14:paraId="1D112835" w14:textId="77777777" w:rsidR="00D25D35" w:rsidRPr="00965BD7" w:rsidRDefault="00D25D35" w:rsidP="00726CF7">
            <w:pPr>
              <w:spacing w:before="60" w:after="60"/>
              <w:rPr>
                <w:bCs/>
                <w:sz w:val="20"/>
                <w:szCs w:val="20"/>
                <w:lang w:val="lv-LV"/>
              </w:rPr>
            </w:pPr>
          </w:p>
        </w:tc>
      </w:tr>
      <w:tr w:rsidR="00D25D35" w:rsidRPr="00965BD7" w14:paraId="5EC7B7EC" w14:textId="77777777" w:rsidTr="00D25D35">
        <w:tc>
          <w:tcPr>
            <w:tcW w:w="4531" w:type="dxa"/>
            <w:vMerge/>
          </w:tcPr>
          <w:p w14:paraId="05E7F96B"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F58365E" w14:textId="4390C062"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meža zemē</w:t>
            </w:r>
          </w:p>
        </w:tc>
        <w:tc>
          <w:tcPr>
            <w:tcW w:w="4111" w:type="dxa"/>
          </w:tcPr>
          <w:p w14:paraId="662A8C56" w14:textId="77777777" w:rsidR="00D25D35" w:rsidRPr="00965BD7" w:rsidRDefault="00D25D35" w:rsidP="00726CF7">
            <w:pPr>
              <w:spacing w:before="60" w:after="60"/>
              <w:rPr>
                <w:bCs/>
                <w:sz w:val="20"/>
                <w:szCs w:val="20"/>
                <w:lang w:val="lv-LV"/>
              </w:rPr>
            </w:pPr>
          </w:p>
        </w:tc>
      </w:tr>
      <w:tr w:rsidR="00D25D35" w:rsidRPr="00965BD7" w14:paraId="3E741CB3" w14:textId="77777777" w:rsidTr="00D25D35">
        <w:tc>
          <w:tcPr>
            <w:tcW w:w="4531" w:type="dxa"/>
            <w:vMerge/>
          </w:tcPr>
          <w:p w14:paraId="6D6609D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E94C8FB" w14:textId="233157D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Meža ieaudzēšana un audzes kvalitātes uzlabošana dabiski apmežojušās platībās</w:t>
            </w:r>
          </w:p>
        </w:tc>
        <w:tc>
          <w:tcPr>
            <w:tcW w:w="4111" w:type="dxa"/>
          </w:tcPr>
          <w:p w14:paraId="2CEF4ED4" w14:textId="77777777" w:rsidR="00D25D35" w:rsidRPr="00965BD7" w:rsidRDefault="00D25D35" w:rsidP="00726CF7">
            <w:pPr>
              <w:spacing w:before="60" w:after="60"/>
              <w:rPr>
                <w:bCs/>
                <w:sz w:val="20"/>
                <w:szCs w:val="20"/>
                <w:lang w:val="lv-LV"/>
              </w:rPr>
            </w:pPr>
          </w:p>
        </w:tc>
      </w:tr>
    </w:tbl>
    <w:p w14:paraId="6DC2FBBB" w14:textId="77777777" w:rsidR="00AB46B9" w:rsidRPr="008B628A" w:rsidRDefault="00AB46B9" w:rsidP="00AB46B9">
      <w:pPr>
        <w:rPr>
          <w:rFonts w:ascii="Times New Roman" w:hAnsi="Times New Roman" w:cs="Times New Roman"/>
          <w:sz w:val="22"/>
        </w:rPr>
      </w:pPr>
    </w:p>
    <w:p w14:paraId="0979E433" w14:textId="77777777" w:rsidR="00AB46B9" w:rsidRPr="008B628A" w:rsidRDefault="00AB46B9" w:rsidP="00AB46B9">
      <w:pPr>
        <w:rPr>
          <w:rFonts w:ascii="Times New Roman" w:hAnsi="Times New Roman" w:cs="Times New Roman"/>
          <w:sz w:val="22"/>
        </w:rPr>
        <w:sectPr w:rsidR="00AB46B9" w:rsidRPr="008B628A" w:rsidSect="00B35DDE">
          <w:headerReference w:type="even" r:id="rId74"/>
          <w:headerReference w:type="default" r:id="rId75"/>
          <w:footerReference w:type="default" r:id="rId76"/>
          <w:headerReference w:type="first" r:id="rId77"/>
          <w:footerReference w:type="first" r:id="rId78"/>
          <w:pgSz w:w="16838" w:h="11906" w:orient="landscape"/>
          <w:pgMar w:top="1440" w:right="1440" w:bottom="1440" w:left="1440" w:header="567" w:footer="567" w:gutter="0"/>
          <w:cols w:space="708"/>
          <w:titlePg/>
          <w:docGrid w:linePitch="360"/>
        </w:sectPr>
      </w:pPr>
    </w:p>
    <w:p w14:paraId="0302B2E6" w14:textId="77777777" w:rsidR="00AB46B9" w:rsidRPr="007356BB" w:rsidRDefault="00AB46B9" w:rsidP="007356BB">
      <w:pPr>
        <w:pStyle w:val="VirsrkastsOtrais"/>
        <w:numPr>
          <w:ilvl w:val="0"/>
          <w:numId w:val="0"/>
        </w:numPr>
        <w:ind w:left="142"/>
        <w:jc w:val="right"/>
        <w:rPr>
          <w:rFonts w:ascii="Times New Roman" w:hAnsi="Times New Roman" w:cs="Times New Roman"/>
        </w:rPr>
      </w:pPr>
      <w:bookmarkStart w:id="486" w:name="_Toc531909881"/>
      <w:bookmarkStart w:id="487" w:name="_Toc462951337"/>
      <w:bookmarkStart w:id="488" w:name="_Hlk532833657"/>
      <w:r w:rsidRPr="007356BB">
        <w:rPr>
          <w:rFonts w:ascii="Times New Roman" w:hAnsi="Times New Roman" w:cs="Times New Roman"/>
        </w:rPr>
        <w:lastRenderedPageBreak/>
        <w:t>Latvijas Nacionālais enerģētikas un klimata plāns 2030. gadam</w:t>
      </w:r>
      <w:bookmarkEnd w:id="486"/>
    </w:p>
    <w:p w14:paraId="1995D39C" w14:textId="77777777" w:rsidR="00AB46B9" w:rsidRPr="007356BB" w:rsidRDefault="00AB46B9" w:rsidP="005B0D53">
      <w:pPr>
        <w:pStyle w:val="Heading1"/>
        <w:numPr>
          <w:ilvl w:val="0"/>
          <w:numId w:val="0"/>
        </w:numPr>
        <w:ind w:left="709"/>
        <w:jc w:val="right"/>
      </w:pPr>
      <w:bookmarkStart w:id="489" w:name="_Toc531909882"/>
      <w:bookmarkStart w:id="490" w:name="_Toc532910031"/>
      <w:r w:rsidRPr="007356BB">
        <w:t>4.pielikums</w:t>
      </w:r>
      <w:bookmarkEnd w:id="489"/>
      <w:bookmarkEnd w:id="490"/>
    </w:p>
    <w:p w14:paraId="23E3C80A" w14:textId="04235784" w:rsidR="00AB46B9" w:rsidRPr="008B628A" w:rsidRDefault="00AB46B9" w:rsidP="005B0D53">
      <w:pPr>
        <w:pStyle w:val="Heading1"/>
        <w:numPr>
          <w:ilvl w:val="0"/>
          <w:numId w:val="0"/>
        </w:numPr>
        <w:ind w:left="709"/>
        <w:jc w:val="center"/>
        <w:rPr>
          <w:rFonts w:eastAsia="Times New Roman"/>
          <w:iCs/>
          <w:szCs w:val="28"/>
        </w:rPr>
      </w:pPr>
      <w:bookmarkStart w:id="491" w:name="_Ref527376894"/>
      <w:bookmarkStart w:id="492" w:name="_Toc531333147"/>
      <w:bookmarkStart w:id="493" w:name="_Toc532910032"/>
      <w:r w:rsidRPr="008B628A">
        <w:rPr>
          <w:rFonts w:eastAsia="Times New Roman"/>
          <w:iCs/>
          <w:szCs w:val="28"/>
        </w:rPr>
        <w:t>Pārskats par</w:t>
      </w:r>
      <w:r w:rsidR="00232BFE">
        <w:rPr>
          <w:rFonts w:eastAsia="Times New Roman"/>
          <w:iCs/>
          <w:szCs w:val="28"/>
        </w:rPr>
        <w:t xml:space="preserve"> </w:t>
      </w:r>
      <w:bookmarkStart w:id="494" w:name="_Hlk532751203"/>
      <w:r w:rsidR="00923869">
        <w:rPr>
          <w:rFonts w:eastAsia="Times New Roman"/>
          <w:iCs/>
          <w:szCs w:val="28"/>
        </w:rPr>
        <w:t xml:space="preserve">identificētajiem </w:t>
      </w:r>
      <w:r w:rsidR="00232BFE">
        <w:rPr>
          <w:rFonts w:eastAsia="Times New Roman"/>
          <w:iCs/>
          <w:szCs w:val="28"/>
        </w:rPr>
        <w:t xml:space="preserve">potenciālajiem un šobrīd diskusijā esošajiem </w:t>
      </w:r>
      <w:r w:rsidRPr="008B628A">
        <w:rPr>
          <w:rFonts w:eastAsia="Times New Roman"/>
          <w:iCs/>
          <w:szCs w:val="28"/>
        </w:rPr>
        <w:t>jauniem pasākumiem Plānā noteikto mērķu izpildei</w:t>
      </w:r>
      <w:bookmarkEnd w:id="491"/>
      <w:bookmarkEnd w:id="494"/>
      <w:r w:rsidRPr="008B628A">
        <w:rPr>
          <w:rFonts w:eastAsia="Times New Roman"/>
          <w:iCs/>
          <w:szCs w:val="28"/>
          <w:vertAlign w:val="superscript"/>
        </w:rPr>
        <w:footnoteReference w:id="282"/>
      </w:r>
      <w:bookmarkEnd w:id="492"/>
      <w:bookmarkEnd w:id="493"/>
      <w:r w:rsidRPr="008B628A">
        <w:rPr>
          <w:rFonts w:eastAsia="Times New Roman"/>
          <w:iCs/>
          <w:szCs w:val="28"/>
        </w:rPr>
        <w:t xml:space="preserve"> </w:t>
      </w:r>
      <w:bookmarkEnd w:id="487"/>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091"/>
        <w:gridCol w:w="1417"/>
        <w:gridCol w:w="2835"/>
        <w:gridCol w:w="1985"/>
        <w:gridCol w:w="2417"/>
      </w:tblGrid>
      <w:tr w:rsidR="00AB46B9" w:rsidRPr="00225CC0" w14:paraId="2777563D" w14:textId="77777777" w:rsidTr="002653B0">
        <w:trPr>
          <w:trHeight w:val="20"/>
          <w:tblHeader/>
          <w:jc w:val="center"/>
        </w:trPr>
        <w:tc>
          <w:tcPr>
            <w:tcW w:w="6091" w:type="dxa"/>
            <w:tcBorders>
              <w:top w:val="single" w:sz="4" w:space="0" w:color="auto"/>
              <w:left w:val="single" w:sz="4" w:space="0" w:color="auto"/>
              <w:bottom w:val="single" w:sz="4" w:space="0" w:color="auto"/>
              <w:right w:val="single" w:sz="4" w:space="0" w:color="auto"/>
              <w:tr2bl w:val="single" w:sz="4" w:space="0" w:color="auto"/>
            </w:tcBorders>
            <w:shd w:val="clear" w:color="auto" w:fill="F2F2F2" w:themeFill="background1" w:themeFillShade="F2"/>
            <w:tcMar>
              <w:top w:w="0" w:type="dxa"/>
              <w:left w:w="28" w:type="dxa"/>
              <w:bottom w:w="0" w:type="dxa"/>
              <w:right w:w="28" w:type="dxa"/>
            </w:tcMar>
            <w:vAlign w:val="center"/>
          </w:tcPr>
          <w:p w14:paraId="747DF33C" w14:textId="77777777" w:rsidR="00AB46B9" w:rsidRPr="00225CC0" w:rsidRDefault="00AB46B9" w:rsidP="00225CC0">
            <w:pPr>
              <w:spacing w:after="0" w:line="240" w:lineRule="auto"/>
              <w:ind w:left="247"/>
              <w:rPr>
                <w:rFonts w:ascii="Times New Roman" w:eastAsia="Calibri" w:hAnsi="Times New Roman" w:cs="Times New Roman"/>
                <w:b/>
                <w:sz w:val="22"/>
              </w:rPr>
            </w:pPr>
            <w:r w:rsidRPr="00225CC0">
              <w:rPr>
                <w:rFonts w:ascii="Times New Roman" w:eastAsia="Calibri" w:hAnsi="Times New Roman" w:cs="Times New Roman"/>
                <w:b/>
                <w:sz w:val="22"/>
              </w:rPr>
              <w:t>Rīcībpolitika</w:t>
            </w:r>
          </w:p>
          <w:p w14:paraId="1EE92934" w14:textId="77777777" w:rsidR="00AB46B9" w:rsidRPr="00225CC0" w:rsidRDefault="00AB46B9" w:rsidP="00225CC0">
            <w:pPr>
              <w:spacing w:after="0" w:line="240" w:lineRule="auto"/>
              <w:jc w:val="center"/>
              <w:rPr>
                <w:rFonts w:ascii="Times New Roman" w:eastAsia="Calibri" w:hAnsi="Times New Roman" w:cs="Times New Roman"/>
                <w:b/>
                <w:sz w:val="22"/>
              </w:rPr>
            </w:pPr>
          </w:p>
          <w:p w14:paraId="71DE72A6" w14:textId="77777777" w:rsidR="00AB46B9" w:rsidRPr="00225CC0" w:rsidRDefault="00AB46B9" w:rsidP="00225CC0">
            <w:pPr>
              <w:spacing w:after="0" w:line="240" w:lineRule="auto"/>
              <w:ind w:right="399"/>
              <w:jc w:val="right"/>
              <w:rPr>
                <w:rFonts w:ascii="Times New Roman" w:eastAsia="Calibri" w:hAnsi="Times New Roman" w:cs="Times New Roman"/>
                <w:b/>
                <w:sz w:val="22"/>
              </w:rPr>
            </w:pPr>
            <w:r w:rsidRPr="00225CC0">
              <w:rPr>
                <w:rFonts w:ascii="Times New Roman" w:eastAsia="Calibri" w:hAnsi="Times New Roman" w:cs="Times New Roman"/>
                <w:b/>
                <w:sz w:val="22"/>
              </w:rPr>
              <w:t>Pasākumi</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1446F"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Atbildīgā(s) institūcija(s)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460B5986" w14:textId="656CE35C" w:rsidR="00AB46B9" w:rsidRPr="00225CC0" w:rsidRDefault="002653B0" w:rsidP="00225CC0">
            <w:pPr>
              <w:spacing w:after="0" w:line="240" w:lineRule="auto"/>
              <w:jc w:val="center"/>
              <w:rPr>
                <w:rFonts w:ascii="Times New Roman" w:eastAsia="Calibri" w:hAnsi="Times New Roman" w:cs="Times New Roman"/>
                <w:b/>
                <w:sz w:val="22"/>
              </w:rPr>
            </w:pPr>
            <w:r>
              <w:rPr>
                <w:rFonts w:ascii="Times New Roman" w:eastAsia="Calibri" w:hAnsi="Times New Roman" w:cs="Times New Roman"/>
                <w:b/>
                <w:sz w:val="22"/>
              </w:rPr>
              <w:t>Pasākuma īstenošanai n</w:t>
            </w:r>
            <w:r w:rsidR="00AB46B9" w:rsidRPr="00225CC0">
              <w:rPr>
                <w:rFonts w:ascii="Times New Roman" w:eastAsia="Calibri" w:hAnsi="Times New Roman" w:cs="Times New Roman"/>
                <w:b/>
                <w:sz w:val="22"/>
              </w:rPr>
              <w:t>epieciešamais finansējums</w:t>
            </w:r>
            <w:r w:rsidRPr="002653B0">
              <w:rPr>
                <w:rStyle w:val="FootnoteReference"/>
                <w:rFonts w:ascii="Times New Roman" w:eastAsia="Calibri" w:hAnsi="Times New Roman" w:cs="Times New Roman"/>
                <w:sz w:val="22"/>
              </w:rPr>
              <w:footnoteReference w:id="283"/>
            </w:r>
            <w:r w:rsidR="00E80655">
              <w:rPr>
                <w:rFonts w:ascii="Times New Roman" w:eastAsia="Calibri" w:hAnsi="Times New Roman" w:cs="Times New Roman"/>
                <w:b/>
                <w:sz w:val="22"/>
              </w:rPr>
              <w:t xml:space="preserve"> un iespējamie finansējuma avoti</w:t>
            </w:r>
            <w:r>
              <w:rPr>
                <w:rStyle w:val="FootnoteReference"/>
                <w:rFonts w:ascii="Times New Roman" w:eastAsia="Calibri" w:hAnsi="Times New Roman" w:cs="Times New Roman"/>
                <w:b/>
                <w:sz w:val="22"/>
              </w:rPr>
              <w:footnoteReference w:id="284"/>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76459E"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Piedāvātie rezultatīvie rādītāji</w:t>
            </w:r>
          </w:p>
        </w:tc>
        <w:tc>
          <w:tcPr>
            <w:tcW w:w="2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2059935F"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Ietekmes izvērtējums</w:t>
            </w:r>
          </w:p>
        </w:tc>
      </w:tr>
      <w:tr w:rsidR="00AB46B9" w:rsidRPr="00225CC0" w14:paraId="45037484"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vAlign w:val="center"/>
            <w:hideMark/>
          </w:tcPr>
          <w:p w14:paraId="28343AE1" w14:textId="5F80E170"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1</w:t>
            </w:r>
            <w:r w:rsidR="007B4F8F">
              <w:rPr>
                <w:rFonts w:ascii="Times New Roman" w:eastAsia="Calibri" w:hAnsi="Times New Roman" w:cs="Times New Roman"/>
                <w:b/>
                <w:szCs w:val="24"/>
              </w:rPr>
              <w:t>.</w:t>
            </w:r>
            <w:r w:rsidRPr="00225CC0">
              <w:rPr>
                <w:rFonts w:ascii="Times New Roman" w:eastAsia="Calibri" w:hAnsi="Times New Roman" w:cs="Times New Roman"/>
                <w:b/>
                <w:szCs w:val="24"/>
              </w:rPr>
              <w:t xml:space="preserve"> Rīcībpolitika AER izmantošanai elektr</w:t>
            </w:r>
            <w:r w:rsidR="00E80655">
              <w:rPr>
                <w:rFonts w:ascii="Times New Roman" w:eastAsia="Calibri" w:hAnsi="Times New Roman" w:cs="Times New Roman"/>
                <w:b/>
                <w:szCs w:val="24"/>
              </w:rPr>
              <w:t>oenerģijas</w:t>
            </w:r>
            <w:r w:rsidRPr="00225CC0">
              <w:rPr>
                <w:rFonts w:ascii="Times New Roman" w:eastAsia="Calibri" w:hAnsi="Times New Roman" w:cs="Times New Roman"/>
                <w:b/>
                <w:szCs w:val="24"/>
              </w:rPr>
              <w:t xml:space="preserve"> ražošanā</w:t>
            </w:r>
          </w:p>
          <w:p w14:paraId="76C37F9C" w14:textId="77777777" w:rsidR="00AB46B9" w:rsidRPr="00225CC0" w:rsidRDefault="00AB46B9" w:rsidP="00225CC0">
            <w:pPr>
              <w:spacing w:before="60" w:after="60" w:line="240" w:lineRule="auto"/>
              <w:rPr>
                <w:rFonts w:ascii="Times New Roman" w:eastAsia="Calibri" w:hAnsi="Times New Roman" w:cs="Times New Roman"/>
                <w:b/>
                <w:i/>
                <w:szCs w:val="24"/>
              </w:rPr>
            </w:pPr>
            <w:r w:rsidRPr="00225CC0">
              <w:rPr>
                <w:rFonts w:ascii="Times New Roman" w:eastAsia="Calibri" w:hAnsi="Times New Roman" w:cs="Times New Roman"/>
                <w:i/>
                <w:szCs w:val="24"/>
              </w:rPr>
              <w:t>dekarbonizācija; energoefektivitāte; enerģētiskā drošība</w:t>
            </w:r>
          </w:p>
        </w:tc>
      </w:tr>
      <w:tr w:rsidR="005F4AC6" w:rsidRPr="00225CC0" w14:paraId="3A29136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7D67AA" w14:textId="5AE11B5F" w:rsidR="005F4AC6" w:rsidRPr="00225CC0" w:rsidRDefault="005F4AC6" w:rsidP="005F4AC6">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1</w:t>
            </w:r>
            <w:r w:rsidR="007B4F8F">
              <w:rPr>
                <w:rFonts w:ascii="Times New Roman" w:eastAsia="Calibri" w:hAnsi="Times New Roman" w:cs="Times New Roman"/>
                <w:b/>
                <w:szCs w:val="24"/>
                <w:u w:val="single"/>
              </w:rPr>
              <w:t>.1.</w:t>
            </w:r>
            <w:r>
              <w:rPr>
                <w:rFonts w:ascii="Times New Roman" w:eastAsia="Calibri" w:hAnsi="Times New Roman" w:cs="Times New Roman"/>
                <w:b/>
                <w:szCs w:val="24"/>
                <w:u w:val="single"/>
              </w:rPr>
              <w:t xml:space="preserve"> ES finansējuma </w:t>
            </w:r>
            <w:r w:rsidRPr="00225CC0">
              <w:rPr>
                <w:rFonts w:ascii="Times New Roman" w:eastAsia="Calibri" w:hAnsi="Times New Roman" w:cs="Times New Roman"/>
                <w:b/>
                <w:szCs w:val="24"/>
                <w:u w:val="single"/>
              </w:rPr>
              <w:t>papildu aktivitātes:</w:t>
            </w:r>
          </w:p>
          <w:p w14:paraId="3D5AC5A3" w14:textId="210904E4" w:rsidR="005F4AC6" w:rsidRPr="002A72BD"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1.1.1. </w:t>
            </w:r>
            <w:r w:rsidR="005F4AC6" w:rsidRPr="00225CC0">
              <w:rPr>
                <w:rFonts w:ascii="Times New Roman" w:hAnsi="Times New Roman" w:cs="Times New Roman"/>
                <w:szCs w:val="24"/>
              </w:rPr>
              <w:t>kopīgi</w:t>
            </w:r>
            <w:r w:rsidR="005F4AC6">
              <w:rPr>
                <w:rFonts w:ascii="Times New Roman" w:hAnsi="Times New Roman" w:cs="Times New Roman"/>
                <w:szCs w:val="24"/>
              </w:rPr>
              <w:t xml:space="preserve"> īstenojamo projektu īstenošana</w:t>
            </w:r>
            <w:r w:rsidR="005F4AC6" w:rsidRPr="00225CC0">
              <w:rPr>
                <w:rFonts w:ascii="Times New Roman" w:hAnsi="Times New Roman" w:cs="Times New Roman"/>
                <w:szCs w:val="24"/>
              </w:rPr>
              <w:t xml:space="preserve"> atkrastes vēja enerģijas ieviešanai (sadarbībā ar L</w:t>
            </w:r>
            <w:r w:rsidR="006366D6">
              <w:rPr>
                <w:rFonts w:ascii="Times New Roman" w:hAnsi="Times New Roman" w:cs="Times New Roman"/>
                <w:szCs w:val="24"/>
              </w:rPr>
              <w:t>ietuvu</w:t>
            </w:r>
            <w:r w:rsidR="005F4AC6" w:rsidRPr="00225CC0">
              <w:rPr>
                <w:rFonts w:ascii="Times New Roman" w:hAnsi="Times New Roman" w:cs="Times New Roman"/>
                <w:szCs w:val="24"/>
              </w:rPr>
              <w:t xml:space="preserve"> / </w:t>
            </w:r>
            <w:r w:rsidR="006366D6">
              <w:rPr>
                <w:rFonts w:ascii="Times New Roman" w:hAnsi="Times New Roman" w:cs="Times New Roman"/>
                <w:szCs w:val="24"/>
              </w:rPr>
              <w:t>Igauniju</w:t>
            </w:r>
            <w:r w:rsidR="005F4AC6" w:rsidRPr="00225CC0">
              <w:rPr>
                <w:rFonts w:ascii="Times New Roman" w:hAnsi="Times New Roman" w:cs="Times New Roman"/>
                <w:szCs w:val="24"/>
              </w:rPr>
              <w:t>)</w:t>
            </w:r>
          </w:p>
          <w:p w14:paraId="00109393" w14:textId="56184EF0" w:rsidR="005F4AC6" w:rsidRPr="005F4AC6"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1.1.2. </w:t>
            </w:r>
            <w:r w:rsidR="005F4AC6">
              <w:rPr>
                <w:rFonts w:ascii="Times New Roman" w:hAnsi="Times New Roman" w:cs="Times New Roman"/>
                <w:szCs w:val="24"/>
              </w:rPr>
              <w:t xml:space="preserve">biogāzes attīrīšanas (uz biometānu) </w:t>
            </w:r>
            <w:r w:rsidR="005F4AC6" w:rsidRPr="00225CC0">
              <w:rPr>
                <w:rFonts w:ascii="Times New Roman" w:hAnsi="Times New Roman" w:cs="Times New Roman"/>
                <w:szCs w:val="24"/>
              </w:rPr>
              <w:t>iekārtu uz</w:t>
            </w:r>
            <w:r w:rsidR="005F4AC6">
              <w:rPr>
                <w:rFonts w:ascii="Times New Roman" w:hAnsi="Times New Roman" w:cs="Times New Roman"/>
                <w:szCs w:val="24"/>
              </w:rPr>
              <w:t>stādīšana</w:t>
            </w:r>
          </w:p>
        </w:tc>
        <w:tc>
          <w:tcPr>
            <w:tcW w:w="1417" w:type="dxa"/>
            <w:tcBorders>
              <w:top w:val="single" w:sz="4" w:space="0" w:color="auto"/>
              <w:left w:val="single" w:sz="4" w:space="0" w:color="auto"/>
              <w:bottom w:val="single" w:sz="4" w:space="0" w:color="auto"/>
              <w:right w:val="single" w:sz="4" w:space="0" w:color="auto"/>
            </w:tcBorders>
          </w:tcPr>
          <w:p w14:paraId="16FA1BE3" w14:textId="05D07602" w:rsidR="005F4AC6" w:rsidRPr="00225CC0" w:rsidRDefault="005F4AC6"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E3D469" w14:textId="5E367CDD" w:rsidR="005F4AC6"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5F4AC6">
              <w:rPr>
                <w:rFonts w:ascii="Times New Roman" w:eastAsia="Calibri" w:hAnsi="Times New Roman" w:cs="Times New Roman"/>
                <w:i/>
                <w:szCs w:val="24"/>
              </w:rPr>
              <w:t>bu</w:t>
            </w:r>
          </w:p>
          <w:p w14:paraId="140C90C3" w14:textId="5341A4AD" w:rsidR="00E80655" w:rsidRPr="00F060A0" w:rsidRDefault="00E80655" w:rsidP="00F060A0">
            <w:pPr>
              <w:spacing w:before="120" w:after="120" w:line="240" w:lineRule="auto"/>
              <w:rPr>
                <w:rFonts w:ascii="Times New Roman" w:hAnsi="Times New Roman" w:cs="Times New Roman"/>
                <w:i/>
                <w:color w:val="444444"/>
                <w:szCs w:val="24"/>
                <w:shd w:val="clear" w:color="auto" w:fill="FFFFFF"/>
              </w:rPr>
            </w:pPr>
            <w:r>
              <w:rPr>
                <w:rFonts w:ascii="Times New Roman" w:eastAsia="Calibri" w:hAnsi="Times New Roman" w:cs="Times New Roman"/>
                <w:i/>
                <w:szCs w:val="24"/>
              </w:rPr>
              <w:t xml:space="preserve">ES fondi, t.sk., </w:t>
            </w:r>
            <w:r w:rsidRPr="008B628A">
              <w:rPr>
                <w:rFonts w:ascii="Times New Roman" w:hAnsi="Times New Roman" w:cs="Times New Roman"/>
                <w:i/>
                <w:color w:val="000000"/>
                <w:shd w:val="clear" w:color="auto" w:fill="FFFFFF"/>
              </w:rPr>
              <w:t>Eiropas infrastruktūras savienošanas instruments</w:t>
            </w:r>
          </w:p>
        </w:tc>
        <w:tc>
          <w:tcPr>
            <w:tcW w:w="1985" w:type="dxa"/>
            <w:tcBorders>
              <w:top w:val="single" w:sz="4" w:space="0" w:color="auto"/>
              <w:left w:val="single" w:sz="4" w:space="0" w:color="auto"/>
              <w:bottom w:val="single" w:sz="4" w:space="0" w:color="auto"/>
              <w:right w:val="single" w:sz="4" w:space="0" w:color="auto"/>
            </w:tcBorders>
          </w:tcPr>
          <w:p w14:paraId="411A39F0" w14:textId="77777777" w:rsidR="005F4AC6" w:rsidRPr="00225CC0" w:rsidRDefault="005F4AC6"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2D7D35" w14:textId="77777777" w:rsidR="005F4AC6" w:rsidRPr="00225CC0" w:rsidRDefault="005F4AC6" w:rsidP="00225CC0">
            <w:pPr>
              <w:spacing w:before="60" w:after="60" w:line="240" w:lineRule="auto"/>
              <w:rPr>
                <w:rFonts w:ascii="Times New Roman" w:eastAsia="Calibri" w:hAnsi="Times New Roman" w:cs="Times New Roman"/>
                <w:szCs w:val="24"/>
              </w:rPr>
            </w:pPr>
          </w:p>
        </w:tc>
      </w:tr>
      <w:tr w:rsidR="00AB46B9" w:rsidRPr="00225CC0" w14:paraId="5873F4C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99B4B6" w14:textId="2E57AC07"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1.2.</w:t>
            </w:r>
            <w:r w:rsidR="00AB46B9" w:rsidRPr="00225CC0">
              <w:rPr>
                <w:rFonts w:ascii="Times New Roman" w:eastAsia="Calibri" w:hAnsi="Times New Roman" w:cs="Times New Roman"/>
                <w:b/>
                <w:szCs w:val="24"/>
                <w:u w:val="single"/>
              </w:rPr>
              <w:t xml:space="preserve"> nodokļu politikas pasākumi</w:t>
            </w:r>
          </w:p>
          <w:p w14:paraId="6C13A64B" w14:textId="38F642D7" w:rsidR="00AB46B9" w:rsidRPr="007B4F8F"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1.2.1. </w:t>
            </w:r>
            <w:r w:rsidR="005470F3">
              <w:rPr>
                <w:rFonts w:ascii="Times New Roman" w:hAnsi="Times New Roman" w:cs="Times New Roman"/>
                <w:szCs w:val="24"/>
              </w:rPr>
              <w:t>izvērtēt nodokļu, piemēram, nekustamā īpašuma nodokļa (turpmāk – NĪN), iedzīvotāju ienākuma nodokļa (turpmāk – IIN) un pievienotās vērtības nodokļa (turpmāk – PVN), sloga samazināšanas iespējas mājsaimniecībām saules paneļu iegādei un uzstādīšanai</w:t>
            </w:r>
          </w:p>
        </w:tc>
        <w:tc>
          <w:tcPr>
            <w:tcW w:w="1417" w:type="dxa"/>
            <w:tcBorders>
              <w:top w:val="single" w:sz="4" w:space="0" w:color="auto"/>
              <w:left w:val="single" w:sz="4" w:space="0" w:color="auto"/>
              <w:bottom w:val="single" w:sz="4" w:space="0" w:color="auto"/>
              <w:right w:val="single" w:sz="4" w:space="0" w:color="auto"/>
            </w:tcBorders>
            <w:hideMark/>
          </w:tcPr>
          <w:p w14:paraId="48DF8F45" w14:textId="7836109D"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FM</w:t>
            </w:r>
            <w:r w:rsidR="001301BD">
              <w:rPr>
                <w:rFonts w:ascii="Times New Roman" w:eastAsia="Calibri" w:hAnsi="Times New Roman" w:cs="Times New Roman"/>
                <w:szCs w:val="24"/>
              </w:rPr>
              <w:t>, VARAM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37550" w14:textId="6B611249" w:rsidR="00AB46B9"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5401D679" w14:textId="77777777" w:rsidR="00E80655" w:rsidRDefault="00E80655" w:rsidP="00F060A0">
            <w:pPr>
              <w:spacing w:before="60" w:after="60" w:line="240" w:lineRule="auto"/>
              <w:rPr>
                <w:rFonts w:ascii="Times New Roman" w:eastAsia="Calibri" w:hAnsi="Times New Roman" w:cs="Times New Roman"/>
                <w:i/>
                <w:szCs w:val="24"/>
              </w:rPr>
            </w:pPr>
          </w:p>
          <w:p w14:paraId="562F08AE" w14:textId="77777777" w:rsidR="002653B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43882601" w14:textId="2F43C6D1" w:rsidR="00E80655" w:rsidRPr="00225CC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5926C95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069AF8"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2A72BD" w:rsidRPr="00225CC0" w14:paraId="76026EB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AB305A" w14:textId="30B8ED91" w:rsidR="002A72BD" w:rsidRPr="00225CC0" w:rsidRDefault="007B4F8F" w:rsidP="00E61F96">
            <w:pPr>
              <w:spacing w:before="60" w:after="60" w:line="240" w:lineRule="auto"/>
              <w:rPr>
                <w:rFonts w:ascii="Times New Roman" w:eastAsia="Calibri" w:hAnsi="Times New Roman" w:cs="Times New Roman"/>
                <w:szCs w:val="24"/>
                <w:u w:val="single"/>
              </w:rPr>
            </w:pPr>
            <w:r>
              <w:rPr>
                <w:rFonts w:ascii="Times New Roman" w:eastAsia="Calibri" w:hAnsi="Times New Roman" w:cs="Times New Roman"/>
                <w:b/>
                <w:szCs w:val="24"/>
                <w:u w:val="single"/>
              </w:rPr>
              <w:t>1.3.</w:t>
            </w:r>
            <w:r w:rsidR="002A72BD" w:rsidRPr="00225CC0">
              <w:rPr>
                <w:rFonts w:ascii="Times New Roman" w:eastAsia="Calibri" w:hAnsi="Times New Roman" w:cs="Times New Roman"/>
                <w:b/>
                <w:szCs w:val="24"/>
                <w:u w:val="single"/>
              </w:rPr>
              <w:t xml:space="preserve"> likumdošanas izmaiņas</w:t>
            </w:r>
          </w:p>
          <w:p w14:paraId="736AE687" w14:textId="2CB9C76C" w:rsidR="002A72BD"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1.3.1. </w:t>
            </w:r>
            <w:r w:rsidR="002A72BD" w:rsidRPr="00225CC0">
              <w:rPr>
                <w:rFonts w:ascii="Times New Roman" w:hAnsi="Times New Roman" w:cs="Times New Roman"/>
                <w:szCs w:val="24"/>
              </w:rPr>
              <w:t xml:space="preserve">Ministru kabineta </w:t>
            </w:r>
            <w:r w:rsidR="0006254D">
              <w:rPr>
                <w:rFonts w:ascii="Times New Roman" w:hAnsi="Times New Roman" w:cs="Times New Roman"/>
                <w:szCs w:val="24"/>
              </w:rPr>
              <w:t>2013.gada 30.aprīļa</w:t>
            </w:r>
            <w:r w:rsidR="002A72BD" w:rsidRPr="00225CC0">
              <w:rPr>
                <w:rFonts w:ascii="Times New Roman" w:hAnsi="Times New Roman" w:cs="Times New Roman"/>
                <w:szCs w:val="24"/>
              </w:rPr>
              <w:t xml:space="preserve"> noteikumu Nr.240 “Vispārīgie teritorijas plānošanas, izmantošanas un </w:t>
            </w:r>
            <w:r w:rsidR="002A72BD" w:rsidRPr="00225CC0">
              <w:rPr>
                <w:rFonts w:ascii="Times New Roman" w:hAnsi="Times New Roman" w:cs="Times New Roman"/>
                <w:szCs w:val="24"/>
              </w:rPr>
              <w:lastRenderedPageBreak/>
              <w:t>apbūves noteikumi” pārskatīšana, tajā iekļautos teritoriālos ierobežojumus vēja parku izveidei salāgojot ar vispārējo ES regulējumu</w:t>
            </w:r>
          </w:p>
          <w:p w14:paraId="671AB038" w14:textId="511BE554" w:rsidR="002A72BD"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1.3.2. </w:t>
            </w:r>
            <w:r w:rsidR="002A72BD" w:rsidRPr="00225CC0">
              <w:rPr>
                <w:rFonts w:ascii="Times New Roman" w:hAnsi="Times New Roman" w:cs="Times New Roman"/>
                <w:szCs w:val="24"/>
              </w:rPr>
              <w:t xml:space="preserve">tiesiskā regulējuma izstrāde, kas ļautu </w:t>
            </w:r>
            <w:r w:rsidR="005F4AC6">
              <w:rPr>
                <w:rFonts w:ascii="Times New Roman" w:hAnsi="Times New Roman" w:cs="Times New Roman"/>
                <w:szCs w:val="24"/>
              </w:rPr>
              <w:t xml:space="preserve">vairākiem </w:t>
            </w:r>
            <w:r w:rsidR="002A72BD" w:rsidRPr="00225CC0">
              <w:rPr>
                <w:rFonts w:ascii="Times New Roman" w:hAnsi="Times New Roman" w:cs="Times New Roman"/>
                <w:szCs w:val="24"/>
              </w:rPr>
              <w:t>AE pašpatērētājiem</w:t>
            </w:r>
            <w:r w:rsidR="005F4AC6">
              <w:rPr>
                <w:rFonts w:ascii="Times New Roman" w:hAnsi="Times New Roman" w:cs="Times New Roman"/>
                <w:szCs w:val="24"/>
              </w:rPr>
              <w:t xml:space="preserve"> darboties kopīgi, lai</w:t>
            </w:r>
            <w:r w:rsidR="002A72BD" w:rsidRPr="00225CC0">
              <w:rPr>
                <w:rFonts w:ascii="Times New Roman" w:hAnsi="Times New Roman" w:cs="Times New Roman"/>
                <w:szCs w:val="24"/>
              </w:rPr>
              <w:t xml:space="preserve"> ražot</w:t>
            </w:r>
            <w:r w:rsidR="005F4AC6">
              <w:rPr>
                <w:rFonts w:ascii="Times New Roman" w:hAnsi="Times New Roman" w:cs="Times New Roman"/>
                <w:szCs w:val="24"/>
              </w:rPr>
              <w:t>u</w:t>
            </w:r>
            <w:r w:rsidR="002A72BD" w:rsidRPr="00225CC0">
              <w:rPr>
                <w:rFonts w:ascii="Times New Roman" w:hAnsi="Times New Roman" w:cs="Times New Roman"/>
                <w:szCs w:val="24"/>
              </w:rPr>
              <w:t>, patērēt</w:t>
            </w:r>
            <w:r w:rsidR="005F4AC6">
              <w:rPr>
                <w:rFonts w:ascii="Times New Roman" w:hAnsi="Times New Roman" w:cs="Times New Roman"/>
                <w:szCs w:val="24"/>
              </w:rPr>
              <w:t>u</w:t>
            </w:r>
            <w:r w:rsidR="002A72BD" w:rsidRPr="00225CC0">
              <w:rPr>
                <w:rFonts w:ascii="Times New Roman" w:hAnsi="Times New Roman" w:cs="Times New Roman"/>
                <w:szCs w:val="24"/>
              </w:rPr>
              <w:t>, uzkrāt</w:t>
            </w:r>
            <w:r w:rsidR="005F4AC6">
              <w:rPr>
                <w:rFonts w:ascii="Times New Roman" w:hAnsi="Times New Roman" w:cs="Times New Roman"/>
                <w:szCs w:val="24"/>
              </w:rPr>
              <w:t>u</w:t>
            </w:r>
            <w:r w:rsidR="002A72BD" w:rsidRPr="00225CC0">
              <w:rPr>
                <w:rFonts w:ascii="Times New Roman" w:hAnsi="Times New Roman" w:cs="Times New Roman"/>
                <w:szCs w:val="24"/>
              </w:rPr>
              <w:t xml:space="preserve"> un pārdot</w:t>
            </w:r>
            <w:r w:rsidR="005F4AC6">
              <w:rPr>
                <w:rFonts w:ascii="Times New Roman" w:hAnsi="Times New Roman" w:cs="Times New Roman"/>
                <w:szCs w:val="24"/>
              </w:rPr>
              <w:t>u</w:t>
            </w:r>
            <w:r w:rsidR="002A72BD" w:rsidRPr="00225CC0">
              <w:rPr>
                <w:rFonts w:ascii="Times New Roman" w:hAnsi="Times New Roman" w:cs="Times New Roman"/>
                <w:szCs w:val="24"/>
              </w:rPr>
              <w:t xml:space="preserve"> elektroenerģiju</w:t>
            </w:r>
          </w:p>
          <w:p w14:paraId="05E732D5" w14:textId="0E6DFCB9" w:rsidR="002A72BD"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1.3.3. </w:t>
            </w:r>
            <w:r w:rsidR="002A72BD" w:rsidRPr="00225CC0">
              <w:rPr>
                <w:rFonts w:ascii="Times New Roman" w:hAnsi="Times New Roman" w:cs="Times New Roman"/>
                <w:szCs w:val="24"/>
              </w:rPr>
              <w:t>tiesiskā regulējuma izstrāde AE kopienu izveides veicināšanai</w:t>
            </w:r>
          </w:p>
        </w:tc>
        <w:tc>
          <w:tcPr>
            <w:tcW w:w="1417" w:type="dxa"/>
            <w:tcBorders>
              <w:top w:val="single" w:sz="4" w:space="0" w:color="auto"/>
              <w:left w:val="single" w:sz="4" w:space="0" w:color="auto"/>
              <w:bottom w:val="single" w:sz="4" w:space="0" w:color="auto"/>
              <w:right w:val="single" w:sz="4" w:space="0" w:color="auto"/>
            </w:tcBorders>
            <w:hideMark/>
          </w:tcPr>
          <w:p w14:paraId="0E797746" w14:textId="77777777" w:rsidR="001301BD" w:rsidRDefault="001301BD" w:rsidP="00E61F96">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EM,</w:t>
            </w:r>
          </w:p>
          <w:p w14:paraId="1195CABB" w14:textId="37FB092F" w:rsidR="002A72BD" w:rsidRPr="00225CC0" w:rsidRDefault="002A72BD" w:rsidP="00E61F96">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VARAM</w:t>
            </w:r>
            <w:r w:rsidR="001301BD">
              <w:rPr>
                <w:rFonts w:ascii="Times New Roman" w:eastAsia="Calibri" w:hAnsi="Times New Roman" w:cs="Times New Roman"/>
                <w:szCs w:val="24"/>
              </w:rPr>
              <w:t xml:space="preserve">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8F27FF" w14:textId="77777777" w:rsidR="002A72BD" w:rsidRPr="00225CC0" w:rsidRDefault="002A72BD" w:rsidP="00E61F96">
            <w:pPr>
              <w:spacing w:before="60" w:after="60" w:line="240" w:lineRule="auto"/>
              <w:rPr>
                <w:rFonts w:ascii="Times New Roman" w:eastAsia="Calibri" w:hAnsi="Times New Roman" w:cs="Times New Roman"/>
                <w:b/>
                <w:i/>
                <w:szCs w:val="24"/>
              </w:rPr>
            </w:pPr>
            <w:r w:rsidRPr="00225CC0">
              <w:rPr>
                <w:rFonts w:ascii="Times New Roman" w:eastAsia="Calibri" w:hAnsi="Times New Roman" w:cs="Times New Roman"/>
                <w:i/>
                <w:szCs w:val="24"/>
              </w:rPr>
              <w:lastRenderedPageBreak/>
              <w:t>Netiek paredzēts</w:t>
            </w:r>
          </w:p>
        </w:tc>
        <w:tc>
          <w:tcPr>
            <w:tcW w:w="1985" w:type="dxa"/>
            <w:tcBorders>
              <w:top w:val="single" w:sz="4" w:space="0" w:color="auto"/>
              <w:left w:val="single" w:sz="4" w:space="0" w:color="auto"/>
              <w:bottom w:val="single" w:sz="4" w:space="0" w:color="auto"/>
              <w:right w:val="single" w:sz="4" w:space="0" w:color="auto"/>
            </w:tcBorders>
          </w:tcPr>
          <w:p w14:paraId="20FE4718" w14:textId="77777777" w:rsidR="002A72BD" w:rsidRPr="00225CC0" w:rsidRDefault="002A72BD" w:rsidP="00E61F96">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FA14F2" w14:textId="77777777" w:rsidR="002A72BD" w:rsidRPr="00225CC0" w:rsidRDefault="002A72BD" w:rsidP="00E61F96">
            <w:pPr>
              <w:spacing w:before="60" w:after="60" w:line="240" w:lineRule="auto"/>
              <w:jc w:val="center"/>
              <w:rPr>
                <w:rFonts w:ascii="Times New Roman" w:eastAsia="Calibri" w:hAnsi="Times New Roman" w:cs="Times New Roman"/>
                <w:b/>
                <w:i/>
                <w:szCs w:val="24"/>
              </w:rPr>
            </w:pPr>
          </w:p>
        </w:tc>
      </w:tr>
      <w:tr w:rsidR="00AB46B9" w:rsidRPr="00225CC0" w14:paraId="65063F0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83856F" w14:textId="1FF10FB4"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1.4.</w:t>
            </w:r>
            <w:r w:rsidR="00AB46B9" w:rsidRPr="00225CC0">
              <w:rPr>
                <w:rFonts w:ascii="Times New Roman" w:eastAsia="Calibri" w:hAnsi="Times New Roman" w:cs="Times New Roman"/>
                <w:b/>
                <w:szCs w:val="24"/>
                <w:u w:val="single"/>
              </w:rPr>
              <w:t xml:space="preserve"> veicināšanas pasākumi</w:t>
            </w:r>
          </w:p>
          <w:p w14:paraId="17A2E42B" w14:textId="4D105015"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1.4.1. </w:t>
            </w:r>
            <w:r w:rsidR="00AB46B9" w:rsidRPr="00225CC0">
              <w:rPr>
                <w:rFonts w:ascii="Times New Roman" w:hAnsi="Times New Roman" w:cs="Times New Roman"/>
                <w:szCs w:val="24"/>
              </w:rPr>
              <w:t>Ilgtermiņa nomas līgums uz konkursa pamata vēja parkiem (ar kopējo jaudu līdz 500 MW) valsts mežos un tiem pieguļošajās teritorijās;</w:t>
            </w:r>
          </w:p>
          <w:p w14:paraId="5F180E60" w14:textId="6B70CFA1" w:rsidR="00AB46B9" w:rsidRPr="00225CC0"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1.4.2. </w:t>
            </w:r>
            <w:r w:rsidR="00AB46B9" w:rsidRPr="00225CC0">
              <w:rPr>
                <w:rFonts w:ascii="Times New Roman" w:hAnsi="Times New Roman" w:cs="Times New Roman"/>
                <w:szCs w:val="24"/>
              </w:rPr>
              <w:t xml:space="preserve">Atbalsts </w:t>
            </w:r>
            <w:r w:rsidR="005A2B35">
              <w:rPr>
                <w:rFonts w:ascii="Times New Roman" w:hAnsi="Times New Roman" w:cs="Times New Roman"/>
                <w:szCs w:val="24"/>
              </w:rPr>
              <w:t>neto</w:t>
            </w:r>
            <w:r w:rsidR="00AB46B9" w:rsidRPr="00225CC0">
              <w:rPr>
                <w:rFonts w:ascii="Times New Roman" w:hAnsi="Times New Roman" w:cs="Times New Roman"/>
                <w:szCs w:val="24"/>
              </w:rPr>
              <w:t xml:space="preserve"> norēķinu sistēmas plašākai ieviešanai Elektroenerģijas tirgus likuma 30.</w:t>
            </w:r>
            <w:r w:rsidR="00AB46B9" w:rsidRPr="00225CC0">
              <w:rPr>
                <w:rFonts w:ascii="Times New Roman" w:hAnsi="Times New Roman" w:cs="Times New Roman"/>
                <w:szCs w:val="24"/>
                <w:vertAlign w:val="superscript"/>
              </w:rPr>
              <w:t>1</w:t>
            </w:r>
            <w:r w:rsidR="00AB46B9" w:rsidRPr="00225CC0">
              <w:rPr>
                <w:rFonts w:ascii="Times New Roman" w:hAnsi="Times New Roman" w:cs="Times New Roman"/>
                <w:szCs w:val="24"/>
              </w:rPr>
              <w:t xml:space="preserve"> pantu piemērojot arī juridiskā personām</w:t>
            </w:r>
          </w:p>
          <w:p w14:paraId="38EC6107" w14:textId="05A1CDA3" w:rsidR="00AB46B9" w:rsidRPr="00225CC0"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1.4.3. </w:t>
            </w:r>
            <w:r w:rsidR="00AB46B9" w:rsidRPr="00225CC0">
              <w:rPr>
                <w:rFonts w:ascii="Times New Roman" w:hAnsi="Times New Roman" w:cs="Times New Roman"/>
                <w:szCs w:val="24"/>
              </w:rPr>
              <w:t>Atbalsts vēja (</w:t>
            </w:r>
            <w:r w:rsidR="00AB46B9" w:rsidRPr="00225CC0">
              <w:rPr>
                <w:rFonts w:ascii="Times New Roman" w:hAnsi="Times New Roman" w:cs="Times New Roman"/>
                <w:i/>
                <w:szCs w:val="24"/>
              </w:rPr>
              <w:t>on-shore</w:t>
            </w:r>
            <w:r w:rsidR="00AB46B9" w:rsidRPr="00225CC0">
              <w:rPr>
                <w:rFonts w:ascii="Times New Roman" w:hAnsi="Times New Roman" w:cs="Times New Roman"/>
                <w:szCs w:val="24"/>
              </w:rPr>
              <w:t>) un saules enerģijas tehnoloģiju plašākai ieviešanai</w:t>
            </w:r>
          </w:p>
          <w:p w14:paraId="10849AAD" w14:textId="78ECDD72"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1.4.4. </w:t>
            </w:r>
            <w:r w:rsidR="00AB46B9" w:rsidRPr="00225CC0">
              <w:rPr>
                <w:rFonts w:ascii="Times New Roman" w:hAnsi="Times New Roman" w:cs="Times New Roman"/>
                <w:szCs w:val="24"/>
              </w:rPr>
              <w:t>Vienota kontaktpunkta izveide AE tehnoloģiju ieviešanas atļauju izsniegšanai</w:t>
            </w:r>
          </w:p>
          <w:p w14:paraId="4A2EA7E7" w14:textId="633AC647"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1.4.5. </w:t>
            </w:r>
            <w:r w:rsidR="00AB46B9" w:rsidRPr="00225CC0">
              <w:rPr>
                <w:rFonts w:ascii="Times New Roman" w:hAnsi="Times New Roman" w:cs="Times New Roman"/>
                <w:szCs w:val="24"/>
              </w:rPr>
              <w:t>Latvijas teritoriālajos ūdeņos pieejamo AER izpēte, tai skaitā, infrastruktūras izveides izpēte</w:t>
            </w:r>
          </w:p>
          <w:p w14:paraId="7AEC2693" w14:textId="515FD718"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1.4.6. </w:t>
            </w:r>
            <w:r w:rsidR="00AB46B9" w:rsidRPr="00225CC0">
              <w:rPr>
                <w:rFonts w:ascii="Times New Roman" w:hAnsi="Times New Roman" w:cs="Times New Roman"/>
                <w:szCs w:val="24"/>
              </w:rPr>
              <w:t>Zinātnieku un uzņēmēju sadarbība AER jomā.</w:t>
            </w:r>
          </w:p>
        </w:tc>
        <w:tc>
          <w:tcPr>
            <w:tcW w:w="1417" w:type="dxa"/>
            <w:tcBorders>
              <w:top w:val="single" w:sz="4" w:space="0" w:color="auto"/>
              <w:left w:val="single" w:sz="4" w:space="0" w:color="auto"/>
              <w:bottom w:val="single" w:sz="4" w:space="0" w:color="auto"/>
              <w:right w:val="single" w:sz="4" w:space="0" w:color="auto"/>
            </w:tcBorders>
            <w:hideMark/>
          </w:tcPr>
          <w:p w14:paraId="5090D78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92A216" w14:textId="62E89768" w:rsidR="00AB46B9"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3FFAE125" w14:textId="77777777" w:rsidR="00E80655" w:rsidRDefault="00E80655" w:rsidP="00F060A0">
            <w:pPr>
              <w:spacing w:before="60" w:after="60" w:line="240" w:lineRule="auto"/>
              <w:rPr>
                <w:rFonts w:ascii="Times New Roman" w:eastAsia="Calibri" w:hAnsi="Times New Roman" w:cs="Times New Roman"/>
                <w:i/>
                <w:szCs w:val="24"/>
              </w:rPr>
            </w:pPr>
          </w:p>
          <w:p w14:paraId="5FAA29B1" w14:textId="2FA09EDA" w:rsidR="00E80655" w:rsidRPr="00225CC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 xml:space="preserve">ES fondi, t.sk., </w:t>
            </w:r>
            <w:r w:rsidRPr="008B628A">
              <w:rPr>
                <w:rFonts w:ascii="Times New Roman" w:hAnsi="Times New Roman" w:cs="Times New Roman"/>
                <w:i/>
                <w:color w:val="000000"/>
                <w:shd w:val="clear" w:color="auto" w:fill="FFFFFF"/>
              </w:rPr>
              <w:t>Eiropas infrastruktūras savienošanas instruments</w:t>
            </w:r>
          </w:p>
        </w:tc>
        <w:tc>
          <w:tcPr>
            <w:tcW w:w="1985" w:type="dxa"/>
            <w:tcBorders>
              <w:top w:val="single" w:sz="4" w:space="0" w:color="auto"/>
              <w:left w:val="single" w:sz="4" w:space="0" w:color="auto"/>
              <w:bottom w:val="single" w:sz="4" w:space="0" w:color="auto"/>
              <w:right w:val="single" w:sz="4" w:space="0" w:color="auto"/>
            </w:tcBorders>
          </w:tcPr>
          <w:p w14:paraId="1E0E539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AA0ECB" w14:textId="77777777" w:rsidR="00AB46B9" w:rsidRPr="00225CC0" w:rsidRDefault="00AB46B9" w:rsidP="00225CC0">
            <w:pPr>
              <w:spacing w:before="60" w:after="60" w:line="240" w:lineRule="auto"/>
              <w:jc w:val="center"/>
              <w:rPr>
                <w:rFonts w:ascii="Times New Roman" w:eastAsia="Calibri" w:hAnsi="Times New Roman" w:cs="Times New Roman"/>
                <w:b/>
                <w:i/>
                <w:szCs w:val="24"/>
              </w:rPr>
            </w:pPr>
          </w:p>
        </w:tc>
      </w:tr>
      <w:tr w:rsidR="00AB46B9" w:rsidRPr="00225CC0" w14:paraId="217772D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E7862D" w14:textId="41B95161"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1.5. </w:t>
            </w:r>
            <w:r w:rsidR="00AB46B9" w:rsidRPr="00225CC0">
              <w:rPr>
                <w:rFonts w:ascii="Times New Roman" w:eastAsia="Calibri" w:hAnsi="Times New Roman" w:cs="Times New Roman"/>
                <w:b/>
                <w:szCs w:val="24"/>
                <w:u w:val="single"/>
              </w:rPr>
              <w:t>pienākumi</w:t>
            </w:r>
          </w:p>
          <w:p w14:paraId="34133913" w14:textId="677EDF31" w:rsidR="00AB46B9" w:rsidRPr="00225CC0"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1.5.1. </w:t>
            </w:r>
            <w:r w:rsidR="00BD4B0A" w:rsidRPr="00225CC0">
              <w:rPr>
                <w:rFonts w:ascii="Times New Roman" w:hAnsi="Times New Roman" w:cs="Times New Roman"/>
                <w:szCs w:val="24"/>
              </w:rPr>
              <w:t xml:space="preserve">obligāts </w:t>
            </w:r>
            <w:r w:rsidR="00BD4B0A">
              <w:rPr>
                <w:rFonts w:ascii="Times New Roman" w:hAnsi="Times New Roman" w:cs="Times New Roman"/>
                <w:szCs w:val="24"/>
              </w:rPr>
              <w:t xml:space="preserve">procentuāls </w:t>
            </w:r>
            <w:r w:rsidR="00BD4B0A" w:rsidRPr="00225CC0">
              <w:rPr>
                <w:rFonts w:ascii="Times New Roman" w:hAnsi="Times New Roman" w:cs="Times New Roman"/>
                <w:szCs w:val="24"/>
              </w:rPr>
              <w:t xml:space="preserve">biogāzes (biometāna) piejaukums </w:t>
            </w:r>
            <w:r w:rsidR="00AB46B9" w:rsidRPr="00225CC0">
              <w:rPr>
                <w:rFonts w:ascii="Times New Roman" w:hAnsi="Times New Roman" w:cs="Times New Roman"/>
                <w:szCs w:val="24"/>
              </w:rPr>
              <w:t>elektroenerģijas ražošanā</w:t>
            </w:r>
            <w:r w:rsidR="00BD4B0A">
              <w:rPr>
                <w:rFonts w:ascii="Times New Roman" w:hAnsi="Times New Roman" w:cs="Times New Roman"/>
                <w:szCs w:val="24"/>
              </w:rPr>
              <w:t xml:space="preserve"> (</w:t>
            </w:r>
            <w:r w:rsidR="00AB46B9" w:rsidRPr="00225CC0">
              <w:rPr>
                <w:rFonts w:ascii="Times New Roman" w:hAnsi="Times New Roman" w:cs="Times New Roman"/>
                <w:szCs w:val="24"/>
              </w:rPr>
              <w:t>pienākums</w:t>
            </w:r>
            <w:r w:rsidR="00BD4B0A">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608167B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75B5B2"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1C8470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5AB250"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0091521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7E7C87E6" w14:textId="673277C6"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lastRenderedPageBreak/>
              <w:t>2</w:t>
            </w:r>
            <w:r w:rsidR="007B4F8F">
              <w:rPr>
                <w:rFonts w:ascii="Times New Roman" w:eastAsia="Calibri" w:hAnsi="Times New Roman" w:cs="Times New Roman"/>
                <w:b/>
                <w:szCs w:val="24"/>
              </w:rPr>
              <w:t>.</w:t>
            </w:r>
            <w:r w:rsidRPr="00225CC0">
              <w:rPr>
                <w:rFonts w:ascii="Times New Roman" w:eastAsia="Calibri" w:hAnsi="Times New Roman" w:cs="Times New Roman"/>
                <w:b/>
                <w:szCs w:val="24"/>
              </w:rPr>
              <w:t xml:space="preserve"> Rīcībpolitika AER izmantošanai CSA, LSA un individuālajā siltumapgādē un aukstumapgādē (t.sk., rūpniecības, pakalpojumu un mājsaimniecību sektorā)</w:t>
            </w:r>
          </w:p>
          <w:p w14:paraId="0A7689CE"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0911FCC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0632C9" w14:textId="4959B2B6" w:rsidR="00AB46B9" w:rsidRPr="00225CC0" w:rsidRDefault="007B4F8F"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u w:val="single"/>
              </w:rPr>
              <w:t xml:space="preserve">2.1. </w:t>
            </w:r>
            <w:r w:rsidR="00AB46B9" w:rsidRPr="00225CC0">
              <w:rPr>
                <w:rFonts w:ascii="Times New Roman" w:eastAsia="Calibri" w:hAnsi="Times New Roman" w:cs="Times New Roman"/>
                <w:b/>
                <w:szCs w:val="24"/>
                <w:u w:val="single"/>
              </w:rPr>
              <w:t>Esošo ES fondu atbalsta programmu īstenošana esošajā apjomā</w:t>
            </w:r>
            <w:r w:rsidR="00AB46B9" w:rsidRPr="00225CC0">
              <w:rPr>
                <w:rFonts w:ascii="Times New Roman" w:eastAsia="Calibri" w:hAnsi="Times New Roman" w:cs="Times New Roman"/>
                <w:szCs w:val="24"/>
                <w:vertAlign w:val="superscript"/>
              </w:rPr>
              <w:footnoteReference w:id="285"/>
            </w:r>
            <w:r w:rsidR="00AB46B9" w:rsidRPr="00225CC0">
              <w:rPr>
                <w:rFonts w:ascii="Times New Roman" w:eastAsia="Calibri" w:hAnsi="Times New Roman" w:cs="Times New Roman"/>
                <w:szCs w:val="24"/>
              </w:rPr>
              <w:t xml:space="preserve"> </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2D73658"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0FD74B"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150 milj.EUR</w:t>
            </w:r>
          </w:p>
          <w:p w14:paraId="55B61D18" w14:textId="77777777" w:rsidR="00824DAB" w:rsidRDefault="00824DAB" w:rsidP="00225CC0">
            <w:pPr>
              <w:spacing w:before="60" w:after="60" w:line="240" w:lineRule="auto"/>
              <w:rPr>
                <w:rFonts w:ascii="Times New Roman" w:eastAsia="Calibri" w:hAnsi="Times New Roman" w:cs="Times New Roman"/>
                <w:i/>
                <w:szCs w:val="24"/>
              </w:rPr>
            </w:pPr>
          </w:p>
          <w:p w14:paraId="7E3751AB"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2B450994"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128D415E"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50117B61" w14:textId="77777777" w:rsidR="00BD4B0A" w:rsidRPr="00A92912"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354C8D6F" w14:textId="0CF716EE" w:rsidR="00E80655" w:rsidRPr="00225CC0" w:rsidRDefault="00E80655" w:rsidP="00225CC0">
            <w:pPr>
              <w:spacing w:before="60" w:after="60" w:line="240" w:lineRule="auto"/>
              <w:rPr>
                <w:rFonts w:ascii="Times New Roman" w:eastAsia="Calibri" w:hAnsi="Times New Roman" w:cs="Times New Roman"/>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4DAAF6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Indikatīvie rādītāji:</w:t>
            </w:r>
          </w:p>
          <w:p w14:paraId="648787E3" w14:textId="555ED98A"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1) No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ražotā papildjauda;</w:t>
            </w:r>
          </w:p>
          <w:p w14:paraId="3E74F345" w14:textId="6BA3EE66"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2)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siltumražošanas jaudu modernizācija centralizētajā un LSA;</w:t>
            </w:r>
          </w:p>
          <w:p w14:paraId="27A575CF" w14:textId="42777828"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3)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aukstumražošanas jaudu modernizācija centralizētājā un lokālajā aukstumapgādē;</w:t>
            </w:r>
          </w:p>
          <w:p w14:paraId="11A5549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4) Aprēķinātais siltumnīcefekta gāzu samazinājums gadā.</w:t>
            </w: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AA6518"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AER daļa kopējā enerģijas gala patēriņā 2030.gadā, īstenojot šos fondus, ir sasniegusi apmēram 41,3%.</w:t>
            </w:r>
          </w:p>
          <w:p w14:paraId="39F50D7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 xml:space="preserve">AER īpatsvars centralizētajā siltumapgādē ir pieaudzis apmēram par 0,8% - 1,0% punktiem gadā laika periodā 2020. – 2030.gads un 2030.gadā sasniedz 57,6%. </w:t>
            </w:r>
          </w:p>
        </w:tc>
      </w:tr>
      <w:tr w:rsidR="00AB46B9" w:rsidRPr="00225CC0" w14:paraId="7074F4D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1B0569" w14:textId="2719E919"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2.2. </w:t>
            </w:r>
            <w:r w:rsidR="00AB46B9" w:rsidRPr="00225CC0">
              <w:rPr>
                <w:rFonts w:ascii="Times New Roman" w:eastAsia="Calibri" w:hAnsi="Times New Roman" w:cs="Times New Roman"/>
                <w:b/>
                <w:szCs w:val="24"/>
                <w:u w:val="single"/>
              </w:rPr>
              <w:t>Esošo ES fondu atbalsta programmu īstenošana augstākā apjomā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1AB399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0CCB19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7C5CAF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1A0943A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3BFA423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E0FAFF" w14:textId="2114813D"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2.3.</w:t>
            </w:r>
            <w:r w:rsidR="00AB46B9" w:rsidRPr="00225CC0">
              <w:rPr>
                <w:rFonts w:ascii="Times New Roman" w:eastAsia="Calibri" w:hAnsi="Times New Roman" w:cs="Times New Roman"/>
                <w:b/>
                <w:szCs w:val="24"/>
                <w:u w:val="single"/>
              </w:rPr>
              <w:t xml:space="preserve"> jaunu ES fondu atbalsta programmu papildu aktivitātes:</w:t>
            </w:r>
          </w:p>
          <w:p w14:paraId="3F09F941" w14:textId="033F1B79"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2.3.1. P</w:t>
            </w:r>
            <w:r w:rsidR="00AB46B9" w:rsidRPr="00225CC0">
              <w:rPr>
                <w:rFonts w:ascii="Times New Roman" w:hAnsi="Times New Roman" w:cs="Times New Roman"/>
                <w:szCs w:val="24"/>
              </w:rPr>
              <w:t xml:space="preserve">ar 30% vairāk CSA un LSA uzstādītas ne-emisiju </w:t>
            </w:r>
            <w:r w:rsidR="00E538C4">
              <w:rPr>
                <w:rFonts w:ascii="Times New Roman" w:hAnsi="Times New Roman" w:cs="Times New Roman"/>
                <w:szCs w:val="24"/>
              </w:rPr>
              <w:t>AER</w:t>
            </w:r>
            <w:r w:rsidR="00AB46B9" w:rsidRPr="00225CC0">
              <w:rPr>
                <w:rFonts w:ascii="Times New Roman" w:hAnsi="Times New Roman" w:cs="Times New Roman"/>
                <w:szCs w:val="24"/>
              </w:rPr>
              <w:t xml:space="preserve"> iekārtas (saule, vējš, siltumsūkņi, aukstumsūkņi) vai biomasas sadedzināšanas iekārtas, ņemot vērā nepieciešamību ievērot gaisa kvalitātes normatīvus un nosacījumus</w:t>
            </w:r>
          </w:p>
          <w:p w14:paraId="7CAC0CAC" w14:textId="6B2D191F"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2.3.2. M</w:t>
            </w:r>
            <w:r w:rsidR="00AB46B9" w:rsidRPr="00225CC0">
              <w:rPr>
                <w:rFonts w:ascii="Times New Roman" w:hAnsi="Times New Roman" w:cs="Times New Roman"/>
                <w:szCs w:val="24"/>
              </w:rPr>
              <w:t>ājām</w:t>
            </w:r>
            <w:r w:rsidR="00AB46B9" w:rsidRPr="00225CC0">
              <w:rPr>
                <w:rFonts w:ascii="Times New Roman" w:hAnsi="Times New Roman" w:cs="Times New Roman"/>
                <w:szCs w:val="24"/>
                <w:vertAlign w:val="superscript"/>
              </w:rPr>
              <w:footnoteReference w:id="286"/>
            </w:r>
            <w:r w:rsidR="00AB46B9" w:rsidRPr="00225CC0">
              <w:rPr>
                <w:rFonts w:ascii="Times New Roman" w:hAnsi="Times New Roman" w:cs="Times New Roman"/>
                <w:szCs w:val="24"/>
              </w:rPr>
              <w:t>, kuras tiek siltinātas, tiek obligāti uzstādīti saules kolektori (nosacījums finansējuma saņemšanai)</w:t>
            </w:r>
          </w:p>
          <w:p w14:paraId="6F6F2F6C" w14:textId="2792BC9A"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2.3.3. P</w:t>
            </w:r>
            <w:r w:rsidR="00AB46B9" w:rsidRPr="00225CC0">
              <w:rPr>
                <w:rFonts w:ascii="Times New Roman" w:hAnsi="Times New Roman" w:cs="Times New Roman"/>
                <w:szCs w:val="24"/>
              </w:rPr>
              <w:t>āreja uz elektroenerģiju kā siltumapgādes resursu LSA</w:t>
            </w:r>
          </w:p>
          <w:p w14:paraId="177B35B4" w14:textId="4787264E"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2.3.4. </w:t>
            </w:r>
            <w:r w:rsidR="00AB46B9" w:rsidRPr="00225CC0">
              <w:rPr>
                <w:rFonts w:ascii="Times New Roman" w:hAnsi="Times New Roman" w:cs="Times New Roman"/>
                <w:szCs w:val="24"/>
              </w:rPr>
              <w:t>AER tehnoloģiju ieviešana aukstumapgādē (</w:t>
            </w:r>
            <w:r w:rsidR="00071E44">
              <w:rPr>
                <w:rFonts w:ascii="Times New Roman" w:hAnsi="Times New Roman" w:cs="Times New Roman"/>
                <w:szCs w:val="24"/>
              </w:rPr>
              <w:t xml:space="preserve">turpmāk – </w:t>
            </w:r>
            <w:r w:rsidR="00AB46B9" w:rsidRPr="00225CC0">
              <w:rPr>
                <w:rFonts w:ascii="Times New Roman" w:hAnsi="Times New Roman" w:cs="Times New Roman"/>
                <w:szCs w:val="24"/>
              </w:rPr>
              <w:t>AA), īpaši publiskajās ēkās;</w:t>
            </w:r>
          </w:p>
          <w:p w14:paraId="6CC7EA6B" w14:textId="2A7E542B"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2.3.5. </w:t>
            </w:r>
            <w:r w:rsidR="00AB46B9" w:rsidRPr="00225CC0">
              <w:rPr>
                <w:rFonts w:ascii="Times New Roman" w:hAnsi="Times New Roman" w:cs="Times New Roman"/>
                <w:szCs w:val="24"/>
              </w:rPr>
              <w:t>Esošās siltumapgādes infrastruktūras pielāgošana AA nodrošināšanai ēkās;</w:t>
            </w:r>
          </w:p>
          <w:p w14:paraId="4C78F545" w14:textId="67504C07"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2.3.6. </w:t>
            </w:r>
            <w:r w:rsidR="00AB46B9" w:rsidRPr="00225CC0">
              <w:rPr>
                <w:rFonts w:ascii="Times New Roman" w:hAnsi="Times New Roman" w:cs="Times New Roman"/>
                <w:szCs w:val="24"/>
              </w:rPr>
              <w:t>Neliela skaita ēku kompleksu</w:t>
            </w:r>
            <w:r w:rsidR="00AB46B9" w:rsidRPr="00225CC0">
              <w:rPr>
                <w:rFonts w:ascii="Times New Roman" w:hAnsi="Times New Roman" w:cs="Times New Roman"/>
                <w:szCs w:val="24"/>
                <w:vertAlign w:val="superscript"/>
              </w:rPr>
              <w:footnoteReference w:id="287"/>
            </w:r>
            <w:r w:rsidR="00AB46B9" w:rsidRPr="00225CC0">
              <w:rPr>
                <w:rFonts w:ascii="Times New Roman" w:hAnsi="Times New Roman" w:cs="Times New Roman"/>
                <w:szCs w:val="24"/>
              </w:rPr>
              <w:t xml:space="preserve"> atjaunošana, tai skaitā pāreja uz AER siltā ūdens sagatavošanā un apkurē;</w:t>
            </w:r>
          </w:p>
          <w:p w14:paraId="57662F35" w14:textId="56E2FBEC" w:rsidR="00AB46B9"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2.3.7. </w:t>
            </w:r>
            <w:r w:rsidR="00AB46B9" w:rsidRPr="00225CC0">
              <w:rPr>
                <w:rFonts w:ascii="Times New Roman" w:hAnsi="Times New Roman" w:cs="Times New Roman"/>
                <w:szCs w:val="24"/>
              </w:rPr>
              <w:t>AER tehnoloģiju ieviešana vienģimeņu un divģimeņu dzīvojamās mājās atbalstot vismaz 1000 mājsaimniecību;</w:t>
            </w:r>
          </w:p>
          <w:p w14:paraId="4084B22B" w14:textId="20460713" w:rsidR="002A72BD" w:rsidRPr="007B4F8F"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2.3.8. </w:t>
            </w:r>
            <w:r w:rsidR="002A72BD" w:rsidRPr="007B4F8F">
              <w:rPr>
                <w:rFonts w:ascii="Times New Roman" w:hAnsi="Times New Roman" w:cs="Times New Roman"/>
                <w:szCs w:val="24"/>
              </w:rPr>
              <w:t>Atbalsts biometāna ražošanas (biogāzes attīrīšanas) iekārtu uzstādīšanai</w:t>
            </w:r>
          </w:p>
          <w:p w14:paraId="062DE79D" w14:textId="26EAB61C"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2.3.9. </w:t>
            </w:r>
            <w:r w:rsidR="00AB46B9" w:rsidRPr="00225CC0">
              <w:rPr>
                <w:rFonts w:ascii="Times New Roman" w:hAnsi="Times New Roman" w:cs="Times New Roman"/>
                <w:szCs w:val="24"/>
              </w:rPr>
              <w:t>Zinātnieku un uzņēmēju sadarbība AER 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1B1FF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DA62DD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391BD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8ED203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AD48DF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CAF640" w14:textId="722AE170"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2.4.</w:t>
            </w:r>
            <w:r w:rsidR="00AB46B9" w:rsidRPr="00225CC0">
              <w:rPr>
                <w:rFonts w:ascii="Times New Roman" w:eastAsia="Calibri" w:hAnsi="Times New Roman" w:cs="Times New Roman"/>
                <w:b/>
                <w:szCs w:val="24"/>
                <w:u w:val="single"/>
              </w:rPr>
              <w:t xml:space="preserve"> </w:t>
            </w:r>
            <w:r>
              <w:rPr>
                <w:rFonts w:ascii="Times New Roman" w:eastAsia="Calibri" w:hAnsi="Times New Roman" w:cs="Times New Roman"/>
                <w:b/>
                <w:szCs w:val="24"/>
                <w:u w:val="single"/>
              </w:rPr>
              <w:t>n</w:t>
            </w:r>
            <w:r w:rsidR="00AB46B9" w:rsidRPr="00225CC0">
              <w:rPr>
                <w:rFonts w:ascii="Times New Roman" w:eastAsia="Calibri" w:hAnsi="Times New Roman" w:cs="Times New Roman"/>
                <w:b/>
                <w:szCs w:val="24"/>
                <w:u w:val="single"/>
              </w:rPr>
              <w:t>odokļu politikas pasākumi</w:t>
            </w:r>
          </w:p>
          <w:p w14:paraId="7C735A15" w14:textId="34E77FEC" w:rsidR="007B4F8F"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2.4.1. </w:t>
            </w:r>
            <w:r w:rsidR="005470F3">
              <w:rPr>
                <w:rFonts w:ascii="Times New Roman" w:hAnsi="Times New Roman" w:cs="Times New Roman"/>
                <w:szCs w:val="24"/>
              </w:rPr>
              <w:t>izvērtēt nodokļu, piemēram, NĪN, IIN, PVN, sloga samazināšanas iespējas mājsaimniecībām saules kolektoru, siltumsūkņu vai aukstumsūkņu iegādei un uzstādīšanai</w:t>
            </w:r>
          </w:p>
        </w:tc>
        <w:tc>
          <w:tcPr>
            <w:tcW w:w="1417" w:type="dxa"/>
            <w:tcBorders>
              <w:top w:val="single" w:sz="4" w:space="0" w:color="auto"/>
              <w:left w:val="single" w:sz="4" w:space="0" w:color="auto"/>
              <w:bottom w:val="single" w:sz="4" w:space="0" w:color="auto"/>
              <w:right w:val="single" w:sz="4" w:space="0" w:color="auto"/>
            </w:tcBorders>
            <w:hideMark/>
          </w:tcPr>
          <w:p w14:paraId="0D2AE4DC" w14:textId="77777777" w:rsidR="001301BD"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FM</w:t>
            </w:r>
            <w:r w:rsidR="001301BD">
              <w:rPr>
                <w:rFonts w:ascii="Times New Roman" w:eastAsia="Calibri" w:hAnsi="Times New Roman" w:cs="Times New Roman"/>
                <w:szCs w:val="24"/>
              </w:rPr>
              <w:t>,</w:t>
            </w:r>
          </w:p>
          <w:p w14:paraId="7053C15A" w14:textId="51DAB27D" w:rsidR="00AB46B9" w:rsidRPr="00225CC0" w:rsidRDefault="001301BD"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692085" w14:textId="3A36F774" w:rsidR="00AB46B9" w:rsidRDefault="00824DAB"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5C114B43" w14:textId="77777777" w:rsidR="00824DAB" w:rsidRDefault="00824DAB" w:rsidP="00F060A0">
            <w:pPr>
              <w:spacing w:before="60" w:after="60" w:line="240" w:lineRule="auto"/>
              <w:jc w:val="center"/>
              <w:rPr>
                <w:rFonts w:ascii="Times New Roman" w:eastAsia="Calibri" w:hAnsi="Times New Roman" w:cs="Times New Roman"/>
                <w:i/>
                <w:szCs w:val="24"/>
              </w:rPr>
            </w:pPr>
          </w:p>
          <w:p w14:paraId="582D7EEC" w14:textId="15E83F8E" w:rsidR="00824DAB" w:rsidRPr="00225CC0" w:rsidRDefault="00824DAB" w:rsidP="00824DAB">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Valsts budžets, pašvaldību budžets</w:t>
            </w:r>
          </w:p>
        </w:tc>
        <w:tc>
          <w:tcPr>
            <w:tcW w:w="1985" w:type="dxa"/>
            <w:tcBorders>
              <w:top w:val="single" w:sz="4" w:space="0" w:color="auto"/>
              <w:left w:val="single" w:sz="4" w:space="0" w:color="auto"/>
              <w:bottom w:val="single" w:sz="4" w:space="0" w:color="auto"/>
              <w:right w:val="single" w:sz="4" w:space="0" w:color="auto"/>
            </w:tcBorders>
          </w:tcPr>
          <w:p w14:paraId="646B0CD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D927B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9CE87C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7A6F4F" w14:textId="1DFA882B"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2.</w:t>
            </w:r>
            <w:r w:rsidR="00BF5279">
              <w:rPr>
                <w:rFonts w:ascii="Times New Roman" w:eastAsia="Calibri" w:hAnsi="Times New Roman" w:cs="Times New Roman"/>
                <w:b/>
                <w:szCs w:val="24"/>
                <w:u w:val="single"/>
              </w:rPr>
              <w:t>5</w:t>
            </w:r>
            <w:r>
              <w:rPr>
                <w:rFonts w:ascii="Times New Roman" w:eastAsia="Calibri" w:hAnsi="Times New Roman" w:cs="Times New Roman"/>
                <w:b/>
                <w:szCs w:val="24"/>
                <w:u w:val="single"/>
              </w:rPr>
              <w:t>.</w:t>
            </w:r>
            <w:r w:rsidR="00AB46B9" w:rsidRPr="00225CC0">
              <w:rPr>
                <w:rFonts w:ascii="Times New Roman" w:eastAsia="Calibri" w:hAnsi="Times New Roman" w:cs="Times New Roman"/>
                <w:b/>
                <w:szCs w:val="24"/>
                <w:u w:val="single"/>
              </w:rPr>
              <w:t xml:space="preserve"> pienākumi</w:t>
            </w:r>
          </w:p>
          <w:p w14:paraId="3F0CFC1F" w14:textId="451D9606"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2.</w:t>
            </w:r>
            <w:r w:rsidR="00BF5279">
              <w:rPr>
                <w:rFonts w:ascii="Times New Roman" w:hAnsi="Times New Roman" w:cs="Times New Roman"/>
                <w:szCs w:val="24"/>
              </w:rPr>
              <w:t>5</w:t>
            </w:r>
            <w:r>
              <w:rPr>
                <w:rFonts w:ascii="Times New Roman" w:hAnsi="Times New Roman" w:cs="Times New Roman"/>
                <w:szCs w:val="24"/>
              </w:rPr>
              <w:t xml:space="preserve">.1. </w:t>
            </w:r>
            <w:r w:rsidR="00AB46B9" w:rsidRPr="00225CC0">
              <w:rPr>
                <w:rFonts w:ascii="Times New Roman" w:hAnsi="Times New Roman" w:cs="Times New Roman"/>
                <w:szCs w:val="24"/>
              </w:rPr>
              <w:t xml:space="preserve">obligāts </w:t>
            </w:r>
            <w:r w:rsidR="00BD4B0A">
              <w:rPr>
                <w:rFonts w:ascii="Times New Roman" w:hAnsi="Times New Roman" w:cs="Times New Roman"/>
                <w:szCs w:val="24"/>
              </w:rPr>
              <w:t xml:space="preserve">procentuāls </w:t>
            </w:r>
            <w:r w:rsidR="00AB46B9" w:rsidRPr="00225CC0">
              <w:rPr>
                <w:rFonts w:ascii="Times New Roman" w:hAnsi="Times New Roman" w:cs="Times New Roman"/>
                <w:szCs w:val="24"/>
              </w:rPr>
              <w:t>biogāzes (biometāna) piejaukums siltumenerģijas ražošanai izmantotajai dabasgāzei</w:t>
            </w:r>
            <w:r w:rsidR="00BD4B0A">
              <w:rPr>
                <w:rFonts w:ascii="Times New Roman" w:hAnsi="Times New Roman" w:cs="Times New Roman"/>
                <w:szCs w:val="24"/>
              </w:rPr>
              <w:t xml:space="preserve"> (pienākums)</w:t>
            </w:r>
          </w:p>
        </w:tc>
        <w:tc>
          <w:tcPr>
            <w:tcW w:w="1417" w:type="dxa"/>
            <w:tcBorders>
              <w:top w:val="single" w:sz="4" w:space="0" w:color="auto"/>
              <w:left w:val="single" w:sz="4" w:space="0" w:color="auto"/>
              <w:bottom w:val="single" w:sz="4" w:space="0" w:color="auto"/>
              <w:right w:val="single" w:sz="4" w:space="0" w:color="auto"/>
            </w:tcBorders>
            <w:hideMark/>
          </w:tcPr>
          <w:p w14:paraId="7031039B"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64430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586D195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732E9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4567FEF"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233CD1EA" w14:textId="67F52408"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3</w:t>
            </w:r>
            <w:r w:rsidR="007B4F8F">
              <w:rPr>
                <w:rFonts w:ascii="Times New Roman" w:eastAsia="Calibri" w:hAnsi="Times New Roman" w:cs="Times New Roman"/>
                <w:b/>
                <w:szCs w:val="24"/>
              </w:rPr>
              <w:t>.</w:t>
            </w:r>
            <w:r w:rsidRPr="00225CC0">
              <w:rPr>
                <w:rFonts w:ascii="Times New Roman" w:eastAsia="Calibri" w:hAnsi="Times New Roman" w:cs="Times New Roman"/>
                <w:b/>
                <w:szCs w:val="24"/>
              </w:rPr>
              <w:t xml:space="preserve"> Rīcībpolitika energoefektivitātes uzlabošanai CSA, LSA un individuālajā siltumapgādē un aukstumapgādē un ēkās (t.sk., rūpniecības, pakalpojumu un mājsaimniecību sektorā)</w:t>
            </w:r>
          </w:p>
          <w:p w14:paraId="6F4DBCF2" w14:textId="77777777"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47D11AE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6BC94" w14:textId="7CB1E096"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3.1.</w:t>
            </w:r>
            <w:r w:rsidR="00AB46B9" w:rsidRPr="00225CC0">
              <w:rPr>
                <w:rFonts w:ascii="Times New Roman" w:eastAsia="Calibri" w:hAnsi="Times New Roman" w:cs="Times New Roman"/>
                <w:b/>
                <w:szCs w:val="24"/>
                <w:u w:val="single"/>
              </w:rPr>
              <w:t xml:space="preserve"> Esošo ES fondu atbalsta programmu īstenošana esošajā apjomā</w:t>
            </w:r>
            <w:r w:rsidR="00AB46B9" w:rsidRPr="00225CC0">
              <w:rPr>
                <w:rFonts w:ascii="Times New Roman" w:eastAsia="Calibri" w:hAnsi="Times New Roman" w:cs="Times New Roman"/>
                <w:szCs w:val="24"/>
                <w:vertAlign w:val="superscript"/>
              </w:rPr>
              <w:footnoteReference w:id="288"/>
            </w:r>
          </w:p>
        </w:tc>
        <w:tc>
          <w:tcPr>
            <w:tcW w:w="1417" w:type="dxa"/>
            <w:vMerge w:val="restart"/>
            <w:tcBorders>
              <w:top w:val="single" w:sz="4" w:space="0" w:color="auto"/>
              <w:left w:val="single" w:sz="4" w:space="0" w:color="auto"/>
              <w:bottom w:val="single" w:sz="4" w:space="0" w:color="auto"/>
              <w:right w:val="single" w:sz="4" w:space="0" w:color="auto"/>
            </w:tcBorders>
            <w:hideMark/>
          </w:tcPr>
          <w:p w14:paraId="472D61E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123A48" w14:textId="1CCB73AE"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660 milj.EUR</w:t>
            </w:r>
          </w:p>
          <w:p w14:paraId="44219C26" w14:textId="587031A6" w:rsidR="00BD4B0A" w:rsidRDefault="00BD4B0A" w:rsidP="00225CC0">
            <w:pPr>
              <w:spacing w:before="60" w:after="60" w:line="240" w:lineRule="auto"/>
              <w:rPr>
                <w:rFonts w:ascii="Times New Roman" w:eastAsia="Calibri" w:hAnsi="Times New Roman" w:cs="Times New Roman"/>
                <w:szCs w:val="24"/>
              </w:rPr>
            </w:pPr>
          </w:p>
          <w:p w14:paraId="463512B9"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632D90F5" w14:textId="565A6A10"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746D97D0" w14:textId="632C1A08"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lastRenderedPageBreak/>
              <w:t>Valsts budžets</w:t>
            </w:r>
          </w:p>
          <w:p w14:paraId="2DEF93BA" w14:textId="3153B091" w:rsidR="00BD4B0A" w:rsidRPr="00F060A0"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42E5D7D2" w14:textId="0BC857DF" w:rsidR="00BD4B0A" w:rsidRDefault="00BD4B0A" w:rsidP="00225CC0">
            <w:pPr>
              <w:spacing w:before="60" w:after="60" w:line="240" w:lineRule="auto"/>
              <w:rPr>
                <w:rFonts w:ascii="Times New Roman" w:eastAsia="Calibri" w:hAnsi="Times New Roman" w:cs="Times New Roman"/>
                <w:szCs w:val="24"/>
              </w:rPr>
            </w:pPr>
          </w:p>
          <w:p w14:paraId="1FDFBD76" w14:textId="77777777" w:rsidR="00BD4B0A" w:rsidRPr="00225CC0" w:rsidRDefault="00BD4B0A" w:rsidP="00225CC0">
            <w:pPr>
              <w:spacing w:before="60" w:after="60" w:line="240" w:lineRule="auto"/>
              <w:rPr>
                <w:rFonts w:ascii="Times New Roman" w:eastAsia="Calibri" w:hAnsi="Times New Roman" w:cs="Times New Roman"/>
                <w:szCs w:val="24"/>
              </w:rPr>
            </w:pPr>
          </w:p>
          <w:p w14:paraId="5D52A1B0" w14:textId="77777777" w:rsidR="00AB46B9" w:rsidRPr="00225CC0" w:rsidRDefault="00AB46B9" w:rsidP="00225CC0">
            <w:pPr>
              <w:spacing w:before="60" w:after="60" w:line="240" w:lineRule="auto"/>
              <w:rPr>
                <w:rFonts w:ascii="Times New Roman" w:eastAsia="Calibri" w:hAnsi="Times New Roman" w:cs="Times New Roman"/>
                <w:szCs w:val="24"/>
              </w:rPr>
            </w:pPr>
          </w:p>
          <w:p w14:paraId="4611CC5B"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3D99CB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Indikatīvie rādītāji:</w:t>
            </w:r>
          </w:p>
          <w:p w14:paraId="3E5E1AA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1) Mājsaimniecību skaits ar uzlabotu enerģijas patēriņa klasifikāciju;</w:t>
            </w:r>
          </w:p>
          <w:p w14:paraId="3B307FE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2) Vidējais siltumenerģijas patēriņš apkurei daudzdzīvokļu dzīvojamās ēkās pēc energoefektivitātes paaugstināšanas pasākumu īstenošanas;</w:t>
            </w:r>
          </w:p>
          <w:p w14:paraId="4EA6E26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3) Primārās enerģijas gada patēriņa samazinājums sabiedriskajās ēkās;</w:t>
            </w:r>
          </w:p>
          <w:p w14:paraId="7349944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4) Enerģijas ietaupījums atbalstu saņēmušajiem rūpniecības nozares komersantiem;</w:t>
            </w:r>
          </w:p>
          <w:p w14:paraId="68CABE2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5) Rekonsturētie siltumtīkli;</w:t>
            </w:r>
          </w:p>
          <w:p w14:paraId="44EE1EA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6) Siltumenerģijas zudumu samazinājums rekonstruētajos siltumtīklos;</w:t>
            </w:r>
          </w:p>
          <w:p w14:paraId="7E1B053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7) Aprēķinātais siltumnīcefekta gāzu samazinājums gadā.</w:t>
            </w: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A42EA6" w14:textId="38F029C2"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Ener</w:t>
            </w:r>
            <w:r w:rsidR="00011268">
              <w:rPr>
                <w:rFonts w:ascii="Times New Roman" w:eastAsia="Calibri" w:hAnsi="Times New Roman" w:cs="Times New Roman"/>
                <w:szCs w:val="24"/>
              </w:rPr>
              <w:t>go</w:t>
            </w:r>
            <w:r w:rsidRPr="00225CC0">
              <w:rPr>
                <w:rFonts w:ascii="Times New Roman" w:eastAsia="Calibri" w:hAnsi="Times New Roman" w:cs="Times New Roman"/>
                <w:szCs w:val="24"/>
              </w:rPr>
              <w:t>efektivitātes pasākumi samazina kopējās sistēmas izmaksas par 0,1% no IKP.</w:t>
            </w:r>
          </w:p>
          <w:p w14:paraId="4E9E9981" w14:textId="77777777" w:rsidR="00AB46B9" w:rsidRPr="00225CC0" w:rsidRDefault="00AB46B9" w:rsidP="00225CC0">
            <w:pPr>
              <w:spacing w:before="60" w:after="60" w:line="240" w:lineRule="auto"/>
              <w:rPr>
                <w:rFonts w:ascii="Times New Roman" w:eastAsia="Calibri" w:hAnsi="Times New Roman" w:cs="Times New Roman"/>
                <w:szCs w:val="24"/>
              </w:rPr>
            </w:pPr>
          </w:p>
          <w:p w14:paraId="3573C5C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Vidējais specifiskais enerģijas patēriņš apkurei dzīvojamās ēkās samazinās 2030.gadā pret esošo par 21,5%.</w:t>
            </w:r>
          </w:p>
          <w:p w14:paraId="35781E71" w14:textId="77777777" w:rsidR="00AB46B9" w:rsidRPr="00225CC0" w:rsidRDefault="00AB46B9" w:rsidP="00225CC0">
            <w:pPr>
              <w:spacing w:before="60" w:after="60" w:line="240" w:lineRule="auto"/>
              <w:rPr>
                <w:rFonts w:ascii="Times New Roman" w:eastAsia="Calibri" w:hAnsi="Times New Roman" w:cs="Times New Roman"/>
                <w:szCs w:val="24"/>
              </w:rPr>
            </w:pPr>
          </w:p>
          <w:p w14:paraId="5C34AE2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Renovētas ir apmēram 25% no dzīvojamām ēkām</w:t>
            </w:r>
          </w:p>
          <w:p w14:paraId="6C0973CA" w14:textId="77777777" w:rsidR="00AB46B9" w:rsidRPr="00225CC0" w:rsidRDefault="00AB46B9" w:rsidP="00225CC0">
            <w:pPr>
              <w:spacing w:before="60" w:after="60" w:line="240" w:lineRule="auto"/>
              <w:rPr>
                <w:rFonts w:ascii="Times New Roman" w:eastAsia="Calibri" w:hAnsi="Times New Roman" w:cs="Times New Roman"/>
                <w:szCs w:val="24"/>
              </w:rPr>
            </w:pPr>
          </w:p>
          <w:p w14:paraId="41AC0EFC" w14:textId="77777777" w:rsidR="00AB46B9" w:rsidRPr="00225CC0" w:rsidRDefault="00AB46B9" w:rsidP="00225CC0">
            <w:pPr>
              <w:spacing w:before="60" w:after="60" w:line="240" w:lineRule="auto"/>
              <w:rPr>
                <w:rFonts w:ascii="Times New Roman" w:eastAsia="Calibri" w:hAnsi="Times New Roman" w:cs="Times New Roman"/>
                <w:szCs w:val="24"/>
              </w:rPr>
            </w:pPr>
          </w:p>
          <w:p w14:paraId="00C7A41B" w14:textId="77777777" w:rsidR="00AB46B9" w:rsidRPr="00225CC0" w:rsidRDefault="00AB46B9" w:rsidP="00225CC0">
            <w:pPr>
              <w:spacing w:before="60" w:after="60" w:line="240" w:lineRule="auto"/>
              <w:rPr>
                <w:rFonts w:ascii="Times New Roman" w:eastAsia="Calibri" w:hAnsi="Times New Roman" w:cs="Times New Roman"/>
                <w:szCs w:val="24"/>
              </w:rPr>
            </w:pPr>
          </w:p>
          <w:p w14:paraId="05EF490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FF39EF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0236AB" w14:textId="7602885B"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3.2.</w:t>
            </w:r>
            <w:r w:rsidR="00AB46B9" w:rsidRPr="00225CC0">
              <w:rPr>
                <w:rFonts w:ascii="Times New Roman" w:eastAsia="Calibri" w:hAnsi="Times New Roman" w:cs="Times New Roman"/>
                <w:b/>
                <w:szCs w:val="24"/>
                <w:u w:val="single"/>
              </w:rPr>
              <w:t xml:space="preserve"> Esošo ES fondu atbalsta programmu īstenošana augstākā apjomā</w:t>
            </w:r>
          </w:p>
          <w:p w14:paraId="3BF8066D" w14:textId="0F91388F"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3.2.1. </w:t>
            </w:r>
            <w:r w:rsidR="00AB46B9" w:rsidRPr="00225CC0">
              <w:rPr>
                <w:rFonts w:ascii="Times New Roman" w:hAnsi="Times New Roman" w:cs="Times New Roman"/>
                <w:szCs w:val="24"/>
              </w:rPr>
              <w:t>par 30% vairāk renovētu platību (vēlams sasniegt 2 milj. m</w:t>
            </w:r>
            <w:r w:rsidR="00AB46B9" w:rsidRPr="00225CC0">
              <w:rPr>
                <w:rFonts w:ascii="Times New Roman" w:hAnsi="Times New Roman" w:cs="Times New Roman"/>
                <w:szCs w:val="24"/>
                <w:vertAlign w:val="superscript"/>
              </w:rPr>
              <w:t>2</w:t>
            </w:r>
            <w:r w:rsidR="00AB46B9" w:rsidRPr="00225CC0">
              <w:rPr>
                <w:rFonts w:ascii="Times New Roman" w:hAnsi="Times New Roman" w:cs="Times New Roman"/>
                <w:szCs w:val="24"/>
              </w:rPr>
              <w:t xml:space="preserve"> renovētās platības visā periodā);</w:t>
            </w:r>
          </w:p>
          <w:p w14:paraId="351B684D" w14:textId="4ADF2935"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3.2.2. </w:t>
            </w:r>
            <w:r w:rsidR="00AB46B9" w:rsidRPr="00225CC0">
              <w:rPr>
                <w:rFonts w:ascii="Times New Roman" w:hAnsi="Times New Roman" w:cs="Times New Roman"/>
                <w:szCs w:val="24"/>
              </w:rPr>
              <w:t xml:space="preserve">par 30% mazāks īpatnējais siltumenerģijas patēriņš ēkās (vēlams sasniegt </w:t>
            </w:r>
            <w:r w:rsidR="00AB46B9" w:rsidRPr="00225CC0">
              <w:rPr>
                <w:rFonts w:ascii="Times New Roman" w:hAnsi="Times New Roman" w:cs="Times New Roman"/>
                <w:color w:val="000000" w:themeColor="text1"/>
                <w:szCs w:val="24"/>
              </w:rPr>
              <w:t>&lt;100 kWh/m</w:t>
            </w:r>
            <w:r w:rsidR="00AB46B9" w:rsidRPr="00225CC0">
              <w:rPr>
                <w:rFonts w:ascii="Times New Roman" w:hAnsi="Times New Roman" w:cs="Times New Roman"/>
                <w:color w:val="000000" w:themeColor="text1"/>
                <w:szCs w:val="24"/>
                <w:vertAlign w:val="superscript"/>
              </w:rPr>
              <w:t xml:space="preserve">2 </w:t>
            </w:r>
            <w:r w:rsidR="00AB46B9" w:rsidRPr="00225CC0">
              <w:rPr>
                <w:rFonts w:ascii="Times New Roman" w:hAnsi="Times New Roman" w:cs="Times New Roman"/>
                <w:color w:val="000000" w:themeColor="text1"/>
                <w:szCs w:val="24"/>
              </w:rPr>
              <w:t>gadā;</w:t>
            </w:r>
          </w:p>
          <w:p w14:paraId="777D309B" w14:textId="042965BE" w:rsidR="00AB46B9" w:rsidRPr="00225CC0" w:rsidRDefault="007B4F8F" w:rsidP="007B4F8F">
            <w:pPr>
              <w:spacing w:before="60" w:after="60" w:line="240" w:lineRule="auto"/>
              <w:rPr>
                <w:rFonts w:ascii="Times New Roman" w:hAnsi="Times New Roman" w:cs="Times New Roman"/>
                <w:b/>
                <w:szCs w:val="24"/>
                <w:u w:val="single"/>
              </w:rPr>
            </w:pPr>
            <w:r>
              <w:rPr>
                <w:rFonts w:ascii="Times New Roman" w:hAnsi="Times New Roman" w:cs="Times New Roman"/>
                <w:color w:val="000000" w:themeColor="text1"/>
                <w:szCs w:val="24"/>
              </w:rPr>
              <w:t xml:space="preserve">3.2.3. </w:t>
            </w:r>
            <w:r w:rsidR="00AB46B9" w:rsidRPr="00225CC0">
              <w:rPr>
                <w:rFonts w:ascii="Times New Roman" w:hAnsi="Times New Roman" w:cs="Times New Roman"/>
                <w:color w:val="000000" w:themeColor="text1"/>
                <w:szCs w:val="24"/>
              </w:rPr>
              <w:t>ik gadu veikta valsts īpašumā esošo ēku energoefektivitātes paaugstināšana vismaz 3% apjomā no kopējās valsts īpašumā esošās energoneefektīvās platības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BE93F6"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23EFC56"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563636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0E86EE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9778E1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27082E" w14:textId="7276946A"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3</w:t>
            </w:r>
            <w:r w:rsidR="007B4F8F">
              <w:rPr>
                <w:rFonts w:ascii="Times New Roman" w:eastAsia="Calibri" w:hAnsi="Times New Roman" w:cs="Times New Roman"/>
                <w:b/>
                <w:szCs w:val="24"/>
                <w:u w:val="single"/>
              </w:rPr>
              <w:t>.3.</w:t>
            </w:r>
            <w:r w:rsidRPr="00225CC0">
              <w:rPr>
                <w:rFonts w:ascii="Times New Roman" w:eastAsia="Calibri" w:hAnsi="Times New Roman" w:cs="Times New Roman"/>
                <w:b/>
                <w:szCs w:val="24"/>
                <w:u w:val="single"/>
              </w:rPr>
              <w:t xml:space="preserve"> Jaunu ES fondu atbalsta programmu papildu aktivitātes:</w:t>
            </w:r>
          </w:p>
          <w:p w14:paraId="5471B65C" w14:textId="2B29D33F"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color w:val="000000" w:themeColor="text1"/>
                <w:szCs w:val="24"/>
              </w:rPr>
              <w:t xml:space="preserve">3.3.1. </w:t>
            </w:r>
            <w:r w:rsidR="00AB46B9" w:rsidRPr="00225CC0">
              <w:rPr>
                <w:rFonts w:ascii="Times New Roman" w:hAnsi="Times New Roman" w:cs="Times New Roman"/>
                <w:color w:val="000000" w:themeColor="text1"/>
                <w:szCs w:val="24"/>
              </w:rPr>
              <w:t xml:space="preserve">vismaz 1000 privātmājās ir veikti enerģijas ietaupījumu katalogā iekļautie </w:t>
            </w:r>
            <w:r w:rsidR="00AB46B9" w:rsidRPr="00225CC0">
              <w:rPr>
                <w:rFonts w:ascii="Times New Roman" w:hAnsi="Times New Roman" w:cs="Times New Roman"/>
                <w:szCs w:val="24"/>
              </w:rPr>
              <w:t>māju energoefektivitātes uzlabošanas pasākumi;</w:t>
            </w:r>
          </w:p>
          <w:p w14:paraId="296DC59C" w14:textId="11141901" w:rsidR="00AB46B9" w:rsidRPr="00225CC0" w:rsidRDefault="007B4F8F" w:rsidP="007B4F8F">
            <w:pPr>
              <w:spacing w:before="60" w:after="60" w:line="240" w:lineRule="auto"/>
              <w:rPr>
                <w:rFonts w:ascii="Times New Roman" w:hAnsi="Times New Roman" w:cs="Times New Roman"/>
                <w:color w:val="000000" w:themeColor="text1"/>
                <w:szCs w:val="24"/>
              </w:rPr>
            </w:pPr>
            <w:r>
              <w:rPr>
                <w:rFonts w:ascii="Times New Roman" w:hAnsi="Times New Roman" w:cs="Times New Roman"/>
                <w:szCs w:val="24"/>
              </w:rPr>
              <w:t xml:space="preserve">3.3.2. </w:t>
            </w:r>
            <w:r w:rsidR="00AB46B9" w:rsidRPr="00225CC0">
              <w:rPr>
                <w:rFonts w:ascii="Times New Roman" w:hAnsi="Times New Roman" w:cs="Times New Roman"/>
                <w:szCs w:val="24"/>
              </w:rPr>
              <w:t>neliela skaita ēku kompleksu atjaunošana, tai skaitā ēku kompleksa atjaunošana, samazinot patērētās siltumenerģijas apjomu</w:t>
            </w:r>
            <w:r w:rsidR="00DB3E12">
              <w:rPr>
                <w:rFonts w:ascii="Times New Roman" w:hAnsi="Times New Roman" w:cs="Times New Roman"/>
                <w:szCs w:val="24"/>
              </w:rPr>
              <w:t xml:space="preserve"> (apkures sistēmu uzstādīšanā dodot priekšroku tādām iekārtām, kas atbilst Regulā 2015/1189</w:t>
            </w:r>
            <w:r w:rsidR="00DB3E12">
              <w:rPr>
                <w:rStyle w:val="FootnoteReference"/>
                <w:rFonts w:ascii="Times New Roman" w:hAnsi="Times New Roman" w:cs="Times New Roman"/>
                <w:szCs w:val="24"/>
              </w:rPr>
              <w:footnoteReference w:id="289"/>
            </w:r>
            <w:r w:rsidR="00DB3E12">
              <w:rPr>
                <w:rFonts w:ascii="Times New Roman" w:hAnsi="Times New Roman" w:cs="Times New Roman"/>
                <w:szCs w:val="24"/>
              </w:rPr>
              <w:t xml:space="preserve"> noteiktajām emisiju un efektivitātes prasībām</w:t>
            </w:r>
            <w:r w:rsidR="009654DA">
              <w:rPr>
                <w:rFonts w:ascii="Times New Roman" w:hAnsi="Times New Roman" w:cs="Times New Roman"/>
                <w:szCs w:val="24"/>
              </w:rPr>
              <w:t>, kas stāsies spēkā no 2022.gada</w:t>
            </w:r>
            <w:r w:rsidR="00DB3E12">
              <w:rPr>
                <w:rFonts w:ascii="Times New Roman" w:hAnsi="Times New Roman" w:cs="Times New Roman"/>
                <w:szCs w:val="24"/>
              </w:rPr>
              <w:t>)</w:t>
            </w:r>
            <w:r w:rsidR="00AB46B9" w:rsidRPr="00225CC0">
              <w:rPr>
                <w:rFonts w:ascii="Times New Roman" w:hAnsi="Times New Roman" w:cs="Times New Roman"/>
                <w:szCs w:val="24"/>
              </w:rPr>
              <w:t>;</w:t>
            </w:r>
          </w:p>
          <w:p w14:paraId="7342B182" w14:textId="04904FC4"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color w:val="000000" w:themeColor="text1"/>
                <w:szCs w:val="24"/>
              </w:rPr>
              <w:t xml:space="preserve">3.3.3. </w:t>
            </w:r>
            <w:r w:rsidR="00AB46B9" w:rsidRPr="00225CC0">
              <w:rPr>
                <w:rFonts w:ascii="Times New Roman" w:hAnsi="Times New Roman" w:cs="Times New Roman"/>
                <w:color w:val="000000" w:themeColor="text1"/>
                <w:szCs w:val="24"/>
              </w:rPr>
              <w:t xml:space="preserve">modernizētas esošās CSA un LSA jaudas un veikta pāreja uz AER un elektroenerģiju ka siltuma avotu (elektriskā apkure). </w:t>
            </w:r>
          </w:p>
          <w:p w14:paraId="60A0BF23" w14:textId="279BEA15"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3.3.4. </w:t>
            </w:r>
            <w:r w:rsidR="00AB46B9" w:rsidRPr="00225CC0">
              <w:rPr>
                <w:rFonts w:ascii="Times New Roman" w:hAnsi="Times New Roman" w:cs="Times New Roman"/>
                <w:szCs w:val="24"/>
              </w:rPr>
              <w:t>rekonstruēti CSA  un LSA tīkli samazinot zudumus (vidēja mēroga pilsētās, kur vēl ir potenciāls) energoefektīvas AA ieviešana publiskajās un dzīvojamās ēkās (zemes aukstumsūkņi, lielās ūdenstilpnēs esošā ūdens izmantošana, esošās CSA un LSA infrastruktūras pielāgošana AA izmantošanai ēkās);</w:t>
            </w:r>
          </w:p>
          <w:p w14:paraId="11D185BF" w14:textId="7C9968A2"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3.3.5. </w:t>
            </w:r>
            <w:r w:rsidR="00AB46B9" w:rsidRPr="00225CC0">
              <w:rPr>
                <w:rFonts w:ascii="Times New Roman" w:hAnsi="Times New Roman" w:cs="Times New Roman"/>
                <w:szCs w:val="24"/>
              </w:rPr>
              <w:t>esošo rūpnieciskās ražošanas jaudu modernizēšana, uzstādot energoefektīvākas ražošanas un ražošanu nodrošinošas blakusprocesu iekārtas;</w:t>
            </w:r>
          </w:p>
          <w:p w14:paraId="5D03D222" w14:textId="585C8C87" w:rsidR="00AB46B9"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3.3.6. </w:t>
            </w:r>
            <w:r w:rsidR="00AB46B9" w:rsidRPr="00225CC0">
              <w:rPr>
                <w:rFonts w:ascii="Times New Roman" w:hAnsi="Times New Roman" w:cs="Times New Roman"/>
                <w:szCs w:val="24"/>
              </w:rPr>
              <w:t>ražošanas ēku un teritoriju sakārtošana, t.sk., ražošanas teritorijā esošo iekšējo un ārējo inženiertīklu un inženiersistēmu nomaiņa pret energoefektīvākām;</w:t>
            </w:r>
          </w:p>
          <w:p w14:paraId="2E04B6AC" w14:textId="16AC4C43" w:rsidR="00E80655"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3.3.7. </w:t>
            </w:r>
            <w:r w:rsidR="00E80655">
              <w:rPr>
                <w:rFonts w:ascii="Times New Roman" w:hAnsi="Times New Roman" w:cs="Times New Roman"/>
                <w:szCs w:val="24"/>
              </w:rPr>
              <w:t>brīvprātīgo vienošanos atbalsts</w:t>
            </w:r>
            <w:r w:rsidR="00DA3300">
              <w:rPr>
                <w:rFonts w:ascii="Times New Roman" w:hAnsi="Times New Roman" w:cs="Times New Roman"/>
                <w:szCs w:val="24"/>
              </w:rPr>
              <w:t xml:space="preserve"> (Energoefektivitātes fonda finansējums)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E0A680"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6030F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342B9D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31DF2AB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08E0271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941699" w14:textId="661A4EF1" w:rsidR="00AB46B9" w:rsidRPr="00225CC0" w:rsidRDefault="007B4F8F"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3.4.</w:t>
            </w:r>
            <w:r w:rsidR="00AB46B9" w:rsidRPr="00225CC0">
              <w:rPr>
                <w:rFonts w:ascii="Times New Roman" w:eastAsia="Calibri" w:hAnsi="Times New Roman" w:cs="Times New Roman"/>
                <w:b/>
                <w:szCs w:val="24"/>
                <w:u w:val="single"/>
              </w:rPr>
              <w:t xml:space="preserve"> nodokļu politikas pasākumi</w:t>
            </w:r>
          </w:p>
          <w:p w14:paraId="7E33D587" w14:textId="18979D23" w:rsidR="00AB46B9" w:rsidRPr="00225CC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3.4.1. </w:t>
            </w:r>
            <w:r w:rsidR="00AB46B9" w:rsidRPr="00225CC0">
              <w:rPr>
                <w:rFonts w:ascii="Times New Roman" w:hAnsi="Times New Roman" w:cs="Times New Roman"/>
                <w:szCs w:val="24"/>
              </w:rPr>
              <w: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DRN likmes palielinājums 20EUR-40EUR / 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visiem fosilajam kurināmajam visiem DRN maksātājiem – atļauja A vai B kategorijas piesārņojošās darbības veikšanai (&gt;5MW);</w:t>
            </w:r>
          </w:p>
          <w:p w14:paraId="2593961A" w14:textId="03AE8C2B" w:rsidR="00AB46B9" w:rsidRPr="00225CC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3.4.2. </w:t>
            </w:r>
            <w:r w:rsidR="00AB46B9" w:rsidRPr="00225CC0">
              <w:rPr>
                <w:rFonts w:ascii="Times New Roman" w:hAnsi="Times New Roman" w:cs="Times New Roman"/>
                <w:szCs w:val="24"/>
              </w:rPr>
              <w: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DRN piemērojums (50% apmērā) sadedzināšanas iekārtām no </w:t>
            </w:r>
            <w:r w:rsidR="002A72BD">
              <w:rPr>
                <w:rFonts w:ascii="Times New Roman" w:hAnsi="Times New Roman" w:cs="Times New Roman"/>
                <w:szCs w:val="24"/>
              </w:rPr>
              <w:t xml:space="preserve">0,2 </w:t>
            </w:r>
            <w:r w:rsidR="00AB46B9" w:rsidRPr="00225CC0">
              <w:rPr>
                <w:rFonts w:ascii="Times New Roman" w:hAnsi="Times New Roman" w:cs="Times New Roman"/>
                <w:szCs w:val="24"/>
              </w:rPr>
              <w:t>MW līdz 5</w:t>
            </w:r>
            <w:r w:rsidR="002A72BD">
              <w:rPr>
                <w:rFonts w:ascii="Times New Roman" w:hAnsi="Times New Roman" w:cs="Times New Roman"/>
                <w:szCs w:val="24"/>
              </w:rPr>
              <w:t xml:space="preserve"> </w:t>
            </w:r>
            <w:r w:rsidR="00AB46B9" w:rsidRPr="00225CC0">
              <w:rPr>
                <w:rFonts w:ascii="Times New Roman" w:hAnsi="Times New Roman" w:cs="Times New Roman"/>
                <w:szCs w:val="24"/>
              </w:rPr>
              <w:t>MW;</w:t>
            </w:r>
          </w:p>
          <w:p w14:paraId="29F2393D" w14:textId="4FCF48BA" w:rsidR="00AB46B9" w:rsidRPr="00FA730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3.4.3. </w:t>
            </w:r>
            <w:r w:rsidR="00AB46B9" w:rsidRPr="00225CC0">
              <w:rPr>
                <w:rFonts w:ascii="Times New Roman" w:hAnsi="Times New Roman" w:cs="Times New Roman"/>
                <w:szCs w:val="24"/>
              </w:rPr>
              <w: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DRN atbrīvojum</w:t>
            </w:r>
            <w:r w:rsidR="00E724FC">
              <w:rPr>
                <w:rFonts w:ascii="Times New Roman" w:hAnsi="Times New Roman" w:cs="Times New Roman"/>
                <w:szCs w:val="24"/>
              </w:rPr>
              <w:t>a kūdrai</w:t>
            </w:r>
            <w:r w:rsidR="002653B0">
              <w:rPr>
                <w:rFonts w:ascii="Times New Roman" w:hAnsi="Times New Roman" w:cs="Times New Roman"/>
                <w:szCs w:val="24"/>
              </w:rPr>
              <w:t xml:space="preserve"> </w:t>
            </w:r>
            <w:r w:rsidR="00E724FC">
              <w:rPr>
                <w:rFonts w:ascii="Times New Roman" w:hAnsi="Times New Roman" w:cs="Times New Roman"/>
                <w:szCs w:val="24"/>
              </w:rPr>
              <w:t>atcelšana</w:t>
            </w:r>
            <w:r w:rsidR="00FA7300">
              <w:rPr>
                <w:rFonts w:ascii="Times New Roman" w:hAnsi="Times New Roman" w:cs="Times New Roman"/>
                <w:szCs w:val="24"/>
              </w:rPr>
              <w:t>;</w:t>
            </w:r>
          </w:p>
          <w:p w14:paraId="4C8AB22D" w14:textId="324CA4D1" w:rsidR="00AB46B9" w:rsidRPr="00225CC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3.4.4. </w:t>
            </w:r>
            <w:r w:rsidR="00AB46B9" w:rsidRPr="00225CC0">
              <w:rPr>
                <w:rFonts w:ascii="Times New Roman" w:hAnsi="Times New Roman" w:cs="Times New Roman"/>
                <w:szCs w:val="24"/>
              </w:rPr>
              <w: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DRN likmes piemērošana (50% apjomā) stacionārām ēku apkures iekārtām ēkās, kurās ir tehniskās iespējas pieslēgties CSA;</w:t>
            </w:r>
          </w:p>
          <w:p w14:paraId="24DB8B14" w14:textId="0DE2F0BA" w:rsidR="00AB46B9" w:rsidRPr="00225CC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3.4.5. </w:t>
            </w:r>
            <w:r w:rsidR="00AB46B9" w:rsidRPr="00225CC0">
              <w:rPr>
                <w:rFonts w:ascii="Times New Roman" w:hAnsi="Times New Roman" w:cs="Times New Roman"/>
                <w:szCs w:val="24"/>
              </w:rPr>
              <w:t>Akcīzes nodokļa palielināšana fosilajam kurināmajam par 20%;</w:t>
            </w:r>
          </w:p>
          <w:p w14:paraId="15734886" w14:textId="2E4F24A3" w:rsidR="00AB46B9" w:rsidRPr="00225CC0" w:rsidRDefault="007B4F8F" w:rsidP="007B4F8F">
            <w:pPr>
              <w:spacing w:before="60" w:after="60" w:line="240" w:lineRule="auto"/>
              <w:rPr>
                <w:rFonts w:ascii="Times New Roman" w:hAnsi="Times New Roman" w:cs="Times New Roman"/>
                <w:szCs w:val="24"/>
                <w:vertAlign w:val="subscript"/>
              </w:rPr>
            </w:pPr>
            <w:r>
              <w:rPr>
                <w:rFonts w:ascii="Times New Roman" w:hAnsi="Times New Roman" w:cs="Times New Roman"/>
                <w:szCs w:val="24"/>
              </w:rPr>
              <w:t xml:space="preserve">3.4.6. </w:t>
            </w:r>
            <w:r w:rsidR="00AB46B9" w:rsidRPr="00225CC0">
              <w:rPr>
                <w:rFonts w:ascii="Times New Roman" w:hAnsi="Times New Roman" w:cs="Times New Roman"/>
                <w:szCs w:val="24"/>
              </w:rPr>
              <w:t>DRN un akcīzes nodokļa uzskaites sistēmas pilnveidošana;</w:t>
            </w:r>
          </w:p>
          <w:p w14:paraId="2F5A3CEE" w14:textId="394D67D8" w:rsidR="005470F3" w:rsidRPr="00686B2A"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t xml:space="preserve">3.4.7. </w:t>
            </w:r>
            <w:r w:rsidR="005470F3" w:rsidRPr="005470F3">
              <w:rPr>
                <w:rFonts w:ascii="Times New Roman" w:hAnsi="Times New Roman" w:cs="Times New Roman"/>
                <w:szCs w:val="24"/>
              </w:rPr>
              <w:t xml:space="preserve">izvērtēt nodokļu, piemēram, NĪN, IIN, PVN, sloga samazināšanas iespējas mājsaimniecībām </w:t>
            </w:r>
            <w:r w:rsidR="005470F3" w:rsidRPr="00686B2A">
              <w:rPr>
                <w:rFonts w:ascii="Times New Roman" w:hAnsi="Times New Roman" w:cs="Times New Roman"/>
                <w:szCs w:val="24"/>
              </w:rPr>
              <w:t>energoefektivitātes uzlabošanas pasākumu veikšanai</w:t>
            </w:r>
          </w:p>
          <w:p w14:paraId="1282E1F5" w14:textId="08F3AD50" w:rsidR="00AB46B9" w:rsidRPr="00225CC0" w:rsidRDefault="007B4F8F" w:rsidP="007B4F8F">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3.4.8. </w:t>
            </w: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DRN </w:t>
            </w:r>
            <w:r w:rsidR="00BF5279">
              <w:rPr>
                <w:rFonts w:ascii="Times New Roman" w:hAnsi="Times New Roman" w:cs="Times New Roman"/>
                <w:szCs w:val="24"/>
              </w:rPr>
              <w:t xml:space="preserve">papildu </w:t>
            </w:r>
            <w:r>
              <w:rPr>
                <w:rFonts w:ascii="Times New Roman" w:hAnsi="Times New Roman" w:cs="Times New Roman"/>
                <w:szCs w:val="24"/>
              </w:rPr>
              <w:t>palielinājums jaunu uzstādīto dabasgāzes katlu dabasgāzes (fosilās)</w:t>
            </w:r>
            <w:r w:rsidRPr="00225CC0">
              <w:rPr>
                <w:rFonts w:ascii="Times New Roman" w:hAnsi="Times New Roman" w:cs="Times New Roman"/>
                <w:szCs w:val="24"/>
              </w:rPr>
              <w:t xml:space="preserve"> siltuma katlu LSA/CSA</w:t>
            </w:r>
            <w:r>
              <w:rPr>
                <w:rFonts w:ascii="Times New Roman" w:hAnsi="Times New Roman" w:cs="Times New Roman"/>
                <w:szCs w:val="24"/>
              </w:rPr>
              <w:t xml:space="preserve"> patēriņam</w:t>
            </w:r>
            <w:r w:rsidRPr="00225CC0">
              <w:rPr>
                <w:rFonts w:ascii="Times New Roman" w:hAnsi="Times New Roman" w:cs="Times New Roman"/>
                <w:szCs w:val="24"/>
              </w:rPr>
              <w:t>,</w:t>
            </w:r>
            <w:r>
              <w:rPr>
                <w:rFonts w:ascii="Times New Roman" w:hAnsi="Times New Roman" w:cs="Times New Roman"/>
                <w:szCs w:val="24"/>
              </w:rPr>
              <w:t xml:space="preserve"> tiem, kas ir uzstādīti rezerves un</w:t>
            </w:r>
            <w:r w:rsidRPr="00225CC0">
              <w:rPr>
                <w:rFonts w:ascii="Times New Roman" w:hAnsi="Times New Roman" w:cs="Times New Roman"/>
                <w:szCs w:val="24"/>
              </w:rPr>
              <w:t xml:space="preserve"> </w:t>
            </w:r>
            <w:r>
              <w:rPr>
                <w:rFonts w:ascii="Times New Roman" w:hAnsi="Times New Roman" w:cs="Times New Roman"/>
                <w:szCs w:val="24"/>
              </w:rPr>
              <w:t>pīķa jaudu nodrošināšanai</w:t>
            </w:r>
          </w:p>
        </w:tc>
        <w:tc>
          <w:tcPr>
            <w:tcW w:w="1417" w:type="dxa"/>
            <w:tcBorders>
              <w:top w:val="single" w:sz="4" w:space="0" w:color="auto"/>
              <w:left w:val="single" w:sz="4" w:space="0" w:color="auto"/>
              <w:bottom w:val="single" w:sz="4" w:space="0" w:color="auto"/>
              <w:right w:val="single" w:sz="4" w:space="0" w:color="auto"/>
            </w:tcBorders>
            <w:hideMark/>
          </w:tcPr>
          <w:p w14:paraId="3022CE75" w14:textId="77777777" w:rsidR="001301BD"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 xml:space="preserve">FM, </w:t>
            </w:r>
          </w:p>
          <w:p w14:paraId="42233411" w14:textId="1A29BE56" w:rsidR="00AB46B9" w:rsidRPr="00225CC0" w:rsidRDefault="001301BD"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C8F3F3" w14:textId="69BFFC26" w:rsidR="00AB46B9" w:rsidRDefault="00BD4B0A"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3E87F0C4" w14:textId="77777777" w:rsidR="00BD4B0A" w:rsidRDefault="00BD4B0A" w:rsidP="00F060A0">
            <w:pPr>
              <w:spacing w:before="60" w:after="60" w:line="240" w:lineRule="auto"/>
              <w:jc w:val="center"/>
              <w:rPr>
                <w:rFonts w:ascii="Times New Roman" w:eastAsia="Calibri" w:hAnsi="Times New Roman" w:cs="Times New Roman"/>
                <w:i/>
                <w:szCs w:val="24"/>
              </w:rPr>
            </w:pPr>
          </w:p>
          <w:p w14:paraId="155D6501"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5B9155A1" w14:textId="4B90177E" w:rsidR="00BD4B0A" w:rsidRPr="00225CC0" w:rsidRDefault="00BD4B0A" w:rsidP="00BD4B0A">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718ED91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02ABB1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2575D1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C9BBE2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DDAED3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2CADAA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4B330EC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0CA1D5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4D5606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8E07E0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74EB3D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1564A3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66B387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2A62F8F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31F4EDC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C519B1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1B6BD7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A8FFD8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0FD5EA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325629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C443BF4" w14:textId="77777777" w:rsidR="00AB46B9" w:rsidRPr="00225CC0" w:rsidRDefault="00AB46B9" w:rsidP="00225CC0">
            <w:pPr>
              <w:spacing w:before="60" w:after="60" w:line="240" w:lineRule="auto"/>
              <w:rPr>
                <w:rFonts w:ascii="Times New Roman" w:hAnsi="Times New Roman" w:cs="Times New Roman"/>
                <w:szCs w:val="24"/>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BCFEA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Nodokļiem ir ietekme uz enerģijas galapatēriņu. CO</w:t>
            </w:r>
            <w:r w:rsidRPr="00225CC0">
              <w:rPr>
                <w:rFonts w:ascii="Times New Roman" w:eastAsia="Calibri" w:hAnsi="Times New Roman" w:cs="Times New Roman"/>
                <w:szCs w:val="24"/>
                <w:vertAlign w:val="subscript"/>
              </w:rPr>
              <w:t>2</w:t>
            </w:r>
            <w:r w:rsidRPr="00225CC0">
              <w:rPr>
                <w:rFonts w:ascii="Times New Roman" w:eastAsia="Calibri" w:hAnsi="Times New Roman" w:cs="Times New Roman"/>
                <w:szCs w:val="24"/>
              </w:rPr>
              <w:t xml:space="preserve"> DRN likmes un akcīzes nodokļa likmes palielinājums par 20% nodrošina enerģijas galapatēriņa ietaupījumu par apmēram 7,8 PJ uz 2030.gadu, savukārt CO</w:t>
            </w:r>
            <w:r w:rsidRPr="00225CC0">
              <w:rPr>
                <w:rFonts w:ascii="Times New Roman" w:eastAsia="Calibri" w:hAnsi="Times New Roman" w:cs="Times New Roman"/>
                <w:szCs w:val="24"/>
                <w:vertAlign w:val="subscript"/>
              </w:rPr>
              <w:t>2</w:t>
            </w:r>
            <w:r w:rsidRPr="00225CC0">
              <w:rPr>
                <w:rFonts w:ascii="Times New Roman" w:eastAsia="Calibri" w:hAnsi="Times New Roman" w:cs="Times New Roman"/>
                <w:szCs w:val="24"/>
              </w:rPr>
              <w:t xml:space="preserve"> DRN likmes un akcīzes nodokļa likmes palielinājums par 40% nodrošina enerģijas galapatēriņa samazinājumu par apmēram 8 PJ uz 2030.gadu. Kas attiecīgi </w:t>
            </w:r>
            <w:r w:rsidRPr="00225CC0">
              <w:rPr>
                <w:rFonts w:ascii="Times New Roman" w:eastAsia="Calibri" w:hAnsi="Times New Roman" w:cs="Times New Roman"/>
                <w:szCs w:val="24"/>
              </w:rPr>
              <w:lastRenderedPageBreak/>
              <w:t>ir 5,2% un 5,4% pret kopējo patēriņu Bāzes scenārijā.</w:t>
            </w:r>
          </w:p>
          <w:p w14:paraId="4D81D54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Nodokļu piemērošana samazina enerģijas galapatēriņu un līdz ar to enerģētikas sistēmas kopējās izmaksas.  2020 – 2035 gada periodā sistēmas kopējās izmaksas ir par apmēram 0,28% mazākas nekā bāzes scenārijā</w:t>
            </w:r>
          </w:p>
        </w:tc>
      </w:tr>
      <w:tr w:rsidR="00156A1B" w:rsidRPr="00225CC0" w14:paraId="76AE217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ED9847" w14:textId="176494EF" w:rsidR="00156A1B"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lastRenderedPageBreak/>
              <w:t xml:space="preserve">3.5. </w:t>
            </w:r>
            <w:r w:rsidR="00156A1B" w:rsidRPr="00225CC0">
              <w:rPr>
                <w:rFonts w:ascii="Times New Roman" w:eastAsia="Calibri" w:hAnsi="Times New Roman" w:cs="Times New Roman"/>
                <w:b/>
                <w:szCs w:val="24"/>
                <w:u w:val="single"/>
              </w:rPr>
              <w:t>likumdošanas izmaiņas</w:t>
            </w:r>
          </w:p>
          <w:p w14:paraId="129B2AAE" w14:textId="6AE4DB31" w:rsidR="00156A1B"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3.5.1. </w:t>
            </w:r>
            <w:r w:rsidR="00156A1B" w:rsidRPr="00225CC0">
              <w:rPr>
                <w:rFonts w:ascii="Times New Roman" w:hAnsi="Times New Roman" w:cs="Times New Roman"/>
                <w:szCs w:val="24"/>
              </w:rPr>
              <w:t>būvnormatīvu pārskats</w:t>
            </w:r>
            <w:r w:rsidR="00156A1B" w:rsidRPr="00225CC0">
              <w:rPr>
                <w:rFonts w:ascii="Times New Roman" w:hAnsi="Times New Roman" w:cs="Times New Roman"/>
                <w:szCs w:val="24"/>
                <w:vertAlign w:val="superscript"/>
              </w:rPr>
              <w:footnoteReference w:id="290"/>
            </w:r>
            <w:r w:rsidR="00156A1B" w:rsidRPr="00225CC0">
              <w:rPr>
                <w:rFonts w:ascii="Times New Roman" w:hAnsi="Times New Roman" w:cs="Times New Roman"/>
                <w:szCs w:val="24"/>
              </w:rPr>
              <w:t>:</w:t>
            </w:r>
          </w:p>
          <w:p w14:paraId="40AA3CFC" w14:textId="1BE46C48" w:rsidR="009D51A8" w:rsidRPr="00F060A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3.5.1.1. </w:t>
            </w:r>
            <w:r w:rsidR="009D51A8" w:rsidRPr="00F060A0">
              <w:rPr>
                <w:rFonts w:ascii="Times New Roman" w:hAnsi="Times New Roman" w:cs="Times New Roman"/>
                <w:szCs w:val="24"/>
              </w:rPr>
              <w:t>energoefektivitātes prasības jaunām ēkām – gandrīz nulles enerģijas ēkas</w:t>
            </w:r>
          </w:p>
          <w:p w14:paraId="3DB1E8D7" w14:textId="74D91BF4" w:rsidR="009D51A8" w:rsidRPr="009D51A8"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3.5.1.2. </w:t>
            </w:r>
            <w:r w:rsidR="009D51A8" w:rsidRPr="00F060A0">
              <w:rPr>
                <w:rFonts w:ascii="Times New Roman" w:hAnsi="Times New Roman" w:cs="Times New Roman"/>
                <w:szCs w:val="24"/>
              </w:rPr>
              <w:t>ēku inženiertīklu energoefektivitātes prasības</w:t>
            </w:r>
          </w:p>
          <w:p w14:paraId="65C0FE45" w14:textId="5AB9DB79" w:rsidR="00156A1B"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3.5.1.3. </w:t>
            </w:r>
            <w:r w:rsidR="00156A1B" w:rsidRPr="00225CC0">
              <w:rPr>
                <w:rFonts w:ascii="Times New Roman" w:hAnsi="Times New Roman" w:cs="Times New Roman"/>
                <w:szCs w:val="24"/>
              </w:rPr>
              <w:t>paaugstinot ēku energoefektivitātes minimālo pieļaujamo līmeni jaunbūvēm</w:t>
            </w:r>
          </w:p>
          <w:p w14:paraId="37E78B96" w14:textId="4729339A" w:rsidR="00156A1B"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3.5.1.4. </w:t>
            </w:r>
            <w:r w:rsidR="00156A1B" w:rsidRPr="00225CC0">
              <w:rPr>
                <w:rFonts w:ascii="Times New Roman" w:hAnsi="Times New Roman" w:cs="Times New Roman"/>
                <w:szCs w:val="24"/>
              </w:rPr>
              <w:t>paaugstinot minimālās prasības ēku norobežojošo konstrukciju siltumtehnikai</w:t>
            </w:r>
          </w:p>
          <w:p w14:paraId="48E2D042" w14:textId="63381B00" w:rsidR="00156A1B" w:rsidRPr="00156A1B"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3.5.1.5. </w:t>
            </w:r>
            <w:r w:rsidR="00156A1B" w:rsidRPr="00225CC0">
              <w:rPr>
                <w:rFonts w:ascii="Times New Roman" w:hAnsi="Times New Roman" w:cs="Times New Roman"/>
                <w:szCs w:val="24"/>
              </w:rPr>
              <w:t>uzlabot mājokļu renovācijas informācijas pieejamību un ziņošanu par veiktajiem pasākumiem</w:t>
            </w:r>
          </w:p>
          <w:p w14:paraId="1765DBF3" w14:textId="320806C0" w:rsidR="00156A1B" w:rsidRPr="004937A1"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3.5.1.6. </w:t>
            </w:r>
            <w:r w:rsidR="00156A1B">
              <w:rPr>
                <w:rFonts w:ascii="Times New Roman" w:hAnsi="Times New Roman" w:cs="Times New Roman"/>
                <w:szCs w:val="24"/>
              </w:rPr>
              <w:t>nosakot pienākumu dzīvojamo platību uzturēšanas un uzlabošanas (inženiersistēmām) pienākumus</w:t>
            </w:r>
            <w:r w:rsidR="00BF1EE3">
              <w:rPr>
                <w:rFonts w:ascii="Times New Roman" w:hAnsi="Times New Roman" w:cs="Times New Roman"/>
                <w:szCs w:val="24"/>
              </w:rPr>
              <w:t>;</w:t>
            </w:r>
          </w:p>
          <w:p w14:paraId="617FD2BD" w14:textId="462B2DF8" w:rsidR="00BF1EE3" w:rsidRPr="004937A1"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3.5.1.7. </w:t>
            </w:r>
            <w:r w:rsidR="00BF1EE3" w:rsidRPr="004937A1">
              <w:rPr>
                <w:rFonts w:ascii="Times New Roman" w:hAnsi="Times New Roman" w:cs="Times New Roman"/>
                <w:szCs w:val="24"/>
              </w:rPr>
              <w:t>ēku energoefektivitātes nosacījumu ietvaros nosakot uzlādes punktu izveides prasības</w:t>
            </w:r>
          </w:p>
          <w:p w14:paraId="6202AA6F" w14:textId="1EB87BAD" w:rsidR="00156A1B" w:rsidRPr="00BF5279" w:rsidRDefault="00BF5279" w:rsidP="00BF5279">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 xml:space="preserve">3.5.2. </w:t>
            </w:r>
            <w:r w:rsidR="00156A1B" w:rsidRPr="00BF5279">
              <w:rPr>
                <w:rFonts w:ascii="Times New Roman" w:eastAsia="Calibri" w:hAnsi="Times New Roman" w:cs="Times New Roman"/>
                <w:szCs w:val="24"/>
              </w:rPr>
              <w:t>normatīvā regulējuma maiņa LSA iekārtām &gt;0,2MW, tām piemērojot līdzvērtīgu vides aizsardzības un gaisa kvalitātes nosacījumus;</w:t>
            </w:r>
          </w:p>
          <w:p w14:paraId="70AD259A" w14:textId="25797020" w:rsidR="00156A1B" w:rsidRPr="00BF5279" w:rsidRDefault="00BF5279" w:rsidP="00BF5279">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 xml:space="preserve">3.5.3. </w:t>
            </w:r>
            <w:r w:rsidR="00156A1B" w:rsidRPr="00BF5279">
              <w:rPr>
                <w:rFonts w:ascii="Times New Roman" w:eastAsia="Calibri" w:hAnsi="Times New Roman" w:cs="Times New Roman"/>
                <w:szCs w:val="24"/>
              </w:rPr>
              <w:t>siltumapgādes sistēmas (tirgus) liberalizācijas nosacījumu</w:t>
            </w:r>
            <w:r w:rsidR="00A04912" w:rsidRPr="00BF5279">
              <w:rPr>
                <w:rFonts w:ascii="Times New Roman" w:eastAsia="Calibri" w:hAnsi="Times New Roman" w:cs="Times New Roman"/>
                <w:szCs w:val="24"/>
              </w:rPr>
              <w:t xml:space="preserve"> izstrāde un īstenošana</w:t>
            </w:r>
          </w:p>
        </w:tc>
        <w:tc>
          <w:tcPr>
            <w:tcW w:w="1417" w:type="dxa"/>
            <w:tcBorders>
              <w:top w:val="single" w:sz="4" w:space="0" w:color="auto"/>
              <w:left w:val="single" w:sz="4" w:space="0" w:color="auto"/>
              <w:bottom w:val="single" w:sz="4" w:space="0" w:color="auto"/>
              <w:right w:val="single" w:sz="4" w:space="0" w:color="auto"/>
            </w:tcBorders>
          </w:tcPr>
          <w:p w14:paraId="3D887C15" w14:textId="77777777" w:rsidR="00156A1B" w:rsidRPr="00225CC0" w:rsidRDefault="00156A1B"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0D0447" w14:textId="61830B64" w:rsidR="00156A1B" w:rsidRPr="00F060A0" w:rsidRDefault="009D51A8"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6669D8AE" w14:textId="77777777" w:rsidR="00156A1B" w:rsidRPr="00225CC0" w:rsidRDefault="00156A1B"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tcPr>
          <w:p w14:paraId="05AA7098" w14:textId="77777777" w:rsidR="00156A1B" w:rsidRPr="00225CC0" w:rsidRDefault="00156A1B"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4384C94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486178" w14:textId="097BE3DC"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3.6. </w:t>
            </w:r>
            <w:r w:rsidR="00AB46B9" w:rsidRPr="00225CC0">
              <w:rPr>
                <w:rFonts w:ascii="Times New Roman" w:eastAsia="Calibri" w:hAnsi="Times New Roman" w:cs="Times New Roman"/>
                <w:b/>
                <w:szCs w:val="24"/>
                <w:u w:val="single"/>
              </w:rPr>
              <w:t>veicināšanas pasākumi</w:t>
            </w:r>
          </w:p>
          <w:p w14:paraId="65CFF057" w14:textId="784E5226" w:rsidR="00AB46B9"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3.6.1. </w:t>
            </w:r>
            <w:r w:rsidR="00AB46B9" w:rsidRPr="00225CC0">
              <w:rPr>
                <w:rFonts w:ascii="Times New Roman" w:hAnsi="Times New Roman" w:cs="Times New Roman"/>
                <w:szCs w:val="24"/>
              </w:rPr>
              <w:t>grants privātmāju renovācijas darbiem ar īpaši atvieglotiem pieteikšanās mehānismiem (pieteikšanās bez konkursa “</w:t>
            </w:r>
            <w:r w:rsidR="00AB46B9" w:rsidRPr="00B0626C">
              <w:rPr>
                <w:rFonts w:ascii="Times New Roman" w:hAnsi="Times New Roman" w:cs="Times New Roman"/>
                <w:i/>
                <w:szCs w:val="24"/>
              </w:rPr>
              <w:t>first come-first serve</w:t>
            </w:r>
            <w:r w:rsidR="00AB46B9" w:rsidRPr="00225CC0">
              <w:rPr>
                <w:rFonts w:ascii="Times New Roman" w:hAnsi="Times New Roman" w:cs="Times New Roman"/>
                <w:szCs w:val="24"/>
              </w:rPr>
              <w:t>” on-line, pamatojot ar izdevumu apliecinošiem dokumentiem</w:t>
            </w:r>
          </w:p>
          <w:p w14:paraId="51C4731E" w14:textId="640FE7D0"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3.6.2. </w:t>
            </w:r>
            <w:r w:rsidR="00AB46B9" w:rsidRPr="00225CC0">
              <w:rPr>
                <w:rFonts w:ascii="Times New Roman" w:hAnsi="Times New Roman" w:cs="Times New Roman"/>
                <w:szCs w:val="24"/>
              </w:rPr>
              <w:t>energoefektivitātes pasākumu veikšanas visaptverošas monitoringa un uzskaites sistēmas izveide</w:t>
            </w:r>
            <w:r w:rsidR="00A04912">
              <w:rPr>
                <w:rFonts w:ascii="Times New Roman" w:hAnsi="Times New Roman" w:cs="Times New Roman"/>
                <w:szCs w:val="24"/>
              </w:rPr>
              <w:t xml:space="preserve"> un īstenošana</w:t>
            </w:r>
          </w:p>
        </w:tc>
        <w:tc>
          <w:tcPr>
            <w:tcW w:w="1417" w:type="dxa"/>
            <w:tcBorders>
              <w:top w:val="single" w:sz="4" w:space="0" w:color="auto"/>
              <w:left w:val="single" w:sz="4" w:space="0" w:color="auto"/>
              <w:bottom w:val="single" w:sz="4" w:space="0" w:color="auto"/>
              <w:right w:val="single" w:sz="4" w:space="0" w:color="auto"/>
            </w:tcBorders>
            <w:hideMark/>
          </w:tcPr>
          <w:p w14:paraId="78811F36"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97483E"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22BB1C1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F3230B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1CF341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2B9EE9" w14:textId="10CE3975"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3.7.</w:t>
            </w:r>
            <w:r w:rsidR="00AB46B9" w:rsidRPr="00225CC0">
              <w:rPr>
                <w:rFonts w:ascii="Times New Roman" w:eastAsia="Calibri" w:hAnsi="Times New Roman" w:cs="Times New Roman"/>
                <w:b/>
                <w:szCs w:val="24"/>
                <w:u w:val="single"/>
              </w:rPr>
              <w:t xml:space="preserve"> pienākumi</w:t>
            </w:r>
          </w:p>
          <w:p w14:paraId="1C7C27DD" w14:textId="4A4E039F" w:rsidR="00AB46B9"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3.7.1. </w:t>
            </w:r>
            <w:r w:rsidR="00AB46B9" w:rsidRPr="00225CC0">
              <w:rPr>
                <w:rFonts w:ascii="Times New Roman" w:hAnsi="Times New Roman" w:cs="Times New Roman"/>
                <w:szCs w:val="24"/>
              </w:rPr>
              <w:t>Jaunām ēkām obligātas prasības atbilst B klases energoefektivitātes rādītājam</w:t>
            </w:r>
          </w:p>
        </w:tc>
        <w:tc>
          <w:tcPr>
            <w:tcW w:w="1417" w:type="dxa"/>
            <w:tcBorders>
              <w:top w:val="single" w:sz="4" w:space="0" w:color="auto"/>
              <w:left w:val="single" w:sz="4" w:space="0" w:color="auto"/>
              <w:bottom w:val="single" w:sz="4" w:space="0" w:color="auto"/>
              <w:right w:val="single" w:sz="4" w:space="0" w:color="auto"/>
            </w:tcBorders>
            <w:hideMark/>
          </w:tcPr>
          <w:p w14:paraId="62120D3E"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92FA0F"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68FF8E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4D700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062B17D"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650DA8F2" w14:textId="069033EC"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4</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EPS paplašināšana un energopārvaldības obligātā ieviešana arī </w:t>
            </w:r>
            <w:r w:rsidR="00C80B8F">
              <w:rPr>
                <w:rFonts w:ascii="Times New Roman" w:eastAsia="Calibri" w:hAnsi="Times New Roman" w:cs="Times New Roman"/>
                <w:b/>
                <w:szCs w:val="24"/>
              </w:rPr>
              <w:t>citiem lie</w:t>
            </w:r>
            <w:r w:rsidRPr="00225CC0">
              <w:rPr>
                <w:rFonts w:ascii="Times New Roman" w:eastAsia="Calibri" w:hAnsi="Times New Roman" w:cs="Times New Roman"/>
                <w:b/>
                <w:szCs w:val="24"/>
              </w:rPr>
              <w:t xml:space="preserve">lajiem </w:t>
            </w:r>
            <w:r w:rsidR="00C80B8F">
              <w:rPr>
                <w:rFonts w:ascii="Times New Roman" w:eastAsia="Calibri" w:hAnsi="Times New Roman" w:cs="Times New Roman"/>
                <w:b/>
                <w:szCs w:val="24"/>
              </w:rPr>
              <w:t>e</w:t>
            </w:r>
            <w:r w:rsidRPr="00225CC0">
              <w:rPr>
                <w:rFonts w:ascii="Times New Roman" w:eastAsia="Calibri" w:hAnsi="Times New Roman" w:cs="Times New Roman"/>
                <w:b/>
                <w:szCs w:val="24"/>
              </w:rPr>
              <w:t>nerģijas patērētājiem</w:t>
            </w:r>
          </w:p>
          <w:p w14:paraId="58174945"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dekarbonizācija; energoefektivitāte; enerģētiskā nabadzība</w:t>
            </w:r>
          </w:p>
        </w:tc>
      </w:tr>
      <w:tr w:rsidR="00AB46B9" w:rsidRPr="00225CC0" w14:paraId="59C8CC32"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3FBE96" w14:textId="1583AF4F"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4.1. </w:t>
            </w:r>
            <w:r w:rsidR="00AB46B9" w:rsidRPr="00225CC0">
              <w:rPr>
                <w:rFonts w:ascii="Times New Roman" w:eastAsia="Calibri" w:hAnsi="Times New Roman" w:cs="Times New Roman"/>
                <w:b/>
                <w:szCs w:val="24"/>
                <w:u w:val="single"/>
              </w:rPr>
              <w:t>EPS aptvērumā tiek iekļauti arī:</w:t>
            </w:r>
          </w:p>
          <w:p w14:paraId="697F407B" w14:textId="77777777" w:rsidR="00AB46B9" w:rsidRPr="00225CC0" w:rsidRDefault="00AB46B9" w:rsidP="00225CC0">
            <w:pPr>
              <w:spacing w:before="60" w:after="60" w:line="240" w:lineRule="auto"/>
              <w:rPr>
                <w:rFonts w:ascii="Times New Roman" w:eastAsia="Calibri" w:hAnsi="Times New Roman" w:cs="Times New Roman"/>
                <w:b/>
                <w:bCs/>
                <w:szCs w:val="24"/>
              </w:rPr>
            </w:pPr>
            <w:r w:rsidRPr="00225CC0">
              <w:rPr>
                <w:rFonts w:ascii="Times New Roman" w:eastAsia="Calibri" w:hAnsi="Times New Roman" w:cs="Times New Roman"/>
                <w:b/>
                <w:bCs/>
                <w:szCs w:val="24"/>
              </w:rPr>
              <w:t>1.variants</w:t>
            </w:r>
          </w:p>
          <w:p w14:paraId="51D98D2B"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EPS atbildīgās puses ir visi tie enerģijas tirgotāji, kuru pārdotais enerģijas apjoms kopā veido 90% no Latvijā patērētājiem piegādātās enerģijas;</w:t>
            </w:r>
          </w:p>
          <w:p w14:paraId="22098656"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Brīvprātīgās vienošanās slēdzēja pārdotais enerģijas apjoms tiek izslēgts no patērētājiem piegādātās enerģijas;</w:t>
            </w:r>
          </w:p>
          <w:p w14:paraId="6273514E"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Pienākuma apjomu aprēķina atbilstoši pārdotās enerģijas apjomam. Lielie patērētāji un lielie uzņēmumi netiek izslēgti;</w:t>
            </w:r>
          </w:p>
          <w:p w14:paraId="7D0302C9" w14:textId="77777777" w:rsidR="00AB46B9" w:rsidRPr="00225CC0" w:rsidRDefault="00AB46B9" w:rsidP="00225CC0">
            <w:pPr>
              <w:spacing w:before="60" w:after="60" w:line="240" w:lineRule="auto"/>
              <w:rPr>
                <w:rFonts w:ascii="Times New Roman" w:eastAsia="Calibri" w:hAnsi="Times New Roman" w:cs="Times New Roman"/>
                <w:b/>
                <w:bCs/>
                <w:szCs w:val="24"/>
              </w:rPr>
            </w:pPr>
            <w:r w:rsidRPr="00225CC0">
              <w:rPr>
                <w:rFonts w:ascii="Times New Roman" w:eastAsia="Calibri" w:hAnsi="Times New Roman" w:cs="Times New Roman"/>
                <w:b/>
                <w:bCs/>
                <w:szCs w:val="24"/>
              </w:rPr>
              <w:lastRenderedPageBreak/>
              <w:t>2.variants</w:t>
            </w:r>
          </w:p>
          <w:p w14:paraId="778ED6F9"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Elektroenerģijas tirgotāji – ar pārdoto apjomu 10 GWh gadā</w:t>
            </w:r>
          </w:p>
          <w:p w14:paraId="3DD9F556"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Gāzes tirgotāji - kuru galapatērētājiem piegādātais dabasgāzes apjoms pārsniedz 1000 GWh/gadā</w:t>
            </w:r>
          </w:p>
          <w:p w14:paraId="6DA5A6DA"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Transporta degvielas tirgotāji – kuru piegādātais degvielas apjoms (fosilās degvielas un biodegvielas) pārsniedz 40 tūkst m3</w:t>
            </w:r>
          </w:p>
          <w:p w14:paraId="06FEE565" w14:textId="77777777" w:rsidR="00AB46B9" w:rsidRPr="00225CC0" w:rsidRDefault="00AB46B9" w:rsidP="00283C85">
            <w:pPr>
              <w:numPr>
                <w:ilvl w:val="0"/>
                <w:numId w:val="126"/>
              </w:numPr>
              <w:spacing w:before="60" w:after="60" w:line="240" w:lineRule="auto"/>
              <w:ind w:left="227" w:hanging="227"/>
              <w:rPr>
                <w:rFonts w:ascii="Times New Roman" w:eastAsia="Calibri" w:hAnsi="Times New Roman" w:cs="Times New Roman"/>
                <w:b/>
                <w:szCs w:val="24"/>
                <w:u w:val="single"/>
              </w:rPr>
            </w:pPr>
            <w:r w:rsidRPr="00225CC0">
              <w:rPr>
                <w:rFonts w:ascii="Times New Roman" w:eastAsia="Times New Roman" w:hAnsi="Times New Roman" w:cs="Times New Roman"/>
                <w:szCs w:val="24"/>
              </w:rPr>
              <w:t>Siltumenerģijas tirgotāji – kuru sistēmai pieslēgta vismaz viena iekārta 20 MW siltuma jaudu un piegādātais siltumenerģijas apjoms pārsniedz 20 GWh/gadā</w:t>
            </w:r>
          </w:p>
        </w:tc>
        <w:tc>
          <w:tcPr>
            <w:tcW w:w="1417" w:type="dxa"/>
            <w:tcBorders>
              <w:top w:val="single" w:sz="4" w:space="0" w:color="auto"/>
              <w:left w:val="single" w:sz="4" w:space="0" w:color="auto"/>
              <w:bottom w:val="single" w:sz="4" w:space="0" w:color="auto"/>
              <w:right w:val="single" w:sz="4" w:space="0" w:color="auto"/>
            </w:tcBorders>
            <w:hideMark/>
          </w:tcPr>
          <w:p w14:paraId="7BB31241"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D03B28"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127A249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DB153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B78F14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074E7A73" w14:textId="47419FCD"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5</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Rīcībpolitika AER izmantošanai un energoefektivitātes uzlabošanai transportā</w:t>
            </w:r>
          </w:p>
          <w:p w14:paraId="68BC50E9"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211EA7F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CC3910" w14:textId="4A9D646D"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5.1. </w:t>
            </w:r>
            <w:r w:rsidR="00AB46B9" w:rsidRPr="00225CC0">
              <w:rPr>
                <w:rFonts w:ascii="Times New Roman" w:eastAsia="Calibri" w:hAnsi="Times New Roman" w:cs="Times New Roman"/>
                <w:b/>
                <w:szCs w:val="24"/>
                <w:u w:val="single"/>
              </w:rPr>
              <w:t xml:space="preserve">Esošo ES fondu atbalsta programmu īstenošana esošajā un augstākā apjomā </w:t>
            </w:r>
          </w:p>
          <w:p w14:paraId="7AB5C43F" w14:textId="4140B533"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5.1.1. </w:t>
            </w:r>
            <w:r w:rsidR="00AB46B9" w:rsidRPr="00225CC0">
              <w:rPr>
                <w:rFonts w:ascii="Times New Roman" w:hAnsi="Times New Roman" w:cs="Times New Roman"/>
                <w:szCs w:val="24"/>
              </w:rPr>
              <w:t>Attīstīt ETL uzlādes infrastruktūru Latvijā</w:t>
            </w:r>
            <w:r w:rsidR="00AB46B9" w:rsidRPr="00225CC0">
              <w:rPr>
                <w:rFonts w:ascii="Times New Roman" w:hAnsi="Times New Roman" w:cs="Times New Roman"/>
                <w:szCs w:val="24"/>
                <w:vertAlign w:val="superscript"/>
              </w:rPr>
              <w:footnoteReference w:id="291"/>
            </w:r>
          </w:p>
          <w:p w14:paraId="2A368FE3" w14:textId="2143F886"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5.1.2. </w:t>
            </w:r>
            <w:r w:rsidR="00AB46B9" w:rsidRPr="00225CC0">
              <w:rPr>
                <w:rFonts w:ascii="Times New Roman" w:hAnsi="Times New Roman" w:cs="Times New Roman"/>
                <w:szCs w:val="24"/>
              </w:rPr>
              <w:t>Nodrošināt konkurētspējīgu un videi draudzīgu TEN-T dzelzceļa tīklu, veicinot tā drošību, kvalitāti un kapacitāti</w:t>
            </w:r>
            <w:r w:rsidR="00AB46B9" w:rsidRPr="00225CC0">
              <w:rPr>
                <w:rFonts w:ascii="Times New Roman" w:hAnsi="Times New Roman" w:cs="Times New Roman"/>
                <w:szCs w:val="24"/>
                <w:vertAlign w:val="superscript"/>
              </w:rPr>
              <w:footnoteReference w:id="292"/>
            </w:r>
          </w:p>
          <w:p w14:paraId="0A3AB9A1" w14:textId="18D3C30A"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5.1.3. </w:t>
            </w:r>
            <w:r w:rsidR="00AB46B9" w:rsidRPr="00225CC0">
              <w:rPr>
                <w:rFonts w:ascii="Times New Roman" w:hAnsi="Times New Roman" w:cs="Times New Roman"/>
                <w:szCs w:val="24"/>
              </w:rPr>
              <w:t>Attīstīt videi draudzīgu sabiedriskā transporta infrastruktūru nacionālās nozīmes attīstības centros ar tramvaju maršrutu tīklu (Rīgā, Daugavpilī, Liepājā)</w:t>
            </w:r>
            <w:r w:rsidR="00AB46B9" w:rsidRPr="00225CC0">
              <w:rPr>
                <w:rFonts w:ascii="Times New Roman" w:hAnsi="Times New Roman" w:cs="Times New Roman"/>
                <w:szCs w:val="24"/>
                <w:vertAlign w:val="superscript"/>
              </w:rPr>
              <w:footnoteReference w:id="293"/>
            </w:r>
          </w:p>
          <w:p w14:paraId="15EF420D" w14:textId="65336293" w:rsidR="00AB46B9" w:rsidRPr="00A10824"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5.1.4. </w:t>
            </w:r>
            <w:r w:rsidR="00AB46B9" w:rsidRPr="00225CC0">
              <w:rPr>
                <w:rFonts w:ascii="Times New Roman" w:hAnsi="Times New Roman" w:cs="Times New Roman"/>
                <w:szCs w:val="24"/>
              </w:rPr>
              <w:t xml:space="preserve">Nacionālās nozīmes attīstības centros, kuros nav tramvaju maršrutu tīkla, – jaunu videi draudzīgu autobusu </w:t>
            </w:r>
            <w:r w:rsidR="00AB46B9" w:rsidRPr="00225CC0">
              <w:rPr>
                <w:rFonts w:ascii="Times New Roman" w:hAnsi="Times New Roman" w:cs="Times New Roman"/>
                <w:szCs w:val="24"/>
              </w:rPr>
              <w:lastRenderedPageBreak/>
              <w:t>iegāde, esošo autobusu aprīkošana to videi draudzīgākai darbībai, tai skaitā ar alternatīvās degvielas veidiem, kā arī saistītās uzlādes/uzpildes infrastruktūras izveide</w:t>
            </w:r>
            <w:r w:rsidR="00AB46B9" w:rsidRPr="00225CC0">
              <w:rPr>
                <w:rFonts w:ascii="Times New Roman" w:hAnsi="Times New Roman" w:cs="Times New Roman"/>
                <w:szCs w:val="24"/>
                <w:vertAlign w:val="superscript"/>
              </w:rPr>
              <w:footnoteReference w:id="294"/>
            </w:r>
          </w:p>
        </w:tc>
        <w:tc>
          <w:tcPr>
            <w:tcW w:w="1417" w:type="dxa"/>
            <w:tcBorders>
              <w:top w:val="single" w:sz="4" w:space="0" w:color="auto"/>
              <w:left w:val="single" w:sz="4" w:space="0" w:color="auto"/>
              <w:bottom w:val="single" w:sz="4" w:space="0" w:color="auto"/>
              <w:right w:val="single" w:sz="4" w:space="0" w:color="auto"/>
            </w:tcBorders>
            <w:hideMark/>
          </w:tcPr>
          <w:p w14:paraId="16C5B8C7"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SM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BBDCD2" w14:textId="19BB8176" w:rsidR="00AB46B9" w:rsidRPr="00E0429D" w:rsidRDefault="00E0429D" w:rsidP="00F060A0">
            <w:pPr>
              <w:spacing w:before="60" w:after="60" w:line="240" w:lineRule="auto"/>
              <w:jc w:val="center"/>
              <w:rPr>
                <w:rFonts w:ascii="Times New Roman" w:eastAsia="Calibri" w:hAnsi="Times New Roman" w:cs="Times New Roman"/>
                <w:szCs w:val="24"/>
              </w:rPr>
            </w:pPr>
            <w:r w:rsidRPr="00E0429D">
              <w:rPr>
                <w:rFonts w:ascii="Times New Roman" w:eastAsia="Calibri" w:hAnsi="Times New Roman" w:cs="Times New Roman"/>
                <w:szCs w:val="24"/>
              </w:rPr>
              <w:t>400 milj.EUR</w:t>
            </w:r>
          </w:p>
          <w:p w14:paraId="5E29BE30" w14:textId="77777777" w:rsidR="009D51A8" w:rsidRDefault="009D51A8" w:rsidP="00F060A0">
            <w:pPr>
              <w:spacing w:before="60" w:after="60" w:line="240" w:lineRule="auto"/>
              <w:jc w:val="center"/>
              <w:rPr>
                <w:rFonts w:ascii="Times New Roman" w:eastAsia="Calibri" w:hAnsi="Times New Roman" w:cs="Times New Roman"/>
                <w:i/>
                <w:szCs w:val="24"/>
              </w:rPr>
            </w:pPr>
          </w:p>
          <w:p w14:paraId="0FE0FC49"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53B44C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0DC9577D"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002E12CE" w14:textId="77777777" w:rsidR="009D51A8" w:rsidRPr="00A92912"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35823BA1" w14:textId="424EA556" w:rsidR="009D51A8" w:rsidRPr="00225CC0" w:rsidRDefault="009D51A8" w:rsidP="00F060A0">
            <w:pPr>
              <w:spacing w:before="60" w:after="60" w:line="240" w:lineRule="auto"/>
              <w:jc w:val="center"/>
              <w:rPr>
                <w:rFonts w:ascii="Times New Roman" w:eastAsia="Calibri" w:hAnsi="Times New Roman" w:cs="Times New Roman"/>
                <w:i/>
                <w:szCs w:val="24"/>
              </w:rPr>
            </w:pPr>
          </w:p>
        </w:tc>
        <w:tc>
          <w:tcPr>
            <w:tcW w:w="1985" w:type="dxa"/>
            <w:tcBorders>
              <w:top w:val="single" w:sz="4" w:space="0" w:color="auto"/>
              <w:left w:val="single" w:sz="4" w:space="0" w:color="auto"/>
              <w:bottom w:val="single" w:sz="4" w:space="0" w:color="auto"/>
              <w:right w:val="single" w:sz="4" w:space="0" w:color="auto"/>
            </w:tcBorders>
          </w:tcPr>
          <w:p w14:paraId="4E0FB127" w14:textId="77777777" w:rsidR="007C2715" w:rsidRPr="00225CC0" w:rsidRDefault="007C2715" w:rsidP="00225CC0">
            <w:pPr>
              <w:spacing w:before="60" w:after="60" w:line="240" w:lineRule="auto"/>
              <w:rPr>
                <w:rFonts w:ascii="Times New Roman" w:hAnsi="Times New Roman" w:cs="Times New Roman"/>
                <w:bCs/>
                <w:szCs w:val="24"/>
              </w:rPr>
            </w:pPr>
            <w:r w:rsidRPr="00225CC0">
              <w:rPr>
                <w:rFonts w:ascii="Times New Roman" w:hAnsi="Times New Roman" w:cs="Times New Roman"/>
                <w:color w:val="000000" w:themeColor="text1"/>
                <w:szCs w:val="24"/>
              </w:rPr>
              <w:t>Uzstādīto ETL uzlādes staciju skaits (līdzstrāvas ātrās uzlādes stacijas ar jaudu vismaz 50 kW) – 150 stacijas.</w:t>
            </w:r>
          </w:p>
          <w:p w14:paraId="6036534C" w14:textId="4B0BF903" w:rsidR="00AB46B9" w:rsidRPr="00225CC0" w:rsidRDefault="007C2715"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themeColor="text1"/>
                <w:szCs w:val="24"/>
              </w:rPr>
              <w:t xml:space="preserve">Līdz 2023.gada 31.decembrim: 50 jauni un pārbūvēti videi draudzīgi </w:t>
            </w:r>
            <w:r w:rsidRPr="00225CC0">
              <w:rPr>
                <w:rFonts w:ascii="Times New Roman" w:hAnsi="Times New Roman" w:cs="Times New Roman"/>
                <w:color w:val="000000" w:themeColor="text1"/>
                <w:szCs w:val="24"/>
              </w:rPr>
              <w:lastRenderedPageBreak/>
              <w:t>sabiedriskie autobusi.</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267336"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10824" w:rsidRPr="00225CC0" w14:paraId="1D10D7A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5BFAED" w14:textId="0D98F7C9" w:rsidR="00A10824" w:rsidRPr="00225CC0" w:rsidRDefault="00BF5279" w:rsidP="00A10824">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5.2.</w:t>
            </w:r>
            <w:r w:rsidR="00A10824" w:rsidRPr="00225CC0">
              <w:rPr>
                <w:rFonts w:ascii="Times New Roman" w:eastAsia="Calibri" w:hAnsi="Times New Roman" w:cs="Times New Roman"/>
                <w:b/>
                <w:szCs w:val="24"/>
                <w:u w:val="single"/>
              </w:rPr>
              <w:t xml:space="preserve"> Jaunu ES fondu atbalsta programmu papildu aktivitātes:</w:t>
            </w:r>
          </w:p>
          <w:p w14:paraId="5644396F" w14:textId="22A320BD" w:rsidR="00A10824" w:rsidRPr="00BF5279" w:rsidRDefault="00BF5279" w:rsidP="00BF5279">
            <w:pPr>
              <w:spacing w:before="60" w:after="60" w:line="240" w:lineRule="auto"/>
              <w:rPr>
                <w:rFonts w:ascii="Times New Roman" w:eastAsia="Calibri" w:hAnsi="Times New Roman" w:cs="Times New Roman"/>
                <w:b/>
                <w:szCs w:val="24"/>
                <w:u w:val="single"/>
              </w:rPr>
            </w:pPr>
            <w:r>
              <w:rPr>
                <w:rFonts w:ascii="Times New Roman" w:hAnsi="Times New Roman" w:cs="Times New Roman"/>
                <w:szCs w:val="24"/>
              </w:rPr>
              <w:t xml:space="preserve">5.2.1. </w:t>
            </w:r>
            <w:r w:rsidR="00A10824" w:rsidRPr="00BF5279">
              <w:rPr>
                <w:rFonts w:ascii="Times New Roman" w:hAnsi="Times New Roman" w:cs="Times New Roman"/>
                <w:szCs w:val="24"/>
              </w:rPr>
              <w:t>Atbalsts biometāna ražošanas (biogāzes attīrīšanas) iekārtu uzstādīšanai un biometāna piegādei izmantošanai transportā</w:t>
            </w:r>
          </w:p>
        </w:tc>
        <w:tc>
          <w:tcPr>
            <w:tcW w:w="1417" w:type="dxa"/>
            <w:tcBorders>
              <w:top w:val="single" w:sz="4" w:space="0" w:color="auto"/>
              <w:left w:val="single" w:sz="4" w:space="0" w:color="auto"/>
              <w:bottom w:val="single" w:sz="4" w:space="0" w:color="auto"/>
              <w:right w:val="single" w:sz="4" w:space="0" w:color="auto"/>
            </w:tcBorders>
          </w:tcPr>
          <w:p w14:paraId="125C4339" w14:textId="737AD6C3" w:rsidR="00A10824" w:rsidRPr="00225CC0" w:rsidRDefault="00A10824"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9FB706" w14:textId="77777777" w:rsidR="00A10824" w:rsidRDefault="00A10824"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100 milj.EUR</w:t>
            </w:r>
          </w:p>
          <w:p w14:paraId="1B737584" w14:textId="77777777" w:rsidR="009D51A8" w:rsidRDefault="009D51A8" w:rsidP="00225CC0">
            <w:pPr>
              <w:spacing w:before="60" w:after="60" w:line="240" w:lineRule="auto"/>
              <w:rPr>
                <w:rFonts w:ascii="Times New Roman" w:eastAsia="Calibri" w:hAnsi="Times New Roman" w:cs="Times New Roman"/>
                <w:szCs w:val="24"/>
              </w:rPr>
            </w:pPr>
          </w:p>
          <w:p w14:paraId="075781F1"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320A795"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56C9DF56"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788BAAC2" w14:textId="75989F38" w:rsidR="009D51A8" w:rsidRPr="00225CC0" w:rsidRDefault="009D51A8" w:rsidP="00225CC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2122D881" w14:textId="77777777" w:rsidR="00A10824" w:rsidRPr="00225CC0" w:rsidRDefault="00A10824"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88270" w14:textId="77777777" w:rsidR="00A10824" w:rsidRPr="00225CC0" w:rsidRDefault="00A10824" w:rsidP="00225CC0">
            <w:pPr>
              <w:spacing w:before="60" w:after="60" w:line="240" w:lineRule="auto"/>
              <w:rPr>
                <w:rFonts w:ascii="Times New Roman" w:eastAsia="Calibri" w:hAnsi="Times New Roman" w:cs="Times New Roman"/>
                <w:szCs w:val="24"/>
              </w:rPr>
            </w:pPr>
          </w:p>
        </w:tc>
      </w:tr>
      <w:tr w:rsidR="00AB46B9" w:rsidRPr="00225CC0" w14:paraId="7CF90B52"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1ECEA1" w14:textId="208F3E47"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5.3. </w:t>
            </w:r>
            <w:r w:rsidR="00AB46B9" w:rsidRPr="00225CC0">
              <w:rPr>
                <w:rFonts w:ascii="Times New Roman" w:eastAsia="Calibri" w:hAnsi="Times New Roman" w:cs="Times New Roman"/>
                <w:b/>
                <w:szCs w:val="24"/>
                <w:u w:val="single"/>
              </w:rPr>
              <w:t>nodokļu politikas pasākumi</w:t>
            </w:r>
          </w:p>
          <w:p w14:paraId="28E9C1CB" w14:textId="1321853B"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5.3.1. </w:t>
            </w:r>
            <w:r w:rsidR="00AB46B9" w:rsidRPr="00225CC0">
              <w:rPr>
                <w:rFonts w:ascii="Times New Roman" w:hAnsi="Times New Roman" w:cs="Times New Roman"/>
                <w:szCs w:val="24"/>
              </w:rPr>
              <w:t>Transportlīdzekļa ekspluatācijas nodokļa (turpmāk – TEN) palielinājums par 30% lielu emisiju auto (&gt;200 g 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/km) vai auto ar motora tilpumu &gt; par 3500 cm</w:t>
            </w:r>
            <w:r w:rsidR="00AB46B9" w:rsidRPr="00225CC0">
              <w:rPr>
                <w:rFonts w:ascii="Times New Roman" w:hAnsi="Times New Roman" w:cs="Times New Roman"/>
                <w:szCs w:val="24"/>
                <w:vertAlign w:val="superscript"/>
              </w:rPr>
              <w:t>3</w:t>
            </w:r>
            <w:r w:rsidR="00AB46B9" w:rsidRPr="00225CC0">
              <w:rPr>
                <w:rFonts w:ascii="Times New Roman" w:hAnsi="Times New Roman" w:cs="Times New Roman"/>
                <w:szCs w:val="24"/>
              </w:rPr>
              <w:t xml:space="preserve"> ar pirmo reģistrāciju pēc 31.12.2008.</w:t>
            </w:r>
          </w:p>
          <w:p w14:paraId="2ABC5147" w14:textId="33D6CB94"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5.3.2. </w:t>
            </w:r>
            <w:r w:rsidR="00AB46B9" w:rsidRPr="00225CC0">
              <w:rPr>
                <w:rFonts w:ascii="Times New Roman" w:hAnsi="Times New Roman" w:cs="Times New Roman"/>
                <w:szCs w:val="24"/>
              </w:rPr>
              <w:t>TEN palielinājums visiem auto (ievērojot esošos g 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/km sadalījumu) par 10%</w:t>
            </w:r>
          </w:p>
          <w:p w14:paraId="1586E40B" w14:textId="1445D095"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5.3.3. </w:t>
            </w:r>
            <w:r w:rsidR="00AB46B9" w:rsidRPr="00225CC0">
              <w:rPr>
                <w:rFonts w:ascii="Times New Roman" w:hAnsi="Times New Roman" w:cs="Times New Roman"/>
                <w:szCs w:val="24"/>
              </w:rPr>
              <w:t>Pilnīgs nodokļu atbrīvojums (TEN, UVTN, t.s. neatkarīgi no kompānijas automobiļa lietojuma) zemu 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emisiju segmentam (&lt; 50 g 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/km)</w:t>
            </w:r>
          </w:p>
          <w:p w14:paraId="72E725E7" w14:textId="64E9811D"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5.3.4. </w:t>
            </w:r>
            <w:r w:rsidR="00AB46B9" w:rsidRPr="00225CC0">
              <w:rPr>
                <w:rFonts w:ascii="Times New Roman" w:hAnsi="Times New Roman" w:cs="Times New Roman"/>
                <w:szCs w:val="24"/>
              </w:rPr>
              <w:t xml:space="preserve">Akcīzes nodokļa pārskatīšana – biometānam </w:t>
            </w:r>
            <w:r w:rsidR="006F03D6">
              <w:rPr>
                <w:rFonts w:ascii="Times New Roman" w:hAnsi="Times New Roman" w:cs="Times New Roman"/>
                <w:szCs w:val="24"/>
              </w:rPr>
              <w:t xml:space="preserve">un </w:t>
            </w:r>
            <w:r w:rsidR="00AB46B9" w:rsidRPr="00225CC0">
              <w:rPr>
                <w:rFonts w:ascii="Times New Roman" w:hAnsi="Times New Roman" w:cs="Times New Roman"/>
                <w:szCs w:val="24"/>
              </w:rPr>
              <w:t>biodegvielām – pēc iespējas zemāk</w:t>
            </w:r>
            <w:r w:rsidR="006F03D6">
              <w:rPr>
                <w:rFonts w:ascii="Times New Roman" w:hAnsi="Times New Roman" w:cs="Times New Roman"/>
                <w:szCs w:val="24"/>
              </w:rPr>
              <w:t>as likmes</w:t>
            </w:r>
            <w:r w:rsidR="000C7519">
              <w:rPr>
                <w:rFonts w:ascii="Times New Roman" w:hAnsi="Times New Roman" w:cs="Times New Roman"/>
                <w:szCs w:val="24"/>
              </w:rPr>
              <w:t xml:space="preserve"> vai akcīzes </w:t>
            </w:r>
            <w:r w:rsidR="000C7519">
              <w:rPr>
                <w:rFonts w:ascii="Times New Roman" w:hAnsi="Times New Roman" w:cs="Times New Roman"/>
                <w:szCs w:val="24"/>
              </w:rPr>
              <w:lastRenderedPageBreak/>
              <w:t>nodokļa likmju samazinājums pret fosilo degvielu</w:t>
            </w:r>
            <w:r w:rsidR="006F03D6">
              <w:rPr>
                <w:rFonts w:ascii="Times New Roman" w:hAnsi="Times New Roman" w:cs="Times New Roman"/>
                <w:szCs w:val="24"/>
              </w:rPr>
              <w:t xml:space="preserve"> (izvērtējot to ražošanas izmaksas</w:t>
            </w:r>
            <w:r w:rsidR="006F03D6">
              <w:rPr>
                <w:rStyle w:val="FootnoteReference"/>
                <w:rFonts w:ascii="Times New Roman" w:hAnsi="Times New Roman" w:cs="Times New Roman"/>
                <w:szCs w:val="24"/>
              </w:rPr>
              <w:footnoteReference w:id="295"/>
            </w:r>
            <w:r w:rsidR="006F03D6">
              <w:rPr>
                <w:rFonts w:ascii="Times New Roman" w:hAnsi="Times New Roman" w:cs="Times New Roman"/>
                <w:szCs w:val="24"/>
              </w:rPr>
              <w:t>)</w:t>
            </w:r>
            <w:r w:rsidR="00AB46B9" w:rsidRPr="00225CC0">
              <w:rPr>
                <w:rFonts w:ascii="Times New Roman" w:hAnsi="Times New Roman" w:cs="Times New Roman"/>
                <w:szCs w:val="24"/>
              </w:rPr>
              <w:t xml:space="preserve"> </w:t>
            </w:r>
            <w:r w:rsidR="00667B00">
              <w:rPr>
                <w:rFonts w:ascii="Times New Roman" w:hAnsi="Times New Roman" w:cs="Times New Roman"/>
                <w:szCs w:val="24"/>
              </w:rPr>
              <w:t xml:space="preserve">citām alternatīvām </w:t>
            </w:r>
            <w:r w:rsidR="00AB46B9" w:rsidRPr="00225CC0">
              <w:rPr>
                <w:rFonts w:ascii="Times New Roman" w:hAnsi="Times New Roman" w:cs="Times New Roman"/>
                <w:szCs w:val="24"/>
              </w:rPr>
              <w:t>degvielām</w:t>
            </w:r>
            <w:r w:rsidR="00AB46B9" w:rsidRPr="00225CC0">
              <w:rPr>
                <w:rFonts w:ascii="Times New Roman" w:hAnsi="Times New Roman" w:cs="Times New Roman"/>
                <w:szCs w:val="24"/>
                <w:vertAlign w:val="superscript"/>
              </w:rPr>
              <w:footnoteReference w:id="296"/>
            </w:r>
            <w:r w:rsidR="00AB46B9" w:rsidRPr="00225CC0">
              <w:rPr>
                <w:rFonts w:ascii="Times New Roman" w:hAnsi="Times New Roman" w:cs="Times New Roman"/>
                <w:szCs w:val="24"/>
              </w:rPr>
              <w:t xml:space="preserve"> </w:t>
            </w:r>
          </w:p>
          <w:p w14:paraId="28A5F9B1" w14:textId="1199DAD6"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5.3.5. </w:t>
            </w:r>
            <w:r w:rsidR="00AB46B9" w:rsidRPr="00225CC0">
              <w:rPr>
                <w:rFonts w:ascii="Times New Roman" w:hAnsi="Times New Roman" w:cs="Times New Roman"/>
                <w:szCs w:val="24"/>
              </w:rPr>
              <w:t>Akcīzes nodokļa palielināšana degvielai par 20% pret bāzes scenāriju</w:t>
            </w:r>
          </w:p>
          <w:p w14:paraId="0268CF00" w14:textId="424DE6E0"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5.3.6. </w:t>
            </w:r>
            <w:r w:rsidR="00AB46B9" w:rsidRPr="00225CC0">
              <w:rPr>
                <w:rFonts w:ascii="Times New Roman" w:hAnsi="Times New Roman" w:cs="Times New Roman"/>
                <w:szCs w:val="24"/>
              </w:rPr>
              <w:t>CO</w:t>
            </w:r>
            <w:r w:rsidR="00AB46B9" w:rsidRPr="00225CC0">
              <w:rPr>
                <w:rFonts w:ascii="Times New Roman" w:hAnsi="Times New Roman" w:cs="Times New Roman"/>
                <w:szCs w:val="24"/>
                <w:vertAlign w:val="subscript"/>
              </w:rPr>
              <w:t>2</w:t>
            </w:r>
            <w:r w:rsidR="00AB46B9" w:rsidRPr="00225CC0">
              <w:rPr>
                <w:rFonts w:ascii="Times New Roman" w:hAnsi="Times New Roman" w:cs="Times New Roman"/>
                <w:szCs w:val="24"/>
              </w:rPr>
              <w:t xml:space="preserve"> nodokļa ieviešana, kas atkarīgs no degvielas SEG emisiju apjoma</w:t>
            </w:r>
          </w:p>
        </w:tc>
        <w:tc>
          <w:tcPr>
            <w:tcW w:w="1417" w:type="dxa"/>
            <w:tcBorders>
              <w:top w:val="single" w:sz="4" w:space="0" w:color="auto"/>
              <w:left w:val="single" w:sz="4" w:space="0" w:color="auto"/>
              <w:bottom w:val="single" w:sz="4" w:space="0" w:color="auto"/>
              <w:right w:val="single" w:sz="4" w:space="0" w:color="auto"/>
            </w:tcBorders>
            <w:hideMark/>
          </w:tcPr>
          <w:p w14:paraId="09D9E25C"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SM, FM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91C158" w14:textId="7C245167" w:rsidR="00AB46B9" w:rsidRDefault="009D51A8"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tbu</w:t>
            </w:r>
          </w:p>
          <w:p w14:paraId="2A99CD43" w14:textId="77777777" w:rsidR="009D51A8" w:rsidRDefault="009D51A8" w:rsidP="00F060A0">
            <w:pPr>
              <w:spacing w:before="60" w:after="60" w:line="240" w:lineRule="auto"/>
              <w:jc w:val="center"/>
              <w:rPr>
                <w:rFonts w:ascii="Times New Roman" w:eastAsia="Calibri" w:hAnsi="Times New Roman" w:cs="Times New Roman"/>
                <w:i/>
                <w:szCs w:val="24"/>
              </w:rPr>
            </w:pPr>
          </w:p>
          <w:p w14:paraId="3A70B40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06CD8F1C" w14:textId="716C17D8" w:rsidR="009D51A8" w:rsidRPr="00225CC0"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16F7EBA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18ED25"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Modelētajos nodokļu paaugstināšanas scenārijos samazinās dīzeļdegvielas patēriņš un palielinās biodegvielas un elektroenerģijas patēriņš transporta sektorā. Robežās no 2% līdz 4%, salīdzinot ar bāzes scenāriju.</w:t>
            </w:r>
          </w:p>
          <w:p w14:paraId="174E7837" w14:textId="77777777" w:rsidR="00AB46B9" w:rsidRPr="00225CC0" w:rsidRDefault="00AB46B9" w:rsidP="00225CC0">
            <w:pPr>
              <w:spacing w:before="60" w:after="60" w:line="240" w:lineRule="auto"/>
              <w:rPr>
                <w:rFonts w:ascii="Times New Roman" w:eastAsia="Calibri" w:hAnsi="Times New Roman" w:cs="Times New Roman"/>
                <w:szCs w:val="24"/>
              </w:rPr>
            </w:pPr>
          </w:p>
          <w:p w14:paraId="38668C4E"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Pateicoties jaunu un efektīvāku automobiļu izmantošanai, enerģijas galapatēriņš transporta sektorā 2030.gadā ir mazāks par apmēram 12,8% (5,5 PJ), salīdzinot ar 2020.gadu, neskatoties uz mobilitātes raksturojošo rādītāju palielināšanos.</w:t>
            </w:r>
          </w:p>
          <w:p w14:paraId="51215A43" w14:textId="77777777" w:rsidR="00AB46B9" w:rsidRPr="00225CC0" w:rsidRDefault="00AB46B9" w:rsidP="00225CC0">
            <w:pPr>
              <w:spacing w:before="60" w:after="60" w:line="240" w:lineRule="auto"/>
              <w:rPr>
                <w:rFonts w:ascii="Times New Roman" w:eastAsia="Calibri" w:hAnsi="Times New Roman" w:cs="Times New Roman"/>
                <w:szCs w:val="24"/>
              </w:rPr>
            </w:pPr>
          </w:p>
          <w:p w14:paraId="07909296"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2030.gadā apmēram 55 tūkstoši automobiļu izmanto alternatīvās degvielas (CNG, LNG, biogāze un elektroenerģija (skaitot tikai BEV)).</w:t>
            </w:r>
          </w:p>
          <w:p w14:paraId="50543A97"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 xml:space="preserve">Palielinās alternatīvo degvielu (CNG, LNG, biodegvielas, biogāze un elektroenerģija) patēriņš autotransportā un 2030.gadā transporta sektorā kopā patērēts 4,4 PJ. Tas sastāda apmēram 11,8% no kopējā patēriņa transporta sektorā. </w:t>
            </w:r>
          </w:p>
          <w:p w14:paraId="4A58923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Tiek aizvietots apmēram 7,7 PJ fosilās degvielas.</w:t>
            </w:r>
          </w:p>
          <w:p w14:paraId="42EF10C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Biogāzes patēriņš transporta sektorā 2030.gadā ir 0,62 PJ.</w:t>
            </w:r>
          </w:p>
          <w:p w14:paraId="68630A8A" w14:textId="77777777" w:rsidR="00AB46B9" w:rsidRPr="00225CC0" w:rsidRDefault="00AB46B9" w:rsidP="00225CC0">
            <w:pPr>
              <w:spacing w:before="60" w:after="60" w:line="240" w:lineRule="auto"/>
              <w:rPr>
                <w:rFonts w:ascii="Times New Roman" w:eastAsia="Calibri" w:hAnsi="Times New Roman" w:cs="Times New Roman"/>
                <w:szCs w:val="24"/>
              </w:rPr>
            </w:pPr>
          </w:p>
          <w:p w14:paraId="3A983A1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 xml:space="preserve">Salīdzinot ar scenāriju bez alternatīvo degvielu izmantošanas, samazinās autotransporta sektora </w:t>
            </w:r>
            <w:r w:rsidRPr="00225CC0">
              <w:rPr>
                <w:rFonts w:ascii="Times New Roman" w:eastAsia="Calibri" w:hAnsi="Times New Roman" w:cs="Times New Roman"/>
                <w:szCs w:val="24"/>
              </w:rPr>
              <w:lastRenderedPageBreak/>
              <w:t>kopējās izmaksas laika periodā 2020-2030.gads par apmēram 183 MEUR, ņemot vērā izmaksas par automobiļiem, izmaksas par patērēto degvielu un enerģiju un izmaksas par infrastruktūras attīstību.</w:t>
            </w:r>
          </w:p>
        </w:tc>
      </w:tr>
      <w:tr w:rsidR="00AB46B9" w:rsidRPr="00225CC0" w14:paraId="6E3D877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93444DE" w14:textId="3559AFFC"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lastRenderedPageBreak/>
              <w:t>5.4.</w:t>
            </w:r>
            <w:r w:rsidR="00AB46B9" w:rsidRPr="00225CC0">
              <w:rPr>
                <w:rFonts w:ascii="Times New Roman" w:eastAsia="Calibri" w:hAnsi="Times New Roman" w:cs="Times New Roman"/>
                <w:b/>
                <w:szCs w:val="24"/>
                <w:u w:val="single"/>
              </w:rPr>
              <w:t xml:space="preserve"> veicināšanas pasākumi</w:t>
            </w:r>
          </w:p>
          <w:p w14:paraId="6542F10E" w14:textId="756360E6"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5.4.1. </w:t>
            </w:r>
            <w:r w:rsidR="00AB46B9" w:rsidRPr="00225CC0">
              <w:rPr>
                <w:rFonts w:ascii="Times New Roman" w:hAnsi="Times New Roman" w:cs="Times New Roman"/>
                <w:szCs w:val="24"/>
              </w:rPr>
              <w:t>Veloinfrastruktūras attīstība Rīgā un Pierīgā, izbūvējot vismaz papildus 50km veloceliņus Rīga/Pierīgā</w:t>
            </w:r>
          </w:p>
          <w:p w14:paraId="5426A264" w14:textId="03ED32B7"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5.4.2. </w:t>
            </w:r>
            <w:r w:rsidR="00AB46B9" w:rsidRPr="00225CC0">
              <w:rPr>
                <w:rFonts w:ascii="Times New Roman" w:hAnsi="Times New Roman" w:cs="Times New Roman"/>
                <w:szCs w:val="24"/>
              </w:rPr>
              <w:t>Sabiedriskā transporta attīstīšana – optimizējot sabiedriskā transporta tīklus un pārklājumu, 1h biļetes pieejamība visiem pasažieriem</w:t>
            </w:r>
          </w:p>
          <w:p w14:paraId="6930BD47" w14:textId="6761AA4F"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5.4.3. </w:t>
            </w:r>
            <w:r w:rsidR="00AB46B9" w:rsidRPr="00225CC0">
              <w:rPr>
                <w:rFonts w:ascii="Times New Roman" w:hAnsi="Times New Roman" w:cs="Times New Roman"/>
                <w:szCs w:val="24"/>
              </w:rPr>
              <w:t>Park &amp; Ride attīstība un infrastruktūras savienošana ar sabiedriskā transporta tīklu (arī Park&amp;Ride izmantošanas apmaksa ar Rīgas sabiedriskā transporta biļeti)</w:t>
            </w:r>
          </w:p>
          <w:p w14:paraId="0DDA3CAA" w14:textId="566B2F18"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5.4.4. </w:t>
            </w:r>
            <w:r w:rsidR="00FC2856" w:rsidRPr="00225CC0">
              <w:rPr>
                <w:rFonts w:ascii="Times New Roman" w:hAnsi="Times New Roman" w:cs="Times New Roman"/>
                <w:szCs w:val="24"/>
              </w:rPr>
              <w:t>ETL</w:t>
            </w:r>
            <w:r w:rsidR="00AB46B9" w:rsidRPr="00225CC0">
              <w:rPr>
                <w:rFonts w:ascii="Times New Roman" w:hAnsi="Times New Roman" w:cs="Times New Roman"/>
                <w:szCs w:val="24"/>
              </w:rPr>
              <w:t xml:space="preserve"> iegādes veicināšana</w:t>
            </w:r>
          </w:p>
        </w:tc>
        <w:tc>
          <w:tcPr>
            <w:tcW w:w="1417" w:type="dxa"/>
            <w:tcBorders>
              <w:top w:val="single" w:sz="4" w:space="0" w:color="auto"/>
              <w:left w:val="single" w:sz="4" w:space="0" w:color="auto"/>
              <w:bottom w:val="single" w:sz="4" w:space="0" w:color="auto"/>
              <w:right w:val="single" w:sz="4" w:space="0" w:color="auto"/>
            </w:tcBorders>
            <w:hideMark/>
          </w:tcPr>
          <w:p w14:paraId="08560081"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SM, 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EB8ABD" w14:textId="738389AC" w:rsidR="009D51A8" w:rsidRDefault="009D51A8"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tbu</w:t>
            </w:r>
          </w:p>
          <w:p w14:paraId="6D7D75D3" w14:textId="0BA736BC"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011E0D9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78FB85DC"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665E17EC" w14:textId="644B315F" w:rsidR="00AB46B9"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42C8A86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26F05D7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272C7AA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831B7A" w14:textId="7089438E" w:rsidR="00AB46B9" w:rsidRPr="00A10824" w:rsidRDefault="00BF5279" w:rsidP="00A10824">
            <w:pPr>
              <w:spacing w:before="60" w:after="60" w:line="240" w:lineRule="auto"/>
              <w:jc w:val="both"/>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5.5. </w:t>
            </w:r>
            <w:r w:rsidR="00AB46B9" w:rsidRPr="00A10824">
              <w:rPr>
                <w:rFonts w:ascii="Times New Roman" w:eastAsia="Calibri" w:hAnsi="Times New Roman" w:cs="Times New Roman"/>
                <w:b/>
                <w:szCs w:val="24"/>
                <w:u w:val="single"/>
              </w:rPr>
              <w:t>pienākumi</w:t>
            </w:r>
          </w:p>
          <w:p w14:paraId="45C1EE2A" w14:textId="32813594"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5.5.1. </w:t>
            </w:r>
            <w:r w:rsidR="00AB46B9" w:rsidRPr="00225CC0">
              <w:rPr>
                <w:rFonts w:ascii="Times New Roman" w:hAnsi="Times New Roman" w:cs="Times New Roman"/>
                <w:szCs w:val="24"/>
              </w:rPr>
              <w:t xml:space="preserve">obligātais procentuālais biodegvielas </w:t>
            </w:r>
            <w:r w:rsidR="00667B00">
              <w:rPr>
                <w:rFonts w:ascii="Times New Roman" w:hAnsi="Times New Roman" w:cs="Times New Roman"/>
                <w:szCs w:val="24"/>
              </w:rPr>
              <w:t xml:space="preserve">piejaukuma </w:t>
            </w:r>
            <w:r w:rsidR="00AB46B9" w:rsidRPr="00225CC0">
              <w:rPr>
                <w:rFonts w:ascii="Times New Roman" w:hAnsi="Times New Roman" w:cs="Times New Roman"/>
                <w:szCs w:val="24"/>
              </w:rPr>
              <w:t>pienākums 10%</w:t>
            </w:r>
            <w:r w:rsidR="00AB46B9" w:rsidRPr="00225CC0">
              <w:rPr>
                <w:rFonts w:ascii="Times New Roman" w:hAnsi="Times New Roman" w:cs="Times New Roman"/>
                <w:szCs w:val="24"/>
                <w:vertAlign w:val="superscript"/>
              </w:rPr>
              <w:footnoteReference w:id="297"/>
            </w:r>
          </w:p>
          <w:p w14:paraId="3BDA88BD" w14:textId="3F7FDC50"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5.5.2. </w:t>
            </w:r>
            <w:r w:rsidR="00C85308">
              <w:rPr>
                <w:rFonts w:ascii="Times New Roman" w:hAnsi="Times New Roman" w:cs="Times New Roman"/>
                <w:szCs w:val="24"/>
              </w:rPr>
              <w:t xml:space="preserve">veicināt </w:t>
            </w:r>
            <w:r w:rsidR="00AB46B9" w:rsidRPr="00225CC0">
              <w:rPr>
                <w:rFonts w:ascii="Times New Roman" w:hAnsi="Times New Roman" w:cs="Times New Roman"/>
                <w:szCs w:val="24"/>
              </w:rPr>
              <w:t>biogāzes ieguv</w:t>
            </w:r>
            <w:r w:rsidR="00C85308">
              <w:rPr>
                <w:rFonts w:ascii="Times New Roman" w:hAnsi="Times New Roman" w:cs="Times New Roman"/>
                <w:szCs w:val="24"/>
              </w:rPr>
              <w:t>i</w:t>
            </w:r>
            <w:r w:rsidR="00AB46B9" w:rsidRPr="00225CC0">
              <w:rPr>
                <w:rFonts w:ascii="Times New Roman" w:hAnsi="Times New Roman" w:cs="Times New Roman"/>
                <w:szCs w:val="24"/>
              </w:rPr>
              <w:t xml:space="preserve"> un biometāna ražošan</w:t>
            </w:r>
            <w:r w:rsidR="00C85308">
              <w:rPr>
                <w:rFonts w:ascii="Times New Roman" w:hAnsi="Times New Roman" w:cs="Times New Roman"/>
                <w:szCs w:val="24"/>
              </w:rPr>
              <w:t>u</w:t>
            </w:r>
            <w:r w:rsidR="00AB46B9" w:rsidRPr="00225CC0">
              <w:rPr>
                <w:rFonts w:ascii="Times New Roman" w:hAnsi="Times New Roman" w:cs="Times New Roman"/>
                <w:szCs w:val="24"/>
              </w:rPr>
              <w:t xml:space="preserve"> 1. klastera saimniecībās</w:t>
            </w:r>
          </w:p>
          <w:p w14:paraId="49BC9F70" w14:textId="5405A57D"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5.5.3. </w:t>
            </w:r>
            <w:r w:rsidR="00AB46B9" w:rsidRPr="00225CC0">
              <w:rPr>
                <w:rFonts w:ascii="Times New Roman" w:hAnsi="Times New Roman" w:cs="Times New Roman"/>
                <w:szCs w:val="24"/>
              </w:rPr>
              <w:t xml:space="preserve">obligātais </w:t>
            </w:r>
            <w:r w:rsidR="004B3D15">
              <w:rPr>
                <w:rFonts w:ascii="Times New Roman" w:hAnsi="Times New Roman" w:cs="Times New Roman"/>
                <w:szCs w:val="24"/>
              </w:rPr>
              <w:t xml:space="preserve">biometāna </w:t>
            </w:r>
            <w:r w:rsidR="005C0BDE">
              <w:rPr>
                <w:rFonts w:ascii="Times New Roman" w:hAnsi="Times New Roman" w:cs="Times New Roman"/>
                <w:szCs w:val="24"/>
              </w:rPr>
              <w:t xml:space="preserve">izmantošanas </w:t>
            </w:r>
            <w:r w:rsidR="004B3D15">
              <w:rPr>
                <w:rFonts w:ascii="Times New Roman" w:hAnsi="Times New Roman" w:cs="Times New Roman"/>
                <w:szCs w:val="24"/>
              </w:rPr>
              <w:t>pienākums</w:t>
            </w:r>
            <w:r w:rsidR="005C0BDE">
              <w:rPr>
                <w:rFonts w:ascii="Times New Roman" w:hAnsi="Times New Roman" w:cs="Times New Roman"/>
                <w:szCs w:val="24"/>
              </w:rPr>
              <w:t xml:space="preserve"> sabiedriskajā transportā</w:t>
            </w:r>
            <w:r w:rsidR="00667B00">
              <w:rPr>
                <w:rStyle w:val="FootnoteReference"/>
                <w:rFonts w:ascii="Times New Roman" w:hAnsi="Times New Roman" w:cs="Times New Roman"/>
                <w:szCs w:val="24"/>
              </w:rPr>
              <w:footnoteReference w:id="298"/>
            </w:r>
          </w:p>
          <w:p w14:paraId="643D714A" w14:textId="496871A8"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5.5.4. </w:t>
            </w:r>
            <w:r w:rsidR="00AB46B9" w:rsidRPr="00225CC0">
              <w:rPr>
                <w:rFonts w:ascii="Times New Roman" w:hAnsi="Times New Roman" w:cs="Times New Roman"/>
                <w:szCs w:val="24"/>
              </w:rPr>
              <w:t>Zaļais publiskais iepirkums valsts un pašvaldības autoparkam saskaņā ar Eiropas Parlamenta un Padomes 2009. gada 23.aprīļa direktīva Nr. 2009/33/EK par “tīro” un energoefektīvo autotransporta līdzekļu izmantošanas veicināšanu</w:t>
            </w:r>
            <w:r w:rsidR="00AB46B9" w:rsidRPr="00225CC0">
              <w:rPr>
                <w:rFonts w:ascii="Times New Roman" w:hAnsi="Times New Roman" w:cs="Times New Roman"/>
                <w:szCs w:val="24"/>
                <w:vertAlign w:val="superscript"/>
              </w:rPr>
              <w:footnoteReference w:id="299"/>
            </w:r>
          </w:p>
          <w:p w14:paraId="2430096A" w14:textId="0BD350CC"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5.5.5. </w:t>
            </w:r>
            <w:r w:rsidR="00AB46B9" w:rsidRPr="00225CC0">
              <w:rPr>
                <w:rFonts w:ascii="Times New Roman" w:hAnsi="Times New Roman" w:cs="Times New Roman"/>
                <w:szCs w:val="24"/>
              </w:rPr>
              <w:t>Eiropas Parlamenta un Padomes 2014.gada 22.oktobra direktīvas Nr. 2014/94/ES par alternatīvo degvielu infrastruktūras ieviešanu īstenošana</w:t>
            </w:r>
            <w:r w:rsidR="00AB46B9" w:rsidRPr="00225CC0">
              <w:rPr>
                <w:rFonts w:ascii="Times New Roman" w:hAnsi="Times New Roman" w:cs="Times New Roman"/>
                <w:szCs w:val="24"/>
                <w:vertAlign w:val="superscript"/>
              </w:rPr>
              <w:footnoteReference w:id="300"/>
            </w:r>
          </w:p>
        </w:tc>
        <w:tc>
          <w:tcPr>
            <w:tcW w:w="1417" w:type="dxa"/>
            <w:tcBorders>
              <w:top w:val="single" w:sz="4" w:space="0" w:color="auto"/>
              <w:left w:val="single" w:sz="4" w:space="0" w:color="auto"/>
              <w:bottom w:val="single" w:sz="4" w:space="0" w:color="auto"/>
              <w:right w:val="single" w:sz="4" w:space="0" w:color="auto"/>
            </w:tcBorders>
            <w:hideMark/>
          </w:tcPr>
          <w:p w14:paraId="68A8F734"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EM</w:t>
            </w:r>
          </w:p>
          <w:p w14:paraId="0C34A490" w14:textId="77777777" w:rsidR="0091638E" w:rsidRDefault="0091638E"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ZM</w:t>
            </w:r>
          </w:p>
          <w:p w14:paraId="61E5DFB4" w14:textId="33D948EC" w:rsidR="0091638E" w:rsidRPr="00225CC0" w:rsidRDefault="0091638E"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VARAM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948E56" w14:textId="72983B3A" w:rsidR="00AB46B9" w:rsidRPr="00F060A0" w:rsidRDefault="009D51A8"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lastRenderedPageBreak/>
              <w:t>tbu</w:t>
            </w:r>
          </w:p>
          <w:p w14:paraId="4BB94158" w14:textId="77777777" w:rsidR="009D51A8" w:rsidRDefault="009D51A8" w:rsidP="00F060A0">
            <w:pPr>
              <w:spacing w:before="60" w:after="60" w:line="240" w:lineRule="auto"/>
              <w:jc w:val="center"/>
              <w:rPr>
                <w:rFonts w:ascii="Times New Roman" w:eastAsia="Calibri" w:hAnsi="Times New Roman" w:cs="Times New Roman"/>
                <w:szCs w:val="24"/>
              </w:rPr>
            </w:pPr>
          </w:p>
          <w:p w14:paraId="234C9536"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C05096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784613D2"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4AC3DF12" w14:textId="33735EF8" w:rsidR="009D51A8"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575197D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03B1F4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FC74A29"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706B378E" w14:textId="5CEC7169"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lastRenderedPageBreak/>
              <w:t>6</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Rīcībpolitika energoefektivitātes atbalsta efektivizācijai</w:t>
            </w:r>
          </w:p>
          <w:p w14:paraId="5C3F3453"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 inovācijas, pētniecība un konkurētspēja</w:t>
            </w:r>
          </w:p>
        </w:tc>
      </w:tr>
      <w:tr w:rsidR="00AB46B9" w:rsidRPr="00225CC0" w14:paraId="6B9F12D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750A52" w14:textId="12D925D7"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6.1. </w:t>
            </w:r>
            <w:r w:rsidR="00AB46B9" w:rsidRPr="00225CC0">
              <w:rPr>
                <w:rFonts w:ascii="Times New Roman" w:eastAsia="Calibri" w:hAnsi="Times New Roman" w:cs="Times New Roman"/>
                <w:b/>
                <w:szCs w:val="24"/>
                <w:u w:val="single"/>
              </w:rPr>
              <w:t>Atbalsts kompleksu viedo enerģijas tehnoloģiju ieviešanai</w:t>
            </w:r>
          </w:p>
          <w:p w14:paraId="7419B657" w14:textId="023ADDF2"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6.1.1. </w:t>
            </w:r>
            <w:r w:rsidR="00AB46B9" w:rsidRPr="00225CC0">
              <w:rPr>
                <w:rFonts w:ascii="Times New Roman" w:hAnsi="Times New Roman" w:cs="Times New Roman"/>
                <w:szCs w:val="24"/>
              </w:rPr>
              <w:t xml:space="preserve">pāreja uz zemas temperatūras LSA sistēmām, kur tas ir ekonomiski pamatoti </w:t>
            </w:r>
          </w:p>
          <w:p w14:paraId="19751D8C" w14:textId="102A2BFC"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6.1.2. </w:t>
            </w:r>
            <w:r w:rsidR="00AB46B9" w:rsidRPr="00225CC0">
              <w:rPr>
                <w:rFonts w:ascii="Times New Roman" w:hAnsi="Times New Roman" w:cs="Times New Roman"/>
                <w:szCs w:val="24"/>
              </w:rPr>
              <w:t>kompleksu energoefektivitātes pasākumu īstenošana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CFB33B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E64F1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50 milj.EUR</w:t>
            </w:r>
          </w:p>
          <w:p w14:paraId="0EC89998" w14:textId="77777777" w:rsidR="009D51A8" w:rsidRDefault="009D51A8" w:rsidP="00225CC0">
            <w:pPr>
              <w:spacing w:before="60" w:after="60" w:line="240" w:lineRule="auto"/>
              <w:rPr>
                <w:rFonts w:ascii="Times New Roman" w:eastAsia="Calibri" w:hAnsi="Times New Roman" w:cs="Times New Roman"/>
                <w:szCs w:val="24"/>
              </w:rPr>
            </w:pPr>
          </w:p>
          <w:p w14:paraId="161511EE"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15D958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3E3D38A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0BFCB620" w14:textId="4DB225E5" w:rsidR="009D51A8"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hideMark/>
          </w:tcPr>
          <w:p w14:paraId="78E3A2A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Indikatīvie rādītāji:</w:t>
            </w:r>
          </w:p>
          <w:p w14:paraId="4FE3768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1) Vidējais siltumenerģijas patēriņš apkurei ēkās pēc energoefektivitātes paaugstināšanas pasākumu īstenošanas;</w:t>
            </w:r>
          </w:p>
          <w:p w14:paraId="6447B43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2) Atjaunotajā ēku kompleksā panāktais patērētās siltumeneŗgijas un elektroenerģijas ietaupījums gadā;</w:t>
            </w:r>
          </w:p>
          <w:p w14:paraId="2DD8CC1D" w14:textId="23CD4BD6"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 xml:space="preserve">3)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siltumeneŗgijas jaudu modernizācija;</w:t>
            </w:r>
          </w:p>
          <w:p w14:paraId="711B483A" w14:textId="7795C75C"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4) No </w:t>
            </w:r>
            <w:r w:rsidR="00C432CC">
              <w:rPr>
                <w:rFonts w:ascii="Times New Roman" w:eastAsia="Calibri" w:hAnsi="Times New Roman" w:cs="Times New Roman"/>
                <w:color w:val="000000"/>
                <w:szCs w:val="24"/>
                <w:shd w:val="clear" w:color="auto" w:fill="FFFFFF"/>
              </w:rPr>
              <w:t>AER iegūtā papildu jauda</w:t>
            </w:r>
            <w:r w:rsidRPr="00225CC0">
              <w:rPr>
                <w:rFonts w:ascii="Times New Roman" w:eastAsia="Calibri" w:hAnsi="Times New Roman" w:cs="Times New Roman"/>
                <w:color w:val="000000"/>
                <w:szCs w:val="24"/>
                <w:shd w:val="clear" w:color="auto" w:fill="FFFFFF"/>
              </w:rPr>
              <w:t>;</w:t>
            </w:r>
          </w:p>
          <w:p w14:paraId="3EAED52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5) Aprēķinātais siltumnīcefekta gāzu samazinājums gadā.</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340B37"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582F6F8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A2EED1" w14:textId="51082B06"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6.2. </w:t>
            </w:r>
            <w:r w:rsidR="00AB46B9" w:rsidRPr="00225CC0">
              <w:rPr>
                <w:rFonts w:ascii="Times New Roman" w:eastAsia="Calibri" w:hAnsi="Times New Roman" w:cs="Times New Roman"/>
                <w:b/>
                <w:szCs w:val="24"/>
                <w:u w:val="single"/>
              </w:rPr>
              <w:t>Atbalsts inovatīvu energoefektivitātes tehnoloģiju ieviešanai</w:t>
            </w:r>
          </w:p>
          <w:p w14:paraId="15B095A1" w14:textId="2EF78957"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6.2.1. </w:t>
            </w:r>
            <w:r w:rsidR="00AB46B9" w:rsidRPr="00225CC0">
              <w:rPr>
                <w:rFonts w:ascii="Times New Roman" w:hAnsi="Times New Roman" w:cs="Times New Roman"/>
                <w:szCs w:val="24"/>
              </w:rPr>
              <w:t>Atbalsts inovāciju ieviešanai energoefektivitātes jomā un jaunu tehnoloģiju un procesu radīšanai energoefektivitātes 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6902D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099A2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70 milj.EUR</w:t>
            </w:r>
          </w:p>
          <w:p w14:paraId="71158A8D" w14:textId="77777777" w:rsidR="009D51A8" w:rsidRDefault="009D51A8" w:rsidP="00225CC0">
            <w:pPr>
              <w:spacing w:before="60" w:after="60" w:line="240" w:lineRule="auto"/>
              <w:rPr>
                <w:rFonts w:ascii="Times New Roman" w:eastAsia="Calibri" w:hAnsi="Times New Roman" w:cs="Times New Roman"/>
                <w:szCs w:val="24"/>
              </w:rPr>
            </w:pPr>
          </w:p>
          <w:p w14:paraId="019E417B" w14:textId="7327F301" w:rsidR="009D51A8" w:rsidRPr="00F060A0"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hideMark/>
          </w:tcPr>
          <w:p w14:paraId="2F42C395"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Indikatīvie rādītāji:</w:t>
            </w:r>
          </w:p>
          <w:p w14:paraId="2F55F1F0"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 Atbalstīto pētniecības projektu skaits;</w:t>
            </w:r>
          </w:p>
          <w:p w14:paraId="0F2F5C1F"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2) Jaunradīto tehnoloģiju skaits energoefektivitātes jomā;</w:t>
            </w:r>
          </w:p>
          <w:p w14:paraId="26EDB78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3) Enerģijas ietaupījums atbalstu saņēmušajiem komersantiem;</w:t>
            </w:r>
          </w:p>
          <w:p w14:paraId="08A5FF29"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 xml:space="preserve">4) Aprēķinātais siltumnīcefekta gāzu samazinājums gadā atbalstu </w:t>
            </w:r>
            <w:r w:rsidRPr="00225CC0">
              <w:rPr>
                <w:rFonts w:ascii="Times New Roman" w:eastAsia="Calibri" w:hAnsi="Times New Roman" w:cs="Times New Roman"/>
                <w:szCs w:val="24"/>
              </w:rPr>
              <w:lastRenderedPageBreak/>
              <w:t>saņēmušajiem komersantiem.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3A8C91"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5FC2BB2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D57B56" w14:textId="1DE72C68" w:rsidR="00AB46B9" w:rsidRPr="00225CC0" w:rsidRDefault="00BF5279"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6.3.</w:t>
            </w:r>
            <w:r w:rsidR="00AB46B9" w:rsidRPr="00225CC0">
              <w:rPr>
                <w:rFonts w:ascii="Times New Roman" w:eastAsia="Calibri" w:hAnsi="Times New Roman" w:cs="Times New Roman"/>
                <w:b/>
                <w:szCs w:val="24"/>
                <w:u w:val="single"/>
              </w:rPr>
              <w:t xml:space="preserve"> Atbalsts energoefektivitātes klasteru izveidei</w:t>
            </w:r>
          </w:p>
          <w:p w14:paraId="4EE9530E" w14:textId="4525DBBA" w:rsidR="00AB46B9"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6.3.1. </w:t>
            </w:r>
            <w:r w:rsidR="00AB46B9" w:rsidRPr="00225CC0">
              <w:rPr>
                <w:rFonts w:ascii="Times New Roman" w:hAnsi="Times New Roman" w:cs="Times New Roman"/>
                <w:szCs w:val="24"/>
              </w:rPr>
              <w:t>zinātnieku un uzņēmumu sadarbība energoefektivitātes jomā;</w:t>
            </w:r>
          </w:p>
          <w:p w14:paraId="68241E7E" w14:textId="23B91E98"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6.3.2. </w:t>
            </w:r>
            <w:r w:rsidR="00AB46B9" w:rsidRPr="00225CC0">
              <w:rPr>
                <w:rFonts w:ascii="Times New Roman" w:hAnsi="Times New Roman" w:cs="Times New Roman"/>
                <w:szCs w:val="24"/>
              </w:rPr>
              <w:t>uzņēmumu savstarpējā sadarbība energoefektivitātes jomā, veidojot klasterus.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B2C2E1"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748161"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50 milj.EUR</w:t>
            </w:r>
          </w:p>
          <w:p w14:paraId="65210257" w14:textId="77777777" w:rsidR="009D51A8" w:rsidRDefault="009D51A8" w:rsidP="00225CC0">
            <w:pPr>
              <w:spacing w:before="60" w:after="60" w:line="240" w:lineRule="auto"/>
              <w:rPr>
                <w:rFonts w:ascii="Times New Roman" w:eastAsia="Calibri" w:hAnsi="Times New Roman" w:cs="Times New Roman"/>
                <w:szCs w:val="24"/>
              </w:rPr>
            </w:pPr>
          </w:p>
          <w:p w14:paraId="00EB1C4A" w14:textId="04B1F624"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hideMark/>
          </w:tcPr>
          <w:p w14:paraId="56A9019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Indikatīvie rādītāji:</w:t>
            </w:r>
          </w:p>
          <w:p w14:paraId="2CAF25B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1) Atbalstu saņēmušo komersantu skaits;</w:t>
            </w:r>
          </w:p>
          <w:p w14:paraId="5645FE2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2) Enerģijas ietaupījums (netiešais) atbalstu saņēmušajiem komersantiem;</w:t>
            </w:r>
          </w:p>
          <w:p w14:paraId="5634B60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3) Aprēķinātais siltumnīcefekta gāzu samazinājums (netiešais) gadā atbalstu saņēmušajiem komersantiem.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37EE6E"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1DFCD198"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4C9325DB" w14:textId="1FD67E51"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7</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Kompleksi risinājumi inovāciju veicināšanai</w:t>
            </w:r>
          </w:p>
          <w:p w14:paraId="4420161B" w14:textId="79645CCE"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i/>
                <w:szCs w:val="24"/>
              </w:rPr>
              <w:t>dekarbonizācija; energoefektivitāte;</w:t>
            </w:r>
            <w:r w:rsidR="00FC2856" w:rsidRPr="00225CC0">
              <w:rPr>
                <w:rFonts w:ascii="Times New Roman" w:eastAsia="Calibri" w:hAnsi="Times New Roman" w:cs="Times New Roman"/>
                <w:i/>
                <w:szCs w:val="24"/>
              </w:rPr>
              <w:t xml:space="preserve"> </w:t>
            </w:r>
            <w:r w:rsidRPr="00225CC0">
              <w:rPr>
                <w:rFonts w:ascii="Times New Roman" w:eastAsia="Calibri" w:hAnsi="Times New Roman" w:cs="Times New Roman"/>
                <w:i/>
                <w:szCs w:val="24"/>
              </w:rPr>
              <w:t>inovācijas, pētniecība un konkurētspēja</w:t>
            </w:r>
          </w:p>
        </w:tc>
      </w:tr>
      <w:tr w:rsidR="00AB46B9" w:rsidRPr="00225CC0" w14:paraId="5714B26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016826" w14:textId="65E04901"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7.1.</w:t>
            </w:r>
            <w:r w:rsidR="00AB46B9" w:rsidRPr="00225CC0">
              <w:rPr>
                <w:rFonts w:ascii="Times New Roman" w:eastAsia="Calibri" w:hAnsi="Times New Roman" w:cs="Times New Roman"/>
                <w:b/>
                <w:szCs w:val="24"/>
              </w:rPr>
              <w:t xml:space="preserve"> Akcelerācijas un riska kapitāla attīstība</w:t>
            </w:r>
          </w:p>
          <w:p w14:paraId="5C05288F" w14:textId="333BF549"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7.1.1. </w:t>
            </w:r>
            <w:r w:rsidR="00AB46B9" w:rsidRPr="00225CC0">
              <w:rPr>
                <w:rFonts w:ascii="Times New Roman" w:hAnsi="Times New Roman" w:cs="Times New Roman"/>
                <w:szCs w:val="24"/>
              </w:rPr>
              <w:t>finansējuma pieejamības investīciju veidā uzņēmumiem sākot no pirmssēklas stadijas beidzot ar izaugsmes stadiju nodrošināšana</w:t>
            </w:r>
          </w:p>
        </w:tc>
        <w:tc>
          <w:tcPr>
            <w:tcW w:w="1417" w:type="dxa"/>
            <w:vMerge w:val="restart"/>
            <w:tcBorders>
              <w:top w:val="single" w:sz="4" w:space="0" w:color="auto"/>
              <w:left w:val="single" w:sz="4" w:space="0" w:color="auto"/>
              <w:bottom w:val="single" w:sz="4" w:space="0" w:color="auto"/>
              <w:right w:val="single" w:sz="4" w:space="0" w:color="auto"/>
            </w:tcBorders>
          </w:tcPr>
          <w:p w14:paraId="4CF1DCF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p w14:paraId="75B7334A" w14:textId="77777777" w:rsidR="00AB46B9" w:rsidRPr="00225CC0" w:rsidRDefault="00AB46B9" w:rsidP="00225CC0">
            <w:pPr>
              <w:spacing w:before="60" w:after="60" w:line="240" w:lineRule="auto"/>
              <w:rPr>
                <w:rFonts w:ascii="Times New Roman" w:eastAsia="Calibri" w:hAnsi="Times New Roman" w:cs="Times New Roman"/>
                <w:szCs w:val="24"/>
              </w:rPr>
            </w:pPr>
          </w:p>
          <w:p w14:paraId="1037A13C" w14:textId="77777777" w:rsidR="00AB46B9" w:rsidRPr="00225CC0" w:rsidRDefault="00AB46B9" w:rsidP="00225CC0">
            <w:pPr>
              <w:spacing w:before="60" w:after="60" w:line="240" w:lineRule="auto"/>
              <w:rPr>
                <w:rFonts w:ascii="Times New Roman" w:eastAsia="Calibri" w:hAnsi="Times New Roman" w:cs="Times New Roman"/>
                <w:szCs w:val="24"/>
              </w:rPr>
            </w:pPr>
          </w:p>
          <w:p w14:paraId="41313E4F" w14:textId="77777777" w:rsidR="00AB46B9" w:rsidRPr="00225CC0" w:rsidRDefault="00AB46B9" w:rsidP="00225CC0">
            <w:pPr>
              <w:spacing w:before="60" w:after="60" w:line="240" w:lineRule="auto"/>
              <w:rPr>
                <w:rFonts w:ascii="Times New Roman" w:eastAsia="Calibri" w:hAnsi="Times New Roman" w:cs="Times New Roman"/>
                <w:szCs w:val="24"/>
              </w:rPr>
            </w:pPr>
          </w:p>
          <w:p w14:paraId="1930296E" w14:textId="77777777" w:rsidR="00AB46B9" w:rsidRPr="00225CC0" w:rsidRDefault="00AB46B9" w:rsidP="00225CC0">
            <w:pPr>
              <w:spacing w:before="60" w:after="60" w:line="240" w:lineRule="auto"/>
              <w:rPr>
                <w:rFonts w:ascii="Times New Roman" w:eastAsia="Calibri" w:hAnsi="Times New Roman" w:cs="Times New Roman"/>
                <w:szCs w:val="24"/>
              </w:rPr>
            </w:pPr>
          </w:p>
          <w:p w14:paraId="67B2146F" w14:textId="77777777" w:rsidR="00AB46B9" w:rsidRPr="00225CC0" w:rsidRDefault="00AB46B9" w:rsidP="00225CC0">
            <w:pPr>
              <w:spacing w:before="60" w:after="60" w:line="240" w:lineRule="auto"/>
              <w:rPr>
                <w:rFonts w:ascii="Times New Roman" w:eastAsia="Calibri" w:hAnsi="Times New Roman" w:cs="Times New Roman"/>
                <w:szCs w:val="24"/>
              </w:rPr>
            </w:pPr>
          </w:p>
          <w:p w14:paraId="35C6DE5C" w14:textId="77777777" w:rsidR="00AB46B9" w:rsidRPr="00225CC0" w:rsidRDefault="00AB46B9" w:rsidP="00225CC0">
            <w:pPr>
              <w:spacing w:before="60" w:after="60" w:line="240" w:lineRule="auto"/>
              <w:rPr>
                <w:rFonts w:ascii="Times New Roman" w:eastAsia="Calibri" w:hAnsi="Times New Roman" w:cs="Times New Roman"/>
                <w:szCs w:val="24"/>
              </w:rPr>
            </w:pPr>
          </w:p>
          <w:p w14:paraId="294D48D0" w14:textId="77777777" w:rsidR="00AB46B9" w:rsidRPr="00225CC0" w:rsidRDefault="00AB46B9" w:rsidP="00225CC0">
            <w:pPr>
              <w:spacing w:before="60" w:after="60" w:line="240" w:lineRule="auto"/>
              <w:rPr>
                <w:rFonts w:ascii="Times New Roman" w:eastAsia="Calibri" w:hAnsi="Times New Roman" w:cs="Times New Roman"/>
                <w:szCs w:val="24"/>
              </w:rPr>
            </w:pPr>
          </w:p>
          <w:p w14:paraId="14EF21CA" w14:textId="77777777" w:rsidR="00AB46B9" w:rsidRPr="00225CC0" w:rsidRDefault="00AB46B9" w:rsidP="00225CC0">
            <w:pPr>
              <w:spacing w:before="60" w:after="60" w:line="240" w:lineRule="auto"/>
              <w:rPr>
                <w:rFonts w:ascii="Times New Roman" w:eastAsia="Calibri" w:hAnsi="Times New Roman" w:cs="Times New Roman"/>
                <w:szCs w:val="24"/>
              </w:rPr>
            </w:pPr>
          </w:p>
          <w:p w14:paraId="34F00E23" w14:textId="77777777" w:rsidR="00AB46B9" w:rsidRPr="00225CC0" w:rsidRDefault="00AB46B9" w:rsidP="00225CC0">
            <w:pPr>
              <w:spacing w:before="60" w:after="60" w:line="240" w:lineRule="auto"/>
              <w:rPr>
                <w:rFonts w:ascii="Times New Roman" w:eastAsia="Calibri" w:hAnsi="Times New Roman" w:cs="Times New Roman"/>
                <w:szCs w:val="24"/>
              </w:rPr>
            </w:pPr>
          </w:p>
          <w:p w14:paraId="785B20B0" w14:textId="77777777" w:rsidR="00AB46B9" w:rsidRPr="00225CC0" w:rsidRDefault="00AB46B9" w:rsidP="00225CC0">
            <w:pPr>
              <w:spacing w:before="60" w:after="60" w:line="240" w:lineRule="auto"/>
              <w:rPr>
                <w:rFonts w:ascii="Times New Roman" w:eastAsia="Calibri" w:hAnsi="Times New Roman" w:cs="Times New Roman"/>
                <w:szCs w:val="24"/>
              </w:rPr>
            </w:pPr>
          </w:p>
          <w:p w14:paraId="5B02072F" w14:textId="77777777" w:rsidR="00AB46B9" w:rsidRPr="00225CC0" w:rsidRDefault="00AB46B9" w:rsidP="00225CC0">
            <w:pPr>
              <w:spacing w:before="60" w:after="60" w:line="240" w:lineRule="auto"/>
              <w:rPr>
                <w:rFonts w:ascii="Times New Roman" w:eastAsia="Calibri" w:hAnsi="Times New Roman" w:cs="Times New Roman"/>
                <w:szCs w:val="24"/>
              </w:rPr>
            </w:pPr>
          </w:p>
          <w:p w14:paraId="77DA6AAA" w14:textId="77777777" w:rsidR="00AB46B9" w:rsidRPr="00225CC0" w:rsidRDefault="00AB46B9" w:rsidP="00225CC0">
            <w:pPr>
              <w:spacing w:before="60" w:after="60" w:line="240" w:lineRule="auto"/>
              <w:rPr>
                <w:rFonts w:ascii="Times New Roman" w:eastAsia="Calibri" w:hAnsi="Times New Roman" w:cs="Times New Roman"/>
                <w:szCs w:val="24"/>
              </w:rPr>
            </w:pPr>
          </w:p>
          <w:p w14:paraId="113AFEBC" w14:textId="77777777" w:rsidR="00AB46B9" w:rsidRPr="00225CC0" w:rsidRDefault="00AB46B9" w:rsidP="00225CC0">
            <w:pPr>
              <w:spacing w:before="60" w:after="60" w:line="240" w:lineRule="auto"/>
              <w:rPr>
                <w:rFonts w:ascii="Times New Roman" w:eastAsia="Calibri" w:hAnsi="Times New Roman" w:cs="Times New Roman"/>
                <w:szCs w:val="24"/>
              </w:rPr>
            </w:pPr>
          </w:p>
          <w:p w14:paraId="1F4B3942" w14:textId="77777777" w:rsidR="00AB46B9" w:rsidRPr="00225CC0" w:rsidRDefault="00AB46B9" w:rsidP="00225CC0">
            <w:pPr>
              <w:spacing w:before="60" w:after="60" w:line="240" w:lineRule="auto"/>
              <w:rPr>
                <w:rFonts w:ascii="Times New Roman" w:eastAsia="Calibri" w:hAnsi="Times New Roman" w:cs="Times New Roman"/>
                <w:szCs w:val="24"/>
              </w:rPr>
            </w:pPr>
          </w:p>
          <w:p w14:paraId="23E04CFB" w14:textId="77777777" w:rsidR="00AB46B9" w:rsidRPr="00225CC0" w:rsidRDefault="00AB46B9" w:rsidP="00225CC0">
            <w:pPr>
              <w:spacing w:before="60" w:after="60" w:line="240" w:lineRule="auto"/>
              <w:rPr>
                <w:rFonts w:ascii="Times New Roman" w:eastAsia="Calibri" w:hAnsi="Times New Roman" w:cs="Times New Roman"/>
                <w:szCs w:val="24"/>
              </w:rPr>
            </w:pPr>
          </w:p>
          <w:p w14:paraId="6EF5EEE8" w14:textId="77777777" w:rsidR="00AB46B9" w:rsidRPr="00225CC0" w:rsidRDefault="00AB46B9" w:rsidP="00225CC0">
            <w:pPr>
              <w:spacing w:before="60" w:after="60" w:line="240" w:lineRule="auto"/>
              <w:rPr>
                <w:rFonts w:ascii="Times New Roman" w:eastAsia="Calibri" w:hAnsi="Times New Roman" w:cs="Times New Roman"/>
                <w:szCs w:val="24"/>
              </w:rPr>
            </w:pPr>
          </w:p>
          <w:p w14:paraId="6BDB1D2F" w14:textId="77777777" w:rsidR="00AB46B9" w:rsidRPr="00225CC0" w:rsidRDefault="00AB46B9" w:rsidP="00225CC0">
            <w:pPr>
              <w:spacing w:before="60" w:after="60" w:line="240" w:lineRule="auto"/>
              <w:rPr>
                <w:rFonts w:ascii="Times New Roman" w:eastAsia="Calibri" w:hAnsi="Times New Roman" w:cs="Times New Roman"/>
                <w:szCs w:val="24"/>
              </w:rPr>
            </w:pPr>
          </w:p>
          <w:p w14:paraId="4FFB8B49" w14:textId="77777777" w:rsidR="00AB46B9" w:rsidRPr="00225CC0" w:rsidRDefault="00AB46B9" w:rsidP="00225CC0">
            <w:pPr>
              <w:spacing w:before="60" w:after="60" w:line="240" w:lineRule="auto"/>
              <w:rPr>
                <w:rFonts w:ascii="Times New Roman" w:eastAsia="Calibri" w:hAnsi="Times New Roman" w:cs="Times New Roman"/>
                <w:szCs w:val="24"/>
              </w:rPr>
            </w:pPr>
          </w:p>
          <w:p w14:paraId="001B4910" w14:textId="77777777" w:rsidR="00AB46B9" w:rsidRPr="00225CC0" w:rsidRDefault="00AB46B9" w:rsidP="00225CC0">
            <w:pPr>
              <w:spacing w:before="60" w:after="60" w:line="240" w:lineRule="auto"/>
              <w:rPr>
                <w:rFonts w:ascii="Times New Roman" w:eastAsia="Calibri" w:hAnsi="Times New Roman" w:cs="Times New Roman"/>
                <w:szCs w:val="24"/>
              </w:rPr>
            </w:pPr>
          </w:p>
          <w:p w14:paraId="31CEA09D" w14:textId="77777777" w:rsidR="00AB46B9" w:rsidRPr="00225CC0" w:rsidRDefault="00AB46B9" w:rsidP="00225CC0">
            <w:pPr>
              <w:spacing w:before="60" w:after="60" w:line="240" w:lineRule="auto"/>
              <w:rPr>
                <w:rFonts w:ascii="Times New Roman" w:eastAsia="Calibri" w:hAnsi="Times New Roman" w:cs="Times New Roman"/>
                <w:szCs w:val="24"/>
              </w:rPr>
            </w:pPr>
          </w:p>
          <w:p w14:paraId="5EF46A8C" w14:textId="77777777" w:rsidR="00AB46B9" w:rsidRPr="00225CC0" w:rsidRDefault="00AB46B9" w:rsidP="00225CC0">
            <w:pPr>
              <w:spacing w:before="60" w:after="60" w:line="240" w:lineRule="auto"/>
              <w:rPr>
                <w:rFonts w:ascii="Times New Roman" w:eastAsia="Calibri" w:hAnsi="Times New Roman" w:cs="Times New Roman"/>
                <w:szCs w:val="24"/>
              </w:rPr>
            </w:pPr>
          </w:p>
          <w:p w14:paraId="61A857F8" w14:textId="77777777" w:rsidR="00AB46B9" w:rsidRPr="00225CC0" w:rsidRDefault="00AB46B9" w:rsidP="00225CC0">
            <w:pPr>
              <w:spacing w:before="60" w:after="60" w:line="240" w:lineRule="auto"/>
              <w:rPr>
                <w:rFonts w:ascii="Times New Roman" w:eastAsia="Calibri" w:hAnsi="Times New Roman" w:cs="Times New Roman"/>
                <w:szCs w:val="24"/>
              </w:rPr>
            </w:pPr>
          </w:p>
          <w:p w14:paraId="1243C081" w14:textId="77777777" w:rsidR="00AB46B9" w:rsidRPr="00225CC0" w:rsidRDefault="00AB46B9" w:rsidP="00225CC0">
            <w:pPr>
              <w:spacing w:before="60" w:after="60" w:line="240" w:lineRule="auto"/>
              <w:rPr>
                <w:rFonts w:ascii="Times New Roman" w:eastAsia="Calibri" w:hAnsi="Times New Roman" w:cs="Times New Roman"/>
                <w:szCs w:val="24"/>
              </w:rPr>
            </w:pPr>
          </w:p>
          <w:p w14:paraId="4C3CCE8F" w14:textId="5AA0D7CA" w:rsidR="009D51A8" w:rsidRPr="00225CC0" w:rsidRDefault="009D51A8" w:rsidP="00E84287">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C9404B"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100 milj.EUR</w:t>
            </w:r>
          </w:p>
          <w:p w14:paraId="46133AE9" w14:textId="77777777" w:rsidR="009D51A8" w:rsidRDefault="009D51A8" w:rsidP="00225CC0">
            <w:pPr>
              <w:spacing w:before="60" w:after="60" w:line="240" w:lineRule="auto"/>
              <w:rPr>
                <w:rFonts w:ascii="Times New Roman" w:eastAsia="Calibri" w:hAnsi="Times New Roman" w:cs="Times New Roman"/>
                <w:szCs w:val="24"/>
              </w:rPr>
            </w:pPr>
          </w:p>
          <w:p w14:paraId="53CD188B" w14:textId="2EAF4603"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7E33691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541E2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800972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0DE2A7" w14:textId="066233F1"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7.2.</w:t>
            </w:r>
            <w:r w:rsidR="00AB46B9" w:rsidRPr="00225CC0">
              <w:rPr>
                <w:rFonts w:ascii="Times New Roman" w:eastAsia="Calibri" w:hAnsi="Times New Roman" w:cs="Times New Roman"/>
                <w:b/>
                <w:szCs w:val="24"/>
              </w:rPr>
              <w:t xml:space="preserve"> Tehnoloģiju pārneses procesa īstenošana </w:t>
            </w:r>
          </w:p>
          <w:p w14:paraId="3FBCFF74" w14:textId="0F468737"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lastRenderedPageBreak/>
              <w:t xml:space="preserve">7.2.1. </w:t>
            </w:r>
            <w:r w:rsidR="00AB46B9" w:rsidRPr="00225CC0">
              <w:rPr>
                <w:rFonts w:ascii="Times New Roman" w:hAnsi="Times New Roman" w:cs="Times New Roman"/>
                <w:szCs w:val="24"/>
              </w:rPr>
              <w:t>atbalsts pētniecības rezultātu komercializācijai, tādējādi palielinot pētniecības organizāciju ienākumus no pētījumu rezultātu komercializēšanas, kā arī inovācijas aktivitātes veicināšana MVU, nodrošinot piekļuvi ārpakalpojumiem jaunu produktu vai tehnoloģiju attīstībai.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A0D65D"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B124E"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65 milj.EUR</w:t>
            </w:r>
          </w:p>
          <w:p w14:paraId="49ACE86F" w14:textId="77777777" w:rsidR="009D51A8" w:rsidRDefault="009D51A8" w:rsidP="00225CC0">
            <w:pPr>
              <w:spacing w:before="60" w:after="60" w:line="240" w:lineRule="auto"/>
              <w:rPr>
                <w:rFonts w:ascii="Times New Roman" w:eastAsia="Calibri" w:hAnsi="Times New Roman" w:cs="Times New Roman"/>
                <w:szCs w:val="24"/>
              </w:rPr>
            </w:pPr>
          </w:p>
          <w:p w14:paraId="454C83BA" w14:textId="11195A80"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23665D8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1EA73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E55B72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B4A922" w14:textId="2F3C8629"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 xml:space="preserve">7.3. </w:t>
            </w:r>
            <w:r w:rsidR="00AB46B9" w:rsidRPr="00225CC0">
              <w:rPr>
                <w:rFonts w:ascii="Times New Roman" w:eastAsia="Calibri" w:hAnsi="Times New Roman" w:cs="Times New Roman"/>
                <w:b/>
                <w:szCs w:val="24"/>
              </w:rPr>
              <w:t>Latvijas inovāciju un tehnoloģiju atbalsta fonda (LITAF) izveide un darbība</w:t>
            </w:r>
          </w:p>
          <w:p w14:paraId="52C96CFE" w14:textId="29645F02"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7.3.1. </w:t>
            </w:r>
            <w:r w:rsidR="00AB46B9" w:rsidRPr="00225CC0">
              <w:rPr>
                <w:rFonts w:ascii="Times New Roman" w:hAnsi="Times New Roman" w:cs="Times New Roman"/>
                <w:szCs w:val="24"/>
              </w:rPr>
              <w:t>straujākas un ilgtspējīgas Latvijas tautsaimniecības struktūras transformācijas uz tehnoloģiski ietilpīgāku preču un pakalpojumu ražošanu nodrošināšana, tādējādi stiprinot Latvijas komersantu pozīcijas eksporta tirgos un spēju iekļauties globālajās produktu piegāžu ķēdēs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673ED7"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62CB22"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600 milj.EUR</w:t>
            </w:r>
          </w:p>
          <w:p w14:paraId="254FAD0D" w14:textId="77777777" w:rsidR="009D51A8" w:rsidRDefault="009D51A8" w:rsidP="00225CC0">
            <w:pPr>
              <w:spacing w:before="60" w:after="60" w:line="240" w:lineRule="auto"/>
              <w:rPr>
                <w:rFonts w:ascii="Times New Roman" w:eastAsia="Calibri" w:hAnsi="Times New Roman" w:cs="Times New Roman"/>
                <w:szCs w:val="24"/>
              </w:rPr>
            </w:pPr>
          </w:p>
          <w:p w14:paraId="57E28D87" w14:textId="65B862AF"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295C629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3E051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B9CFF3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5FC8FB" w14:textId="0823536A"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 xml:space="preserve">7.4. </w:t>
            </w:r>
            <w:r w:rsidR="00AB46B9" w:rsidRPr="00225CC0">
              <w:rPr>
                <w:rFonts w:ascii="Times New Roman" w:eastAsia="Calibri" w:hAnsi="Times New Roman" w:cs="Times New Roman"/>
                <w:b/>
                <w:szCs w:val="24"/>
              </w:rPr>
              <w:t>Klasteru programma</w:t>
            </w:r>
          </w:p>
          <w:p w14:paraId="0AAE040D" w14:textId="7B737FCA"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7.4.1. </w:t>
            </w:r>
            <w:r w:rsidR="00AB46B9" w:rsidRPr="00225CC0">
              <w:rPr>
                <w:rFonts w:ascii="Times New Roman" w:hAnsi="Times New Roman" w:cs="Times New Roman"/>
                <w:szCs w:val="24"/>
              </w:rPr>
              <w:t>Nodrošināt integrētu atbalstu klasteriem un to biedriem – komersantiem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DE296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24CA3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52 milj.EUR</w:t>
            </w:r>
          </w:p>
          <w:p w14:paraId="62D56601" w14:textId="77777777" w:rsidR="009D51A8" w:rsidRDefault="009D51A8" w:rsidP="00225CC0">
            <w:pPr>
              <w:spacing w:before="60" w:after="60" w:line="240" w:lineRule="auto"/>
              <w:rPr>
                <w:rFonts w:ascii="Times New Roman" w:eastAsia="Calibri" w:hAnsi="Times New Roman" w:cs="Times New Roman"/>
                <w:szCs w:val="24"/>
              </w:rPr>
            </w:pPr>
          </w:p>
          <w:p w14:paraId="75E76DF1" w14:textId="0FA27314"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4A71BDB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882FC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380DA30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F8B83B" w14:textId="4CA60446"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7.</w:t>
            </w:r>
            <w:r w:rsidR="00AB46B9" w:rsidRPr="00225CC0">
              <w:rPr>
                <w:rFonts w:ascii="Times New Roman" w:eastAsia="Calibri" w:hAnsi="Times New Roman" w:cs="Times New Roman"/>
                <w:b/>
                <w:szCs w:val="24"/>
              </w:rPr>
              <w:t>5</w:t>
            </w:r>
            <w:r>
              <w:rPr>
                <w:rFonts w:ascii="Times New Roman" w:eastAsia="Calibri" w:hAnsi="Times New Roman" w:cs="Times New Roman"/>
                <w:b/>
                <w:szCs w:val="24"/>
              </w:rPr>
              <w:t>.</w:t>
            </w:r>
            <w:r w:rsidR="00AB46B9" w:rsidRPr="00225CC0">
              <w:rPr>
                <w:rFonts w:ascii="Times New Roman" w:eastAsia="Calibri" w:hAnsi="Times New Roman" w:cs="Times New Roman"/>
                <w:b/>
                <w:szCs w:val="24"/>
              </w:rPr>
              <w:t xml:space="preserve"> Atbalsts ĀTI projektu īstenošanai viedās specializācijas jomās</w:t>
            </w:r>
          </w:p>
          <w:p w14:paraId="60C066A7" w14:textId="505CDC5C"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7.5.1. </w:t>
            </w:r>
            <w:r w:rsidR="00AB46B9" w:rsidRPr="00225CC0">
              <w:rPr>
                <w:rFonts w:ascii="Times New Roman" w:hAnsi="Times New Roman" w:cs="Times New Roman"/>
                <w:szCs w:val="24"/>
              </w:rPr>
              <w:t>atbalsta instrumenta izveide, kas sniegtu iespēju veiksmīgāk piesaistīt ārvalstu kapitālu liela apmēra investīciju projektu īstenošanai Latvijā, veicinot arī tehnoloģiju pārnesi un produktivitātes pieaugumu.</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2F0FDA"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FCF750"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42 milj.EUR</w:t>
            </w:r>
          </w:p>
          <w:p w14:paraId="58EE37EE" w14:textId="77777777" w:rsidR="009D51A8" w:rsidRDefault="009D51A8" w:rsidP="00225CC0">
            <w:pPr>
              <w:spacing w:before="60" w:after="60" w:line="240" w:lineRule="auto"/>
              <w:rPr>
                <w:rFonts w:ascii="Times New Roman" w:eastAsia="Calibri" w:hAnsi="Times New Roman" w:cs="Times New Roman"/>
                <w:szCs w:val="24"/>
              </w:rPr>
            </w:pPr>
          </w:p>
          <w:p w14:paraId="387FF4D0" w14:textId="70D93F1D"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1FDFA88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5027A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D63C0D4" w14:textId="77777777" w:rsidTr="002653B0">
        <w:trPr>
          <w:trHeight w:val="313"/>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35402D" w14:textId="271A5498"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t xml:space="preserve">7.6. </w:t>
            </w:r>
            <w:r w:rsidR="00AB46B9" w:rsidRPr="00225CC0">
              <w:rPr>
                <w:rFonts w:ascii="Times New Roman" w:eastAsia="Calibri" w:hAnsi="Times New Roman" w:cs="Times New Roman"/>
                <w:b/>
                <w:szCs w:val="24"/>
              </w:rPr>
              <w:t>Atbalsts inovatīviem izpētes projektiem AER jomā</w:t>
            </w:r>
            <w:r w:rsidR="00AB46B9" w:rsidRPr="00225CC0">
              <w:rPr>
                <w:rFonts w:ascii="Times New Roman" w:eastAsia="Calibri" w:hAnsi="Times New Roman" w:cs="Times New Roman"/>
                <w:szCs w:val="24"/>
              </w:rPr>
              <w:t>, t.sk. demonstrācijas vai tehnoloģiju testēšanas projektiem, vietās</w:t>
            </w:r>
            <w:r w:rsidR="009D51A8">
              <w:rPr>
                <w:rFonts w:ascii="Times New Roman" w:eastAsia="Calibri" w:hAnsi="Times New Roman" w:cs="Times New Roman"/>
                <w:szCs w:val="24"/>
              </w:rPr>
              <w:t>,</w:t>
            </w:r>
            <w:r w:rsidR="00AB46B9" w:rsidRPr="00225CC0">
              <w:rPr>
                <w:rFonts w:ascii="Times New Roman" w:eastAsia="Calibri" w:hAnsi="Times New Roman" w:cs="Times New Roman"/>
                <w:szCs w:val="24"/>
              </w:rPr>
              <w:t xml:space="preserve"> kur tas pieļaujams atbilstoši teritorijas attīstības plānošanas dokumentu nosacījumiem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EBF45C"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0A4A90" w14:textId="79E65094" w:rsidR="00AB46B9" w:rsidRPr="00225CC0" w:rsidRDefault="00E84287"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53DB215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9A2AA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280AD91" w14:textId="77777777" w:rsidTr="002653B0">
        <w:trPr>
          <w:trHeight w:val="476"/>
          <w:jc w:val="center"/>
        </w:trPr>
        <w:tc>
          <w:tcPr>
            <w:tcW w:w="60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E975A2" w14:textId="166A1478" w:rsidR="00AB46B9" w:rsidRPr="00225CC0" w:rsidRDefault="00BF5279" w:rsidP="00225CC0">
            <w:pPr>
              <w:spacing w:before="60" w:after="60" w:line="240" w:lineRule="auto"/>
              <w:rPr>
                <w:rFonts w:ascii="Times New Roman" w:eastAsia="Calibri" w:hAnsi="Times New Roman" w:cs="Times New Roman"/>
                <w:b/>
                <w:szCs w:val="24"/>
              </w:rPr>
            </w:pPr>
            <w:r>
              <w:rPr>
                <w:rFonts w:ascii="Times New Roman" w:eastAsia="Calibri" w:hAnsi="Times New Roman" w:cs="Times New Roman"/>
                <w:b/>
                <w:szCs w:val="24"/>
              </w:rPr>
              <w:lastRenderedPageBreak/>
              <w:t>7.7.</w:t>
            </w:r>
            <w:r w:rsidR="00AB46B9" w:rsidRPr="00225CC0">
              <w:rPr>
                <w:rFonts w:ascii="Times New Roman" w:eastAsia="Calibri" w:hAnsi="Times New Roman" w:cs="Times New Roman"/>
                <w:b/>
                <w:szCs w:val="24"/>
              </w:rPr>
              <w:t xml:space="preserve"> Digitālo inovāciju centru izveide Latvijā</w:t>
            </w:r>
          </w:p>
          <w:p w14:paraId="6552A1FD" w14:textId="3F7B1FBE"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7.7.1. </w:t>
            </w:r>
            <w:r w:rsidR="00AB46B9" w:rsidRPr="00225CC0">
              <w:rPr>
                <w:rFonts w:ascii="Times New Roman" w:hAnsi="Times New Roman" w:cs="Times New Roman"/>
                <w:szCs w:val="24"/>
              </w:rPr>
              <w:t>Integrēts atbalsts digitālo tehnoloģiju integrēšanu un plašāku izmantošanu rūpniecības nozarēs, kā arī valsts pārvaldē</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E1D5475"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9656AE" w14:textId="77777777" w:rsidR="00AB46B9" w:rsidRDefault="00AB46B9" w:rsidP="00F060A0">
            <w:pPr>
              <w:spacing w:before="60" w:after="60" w:line="240" w:lineRule="auto"/>
              <w:jc w:val="center"/>
              <w:rPr>
                <w:rFonts w:ascii="Times New Roman" w:eastAsia="Calibri" w:hAnsi="Times New Roman" w:cs="Times New Roman"/>
                <w:szCs w:val="24"/>
              </w:rPr>
            </w:pPr>
            <w:r w:rsidRPr="00225CC0">
              <w:rPr>
                <w:rFonts w:ascii="Times New Roman" w:eastAsia="Calibri" w:hAnsi="Times New Roman" w:cs="Times New Roman"/>
                <w:szCs w:val="24"/>
              </w:rPr>
              <w:t>10 milj.EUR</w:t>
            </w:r>
          </w:p>
          <w:p w14:paraId="77C945BB" w14:textId="77777777" w:rsidR="009D51A8" w:rsidRDefault="009D51A8" w:rsidP="00225CC0">
            <w:pPr>
              <w:spacing w:before="60" w:after="60" w:line="240" w:lineRule="auto"/>
              <w:rPr>
                <w:rFonts w:ascii="Times New Roman" w:eastAsia="Calibri" w:hAnsi="Times New Roman" w:cs="Times New Roman"/>
                <w:i/>
                <w:szCs w:val="24"/>
              </w:rPr>
            </w:pPr>
          </w:p>
          <w:p w14:paraId="363DD569" w14:textId="71878A15"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vMerge w:val="restart"/>
            <w:tcBorders>
              <w:top w:val="single" w:sz="4" w:space="0" w:color="auto"/>
              <w:left w:val="single" w:sz="4" w:space="0" w:color="auto"/>
              <w:bottom w:val="single" w:sz="4" w:space="0" w:color="auto"/>
              <w:right w:val="single" w:sz="4" w:space="0" w:color="auto"/>
            </w:tcBorders>
          </w:tcPr>
          <w:p w14:paraId="7D30ECD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FBE4A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DEE4A81" w14:textId="77777777" w:rsidTr="002653B0">
        <w:trPr>
          <w:trHeight w:val="476"/>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2D8F8305"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A22D81"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B8B422"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E3695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484E465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F4E048F"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39AD2635" w14:textId="3621EA6F"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8</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Enerģētiskās nabadzības samazināšanas nodrošināšana</w:t>
            </w:r>
          </w:p>
          <w:p w14:paraId="429F9619"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enerģētiskā drošība</w:t>
            </w:r>
          </w:p>
        </w:tc>
      </w:tr>
      <w:tr w:rsidR="00AB46B9" w:rsidRPr="00225CC0" w14:paraId="44C0470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11ED17" w14:textId="028C8FEF" w:rsidR="00AB46B9" w:rsidRPr="00BF5279" w:rsidRDefault="00BF5279" w:rsidP="00BF5279">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 xml:space="preserve">8.1. </w:t>
            </w:r>
            <w:r w:rsidR="00AB46B9" w:rsidRPr="00BF5279">
              <w:rPr>
                <w:rFonts w:ascii="Times New Roman" w:eastAsia="Calibri" w:hAnsi="Times New Roman" w:cs="Times New Roman"/>
                <w:szCs w:val="24"/>
              </w:rPr>
              <w:t>Harmonizēti nosacījumi daļējam siltumenerģijas izmaksu atbalstam aizsargātajiem lietotājiem</w:t>
            </w:r>
          </w:p>
        </w:tc>
        <w:tc>
          <w:tcPr>
            <w:tcW w:w="1417" w:type="dxa"/>
            <w:tcBorders>
              <w:top w:val="single" w:sz="4" w:space="0" w:color="auto"/>
              <w:left w:val="single" w:sz="4" w:space="0" w:color="auto"/>
              <w:bottom w:val="single" w:sz="4" w:space="0" w:color="auto"/>
              <w:right w:val="single" w:sz="4" w:space="0" w:color="auto"/>
            </w:tcBorders>
            <w:hideMark/>
          </w:tcPr>
          <w:p w14:paraId="1DC17109"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1A2C7B" w14:textId="1689C14A" w:rsidR="00AB46B9" w:rsidRPr="00F060A0" w:rsidRDefault="00E84287"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t>tbu</w:t>
            </w:r>
          </w:p>
        </w:tc>
        <w:tc>
          <w:tcPr>
            <w:tcW w:w="1985" w:type="dxa"/>
            <w:tcBorders>
              <w:top w:val="single" w:sz="4" w:space="0" w:color="auto"/>
              <w:left w:val="single" w:sz="4" w:space="0" w:color="auto"/>
              <w:bottom w:val="single" w:sz="4" w:space="0" w:color="auto"/>
              <w:right w:val="single" w:sz="4" w:space="0" w:color="auto"/>
            </w:tcBorders>
          </w:tcPr>
          <w:p w14:paraId="042925B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992F8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2C96283"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1F717EE2" w14:textId="5F41ACA0"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9</w:t>
            </w:r>
            <w:r w:rsidR="00BF5279">
              <w:rPr>
                <w:rFonts w:ascii="Times New Roman" w:eastAsia="Calibri" w:hAnsi="Times New Roman" w:cs="Times New Roman"/>
                <w:b/>
                <w:szCs w:val="24"/>
              </w:rPr>
              <w:t>.</w:t>
            </w:r>
            <w:r w:rsidRPr="00225CC0">
              <w:rPr>
                <w:rFonts w:ascii="Times New Roman" w:eastAsia="Calibri" w:hAnsi="Times New Roman" w:cs="Times New Roman"/>
                <w:b/>
                <w:szCs w:val="24"/>
              </w:rPr>
              <w:t xml:space="preserve"> Informējošie un regulējošie pasākumi</w:t>
            </w:r>
          </w:p>
          <w:p w14:paraId="601D6570"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visas dimensijas</w:t>
            </w:r>
          </w:p>
        </w:tc>
      </w:tr>
      <w:tr w:rsidR="00AB46B9" w:rsidRPr="00225CC0" w14:paraId="1BF9C91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D519D9" w14:textId="7042253A" w:rsidR="00AB46B9" w:rsidRPr="00225CC0" w:rsidRDefault="00BF5279" w:rsidP="00BF5279">
            <w:pPr>
              <w:spacing w:before="60" w:after="60" w:line="240" w:lineRule="auto"/>
              <w:rPr>
                <w:rFonts w:ascii="Times New Roman" w:hAnsi="Times New Roman" w:cs="Times New Roman"/>
                <w:szCs w:val="24"/>
              </w:rPr>
            </w:pPr>
            <w:r>
              <w:rPr>
                <w:rFonts w:ascii="Times New Roman" w:hAnsi="Times New Roman" w:cs="Times New Roman"/>
                <w:szCs w:val="24"/>
              </w:rPr>
              <w:t xml:space="preserve">9.1. </w:t>
            </w:r>
            <w:r w:rsidR="00AB46B9" w:rsidRPr="00225CC0">
              <w:rPr>
                <w:rFonts w:ascii="Times New Roman" w:hAnsi="Times New Roman" w:cs="Times New Roman"/>
                <w:szCs w:val="24"/>
              </w:rPr>
              <w:t>Energoefektivitātes principa noteikšana kā horizontālo mērķi ES fondu atbalsta programmās (ESF darbības programmā 2021-2027)</w:t>
            </w:r>
          </w:p>
          <w:p w14:paraId="244D8701" w14:textId="3B8E397E" w:rsidR="00AB46B9" w:rsidRPr="00225CC0" w:rsidRDefault="00BF5279" w:rsidP="00BF5279">
            <w:pPr>
              <w:spacing w:before="60" w:after="60" w:line="240" w:lineRule="auto"/>
              <w:rPr>
                <w:rFonts w:ascii="Times New Roman" w:hAnsi="Times New Roman" w:cs="Times New Roman"/>
                <w:b/>
                <w:szCs w:val="24"/>
                <w:u w:val="single"/>
              </w:rPr>
            </w:pPr>
            <w:r>
              <w:rPr>
                <w:rFonts w:ascii="Times New Roman" w:hAnsi="Times New Roman" w:cs="Times New Roman"/>
                <w:szCs w:val="24"/>
              </w:rPr>
              <w:t xml:space="preserve">9.2. </w:t>
            </w:r>
            <w:r w:rsidR="00AB46B9" w:rsidRPr="00225CC0">
              <w:rPr>
                <w:rFonts w:ascii="Times New Roman" w:hAnsi="Times New Roman" w:cs="Times New Roman"/>
                <w:szCs w:val="24"/>
              </w:rPr>
              <w:t>Informatīvie pasākumi – ikgada informatīvās kampaņas</w:t>
            </w:r>
          </w:p>
        </w:tc>
        <w:tc>
          <w:tcPr>
            <w:tcW w:w="1417" w:type="dxa"/>
            <w:tcBorders>
              <w:top w:val="single" w:sz="4" w:space="0" w:color="auto"/>
              <w:left w:val="single" w:sz="4" w:space="0" w:color="auto"/>
              <w:bottom w:val="single" w:sz="4" w:space="0" w:color="auto"/>
              <w:right w:val="single" w:sz="4" w:space="0" w:color="auto"/>
            </w:tcBorders>
            <w:hideMark/>
          </w:tcPr>
          <w:p w14:paraId="4D40FDC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5512B6" w14:textId="370764D7" w:rsidR="00AB46B9" w:rsidRPr="00225CC0" w:rsidRDefault="00E84287" w:rsidP="00F060A0">
            <w:pPr>
              <w:spacing w:before="60" w:after="60" w:line="240" w:lineRule="auto"/>
              <w:jc w:val="center"/>
              <w:rPr>
                <w:rFonts w:ascii="Times New Roman" w:eastAsia="Calibri" w:hAnsi="Times New Roman" w:cs="Times New Roman"/>
                <w:szCs w:val="24"/>
              </w:rPr>
            </w:pPr>
            <w:r>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7BBB24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B2FF5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6D496F" w:rsidRPr="00225CC0" w14:paraId="1A82D3DC"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tcPr>
          <w:p w14:paraId="20D1E572" w14:textId="4F531ED8" w:rsidR="006D496F" w:rsidRPr="00225CC0" w:rsidRDefault="006D496F" w:rsidP="00225CC0">
            <w:pPr>
              <w:spacing w:before="60" w:after="60" w:line="240" w:lineRule="auto"/>
              <w:rPr>
                <w:rFonts w:ascii="Times New Roman" w:hAnsi="Times New Roman" w:cs="Times New Roman"/>
                <w:b/>
                <w:bCs/>
                <w:szCs w:val="24"/>
              </w:rPr>
            </w:pPr>
            <w:r w:rsidRPr="00225CC0">
              <w:rPr>
                <w:rFonts w:ascii="Times New Roman" w:hAnsi="Times New Roman" w:cs="Times New Roman"/>
                <w:b/>
                <w:bCs/>
                <w:szCs w:val="24"/>
              </w:rPr>
              <w:t>10</w:t>
            </w:r>
            <w:r w:rsidR="00BF5279">
              <w:rPr>
                <w:rFonts w:ascii="Times New Roman" w:hAnsi="Times New Roman" w:cs="Times New Roman"/>
                <w:b/>
                <w:bCs/>
                <w:szCs w:val="24"/>
              </w:rPr>
              <w:t>.</w:t>
            </w:r>
            <w:r w:rsidRPr="00225CC0">
              <w:rPr>
                <w:rFonts w:ascii="Times New Roman" w:hAnsi="Times New Roman" w:cs="Times New Roman"/>
                <w:b/>
                <w:bCs/>
                <w:szCs w:val="24"/>
              </w:rPr>
              <w:t xml:space="preserve"> Rīcībpolitika SEG emisiju samazināšanai lauksaimniecībā</w:t>
            </w:r>
          </w:p>
          <w:p w14:paraId="4D2B8B10" w14:textId="4439C30F" w:rsidR="006D496F" w:rsidRPr="00225CC0" w:rsidRDefault="006D496F"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hAnsi="Times New Roman" w:cs="Times New Roman"/>
                <w:bCs/>
                <w:i/>
                <w:szCs w:val="24"/>
              </w:rPr>
              <w:t>dekarbonizācija</w:t>
            </w:r>
          </w:p>
        </w:tc>
      </w:tr>
      <w:tr w:rsidR="006D496F" w:rsidRPr="00225CC0" w14:paraId="7C36CF0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32C244" w14:textId="583676EF"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10.1. </w:t>
            </w:r>
            <w:r w:rsidR="006D496F" w:rsidRPr="00225CC0">
              <w:rPr>
                <w:rFonts w:ascii="Times New Roman" w:hAnsi="Times New Roman" w:cs="Times New Roman"/>
                <w:bCs/>
                <w:szCs w:val="24"/>
              </w:rPr>
              <w:t>Precīzā minerālmēslojuma lietošana (Mērķsaimniecības: 2. klasteris, kas veido 0,1% no visām saimniecībām, apsaimnieko 9% no LIZ, apsaimnieko 30% no visām kviešu un 10% no visām rapša platībām valstī.)</w:t>
            </w:r>
          </w:p>
        </w:tc>
        <w:tc>
          <w:tcPr>
            <w:tcW w:w="1417" w:type="dxa"/>
            <w:vMerge w:val="restart"/>
            <w:tcBorders>
              <w:top w:val="single" w:sz="4" w:space="0" w:color="auto"/>
              <w:left w:val="single" w:sz="4" w:space="0" w:color="auto"/>
              <w:right w:val="single" w:sz="4" w:space="0" w:color="auto"/>
            </w:tcBorders>
          </w:tcPr>
          <w:p w14:paraId="6C538357" w14:textId="6BD6369D"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ZM</w:t>
            </w:r>
          </w:p>
        </w:tc>
        <w:tc>
          <w:tcPr>
            <w:tcW w:w="2835"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5AE29C3C" w14:textId="6DE85374"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hAnsi="Times New Roman" w:cs="Times New Roman"/>
                <w:szCs w:val="24"/>
              </w:rPr>
              <w:t>Pasākumu īstenošanai nepieciešamais finansējums tiks noteikts diskusijās par ES fondu atbalsta sadali</w:t>
            </w:r>
          </w:p>
        </w:tc>
        <w:tc>
          <w:tcPr>
            <w:tcW w:w="1985" w:type="dxa"/>
            <w:tcBorders>
              <w:top w:val="single" w:sz="4" w:space="0" w:color="auto"/>
              <w:left w:val="single" w:sz="4" w:space="0" w:color="auto"/>
              <w:bottom w:val="single" w:sz="4" w:space="0" w:color="auto"/>
              <w:right w:val="single" w:sz="4" w:space="0" w:color="auto"/>
            </w:tcBorders>
          </w:tcPr>
          <w:p w14:paraId="42909EE9" w14:textId="1E2B7819"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Times New Roman" w:hAnsi="Times New Roman" w:cs="Times New Roman"/>
                <w:iCs/>
                <w:color w:val="000000"/>
                <w:szCs w:val="24"/>
                <w:lang w:eastAsia="lv-LV"/>
              </w:rPr>
              <w:t>Indikatīvi 3</w:t>
            </w:r>
            <w:r w:rsidRPr="00225CC0">
              <w:rPr>
                <w:rFonts w:ascii="Times New Roman" w:hAnsi="Times New Roman" w:cs="Times New Roman"/>
                <w:szCs w:val="24"/>
              </w:rPr>
              <w:t xml:space="preserve">7,5% no kviešu un rapšu platībām, kuras apsaimnieko 2. klastera saimniecības.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2D26D0" w14:textId="74EE896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w:t>
            </w:r>
            <w:r w:rsidR="00225CC0">
              <w:rPr>
                <w:rFonts w:ascii="Times New Roman" w:hAnsi="Times New Roman" w:cs="Times New Roman"/>
                <w:szCs w:val="24"/>
              </w:rPr>
              <w:t>-8% N lietošana</w:t>
            </w:r>
            <w:r w:rsidR="00D06DA8">
              <w:rPr>
                <w:rFonts w:ascii="Times New Roman" w:hAnsi="Times New Roman" w:cs="Times New Roman"/>
                <w:szCs w:val="24"/>
              </w:rPr>
              <w:t>)</w:t>
            </w:r>
          </w:p>
        </w:tc>
      </w:tr>
      <w:tr w:rsidR="006D496F" w:rsidRPr="00225CC0" w14:paraId="106169F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C3B437" w14:textId="14EBC5F3"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10.2. </w:t>
            </w:r>
            <w:r w:rsidR="006D496F" w:rsidRPr="00225CC0">
              <w:rPr>
                <w:rFonts w:ascii="Times New Roman" w:hAnsi="Times New Roman" w:cs="Times New Roman"/>
                <w:bCs/>
                <w:szCs w:val="24"/>
              </w:rPr>
              <w:t xml:space="preserve">Tieša organiskā mēslojuma iestrāde augsnē (1. variants: šķidrmēslu transportēšana izmantojot šļūteņu sistēmu un </w:t>
            </w:r>
            <w:r w:rsidR="006D496F" w:rsidRPr="00225CC0">
              <w:rPr>
                <w:rFonts w:ascii="Times New Roman" w:hAnsi="Times New Roman" w:cs="Times New Roman"/>
                <w:bCs/>
                <w:szCs w:val="24"/>
              </w:rPr>
              <w:lastRenderedPageBreak/>
              <w:t>iestrāde izmantojot inžektorus; Mērķsaimniecības: 1. klastera saimniecības, kas veido ap 0,3% no visu saimniecību skaita, audzē 23,5% no visiem liellopiem, 66,4% no visām slaucamām govīm, 88,3% no visiem mājputniem un 90,4% no visām cūkām valstīm. 2. variants: šķidrmēslu transportēšana ar mucu un iestrāde izmantojot inžektorus; Mērķsaimniecības: 1. klastera saimniecības, kas veido ap 0,3% no visu saimniecību skaita, audzē 23,5% no visiem liellopiem, 66,4% no visām slaucamām govīm, 88,3% no visiem mājputniem un 90,4% no visām cūkām valstīm.)</w:t>
            </w:r>
          </w:p>
        </w:tc>
        <w:tc>
          <w:tcPr>
            <w:tcW w:w="1417" w:type="dxa"/>
            <w:vMerge/>
            <w:tcBorders>
              <w:left w:val="single" w:sz="4" w:space="0" w:color="auto"/>
              <w:right w:val="single" w:sz="4" w:space="0" w:color="auto"/>
            </w:tcBorders>
          </w:tcPr>
          <w:p w14:paraId="14E58A35"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4F3E021" w14:textId="3EE55A75"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5AEA39C3" w14:textId="04AB229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Indikatīvi 50% no LIZ, kuru </w:t>
            </w:r>
            <w:r w:rsidRPr="00225CC0">
              <w:rPr>
                <w:rFonts w:ascii="Times New Roman" w:hAnsi="Times New Roman" w:cs="Times New Roman"/>
                <w:szCs w:val="24"/>
              </w:rPr>
              <w:lastRenderedPageBreak/>
              <w:t>apsaimnieko 1. klastera saimniecības.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B6DDA1" w14:textId="7E1B55C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N</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O emisijas samazinājums no </w:t>
            </w:r>
            <w:r w:rsidRPr="00225CC0">
              <w:rPr>
                <w:rFonts w:ascii="Times New Roman" w:hAnsi="Times New Roman" w:cs="Times New Roman"/>
                <w:szCs w:val="24"/>
              </w:rPr>
              <w:lastRenderedPageBreak/>
              <w:t>slāpekļa mēslojuma ietaupījuma (-12,3 kg N ha</w:t>
            </w:r>
            <w:r w:rsidRPr="00225CC0">
              <w:rPr>
                <w:rFonts w:ascii="Times New Roman" w:hAnsi="Times New Roman" w:cs="Times New Roman"/>
                <w:szCs w:val="24"/>
                <w:vertAlign w:val="superscript"/>
              </w:rPr>
              <w:t>-1</w:t>
            </w:r>
            <w:r w:rsidR="00225CC0">
              <w:rPr>
                <w:rFonts w:ascii="Times New Roman" w:hAnsi="Times New Roman" w:cs="Times New Roman"/>
                <w:szCs w:val="24"/>
              </w:rPr>
              <w:t xml:space="preserve"> mēslojuma ietaupījums</w:t>
            </w:r>
            <w:r w:rsidR="00D06DA8">
              <w:rPr>
                <w:rFonts w:ascii="Times New Roman" w:hAnsi="Times New Roman" w:cs="Times New Roman"/>
                <w:szCs w:val="24"/>
              </w:rPr>
              <w:t>)</w:t>
            </w:r>
          </w:p>
        </w:tc>
      </w:tr>
      <w:tr w:rsidR="006D496F" w:rsidRPr="00225CC0" w14:paraId="0FC1CF6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34DD4" w14:textId="3F8FE21D" w:rsidR="006D496F" w:rsidRPr="00225CC0" w:rsidRDefault="00BF5279" w:rsidP="00225CC0">
            <w:pPr>
              <w:spacing w:before="60" w:after="60" w:line="240" w:lineRule="auto"/>
              <w:jc w:val="both"/>
              <w:rPr>
                <w:rFonts w:ascii="Times New Roman" w:hAnsi="Times New Roman" w:cs="Times New Roman"/>
                <w:bCs/>
                <w:szCs w:val="24"/>
              </w:rPr>
            </w:pPr>
            <w:r>
              <w:rPr>
                <w:rFonts w:ascii="Times New Roman" w:hAnsi="Times New Roman" w:cs="Times New Roman"/>
                <w:bCs/>
                <w:szCs w:val="24"/>
              </w:rPr>
              <w:lastRenderedPageBreak/>
              <w:t xml:space="preserve">10.3. </w:t>
            </w:r>
            <w:r w:rsidR="006D496F" w:rsidRPr="00225CC0">
              <w:rPr>
                <w:rFonts w:ascii="Times New Roman" w:hAnsi="Times New Roman" w:cs="Times New Roman"/>
                <w:bCs/>
                <w:szCs w:val="24"/>
              </w:rPr>
              <w:t>Šķidro kūtsmēslu separēšana. (Mērķsaimniecības: 1. klasteris, kas veido ap 0,3% no visu saimniecību skaita, audzē 23,5% no visiem liellopiem, 66,4% no visām slaucamām govīm un 90,4% no visām cūkām valstīm.; 4. klasteris, kas veido ap 4,2% no visu saimniecību skaita, audzē 27,9% no visiem liellopiem, 7,5% no visām slaucamām govīm un 1,4% no visām cūkām valstīm.)</w:t>
            </w:r>
          </w:p>
          <w:p w14:paraId="4C7E2B4C" w14:textId="77777777" w:rsidR="006D496F" w:rsidRPr="00225CC0" w:rsidRDefault="006D496F" w:rsidP="00225CC0">
            <w:pPr>
              <w:spacing w:before="60" w:after="60" w:line="240" w:lineRule="auto"/>
              <w:rPr>
                <w:rFonts w:ascii="Times New Roman" w:hAnsi="Times New Roman" w:cs="Times New Roman"/>
                <w:szCs w:val="24"/>
              </w:rPr>
            </w:pPr>
          </w:p>
        </w:tc>
        <w:tc>
          <w:tcPr>
            <w:tcW w:w="1417" w:type="dxa"/>
            <w:vMerge/>
            <w:tcBorders>
              <w:left w:val="single" w:sz="4" w:space="0" w:color="auto"/>
              <w:right w:val="single" w:sz="4" w:space="0" w:color="auto"/>
            </w:tcBorders>
          </w:tcPr>
          <w:p w14:paraId="1F4FEB70"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5807DF95" w14:textId="2433C37E"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119444D" w14:textId="345B981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15% no visiem liellopiem un cūkām, kas tiek audzētas 1. klastera saimniecībās, un 5% no visiem liellopiem un cūkām, kas tiek audzēti 4.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5E0A67" w14:textId="00A1ED4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szCs w:val="24"/>
              </w:rPr>
              <w:t>CH</w:t>
            </w:r>
            <w:r w:rsidRPr="00225CC0">
              <w:rPr>
                <w:rFonts w:ascii="Times New Roman" w:hAnsi="Times New Roman" w:cs="Times New Roman"/>
                <w:color w:val="000000"/>
                <w:szCs w:val="24"/>
                <w:vertAlign w:val="subscript"/>
              </w:rPr>
              <w:t>4</w:t>
            </w:r>
            <w:r w:rsidRPr="00225CC0">
              <w:rPr>
                <w:rFonts w:ascii="Times New Roman" w:hAnsi="Times New Roman" w:cs="Times New Roman"/>
                <w:color w:val="000000"/>
                <w:szCs w:val="24"/>
              </w:rPr>
              <w:t xml:space="preserve"> emisijas</w:t>
            </w:r>
            <w:r w:rsidRPr="00225CC0">
              <w:rPr>
                <w:rFonts w:ascii="Times New Roman" w:hAnsi="Times New Roman" w:cs="Times New Roman"/>
                <w:szCs w:val="24"/>
              </w:rPr>
              <w:t xml:space="preserve"> samazinājums no kūtsmēslu apsaimniekošanas (</w:t>
            </w:r>
            <w:r w:rsidRPr="00225CC0">
              <w:rPr>
                <w:rFonts w:ascii="Times New Roman" w:eastAsia="Times New Roman" w:hAnsi="Times New Roman" w:cs="Times New Roman"/>
                <w:iCs/>
                <w:szCs w:val="24"/>
                <w:lang w:eastAsia="lv-LV"/>
              </w:rPr>
              <w:t>-</w:t>
            </w:r>
            <w:r w:rsidRPr="00225CC0">
              <w:rPr>
                <w:rFonts w:ascii="Times New Roman" w:hAnsi="Times New Roman" w:cs="Times New Roman"/>
                <w:szCs w:val="24"/>
              </w:rPr>
              <w:t>20% CH</w:t>
            </w:r>
            <w:r w:rsidRPr="00225CC0">
              <w:rPr>
                <w:rFonts w:ascii="Times New Roman" w:hAnsi="Times New Roman" w:cs="Times New Roman"/>
                <w:szCs w:val="24"/>
                <w:vertAlign w:val="subscript"/>
              </w:rPr>
              <w:t>4</w:t>
            </w:r>
            <w:r w:rsidR="00225CC0">
              <w:rPr>
                <w:rFonts w:ascii="Times New Roman" w:hAnsi="Times New Roman" w:cs="Times New Roman"/>
                <w:szCs w:val="24"/>
              </w:rPr>
              <w:t xml:space="preserve"> emisiju samazinājums)</w:t>
            </w:r>
          </w:p>
        </w:tc>
      </w:tr>
      <w:tr w:rsidR="006D496F" w:rsidRPr="00225CC0" w14:paraId="269C01B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9FC051" w14:textId="5A1E6446"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10.4. </w:t>
            </w:r>
            <w:r w:rsidR="006D496F" w:rsidRPr="00225CC0">
              <w:rPr>
                <w:rFonts w:ascii="Times New Roman" w:hAnsi="Times New Roman" w:cs="Times New Roman"/>
                <w:bCs/>
                <w:szCs w:val="24"/>
              </w:rPr>
              <w:t>Barības devu plānošana. (Mērķsaimniecības: 1. klasteris, kas veido ap 0,3% no visu saimniecību skaita, audzē 66,4% no visām slaucamām govīm. 3. klasteris, kas veido ap 25,4% no visu saimniecību skaita, audzē 20,7% no visām slaucamām govīm. 4. klasteris, kas veido ap 4,2% no visu saimniecību skaita, audzē 7,5% no visām slaucamām govīm.)</w:t>
            </w:r>
          </w:p>
        </w:tc>
        <w:tc>
          <w:tcPr>
            <w:tcW w:w="1417" w:type="dxa"/>
            <w:vMerge/>
            <w:tcBorders>
              <w:left w:val="single" w:sz="4" w:space="0" w:color="auto"/>
              <w:right w:val="single" w:sz="4" w:space="0" w:color="auto"/>
            </w:tcBorders>
          </w:tcPr>
          <w:p w14:paraId="47A1D6AA"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6B51FAF" w14:textId="4772CBE9"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D8D53F2" w14:textId="38E7310E"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Attiecībā uz 1. klasteri, tika pieņemts, ka šis pasākums saistošs 10% no slaucamajām govīm, jo lielākoties </w:t>
            </w:r>
            <w:r w:rsidRPr="00225CC0">
              <w:rPr>
                <w:rFonts w:ascii="Times New Roman" w:hAnsi="Times New Roman" w:cs="Times New Roman"/>
                <w:szCs w:val="24"/>
              </w:rPr>
              <w:lastRenderedPageBreak/>
              <w:t>šajā saimniecību grupā barības devu plānošana jau tiek veikta. Attiecībā uz 3. un 4. klasteri šis pasākums ir saistošs 50% no slaucamajām govīm.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DA1674" w14:textId="04B373C1"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Uz sabalansētas enerģijas rēķina CH</w:t>
            </w:r>
            <w:r w:rsidRPr="00225CC0">
              <w:rPr>
                <w:rFonts w:ascii="Times New Roman" w:hAnsi="Times New Roman" w:cs="Times New Roman"/>
                <w:szCs w:val="24"/>
                <w:vertAlign w:val="subscript"/>
              </w:rPr>
              <w:t>4</w:t>
            </w:r>
            <w:r w:rsidRPr="00225CC0">
              <w:rPr>
                <w:rFonts w:ascii="Times New Roman" w:hAnsi="Times New Roman" w:cs="Times New Roman"/>
                <w:szCs w:val="24"/>
              </w:rPr>
              <w:t xml:space="preserve"> emisijas samazinās par 14%, govs izs</w:t>
            </w:r>
            <w:r w:rsidR="00225CC0">
              <w:rPr>
                <w:rFonts w:ascii="Times New Roman" w:hAnsi="Times New Roman" w:cs="Times New Roman"/>
                <w:szCs w:val="24"/>
              </w:rPr>
              <w:t>laukums palielinās par 10% gadā</w:t>
            </w:r>
          </w:p>
        </w:tc>
      </w:tr>
      <w:tr w:rsidR="006D496F" w:rsidRPr="00225CC0" w14:paraId="4DDC0E6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9A340A" w14:textId="43B6B365"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10.</w:t>
            </w:r>
            <w:r w:rsidR="0030713E">
              <w:rPr>
                <w:rFonts w:ascii="Times New Roman" w:hAnsi="Times New Roman" w:cs="Times New Roman"/>
                <w:bCs/>
                <w:szCs w:val="24"/>
              </w:rPr>
              <w:t>5</w:t>
            </w:r>
            <w:r>
              <w:rPr>
                <w:rFonts w:ascii="Times New Roman" w:hAnsi="Times New Roman" w:cs="Times New Roman"/>
                <w:bCs/>
                <w:szCs w:val="24"/>
              </w:rPr>
              <w:t xml:space="preserve">. </w:t>
            </w:r>
            <w:r w:rsidR="006D496F" w:rsidRPr="00225CC0">
              <w:rPr>
                <w:rFonts w:ascii="Times New Roman" w:hAnsi="Times New Roman" w:cs="Times New Roman"/>
                <w:bCs/>
                <w:szCs w:val="24"/>
              </w:rPr>
              <w:t>Barības kvalitātes uzlabošana. (Mērķsaimniecības: 3. klasteris, kas veido ap 69,8% no visu saimniecību skaita, audzē 20,7% no visām slaucamām govīm. 4. klasteris, kas veido ap 4,2% no visu saimniecību skaita, audzē 7,5% no visām slaucamām govīm. 5. klasteris, kas veido ap 4,2% no visu saimniecību skaita, audzē 5,4% no visām slaucamām govīm.)</w:t>
            </w:r>
          </w:p>
        </w:tc>
        <w:tc>
          <w:tcPr>
            <w:tcW w:w="1417" w:type="dxa"/>
            <w:vMerge/>
            <w:tcBorders>
              <w:left w:val="single" w:sz="4" w:space="0" w:color="auto"/>
              <w:right w:val="single" w:sz="4" w:space="0" w:color="auto"/>
            </w:tcBorders>
          </w:tcPr>
          <w:p w14:paraId="0ACB5707"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5D65088" w14:textId="64D367FA"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9DC3297" w14:textId="1851B97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50% no visām slaucamām govīm, kas tiek audzētas 3., 4. un 5.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8DCC1C" w14:textId="7CC79B2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Samazinās CH</w:t>
            </w:r>
            <w:r w:rsidRPr="00225CC0">
              <w:rPr>
                <w:rFonts w:ascii="Times New Roman" w:hAnsi="Times New Roman" w:cs="Times New Roman"/>
                <w:szCs w:val="24"/>
                <w:vertAlign w:val="subscript"/>
              </w:rPr>
              <w:t>4</w:t>
            </w:r>
            <w:r w:rsidRPr="00225CC0">
              <w:rPr>
                <w:rFonts w:ascii="Times New Roman" w:hAnsi="Times New Roman" w:cs="Times New Roman"/>
                <w:szCs w:val="24"/>
              </w:rPr>
              <w:t xml:space="preserve"> emisijas, jo palielinās lopbarības sagremojamības rādītājs no 66% uz 67%</w:t>
            </w:r>
          </w:p>
        </w:tc>
      </w:tr>
      <w:tr w:rsidR="006D496F" w:rsidRPr="00225CC0" w14:paraId="48DA824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ABABB6" w14:textId="3317038E"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10.</w:t>
            </w:r>
            <w:r w:rsidR="0030713E">
              <w:rPr>
                <w:rFonts w:ascii="Times New Roman" w:hAnsi="Times New Roman" w:cs="Times New Roman"/>
                <w:bCs/>
                <w:szCs w:val="24"/>
              </w:rPr>
              <w:t>6</w:t>
            </w:r>
            <w:r>
              <w:rPr>
                <w:rFonts w:ascii="Times New Roman" w:hAnsi="Times New Roman" w:cs="Times New Roman"/>
                <w:bCs/>
                <w:szCs w:val="24"/>
              </w:rPr>
              <w:t xml:space="preserve">. </w:t>
            </w:r>
            <w:r w:rsidR="006D496F" w:rsidRPr="00225CC0">
              <w:rPr>
                <w:rFonts w:ascii="Times New Roman" w:hAnsi="Times New Roman" w:cs="Times New Roman"/>
                <w:bCs/>
                <w:szCs w:val="24"/>
              </w:rPr>
              <w:t>Meliorācijas sistēmu uzturēšana. (Mērķsaimniecības: visas saimniecības.)</w:t>
            </w:r>
          </w:p>
        </w:tc>
        <w:tc>
          <w:tcPr>
            <w:tcW w:w="1417" w:type="dxa"/>
            <w:vMerge/>
            <w:tcBorders>
              <w:left w:val="single" w:sz="4" w:space="0" w:color="auto"/>
              <w:right w:val="single" w:sz="4" w:space="0" w:color="auto"/>
            </w:tcBorders>
          </w:tcPr>
          <w:p w14:paraId="62E75EF3"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1327774" w14:textId="54055E4B"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81D7B8C" w14:textId="124583E5"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Indikatīvi 639023 ha (40% no savulaik meliorētajiem 1.6 milj. ha), kas tālāk attiecīgi sadalās pa klasteriem: 1. klasteris: 3% no LIZ; 2. klasteris: 4% no LIZ; 3. klasteris: 36% no LIZ; 4. klasteris: </w:t>
            </w:r>
            <w:r w:rsidRPr="00225CC0">
              <w:rPr>
                <w:rFonts w:ascii="Times New Roman" w:hAnsi="Times New Roman" w:cs="Times New Roman"/>
                <w:szCs w:val="24"/>
              </w:rPr>
              <w:lastRenderedPageBreak/>
              <w:t>79% no LIZ; 5. klasteris: 43% no LIZ.</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19A4F7" w14:textId="10995050"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Samazinās notecei pakļautā platība un netiešās 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w:t>
            </w:r>
          </w:p>
        </w:tc>
      </w:tr>
      <w:tr w:rsidR="006D496F" w:rsidRPr="00225CC0" w14:paraId="0C4FE14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A9493B" w14:textId="5F8ED54F"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10.</w:t>
            </w:r>
            <w:r w:rsidR="0030713E">
              <w:rPr>
                <w:rFonts w:ascii="Times New Roman" w:hAnsi="Times New Roman" w:cs="Times New Roman"/>
                <w:bCs/>
                <w:szCs w:val="24"/>
              </w:rPr>
              <w:t>7</w:t>
            </w:r>
            <w:r>
              <w:rPr>
                <w:rFonts w:ascii="Times New Roman" w:hAnsi="Times New Roman" w:cs="Times New Roman"/>
                <w:bCs/>
                <w:szCs w:val="24"/>
              </w:rPr>
              <w:t xml:space="preserve">. </w:t>
            </w:r>
            <w:r w:rsidR="006D496F" w:rsidRPr="00225CC0">
              <w:rPr>
                <w:rFonts w:ascii="Times New Roman" w:hAnsi="Times New Roman" w:cs="Times New Roman"/>
                <w:bCs/>
                <w:szCs w:val="24"/>
              </w:rPr>
              <w:t>Mēslošanas plānošana. (Mērķsaimniecības: SEG emisiju samazinājuma potenciāla aprēķinam tika izmantoti tikai 3. klastera dati, jo pārējos klasteros N patēriņš nav tik liels, lai mēslošanas plānošanas rezultātā veidotos N ietaupījums. 3. klasteris veido 25,4% no kopējā saimniecību skaita valstī, apsaimnieko 46,2% no LIZ.)</w:t>
            </w:r>
          </w:p>
        </w:tc>
        <w:tc>
          <w:tcPr>
            <w:tcW w:w="1417" w:type="dxa"/>
            <w:vMerge/>
            <w:tcBorders>
              <w:left w:val="single" w:sz="4" w:space="0" w:color="auto"/>
              <w:right w:val="single" w:sz="4" w:space="0" w:color="auto"/>
            </w:tcBorders>
          </w:tcPr>
          <w:p w14:paraId="206B4A0E"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F04CAF5" w14:textId="7709FCFF"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5EB0AF9" w14:textId="0FE1A45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27% no 3. klastera apsaimniekotās lauksaimniecības zemes.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0B080" w14:textId="5CAD2CE3"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(-27% N lietošana</w:t>
            </w:r>
            <w:r w:rsidR="0030713E">
              <w:rPr>
                <w:rFonts w:ascii="Times New Roman" w:hAnsi="Times New Roman" w:cs="Times New Roman"/>
                <w:szCs w:val="24"/>
              </w:rPr>
              <w:t>)</w:t>
            </w:r>
          </w:p>
        </w:tc>
      </w:tr>
      <w:tr w:rsidR="006D496F" w:rsidRPr="00225CC0" w14:paraId="6B3DACD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F11960" w14:textId="06BE9D59"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10.</w:t>
            </w:r>
            <w:r w:rsidR="0030713E">
              <w:rPr>
                <w:rFonts w:ascii="Times New Roman" w:hAnsi="Times New Roman" w:cs="Times New Roman"/>
                <w:bCs/>
                <w:szCs w:val="24"/>
              </w:rPr>
              <w:t>8</w:t>
            </w:r>
            <w:r>
              <w:rPr>
                <w:rFonts w:ascii="Times New Roman" w:hAnsi="Times New Roman" w:cs="Times New Roman"/>
                <w:bCs/>
                <w:szCs w:val="24"/>
              </w:rPr>
              <w:t xml:space="preserve">. </w:t>
            </w:r>
            <w:r w:rsidR="006D496F" w:rsidRPr="00225CC0">
              <w:rPr>
                <w:rFonts w:ascii="Times New Roman" w:hAnsi="Times New Roman" w:cs="Times New Roman"/>
                <w:bCs/>
                <w:szCs w:val="24"/>
              </w:rPr>
              <w:t>Biogāzes ražošanas veicināšana. (Mērķsaimniecības: 1. klasteris, kas veido ap 0,3% no visu saimniecību skaita, audzē 23,5% no visiem liellopiem, 66,4% no visām slaucamām govīm, 88,3% no visiem mājputniem un 90,4% no visām cūkām valstīm.)</w:t>
            </w:r>
          </w:p>
        </w:tc>
        <w:tc>
          <w:tcPr>
            <w:tcW w:w="1417" w:type="dxa"/>
            <w:vMerge/>
            <w:tcBorders>
              <w:left w:val="single" w:sz="4" w:space="0" w:color="auto"/>
              <w:right w:val="single" w:sz="4" w:space="0" w:color="auto"/>
            </w:tcBorders>
          </w:tcPr>
          <w:p w14:paraId="5C673098"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7DC02450" w14:textId="008BA0C0"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F3DFCE2" w14:textId="5E6B31C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35% slaucamās govis, 50% pārējie liellopi, 15% cūkas un 20% mājputni, kas atrodas 1.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1B52A1" w14:textId="094C95E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szCs w:val="24"/>
              </w:rPr>
              <w:t>CH</w:t>
            </w:r>
            <w:r w:rsidRPr="00225CC0">
              <w:rPr>
                <w:rFonts w:ascii="Times New Roman" w:hAnsi="Times New Roman" w:cs="Times New Roman"/>
                <w:color w:val="000000"/>
                <w:szCs w:val="24"/>
                <w:vertAlign w:val="subscript"/>
              </w:rPr>
              <w:t>4</w:t>
            </w:r>
            <w:r w:rsidRPr="00225CC0">
              <w:rPr>
                <w:rFonts w:ascii="Times New Roman" w:hAnsi="Times New Roman" w:cs="Times New Roman"/>
                <w:color w:val="000000"/>
                <w:szCs w:val="24"/>
              </w:rPr>
              <w:t xml:space="preserve"> un N</w:t>
            </w:r>
            <w:r w:rsidRPr="00225CC0">
              <w:rPr>
                <w:rFonts w:ascii="Times New Roman" w:hAnsi="Times New Roman" w:cs="Times New Roman"/>
                <w:color w:val="000000"/>
                <w:szCs w:val="24"/>
                <w:vertAlign w:val="subscript"/>
              </w:rPr>
              <w:t>2</w:t>
            </w:r>
            <w:r w:rsidRPr="00225CC0">
              <w:rPr>
                <w:rFonts w:ascii="Times New Roman" w:hAnsi="Times New Roman" w:cs="Times New Roman"/>
                <w:color w:val="000000"/>
                <w:szCs w:val="24"/>
              </w:rPr>
              <w:t>O emisijas</w:t>
            </w:r>
            <w:r w:rsidRPr="00225CC0">
              <w:rPr>
                <w:rFonts w:ascii="Times New Roman" w:hAnsi="Times New Roman" w:cs="Times New Roman"/>
                <w:szCs w:val="24"/>
              </w:rPr>
              <w:t xml:space="preserve"> samazinājums no kūtsmēslu apsaimniekošanas sistēmas</w:t>
            </w:r>
          </w:p>
        </w:tc>
      </w:tr>
      <w:tr w:rsidR="006D496F" w:rsidRPr="00225CC0" w14:paraId="5CDED57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455B9F" w14:textId="77085DB5"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10.</w:t>
            </w:r>
            <w:r w:rsidR="0030713E">
              <w:rPr>
                <w:rFonts w:ascii="Times New Roman" w:hAnsi="Times New Roman" w:cs="Times New Roman"/>
                <w:bCs/>
                <w:szCs w:val="24"/>
              </w:rPr>
              <w:t>9</w:t>
            </w:r>
            <w:r>
              <w:rPr>
                <w:rFonts w:ascii="Times New Roman" w:hAnsi="Times New Roman" w:cs="Times New Roman"/>
                <w:bCs/>
                <w:szCs w:val="24"/>
              </w:rPr>
              <w:t xml:space="preserve">. </w:t>
            </w:r>
            <w:r w:rsidR="006D496F" w:rsidRPr="00225CC0">
              <w:rPr>
                <w:rFonts w:ascii="Times New Roman" w:hAnsi="Times New Roman" w:cs="Times New Roman"/>
                <w:bCs/>
                <w:szCs w:val="24"/>
              </w:rPr>
              <w:t>Slāpekļa piesaiste (tauriņziežu iekļaušana kultūraugu rotācijā). (Mērķsaimniecības: SEG emisiju samazinājuma potenciāla aprēķinam tika izmantoti tikai 1.,2. un 3. klastera dati, jo pārējos klasteros (4. un 5. klasteris) N patēriņš nav tik liels, lai veidotos N ietaupījums. 1., 2. un 3. klastera saimniecības veido ap 26% no visu saimniecību skaita Latvijā un aizņem ap 70% no visas LIZ.)</w:t>
            </w:r>
          </w:p>
        </w:tc>
        <w:tc>
          <w:tcPr>
            <w:tcW w:w="1417" w:type="dxa"/>
            <w:vMerge/>
            <w:tcBorders>
              <w:left w:val="single" w:sz="4" w:space="0" w:color="auto"/>
              <w:bottom w:val="single" w:sz="4" w:space="0" w:color="auto"/>
              <w:right w:val="single" w:sz="4" w:space="0" w:color="auto"/>
            </w:tcBorders>
          </w:tcPr>
          <w:p w14:paraId="55D8CA03"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bottom w:val="single" w:sz="4" w:space="0" w:color="auto"/>
              <w:right w:val="single" w:sz="4" w:space="0" w:color="auto"/>
            </w:tcBorders>
            <w:tcMar>
              <w:top w:w="0" w:type="dxa"/>
              <w:left w:w="28" w:type="dxa"/>
              <w:bottom w:w="0" w:type="dxa"/>
              <w:right w:w="28" w:type="dxa"/>
            </w:tcMar>
          </w:tcPr>
          <w:p w14:paraId="78CABA77"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14605E38" w14:textId="5162007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12,5% no aramzemes platības, kuras apsaimnieko 1., 2. un 3. klastera saimniecības.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0B4EE7" w14:textId="3D83B8F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(-62,4 kg N t ha</w:t>
            </w:r>
            <w:r w:rsidRPr="00225CC0">
              <w:rPr>
                <w:rFonts w:ascii="Times New Roman" w:hAnsi="Times New Roman" w:cs="Times New Roman"/>
                <w:szCs w:val="24"/>
                <w:vertAlign w:val="superscript"/>
              </w:rPr>
              <w:t>-1</w:t>
            </w:r>
            <w:r w:rsidR="00225CC0">
              <w:rPr>
                <w:rFonts w:ascii="Times New Roman" w:hAnsi="Times New Roman" w:cs="Times New Roman"/>
                <w:szCs w:val="24"/>
              </w:rPr>
              <w:t>)</w:t>
            </w:r>
          </w:p>
        </w:tc>
      </w:tr>
      <w:tr w:rsidR="006D496F" w:rsidRPr="00225CC0" w14:paraId="42214E1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tcPr>
          <w:p w14:paraId="0F429062" w14:textId="61776F47" w:rsidR="006D496F" w:rsidRPr="00225CC0" w:rsidRDefault="006D496F" w:rsidP="00225CC0">
            <w:pPr>
              <w:spacing w:before="60" w:after="60" w:line="240" w:lineRule="auto"/>
              <w:rPr>
                <w:rFonts w:ascii="Times New Roman" w:hAnsi="Times New Roman" w:cs="Times New Roman"/>
                <w:b/>
                <w:szCs w:val="24"/>
              </w:rPr>
            </w:pPr>
            <w:r w:rsidRPr="00225CC0">
              <w:rPr>
                <w:rFonts w:ascii="Times New Roman" w:hAnsi="Times New Roman" w:cs="Times New Roman"/>
                <w:b/>
                <w:szCs w:val="24"/>
              </w:rPr>
              <w:t>11</w:t>
            </w:r>
            <w:r w:rsidR="00BF5279">
              <w:rPr>
                <w:rFonts w:ascii="Times New Roman" w:hAnsi="Times New Roman" w:cs="Times New Roman"/>
                <w:b/>
                <w:szCs w:val="24"/>
              </w:rPr>
              <w:t>.</w:t>
            </w:r>
            <w:r w:rsidRPr="00225CC0">
              <w:rPr>
                <w:rFonts w:ascii="Times New Roman" w:hAnsi="Times New Roman" w:cs="Times New Roman"/>
                <w:b/>
                <w:szCs w:val="24"/>
              </w:rPr>
              <w:t xml:space="preserve"> Rīcībpolitika SEG emisiju samazināšanai un CO</w:t>
            </w:r>
            <w:r w:rsidRPr="00225CC0">
              <w:rPr>
                <w:rFonts w:ascii="Times New Roman" w:hAnsi="Times New Roman" w:cs="Times New Roman"/>
                <w:b/>
                <w:szCs w:val="24"/>
                <w:vertAlign w:val="subscript"/>
              </w:rPr>
              <w:t>2</w:t>
            </w:r>
            <w:r w:rsidRPr="00225CC0">
              <w:rPr>
                <w:rFonts w:ascii="Times New Roman" w:hAnsi="Times New Roman" w:cs="Times New Roman"/>
                <w:b/>
                <w:szCs w:val="24"/>
              </w:rPr>
              <w:t xml:space="preserve"> piesaistes veicināšanai ZIZIMM darbībās</w:t>
            </w:r>
          </w:p>
          <w:p w14:paraId="102DA50B" w14:textId="07A9A7E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i/>
                <w:szCs w:val="24"/>
              </w:rPr>
              <w:t>Dekarbonizācija</w:t>
            </w:r>
          </w:p>
        </w:tc>
      </w:tr>
      <w:tr w:rsidR="006D496F" w:rsidRPr="00225CC0" w14:paraId="6078186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56A579" w14:textId="7BCF59FE"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lastRenderedPageBreak/>
              <w:t xml:space="preserve">11.1. </w:t>
            </w:r>
            <w:r w:rsidR="006D496F" w:rsidRPr="00225CC0">
              <w:rPr>
                <w:rFonts w:ascii="Times New Roman" w:hAnsi="Times New Roman" w:cs="Times New Roman"/>
                <w:bCs/>
                <w:szCs w:val="24"/>
              </w:rPr>
              <w:t>Meliorācijas sistēmu pārbūve un atjaunošana aramzemē</w:t>
            </w:r>
          </w:p>
        </w:tc>
        <w:tc>
          <w:tcPr>
            <w:tcW w:w="1417" w:type="dxa"/>
            <w:vMerge w:val="restart"/>
            <w:tcBorders>
              <w:top w:val="single" w:sz="4" w:space="0" w:color="auto"/>
              <w:left w:val="single" w:sz="4" w:space="0" w:color="auto"/>
              <w:right w:val="single" w:sz="4" w:space="0" w:color="auto"/>
            </w:tcBorders>
          </w:tcPr>
          <w:p w14:paraId="3D170CB7" w14:textId="6CDA24AA"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ZM</w:t>
            </w:r>
          </w:p>
        </w:tc>
        <w:tc>
          <w:tcPr>
            <w:tcW w:w="2835"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384FA8B0" w14:textId="35E15136"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hAnsi="Times New Roman" w:cs="Times New Roman"/>
                <w:szCs w:val="24"/>
              </w:rPr>
              <w:t>Pasākumu īstenošanai nepieciešamais finansējums tiks noteikts diskusijās par ES fondu atbalsta sadali.</w:t>
            </w:r>
          </w:p>
        </w:tc>
        <w:tc>
          <w:tcPr>
            <w:tcW w:w="1985" w:type="dxa"/>
            <w:tcBorders>
              <w:top w:val="single" w:sz="4" w:space="0" w:color="auto"/>
              <w:left w:val="single" w:sz="4" w:space="0" w:color="auto"/>
              <w:bottom w:val="single" w:sz="4" w:space="0" w:color="auto"/>
              <w:right w:val="single" w:sz="4" w:space="0" w:color="auto"/>
            </w:tcBorders>
          </w:tcPr>
          <w:p w14:paraId="63074A77" w14:textId="1FF5618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Augsnes auglības saglabāšana platībās ar atjaunotām meliorācijas sistēmām (indikatīvi 8 tūkst. ha).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C0B1F7" w14:textId="04D67FB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Neatjaunojot meliorācijas sistēmas, oglekļa uzkrājums minerālaugsnēs samazināsies par 7 tonnām ha</w:t>
            </w:r>
            <w:r w:rsidRPr="00225CC0">
              <w:rPr>
                <w:rFonts w:ascii="Times New Roman" w:hAnsi="Times New Roman" w:cs="Times New Roman"/>
                <w:szCs w:val="24"/>
                <w:vertAlign w:val="superscript"/>
              </w:rPr>
              <w:t>-1</w:t>
            </w:r>
          </w:p>
        </w:tc>
      </w:tr>
      <w:tr w:rsidR="006D496F" w:rsidRPr="00225CC0" w14:paraId="6DC6377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AE7B54" w14:textId="7BF41107"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11.2. </w:t>
            </w:r>
            <w:r w:rsidR="006D496F" w:rsidRPr="00225CC0">
              <w:rPr>
                <w:rFonts w:ascii="Times New Roman" w:hAnsi="Times New Roman" w:cs="Times New Roman"/>
                <w:bCs/>
                <w:szCs w:val="24"/>
              </w:rPr>
              <w:t>Atbalsts integrētās dārzkopības ieviešanai un veicināšanai</w:t>
            </w:r>
          </w:p>
        </w:tc>
        <w:tc>
          <w:tcPr>
            <w:tcW w:w="1417" w:type="dxa"/>
            <w:vMerge/>
            <w:tcBorders>
              <w:left w:val="single" w:sz="4" w:space="0" w:color="auto"/>
              <w:right w:val="single" w:sz="4" w:space="0" w:color="auto"/>
            </w:tcBorders>
          </w:tcPr>
          <w:p w14:paraId="15BE195D"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8DFC214" w14:textId="07BD7A8F"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B254311" w14:textId="056B543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Augļudārzu platības saglabāšana (indikatīvi 500 ha), nodrošinot palielinātu oglekļa uzkrājumu augļudārzu platībās.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F8AE028" w14:textId="33EE675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Atšķirība no alternatīvā scenārija ir 73 tonnas ha</w:t>
            </w:r>
            <w:r w:rsidRPr="00225CC0">
              <w:rPr>
                <w:rFonts w:ascii="Times New Roman" w:hAnsi="Times New Roman" w:cs="Times New Roman"/>
                <w:szCs w:val="24"/>
                <w:vertAlign w:val="superscript"/>
              </w:rPr>
              <w:t>-1</w:t>
            </w:r>
          </w:p>
        </w:tc>
      </w:tr>
      <w:tr w:rsidR="006D496F" w:rsidRPr="00225CC0" w14:paraId="1773491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9F6669" w14:textId="3DCA2739"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11.3. </w:t>
            </w:r>
            <w:r w:rsidR="006D496F" w:rsidRPr="00225CC0">
              <w:rPr>
                <w:rFonts w:ascii="Times New Roman" w:hAnsi="Times New Roman" w:cs="Times New Roman"/>
                <w:bCs/>
                <w:szCs w:val="24"/>
              </w:rPr>
              <w:t>Bioloģiskās daudzveidības uzturēšana zālājos</w:t>
            </w:r>
          </w:p>
        </w:tc>
        <w:tc>
          <w:tcPr>
            <w:tcW w:w="1417" w:type="dxa"/>
            <w:vMerge/>
            <w:tcBorders>
              <w:left w:val="single" w:sz="4" w:space="0" w:color="auto"/>
              <w:right w:val="single" w:sz="4" w:space="0" w:color="auto"/>
            </w:tcBorders>
          </w:tcPr>
          <w:p w14:paraId="792888EE"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31A1AE8" w14:textId="0B13698A"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3B870748" w14:textId="1AEA81E6"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SEG emisiju samazināšanās, transformējot aramzemes uz organiskām augsnēm par daudzgadīgiem zālājiem (indikatīvi 2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F1632" w14:textId="3186158E"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emisiju samazinājums transformētajās organiskajās augsnēs par aptuveni 0,5 tonnām C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gadā</w:t>
            </w:r>
          </w:p>
        </w:tc>
      </w:tr>
      <w:tr w:rsidR="006D496F" w:rsidRPr="00225CC0" w14:paraId="76A74FF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37BFB" w14:textId="6C282F17" w:rsidR="006D496F" w:rsidRPr="00225CC0" w:rsidRDefault="00BF5279" w:rsidP="00225CC0">
            <w:pPr>
              <w:spacing w:before="60" w:after="60" w:line="240" w:lineRule="auto"/>
              <w:rPr>
                <w:rFonts w:ascii="Times New Roman" w:hAnsi="Times New Roman" w:cs="Times New Roman"/>
                <w:szCs w:val="24"/>
              </w:rPr>
            </w:pPr>
            <w:r>
              <w:rPr>
                <w:rFonts w:ascii="Times New Roman" w:hAnsi="Times New Roman" w:cs="Times New Roman"/>
                <w:bCs/>
                <w:szCs w:val="24"/>
              </w:rPr>
              <w:t xml:space="preserve">11.4. </w:t>
            </w:r>
            <w:r w:rsidR="006D496F" w:rsidRPr="00225CC0">
              <w:rPr>
                <w:rFonts w:ascii="Times New Roman" w:hAnsi="Times New Roman" w:cs="Times New Roman"/>
                <w:bCs/>
                <w:szCs w:val="24"/>
              </w:rPr>
              <w:t>Pākšaugu audzēšana</w:t>
            </w:r>
          </w:p>
        </w:tc>
        <w:tc>
          <w:tcPr>
            <w:tcW w:w="1417" w:type="dxa"/>
            <w:vMerge/>
            <w:tcBorders>
              <w:left w:val="single" w:sz="4" w:space="0" w:color="auto"/>
              <w:right w:val="single" w:sz="4" w:space="0" w:color="auto"/>
            </w:tcBorders>
          </w:tcPr>
          <w:p w14:paraId="28B8025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63F4369" w14:textId="02C47F58"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3409F1A1" w14:textId="129C6C6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Oglekļa ieneses palielināšanās minerālaugsnēs konvencionālajās un bioloģiskajās </w:t>
            </w:r>
            <w:r w:rsidRPr="00225CC0">
              <w:rPr>
                <w:rFonts w:ascii="Times New Roman" w:hAnsi="Times New Roman" w:cs="Times New Roman"/>
                <w:szCs w:val="24"/>
              </w:rPr>
              <w:lastRenderedPageBreak/>
              <w:t>saimniecībās (indikatīvi 23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878932" w14:textId="032F4D1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Augsnes oglekļa uzkrājuma pieaugums par 7 tonnām ha</w:t>
            </w:r>
            <w:r w:rsidRPr="00225CC0">
              <w:rPr>
                <w:rFonts w:ascii="Times New Roman" w:hAnsi="Times New Roman" w:cs="Times New Roman"/>
                <w:szCs w:val="24"/>
                <w:vertAlign w:val="superscript"/>
              </w:rPr>
              <w:t>-1</w:t>
            </w:r>
          </w:p>
        </w:tc>
      </w:tr>
      <w:tr w:rsidR="006C4E3C" w:rsidRPr="00225CC0" w14:paraId="5C3BA45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35D3E8" w14:textId="361192F1" w:rsidR="006C4E3C" w:rsidRPr="00225CC0" w:rsidRDefault="006C4E3C" w:rsidP="006C4E3C">
            <w:pPr>
              <w:spacing w:before="60" w:after="60" w:line="240" w:lineRule="auto"/>
              <w:rPr>
                <w:rFonts w:ascii="Times New Roman" w:hAnsi="Times New Roman" w:cs="Times New Roman"/>
                <w:bCs/>
                <w:szCs w:val="24"/>
              </w:rPr>
            </w:pPr>
            <w:r>
              <w:rPr>
                <w:rFonts w:ascii="Times New Roman" w:hAnsi="Times New Roman" w:cs="Times New Roman"/>
                <w:bCs/>
                <w:szCs w:val="24"/>
              </w:rPr>
              <w:t xml:space="preserve">11.5. </w:t>
            </w:r>
            <w:r w:rsidRPr="00225CC0">
              <w:rPr>
                <w:rFonts w:ascii="Times New Roman" w:hAnsi="Times New Roman" w:cs="Times New Roman"/>
                <w:bCs/>
                <w:szCs w:val="24"/>
              </w:rPr>
              <w:t>Meliorācijas sistēmu pārbūve meža zemē</w:t>
            </w:r>
          </w:p>
          <w:p w14:paraId="01ED0470" w14:textId="77777777" w:rsidR="006C4E3C" w:rsidRPr="00225CC0" w:rsidRDefault="006C4E3C" w:rsidP="006C4E3C">
            <w:pPr>
              <w:spacing w:before="60" w:after="60" w:line="240" w:lineRule="auto"/>
              <w:rPr>
                <w:rFonts w:ascii="Times New Roman" w:hAnsi="Times New Roman" w:cs="Times New Roman"/>
                <w:szCs w:val="24"/>
              </w:rPr>
            </w:pPr>
          </w:p>
        </w:tc>
        <w:tc>
          <w:tcPr>
            <w:tcW w:w="1417" w:type="dxa"/>
            <w:vMerge/>
            <w:tcBorders>
              <w:left w:val="single" w:sz="4" w:space="0" w:color="auto"/>
              <w:right w:val="single" w:sz="4" w:space="0" w:color="auto"/>
            </w:tcBorders>
          </w:tcPr>
          <w:p w14:paraId="7CCFE020"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DD6289B" w14:textId="47560CE3"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2BE0B254" w14:textId="6504A5F8"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Stabila oglekļa piesaistes potenciāla sagatavošana meliorētajās platībās (indikatīvi 12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260932" w14:textId="3DFFCC3A"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Alternatīva scenārija īstenošana (meliorācijas sistēmu neatjaunošana) samazinātu oglekļa uzkrājumu par 42 tonnām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(augšanas gaitas modeļi, LIFE REstore rezultāti)</w:t>
            </w:r>
          </w:p>
        </w:tc>
      </w:tr>
      <w:tr w:rsidR="006C4E3C" w:rsidRPr="00225CC0" w14:paraId="7744BA0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26FD1B" w14:textId="76E4BA1B"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11.6. </w:t>
            </w:r>
            <w:r w:rsidRPr="00225CC0">
              <w:rPr>
                <w:rFonts w:ascii="Times New Roman" w:hAnsi="Times New Roman" w:cs="Times New Roman"/>
                <w:bCs/>
                <w:szCs w:val="24"/>
              </w:rPr>
              <w:t>Meža ekosistēmu noturības un ekoloģiskās vērtības uzlabošana</w:t>
            </w:r>
          </w:p>
        </w:tc>
        <w:tc>
          <w:tcPr>
            <w:tcW w:w="1417" w:type="dxa"/>
            <w:vMerge/>
            <w:tcBorders>
              <w:left w:val="single" w:sz="4" w:space="0" w:color="auto"/>
              <w:right w:val="single" w:sz="4" w:space="0" w:color="auto"/>
            </w:tcBorders>
          </w:tcPr>
          <w:p w14:paraId="1CC8D10C"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5F0883D6" w14:textId="36EFD590"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4B697B6" w14:textId="77777777"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E6FB55" w14:textId="14A36E54"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dzīvajā biomasā un citās oglekļa krātuvēs, savlaicīgi veicot jaunaudžu kopšanas cirtes (21 tonna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10 gadu laikā) Ietekmes novērtējums atbilstoši augšanas gaitas modeļiem</w:t>
            </w:r>
          </w:p>
        </w:tc>
      </w:tr>
      <w:tr w:rsidR="006C4E3C" w:rsidRPr="00225CC0" w14:paraId="5D012E5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674DBB" w14:textId="60537186"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11.7. </w:t>
            </w:r>
            <w:r w:rsidRPr="00225CC0">
              <w:rPr>
                <w:rFonts w:ascii="Times New Roman" w:hAnsi="Times New Roman" w:cs="Times New Roman"/>
                <w:bCs/>
                <w:szCs w:val="24"/>
              </w:rPr>
              <w:t>Dabas katastrofās iznīcinātu mežaudžu atjaunošana</w:t>
            </w:r>
          </w:p>
        </w:tc>
        <w:tc>
          <w:tcPr>
            <w:tcW w:w="1417" w:type="dxa"/>
            <w:vMerge/>
            <w:tcBorders>
              <w:left w:val="single" w:sz="4" w:space="0" w:color="auto"/>
              <w:right w:val="single" w:sz="4" w:space="0" w:color="auto"/>
            </w:tcBorders>
          </w:tcPr>
          <w:p w14:paraId="711DBD32"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1CF02532" w14:textId="29E0C603"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3CFB6B8" w14:textId="20311C13"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Oglekļa uzkrājuma pieauguma potenciāla palielināšanās platībās, kur veikta </w:t>
            </w:r>
            <w:r w:rsidRPr="00225CC0">
              <w:rPr>
                <w:rFonts w:ascii="Times New Roman" w:hAnsi="Times New Roman" w:cs="Times New Roman"/>
                <w:szCs w:val="24"/>
              </w:rPr>
              <w:lastRenderedPageBreak/>
              <w:t>sugu nomaiņa (kopā indikatīvi 10000 ha, 100 tonnas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90 gadu laikā).</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A19C98" w14:textId="25212988"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 xml:space="preserve">Oglekļa uzkrājuma pieauguma potenciāla palielināšanās platībās, kur veikta sugu nomaiņa </w:t>
            </w:r>
            <w:r w:rsidRPr="00225CC0">
              <w:rPr>
                <w:rFonts w:ascii="Times New Roman" w:hAnsi="Times New Roman" w:cs="Times New Roman"/>
                <w:szCs w:val="24"/>
              </w:rPr>
              <w:lastRenderedPageBreak/>
              <w:t>(100 tonnas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90 gadu laikā). Ietekmes novērtējums atbilstoši augšanas gaitas modeļiem</w:t>
            </w:r>
          </w:p>
        </w:tc>
      </w:tr>
      <w:tr w:rsidR="006C4E3C" w:rsidRPr="00225CC0" w14:paraId="5E44C15C"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ABD32B" w14:textId="621D5129"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lastRenderedPageBreak/>
              <w:t xml:space="preserve">11.8. </w:t>
            </w:r>
            <w:r w:rsidRPr="00225CC0">
              <w:rPr>
                <w:rFonts w:ascii="Times New Roman" w:hAnsi="Times New Roman" w:cs="Times New Roman"/>
                <w:bCs/>
                <w:szCs w:val="24"/>
              </w:rPr>
              <w:t>Jaunu augļu dārzu izveidošana</w:t>
            </w:r>
          </w:p>
        </w:tc>
        <w:tc>
          <w:tcPr>
            <w:tcW w:w="1417" w:type="dxa"/>
            <w:vMerge/>
            <w:tcBorders>
              <w:left w:val="single" w:sz="4" w:space="0" w:color="auto"/>
              <w:right w:val="single" w:sz="4" w:space="0" w:color="auto"/>
            </w:tcBorders>
          </w:tcPr>
          <w:p w14:paraId="1FD0CE92"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891887D" w14:textId="2F192C9E"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19B5568D"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Jaunu augļu dārzu ierīkošana, indikatīvi 30 ha/gadā</w:t>
            </w:r>
          </w:p>
          <w:p w14:paraId="722DE7E4" w14:textId="5CC6194A"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Augļudārzu platības saglabāšana, nodrošinot palielinātu oglekļa uzkrājumu augļudārzu platībās.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C52352"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Palielinās C ienese augsnē ar augu atliekām, veidojas jauna C krātuve - kokaugu biomasa.</w:t>
            </w:r>
          </w:p>
          <w:p w14:paraId="662616C7" w14:textId="7E34FC8A"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Atšķirība no alternatīvā scenārija ir 73 tonnas ha</w:t>
            </w:r>
            <w:r w:rsidRPr="00225CC0">
              <w:rPr>
                <w:rFonts w:ascii="Times New Roman" w:hAnsi="Times New Roman" w:cs="Times New Roman"/>
                <w:szCs w:val="24"/>
                <w:vertAlign w:val="superscript"/>
              </w:rPr>
              <w:t>-1</w:t>
            </w:r>
          </w:p>
        </w:tc>
      </w:tr>
      <w:tr w:rsidR="006C4E3C" w:rsidRPr="00225CC0" w14:paraId="739B4FA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8DF573" w14:textId="77A287B0"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11.9. </w:t>
            </w:r>
            <w:r w:rsidRPr="00225CC0">
              <w:rPr>
                <w:rFonts w:ascii="Times New Roman" w:hAnsi="Times New Roman" w:cs="Times New Roman"/>
                <w:bCs/>
                <w:szCs w:val="24"/>
              </w:rPr>
              <w:t>Meliorācijas sistēmu pārbūve un atjaunošana aramzemē</w:t>
            </w:r>
          </w:p>
        </w:tc>
        <w:tc>
          <w:tcPr>
            <w:tcW w:w="1417" w:type="dxa"/>
            <w:vMerge/>
            <w:tcBorders>
              <w:left w:val="single" w:sz="4" w:space="0" w:color="auto"/>
              <w:right w:val="single" w:sz="4" w:space="0" w:color="auto"/>
            </w:tcBorders>
          </w:tcPr>
          <w:p w14:paraId="2E0E065C"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B16C4A2" w14:textId="73D186D5"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3826ECD" w14:textId="77777777"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B9A04E"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Augsnes auglības saglabāšana platībās ar atjaunotām meliorācijas sistēmām.</w:t>
            </w:r>
          </w:p>
          <w:p w14:paraId="1DE19EF1" w14:textId="45A85FE2"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Neatjaunojot meliorācijas sistēmas, oglekļa uzkrājums minerālaugsnēs samazināsies par 7 tonnām ha</w:t>
            </w:r>
            <w:r w:rsidRPr="00225CC0">
              <w:rPr>
                <w:rFonts w:ascii="Times New Roman" w:hAnsi="Times New Roman" w:cs="Times New Roman"/>
                <w:szCs w:val="24"/>
                <w:vertAlign w:val="superscript"/>
              </w:rPr>
              <w:t>-1</w:t>
            </w:r>
          </w:p>
        </w:tc>
      </w:tr>
      <w:tr w:rsidR="006C4E3C" w:rsidRPr="00225CC0" w14:paraId="0355BDE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87ECC2" w14:textId="154A5A70"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lastRenderedPageBreak/>
              <w:t xml:space="preserve">11.10. </w:t>
            </w:r>
            <w:r w:rsidRPr="00225CC0">
              <w:rPr>
                <w:rFonts w:ascii="Times New Roman" w:hAnsi="Times New Roman" w:cs="Times New Roman"/>
                <w:bCs/>
                <w:szCs w:val="24"/>
              </w:rPr>
              <w:t>Pasēja ziemāju sējumos</w:t>
            </w:r>
          </w:p>
        </w:tc>
        <w:tc>
          <w:tcPr>
            <w:tcW w:w="1417" w:type="dxa"/>
            <w:vMerge/>
            <w:tcBorders>
              <w:left w:val="single" w:sz="4" w:space="0" w:color="auto"/>
              <w:right w:val="single" w:sz="4" w:space="0" w:color="auto"/>
            </w:tcBorders>
          </w:tcPr>
          <w:p w14:paraId="6992AC5C"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AEB361D" w14:textId="482E86A0"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7D86452"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Platība, kurā izmantota pasēja, indikatīvi</w:t>
            </w:r>
          </w:p>
          <w:p w14:paraId="738D8D34"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17500 ha/gadā </w:t>
            </w:r>
          </w:p>
          <w:p w14:paraId="6C87D791" w14:textId="77777777"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65B822" w14:textId="6D9D61FB"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ieneses palielināšanās minerālaugsnēs konvencionālajās saimniecībās, kas nodrošina augsnes oglekļa uzkrājuma pieaugumu par 7 tonnām ha</w:t>
            </w:r>
            <w:r w:rsidRPr="00225CC0">
              <w:rPr>
                <w:rFonts w:ascii="Times New Roman" w:hAnsi="Times New Roman" w:cs="Times New Roman"/>
                <w:szCs w:val="24"/>
                <w:vertAlign w:val="superscript"/>
              </w:rPr>
              <w:t>-1</w:t>
            </w:r>
          </w:p>
        </w:tc>
      </w:tr>
      <w:tr w:rsidR="006C4E3C" w:rsidRPr="00225CC0" w14:paraId="129418D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A57DB2" w14:textId="19B4DFA9"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11.11. </w:t>
            </w:r>
            <w:r w:rsidRPr="00225CC0">
              <w:rPr>
                <w:rFonts w:ascii="Times New Roman" w:hAnsi="Times New Roman" w:cs="Times New Roman"/>
                <w:bCs/>
                <w:szCs w:val="24"/>
              </w:rPr>
              <w:t>Pākšaugu audzēšanas ieviešana konvencionālajā kultūraugu rotācijā</w:t>
            </w:r>
          </w:p>
        </w:tc>
        <w:tc>
          <w:tcPr>
            <w:tcW w:w="1417" w:type="dxa"/>
            <w:vMerge/>
            <w:tcBorders>
              <w:left w:val="single" w:sz="4" w:space="0" w:color="auto"/>
              <w:right w:val="single" w:sz="4" w:space="0" w:color="auto"/>
            </w:tcBorders>
          </w:tcPr>
          <w:p w14:paraId="74D41B1C"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0820EE59" w14:textId="3BEF7BAC"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8F953E1"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Platība, kurā rotācijā tiek audzēti pākšaugi, </w:t>
            </w:r>
          </w:p>
          <w:p w14:paraId="1013DE58" w14:textId="77777777" w:rsidR="006C4E3C" w:rsidRPr="00225CC0" w:rsidRDefault="006C4E3C" w:rsidP="006C4E3C">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Indikatīvi 332 875 ha uz 2030. gadu </w:t>
            </w:r>
          </w:p>
          <w:p w14:paraId="72647278" w14:textId="77777777"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8850E5" w14:textId="40551905"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ieneses palielināšanās minerālaugsnēs konvencionālajās un bioloģiskajās saimniecībās, kas nodrošina augsnes oglekļa uzkrājuma pieaugumu par 7 tonnām ha</w:t>
            </w:r>
            <w:r w:rsidRPr="00225CC0">
              <w:rPr>
                <w:rFonts w:ascii="Times New Roman" w:hAnsi="Times New Roman" w:cs="Times New Roman"/>
                <w:szCs w:val="24"/>
                <w:vertAlign w:val="superscript"/>
              </w:rPr>
              <w:t>-1</w:t>
            </w:r>
          </w:p>
        </w:tc>
      </w:tr>
      <w:tr w:rsidR="006C4E3C" w:rsidRPr="00225CC0" w14:paraId="3C7D9AE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750598" w14:textId="34A0F4D0"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11.12. </w:t>
            </w:r>
            <w:r w:rsidRPr="00225CC0">
              <w:rPr>
                <w:rFonts w:ascii="Times New Roman" w:hAnsi="Times New Roman" w:cs="Times New Roman"/>
                <w:bCs/>
                <w:szCs w:val="24"/>
              </w:rPr>
              <w:t>Zaļā papuve pirms ziemāju sējumiem</w:t>
            </w:r>
          </w:p>
        </w:tc>
        <w:tc>
          <w:tcPr>
            <w:tcW w:w="1417" w:type="dxa"/>
            <w:vMerge/>
            <w:tcBorders>
              <w:left w:val="single" w:sz="4" w:space="0" w:color="auto"/>
              <w:right w:val="single" w:sz="4" w:space="0" w:color="auto"/>
            </w:tcBorders>
          </w:tcPr>
          <w:p w14:paraId="36647821"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76150A5" w14:textId="6D683D43"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D43C694" w14:textId="77777777" w:rsidR="006C4E3C" w:rsidRPr="00225CC0" w:rsidRDefault="006C4E3C" w:rsidP="006C4E3C">
            <w:pPr>
              <w:spacing w:before="60" w:after="60" w:line="240" w:lineRule="auto"/>
              <w:rPr>
                <w:rFonts w:ascii="Times New Roman" w:hAnsi="Times New Roman" w:cs="Times New Roman"/>
                <w:szCs w:val="24"/>
              </w:rPr>
            </w:pPr>
            <w:r w:rsidRPr="00225CC0">
              <w:rPr>
                <w:rFonts w:ascii="Times New Roman" w:hAnsi="Times New Roman" w:cs="Times New Roman"/>
                <w:szCs w:val="24"/>
              </w:rPr>
              <w:t xml:space="preserve">Platība, kurā iestrādāts zaļmēslojums, indikatīvi </w:t>
            </w:r>
          </w:p>
          <w:p w14:paraId="7C25DDB3" w14:textId="77777777" w:rsidR="006C4E3C" w:rsidRPr="00225CC0" w:rsidRDefault="006C4E3C" w:rsidP="006C4E3C">
            <w:pPr>
              <w:spacing w:before="60" w:after="60" w:line="240" w:lineRule="auto"/>
              <w:rPr>
                <w:rFonts w:ascii="Times New Roman" w:hAnsi="Times New Roman" w:cs="Times New Roman"/>
                <w:szCs w:val="24"/>
              </w:rPr>
            </w:pPr>
            <w:r w:rsidRPr="00225CC0">
              <w:rPr>
                <w:rFonts w:ascii="Times New Roman" w:hAnsi="Times New Roman" w:cs="Times New Roman"/>
                <w:szCs w:val="24"/>
              </w:rPr>
              <w:t>100858 ha uz 2030. gadu</w:t>
            </w:r>
          </w:p>
          <w:p w14:paraId="7B5FAECB" w14:textId="77777777"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C18E52" w14:textId="31B94E1E"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Oglekļa ieneses palielināšanās minerālaugsnēs konvencionālajās saimniecībās, kas nodrošina augsnes oglekļa uzkrājuma </w:t>
            </w:r>
            <w:r w:rsidRPr="00225CC0">
              <w:rPr>
                <w:rFonts w:ascii="Times New Roman" w:hAnsi="Times New Roman" w:cs="Times New Roman"/>
                <w:szCs w:val="24"/>
              </w:rPr>
              <w:lastRenderedPageBreak/>
              <w:t>pieaugumu par 7 tonnām ha</w:t>
            </w:r>
            <w:r w:rsidRPr="00225CC0">
              <w:rPr>
                <w:rFonts w:ascii="Times New Roman" w:hAnsi="Times New Roman" w:cs="Times New Roman"/>
                <w:szCs w:val="24"/>
                <w:vertAlign w:val="superscript"/>
              </w:rPr>
              <w:t>-1</w:t>
            </w:r>
          </w:p>
        </w:tc>
      </w:tr>
      <w:tr w:rsidR="006C4E3C" w:rsidRPr="00225CC0" w14:paraId="7EF569D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19977F" w14:textId="67B2F266"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lastRenderedPageBreak/>
              <w:t xml:space="preserve">11.13. </w:t>
            </w:r>
            <w:r w:rsidRPr="00225CC0">
              <w:rPr>
                <w:rFonts w:ascii="Times New Roman" w:hAnsi="Times New Roman" w:cs="Times New Roman"/>
                <w:bCs/>
                <w:szCs w:val="24"/>
              </w:rPr>
              <w:t>Jaunaudžu kopšanas cirte</w:t>
            </w:r>
          </w:p>
        </w:tc>
        <w:tc>
          <w:tcPr>
            <w:tcW w:w="1417" w:type="dxa"/>
            <w:vMerge/>
            <w:tcBorders>
              <w:left w:val="single" w:sz="4" w:space="0" w:color="auto"/>
              <w:right w:val="single" w:sz="4" w:space="0" w:color="auto"/>
            </w:tcBorders>
          </w:tcPr>
          <w:p w14:paraId="7ED5BF38"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915D09C" w14:textId="3CEE6C78"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4F0E7E3" w14:textId="68626604"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dzīvajā biomasā un citās oglekļa krātuvēs, savlaicīgi veicot jaunaudžu kopšanas cirtes indikatīvi 120000 ha platībā (21 tonna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10 gadu laikā)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FCA291" w14:textId="21F09CA5"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Ietekmes novērtējums atbilstoši augšanas gaitas modeļiem</w:t>
            </w:r>
          </w:p>
        </w:tc>
      </w:tr>
      <w:tr w:rsidR="006C4E3C" w:rsidRPr="00225CC0" w14:paraId="4B18519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36F3B0" w14:textId="57634B19" w:rsidR="006C4E3C" w:rsidRPr="00225CC0" w:rsidRDefault="006C4E3C" w:rsidP="006C4E3C">
            <w:pPr>
              <w:spacing w:before="60" w:after="60" w:line="240" w:lineRule="auto"/>
              <w:rPr>
                <w:rFonts w:ascii="Times New Roman" w:hAnsi="Times New Roman" w:cs="Times New Roman"/>
                <w:szCs w:val="24"/>
              </w:rPr>
            </w:pPr>
            <w:r>
              <w:rPr>
                <w:rFonts w:ascii="Times New Roman" w:hAnsi="Times New Roman" w:cs="Times New Roman"/>
                <w:bCs/>
                <w:szCs w:val="24"/>
              </w:rPr>
              <w:t xml:space="preserve">11.14. </w:t>
            </w:r>
            <w:r w:rsidRPr="00225CC0">
              <w:rPr>
                <w:rFonts w:ascii="Times New Roman" w:hAnsi="Times New Roman" w:cs="Times New Roman"/>
                <w:bCs/>
                <w:szCs w:val="24"/>
              </w:rPr>
              <w:t>Meža ieaudzēšana un audzes kvalitātes uzlabošana dabiski apmežojušās platībās</w:t>
            </w:r>
          </w:p>
        </w:tc>
        <w:tc>
          <w:tcPr>
            <w:tcW w:w="1417" w:type="dxa"/>
            <w:vMerge/>
            <w:tcBorders>
              <w:left w:val="single" w:sz="4" w:space="0" w:color="auto"/>
              <w:bottom w:val="single" w:sz="4" w:space="0" w:color="auto"/>
              <w:right w:val="single" w:sz="4" w:space="0" w:color="auto"/>
            </w:tcBorders>
          </w:tcPr>
          <w:p w14:paraId="6F2F9142" w14:textId="77777777" w:rsidR="006C4E3C" w:rsidRPr="00225CC0" w:rsidRDefault="006C4E3C" w:rsidP="006C4E3C">
            <w:pPr>
              <w:spacing w:before="60" w:after="60" w:line="240" w:lineRule="auto"/>
              <w:rPr>
                <w:rFonts w:ascii="Times New Roman" w:eastAsia="Calibri" w:hAnsi="Times New Roman" w:cs="Times New Roman"/>
                <w:szCs w:val="24"/>
              </w:rPr>
            </w:pPr>
          </w:p>
        </w:tc>
        <w:tc>
          <w:tcPr>
            <w:tcW w:w="2835" w:type="dxa"/>
            <w:vMerge/>
            <w:tcBorders>
              <w:left w:val="single" w:sz="4" w:space="0" w:color="auto"/>
              <w:bottom w:val="single" w:sz="4" w:space="0" w:color="auto"/>
              <w:right w:val="single" w:sz="4" w:space="0" w:color="auto"/>
            </w:tcBorders>
            <w:tcMar>
              <w:top w:w="0" w:type="dxa"/>
              <w:left w:w="28" w:type="dxa"/>
              <w:bottom w:w="0" w:type="dxa"/>
              <w:right w:w="28" w:type="dxa"/>
            </w:tcMar>
          </w:tcPr>
          <w:p w14:paraId="0EE48797" w14:textId="7723206B" w:rsidR="006C4E3C" w:rsidRPr="00225CC0" w:rsidRDefault="006C4E3C" w:rsidP="006C4E3C">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0327402" w14:textId="0DBE204B"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apmežotajās platībās (kopā indikatīvi 10000 ha, par 462 tonnām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80 gadu laikā uz minerālaugsnēm un par 2106 tonnām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uz organiskajām augsnēm).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996DDB" w14:textId="51E990F2" w:rsidR="006C4E3C" w:rsidRPr="00225CC0" w:rsidRDefault="006C4E3C" w:rsidP="006C4E3C">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Ietekmes novērtējums atbilstoši augšanas gaitas modeļiem un LIFE REstore projektiem</w:t>
            </w:r>
          </w:p>
        </w:tc>
      </w:tr>
      <w:bookmarkEnd w:id="488"/>
    </w:tbl>
    <w:p w14:paraId="6C403057" w14:textId="10F7B225" w:rsidR="00AB46B9" w:rsidRPr="008B628A" w:rsidRDefault="00AB46B9" w:rsidP="00AB46B9">
      <w:pPr>
        <w:rPr>
          <w:rFonts w:ascii="Times New Roman" w:hAnsi="Times New Roman" w:cs="Times New Roman"/>
          <w:sz w:val="22"/>
        </w:rPr>
      </w:pPr>
    </w:p>
    <w:p w14:paraId="5563CCFC" w14:textId="73D1F438" w:rsidR="00B9124B" w:rsidRPr="008B628A" w:rsidRDefault="00B9124B" w:rsidP="00B9124B">
      <w:pPr>
        <w:spacing w:before="120" w:after="120" w:line="240" w:lineRule="auto"/>
        <w:jc w:val="both"/>
        <w:rPr>
          <w:rFonts w:ascii="Times New Roman" w:hAnsi="Times New Roman" w:cs="Times New Roman"/>
          <w:lang w:eastAsia="lv-LV"/>
        </w:rPr>
      </w:pPr>
    </w:p>
    <w:sectPr w:rsidR="00B9124B" w:rsidRPr="008B628A" w:rsidSect="00B35DDE">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31BEC" w14:textId="77777777" w:rsidR="00C80B8F" w:rsidRDefault="00C80B8F" w:rsidP="00621553">
      <w:pPr>
        <w:spacing w:after="0" w:line="240" w:lineRule="auto"/>
      </w:pPr>
      <w:r>
        <w:separator/>
      </w:r>
    </w:p>
  </w:endnote>
  <w:endnote w:type="continuationSeparator" w:id="0">
    <w:p w14:paraId="3D324535" w14:textId="77777777" w:rsidR="00C80B8F" w:rsidRDefault="00C80B8F" w:rsidP="0062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C782" w14:textId="6BD86A3A" w:rsidR="00C80B8F" w:rsidRPr="00C25547" w:rsidRDefault="00C80B8F">
    <w:pPr>
      <w:pStyle w:val="Footer"/>
      <w:rPr>
        <w:rFonts w:ascii="Times New Roman" w:hAnsi="Times New Roman" w:cs="Times New Roman"/>
        <w:sz w:val="20"/>
        <w:szCs w:val="20"/>
      </w:rPr>
    </w:pPr>
    <w:r w:rsidRPr="00C25547">
      <w:rPr>
        <w:rFonts w:ascii="Times New Roman" w:hAnsi="Times New Roman" w:cs="Times New Roman"/>
        <w:sz w:val="20"/>
        <w:szCs w:val="20"/>
      </w:rPr>
      <w:fldChar w:fldCharType="begin"/>
    </w:r>
    <w:r w:rsidRPr="00C25547">
      <w:rPr>
        <w:rFonts w:ascii="Times New Roman" w:hAnsi="Times New Roman" w:cs="Times New Roman"/>
        <w:sz w:val="20"/>
        <w:szCs w:val="20"/>
      </w:rPr>
      <w:instrText xml:space="preserve"> FILENAME   \* MERGEFORMAT </w:instrText>
    </w:r>
    <w:r w:rsidRPr="00C25547">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C25547">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6C50" w14:textId="2E782F49" w:rsidR="00C80B8F" w:rsidRPr="00C25547" w:rsidRDefault="00C80B8F">
    <w:pPr>
      <w:pStyle w:val="Footer"/>
      <w:rPr>
        <w:rFonts w:ascii="Times New Roman" w:hAnsi="Times New Roman" w:cs="Times New Roman"/>
        <w:sz w:val="20"/>
        <w:szCs w:val="20"/>
      </w:rPr>
    </w:pPr>
    <w:r w:rsidRPr="00C25547">
      <w:rPr>
        <w:rFonts w:ascii="Times New Roman" w:hAnsi="Times New Roman" w:cs="Times New Roman"/>
        <w:sz w:val="20"/>
        <w:szCs w:val="20"/>
      </w:rPr>
      <w:fldChar w:fldCharType="begin"/>
    </w:r>
    <w:r w:rsidRPr="00C25547">
      <w:rPr>
        <w:rFonts w:ascii="Times New Roman" w:hAnsi="Times New Roman" w:cs="Times New Roman"/>
        <w:sz w:val="20"/>
        <w:szCs w:val="20"/>
      </w:rPr>
      <w:instrText xml:space="preserve"> FILENAME   \* MERGEFORMAT </w:instrText>
    </w:r>
    <w:r w:rsidRPr="00C25547">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C25547">
      <w:rPr>
        <w:rFonts w:ascii="Times New Roman"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318A" w14:textId="41359654" w:rsidR="00C80B8F" w:rsidRPr="009A50CF" w:rsidRDefault="00C80B8F">
    <w:pPr>
      <w:pStyle w:val="Footer"/>
      <w:rPr>
        <w:rFonts w:ascii="Times New Roman" w:hAnsi="Times New Roman" w:cs="Times New Roman"/>
        <w:sz w:val="20"/>
        <w:szCs w:val="20"/>
      </w:rPr>
    </w:pPr>
    <w:r w:rsidRPr="009A50CF">
      <w:rPr>
        <w:rFonts w:ascii="Times New Roman" w:hAnsi="Times New Roman" w:cs="Times New Roman"/>
        <w:sz w:val="20"/>
        <w:szCs w:val="20"/>
      </w:rPr>
      <w:fldChar w:fldCharType="begin"/>
    </w:r>
    <w:r w:rsidRPr="009A50CF">
      <w:rPr>
        <w:rFonts w:ascii="Times New Roman" w:hAnsi="Times New Roman" w:cs="Times New Roman"/>
        <w:sz w:val="20"/>
        <w:szCs w:val="20"/>
      </w:rPr>
      <w:instrText xml:space="preserve"> FILENAME   \* MERGEFORMAT </w:instrText>
    </w:r>
    <w:r w:rsidRPr="009A50CF">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9A50CF">
      <w:rP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FDBF" w14:textId="678F41CE" w:rsidR="00C80B8F" w:rsidRPr="009A50CF" w:rsidRDefault="00C80B8F">
    <w:pPr>
      <w:pStyle w:val="Footer"/>
      <w:rPr>
        <w:rFonts w:ascii="Times New Roman" w:hAnsi="Times New Roman" w:cs="Times New Roman"/>
        <w:sz w:val="20"/>
        <w:szCs w:val="20"/>
      </w:rPr>
    </w:pPr>
    <w:r w:rsidRPr="009A50CF">
      <w:rPr>
        <w:rFonts w:ascii="Times New Roman" w:hAnsi="Times New Roman" w:cs="Times New Roman"/>
        <w:sz w:val="20"/>
        <w:szCs w:val="20"/>
      </w:rPr>
      <w:fldChar w:fldCharType="begin"/>
    </w:r>
    <w:r w:rsidRPr="009A50CF">
      <w:rPr>
        <w:rFonts w:ascii="Times New Roman" w:hAnsi="Times New Roman" w:cs="Times New Roman"/>
        <w:sz w:val="20"/>
        <w:szCs w:val="20"/>
      </w:rPr>
      <w:instrText xml:space="preserve"> FILENAME   \* MERGEFORMAT </w:instrText>
    </w:r>
    <w:r w:rsidRPr="009A50CF">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9A50CF">
      <w:rP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45D5" w14:textId="0C1F995F" w:rsidR="00C80B8F" w:rsidRPr="00150AA5" w:rsidRDefault="00C80B8F">
    <w:pPr>
      <w:pStyle w:val="Footer"/>
      <w:rPr>
        <w:rFonts w:ascii="Times New Roman" w:hAnsi="Times New Roman" w:cs="Times New Roman"/>
        <w:sz w:val="20"/>
        <w:szCs w:val="20"/>
      </w:rPr>
    </w:pPr>
    <w:r w:rsidRPr="00150AA5">
      <w:rPr>
        <w:rFonts w:ascii="Times New Roman" w:hAnsi="Times New Roman" w:cs="Times New Roman"/>
        <w:sz w:val="20"/>
        <w:szCs w:val="20"/>
      </w:rPr>
      <w:fldChar w:fldCharType="begin"/>
    </w:r>
    <w:r w:rsidRPr="00150AA5">
      <w:rPr>
        <w:rFonts w:ascii="Times New Roman" w:hAnsi="Times New Roman" w:cs="Times New Roman"/>
        <w:sz w:val="20"/>
        <w:szCs w:val="20"/>
      </w:rPr>
      <w:instrText xml:space="preserve"> FILENAME   \* MERGEFORMAT </w:instrText>
    </w:r>
    <w:r w:rsidRPr="00150AA5">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150AA5">
      <w:rP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4E4F" w14:textId="74F45BAA" w:rsidR="00C80B8F" w:rsidRPr="00150AA5" w:rsidRDefault="00C80B8F">
    <w:pPr>
      <w:pStyle w:val="Footer"/>
      <w:rPr>
        <w:rFonts w:ascii="Times New Roman" w:hAnsi="Times New Roman" w:cs="Times New Roman"/>
        <w:sz w:val="20"/>
        <w:szCs w:val="20"/>
      </w:rPr>
    </w:pPr>
    <w:r w:rsidRPr="00150AA5">
      <w:rPr>
        <w:rFonts w:ascii="Times New Roman" w:hAnsi="Times New Roman" w:cs="Times New Roman"/>
        <w:sz w:val="20"/>
        <w:szCs w:val="20"/>
      </w:rPr>
      <w:fldChar w:fldCharType="begin"/>
    </w:r>
    <w:r w:rsidRPr="00150AA5">
      <w:rPr>
        <w:rFonts w:ascii="Times New Roman" w:hAnsi="Times New Roman" w:cs="Times New Roman"/>
        <w:sz w:val="20"/>
        <w:szCs w:val="20"/>
      </w:rPr>
      <w:instrText xml:space="preserve"> FILENAME   \* MERGEFORMAT </w:instrText>
    </w:r>
    <w:r w:rsidRPr="00150AA5">
      <w:rPr>
        <w:rFonts w:ascii="Times New Roman" w:hAnsi="Times New Roman" w:cs="Times New Roman"/>
        <w:sz w:val="20"/>
        <w:szCs w:val="20"/>
      </w:rPr>
      <w:fldChar w:fldCharType="separate"/>
    </w:r>
    <w:r w:rsidR="006067D4">
      <w:rPr>
        <w:rFonts w:ascii="Times New Roman" w:hAnsi="Times New Roman" w:cs="Times New Roman"/>
        <w:noProof/>
        <w:sz w:val="20"/>
        <w:szCs w:val="20"/>
      </w:rPr>
      <w:t>LATVIA_NECP2021-2030_PROJECT_19122018.docx</w:t>
    </w:r>
    <w:r w:rsidRPr="00150AA5">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7014D" w14:textId="77777777" w:rsidR="00C80B8F" w:rsidRDefault="00C80B8F" w:rsidP="00621553">
      <w:pPr>
        <w:spacing w:after="0" w:line="240" w:lineRule="auto"/>
      </w:pPr>
      <w:r>
        <w:separator/>
      </w:r>
    </w:p>
  </w:footnote>
  <w:footnote w:type="continuationSeparator" w:id="0">
    <w:p w14:paraId="606392A5" w14:textId="77777777" w:rsidR="00C80B8F" w:rsidRDefault="00C80B8F" w:rsidP="00621553">
      <w:pPr>
        <w:spacing w:after="0" w:line="240" w:lineRule="auto"/>
      </w:pPr>
      <w:r>
        <w:continuationSeparator/>
      </w:r>
    </w:p>
  </w:footnote>
  <w:footnote w:id="1">
    <w:p w14:paraId="707509E6" w14:textId="24F8EB93" w:rsidR="00C80B8F" w:rsidRPr="00951533" w:rsidRDefault="00C80B8F" w:rsidP="00C928F3">
      <w:pPr>
        <w:pStyle w:val="FootnoteText"/>
      </w:pPr>
      <w:r w:rsidRPr="00951533">
        <w:rPr>
          <w:rStyle w:val="FootnoteReference"/>
        </w:rPr>
        <w:footnoteRef/>
      </w:r>
      <w:r w:rsidRPr="00951533">
        <w:t xml:space="preserve"> </w:t>
      </w:r>
      <w:hyperlink r:id="rId1" w:history="1">
        <w:r w:rsidRPr="002A5CC3">
          <w:rPr>
            <w:rStyle w:val="Hyperlink"/>
          </w:rPr>
          <w:t>https://likumi.lv/ta/id/281943-par-valdibas-ricibas-planu-deklaracijas-par-mara-kucinska-vadita-ministru-kabineta-iecereto-darbibu-istenosanai</w:t>
        </w:r>
      </w:hyperlink>
      <w:r>
        <w:t xml:space="preserve"> </w:t>
      </w:r>
    </w:p>
  </w:footnote>
  <w:footnote w:id="2">
    <w:p w14:paraId="5509B9E9" w14:textId="27A1C34E" w:rsidR="00C80B8F" w:rsidRPr="00951533" w:rsidRDefault="00C80B8F" w:rsidP="00C928F3">
      <w:pPr>
        <w:pStyle w:val="FootnoteText"/>
      </w:pPr>
      <w:r w:rsidRPr="00951533">
        <w:rPr>
          <w:rStyle w:val="FootnoteReference"/>
        </w:rPr>
        <w:footnoteRef/>
      </w:r>
      <w:r w:rsidRPr="00951533">
        <w:t xml:space="preserve"> </w:t>
      </w:r>
      <w:hyperlink r:id="rId2" w:history="1">
        <w:r w:rsidRPr="002A5CC3">
          <w:rPr>
            <w:rStyle w:val="Hyperlink"/>
          </w:rPr>
          <w:t>http://data.consilium.europa.eu/doc/document/ST-169-2014-INIT/lv/pdf</w:t>
        </w:r>
      </w:hyperlink>
      <w:r>
        <w:t xml:space="preserve"> </w:t>
      </w:r>
    </w:p>
  </w:footnote>
  <w:footnote w:id="3">
    <w:p w14:paraId="712DF523" w14:textId="0190408B" w:rsidR="00C80B8F" w:rsidRPr="00951533" w:rsidRDefault="00C80B8F" w:rsidP="00C928F3">
      <w:pPr>
        <w:pStyle w:val="FootnoteText"/>
      </w:pPr>
      <w:r w:rsidRPr="00951533">
        <w:rPr>
          <w:rStyle w:val="FootnoteReference"/>
        </w:rPr>
        <w:footnoteRef/>
      </w:r>
      <w:r w:rsidRPr="00951533">
        <w:t xml:space="preserve"> </w:t>
      </w:r>
      <w:hyperlink r:id="rId3" w:history="1">
        <w:r w:rsidRPr="002A5CC3">
          <w:rPr>
            <w:rStyle w:val="Hyperlink"/>
          </w:rPr>
          <w:t>http://data.consilium.europa.eu/doc/document/ST-14459-2015-INIT/lv/pdf</w:t>
        </w:r>
      </w:hyperlink>
      <w:r>
        <w:t xml:space="preserve"> </w:t>
      </w:r>
    </w:p>
  </w:footnote>
  <w:footnote w:id="4">
    <w:p w14:paraId="0B222339" w14:textId="7B311E82" w:rsidR="00C80B8F" w:rsidRPr="00951533" w:rsidRDefault="00C80B8F" w:rsidP="00C928F3">
      <w:pPr>
        <w:pStyle w:val="FootnoteText"/>
      </w:pPr>
      <w:r w:rsidRPr="00951533">
        <w:rPr>
          <w:rStyle w:val="FootnoteReference"/>
        </w:rPr>
        <w:footnoteRef/>
      </w:r>
      <w:r w:rsidRPr="00951533">
        <w:t xml:space="preserve"> </w:t>
      </w:r>
      <w:hyperlink r:id="rId4" w:history="1">
        <w:r w:rsidRPr="00923325">
          <w:rPr>
            <w:rStyle w:val="Hyperlink"/>
          </w:rPr>
          <w:t>http://data.consilium.europa.eu/doc/document/PE-55-2018-INIT/lv/pdf</w:t>
        </w:r>
      </w:hyperlink>
      <w:r>
        <w:t xml:space="preserve"> </w:t>
      </w:r>
    </w:p>
  </w:footnote>
  <w:footnote w:id="5">
    <w:p w14:paraId="79EB9A5A" w14:textId="2236ED29" w:rsidR="00C80B8F" w:rsidRDefault="00C80B8F">
      <w:pPr>
        <w:pStyle w:val="FootnoteText"/>
      </w:pPr>
      <w:r>
        <w:rPr>
          <w:rStyle w:val="FootnoteReference"/>
        </w:rPr>
        <w:footnoteRef/>
      </w:r>
      <w:r>
        <w:t xml:space="preserve"> stājas spēkā 2018.gada decembra trešajā dekādē</w:t>
      </w:r>
    </w:p>
  </w:footnote>
  <w:footnote w:id="6">
    <w:p w14:paraId="37ADFD93" w14:textId="4B689BC1" w:rsidR="00C80B8F" w:rsidRPr="00951533" w:rsidRDefault="00C80B8F" w:rsidP="00C928F3">
      <w:pPr>
        <w:pStyle w:val="FootnoteText"/>
      </w:pPr>
      <w:r w:rsidRPr="00951533">
        <w:rPr>
          <w:rStyle w:val="FootnoteReference"/>
        </w:rPr>
        <w:footnoteRef/>
      </w:r>
      <w:r w:rsidRPr="00951533">
        <w:t xml:space="preserve"> </w:t>
      </w:r>
      <w:hyperlink r:id="rId5" w:history="1">
        <w:r w:rsidRPr="002A5CC3">
          <w:rPr>
            <w:rStyle w:val="Hyperlink"/>
          </w:rPr>
          <w:t>https://eur-lex.europa.eu/legal-content/LV/TXT/PDF/?uri=CELEX:52011DC0112&amp;from=LV</w:t>
        </w:r>
      </w:hyperlink>
      <w:r>
        <w:t xml:space="preserve"> </w:t>
      </w:r>
    </w:p>
  </w:footnote>
  <w:footnote w:id="7">
    <w:p w14:paraId="2C3FC5ED" w14:textId="2C5FB348" w:rsidR="00C80B8F" w:rsidRDefault="00C80B8F">
      <w:pPr>
        <w:pStyle w:val="FootnoteText"/>
      </w:pPr>
      <w:r>
        <w:rPr>
          <w:rStyle w:val="FootnoteReference"/>
        </w:rPr>
        <w:footnoteRef/>
      </w:r>
      <w:r>
        <w:t xml:space="preserve"> </w:t>
      </w:r>
      <w:hyperlink r:id="rId6" w:history="1">
        <w:r w:rsidRPr="00755C00">
          <w:rPr>
            <w:rStyle w:val="Hyperlink"/>
          </w:rPr>
          <w:t>https://ec.europa.eu/clima/sites/clima/files/docs/pages/com_2018_733_en.pdf</w:t>
        </w:r>
      </w:hyperlink>
      <w:r>
        <w:t xml:space="preserve"> </w:t>
      </w:r>
    </w:p>
  </w:footnote>
  <w:footnote w:id="8">
    <w:p w14:paraId="0AE4BCB4" w14:textId="45BB1749" w:rsidR="00C80B8F" w:rsidRDefault="00C80B8F">
      <w:pPr>
        <w:pStyle w:val="FootnoteText"/>
      </w:pPr>
      <w:r>
        <w:rPr>
          <w:rStyle w:val="FootnoteReference"/>
        </w:rPr>
        <w:footnoteRef/>
      </w:r>
      <w:r>
        <w:t xml:space="preserve"> </w:t>
      </w:r>
      <w:hyperlink r:id="rId7" w:history="1">
        <w:r w:rsidRPr="00C62838">
          <w:rPr>
            <w:rStyle w:val="Hyperlink"/>
          </w:rPr>
          <w:t>https://likumi.lv/doc.php?id=175748</w:t>
        </w:r>
      </w:hyperlink>
      <w:r>
        <w:t xml:space="preserve"> </w:t>
      </w:r>
    </w:p>
  </w:footnote>
  <w:footnote w:id="9">
    <w:p w14:paraId="134D1589" w14:textId="77777777" w:rsidR="00C80B8F" w:rsidRPr="00290F19" w:rsidRDefault="00C80B8F" w:rsidP="00C928F3">
      <w:pPr>
        <w:pStyle w:val="FootnoteText"/>
      </w:pPr>
      <w:r w:rsidRPr="00290F19">
        <w:rPr>
          <w:rStyle w:val="FootnoteReference"/>
        </w:rPr>
        <w:footnoteRef/>
      </w:r>
      <w:r w:rsidRPr="00290F19">
        <w:t xml:space="preserve"> </w:t>
      </w:r>
      <w:hyperlink r:id="rId8" w:history="1">
        <w:r w:rsidRPr="002A5CC3">
          <w:rPr>
            <w:rStyle w:val="Hyperlink"/>
          </w:rPr>
          <w:t>http://polsis.mk.gov.lv/documents/3323</w:t>
        </w:r>
      </w:hyperlink>
      <w:r>
        <w:t xml:space="preserve"> </w:t>
      </w:r>
    </w:p>
  </w:footnote>
  <w:footnote w:id="10">
    <w:p w14:paraId="0F3FD43B" w14:textId="77777777" w:rsidR="00C80B8F" w:rsidRPr="00290F19" w:rsidRDefault="00C80B8F" w:rsidP="00C928F3">
      <w:pPr>
        <w:pStyle w:val="FootnoteText"/>
      </w:pPr>
      <w:r w:rsidRPr="00290F19">
        <w:rPr>
          <w:rStyle w:val="FootnoteReference"/>
        </w:rPr>
        <w:footnoteRef/>
      </w:r>
      <w:r w:rsidRPr="00290F19">
        <w:t xml:space="preserve"> </w:t>
      </w:r>
      <w:hyperlink r:id="rId9" w:history="1">
        <w:r w:rsidRPr="002A5CC3">
          <w:rPr>
            <w:rStyle w:val="Hyperlink"/>
          </w:rPr>
          <w:t>http://polsis.mk.gov.lv/documents/4849</w:t>
        </w:r>
      </w:hyperlink>
      <w:r>
        <w:t xml:space="preserve"> </w:t>
      </w:r>
    </w:p>
  </w:footnote>
  <w:footnote w:id="11">
    <w:p w14:paraId="1EBD9C66" w14:textId="77777777" w:rsidR="00C80B8F" w:rsidRPr="00A86861" w:rsidRDefault="00C80B8F" w:rsidP="00C928F3">
      <w:pPr>
        <w:pStyle w:val="FootnoteText"/>
      </w:pPr>
      <w:r w:rsidRPr="00A86861">
        <w:rPr>
          <w:rStyle w:val="FootnoteReference"/>
        </w:rPr>
        <w:footnoteRef/>
      </w:r>
      <w:r w:rsidRPr="00A86861">
        <w:t xml:space="preserve"> Aptuvenā vērtība, tiks precizēta Plāna gala redakcijā 2019.gadā, ņemot vērā Latvijas oficiālos statistikas datus</w:t>
      </w:r>
    </w:p>
  </w:footnote>
  <w:footnote w:id="12">
    <w:p w14:paraId="185E0C3D" w14:textId="2822E1CE" w:rsidR="00C80B8F" w:rsidRDefault="00C80B8F">
      <w:pPr>
        <w:pStyle w:val="FootnoteText"/>
      </w:pPr>
      <w:r>
        <w:rPr>
          <w:rStyle w:val="FootnoteReference"/>
        </w:rPr>
        <w:footnoteRef/>
      </w:r>
      <w:r>
        <w:t xml:space="preserve"> KEP2020 </w:t>
      </w:r>
    </w:p>
  </w:footnote>
  <w:footnote w:id="13">
    <w:p w14:paraId="692F6937" w14:textId="5D8E7B32" w:rsidR="00C80B8F" w:rsidRDefault="00C80B8F">
      <w:pPr>
        <w:pStyle w:val="FootnoteText"/>
      </w:pPr>
      <w:r>
        <w:rPr>
          <w:rStyle w:val="FootnoteReference"/>
        </w:rPr>
        <w:footnoteRef/>
      </w:r>
      <w:r>
        <w:t xml:space="preserve"> KEPS2030</w:t>
      </w:r>
    </w:p>
  </w:footnote>
  <w:footnote w:id="14">
    <w:p w14:paraId="42A1E2B5" w14:textId="5AD126DC" w:rsidR="00C80B8F" w:rsidRDefault="00C80B8F">
      <w:pPr>
        <w:pStyle w:val="FootnoteText"/>
      </w:pPr>
      <w:r>
        <w:rPr>
          <w:rStyle w:val="FootnoteReference"/>
        </w:rPr>
        <w:footnoteRef/>
      </w:r>
      <w:r>
        <w:t xml:space="preserve"> LIAS2030</w:t>
      </w:r>
    </w:p>
  </w:footnote>
  <w:footnote w:id="15">
    <w:p w14:paraId="5AC8FA1D" w14:textId="2A9581CD" w:rsidR="00C80B8F" w:rsidRDefault="00C80B8F">
      <w:pPr>
        <w:pStyle w:val="FootnoteText"/>
      </w:pPr>
      <w:r>
        <w:rPr>
          <w:rStyle w:val="FootnoteReference"/>
        </w:rPr>
        <w:footnoteRef/>
      </w:r>
      <w:r>
        <w:t xml:space="preserve"> EK 23.01.2008. paziņojums “20 20 līdz 2020, Eiropas klimata pārmaiņu iespējas”</w:t>
      </w:r>
    </w:p>
  </w:footnote>
  <w:footnote w:id="16">
    <w:p w14:paraId="664084FE" w14:textId="069D736F" w:rsidR="00C80B8F" w:rsidRDefault="00C80B8F">
      <w:pPr>
        <w:pStyle w:val="FootnoteText"/>
      </w:pPr>
      <w:r>
        <w:rPr>
          <w:rStyle w:val="FootnoteReference"/>
        </w:rPr>
        <w:footnoteRef/>
      </w:r>
      <w:r>
        <w:t xml:space="preserve"> KEPS2030</w:t>
      </w:r>
    </w:p>
  </w:footnote>
  <w:footnote w:id="17">
    <w:p w14:paraId="19C838DC" w14:textId="10E21738" w:rsidR="00C80B8F" w:rsidRDefault="00C80B8F">
      <w:pPr>
        <w:pStyle w:val="FootnoteText"/>
      </w:pPr>
      <w:r>
        <w:rPr>
          <w:rStyle w:val="FootnoteReference"/>
        </w:rPr>
        <w:footnoteRef/>
      </w:r>
      <w:r>
        <w:t xml:space="preserve"> </w:t>
      </w:r>
      <w:r>
        <w:rPr>
          <w:rFonts w:eastAsia="Calibri"/>
          <w:szCs w:val="24"/>
        </w:rPr>
        <w:t>Lēmums 406/2009/EK</w:t>
      </w:r>
    </w:p>
  </w:footnote>
  <w:footnote w:id="18">
    <w:p w14:paraId="392EA8EB" w14:textId="3F94A92D" w:rsidR="00C80B8F" w:rsidRDefault="00C80B8F">
      <w:pPr>
        <w:pStyle w:val="FootnoteText"/>
      </w:pPr>
      <w:r>
        <w:rPr>
          <w:rStyle w:val="FootnoteReference"/>
        </w:rPr>
        <w:footnoteRef/>
      </w:r>
      <w:r>
        <w:t xml:space="preserve"> </w:t>
      </w:r>
      <w:r>
        <w:rPr>
          <w:rFonts w:eastAsia="Calibri"/>
          <w:szCs w:val="24"/>
        </w:rPr>
        <w:t>Regula 2018/842</w:t>
      </w:r>
    </w:p>
  </w:footnote>
  <w:footnote w:id="19">
    <w:p w14:paraId="16960510" w14:textId="7F522C14" w:rsidR="00C80B8F" w:rsidRDefault="00C80B8F" w:rsidP="00F322D9">
      <w:pPr>
        <w:pStyle w:val="FootnoteText"/>
      </w:pPr>
      <w:r>
        <w:rPr>
          <w:rStyle w:val="FootnoteReference"/>
        </w:rPr>
        <w:footnoteRef/>
      </w:r>
      <w:r>
        <w:t xml:space="preserve"> EK 23.01.2008. paziņojums “20 20 līdz 2020, Eiropas klimata pārmaiņu iespējas”</w:t>
      </w:r>
    </w:p>
  </w:footnote>
  <w:footnote w:id="20">
    <w:p w14:paraId="0DF19F63" w14:textId="74CCAAF7" w:rsidR="00C80B8F" w:rsidRDefault="00C80B8F">
      <w:pPr>
        <w:pStyle w:val="FootnoteText"/>
      </w:pPr>
      <w:r>
        <w:rPr>
          <w:rStyle w:val="FootnoteReference"/>
        </w:rPr>
        <w:footnoteRef/>
      </w:r>
      <w:r>
        <w:t xml:space="preserve"> KEPS2030</w:t>
      </w:r>
    </w:p>
  </w:footnote>
  <w:footnote w:id="21">
    <w:p w14:paraId="0D9F4C89" w14:textId="7479F4F3" w:rsidR="00C80B8F" w:rsidRDefault="00C80B8F">
      <w:pPr>
        <w:pStyle w:val="FootnoteText"/>
      </w:pPr>
      <w:r>
        <w:rPr>
          <w:rStyle w:val="FootnoteReference"/>
        </w:rPr>
        <w:footnoteRef/>
      </w:r>
      <w:r>
        <w:t xml:space="preserve"> VPP2020</w:t>
      </w:r>
    </w:p>
  </w:footnote>
  <w:footnote w:id="22">
    <w:p w14:paraId="0EF41A2E" w14:textId="1C8C1253" w:rsidR="00C80B8F" w:rsidRDefault="00C80B8F">
      <w:pPr>
        <w:pStyle w:val="FootnoteText"/>
      </w:pPr>
      <w:r>
        <w:rPr>
          <w:rStyle w:val="FootnoteReference"/>
        </w:rPr>
        <w:footnoteRef/>
      </w:r>
      <w:r>
        <w:t xml:space="preserve"> </w:t>
      </w:r>
      <w:r>
        <w:rPr>
          <w:rFonts w:eastAsia="Calibri"/>
          <w:szCs w:val="24"/>
        </w:rPr>
        <w:t>Regula 2018/842</w:t>
      </w:r>
    </w:p>
  </w:footnote>
  <w:footnote w:id="23">
    <w:p w14:paraId="184011E3" w14:textId="7B582A22" w:rsidR="00C80B8F" w:rsidRDefault="00C80B8F">
      <w:pPr>
        <w:pStyle w:val="FootnoteText"/>
      </w:pPr>
      <w:r>
        <w:rPr>
          <w:rStyle w:val="FootnoteReference"/>
        </w:rPr>
        <w:footnoteRef/>
      </w:r>
      <w:r>
        <w:t xml:space="preserve"> KEP2020</w:t>
      </w:r>
    </w:p>
  </w:footnote>
  <w:footnote w:id="24">
    <w:p w14:paraId="0CDE2D26" w14:textId="3FCB36C9" w:rsidR="00C80B8F" w:rsidRDefault="00C80B8F">
      <w:pPr>
        <w:pStyle w:val="FootnoteText"/>
      </w:pPr>
      <w:r>
        <w:rPr>
          <w:rStyle w:val="FootnoteReference"/>
        </w:rPr>
        <w:footnoteRef/>
      </w:r>
      <w:r>
        <w:t xml:space="preserve"> P</w:t>
      </w:r>
      <w:r>
        <w:rPr>
          <w:rFonts w:eastAsia="Calibri"/>
          <w:szCs w:val="24"/>
        </w:rPr>
        <w:t>riekšlikums Direktīvas 2009/28/EK grozījumiem</w:t>
      </w:r>
    </w:p>
  </w:footnote>
  <w:footnote w:id="25">
    <w:p w14:paraId="40FC6866" w14:textId="606C40D4" w:rsidR="00C80B8F" w:rsidRDefault="00C80B8F">
      <w:pPr>
        <w:pStyle w:val="FootnoteText"/>
      </w:pPr>
      <w:r>
        <w:rPr>
          <w:rStyle w:val="FootnoteReference"/>
        </w:rPr>
        <w:footnoteRef/>
      </w:r>
      <w:r>
        <w:t xml:space="preserve"> </w:t>
      </w:r>
      <w:r>
        <w:rPr>
          <w:rFonts w:eastAsia="Calibri"/>
          <w:szCs w:val="24"/>
        </w:rPr>
        <w:t>Direktīva 2009/28/EK</w:t>
      </w:r>
      <w:r>
        <w:t>, EAP2020</w:t>
      </w:r>
    </w:p>
  </w:footnote>
  <w:footnote w:id="26">
    <w:p w14:paraId="7ED05BFE" w14:textId="77777777" w:rsidR="00C80B8F" w:rsidRPr="00D64B66" w:rsidRDefault="00C80B8F">
      <w:pPr>
        <w:pStyle w:val="FootnoteText"/>
      </w:pPr>
      <w:r w:rsidRPr="00D64B66">
        <w:rPr>
          <w:rStyle w:val="FootnoteReference"/>
        </w:rPr>
        <w:footnoteRef/>
      </w:r>
      <w:r w:rsidRPr="00D64B66">
        <w:t xml:space="preserve"> KEP2020</w:t>
      </w:r>
    </w:p>
  </w:footnote>
  <w:footnote w:id="27">
    <w:p w14:paraId="29D1BF43" w14:textId="4B34B4BF" w:rsidR="00C80B8F" w:rsidRPr="00D64B66" w:rsidRDefault="00C80B8F">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28">
    <w:p w14:paraId="1EC4FE0E" w14:textId="39BA7733" w:rsidR="00C80B8F" w:rsidRPr="00D64B66" w:rsidRDefault="00C80B8F" w:rsidP="00B42E8E">
      <w:pPr>
        <w:pStyle w:val="FootnoteText"/>
      </w:pPr>
      <w:r w:rsidRPr="00D64B66">
        <w:rPr>
          <w:rStyle w:val="FootnoteReference"/>
        </w:rPr>
        <w:footnoteRef/>
      </w:r>
      <w:r w:rsidRPr="00D64B66">
        <w:t xml:space="preserve"> </w:t>
      </w:r>
      <w:r w:rsidRPr="00D64B66">
        <w:rPr>
          <w:rFonts w:eastAsia="Calibri"/>
        </w:rPr>
        <w:t>Direktīva 2009/28/EK</w:t>
      </w:r>
      <w:r w:rsidRPr="00D64B66">
        <w:t>, EAP2020</w:t>
      </w:r>
    </w:p>
  </w:footnote>
  <w:footnote w:id="29">
    <w:p w14:paraId="4CAD02FB" w14:textId="14A0312A" w:rsidR="00C80B8F" w:rsidRPr="00D64B66" w:rsidRDefault="00C80B8F" w:rsidP="00886C5C">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0">
    <w:p w14:paraId="4B4F0D2F" w14:textId="77777777" w:rsidR="00C80B8F" w:rsidRPr="00D64B66" w:rsidRDefault="00C80B8F" w:rsidP="009501EA">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1">
    <w:p w14:paraId="1630E894" w14:textId="77777777" w:rsidR="00C80B8F" w:rsidRPr="00D64B66" w:rsidRDefault="00C80B8F" w:rsidP="009501EA">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2">
    <w:p w14:paraId="1E14B3A7" w14:textId="0E97AB8B" w:rsidR="00C80B8F" w:rsidRPr="00D64B66" w:rsidRDefault="00C80B8F">
      <w:pPr>
        <w:pStyle w:val="FootnoteText"/>
      </w:pPr>
      <w:r w:rsidRPr="00D64B66">
        <w:rPr>
          <w:rStyle w:val="FootnoteReference"/>
        </w:rPr>
        <w:footnoteRef/>
      </w:r>
      <w:r w:rsidRPr="00D64B66">
        <w:t xml:space="preserve"> KEP2020</w:t>
      </w:r>
    </w:p>
  </w:footnote>
  <w:footnote w:id="33">
    <w:p w14:paraId="6CD07049" w14:textId="3CD18215" w:rsidR="00C80B8F" w:rsidRPr="00D64B66" w:rsidRDefault="00C80B8F">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4">
    <w:p w14:paraId="7E4FA2DE" w14:textId="77777777" w:rsidR="00C80B8F" w:rsidRPr="00D64B66" w:rsidRDefault="00C80B8F" w:rsidP="00A648C3">
      <w:pPr>
        <w:pStyle w:val="FootnoteText"/>
      </w:pPr>
      <w:r w:rsidRPr="00D64B66">
        <w:rPr>
          <w:rStyle w:val="FootnoteReference"/>
        </w:rPr>
        <w:footnoteRef/>
      </w:r>
      <w:r w:rsidRPr="00D64B66">
        <w:t xml:space="preserve"> </w:t>
      </w:r>
      <w:r w:rsidRPr="00D64B66">
        <w:rPr>
          <w:rFonts w:eastAsia="Calibri"/>
        </w:rPr>
        <w:t>Direktīva 2012/27/ES</w:t>
      </w:r>
    </w:p>
  </w:footnote>
  <w:footnote w:id="35">
    <w:p w14:paraId="2D9EE9AB" w14:textId="77777777" w:rsidR="00C80B8F" w:rsidRPr="00D64B66" w:rsidRDefault="00C80B8F" w:rsidP="00A648C3">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6">
    <w:p w14:paraId="5EF5FDBC" w14:textId="2D3822B4" w:rsidR="00C80B8F" w:rsidRPr="00D64B66" w:rsidRDefault="00C80B8F" w:rsidP="00A648C3">
      <w:pPr>
        <w:pStyle w:val="FootnoteText"/>
      </w:pPr>
      <w:r w:rsidRPr="00D64B66">
        <w:rPr>
          <w:rStyle w:val="FootnoteReference"/>
        </w:rPr>
        <w:footnoteRef/>
      </w:r>
      <w:r w:rsidRPr="00D64B66">
        <w:t xml:space="preserve"> Indikatīvais primārās enerģijas patēriņa apjoms</w:t>
      </w:r>
    </w:p>
  </w:footnote>
  <w:footnote w:id="37">
    <w:p w14:paraId="5EB93549" w14:textId="77777777" w:rsidR="00C80B8F" w:rsidRPr="00D64B66" w:rsidRDefault="00C80B8F" w:rsidP="00A648C3">
      <w:pPr>
        <w:pStyle w:val="FootnoteText"/>
      </w:pPr>
      <w:r w:rsidRPr="00D64B66">
        <w:rPr>
          <w:rStyle w:val="FootnoteReference"/>
        </w:rPr>
        <w:footnoteRef/>
      </w:r>
      <w:r w:rsidRPr="00D64B66">
        <w:t xml:space="preserve"> </w:t>
      </w:r>
      <w:r w:rsidRPr="00D64B66">
        <w:rPr>
          <w:rFonts w:eastAsia="Calibri"/>
        </w:rPr>
        <w:t>Direktīva 2012/27/ES</w:t>
      </w:r>
    </w:p>
  </w:footnote>
  <w:footnote w:id="38">
    <w:p w14:paraId="1B089ED4" w14:textId="77777777" w:rsidR="00C80B8F" w:rsidRPr="00D64B66" w:rsidRDefault="00C80B8F" w:rsidP="00A648C3">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9">
    <w:p w14:paraId="317F2872" w14:textId="2A98516D" w:rsidR="00C80B8F" w:rsidRPr="00D64B66" w:rsidRDefault="00C80B8F" w:rsidP="00A648C3">
      <w:pPr>
        <w:pStyle w:val="FootnoteText"/>
      </w:pPr>
      <w:r w:rsidRPr="00D64B66">
        <w:rPr>
          <w:rStyle w:val="FootnoteReference"/>
        </w:rPr>
        <w:footnoteRef/>
      </w:r>
      <w:r w:rsidRPr="00D64B66">
        <w:t xml:space="preserve"> Indikatīvais enerģijas galapatēriņa apjoms</w:t>
      </w:r>
    </w:p>
  </w:footnote>
  <w:footnote w:id="40">
    <w:p w14:paraId="103DC8B1" w14:textId="77777777" w:rsidR="00C80B8F" w:rsidRPr="00D64B66" w:rsidRDefault="00C80B8F" w:rsidP="00B42E8E">
      <w:pPr>
        <w:pStyle w:val="FootnoteText"/>
      </w:pPr>
      <w:r w:rsidRPr="00D64B66">
        <w:rPr>
          <w:rStyle w:val="FootnoteReference"/>
        </w:rPr>
        <w:footnoteRef/>
      </w:r>
      <w:r w:rsidRPr="00D64B66">
        <w:t xml:space="preserve"> EAP2020</w:t>
      </w:r>
    </w:p>
  </w:footnote>
  <w:footnote w:id="41">
    <w:p w14:paraId="6A27395C" w14:textId="04EC5BEF" w:rsidR="00C80B8F" w:rsidRPr="00D64B66" w:rsidRDefault="00C80B8F">
      <w:pPr>
        <w:pStyle w:val="FootnoteText"/>
      </w:pPr>
      <w:r w:rsidRPr="00D64B66">
        <w:rPr>
          <w:rStyle w:val="FootnoteReference"/>
        </w:rPr>
        <w:footnoteRef/>
      </w:r>
      <w:r w:rsidRPr="00D64B66">
        <w:t xml:space="preserve"> Indikatīvs rādītājs. Mērķis tiks noteikts 2019.gada beigās, kad būs pieejama oficiālā statistika par enerģijas galapatēriņu Latvijā 2018.gadā</w:t>
      </w:r>
    </w:p>
  </w:footnote>
  <w:footnote w:id="42">
    <w:p w14:paraId="6679BD0F" w14:textId="77777777" w:rsidR="00C80B8F" w:rsidRPr="00D64B66" w:rsidRDefault="00C80B8F" w:rsidP="00B42E8E">
      <w:pPr>
        <w:pStyle w:val="FootnoteText"/>
      </w:pPr>
      <w:r w:rsidRPr="00D64B66">
        <w:rPr>
          <w:rStyle w:val="FootnoteReference"/>
        </w:rPr>
        <w:footnoteRef/>
      </w:r>
      <w:r w:rsidRPr="00D64B66">
        <w:t xml:space="preserve"> EAP2020</w:t>
      </w:r>
    </w:p>
  </w:footnote>
  <w:footnote w:id="43">
    <w:p w14:paraId="0A95B273" w14:textId="77777777" w:rsidR="00C80B8F" w:rsidRPr="00D64B66" w:rsidRDefault="00C80B8F" w:rsidP="00B42E8E">
      <w:pPr>
        <w:pStyle w:val="FootnoteText"/>
      </w:pPr>
      <w:r w:rsidRPr="00D64B66">
        <w:rPr>
          <w:rStyle w:val="FootnoteReference"/>
        </w:rPr>
        <w:footnoteRef/>
      </w:r>
      <w:r w:rsidRPr="00D64B66">
        <w:t xml:space="preserve"> EAP2020</w:t>
      </w:r>
    </w:p>
  </w:footnote>
  <w:footnote w:id="44">
    <w:p w14:paraId="5D361FBA" w14:textId="2389BF1F" w:rsidR="00C80B8F" w:rsidRPr="00D64B66" w:rsidRDefault="00C80B8F">
      <w:pPr>
        <w:pStyle w:val="FootnoteText"/>
      </w:pPr>
      <w:r w:rsidRPr="00D64B66">
        <w:rPr>
          <w:rStyle w:val="FootnoteReference"/>
        </w:rPr>
        <w:footnoteRef/>
      </w:r>
      <w:r w:rsidRPr="00D64B66">
        <w:t xml:space="preserve"> Indikatīvs un nesaistošs mērķis, LEIS2030</w:t>
      </w:r>
    </w:p>
  </w:footnote>
  <w:footnote w:id="45">
    <w:p w14:paraId="30757EC5" w14:textId="0D8169CF" w:rsidR="00C80B8F" w:rsidRPr="00D64B66" w:rsidRDefault="00C80B8F">
      <w:pPr>
        <w:pStyle w:val="FootnoteText"/>
      </w:pPr>
      <w:r w:rsidRPr="00D64B66">
        <w:rPr>
          <w:rStyle w:val="FootnoteReference"/>
        </w:rPr>
        <w:footnoteRef/>
      </w:r>
      <w:r w:rsidRPr="00D64B66">
        <w:t xml:space="preserve"> EAP2020</w:t>
      </w:r>
    </w:p>
  </w:footnote>
  <w:footnote w:id="46">
    <w:p w14:paraId="13745D4B" w14:textId="625AA73C" w:rsidR="00C80B8F" w:rsidRDefault="00C80B8F">
      <w:pPr>
        <w:pStyle w:val="FootnoteText"/>
      </w:pPr>
      <w:r>
        <w:rPr>
          <w:rStyle w:val="FootnoteReference"/>
        </w:rPr>
        <w:footnoteRef/>
      </w:r>
      <w:r>
        <w:t xml:space="preserve"> LEIS2030 (indikatīvais mērķis)</w:t>
      </w:r>
    </w:p>
  </w:footnote>
  <w:footnote w:id="47">
    <w:p w14:paraId="7B40D5D7" w14:textId="6E5D2BCC" w:rsidR="00C80B8F" w:rsidRDefault="00C80B8F">
      <w:pPr>
        <w:pStyle w:val="FootnoteText"/>
      </w:pPr>
      <w:r>
        <w:rPr>
          <w:rStyle w:val="FootnoteReference"/>
        </w:rPr>
        <w:footnoteRef/>
      </w:r>
      <w:r>
        <w:t xml:space="preserve"> KEPS2030, EAP2020</w:t>
      </w:r>
    </w:p>
  </w:footnote>
  <w:footnote w:id="48">
    <w:p w14:paraId="088B627A" w14:textId="37222DB4" w:rsidR="00C80B8F" w:rsidRDefault="00C80B8F">
      <w:pPr>
        <w:pStyle w:val="FootnoteText"/>
      </w:pPr>
      <w:r>
        <w:rPr>
          <w:rStyle w:val="FootnoteReference"/>
        </w:rPr>
        <w:footnoteRef/>
      </w:r>
      <w:r>
        <w:t xml:space="preserve"> KEPS2030</w:t>
      </w:r>
    </w:p>
  </w:footnote>
  <w:footnote w:id="49">
    <w:p w14:paraId="3A535D16" w14:textId="688C62B6" w:rsidR="00C80B8F" w:rsidRDefault="00C80B8F">
      <w:pPr>
        <w:pStyle w:val="FootnoteText"/>
      </w:pPr>
      <w:r>
        <w:rPr>
          <w:rStyle w:val="FootnoteReference"/>
        </w:rPr>
        <w:footnoteRef/>
      </w:r>
      <w:r>
        <w:t xml:space="preserve"> KEPS2030, EAP2020</w:t>
      </w:r>
    </w:p>
  </w:footnote>
  <w:footnote w:id="50">
    <w:p w14:paraId="1375A3F3" w14:textId="4A5C2AFB" w:rsidR="00C80B8F" w:rsidRDefault="00C80B8F">
      <w:pPr>
        <w:pStyle w:val="FootnoteText"/>
      </w:pPr>
      <w:r>
        <w:rPr>
          <w:rStyle w:val="FootnoteReference"/>
        </w:rPr>
        <w:footnoteRef/>
      </w:r>
      <w:r>
        <w:t xml:space="preserve"> KEPS2030, EAP2020</w:t>
      </w:r>
    </w:p>
  </w:footnote>
  <w:footnote w:id="51">
    <w:p w14:paraId="486D0118" w14:textId="3EB66826" w:rsidR="00C80B8F" w:rsidRDefault="00C80B8F">
      <w:pPr>
        <w:pStyle w:val="FootnoteText"/>
      </w:pPr>
      <w:r>
        <w:rPr>
          <w:rStyle w:val="FootnoteReference"/>
        </w:rPr>
        <w:footnoteRef/>
      </w:r>
      <w:r>
        <w:t xml:space="preserve"> EAP2020</w:t>
      </w:r>
    </w:p>
  </w:footnote>
  <w:footnote w:id="52">
    <w:p w14:paraId="7D9BCB47" w14:textId="6FB107AD" w:rsidR="00C80B8F" w:rsidRDefault="00C80B8F">
      <w:pPr>
        <w:pStyle w:val="FootnoteText"/>
      </w:pPr>
      <w:r>
        <w:rPr>
          <w:rStyle w:val="FootnoteReference"/>
        </w:rPr>
        <w:footnoteRef/>
      </w:r>
      <w:r>
        <w:t xml:space="preserve"> LIAS2030</w:t>
      </w:r>
    </w:p>
  </w:footnote>
  <w:footnote w:id="53">
    <w:p w14:paraId="033E63BE" w14:textId="073E73A7" w:rsidR="00C80B8F" w:rsidRDefault="00C80B8F">
      <w:pPr>
        <w:pStyle w:val="FootnoteText"/>
      </w:pPr>
      <w:r>
        <w:rPr>
          <w:rStyle w:val="FootnoteReference"/>
        </w:rPr>
        <w:footnoteRef/>
      </w:r>
      <w:r>
        <w:t xml:space="preserve"> LIAS2030</w:t>
      </w:r>
    </w:p>
  </w:footnote>
  <w:footnote w:id="54">
    <w:p w14:paraId="61C7DD88" w14:textId="6679CE43" w:rsidR="00C80B8F" w:rsidRDefault="00C80B8F">
      <w:pPr>
        <w:pStyle w:val="FootnoteText"/>
      </w:pPr>
      <w:r>
        <w:rPr>
          <w:rStyle w:val="FootnoteReference"/>
        </w:rPr>
        <w:footnoteRef/>
      </w:r>
      <w:r>
        <w:t xml:space="preserve"> LIAS2030</w:t>
      </w:r>
    </w:p>
  </w:footnote>
  <w:footnote w:id="55">
    <w:p w14:paraId="21853B23" w14:textId="64D66F8B" w:rsidR="00C80B8F" w:rsidRPr="008953F4" w:rsidRDefault="00C80B8F" w:rsidP="00C928F3">
      <w:pPr>
        <w:pStyle w:val="FootnoteText"/>
      </w:pPr>
      <w:r w:rsidRPr="008953F4">
        <w:rPr>
          <w:rStyle w:val="FootnoteReference"/>
        </w:rPr>
        <w:footnoteRef/>
      </w:r>
      <w:r w:rsidRPr="008953F4">
        <w:t xml:space="preserve"> </w:t>
      </w:r>
      <w:hyperlink r:id="rId10" w:history="1">
        <w:r w:rsidRPr="002A5CC3">
          <w:rPr>
            <w:rStyle w:val="Hyperlink"/>
          </w:rPr>
          <w:t>https://eur-lex.europa.eu/legal-content/LV/TXT/PDF/?uri=CELEX:52011DC0112&amp;from=LV</w:t>
        </w:r>
      </w:hyperlink>
      <w:r>
        <w:t xml:space="preserve"> </w:t>
      </w:r>
    </w:p>
  </w:footnote>
  <w:footnote w:id="56">
    <w:p w14:paraId="4E391EB8" w14:textId="4038B763" w:rsidR="00C80B8F" w:rsidRDefault="00C80B8F">
      <w:pPr>
        <w:pStyle w:val="FootnoteText"/>
      </w:pPr>
      <w:r>
        <w:rPr>
          <w:rStyle w:val="FootnoteReference"/>
        </w:rPr>
        <w:footnoteRef/>
      </w:r>
      <w:r>
        <w:t xml:space="preserve"> </w:t>
      </w:r>
      <w:r w:rsidRPr="0039583D">
        <w:t>https://eur-lex.europa.eu/legal-content/EN/TXT/?qid=1485341914564&amp;uri=CELEX:52016DC0860%2801%29</w:t>
      </w:r>
    </w:p>
  </w:footnote>
  <w:footnote w:id="57">
    <w:p w14:paraId="0F3A72BA" w14:textId="77777777" w:rsidR="00C80B8F" w:rsidRPr="00C30751" w:rsidRDefault="00C80B8F" w:rsidP="00C928F3">
      <w:pPr>
        <w:pStyle w:val="FootnoteText"/>
      </w:pPr>
      <w:r w:rsidRPr="00C30751">
        <w:rPr>
          <w:rStyle w:val="FootnoteReference"/>
        </w:rPr>
        <w:footnoteRef/>
      </w:r>
      <w:r w:rsidRPr="00C30751">
        <w:t xml:space="preserve"> </w:t>
      </w:r>
      <w:r w:rsidRPr="00981581">
        <w:rPr>
          <w:rFonts w:eastAsia="Calibri"/>
        </w:rPr>
        <w:t>C</w:t>
      </w:r>
      <w:r>
        <w:rPr>
          <w:rFonts w:eastAsia="Calibri"/>
        </w:rPr>
        <w:t>SP</w:t>
      </w:r>
    </w:p>
  </w:footnote>
  <w:footnote w:id="58">
    <w:p w14:paraId="00BAC73F" w14:textId="75B8B514" w:rsidR="00C80B8F" w:rsidRDefault="00C80B8F">
      <w:pPr>
        <w:pStyle w:val="FootnoteText"/>
      </w:pPr>
      <w:r>
        <w:rPr>
          <w:rStyle w:val="FootnoteReference"/>
        </w:rPr>
        <w:footnoteRef/>
      </w:r>
      <w:r>
        <w:t xml:space="preserve"> Datu avots: EUROSTAT</w:t>
      </w:r>
    </w:p>
  </w:footnote>
  <w:footnote w:id="59">
    <w:p w14:paraId="50500836" w14:textId="77777777" w:rsidR="00C80B8F" w:rsidRPr="005347C2" w:rsidRDefault="00C80B8F" w:rsidP="00C928F3">
      <w:pPr>
        <w:pStyle w:val="FootnoteText"/>
      </w:pPr>
      <w:r w:rsidRPr="005347C2">
        <w:rPr>
          <w:rStyle w:val="FootnoteReference"/>
        </w:rPr>
        <w:footnoteRef/>
      </w:r>
      <w:r w:rsidRPr="005347C2">
        <w:t xml:space="preserve"> Enerģētiskā atkarība ir indikators, kas tiek aprēķināts, atņemot no energoresursu importa rādītāja eksporta apjomu, dalot  ar kopējo energoresursu patēriņu un pieskaitot bunkurēšanu.</w:t>
      </w:r>
    </w:p>
  </w:footnote>
  <w:footnote w:id="60">
    <w:p w14:paraId="22750707" w14:textId="1673841A" w:rsidR="00C80B8F" w:rsidRDefault="00C80B8F">
      <w:pPr>
        <w:pStyle w:val="FootnoteText"/>
      </w:pPr>
      <w:r>
        <w:rPr>
          <w:rStyle w:val="FootnoteReference"/>
        </w:rPr>
        <w:footnoteRef/>
      </w:r>
      <w:r>
        <w:t xml:space="preserve"> Datu avots: EUROSTAT</w:t>
      </w:r>
    </w:p>
  </w:footnote>
  <w:footnote w:id="61">
    <w:p w14:paraId="4E4110A3" w14:textId="626DBB9E" w:rsidR="00C80B8F" w:rsidRDefault="00C80B8F">
      <w:pPr>
        <w:pStyle w:val="FootnoteText"/>
      </w:pPr>
      <w:r>
        <w:rPr>
          <w:rStyle w:val="FootnoteReference"/>
        </w:rPr>
        <w:footnoteRef/>
      </w:r>
      <w:r>
        <w:t xml:space="preserve"> EUROSTAT</w:t>
      </w:r>
    </w:p>
  </w:footnote>
  <w:footnote w:id="62">
    <w:p w14:paraId="5BB762F3" w14:textId="4C5881CA" w:rsidR="00C80B8F" w:rsidRDefault="00C80B8F">
      <w:pPr>
        <w:pStyle w:val="FootnoteText"/>
      </w:pPr>
      <w:r>
        <w:rPr>
          <w:rStyle w:val="FootnoteReference"/>
        </w:rPr>
        <w:footnoteRef/>
      </w:r>
      <w:r>
        <w:t xml:space="preserve"> </w:t>
      </w:r>
      <w:hyperlink r:id="rId11" w:history="1">
        <w:r w:rsidRPr="00923325">
          <w:rPr>
            <w:rStyle w:val="Hyperlink"/>
          </w:rPr>
          <w:t>http://data.consilium.europa.eu/doc/document/PE-48-2018-INIT/lv/pdf</w:t>
        </w:r>
      </w:hyperlink>
      <w:r>
        <w:t xml:space="preserve"> </w:t>
      </w:r>
    </w:p>
  </w:footnote>
  <w:footnote w:id="63">
    <w:p w14:paraId="40BD608C" w14:textId="4B8C591E" w:rsidR="00C80B8F" w:rsidRDefault="00C80B8F">
      <w:pPr>
        <w:pStyle w:val="FootnoteText"/>
      </w:pPr>
      <w:r>
        <w:rPr>
          <w:rStyle w:val="FootnoteReference"/>
        </w:rPr>
        <w:footnoteRef/>
      </w:r>
      <w:r>
        <w:t xml:space="preserve"> </w:t>
      </w:r>
      <w:hyperlink r:id="rId12" w:history="1">
        <w:r w:rsidRPr="00923325">
          <w:rPr>
            <w:rStyle w:val="Hyperlink"/>
          </w:rPr>
          <w:t>http://data.consilium.europa.eu/doc/document/PE-54-2018-INIT/lv/pdf</w:t>
        </w:r>
      </w:hyperlink>
      <w:r>
        <w:t xml:space="preserve"> </w:t>
      </w:r>
    </w:p>
  </w:footnote>
  <w:footnote w:id="64">
    <w:p w14:paraId="30A6226E" w14:textId="2FC869CF" w:rsidR="00C80B8F" w:rsidRPr="002729AC" w:rsidRDefault="00C80B8F" w:rsidP="00C43A73">
      <w:pPr>
        <w:pStyle w:val="FootnoteText"/>
      </w:pPr>
      <w:r w:rsidRPr="002729AC">
        <w:rPr>
          <w:rStyle w:val="FootnoteReference"/>
        </w:rPr>
        <w:footnoteRef/>
      </w:r>
      <w:r w:rsidRPr="002729AC">
        <w:t xml:space="preserve"> </w:t>
      </w:r>
      <w:hyperlink r:id="rId13" w:history="1">
        <w:r w:rsidRPr="007B20A5">
          <w:rPr>
            <w:rStyle w:val="Hyperlink"/>
          </w:rPr>
          <w:t>http://polsis.mk.gov.lv/documents/4711</w:t>
        </w:r>
      </w:hyperlink>
      <w:r>
        <w:t xml:space="preserve">  </w:t>
      </w:r>
    </w:p>
  </w:footnote>
  <w:footnote w:id="65">
    <w:p w14:paraId="5EA746AC" w14:textId="77777777" w:rsidR="00C80B8F" w:rsidRPr="00B8598C" w:rsidRDefault="00C80B8F" w:rsidP="00C928F3">
      <w:pPr>
        <w:pStyle w:val="FootnoteText"/>
      </w:pPr>
      <w:r w:rsidRPr="00B8598C">
        <w:rPr>
          <w:rStyle w:val="FootnoteReference"/>
        </w:rPr>
        <w:footnoteRef/>
      </w:r>
      <w:r w:rsidRPr="00B8598C">
        <w:t xml:space="preserve"> </w:t>
      </w:r>
      <w:hyperlink r:id="rId14" w:history="1">
        <w:r w:rsidRPr="00B8598C">
          <w:rPr>
            <w:rStyle w:val="Hyperlink"/>
          </w:rPr>
          <w:t>https://likumi.lv/doc.php?id=207119</w:t>
        </w:r>
      </w:hyperlink>
      <w:r w:rsidRPr="00B8598C">
        <w:t xml:space="preserve">; </w:t>
      </w:r>
      <w:hyperlink r:id="rId15" w:history="1">
        <w:r w:rsidRPr="00B8598C">
          <w:rPr>
            <w:rStyle w:val="Hyperlink"/>
          </w:rPr>
          <w:t>https://likumi.lv/doc.php?id=74746</w:t>
        </w:r>
      </w:hyperlink>
      <w:r w:rsidRPr="00B8598C">
        <w:t xml:space="preserve">; </w:t>
      </w:r>
      <w:hyperlink r:id="rId16" w:history="1">
        <w:r w:rsidRPr="00B8598C">
          <w:rPr>
            <w:rStyle w:val="Hyperlink"/>
          </w:rPr>
          <w:t>https://likumi.lv/doc.php?id=74749</w:t>
        </w:r>
      </w:hyperlink>
      <w:r w:rsidRPr="00B8598C">
        <w:t xml:space="preserve">; </w:t>
      </w:r>
      <w:hyperlink r:id="rId17" w:history="1">
        <w:r w:rsidRPr="00B8598C">
          <w:rPr>
            <w:rStyle w:val="Hyperlink"/>
          </w:rPr>
          <w:t>https://likumi.lv/doc.php?id=79100</w:t>
        </w:r>
      </w:hyperlink>
      <w:r w:rsidRPr="00B8598C">
        <w:t xml:space="preserve">; </w:t>
      </w:r>
      <w:hyperlink r:id="rId18" w:history="1">
        <w:r w:rsidRPr="00B8598C">
          <w:rPr>
            <w:rStyle w:val="Hyperlink"/>
          </w:rPr>
          <w:t>https://likumi.lv/doc.php?id=228051</w:t>
        </w:r>
      </w:hyperlink>
      <w:r w:rsidRPr="00B8598C">
        <w:t xml:space="preserve">  </w:t>
      </w:r>
    </w:p>
  </w:footnote>
  <w:footnote w:id="66">
    <w:p w14:paraId="791C20FC" w14:textId="06C479FB" w:rsidR="00C80B8F" w:rsidRDefault="00C80B8F" w:rsidP="004E451F">
      <w:pPr>
        <w:pStyle w:val="FootnoteText"/>
        <w:jc w:val="both"/>
      </w:pPr>
      <w:r>
        <w:rPr>
          <w:rStyle w:val="FootnoteReference"/>
        </w:rPr>
        <w:footnoteRef/>
      </w:r>
      <w:r>
        <w:t xml:space="preserve"> Tautsaimniecības padomes Enerģētikas komiteja ir izveidota s</w:t>
      </w:r>
      <w:r w:rsidRPr="004E451F">
        <w:t>askaņā ar Ministru kabineta 2010. gada 23. marta noteikumu Nr. 271 „Ekonomikas ministrijas nolikums 6.11., 7.2. un 17. punktu un Ekonomikas ministrijas 2012. gada 9. novembra Nr.1-7-32 „Tautsaimniecī</w:t>
      </w:r>
      <w:r>
        <w:t>bas padomes nolikums 12. punktu</w:t>
      </w:r>
    </w:p>
  </w:footnote>
  <w:footnote w:id="67">
    <w:p w14:paraId="0C2BD7DE" w14:textId="04204625" w:rsidR="00C80B8F" w:rsidRDefault="00C80B8F">
      <w:pPr>
        <w:pStyle w:val="FootnoteText"/>
      </w:pPr>
      <w:r>
        <w:rPr>
          <w:rStyle w:val="FootnoteReference"/>
        </w:rPr>
        <w:footnoteRef/>
      </w:r>
      <w:r>
        <w:t xml:space="preserve"> </w:t>
      </w:r>
      <w:hyperlink r:id="rId19" w:history="1">
        <w:r w:rsidRPr="00664E1C">
          <w:rPr>
            <w:rStyle w:val="Hyperlink"/>
          </w:rPr>
          <w:t>https://em.gov.lv/lv/par_ministriju/notikumu_kalendars/21866-konference-nacionalais-energetikas-un-klimata-plans-2021-2030gadam-energetikas-attistiba-un-klimata-parmainu-mazinasana</w:t>
        </w:r>
      </w:hyperlink>
      <w:r>
        <w:t xml:space="preserve"> </w:t>
      </w:r>
    </w:p>
  </w:footnote>
  <w:footnote w:id="68">
    <w:p w14:paraId="48D931AC" w14:textId="2A80BFB5" w:rsidR="00C80B8F" w:rsidRDefault="00C80B8F">
      <w:pPr>
        <w:pStyle w:val="FootnoteText"/>
      </w:pPr>
      <w:r>
        <w:rPr>
          <w:rStyle w:val="FootnoteReference"/>
        </w:rPr>
        <w:footnoteRef/>
      </w:r>
      <w:r>
        <w:t xml:space="preserve"> </w:t>
      </w:r>
      <w:hyperlink r:id="rId20" w:history="1">
        <w:r w:rsidRPr="0031172A">
          <w:rPr>
            <w:rStyle w:val="Hyperlink"/>
          </w:rPr>
          <w:t>http://tap.mk.gov.lv/lv/mk/tap/?dateFrom=2017-11-09&amp;dateTo=2018-11-09&amp;text=oglek%C4%BCa+maziet&amp;org=0&amp;area=0&amp;type=0</w:t>
        </w:r>
      </w:hyperlink>
      <w:r>
        <w:t xml:space="preserve"> </w:t>
      </w:r>
    </w:p>
  </w:footnote>
  <w:footnote w:id="69">
    <w:p w14:paraId="524F1E5B" w14:textId="4BECAE1D" w:rsidR="00C80B8F" w:rsidRPr="002729AC" w:rsidRDefault="00C80B8F" w:rsidP="00C928F3">
      <w:pPr>
        <w:pStyle w:val="FootnoteText"/>
      </w:pPr>
      <w:r w:rsidRPr="002729AC">
        <w:rPr>
          <w:vertAlign w:val="superscript"/>
        </w:rPr>
        <w:footnoteRef/>
      </w:r>
      <w:r w:rsidRPr="002729AC">
        <w:t xml:space="preserve"> </w:t>
      </w:r>
      <w:hyperlink r:id="rId21" w:history="1">
        <w:r w:rsidRPr="00483B4E">
          <w:rPr>
            <w:rStyle w:val="Hyperlink"/>
          </w:rPr>
          <w:t>https://eur-lex.europa.eu/legal-content/LV/TXT/PDF/?uri=CELEX:02003L0087-20180408&amp;qid=1533277840239&amp;from=LV</w:t>
        </w:r>
      </w:hyperlink>
      <w:r>
        <w:t xml:space="preserve"> </w:t>
      </w:r>
    </w:p>
  </w:footnote>
  <w:footnote w:id="70">
    <w:p w14:paraId="404C7C26" w14:textId="66E0C6FE" w:rsidR="00C80B8F" w:rsidRPr="002729AC" w:rsidRDefault="00C80B8F" w:rsidP="00C928F3">
      <w:pPr>
        <w:pStyle w:val="FootnoteText"/>
      </w:pPr>
      <w:r w:rsidRPr="002729AC">
        <w:rPr>
          <w:rStyle w:val="FootnoteReference"/>
        </w:rPr>
        <w:footnoteRef/>
      </w:r>
      <w:r w:rsidRPr="002729AC">
        <w:t xml:space="preserve"> </w:t>
      </w:r>
      <w:hyperlink r:id="rId22" w:history="1">
        <w:r w:rsidRPr="00483B4E">
          <w:rPr>
            <w:rStyle w:val="Hyperlink"/>
          </w:rPr>
          <w:t>https://eur-lex.europa.eu/legal-content/LV/TXT/PDF/?uri=CELEX:32018R0841&amp;from=lv</w:t>
        </w:r>
      </w:hyperlink>
      <w:r>
        <w:t xml:space="preserve"> </w:t>
      </w:r>
    </w:p>
  </w:footnote>
  <w:footnote w:id="71">
    <w:p w14:paraId="5B3DB659" w14:textId="6A22393B" w:rsidR="00C80B8F" w:rsidRDefault="00C80B8F">
      <w:pPr>
        <w:pStyle w:val="FootnoteText"/>
      </w:pPr>
      <w:r>
        <w:rPr>
          <w:rStyle w:val="FootnoteReference"/>
        </w:rPr>
        <w:footnoteRef/>
      </w:r>
      <w:r>
        <w:t xml:space="preserve"> Tabulā minētie lielumi ir indikatīvie, jo ikgadējās SEG inventarizācijas ietvaros nav pieejami aprēķinam nepieciešamie 2017. un 2018.gada apjomi – būs pieejami tikai 2020.gada otrajā pusē</w:t>
      </w:r>
    </w:p>
  </w:footnote>
  <w:footnote w:id="72">
    <w:p w14:paraId="2D6CA03A" w14:textId="138A277C" w:rsidR="00C80B8F" w:rsidRDefault="00C80B8F" w:rsidP="007473D0">
      <w:pPr>
        <w:pStyle w:val="FootnoteText"/>
      </w:pPr>
      <w:r>
        <w:rPr>
          <w:rStyle w:val="FootnoteReference"/>
        </w:rPr>
        <w:footnoteRef/>
      </w:r>
      <w:r>
        <w:t xml:space="preserve"> 2005.gada dati 2018.gada SEG inventarizācija: </w:t>
      </w:r>
      <w:r w:rsidRPr="00BC3C5E">
        <w:t>https://unfccc.int/process-and-meetings/transparency-and-reporting/reporting-and-review-under-the-convention/greenhouse-gas-inventories-annex-i-parties/national-inventory-submissions-2018</w:t>
      </w:r>
      <w:r>
        <w:t xml:space="preserve">; 2016.gada dati: </w:t>
      </w:r>
      <w:hyperlink r:id="rId23" w:history="1">
        <w:r w:rsidRPr="009C5A95">
          <w:rPr>
            <w:rStyle w:val="Hyperlink"/>
          </w:rPr>
          <w:t>http://cdr.eionet.europa.eu/lv/eu/mmr/art07_inventory/ghg_inventory/envwu6qfa/</w:t>
        </w:r>
      </w:hyperlink>
      <w:r>
        <w:t xml:space="preserve">; 2017.gada dati: </w:t>
      </w:r>
      <w:hyperlink r:id="rId24" w:history="1">
        <w:r w:rsidRPr="009C5A95">
          <w:rPr>
            <w:rStyle w:val="Hyperlink"/>
          </w:rPr>
          <w:t>http://cdr.eionet.europa.eu/lv/eu/mmr/art08_proxy/envw07vaw/</w:t>
        </w:r>
      </w:hyperlink>
      <w:r>
        <w:t xml:space="preserve">; 2018.gada dati: saskaņā ar jaunākām prognozēm  </w:t>
      </w:r>
    </w:p>
  </w:footnote>
  <w:footnote w:id="73">
    <w:p w14:paraId="348AB5D3" w14:textId="77777777" w:rsidR="00C80B8F" w:rsidRDefault="00C80B8F" w:rsidP="00912935">
      <w:pPr>
        <w:pStyle w:val="FootnoteText"/>
      </w:pPr>
      <w:r>
        <w:rPr>
          <w:rStyle w:val="FootnoteReference"/>
        </w:rPr>
        <w:footnoteRef/>
      </w:r>
      <w:r>
        <w:t xml:space="preserve"> </w:t>
      </w:r>
      <w:hyperlink r:id="rId25" w:history="1">
        <w:r w:rsidRPr="00483B4E">
          <w:rPr>
            <w:rStyle w:val="Hyperlink"/>
          </w:rPr>
          <w:t>https://eur-lex.europa.eu/legal-content/LV/TXT/PDF/?uri=CELEX:32017D1471&amp;from=EN</w:t>
        </w:r>
      </w:hyperlink>
      <w:r>
        <w:t xml:space="preserve">; </w:t>
      </w:r>
      <w:hyperlink r:id="rId26" w:history="1">
        <w:r w:rsidRPr="00483B4E">
          <w:rPr>
            <w:rStyle w:val="Hyperlink"/>
          </w:rPr>
          <w:t>https://eur-lex.europa.eu/legal-content/LV/TXT/HTML/?uri=CELEX:32013D0634&amp;from=EN</w:t>
        </w:r>
      </w:hyperlink>
      <w:r>
        <w:t xml:space="preserve"> </w:t>
      </w:r>
    </w:p>
  </w:footnote>
  <w:footnote w:id="74">
    <w:p w14:paraId="46FF6FB0" w14:textId="3DFA69F2" w:rsidR="00C80B8F" w:rsidRDefault="00C80B8F">
      <w:pPr>
        <w:pStyle w:val="FootnoteText"/>
      </w:pPr>
      <w:r>
        <w:rPr>
          <w:rStyle w:val="FootnoteReference"/>
        </w:rPr>
        <w:footnoteRef/>
      </w:r>
      <w:r>
        <w:t xml:space="preserve"> FEI aprēķins</w:t>
      </w:r>
    </w:p>
  </w:footnote>
  <w:footnote w:id="75">
    <w:p w14:paraId="0CC42780" w14:textId="471C6E98" w:rsidR="00C80B8F" w:rsidRPr="00F060A0" w:rsidRDefault="00C80B8F" w:rsidP="00593581">
      <w:pPr>
        <w:spacing w:after="0" w:line="240" w:lineRule="auto"/>
        <w:jc w:val="both"/>
        <w:rPr>
          <w:rFonts w:ascii="Times New Roman" w:eastAsia="Times New Roman" w:hAnsi="Times New Roman" w:cs="Times New Roman"/>
          <w:color w:val="000000"/>
          <w:kern w:val="24"/>
          <w:sz w:val="18"/>
          <w:szCs w:val="18"/>
          <w:lang w:eastAsia="lv-LV"/>
        </w:rPr>
      </w:pPr>
      <w:bookmarkStart w:id="77" w:name="_Hlk527544865"/>
      <w:r w:rsidRPr="00F060A0">
        <w:rPr>
          <w:rStyle w:val="FootnoteReference"/>
          <w:rFonts w:ascii="Times New Roman" w:hAnsi="Times New Roman" w:cs="Times New Roman"/>
          <w:sz w:val="18"/>
          <w:szCs w:val="18"/>
        </w:rPr>
        <w:footnoteRef/>
      </w:r>
      <w:r w:rsidRPr="00F060A0">
        <w:rPr>
          <w:rFonts w:ascii="Times New Roman" w:hAnsi="Times New Roman" w:cs="Times New Roman"/>
          <w:sz w:val="18"/>
          <w:szCs w:val="18"/>
        </w:rPr>
        <w:t xml:space="preserve"> </w:t>
      </w:r>
      <w:r w:rsidRPr="00F060A0">
        <w:rPr>
          <w:rFonts w:ascii="Times New Roman" w:eastAsia="Calibri" w:hAnsi="Times New Roman" w:cs="Times New Roman"/>
          <w:sz w:val="18"/>
          <w:szCs w:val="18"/>
        </w:rPr>
        <w:t xml:space="preserve">1 - mērķis noteikts </w:t>
      </w:r>
      <w:r w:rsidRPr="00F060A0">
        <w:rPr>
          <w:rFonts w:ascii="Times New Roman" w:eastAsia="Times New Roman" w:hAnsi="Times New Roman" w:cs="Times New Roman"/>
          <w:color w:val="000000"/>
          <w:kern w:val="24"/>
          <w:sz w:val="18"/>
          <w:szCs w:val="18"/>
          <w:lang w:eastAsia="lv-LV"/>
        </w:rPr>
        <w:t>pret 2005.gadu.</w:t>
      </w:r>
    </w:p>
    <w:p w14:paraId="5C2C0B2D"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2</w:t>
      </w:r>
      <w:r w:rsidRPr="00F060A0">
        <w:rPr>
          <w:rFonts w:ascii="Times New Roman" w:eastAsia="Calibri" w:hAnsi="Times New Roman" w:cs="Times New Roman"/>
          <w:color w:val="FF0000"/>
          <w:sz w:val="18"/>
          <w:szCs w:val="18"/>
        </w:rPr>
        <w:t xml:space="preserve"> </w:t>
      </w:r>
      <w:r w:rsidRPr="00F060A0">
        <w:rPr>
          <w:rFonts w:ascii="Times New Roman" w:eastAsia="Calibri" w:hAnsi="Times New Roman" w:cs="Times New Roman"/>
          <w:sz w:val="18"/>
          <w:szCs w:val="18"/>
        </w:rPr>
        <w:t>- Saskaņā ar lēmumu 406/2009/EK un regulu (ES) 525/2013.</w:t>
      </w:r>
    </w:p>
    <w:p w14:paraId="20B5A799"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3- Saskaņā ar direktīvu 2003/87/EK.</w:t>
      </w:r>
    </w:p>
    <w:p w14:paraId="73EB61C9"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 xml:space="preserve">4 – Meža apsaimniekošanas references līmenis periodam </w:t>
      </w:r>
      <w:r w:rsidRPr="00F060A0">
        <w:rPr>
          <w:rFonts w:ascii="Times New Roman" w:eastAsia="Calibri" w:hAnsi="Times New Roman" w:cs="Times New Roman"/>
          <w:i/>
          <w:iCs/>
          <w:sz w:val="18"/>
          <w:szCs w:val="18"/>
        </w:rPr>
        <w:t>2013.- 2020.g</w:t>
      </w:r>
      <w:r w:rsidRPr="00F060A0">
        <w:rPr>
          <w:rFonts w:ascii="Times New Roman" w:eastAsia="Calibri" w:hAnsi="Times New Roman" w:cs="Times New Roman"/>
          <w:sz w:val="18"/>
          <w:szCs w:val="18"/>
        </w:rPr>
        <w:t>. -16 302 ktCO</w:t>
      </w:r>
      <w:r w:rsidRPr="00F060A0">
        <w:rPr>
          <w:rFonts w:ascii="Times New Roman" w:eastAsia="Calibri" w:hAnsi="Times New Roman" w:cs="Times New Roman"/>
          <w:sz w:val="18"/>
          <w:szCs w:val="18"/>
          <w:vertAlign w:val="subscript"/>
        </w:rPr>
        <w:t xml:space="preserve">2 </w:t>
      </w:r>
      <w:r w:rsidRPr="00F060A0">
        <w:rPr>
          <w:rFonts w:ascii="Times New Roman" w:eastAsia="Calibri" w:hAnsi="Times New Roman" w:cs="Times New Roman"/>
          <w:sz w:val="18"/>
          <w:szCs w:val="18"/>
        </w:rPr>
        <w:t xml:space="preserve">ekv balstoties uz Līgumslēdzēju pušu konferencē apstiprinātā lēmuma 2/CMP.7 15.punktu tiks pārrēķināts tehnisko korekciju ietvaros pēc 2020. gada, līdz ar to tā gala vērtība mainīsies.   Meža references līmenis periodam 2021.- 2025.g. tiks aprēķināts līdz 2018. gada 31. decembrim un noteikts ar Eiropas Savienības deleģēto aktu līdz 2020.gada 31. oktobrim, aprēķinus veicot atbilstoši Eiropas Parlamenta un Padomes regulā 2018/841 noteiktajam. Meža references līmenis 2026. – 2030. gadam tiks aprēķināts līdz 2023. gada 30. jūnijam un noteikts ar Eiropas Savienības deleģēto aktu līdz 2025. gada 30. aprīlim. </w:t>
      </w:r>
    </w:p>
    <w:p w14:paraId="2813479E"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 xml:space="preserve">5 – Latvija par meža apsaimniekošanas, apmežošanas un atmežošanas aktivitātēm (attiecīgi KP 3.4.pants un KP 3.3.pants). atbilstoši 2/CMP.7. lēmuma prasībām atskaitīsies KP 2.perioda beigās.  Aprēķina kā kopējo emisiju un kopējās piesaistes summu attiecīgajās aktivitātēs (attēlotas tabulas kreisajā pusē) kopā atbilstoši  lēmuma 2/CMP.7. noteiktajiem uzskaites noteikumiem. </w:t>
      </w:r>
    </w:p>
    <w:p w14:paraId="06AF4BF3"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6 - Saskaņā ar regulu (ES) 2018/842, ikgadējie mērķi tiks noteikti ar EK lēmumu.</w:t>
      </w:r>
    </w:p>
    <w:p w14:paraId="0E014AB3" w14:textId="77777777" w:rsidR="00C80B8F" w:rsidRPr="00F060A0" w:rsidRDefault="00C80B8F"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7 - Saskaņā ar direktīvu (ES) 2018/410.</w:t>
      </w:r>
    </w:p>
    <w:p w14:paraId="5CFB4EC6" w14:textId="463E80D9" w:rsidR="00C80B8F" w:rsidRPr="00F060A0" w:rsidRDefault="00C80B8F" w:rsidP="00F060A0">
      <w:pPr>
        <w:spacing w:after="0" w:line="240" w:lineRule="auto"/>
        <w:jc w:val="both"/>
        <w:rPr>
          <w:rFonts w:eastAsia="Calibri"/>
        </w:rPr>
      </w:pPr>
      <w:r w:rsidRPr="00F060A0">
        <w:rPr>
          <w:rFonts w:ascii="Times New Roman" w:eastAsia="Calibri" w:hAnsi="Times New Roman" w:cs="Times New Roman"/>
          <w:sz w:val="18"/>
          <w:szCs w:val="18"/>
        </w:rPr>
        <w:t>8 – Aprēķina kā kopējo emisiju un kopējās piesaistes summu visās regulas (ES) 2018/841 2. pantā minētajās zemes uzskaites kategorijās (attēlotas tabulas kreisajā pusē) kopā atbilstoši regulas (ES) 2018/841noteiktajiem uzskaites noteikumiem</w:t>
      </w:r>
      <w:bookmarkEnd w:id="77"/>
    </w:p>
  </w:footnote>
  <w:footnote w:id="76">
    <w:p w14:paraId="291D669D" w14:textId="77777777" w:rsidR="00C80B8F" w:rsidRPr="00593581" w:rsidRDefault="00C80B8F" w:rsidP="00C928F3">
      <w:pPr>
        <w:pStyle w:val="FootnoteText"/>
      </w:pPr>
      <w:r w:rsidRPr="00593581">
        <w:rPr>
          <w:rStyle w:val="FootnoteReference"/>
        </w:rPr>
        <w:footnoteRef/>
      </w:r>
      <w:r w:rsidRPr="00593581">
        <w:t xml:space="preserve"> http://polsis.mk.gov.lv/documents/4247</w:t>
      </w:r>
    </w:p>
  </w:footnote>
  <w:footnote w:id="77">
    <w:p w14:paraId="07AC84EC" w14:textId="52539682" w:rsidR="00C80B8F" w:rsidRDefault="00C80B8F">
      <w:pPr>
        <w:pStyle w:val="FootnoteText"/>
      </w:pPr>
      <w:r>
        <w:rPr>
          <w:rStyle w:val="FootnoteReference"/>
        </w:rPr>
        <w:footnoteRef/>
      </w:r>
      <w:r>
        <w:t xml:space="preserve"> </w:t>
      </w:r>
      <w:hyperlink r:id="rId27" w:anchor="jump" w:history="1">
        <w:r w:rsidRPr="00483B4E">
          <w:rPr>
            <w:rStyle w:val="Hyperlink"/>
          </w:rPr>
          <w:t>https://www.zm.gov.lv/zemkopibas-ministrija/statiskas-lapas/latvijas-lauku-attistibas-programma-2014-2020-gadam?id=14234#jump</w:t>
        </w:r>
      </w:hyperlink>
      <w:r>
        <w:t xml:space="preserve"> </w:t>
      </w:r>
    </w:p>
  </w:footnote>
  <w:footnote w:id="78">
    <w:p w14:paraId="213212FC" w14:textId="77777777" w:rsidR="00C80B8F" w:rsidRDefault="00C80B8F" w:rsidP="003015F7">
      <w:pPr>
        <w:pStyle w:val="FootnoteText"/>
      </w:pPr>
      <w:r>
        <w:rPr>
          <w:rStyle w:val="FootnoteReference"/>
        </w:rPr>
        <w:footnoteRef/>
      </w:r>
      <w:r>
        <w:t xml:space="preserve"> </w:t>
      </w:r>
      <w:hyperlink r:id="rId28" w:history="1">
        <w:r w:rsidRPr="00483B4E">
          <w:rPr>
            <w:rStyle w:val="Hyperlink"/>
          </w:rPr>
          <w:t>http://polsis.mk.gov.lv/documents/5331</w:t>
        </w:r>
      </w:hyperlink>
      <w:r>
        <w:t xml:space="preserve"> </w:t>
      </w:r>
    </w:p>
  </w:footnote>
  <w:footnote w:id="79">
    <w:p w14:paraId="73F719D2" w14:textId="77777777" w:rsidR="00C80B8F" w:rsidRPr="000451B8" w:rsidRDefault="00C80B8F" w:rsidP="00C928F3">
      <w:pPr>
        <w:pStyle w:val="FootnoteText"/>
      </w:pPr>
      <w:r w:rsidRPr="000451B8">
        <w:rPr>
          <w:rStyle w:val="FootnoteReference"/>
        </w:rPr>
        <w:footnoteRef/>
      </w:r>
      <w:r w:rsidRPr="000451B8">
        <w:t xml:space="preserve"> Aptuvenā vērtība, tiks precizēta Plāna gala redakcijā 2019.gadā, ņemot vērā Latvijas oficiālos statistikas datus</w:t>
      </w:r>
    </w:p>
  </w:footnote>
  <w:footnote w:id="80">
    <w:p w14:paraId="69A67F67" w14:textId="4CF5ADBD" w:rsidR="00C80B8F" w:rsidRPr="000451B8" w:rsidRDefault="00C80B8F" w:rsidP="00C928F3">
      <w:pPr>
        <w:pStyle w:val="FootnoteText"/>
      </w:pPr>
      <w:r w:rsidRPr="000451B8">
        <w:rPr>
          <w:rStyle w:val="FootnoteReference"/>
        </w:rPr>
        <w:footnoteRef/>
      </w:r>
      <w:r w:rsidRPr="000451B8">
        <w:t xml:space="preserve"> </w:t>
      </w:r>
      <w:hyperlink r:id="rId29" w:history="1">
        <w:r w:rsidRPr="009C5A95">
          <w:rPr>
            <w:rStyle w:val="Hyperlink"/>
          </w:rPr>
          <w:t>http://polsis.mk.gov.lv/documents/3323</w:t>
        </w:r>
      </w:hyperlink>
      <w:r>
        <w:t xml:space="preserve"> </w:t>
      </w:r>
    </w:p>
  </w:footnote>
  <w:footnote w:id="81">
    <w:p w14:paraId="337284D6" w14:textId="6917AA77" w:rsidR="00C80B8F" w:rsidRPr="000451B8" w:rsidRDefault="00C80B8F" w:rsidP="00C928F3">
      <w:pPr>
        <w:pStyle w:val="FootnoteText"/>
      </w:pPr>
      <w:r w:rsidRPr="000451B8">
        <w:rPr>
          <w:rStyle w:val="FootnoteReference"/>
        </w:rPr>
        <w:footnoteRef/>
      </w:r>
      <w:r w:rsidRPr="000451B8">
        <w:t xml:space="preserve"> </w:t>
      </w:r>
      <w:hyperlink r:id="rId30" w:history="1">
        <w:r w:rsidRPr="002A5CC3">
          <w:rPr>
            <w:rStyle w:val="Hyperlink"/>
          </w:rPr>
          <w:t>http://polsis.mk.gov.lv/documents/4711</w:t>
        </w:r>
      </w:hyperlink>
      <w:r>
        <w:t xml:space="preserve"> </w:t>
      </w:r>
    </w:p>
  </w:footnote>
  <w:footnote w:id="82">
    <w:p w14:paraId="4B5EC73B" w14:textId="5D4E5FC4" w:rsidR="00C80B8F" w:rsidRPr="000451B8" w:rsidRDefault="00C80B8F" w:rsidP="00C928F3">
      <w:pPr>
        <w:pStyle w:val="FootnoteText"/>
      </w:pPr>
      <w:r w:rsidRPr="000451B8">
        <w:rPr>
          <w:rStyle w:val="FootnoteReference"/>
        </w:rPr>
        <w:footnoteRef/>
      </w:r>
      <w:r w:rsidRPr="000451B8">
        <w:t xml:space="preserve"> </w:t>
      </w:r>
      <w:hyperlink r:id="rId31" w:history="1">
        <w:r w:rsidRPr="002A5CC3">
          <w:rPr>
            <w:rStyle w:val="Hyperlink"/>
          </w:rPr>
          <w:t>https://eur-lex.europa.eu/legal-content/LV/TXT/PDF/?uri=CELEX:32009D0406&amp;from=EN</w:t>
        </w:r>
      </w:hyperlink>
      <w:r>
        <w:t xml:space="preserve"> </w:t>
      </w:r>
    </w:p>
  </w:footnote>
  <w:footnote w:id="83">
    <w:p w14:paraId="0E0DF2D6" w14:textId="4F84DEE0" w:rsidR="00C80B8F" w:rsidRPr="000451B8" w:rsidRDefault="00C80B8F" w:rsidP="00C928F3">
      <w:pPr>
        <w:pStyle w:val="FootnoteText"/>
      </w:pPr>
      <w:r w:rsidRPr="000451B8">
        <w:rPr>
          <w:rStyle w:val="FootnoteReference"/>
        </w:rPr>
        <w:footnoteRef/>
      </w:r>
      <w:r w:rsidRPr="000451B8">
        <w:t xml:space="preserve"> </w:t>
      </w:r>
      <w:hyperlink r:id="rId32" w:history="1">
        <w:r w:rsidRPr="002A5CC3">
          <w:rPr>
            <w:rStyle w:val="Hyperlink"/>
          </w:rPr>
          <w:t>https://eur-lex.europa.eu/legal-content/LV/TXT/PDF/?uri=CELEX:32018R0842&amp;from=EN</w:t>
        </w:r>
      </w:hyperlink>
      <w:r>
        <w:t xml:space="preserve"> </w:t>
      </w:r>
    </w:p>
  </w:footnote>
  <w:footnote w:id="84">
    <w:p w14:paraId="2DAB8416" w14:textId="77777777" w:rsidR="00C80B8F" w:rsidRPr="000451B8" w:rsidRDefault="00C80B8F" w:rsidP="007B6377">
      <w:pPr>
        <w:pStyle w:val="FootnoteText"/>
      </w:pPr>
      <w:r w:rsidRPr="000451B8">
        <w:rPr>
          <w:rStyle w:val="FootnoteReference"/>
        </w:rPr>
        <w:footnoteRef/>
      </w:r>
      <w:r w:rsidRPr="000451B8">
        <w:t xml:space="preserve"> </w:t>
      </w:r>
      <w:hyperlink r:id="rId33" w:history="1">
        <w:r w:rsidRPr="00483B4E">
          <w:rPr>
            <w:rStyle w:val="Hyperlink"/>
          </w:rPr>
          <w:t>http://polsis.mk.gov.lv/documents/4711</w:t>
        </w:r>
      </w:hyperlink>
      <w:r>
        <w:t xml:space="preserve"> </w:t>
      </w:r>
    </w:p>
  </w:footnote>
  <w:footnote w:id="85">
    <w:p w14:paraId="1704311A" w14:textId="42146B74" w:rsidR="00C80B8F" w:rsidRDefault="00C80B8F">
      <w:pPr>
        <w:pStyle w:val="FootnoteText"/>
      </w:pPr>
      <w:r>
        <w:rPr>
          <w:rStyle w:val="FootnoteReference"/>
        </w:rPr>
        <w:footnoteRef/>
      </w:r>
      <w:r>
        <w:t xml:space="preserve"> </w:t>
      </w:r>
      <w:hyperlink r:id="rId34" w:history="1">
        <w:r w:rsidRPr="00483B4E">
          <w:rPr>
            <w:rStyle w:val="Hyperlink"/>
          </w:rPr>
          <w:t>https://eur-lex.europa.eu/legal-content/LV/TXT/PDF/?uri=CELEX:32017D1471&amp;from=EN</w:t>
        </w:r>
      </w:hyperlink>
      <w:r>
        <w:t xml:space="preserve">; </w:t>
      </w:r>
      <w:hyperlink r:id="rId35" w:history="1">
        <w:r w:rsidRPr="00483B4E">
          <w:rPr>
            <w:rStyle w:val="Hyperlink"/>
          </w:rPr>
          <w:t>https://eur-lex.europa.eu/legal-content/LV/TXT/HTML/?uri=CELEX:32013D0634&amp;from=EN</w:t>
        </w:r>
      </w:hyperlink>
      <w:r>
        <w:t xml:space="preserve"> </w:t>
      </w:r>
    </w:p>
  </w:footnote>
  <w:footnote w:id="86">
    <w:p w14:paraId="01A12F9E" w14:textId="4AC0F028" w:rsidR="00C80B8F" w:rsidRPr="000451B8" w:rsidRDefault="00C80B8F" w:rsidP="00C928F3">
      <w:pPr>
        <w:pStyle w:val="FootnoteText"/>
      </w:pPr>
      <w:r w:rsidRPr="000451B8">
        <w:rPr>
          <w:rStyle w:val="FootnoteReference"/>
        </w:rPr>
        <w:footnoteRef/>
      </w:r>
      <w:r w:rsidRPr="000451B8">
        <w:t xml:space="preserve"> </w:t>
      </w:r>
      <w:hyperlink r:id="rId36" w:history="1">
        <w:r w:rsidRPr="002A5CC3">
          <w:rPr>
            <w:rStyle w:val="Hyperlink"/>
          </w:rPr>
          <w:t>http://www.varam.gov.lv/lat/pol/ppd/vide/?doc=17913</w:t>
        </w:r>
      </w:hyperlink>
      <w:r>
        <w:t xml:space="preserve"> </w:t>
      </w:r>
    </w:p>
  </w:footnote>
  <w:footnote w:id="87">
    <w:p w14:paraId="1FAC5F6C" w14:textId="774BAAAF" w:rsidR="00C80B8F" w:rsidRPr="000451B8" w:rsidRDefault="00C80B8F" w:rsidP="00C928F3">
      <w:pPr>
        <w:pStyle w:val="FootnoteText"/>
      </w:pPr>
      <w:r w:rsidRPr="000451B8">
        <w:rPr>
          <w:rStyle w:val="FootnoteReference"/>
        </w:rPr>
        <w:footnoteRef/>
      </w:r>
      <w:r w:rsidRPr="000451B8">
        <w:t xml:space="preserve"> </w:t>
      </w:r>
      <w:hyperlink r:id="rId37" w:history="1">
        <w:r w:rsidRPr="002A5CC3">
          <w:rPr>
            <w:rStyle w:val="Hyperlink"/>
          </w:rPr>
          <w:t>http://polsis.mk.gov.lv/documents/4711</w:t>
        </w:r>
      </w:hyperlink>
      <w:r>
        <w:t xml:space="preserve"> </w:t>
      </w:r>
    </w:p>
  </w:footnote>
  <w:footnote w:id="88">
    <w:p w14:paraId="2D53DB17" w14:textId="14B2C358" w:rsidR="00C80B8F" w:rsidRDefault="00C80B8F">
      <w:pPr>
        <w:pStyle w:val="FootnoteText"/>
      </w:pPr>
      <w:r>
        <w:rPr>
          <w:rStyle w:val="FootnoteReference"/>
        </w:rPr>
        <w:footnoteRef/>
      </w:r>
      <w:r>
        <w:t xml:space="preserve"> Nav novērtējams, izmantojot Regulā 2018/841 noteikto metodi</w:t>
      </w:r>
    </w:p>
  </w:footnote>
  <w:footnote w:id="89">
    <w:p w14:paraId="2184E48A" w14:textId="70FCF4BA" w:rsidR="00C80B8F" w:rsidRDefault="00C80B8F" w:rsidP="00970407">
      <w:pPr>
        <w:pStyle w:val="FootnoteText"/>
      </w:pPr>
      <w:r>
        <w:rPr>
          <w:rStyle w:val="FootnoteReference"/>
        </w:rPr>
        <w:footnoteRef/>
      </w:r>
      <w:r>
        <w:t xml:space="preserve"> </w:t>
      </w:r>
      <w:bookmarkStart w:id="83" w:name="_Hlk529547621"/>
      <w:r>
        <w:t>Nav novērtējams, izmantojot Regulā 2018/841 noteikto metodi</w:t>
      </w:r>
    </w:p>
    <w:bookmarkEnd w:id="83"/>
  </w:footnote>
  <w:footnote w:id="90">
    <w:p w14:paraId="09D6E58F" w14:textId="77777777" w:rsidR="00C80B8F" w:rsidRPr="000451B8" w:rsidRDefault="00C80B8F" w:rsidP="00C928F3">
      <w:pPr>
        <w:pStyle w:val="FootnoteText"/>
      </w:pPr>
      <w:r w:rsidRPr="000451B8">
        <w:rPr>
          <w:rStyle w:val="FootnoteReference"/>
        </w:rPr>
        <w:footnoteRef/>
      </w:r>
      <w:r w:rsidRPr="000451B8">
        <w:t xml:space="preserve"> </w:t>
      </w:r>
      <w:hyperlink r:id="rId38" w:history="1">
        <w:r w:rsidRPr="002A5CC3">
          <w:rPr>
            <w:rStyle w:val="Hyperlink"/>
          </w:rPr>
          <w:t>https://eur-lex.europa.eu/legal-content/LV/TXT/PDF/?uri=CELEX:32018R0841&amp;from=EN</w:t>
        </w:r>
      </w:hyperlink>
      <w:r>
        <w:t xml:space="preserve"> </w:t>
      </w:r>
    </w:p>
  </w:footnote>
  <w:footnote w:id="91">
    <w:p w14:paraId="716D3990" w14:textId="77777777" w:rsidR="00C80B8F" w:rsidRPr="002E51E3" w:rsidRDefault="00C80B8F" w:rsidP="001F3F22">
      <w:pPr>
        <w:pStyle w:val="FootnoteText"/>
      </w:pPr>
      <w:r w:rsidRPr="002E51E3">
        <w:rPr>
          <w:rStyle w:val="FootnoteReference"/>
        </w:rPr>
        <w:footnoteRef/>
      </w:r>
      <w:r w:rsidRPr="002E51E3">
        <w:t xml:space="preserve"> </w:t>
      </w:r>
      <w:hyperlink r:id="rId39" w:history="1">
        <w:r w:rsidRPr="002A5CC3">
          <w:rPr>
            <w:rStyle w:val="Hyperlink"/>
          </w:rPr>
          <w:t>https://eur-lex.europa.eu/legal-content/EN/TXT/PDF/?uri=CONSIL:ST_10308_2018_INIT&amp;from=LV</w:t>
        </w:r>
      </w:hyperlink>
      <w:r>
        <w:t xml:space="preserve"> </w:t>
      </w:r>
    </w:p>
  </w:footnote>
  <w:footnote w:id="92">
    <w:p w14:paraId="06464C84" w14:textId="77777777" w:rsidR="00C80B8F" w:rsidRPr="002E51E3" w:rsidRDefault="00C80B8F" w:rsidP="001F3F22">
      <w:pPr>
        <w:pStyle w:val="FootnoteText"/>
      </w:pPr>
      <w:r w:rsidRPr="002E51E3">
        <w:rPr>
          <w:rStyle w:val="FootnoteReference"/>
        </w:rPr>
        <w:footnoteRef/>
      </w:r>
      <w:r w:rsidRPr="002E51E3">
        <w:t xml:space="preserve"> </w:t>
      </w:r>
      <w:hyperlink r:id="rId40" w:history="1">
        <w:r w:rsidRPr="002A5CC3">
          <w:rPr>
            <w:rStyle w:val="Hyperlink"/>
          </w:rPr>
          <w:t>https://eur-lex.europa.eu/legal-content/EN/TXT/PDF/?uri=CONSIL:ST_10308_2018_COR_1&amp;from=LV</w:t>
        </w:r>
      </w:hyperlink>
      <w:r>
        <w:t xml:space="preserve"> </w:t>
      </w:r>
    </w:p>
  </w:footnote>
  <w:footnote w:id="93">
    <w:p w14:paraId="45EF7C0D" w14:textId="3E3A045C" w:rsidR="00C80B8F" w:rsidRDefault="00C80B8F">
      <w:pPr>
        <w:pStyle w:val="FootnoteText"/>
      </w:pPr>
      <w:r>
        <w:rPr>
          <w:rStyle w:val="FootnoteReference"/>
        </w:rPr>
        <w:footnoteRef/>
      </w:r>
      <w:r>
        <w:t xml:space="preserve"> </w:t>
      </w:r>
      <w:hyperlink r:id="rId41" w:history="1">
        <w:r w:rsidRPr="00F97E2D">
          <w:rPr>
            <w:rStyle w:val="Hyperlink"/>
          </w:rPr>
          <w:t>https://ec.europa.eu/eurostat/tgm/table.do?tab=table&amp;init=1&amp;language=en&amp;pcode=sdg_08_10&amp;plugin=1</w:t>
        </w:r>
      </w:hyperlink>
      <w:r>
        <w:t xml:space="preserve"> </w:t>
      </w:r>
    </w:p>
  </w:footnote>
  <w:footnote w:id="94">
    <w:p w14:paraId="2FE0D1CD" w14:textId="034088B5" w:rsidR="00C80B8F" w:rsidRDefault="00C80B8F">
      <w:pPr>
        <w:pStyle w:val="FootnoteText"/>
      </w:pPr>
      <w:r>
        <w:rPr>
          <w:rStyle w:val="FootnoteReference"/>
        </w:rPr>
        <w:footnoteRef/>
      </w:r>
      <w:r>
        <w:t xml:space="preserve"> Modernās biodegvielas, kas tiek ražotas no p</w:t>
      </w:r>
      <w:r>
        <w:rPr>
          <w:rFonts w:eastAsia="Calibri"/>
          <w:szCs w:val="24"/>
        </w:rPr>
        <w:t>riekšlikuma Direktīvas 2009/28/EK grozījumiem</w:t>
      </w:r>
      <w:r>
        <w:t xml:space="preserve"> IX pielikumā minētajām izejvielām, piemēram, aļģēm, salmiem, kūtsmēsliem vai notekūdeņu dūņām,  glicerīna u.c.</w:t>
      </w:r>
    </w:p>
  </w:footnote>
  <w:footnote w:id="95">
    <w:p w14:paraId="03016955" w14:textId="77777777" w:rsidR="00C80B8F" w:rsidRPr="00E94CBD" w:rsidRDefault="00C80B8F" w:rsidP="00FB42B1">
      <w:pPr>
        <w:pStyle w:val="FootnoteText"/>
      </w:pPr>
      <w:r w:rsidRPr="00E94CBD">
        <w:rPr>
          <w:rStyle w:val="FootnoteReference"/>
        </w:rPr>
        <w:footnoteRef/>
      </w:r>
      <w:r w:rsidRPr="00E94CBD">
        <w:t xml:space="preserve"> </w:t>
      </w:r>
      <w:hyperlink r:id="rId42" w:history="1">
        <w:r w:rsidRPr="002A5CC3">
          <w:rPr>
            <w:rStyle w:val="Hyperlink"/>
          </w:rPr>
          <w:t>http://polsis.mk.gov.lv/documents/4247</w:t>
        </w:r>
      </w:hyperlink>
      <w:r>
        <w:t xml:space="preserve"> </w:t>
      </w:r>
    </w:p>
  </w:footnote>
  <w:footnote w:id="96">
    <w:p w14:paraId="2EE14476" w14:textId="5598FC1F" w:rsidR="00C80B8F" w:rsidRDefault="00C80B8F">
      <w:pPr>
        <w:pStyle w:val="FootnoteText"/>
      </w:pPr>
      <w:r>
        <w:rPr>
          <w:rStyle w:val="FootnoteReference"/>
        </w:rPr>
        <w:footnoteRef/>
      </w:r>
      <w:r>
        <w:t xml:space="preserve"> Direktīva 2009/28/EK</w:t>
      </w:r>
    </w:p>
  </w:footnote>
  <w:footnote w:id="97">
    <w:p w14:paraId="3505A567" w14:textId="728C2F50" w:rsidR="00C80B8F" w:rsidRDefault="00C80B8F" w:rsidP="008F7719">
      <w:pPr>
        <w:pStyle w:val="FootnoteText"/>
      </w:pPr>
      <w:r>
        <w:rPr>
          <w:rStyle w:val="FootnoteReference"/>
        </w:rPr>
        <w:footnoteRef/>
      </w:r>
      <w:r>
        <w:t xml:space="preserve"> </w:t>
      </w:r>
      <w:r w:rsidRPr="0017515F">
        <w:rPr>
          <w:rFonts w:eastAsia="Calibri"/>
          <w:szCs w:val="24"/>
        </w:rPr>
        <w:t>priekšlikums Direktīvas 2009/28/EK grozījumiem</w:t>
      </w:r>
    </w:p>
  </w:footnote>
  <w:footnote w:id="98">
    <w:p w14:paraId="7ED5834E" w14:textId="0B374084" w:rsidR="00C80B8F" w:rsidRDefault="00C80B8F" w:rsidP="00EA43A3">
      <w:pPr>
        <w:pStyle w:val="FootnoteText"/>
        <w:jc w:val="both"/>
      </w:pPr>
      <w:r>
        <w:rPr>
          <w:rStyle w:val="FootnoteReference"/>
        </w:rPr>
        <w:footnoteRef/>
      </w:r>
      <w:r>
        <w:t xml:space="preserve"> Aprēķinot AER īpatsvaru transportā, no modernajām biodegvielām un biogāzes iegūtu enerģijas daudzumu var uzskatīt par divkāršu, ja tās iegūtas no izejvielām, kas minētas </w:t>
      </w:r>
      <w:r w:rsidRPr="00655BAD">
        <w:t>priekšlikum</w:t>
      </w:r>
      <w:r>
        <w:t>a</w:t>
      </w:r>
      <w:r w:rsidRPr="00655BAD">
        <w:t xml:space="preserve"> Direktīvas 2009/28/EK grozījumiem</w:t>
      </w:r>
      <w:r>
        <w:t xml:space="preserve">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99">
    <w:p w14:paraId="54C2AC17" w14:textId="27579FA5" w:rsidR="00C80B8F" w:rsidRDefault="00C80B8F" w:rsidP="008F7719">
      <w:pPr>
        <w:pStyle w:val="FootnoteText"/>
      </w:pPr>
      <w:r>
        <w:rPr>
          <w:rStyle w:val="FootnoteReference"/>
        </w:rPr>
        <w:footnoteRef/>
      </w:r>
      <w:r>
        <w:t xml:space="preserve"> </w:t>
      </w:r>
      <w:r w:rsidRPr="0017515F">
        <w:rPr>
          <w:rFonts w:eastAsia="Calibri"/>
          <w:szCs w:val="24"/>
        </w:rPr>
        <w:t>priekšlikums Direktīvas 2009/28/EK grozījumiem</w:t>
      </w:r>
    </w:p>
  </w:footnote>
  <w:footnote w:id="100">
    <w:p w14:paraId="06793322" w14:textId="2E74A45D" w:rsidR="00C80B8F" w:rsidRPr="009501EA" w:rsidRDefault="00C80B8F">
      <w:pPr>
        <w:pStyle w:val="FootnoteText"/>
      </w:pPr>
      <w:r w:rsidRPr="009501EA">
        <w:rPr>
          <w:rStyle w:val="FootnoteReference"/>
        </w:rPr>
        <w:footnoteRef/>
      </w:r>
      <w:r w:rsidRPr="009501EA">
        <w:t xml:space="preserve"> </w:t>
      </w:r>
      <w:r w:rsidRPr="009501EA">
        <w:rPr>
          <w:bCs/>
          <w:color w:val="000000" w:themeColor="text1"/>
        </w:rPr>
        <w:t>bruto iekšzemes enerģijas patēriņš</w:t>
      </w:r>
    </w:p>
  </w:footnote>
  <w:footnote w:id="101">
    <w:p w14:paraId="79A5328A" w14:textId="77777777" w:rsidR="00C80B8F" w:rsidRPr="009501EA" w:rsidRDefault="00C80B8F" w:rsidP="008432A1">
      <w:pPr>
        <w:pStyle w:val="FootnoteText"/>
      </w:pPr>
      <w:r w:rsidRPr="009501EA">
        <w:rPr>
          <w:rStyle w:val="FootnoteReference"/>
        </w:rPr>
        <w:footnoteRef/>
      </w:r>
      <w:r w:rsidRPr="009501EA">
        <w:t xml:space="preserve"> “gandrīz nulles” enerģijas patēriņa ēka definēta Ēku energoefektivitātes likuma 1. panta 6. punktā un Ministru kabineta 2013. gada 9. jūlija noteikumu Nr.383 „Noteikumi par ēku energosertifikāciju” 17.punktā.</w:t>
      </w:r>
    </w:p>
  </w:footnote>
  <w:footnote w:id="102">
    <w:p w14:paraId="5190D5DD" w14:textId="77777777" w:rsidR="00C80B8F" w:rsidRPr="009501EA" w:rsidRDefault="00C80B8F" w:rsidP="008432A1">
      <w:pPr>
        <w:pStyle w:val="FootnoteText"/>
      </w:pPr>
      <w:r w:rsidRPr="009501EA">
        <w:rPr>
          <w:rStyle w:val="FootnoteReference"/>
        </w:rPr>
        <w:footnoteRef/>
      </w:r>
      <w:r w:rsidRPr="009501EA">
        <w:t xml:space="preserve"> ir valsts īpašumā un institūciju valdījumā un kurās atrodas valsts institūcijas</w:t>
      </w:r>
    </w:p>
  </w:footnote>
  <w:footnote w:id="103">
    <w:p w14:paraId="3C695155" w14:textId="77777777" w:rsidR="00C80B8F" w:rsidRPr="009501EA" w:rsidRDefault="00C80B8F" w:rsidP="008432A1">
      <w:pPr>
        <w:pStyle w:val="FootnoteText"/>
      </w:pPr>
      <w:r w:rsidRPr="009501EA">
        <w:rPr>
          <w:rStyle w:val="FootnoteReference"/>
        </w:rPr>
        <w:footnoteRef/>
      </w:r>
      <w:r w:rsidRPr="009501EA">
        <w:t xml:space="preserve"> pārējās jaunbūves</w:t>
      </w:r>
    </w:p>
  </w:footnote>
  <w:footnote w:id="104">
    <w:p w14:paraId="5D9D225E" w14:textId="77777777" w:rsidR="00C80B8F" w:rsidRPr="009501EA" w:rsidRDefault="00C80B8F" w:rsidP="008432A1">
      <w:pPr>
        <w:pStyle w:val="FootnoteText"/>
      </w:pPr>
      <w:r w:rsidRPr="009501EA">
        <w:rPr>
          <w:rStyle w:val="FootnoteReference"/>
        </w:rPr>
        <w:footnoteRef/>
      </w:r>
      <w:r w:rsidRPr="009501EA">
        <w:t xml:space="preserve"> 2010.gada salīdzināmās cenās</w:t>
      </w:r>
    </w:p>
  </w:footnote>
  <w:footnote w:id="105">
    <w:p w14:paraId="6B3E92A9" w14:textId="0312713C" w:rsidR="00C80B8F" w:rsidRPr="006A3D6D" w:rsidRDefault="00C80B8F" w:rsidP="006A3D6D">
      <w:pPr>
        <w:pStyle w:val="FootnoteText"/>
        <w:jc w:val="both"/>
      </w:pPr>
      <w:r w:rsidRPr="009501EA">
        <w:rPr>
          <w:rStyle w:val="FootnoteReference"/>
        </w:rPr>
        <w:footnoteRef/>
      </w:r>
      <w:r w:rsidRPr="009501EA">
        <w:t xml:space="preserve"> </w:t>
      </w:r>
      <w:hyperlink r:id="rId43" w:history="1">
        <w:r w:rsidRPr="009501EA">
          <w:rPr>
            <w:rStyle w:val="Hyperlink"/>
          </w:rPr>
          <w:t>https://eur-lex.europa.eu/legal-content/LV/TXT/?qid=1533109262415&amp;uri=CELEX:02010L0031-20180709</w:t>
        </w:r>
      </w:hyperlink>
      <w:r w:rsidRPr="009501EA">
        <w:t xml:space="preserve"> (grozīta ar</w:t>
      </w:r>
      <w:r w:rsidRPr="006A3D6D">
        <w:t xml:space="preserve"> </w:t>
      </w:r>
      <w:r w:rsidRPr="006A3D6D">
        <w:rPr>
          <w:color w:val="000000" w:themeColor="text1"/>
        </w:rPr>
        <w:t>Eiropas Parlamenta un Padomes 2018. gada 30. maija direktīvu Nr. 2018/844, ar ko groza Direktīvu 2010/31/ES par ēku energoefektivitāti un Direktīvu 2012/</w:t>
      </w:r>
      <w:r>
        <w:rPr>
          <w:color w:val="000000" w:themeColor="text1"/>
        </w:rPr>
        <w:t xml:space="preserve">27/ES par energoefektivitāti un </w:t>
      </w:r>
      <w:r w:rsidRPr="0050180E">
        <w:rPr>
          <w:rFonts w:eastAsia="Calibri"/>
        </w:rPr>
        <w:t xml:space="preserve">EnS pārvaldības regulas </w:t>
      </w:r>
      <w:r>
        <w:rPr>
          <w:rFonts w:eastAsia="Calibri"/>
        </w:rPr>
        <w:t>priekšlikumu</w:t>
      </w:r>
      <w:r w:rsidRPr="006A3D6D">
        <w:rPr>
          <w:color w:val="000000" w:themeColor="text1"/>
        </w:rPr>
        <w:t>)</w:t>
      </w:r>
    </w:p>
  </w:footnote>
  <w:footnote w:id="106">
    <w:p w14:paraId="543D35DA" w14:textId="7D74990E" w:rsidR="00C80B8F" w:rsidRPr="006A3D6D" w:rsidRDefault="00C80B8F" w:rsidP="006A3D6D">
      <w:pPr>
        <w:pStyle w:val="FootnoteText"/>
        <w:jc w:val="both"/>
      </w:pPr>
      <w:r w:rsidRPr="006A3D6D">
        <w:rPr>
          <w:rStyle w:val="FootnoteReference"/>
        </w:rPr>
        <w:footnoteRef/>
      </w:r>
      <w:r w:rsidRPr="006A3D6D">
        <w:t xml:space="preserve"> </w:t>
      </w:r>
      <w:hyperlink r:id="rId44" w:history="1">
        <w:r w:rsidRPr="0065220A">
          <w:rPr>
            <w:rStyle w:val="Hyperlink"/>
          </w:rPr>
          <w:t>http://polsis.mk.gov.lv/documents/6043</w:t>
        </w:r>
      </w:hyperlink>
      <w:r>
        <w:t xml:space="preserve"> </w:t>
      </w:r>
    </w:p>
  </w:footnote>
  <w:footnote w:id="107">
    <w:p w14:paraId="08C90330" w14:textId="3B659D90" w:rsidR="00C80B8F" w:rsidRDefault="00C80B8F">
      <w:pPr>
        <w:pStyle w:val="FootnoteText"/>
      </w:pPr>
      <w:r>
        <w:rPr>
          <w:rStyle w:val="FootnoteReference"/>
        </w:rPr>
        <w:footnoteRef/>
      </w:r>
      <w:r>
        <w:t xml:space="preserve"> </w:t>
      </w:r>
      <w:r w:rsidRPr="00D8045E">
        <w:t>Darbības programmas "Izaugsme un nodarbinātība" 4.2.1. specifiskā atbalsta mērķa "Veicināt energoefektivitātes paaugstināšanu valsts un dzīvojamās ēkās"</w:t>
      </w:r>
      <w:r>
        <w:t xml:space="preserve"> īstenošana</w:t>
      </w:r>
    </w:p>
  </w:footnote>
  <w:footnote w:id="108">
    <w:p w14:paraId="483C3F3B" w14:textId="163856B1" w:rsidR="00C80B8F" w:rsidRDefault="00C80B8F">
      <w:pPr>
        <w:pStyle w:val="FootnoteText"/>
      </w:pPr>
      <w:r>
        <w:rPr>
          <w:rStyle w:val="FootnoteReference"/>
        </w:rPr>
        <w:footnoteRef/>
      </w:r>
      <w:r>
        <w:t xml:space="preserve"> </w:t>
      </w:r>
      <w:r w:rsidRPr="00D8045E">
        <w:t>Darbības programmas "Izaugsme un nodarbinātība" 4.3.1. specifiskā atbalsta mērķa "Veicināt energoefektivitāti un vietējo AER izmantošanu centralizētajā siltumapgādē"</w:t>
      </w:r>
      <w:r>
        <w:t xml:space="preserve"> īstenošana</w:t>
      </w:r>
    </w:p>
  </w:footnote>
  <w:footnote w:id="109">
    <w:p w14:paraId="1D09277C" w14:textId="62A1E2EA" w:rsidR="00C80B8F" w:rsidRPr="001D4477" w:rsidRDefault="00C80B8F" w:rsidP="00C928F3">
      <w:pPr>
        <w:pStyle w:val="FootnoteText"/>
      </w:pPr>
      <w:r w:rsidRPr="001D4477">
        <w:rPr>
          <w:rStyle w:val="FootnoteReference"/>
        </w:rPr>
        <w:footnoteRef/>
      </w:r>
      <w:r w:rsidRPr="001D4477">
        <w:t xml:space="preserve"> </w:t>
      </w:r>
      <w:hyperlink r:id="rId45" w:history="1">
        <w:r w:rsidRPr="002A5CC3">
          <w:rPr>
            <w:rStyle w:val="Hyperlink"/>
          </w:rPr>
          <w:t>http://polsis.mk.gov.lv/documents/6043</w:t>
        </w:r>
      </w:hyperlink>
      <w:r>
        <w:t xml:space="preserve"> </w:t>
      </w:r>
    </w:p>
  </w:footnote>
  <w:footnote w:id="110">
    <w:p w14:paraId="1D71CBD2" w14:textId="2426C168" w:rsidR="00C80B8F" w:rsidRPr="001D4477" w:rsidRDefault="00C80B8F" w:rsidP="00C928F3">
      <w:pPr>
        <w:pStyle w:val="FootnoteText"/>
      </w:pPr>
      <w:r w:rsidRPr="001D4477">
        <w:rPr>
          <w:rStyle w:val="FootnoteReference"/>
        </w:rPr>
        <w:footnoteRef/>
      </w:r>
      <w:r w:rsidRPr="001D4477">
        <w:t xml:space="preserve"> </w:t>
      </w:r>
      <w:hyperlink r:id="rId46" w:history="1">
        <w:r w:rsidRPr="001D4477">
          <w:rPr>
            <w:rStyle w:val="Hyperlink"/>
          </w:rPr>
          <w:t>https://eur-lex.europa.eu/legal-content/LV/TXT/?qid=1533109262415&amp;uri=CELEX:02010L0031-20180709</w:t>
        </w:r>
      </w:hyperlink>
      <w:r w:rsidRPr="001D4477">
        <w:t xml:space="preserve"> (grozīta ar </w:t>
      </w:r>
      <w:r w:rsidRPr="001D4477">
        <w:rPr>
          <w:color w:val="000000" w:themeColor="text1"/>
        </w:rPr>
        <w:t xml:space="preserve">Eiropas Parlamenta un Padomes 2018. gada 30. maija direktīvu Nr. 2018/844, ar ko groza Direktīvu 2010/31/ES par ēku energoefektivitāti un Direktīvu 2012/27/ES par energoefektivitāti un </w:t>
      </w:r>
      <w:r w:rsidRPr="0050180E">
        <w:rPr>
          <w:rFonts w:eastAsia="Calibri"/>
        </w:rPr>
        <w:t xml:space="preserve">EnS pārvaldības regulas </w:t>
      </w:r>
      <w:r>
        <w:rPr>
          <w:rFonts w:eastAsia="Calibri"/>
        </w:rPr>
        <w:t>priekšlikumu</w:t>
      </w:r>
      <w:r w:rsidRPr="001D4477">
        <w:rPr>
          <w:color w:val="000000" w:themeColor="text1"/>
        </w:rPr>
        <w:t>)</w:t>
      </w:r>
    </w:p>
  </w:footnote>
  <w:footnote w:id="111">
    <w:p w14:paraId="1FB5FBF7" w14:textId="27094D89" w:rsidR="00C80B8F" w:rsidRPr="001D4477" w:rsidRDefault="00C80B8F" w:rsidP="00C928F3">
      <w:pPr>
        <w:pStyle w:val="FootnoteText"/>
      </w:pPr>
      <w:r w:rsidRPr="001D4477">
        <w:rPr>
          <w:rStyle w:val="FootnoteReference"/>
        </w:rPr>
        <w:footnoteRef/>
      </w:r>
      <w:r w:rsidRPr="001D4477">
        <w:t xml:space="preserve"> </w:t>
      </w:r>
      <w:hyperlink r:id="rId47" w:history="1">
        <w:r w:rsidRPr="001D4477">
          <w:rPr>
            <w:rStyle w:val="Hyperlink"/>
          </w:rPr>
          <w:t>https://eur-lex.europa.eu/legal-content/LV/TXT/?qid=1533109262415&amp;uri=CELEX:02010L0031-20180709</w:t>
        </w:r>
      </w:hyperlink>
      <w:r w:rsidRPr="001D4477">
        <w:t xml:space="preserve"> (grozīta ar </w:t>
      </w:r>
      <w:r w:rsidRPr="001D4477">
        <w:rPr>
          <w:color w:val="000000" w:themeColor="text1"/>
        </w:rPr>
        <w:t xml:space="preserve">Eiropas Parlamenta un Padomes 2018. gada 30. maija direktīvu Nr. 2018/844, ar ko groza Direktīvu 2010/31/ES par ēku energoefektivitāti un Direktīvu 2012/27/ES par energoefektivitāti un </w:t>
      </w:r>
      <w:r w:rsidRPr="0050180E">
        <w:rPr>
          <w:rFonts w:eastAsia="Calibri"/>
        </w:rPr>
        <w:t xml:space="preserve">EnS pārvaldības regulas </w:t>
      </w:r>
      <w:r>
        <w:rPr>
          <w:rFonts w:eastAsia="Calibri"/>
        </w:rPr>
        <w:t>priekšlikumu</w:t>
      </w:r>
      <w:r w:rsidRPr="001D4477">
        <w:rPr>
          <w:color w:val="000000" w:themeColor="text1"/>
        </w:rPr>
        <w:t>)</w:t>
      </w:r>
    </w:p>
  </w:footnote>
  <w:footnote w:id="112">
    <w:p w14:paraId="7FCA1CFE" w14:textId="21853FD7" w:rsidR="00C80B8F" w:rsidRDefault="00C80B8F">
      <w:pPr>
        <w:pStyle w:val="FootnoteText"/>
      </w:pPr>
      <w:r>
        <w:rPr>
          <w:rStyle w:val="FootnoteReference"/>
        </w:rPr>
        <w:footnoteRef/>
      </w:r>
      <w:r>
        <w:t xml:space="preserve"> </w:t>
      </w:r>
      <w:hyperlink r:id="rId48" w:history="1">
        <w:r w:rsidRPr="00905803">
          <w:rPr>
            <w:rStyle w:val="Hyperlink"/>
          </w:rPr>
          <w:t>http://www.ast.lv/sites/default/files/editor/Gada_parsk_2017_parakstits_Final_print_arvaku_.pdf</w:t>
        </w:r>
      </w:hyperlink>
      <w:r>
        <w:t xml:space="preserve"> </w:t>
      </w:r>
    </w:p>
  </w:footnote>
  <w:footnote w:id="113">
    <w:p w14:paraId="610F10B0" w14:textId="51A5FF2B" w:rsidR="00C80B8F" w:rsidRDefault="00C80B8F">
      <w:pPr>
        <w:pStyle w:val="FootnoteText"/>
      </w:pPr>
      <w:r>
        <w:rPr>
          <w:rStyle w:val="FootnoteReference"/>
        </w:rPr>
        <w:footnoteRef/>
      </w:r>
      <w:r>
        <w:t xml:space="preserve"> </w:t>
      </w:r>
      <w:r w:rsidRPr="008E4C90">
        <w:t>http://www.conexus.lv/uploads/filedir/parvades_operatora_zinojums_2018.pdf</w:t>
      </w:r>
    </w:p>
  </w:footnote>
  <w:footnote w:id="114">
    <w:p w14:paraId="76DF0A5E" w14:textId="77777777" w:rsidR="00C80B8F" w:rsidRDefault="00C80B8F" w:rsidP="006D1920">
      <w:pPr>
        <w:pStyle w:val="FootnoteText"/>
      </w:pPr>
      <w:r>
        <w:rPr>
          <w:rStyle w:val="FootnoteReference"/>
        </w:rPr>
        <w:footnoteRef/>
      </w:r>
      <w:r>
        <w:t xml:space="preserve"> </w:t>
      </w:r>
      <w:hyperlink r:id="rId49" w:history="1">
        <w:r w:rsidRPr="00DF1D1C">
          <w:rPr>
            <w:rStyle w:val="Hyperlink"/>
          </w:rPr>
          <w:t>https://www.em.gov.lv/lv/nozares_politika/valsts_petijumu_programma__energetika_/</w:t>
        </w:r>
      </w:hyperlink>
      <w:r>
        <w:t xml:space="preserve"> </w:t>
      </w:r>
    </w:p>
  </w:footnote>
  <w:footnote w:id="115">
    <w:p w14:paraId="3624AB65" w14:textId="59EB946B" w:rsidR="00C80B8F" w:rsidRPr="001C4002" w:rsidRDefault="00C80B8F">
      <w:pPr>
        <w:pStyle w:val="FootnoteText"/>
      </w:pPr>
      <w:r w:rsidRPr="001C4002">
        <w:rPr>
          <w:rStyle w:val="FootnoteReference"/>
        </w:rPr>
        <w:footnoteRef/>
      </w:r>
      <w:r w:rsidRPr="001C4002">
        <w:t xml:space="preserve"> </w:t>
      </w:r>
      <w:hyperlink r:id="rId50" w:history="1">
        <w:r w:rsidRPr="001C4002">
          <w:rPr>
            <w:rStyle w:val="Hyperlink"/>
          </w:rPr>
          <w:t>http://polsis.mk.gov.lv/documents/3323</w:t>
        </w:r>
      </w:hyperlink>
      <w:r w:rsidRPr="001C4002">
        <w:t xml:space="preserve"> </w:t>
      </w:r>
    </w:p>
  </w:footnote>
  <w:footnote w:id="116">
    <w:p w14:paraId="2B44BB49" w14:textId="0B8ABEFD" w:rsidR="00C80B8F" w:rsidRPr="001C4002" w:rsidRDefault="00C80B8F" w:rsidP="00C928F3">
      <w:pPr>
        <w:pStyle w:val="FootnoteText"/>
      </w:pPr>
      <w:r w:rsidRPr="001C4002">
        <w:rPr>
          <w:rStyle w:val="FootnoteReference"/>
        </w:rPr>
        <w:footnoteRef/>
      </w:r>
      <w:r w:rsidRPr="001C4002">
        <w:t xml:space="preserve"> </w:t>
      </w:r>
      <w:hyperlink r:id="rId51" w:history="1">
        <w:r w:rsidRPr="001C4002">
          <w:rPr>
            <w:rStyle w:val="Hyperlink"/>
          </w:rPr>
          <w:t>http://polsis.mk.gov.lv/documents/4294</w:t>
        </w:r>
      </w:hyperlink>
      <w:r w:rsidRPr="001C4002">
        <w:t xml:space="preserve"> </w:t>
      </w:r>
    </w:p>
  </w:footnote>
  <w:footnote w:id="117">
    <w:p w14:paraId="08F5EC16" w14:textId="77777777" w:rsidR="00C80B8F" w:rsidRPr="001C4002" w:rsidRDefault="00C80B8F" w:rsidP="005F1283">
      <w:pPr>
        <w:pStyle w:val="FootnoteText"/>
      </w:pPr>
      <w:r w:rsidRPr="001C4002">
        <w:rPr>
          <w:rStyle w:val="FootnoteReference"/>
        </w:rPr>
        <w:footnoteRef/>
      </w:r>
      <w:r w:rsidRPr="001C4002">
        <w:t xml:space="preserve"> </w:t>
      </w:r>
      <w:hyperlink r:id="rId52" w:history="1">
        <w:r w:rsidRPr="001C4002">
          <w:rPr>
            <w:rStyle w:val="Hyperlink"/>
          </w:rPr>
          <w:t>http://tap.mk.gov.lv/lv/mk/tap/?pid=40334802&amp;mode=mk&amp;date=2014-10-21</w:t>
        </w:r>
      </w:hyperlink>
      <w:r w:rsidRPr="001C4002">
        <w:t xml:space="preserve"> </w:t>
      </w:r>
    </w:p>
  </w:footnote>
  <w:footnote w:id="118">
    <w:p w14:paraId="05AB5CCF" w14:textId="17A2DED5" w:rsidR="00C80B8F" w:rsidRPr="001C4002" w:rsidRDefault="00C80B8F">
      <w:pPr>
        <w:pStyle w:val="FootnoteText"/>
      </w:pPr>
      <w:r w:rsidRPr="001C4002">
        <w:rPr>
          <w:rStyle w:val="FootnoteReference"/>
        </w:rPr>
        <w:footnoteRef/>
      </w:r>
      <w:r w:rsidRPr="001C4002">
        <w:t xml:space="preserve"> </w:t>
      </w:r>
      <w:hyperlink r:id="rId53" w:history="1">
        <w:r w:rsidRPr="001C4002">
          <w:rPr>
            <w:rStyle w:val="Hyperlink"/>
          </w:rPr>
          <w:t>http://polsis.mk.gov.lv/documents/4608</w:t>
        </w:r>
      </w:hyperlink>
      <w:r w:rsidRPr="001C4002">
        <w:t xml:space="preserve"> </w:t>
      </w:r>
    </w:p>
  </w:footnote>
  <w:footnote w:id="119">
    <w:p w14:paraId="55D12FE0" w14:textId="77777777" w:rsidR="00C80B8F" w:rsidRPr="000945B1" w:rsidRDefault="00C80B8F" w:rsidP="00C94F42">
      <w:pPr>
        <w:pStyle w:val="FootnoteText"/>
        <w:rPr>
          <w:lang w:val="en-US"/>
        </w:rPr>
      </w:pPr>
      <w:r>
        <w:rPr>
          <w:rStyle w:val="FootnoteReference"/>
        </w:rPr>
        <w:footnoteRef/>
      </w:r>
      <w:r>
        <w:t xml:space="preserve"> Nacionālās industriālās politikas pamatnostādnes 2014.-2020.gadam</w:t>
      </w:r>
    </w:p>
  </w:footnote>
  <w:footnote w:id="120">
    <w:p w14:paraId="551B3A63" w14:textId="77777777" w:rsidR="00C80B8F" w:rsidRDefault="00C80B8F" w:rsidP="00C47762">
      <w:pPr>
        <w:pStyle w:val="FootnoteText"/>
      </w:pPr>
      <w:r>
        <w:rPr>
          <w:rStyle w:val="FootnoteReference"/>
        </w:rPr>
        <w:footnoteRef/>
      </w:r>
      <w:r>
        <w:t xml:space="preserve"> Valsts administrācijas skola</w:t>
      </w:r>
    </w:p>
  </w:footnote>
  <w:footnote w:id="121">
    <w:p w14:paraId="0E029957" w14:textId="77777777" w:rsidR="00C80B8F" w:rsidRPr="001C4002" w:rsidRDefault="00C80B8F" w:rsidP="00A45919">
      <w:pPr>
        <w:pStyle w:val="FootnoteText"/>
      </w:pPr>
      <w:r w:rsidRPr="001C4002">
        <w:rPr>
          <w:rStyle w:val="FootnoteReference"/>
        </w:rPr>
        <w:footnoteRef/>
      </w:r>
      <w:r w:rsidRPr="001C4002">
        <w:t xml:space="preserve"> </w:t>
      </w:r>
      <w:hyperlink r:id="rId54" w:history="1">
        <w:r w:rsidRPr="001C4002">
          <w:rPr>
            <w:rStyle w:val="Hyperlink"/>
          </w:rPr>
          <w:t>http://polsis.mk.gov.lv/documents/3323</w:t>
        </w:r>
      </w:hyperlink>
      <w:r w:rsidRPr="001C4002">
        <w:t xml:space="preserve"> </w:t>
      </w:r>
    </w:p>
  </w:footnote>
  <w:footnote w:id="122">
    <w:p w14:paraId="2A6F903B" w14:textId="0F17C0DC" w:rsidR="00C80B8F" w:rsidRDefault="00C80B8F">
      <w:pPr>
        <w:pStyle w:val="FootnoteText"/>
      </w:pPr>
      <w:r>
        <w:rPr>
          <w:rStyle w:val="FootnoteReference"/>
        </w:rPr>
        <w:footnoteRef/>
      </w:r>
      <w:r>
        <w:t xml:space="preserve"> vai 2023.gada, jo daudziem ES fondu atbalsta programmu ietvaros īstenotajiem pasākumiem, kā īstenošanas termiņš ir norādīts 2023.gads</w:t>
      </w:r>
    </w:p>
  </w:footnote>
  <w:footnote w:id="123">
    <w:p w14:paraId="35B501F1" w14:textId="49F6CCA4" w:rsidR="00C80B8F" w:rsidRPr="00127D38" w:rsidRDefault="00C80B8F" w:rsidP="00FC36C8">
      <w:pPr>
        <w:pStyle w:val="CommentText"/>
        <w:spacing w:after="0"/>
        <w:rPr>
          <w:rFonts w:ascii="Times New Roman" w:hAnsi="Times New Roman" w:cs="Times New Roman"/>
          <w:sz w:val="18"/>
          <w:szCs w:val="18"/>
        </w:rPr>
      </w:pPr>
      <w:r w:rsidRPr="00127D38">
        <w:rPr>
          <w:rStyle w:val="FootnoteReference"/>
          <w:rFonts w:ascii="Times New Roman" w:hAnsi="Times New Roman" w:cs="Times New Roman"/>
          <w:sz w:val="18"/>
          <w:szCs w:val="18"/>
        </w:rPr>
        <w:footnoteRef/>
      </w:r>
      <w:r w:rsidRPr="00127D38">
        <w:rPr>
          <w:rFonts w:ascii="Times New Roman" w:hAnsi="Times New Roman" w:cs="Times New Roman"/>
          <w:sz w:val="18"/>
          <w:szCs w:val="18"/>
        </w:rPr>
        <w:t xml:space="preserve"> https://www.salaspilssiltums.lv/lv/jaunumi/527-sia-salaspils-siltums-veiksm%C4%ABgi-turpina-projekta-nr-4-3-1-0-17-a-061-%C4%ABsteno%C5%A1anu.html</w:t>
      </w:r>
    </w:p>
  </w:footnote>
  <w:footnote w:id="124">
    <w:p w14:paraId="5CC0EB1E" w14:textId="5A0E52BB" w:rsidR="00C80B8F" w:rsidRDefault="00C80B8F">
      <w:pPr>
        <w:pStyle w:val="FootnoteText"/>
      </w:pPr>
      <w:r>
        <w:rPr>
          <w:rStyle w:val="FootnoteReference"/>
        </w:rPr>
        <w:footnoteRef/>
      </w:r>
      <w:r>
        <w:t xml:space="preserve"> </w:t>
      </w:r>
      <w:hyperlink r:id="rId55" w:history="1">
        <w:r w:rsidRPr="00905803">
          <w:rPr>
            <w:rStyle w:val="Hyperlink"/>
          </w:rPr>
          <w:t>http://www.vvd.gov.lv/filedownload?tabula=Document&amp;id=122216&amp;filename=EMISIJA-2017.7z</w:t>
        </w:r>
      </w:hyperlink>
      <w:r>
        <w:t xml:space="preserve"> </w:t>
      </w:r>
    </w:p>
  </w:footnote>
  <w:footnote w:id="125">
    <w:p w14:paraId="67CB0598" w14:textId="132D7EEB" w:rsidR="00C80B8F" w:rsidRDefault="00C80B8F">
      <w:pPr>
        <w:pStyle w:val="FootnoteText"/>
      </w:pPr>
      <w:r>
        <w:rPr>
          <w:rStyle w:val="FootnoteReference"/>
        </w:rPr>
        <w:footnoteRef/>
      </w:r>
      <w:r>
        <w:t xml:space="preserve"> </w:t>
      </w:r>
      <w:hyperlink r:id="rId56" w:history="1">
        <w:r w:rsidRPr="00905803">
          <w:rPr>
            <w:rStyle w:val="Hyperlink"/>
          </w:rPr>
          <w:t>https://www.ipcc-nggip.iges.or.jp/public/2006gl/</w:t>
        </w:r>
      </w:hyperlink>
      <w:r>
        <w:t xml:space="preserve"> </w:t>
      </w:r>
    </w:p>
  </w:footnote>
  <w:footnote w:id="126">
    <w:p w14:paraId="7AA71BB7" w14:textId="155F7D02" w:rsidR="00C80B8F" w:rsidRDefault="00C80B8F">
      <w:pPr>
        <w:pStyle w:val="FootnoteText"/>
      </w:pPr>
      <w:r>
        <w:rPr>
          <w:rStyle w:val="FootnoteReference"/>
        </w:rPr>
        <w:footnoteRef/>
      </w:r>
      <w:r>
        <w:t xml:space="preserve"> </w:t>
      </w:r>
      <w:r>
        <w:rPr>
          <w:rFonts w:eastAsia="Calibri"/>
          <w:szCs w:val="24"/>
        </w:rPr>
        <w:t>Direktīva 2003/87/EK</w:t>
      </w:r>
    </w:p>
  </w:footnote>
  <w:footnote w:id="127">
    <w:p w14:paraId="0F3EB540" w14:textId="0BD8CA9D" w:rsidR="00C80B8F" w:rsidRPr="00A266CC" w:rsidRDefault="00C80B8F" w:rsidP="00A266CC">
      <w:pPr>
        <w:pStyle w:val="FootnoteText"/>
      </w:pPr>
      <w:r w:rsidRPr="00A266CC">
        <w:rPr>
          <w:rStyle w:val="FootnoteReference"/>
        </w:rPr>
        <w:footnoteRef/>
      </w:r>
      <w:r w:rsidRPr="00A266CC">
        <w:t xml:space="preserve"> </w:t>
      </w:r>
      <w:hyperlink r:id="rId57" w:history="1">
        <w:r w:rsidRPr="00A266CC">
          <w:rPr>
            <w:rStyle w:val="Hyperlink"/>
            <w:color w:val="auto"/>
          </w:rPr>
          <w:t>https://likumi.lv/ta/id/291867-prasibas-zalajam-publiskajam-iepirkumam-un-to-piemerosanas-kartiba</w:t>
        </w:r>
      </w:hyperlink>
    </w:p>
  </w:footnote>
  <w:footnote w:id="128">
    <w:p w14:paraId="315E0F6D" w14:textId="31AD492F" w:rsidR="00C80B8F" w:rsidRPr="00A266CC" w:rsidRDefault="00C80B8F" w:rsidP="00A266CC">
      <w:pPr>
        <w:pStyle w:val="FootnoteText"/>
      </w:pPr>
      <w:r w:rsidRPr="00A266CC">
        <w:rPr>
          <w:rStyle w:val="FootnoteReference"/>
        </w:rPr>
        <w:footnoteRef/>
      </w:r>
      <w:r w:rsidRPr="00A266CC">
        <w:t xml:space="preserve"> </w:t>
      </w:r>
      <w:hyperlink r:id="rId58" w:history="1">
        <w:r w:rsidRPr="00A266CC">
          <w:rPr>
            <w:rStyle w:val="Hyperlink"/>
            <w:color w:val="auto"/>
          </w:rPr>
          <w:t>http://www.varam.gov.lv/lat/darbibas_veidi/zalais_publiskais_iepirkums/?doc=22769</w:t>
        </w:r>
      </w:hyperlink>
    </w:p>
  </w:footnote>
  <w:footnote w:id="129">
    <w:p w14:paraId="291F4013" w14:textId="77777777" w:rsidR="00C80B8F" w:rsidRDefault="00C80B8F" w:rsidP="0032087A">
      <w:pPr>
        <w:pStyle w:val="FootnoteText"/>
      </w:pPr>
      <w:r>
        <w:rPr>
          <w:rStyle w:val="FootnoteReference"/>
        </w:rPr>
        <w:footnoteRef/>
      </w:r>
      <w:r>
        <w:t xml:space="preserve"> Ministru kabineta 2017.gada 21.jūlija rīkojums Nr.379 “Par konceptuālo ziņojumu  “Par atjaunojamo energoresursu izmantošanu transporta sektorā””</w:t>
      </w:r>
    </w:p>
  </w:footnote>
  <w:footnote w:id="130">
    <w:p w14:paraId="73974C17" w14:textId="77777777" w:rsidR="00C80B8F" w:rsidRPr="00692079" w:rsidRDefault="00C80B8F" w:rsidP="00692079">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CSA sistēmas sākotnējais novērtējums, kurā ietverti iepriekš īstenoto programmu sasniegtie rādītāji un piesaistītais finansējums, kā arī programmas regulējošie MK noteikumi un projektu iesniegumu vērtēšanas kritēriji:</w:t>
      </w:r>
    </w:p>
    <w:p w14:paraId="0E4EFA8E" w14:textId="77777777" w:rsidR="00C80B8F" w:rsidRPr="00692079" w:rsidRDefault="00C80B8F" w:rsidP="00692079">
      <w:pPr>
        <w:spacing w:after="0" w:line="240" w:lineRule="auto"/>
        <w:jc w:val="both"/>
        <w:rPr>
          <w:rFonts w:ascii="Times New Roman" w:hAnsi="Times New Roman" w:cs="Times New Roman"/>
          <w:sz w:val="18"/>
          <w:szCs w:val="18"/>
        </w:rPr>
      </w:pPr>
      <w:hyperlink r:id="rId59" w:history="1">
        <w:r w:rsidRPr="00692079">
          <w:rPr>
            <w:rStyle w:val="Hyperlink"/>
            <w:rFonts w:ascii="Times New Roman" w:hAnsi="Times New Roman" w:cs="Times New Roman"/>
            <w:sz w:val="18"/>
            <w:szCs w:val="18"/>
          </w:rPr>
          <w:t>https://em.gov.lv/lv/es_fondi/atbalsta_pasakumi_2014_2020/veicinat_energoefektivitati_un_vietejo_aer_izmantosanu_centralizetaja_siltumapgade/</w:t>
        </w:r>
      </w:hyperlink>
    </w:p>
    <w:p w14:paraId="5E118708" w14:textId="245D9642" w:rsidR="00C80B8F" w:rsidRPr="00692079" w:rsidRDefault="00C80B8F" w:rsidP="00692079">
      <w:pPr>
        <w:spacing w:after="0" w:line="240" w:lineRule="auto"/>
        <w:jc w:val="both"/>
        <w:rPr>
          <w:rFonts w:ascii="Times New Roman" w:hAnsi="Times New Roman" w:cs="Times New Roman"/>
          <w:sz w:val="18"/>
          <w:szCs w:val="18"/>
        </w:rPr>
      </w:pPr>
      <w:hyperlink r:id="rId60" w:history="1">
        <w:r w:rsidRPr="00692079">
          <w:rPr>
            <w:rStyle w:val="Hyperlink"/>
            <w:rFonts w:ascii="Times New Roman" w:hAnsi="Times New Roman" w:cs="Times New Roman"/>
            <w:sz w:val="18"/>
            <w:szCs w:val="18"/>
          </w:rPr>
          <w:t>https://em.gov.lv/lv/es_fondi/atbalsta_pasakumi_2014_2020/veicinat_energoefektivitati_un_vietejo_aer_izmantosanu_centralizetaja_siltumapgade__ii_karta_</w:t>
        </w:r>
      </w:hyperlink>
    </w:p>
  </w:footnote>
  <w:footnote w:id="131">
    <w:p w14:paraId="3B617D02" w14:textId="77777777" w:rsidR="00C80B8F" w:rsidRDefault="00C80B8F" w:rsidP="00E72CD9">
      <w:pPr>
        <w:pStyle w:val="FootnoteText"/>
      </w:pPr>
      <w:r>
        <w:rPr>
          <w:rStyle w:val="FootnoteReference"/>
        </w:rPr>
        <w:footnoteRef/>
      </w:r>
      <w:r>
        <w:t xml:space="preserve"> </w:t>
      </w:r>
      <w:hyperlink r:id="rId61" w:history="1">
        <w:r w:rsidRPr="00DF1D1C">
          <w:rPr>
            <w:rStyle w:val="Hyperlink"/>
          </w:rPr>
          <w:t>https://www.em.gov.lv/lv/nozares_politika/valsts_petijumu_programma__energetika_/</w:t>
        </w:r>
      </w:hyperlink>
      <w:r>
        <w:t xml:space="preserve"> </w:t>
      </w:r>
    </w:p>
  </w:footnote>
  <w:footnote w:id="132">
    <w:p w14:paraId="515F2CC1" w14:textId="77777777" w:rsidR="00C80B8F" w:rsidRPr="00DF7D60" w:rsidRDefault="00C80B8F" w:rsidP="009E7201">
      <w:pPr>
        <w:spacing w:after="0" w:line="240" w:lineRule="auto"/>
        <w:jc w:val="both"/>
        <w:rPr>
          <w:rFonts w:ascii="Times New Roman" w:hAnsi="Times New Roman" w:cs="Times New Roman"/>
          <w:sz w:val="18"/>
          <w:szCs w:val="18"/>
        </w:rPr>
      </w:pPr>
      <w:r w:rsidRPr="00DF7D60">
        <w:rPr>
          <w:rStyle w:val="FootnoteReference"/>
          <w:rFonts w:ascii="Times New Roman" w:hAnsi="Times New Roman" w:cs="Times New Roman"/>
          <w:sz w:val="18"/>
          <w:szCs w:val="18"/>
        </w:rPr>
        <w:footnoteRef/>
      </w:r>
      <w:r w:rsidRPr="00DF7D60">
        <w:rPr>
          <w:rFonts w:ascii="Times New Roman" w:hAnsi="Times New Roman" w:cs="Times New Roman"/>
          <w:sz w:val="18"/>
          <w:szCs w:val="18"/>
        </w:rPr>
        <w:t xml:space="preserve"> Visa ar programmu saistītā informācija, t.sk., sākotnējais novērtējums, kas saskaņots ar </w:t>
      </w:r>
      <w:r>
        <w:rPr>
          <w:rFonts w:ascii="Times New Roman" w:hAnsi="Times New Roman" w:cs="Times New Roman"/>
          <w:sz w:val="18"/>
          <w:szCs w:val="18"/>
        </w:rPr>
        <w:t>EK</w:t>
      </w:r>
      <w:r w:rsidRPr="00DF7D60">
        <w:rPr>
          <w:rFonts w:ascii="Times New Roman" w:hAnsi="Times New Roman" w:cs="Times New Roman"/>
          <w:sz w:val="18"/>
          <w:szCs w:val="18"/>
        </w:rPr>
        <w:t>, programmu regulējošie MK noteikumi un projektu iesniegumu vērtēšanas kritēriji pieejami Ekonomikas ministrijas tīmekļvietnē:</w:t>
      </w:r>
    </w:p>
    <w:p w14:paraId="4B44B763" w14:textId="77777777" w:rsidR="00C80B8F" w:rsidRPr="00DF7D60" w:rsidRDefault="00C80B8F" w:rsidP="009E7201">
      <w:pPr>
        <w:spacing w:after="0" w:line="240" w:lineRule="auto"/>
        <w:jc w:val="both"/>
        <w:rPr>
          <w:rFonts w:ascii="Times New Roman" w:hAnsi="Times New Roman" w:cs="Times New Roman"/>
          <w:sz w:val="18"/>
          <w:szCs w:val="18"/>
        </w:rPr>
      </w:pPr>
      <w:hyperlink r:id="rId62" w:history="1">
        <w:r w:rsidRPr="00DF7D60">
          <w:rPr>
            <w:rStyle w:val="Hyperlink"/>
            <w:rFonts w:ascii="Times New Roman" w:hAnsi="Times New Roman" w:cs="Times New Roman"/>
            <w:sz w:val="18"/>
            <w:szCs w:val="18"/>
          </w:rPr>
          <w:t>https://em.gov.lv/lv/es_fondi/atbalsta_pasakumi_2014_2020/veicinat_efektivu_energoresursu_izmantosanu__energijas_paterina_samazinasanu_un_pareju_uz_aer_apstrades_rupniecibas_nozare/</w:t>
        </w:r>
      </w:hyperlink>
    </w:p>
    <w:p w14:paraId="263C318D" w14:textId="77777777" w:rsidR="00C80B8F" w:rsidRDefault="00C80B8F" w:rsidP="009E7201">
      <w:pPr>
        <w:spacing w:after="0" w:line="240" w:lineRule="auto"/>
        <w:jc w:val="both"/>
      </w:pPr>
      <w:hyperlink r:id="rId63" w:history="1">
        <w:r w:rsidRPr="00DF7D60">
          <w:rPr>
            <w:rStyle w:val="Hyperlink"/>
            <w:rFonts w:ascii="Times New Roman" w:hAnsi="Times New Roman" w:cs="Times New Roman"/>
            <w:sz w:val="18"/>
            <w:szCs w:val="18"/>
          </w:rPr>
          <w:t>https://www.em.gov.lv/lv/es_fondi/atbalsta_pasakumi_2014_2020/veicinat_efektivu_energoresursu_izmantosanu__energijas_paterina_samazinasanu_un_pareju_uz_aer_apstrades_rupniecibas_nozare__ii_karta_/</w:t>
        </w:r>
      </w:hyperlink>
    </w:p>
  </w:footnote>
  <w:footnote w:id="133">
    <w:p w14:paraId="6E45A6DE" w14:textId="77777777" w:rsidR="00C80B8F" w:rsidRDefault="00C80B8F" w:rsidP="009E7201">
      <w:pPr>
        <w:pStyle w:val="FootnoteText"/>
      </w:pPr>
      <w:r>
        <w:rPr>
          <w:rStyle w:val="FootnoteReference"/>
        </w:rPr>
        <w:footnoteRef/>
      </w:r>
      <w:r>
        <w:t xml:space="preserve"> </w:t>
      </w:r>
      <w:hyperlink r:id="rId64" w:history="1">
        <w:r w:rsidRPr="00F97E2D">
          <w:rPr>
            <w:rStyle w:val="Hyperlink"/>
          </w:rPr>
          <w:t>https://www.cfla.gov.lv/CFLA2/item.php?itemID=40</w:t>
        </w:r>
      </w:hyperlink>
      <w:r>
        <w:t xml:space="preserve"> </w:t>
      </w:r>
    </w:p>
  </w:footnote>
  <w:footnote w:id="134">
    <w:p w14:paraId="4795F14F" w14:textId="77777777" w:rsidR="00C80B8F" w:rsidRDefault="00C80B8F" w:rsidP="00C75E91">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sākotnējais novērtējums, regulējošie MK noteikumi, projektu iesniegumu vērtēšanas kritēriji pieejami EM tīmekļvietnē:</w:t>
      </w:r>
    </w:p>
    <w:p w14:paraId="5E574927" w14:textId="77777777" w:rsidR="00C80B8F" w:rsidRPr="00692079" w:rsidRDefault="00C80B8F" w:rsidP="00C75E91">
      <w:pPr>
        <w:spacing w:after="0" w:line="240" w:lineRule="auto"/>
        <w:jc w:val="both"/>
        <w:rPr>
          <w:rFonts w:ascii="Times New Roman" w:hAnsi="Times New Roman" w:cs="Times New Roman"/>
          <w:sz w:val="18"/>
          <w:szCs w:val="18"/>
        </w:rPr>
      </w:pPr>
      <w:hyperlink r:id="rId65" w:history="1">
        <w:r w:rsidRPr="00692079">
          <w:rPr>
            <w:rStyle w:val="Hyperlink"/>
            <w:rFonts w:ascii="Times New Roman" w:hAnsi="Times New Roman" w:cs="Times New Roman"/>
            <w:sz w:val="18"/>
            <w:szCs w:val="18"/>
          </w:rPr>
          <w:t>https://em.gov.lv/lv/es_fondi/atbalsta_pasakumi_2014_2020/veicinat_energoefektivitates_paaugstinasanu_valsts_ekas</w:t>
        </w:r>
      </w:hyperlink>
      <w:r w:rsidRPr="00692079">
        <w:rPr>
          <w:rFonts w:ascii="Times New Roman" w:hAnsi="Times New Roman" w:cs="Times New Roman"/>
          <w:sz w:val="18"/>
          <w:szCs w:val="18"/>
        </w:rPr>
        <w:t xml:space="preserve">; </w:t>
      </w:r>
    </w:p>
    <w:p w14:paraId="559E34C2" w14:textId="77777777" w:rsidR="00C80B8F" w:rsidRPr="006A3D6D" w:rsidRDefault="00C80B8F" w:rsidP="00C75E91">
      <w:pPr>
        <w:pStyle w:val="FootnoteText"/>
        <w:jc w:val="both"/>
      </w:pPr>
      <w:hyperlink r:id="rId66" w:history="1">
        <w:r w:rsidRPr="00692079">
          <w:rPr>
            <w:rStyle w:val="Hyperlink"/>
          </w:rPr>
          <w:t>https://em.gov.lv/lv/es_fondi/atbalsta_pasakumi_2014_2020/veicinat_energoefektivitates_paaugstinasanu_valsts_ekas__ii_karta_/</w:t>
        </w:r>
      </w:hyperlink>
    </w:p>
  </w:footnote>
  <w:footnote w:id="135">
    <w:p w14:paraId="5BCBB2CD" w14:textId="77777777" w:rsidR="00C80B8F" w:rsidRPr="006A3D6D" w:rsidRDefault="00C80B8F" w:rsidP="00C75E91">
      <w:pPr>
        <w:spacing w:after="0" w:line="240" w:lineRule="auto"/>
        <w:jc w:val="both"/>
        <w:rPr>
          <w:rFonts w:ascii="Times New Roman" w:hAnsi="Times New Roman" w:cs="Times New Roman"/>
          <w:sz w:val="18"/>
          <w:szCs w:val="18"/>
        </w:rPr>
      </w:pPr>
      <w:r w:rsidRPr="006A3D6D">
        <w:rPr>
          <w:rStyle w:val="FootnoteReference"/>
          <w:rFonts w:ascii="Times New Roman" w:hAnsi="Times New Roman" w:cs="Times New Roman"/>
          <w:sz w:val="18"/>
          <w:szCs w:val="18"/>
        </w:rPr>
        <w:footnoteRef/>
      </w:r>
      <w:r w:rsidRPr="006A3D6D">
        <w:rPr>
          <w:rFonts w:ascii="Times New Roman" w:hAnsi="Times New Roman" w:cs="Times New Roman"/>
          <w:sz w:val="18"/>
          <w:szCs w:val="18"/>
        </w:rPr>
        <w:t xml:space="preserve"> Visa ar programmu saistītā informācija, t.sk., Ex-ante novērtējums, kas ir saskaņots ar </w:t>
      </w:r>
      <w:r>
        <w:rPr>
          <w:rFonts w:ascii="Times New Roman" w:hAnsi="Times New Roman" w:cs="Times New Roman"/>
          <w:sz w:val="18"/>
          <w:szCs w:val="18"/>
        </w:rPr>
        <w:t>EK</w:t>
      </w:r>
      <w:r w:rsidRPr="006A3D6D">
        <w:rPr>
          <w:rFonts w:ascii="Times New Roman" w:hAnsi="Times New Roman" w:cs="Times New Roman"/>
          <w:sz w:val="18"/>
          <w:szCs w:val="18"/>
        </w:rPr>
        <w:t>, regulējošie MK noteikumi, projektu iesniegumu vērtēšanas kritēriji pieejami EM tīmekļvietnē:</w:t>
      </w:r>
    </w:p>
    <w:p w14:paraId="30975530" w14:textId="77777777" w:rsidR="00C80B8F" w:rsidRDefault="00C80B8F" w:rsidP="00C75E91">
      <w:pPr>
        <w:spacing w:after="0" w:line="240" w:lineRule="auto"/>
        <w:jc w:val="both"/>
      </w:pPr>
      <w:hyperlink r:id="rId67" w:history="1">
        <w:r w:rsidRPr="006A3D6D">
          <w:rPr>
            <w:rStyle w:val="Hyperlink"/>
            <w:rFonts w:ascii="Times New Roman" w:hAnsi="Times New Roman" w:cs="Times New Roman"/>
            <w:sz w:val="18"/>
            <w:szCs w:val="18"/>
          </w:rPr>
          <w:t>https://em.gov.lv/lv/es_fondi/atbalsta_pasakumi_2014_2020/veicinat_energoefektivitates_paaugstinasanu_dzivojamas_ekas/</w:t>
        </w:r>
      </w:hyperlink>
    </w:p>
  </w:footnote>
  <w:footnote w:id="136">
    <w:p w14:paraId="0779BF0A" w14:textId="77777777" w:rsidR="00C80B8F" w:rsidRDefault="00C80B8F" w:rsidP="008E4C90">
      <w:pPr>
        <w:pStyle w:val="FootnoteText"/>
      </w:pPr>
      <w:r>
        <w:rPr>
          <w:rStyle w:val="FootnoteReference"/>
        </w:rPr>
        <w:footnoteRef/>
      </w:r>
      <w:r>
        <w:t xml:space="preserve"> </w:t>
      </w:r>
      <w:r w:rsidRPr="0081770D">
        <w:t>http://www.ast.lv/sites/default/files/editor/20181001_PSO_Zinojums_2017.pdf</w:t>
      </w:r>
    </w:p>
  </w:footnote>
  <w:footnote w:id="137">
    <w:p w14:paraId="52979662" w14:textId="21E35615" w:rsidR="00C80B8F" w:rsidRDefault="00C80B8F" w:rsidP="008E4C90">
      <w:pPr>
        <w:pStyle w:val="FootnoteText"/>
      </w:pPr>
      <w:r>
        <w:rPr>
          <w:rStyle w:val="FootnoteReference"/>
        </w:rPr>
        <w:footnoteRef/>
      </w:r>
      <w:r>
        <w:t xml:space="preserve"> </w:t>
      </w:r>
      <w:r w:rsidRPr="008E4C90">
        <w:t>http://www.conexus.lv/uploads/filedir/parvades_operatora_zinojums_2018.pdf</w:t>
      </w:r>
    </w:p>
  </w:footnote>
  <w:footnote w:id="138">
    <w:p w14:paraId="7D5BF6DD" w14:textId="77777777" w:rsidR="00C80B8F" w:rsidRDefault="00C80B8F" w:rsidP="002B2D62">
      <w:pPr>
        <w:pStyle w:val="FootnoteText"/>
      </w:pPr>
      <w:r>
        <w:rPr>
          <w:rStyle w:val="FootnoteReference"/>
        </w:rPr>
        <w:footnoteRef/>
      </w:r>
      <w:r>
        <w:t xml:space="preserve"> </w:t>
      </w:r>
      <w:hyperlink r:id="rId68" w:history="1">
        <w:r w:rsidRPr="00D3715B">
          <w:rPr>
            <w:rStyle w:val="Hyperlink"/>
          </w:rPr>
          <w:t>http://polsis.mk.gov.lv/documents/3323</w:t>
        </w:r>
      </w:hyperlink>
      <w:r>
        <w:t xml:space="preserve"> </w:t>
      </w:r>
    </w:p>
  </w:footnote>
  <w:footnote w:id="139">
    <w:p w14:paraId="03E5DAAD" w14:textId="46FDF859" w:rsidR="00C80B8F" w:rsidRDefault="00C80B8F">
      <w:pPr>
        <w:pStyle w:val="FootnoteText"/>
      </w:pPr>
      <w:r>
        <w:rPr>
          <w:rStyle w:val="FootnoteReference"/>
        </w:rPr>
        <w:footnoteRef/>
      </w:r>
      <w:r>
        <w:t xml:space="preserve"> </w:t>
      </w:r>
      <w:r w:rsidRPr="00550014">
        <w:t>https://www.cfla.gov.lv/userfiles/files/IZM_1111_140618.pdf</w:t>
      </w:r>
    </w:p>
  </w:footnote>
  <w:footnote w:id="140">
    <w:p w14:paraId="6D7DE7B3" w14:textId="6FCBB841" w:rsidR="00C80B8F" w:rsidRDefault="00C80B8F">
      <w:pPr>
        <w:pStyle w:val="FootnoteText"/>
      </w:pPr>
      <w:r>
        <w:rPr>
          <w:rStyle w:val="FootnoteReference"/>
        </w:rPr>
        <w:footnoteRef/>
      </w:r>
      <w:r>
        <w:t xml:space="preserve"> </w:t>
      </w:r>
      <w:hyperlink r:id="rId69" w:history="1">
        <w:r w:rsidRPr="004605D3">
          <w:rPr>
            <w:rStyle w:val="Hyperlink"/>
          </w:rPr>
          <w:t>http://www.viaa.gov.lv/lat/pecdoktoranturas_atbalsts/pecdoktorantura_apraksts/</w:t>
        </w:r>
      </w:hyperlink>
      <w:r>
        <w:t xml:space="preserve"> </w:t>
      </w:r>
    </w:p>
  </w:footnote>
  <w:footnote w:id="141">
    <w:p w14:paraId="0261A4EC" w14:textId="56D812B9" w:rsidR="00C80B8F" w:rsidRDefault="00C80B8F">
      <w:pPr>
        <w:pStyle w:val="FootnoteText"/>
      </w:pPr>
      <w:r>
        <w:rPr>
          <w:rStyle w:val="FootnoteReference"/>
        </w:rPr>
        <w:footnoteRef/>
      </w:r>
      <w:r>
        <w:t xml:space="preserve"> </w:t>
      </w:r>
      <w:hyperlink r:id="rId70" w:history="1">
        <w:r w:rsidRPr="004605D3">
          <w:rPr>
            <w:rStyle w:val="Hyperlink"/>
          </w:rPr>
          <w:t>http://www.izm.gov.lv/images/ES_fondi/prezentacijas/1113.pdf</w:t>
        </w:r>
      </w:hyperlink>
      <w:r>
        <w:t xml:space="preserve"> </w:t>
      </w:r>
    </w:p>
  </w:footnote>
  <w:footnote w:id="142">
    <w:p w14:paraId="4A60C5D7" w14:textId="54D7209A" w:rsidR="00C80B8F" w:rsidRDefault="00C80B8F">
      <w:pPr>
        <w:pStyle w:val="FootnoteText"/>
      </w:pPr>
      <w:r>
        <w:rPr>
          <w:rStyle w:val="FootnoteReference"/>
        </w:rPr>
        <w:footnoteRef/>
      </w:r>
      <w:r>
        <w:t xml:space="preserve"> </w:t>
      </w:r>
      <w:r w:rsidRPr="00FD3CEE">
        <w:t>http://www.viaa.gov.lv/lat/zinatnes_inovacijas_progr/eraf_projekts/par_eraf_projektu/</w:t>
      </w:r>
    </w:p>
  </w:footnote>
  <w:footnote w:id="143">
    <w:p w14:paraId="1485BD25" w14:textId="46C70FDD" w:rsidR="00C80B8F" w:rsidRDefault="00C80B8F">
      <w:pPr>
        <w:pStyle w:val="FootnoteText"/>
      </w:pPr>
      <w:r>
        <w:rPr>
          <w:rStyle w:val="FootnoteReference"/>
        </w:rPr>
        <w:footnoteRef/>
      </w:r>
      <w:r>
        <w:t xml:space="preserve"> </w:t>
      </w:r>
      <w:r w:rsidRPr="00FD3CEE">
        <w:t>http://ec.europa.eu/programmes/horizon2020/en/area/partnerships-industry-and-member-states</w:t>
      </w:r>
    </w:p>
  </w:footnote>
  <w:footnote w:id="144">
    <w:p w14:paraId="1D3D6D14" w14:textId="2C79A49D" w:rsidR="00C80B8F" w:rsidRDefault="00C80B8F">
      <w:pPr>
        <w:pStyle w:val="FootnoteText"/>
      </w:pPr>
      <w:r>
        <w:rPr>
          <w:rStyle w:val="FootnoteReference"/>
        </w:rPr>
        <w:footnoteRef/>
      </w:r>
      <w:r>
        <w:t xml:space="preserve"> </w:t>
      </w:r>
      <w:r w:rsidRPr="00FD3CEE">
        <w:t>https://europa.eu/european-union/about-eu/agencies/clean-sky2_lv</w:t>
      </w:r>
    </w:p>
  </w:footnote>
  <w:footnote w:id="145">
    <w:p w14:paraId="3513DA24" w14:textId="302DC4BF" w:rsidR="00C80B8F" w:rsidRDefault="00C80B8F">
      <w:pPr>
        <w:pStyle w:val="FootnoteText"/>
      </w:pPr>
      <w:r>
        <w:rPr>
          <w:rStyle w:val="FootnoteReference"/>
        </w:rPr>
        <w:footnoteRef/>
      </w:r>
      <w:r>
        <w:t xml:space="preserve"> </w:t>
      </w:r>
      <w:r w:rsidRPr="00FD3CEE">
        <w:t>https://www.fch.europa.eu/</w:t>
      </w:r>
    </w:p>
  </w:footnote>
  <w:footnote w:id="146">
    <w:p w14:paraId="4F634FE5" w14:textId="516C8A9C" w:rsidR="00C80B8F" w:rsidRDefault="00C80B8F">
      <w:pPr>
        <w:pStyle w:val="FootnoteText"/>
      </w:pPr>
      <w:r>
        <w:rPr>
          <w:rStyle w:val="FootnoteReference"/>
        </w:rPr>
        <w:footnoteRef/>
      </w:r>
      <w:r>
        <w:t xml:space="preserve"> </w:t>
      </w:r>
      <w:r w:rsidRPr="00FD3CEE">
        <w:t>https://www.ecsel.eu/</w:t>
      </w:r>
    </w:p>
  </w:footnote>
  <w:footnote w:id="147">
    <w:p w14:paraId="55E3E7AE" w14:textId="041C550F" w:rsidR="00C80B8F" w:rsidRDefault="00C80B8F">
      <w:pPr>
        <w:pStyle w:val="FootnoteText"/>
      </w:pPr>
      <w:r>
        <w:rPr>
          <w:rStyle w:val="FootnoteReference"/>
        </w:rPr>
        <w:footnoteRef/>
      </w:r>
      <w:r>
        <w:t xml:space="preserve"> </w:t>
      </w:r>
      <w:r w:rsidRPr="00FD3CEE">
        <w:t>https://shift2rail.org/</w:t>
      </w:r>
    </w:p>
  </w:footnote>
  <w:footnote w:id="148">
    <w:p w14:paraId="3B6E09AC" w14:textId="1C188EE9" w:rsidR="00C80B8F" w:rsidRDefault="00C80B8F">
      <w:pPr>
        <w:pStyle w:val="FootnoteText"/>
      </w:pPr>
      <w:r>
        <w:rPr>
          <w:rStyle w:val="FootnoteReference"/>
        </w:rPr>
        <w:footnoteRef/>
      </w:r>
      <w:r>
        <w:t xml:space="preserve"> </w:t>
      </w:r>
      <w:r w:rsidRPr="00FD3CEE">
        <w:t>https://www.sesarju.eu/</w:t>
      </w:r>
    </w:p>
  </w:footnote>
  <w:footnote w:id="149">
    <w:p w14:paraId="7B33E962" w14:textId="2C21391F" w:rsidR="00C80B8F" w:rsidRDefault="00C80B8F">
      <w:pPr>
        <w:pStyle w:val="FootnoteText"/>
      </w:pPr>
      <w:r>
        <w:rPr>
          <w:rStyle w:val="FootnoteReference"/>
        </w:rPr>
        <w:footnoteRef/>
      </w:r>
      <w:r>
        <w:t xml:space="preserve"> </w:t>
      </w:r>
      <w:r w:rsidRPr="00FD3CEE">
        <w:t>https://www.eranet-smartenergysystems.eu/About/Funding_Partners</w:t>
      </w:r>
    </w:p>
  </w:footnote>
  <w:footnote w:id="150">
    <w:p w14:paraId="49C94676" w14:textId="783BE082" w:rsidR="00C80B8F" w:rsidRDefault="00C80B8F">
      <w:pPr>
        <w:pStyle w:val="FootnoteText"/>
      </w:pPr>
      <w:r>
        <w:rPr>
          <w:rStyle w:val="FootnoteReference"/>
        </w:rPr>
        <w:footnoteRef/>
      </w:r>
      <w:r>
        <w:t xml:space="preserve"> </w:t>
      </w:r>
      <w:r w:rsidRPr="00FD3CEE">
        <w:t>http://viaa.gov.lv/lat/zinatnes_inovacijas_progr/baltic_bonus/par_baltic_bonus/</w:t>
      </w:r>
    </w:p>
  </w:footnote>
  <w:footnote w:id="151">
    <w:p w14:paraId="640351B6" w14:textId="30812F0D" w:rsidR="00C80B8F" w:rsidRDefault="00C80B8F">
      <w:pPr>
        <w:pStyle w:val="FootnoteText"/>
      </w:pPr>
      <w:r>
        <w:rPr>
          <w:rStyle w:val="FootnoteReference"/>
        </w:rPr>
        <w:footnoteRef/>
      </w:r>
      <w:r>
        <w:t xml:space="preserve"> </w:t>
      </w:r>
      <w:r w:rsidRPr="00FD3CEE">
        <w:t>https://likumi.lv/doc.php?id=262091</w:t>
      </w:r>
    </w:p>
  </w:footnote>
  <w:footnote w:id="152">
    <w:p w14:paraId="10C33322" w14:textId="690CAAA6" w:rsidR="00C80B8F" w:rsidRDefault="00C80B8F">
      <w:pPr>
        <w:pStyle w:val="FootnoteText"/>
      </w:pPr>
      <w:r>
        <w:rPr>
          <w:rStyle w:val="FootnoteReference"/>
        </w:rPr>
        <w:footnoteRef/>
      </w:r>
      <w:r>
        <w:t xml:space="preserve"> </w:t>
      </w:r>
      <w:r w:rsidRPr="00FD3CEE">
        <w:t>http://www.izm.gov.lv/lv/zinatne/latvijas-zinatnes-prioritarie-virzieni</w:t>
      </w:r>
    </w:p>
  </w:footnote>
  <w:footnote w:id="153">
    <w:p w14:paraId="3545C638" w14:textId="3C8A121C" w:rsidR="00C80B8F" w:rsidRDefault="00C80B8F">
      <w:pPr>
        <w:pStyle w:val="FootnoteText"/>
      </w:pPr>
      <w:r>
        <w:rPr>
          <w:rStyle w:val="FootnoteReference"/>
        </w:rPr>
        <w:footnoteRef/>
      </w:r>
      <w:r>
        <w:t xml:space="preserve"> </w:t>
      </w:r>
      <w:r w:rsidRPr="00FD3CEE">
        <w:t>https://likumi.lv/ta/id/295784-fundamentalo-un-lietisko-petijumu-projektu-izvertesanas-un-finansejuma-administresanas-kartiba</w:t>
      </w:r>
    </w:p>
  </w:footnote>
  <w:footnote w:id="154">
    <w:p w14:paraId="4E662546" w14:textId="6ABFBDF8" w:rsidR="00C80B8F" w:rsidRDefault="00C80B8F">
      <w:pPr>
        <w:pStyle w:val="FootnoteText"/>
      </w:pPr>
      <w:r>
        <w:rPr>
          <w:rStyle w:val="FootnoteReference"/>
        </w:rPr>
        <w:footnoteRef/>
      </w:r>
      <w:r>
        <w:t xml:space="preserve"> </w:t>
      </w:r>
      <w:hyperlink r:id="rId71" w:history="1">
        <w:r w:rsidRPr="004605D3">
          <w:rPr>
            <w:rStyle w:val="Hyperlink"/>
          </w:rPr>
          <w:t>https://ec.europa.eu/commission/publications/research-and-innovation-including-horizon-europe-iter-and-euratom-legal-texts-and-factsheets_en</w:t>
        </w:r>
      </w:hyperlink>
      <w:r>
        <w:t xml:space="preserve"> </w:t>
      </w:r>
    </w:p>
  </w:footnote>
  <w:footnote w:id="155">
    <w:p w14:paraId="6DB741D9" w14:textId="045ECCF2" w:rsidR="00C80B8F" w:rsidRDefault="00C80B8F">
      <w:pPr>
        <w:pStyle w:val="FootnoteText"/>
      </w:pPr>
      <w:r>
        <w:rPr>
          <w:rStyle w:val="FootnoteReference"/>
        </w:rPr>
        <w:footnoteRef/>
      </w:r>
      <w:r>
        <w:t xml:space="preserve"> </w:t>
      </w:r>
      <w:hyperlink r:id="rId72" w:history="1">
        <w:r w:rsidRPr="00B926D3">
          <w:rPr>
            <w:rStyle w:val="Hyperlink"/>
          </w:rPr>
          <w:t>http://s3platform.jrc.ec.europa.eu/home</w:t>
        </w:r>
      </w:hyperlink>
      <w:r>
        <w:t xml:space="preserve"> </w:t>
      </w:r>
    </w:p>
  </w:footnote>
  <w:footnote w:id="156">
    <w:p w14:paraId="379A9035" w14:textId="02C0698D" w:rsidR="00C80B8F" w:rsidRDefault="00C80B8F">
      <w:pPr>
        <w:pStyle w:val="FootnoteText"/>
      </w:pPr>
      <w:r>
        <w:rPr>
          <w:rStyle w:val="FootnoteReference"/>
        </w:rPr>
        <w:footnoteRef/>
      </w:r>
      <w:r>
        <w:t xml:space="preserve"> </w:t>
      </w:r>
      <w:r w:rsidRPr="00564B94">
        <w:t>https://ec.europa.eu/commission/sites/beta-political/files/budget-proposals-modern-eu-budget-may2018_lv_0.pdf</w:t>
      </w:r>
    </w:p>
  </w:footnote>
  <w:footnote w:id="157">
    <w:p w14:paraId="3CF95C20" w14:textId="77777777" w:rsidR="00C80B8F" w:rsidRDefault="00C80B8F" w:rsidP="00C838E8">
      <w:pPr>
        <w:pStyle w:val="FootnoteText"/>
      </w:pPr>
      <w:r>
        <w:rPr>
          <w:rStyle w:val="FootnoteReference"/>
        </w:rPr>
        <w:footnoteRef/>
      </w:r>
      <w:r>
        <w:t xml:space="preserve"> </w:t>
      </w:r>
      <w:r w:rsidRPr="005E478B">
        <w:t>https://ec.europa.eu/commission/sites/beta-political/files/budget-proposals-investments-may2018_lv.pdf</w:t>
      </w:r>
    </w:p>
  </w:footnote>
  <w:footnote w:id="158">
    <w:p w14:paraId="0C00730A" w14:textId="77777777" w:rsidR="00C80B8F" w:rsidRDefault="00C80B8F" w:rsidP="0044703B">
      <w:pPr>
        <w:pStyle w:val="FootnoteText"/>
      </w:pPr>
      <w:r>
        <w:rPr>
          <w:rStyle w:val="FootnoteReference"/>
        </w:rPr>
        <w:footnoteRef/>
      </w:r>
      <w:r>
        <w:t xml:space="preserve"> 273 mljrd. EUR tekošajās cenās</w:t>
      </w:r>
    </w:p>
  </w:footnote>
  <w:footnote w:id="159">
    <w:p w14:paraId="740FEEC1" w14:textId="28CE9BE4" w:rsidR="00C80B8F" w:rsidRDefault="00C80B8F">
      <w:pPr>
        <w:pStyle w:val="FootnoteText"/>
      </w:pPr>
      <w:r>
        <w:rPr>
          <w:rStyle w:val="FootnoteReference"/>
        </w:rPr>
        <w:footnoteRef/>
      </w:r>
      <w:r>
        <w:t xml:space="preserve"> </w:t>
      </w:r>
      <w:hyperlink r:id="rId73" w:history="1">
        <w:r w:rsidRPr="00FA14A0">
          <w:rPr>
            <w:rStyle w:val="Hyperlink"/>
          </w:rPr>
          <w:t>https://eur-lex.europa.eu/legal-content/LV/TXT/HTML/?uri=CELEX:52018PC0372&amp;from=EN</w:t>
        </w:r>
      </w:hyperlink>
      <w:r>
        <w:t xml:space="preserve"> </w:t>
      </w:r>
    </w:p>
  </w:footnote>
  <w:footnote w:id="160">
    <w:p w14:paraId="7701CA03" w14:textId="117D2C6A" w:rsidR="00C80B8F" w:rsidRPr="00A266CC" w:rsidRDefault="00C80B8F" w:rsidP="0074500F">
      <w:pPr>
        <w:pStyle w:val="FootnoteText"/>
        <w:jc w:val="both"/>
      </w:pPr>
      <w:r w:rsidRPr="00A266CC">
        <w:rPr>
          <w:rStyle w:val="FootnoteReference"/>
        </w:rPr>
        <w:footnoteRef/>
      </w:r>
      <w:r w:rsidRPr="00A266CC">
        <w:t xml:space="preserve"> šāda cena tiek prognozēta </w:t>
      </w:r>
      <w:r>
        <w:t xml:space="preserve">EK </w:t>
      </w:r>
      <w:r w:rsidRPr="00A266CC">
        <w:t xml:space="preserve">Ietekmes novērtējumā strādājot pie </w:t>
      </w:r>
      <w:r>
        <w:rPr>
          <w:rFonts w:eastAsia="Calibri"/>
          <w:szCs w:val="24"/>
        </w:rPr>
        <w:t>Direktīvas 2003/87/EK</w:t>
      </w:r>
      <w:r w:rsidRPr="00A266CC">
        <w:t xml:space="preserve"> grozījumiem 2015. gadā. https://ec.europa.eu/clima/sites/clima/files/ets/revision/docs/impact_assessment_en.pdf un vidēji to apstiprina arī vairāku vadošo ekspertu prognozes (skatīt sadaļu 4.1.3)</w:t>
      </w:r>
    </w:p>
  </w:footnote>
  <w:footnote w:id="161">
    <w:p w14:paraId="1AAFD512" w14:textId="77777777" w:rsidR="00C80B8F" w:rsidRPr="00A266CC" w:rsidRDefault="00C80B8F" w:rsidP="0074500F">
      <w:pPr>
        <w:spacing w:after="0" w:line="240" w:lineRule="auto"/>
        <w:jc w:val="both"/>
        <w:rPr>
          <w:rFonts w:ascii="Times New Roman" w:hAnsi="Times New Roman" w:cs="Times New Roman"/>
          <w:sz w:val="18"/>
          <w:szCs w:val="18"/>
        </w:rPr>
      </w:pPr>
      <w:r w:rsidRPr="00A266CC">
        <w:rPr>
          <w:rStyle w:val="FootnoteReference"/>
          <w:rFonts w:ascii="Times New Roman" w:hAnsi="Times New Roman" w:cs="Times New Roman"/>
          <w:sz w:val="18"/>
          <w:szCs w:val="18"/>
        </w:rPr>
        <w:footnoteRef/>
      </w:r>
      <w:r w:rsidRPr="00A266CC">
        <w:rPr>
          <w:rFonts w:ascii="Times New Roman" w:hAnsi="Times New Roman" w:cs="Times New Roman"/>
          <w:sz w:val="18"/>
          <w:szCs w:val="18"/>
        </w:rPr>
        <w:t xml:space="preserve"> skatīt sadaļu 4.1.3</w:t>
      </w:r>
    </w:p>
  </w:footnote>
  <w:footnote w:id="162">
    <w:p w14:paraId="6BB017D2" w14:textId="77777777" w:rsidR="00C80B8F" w:rsidRPr="00A266CC" w:rsidRDefault="00C80B8F" w:rsidP="0074500F">
      <w:pPr>
        <w:pStyle w:val="FootnoteText"/>
        <w:jc w:val="both"/>
      </w:pPr>
      <w:r w:rsidRPr="00A266CC">
        <w:rPr>
          <w:rStyle w:val="FootnoteReference"/>
        </w:rPr>
        <w:footnoteRef/>
      </w:r>
      <w:r w:rsidRPr="00A266CC">
        <w:t xml:space="preserve"> Likuma “Par piesārņojumu” 8.</w:t>
      </w:r>
      <w:r w:rsidRPr="00A266CC">
        <w:rPr>
          <w:vertAlign w:val="superscript"/>
        </w:rPr>
        <w:t>2</w:t>
      </w:r>
      <w:r w:rsidRPr="00A266CC">
        <w:t xml:space="preserve"> pants nosaka, ka Latvijas teritorijā, tās ekskluzīvajā ekonomiskajā zonā un kontinentālajā šelfā ir aizliegta oglekļa dioksīda uzglabāšana ģeoloģiskās struktūrās, kā arī vertikālajā ūdens slānī.</w:t>
      </w:r>
    </w:p>
  </w:footnote>
  <w:footnote w:id="163">
    <w:p w14:paraId="01F7787B" w14:textId="77777777" w:rsidR="00C80B8F" w:rsidRDefault="00C80B8F" w:rsidP="00743EB4">
      <w:pPr>
        <w:pStyle w:val="FootnoteText"/>
      </w:pPr>
      <w:r>
        <w:rPr>
          <w:rStyle w:val="FootnoteReference"/>
        </w:rPr>
        <w:footnoteRef/>
      </w:r>
      <w:r>
        <w:t xml:space="preserve"> EM, CSP, FEI</w:t>
      </w:r>
    </w:p>
  </w:footnote>
  <w:footnote w:id="164">
    <w:p w14:paraId="227CD791" w14:textId="77777777" w:rsidR="00C80B8F" w:rsidRPr="00C277CD" w:rsidRDefault="00C80B8F" w:rsidP="00E23B5E">
      <w:pPr>
        <w:pStyle w:val="FootnoteText"/>
        <w:rPr>
          <w:color w:val="000000" w:themeColor="text1"/>
        </w:rPr>
      </w:pPr>
      <w:r w:rsidRPr="00C277CD">
        <w:rPr>
          <w:rStyle w:val="FootnoteReference"/>
          <w:color w:val="000000" w:themeColor="text1"/>
        </w:rPr>
        <w:footnoteRef/>
      </w:r>
      <w:r w:rsidRPr="00C277CD">
        <w:rPr>
          <w:color w:val="000000" w:themeColor="text1"/>
        </w:rPr>
        <w:t xml:space="preserve"> https://ec.europa.eu/clima/sites/clima/files/ets/revision/docs/impact_assessment_en.pdf</w:t>
      </w:r>
    </w:p>
  </w:footnote>
  <w:footnote w:id="165">
    <w:p w14:paraId="2A66A40D" w14:textId="77777777" w:rsidR="00C80B8F" w:rsidRPr="00C41549" w:rsidRDefault="00C80B8F" w:rsidP="00E23B5E">
      <w:pPr>
        <w:pStyle w:val="FootnoteText"/>
        <w:rPr>
          <w:color w:val="5B9BD5" w:themeColor="accent5"/>
        </w:rPr>
      </w:pPr>
      <w:r w:rsidRPr="00C277CD">
        <w:rPr>
          <w:rStyle w:val="FootnoteReference"/>
          <w:color w:val="000000" w:themeColor="text1"/>
        </w:rPr>
        <w:footnoteRef/>
      </w:r>
      <w:r w:rsidRPr="00C277CD">
        <w:rPr>
          <w:color w:val="000000" w:themeColor="text1"/>
        </w:rPr>
        <w:t xml:space="preserve"> 05.07.2018 publicēts </w:t>
      </w:r>
      <w:hyperlink r:id="rId74" w:history="1">
        <w:r w:rsidRPr="00C277CD">
          <w:rPr>
            <w:rStyle w:val="Hyperlink"/>
            <w:color w:val="000000" w:themeColor="text1"/>
          </w:rPr>
          <w:t>http://carbon-pulse.com/55059/</w:t>
        </w:r>
      </w:hyperlink>
      <w:r w:rsidRPr="00C277CD">
        <w:rPr>
          <w:color w:val="000000" w:themeColor="text1"/>
        </w:rPr>
        <w:t>. BNEF, Commerzbank, Energy Aspects, MOL, Nomisma Energia, Thomson Reuters, Vertis, Virtuse, Wattsight.</w:t>
      </w:r>
    </w:p>
  </w:footnote>
  <w:footnote w:id="166">
    <w:p w14:paraId="4114AD47" w14:textId="77777777" w:rsidR="00C80B8F" w:rsidRPr="00AE605F" w:rsidRDefault="00C80B8F" w:rsidP="00D37297">
      <w:pPr>
        <w:pStyle w:val="FootnoteText"/>
        <w:jc w:val="both"/>
      </w:pPr>
      <w:r w:rsidRPr="00AE605F">
        <w:rPr>
          <w:rStyle w:val="FootnoteReference"/>
        </w:rPr>
        <w:footnoteRef/>
      </w:r>
      <w:r w:rsidRPr="00AE605F">
        <w:t xml:space="preserve"> Ziņojums par saistību izpildi 2013.-2016.gadā un prognozēto saistību izpildi periodā līdz 2020.gadam ir pieejams </w:t>
      </w:r>
      <w:hyperlink r:id="rId75" w:history="1">
        <w:r w:rsidRPr="00AE605F">
          <w:rPr>
            <w:rStyle w:val="Hyperlink"/>
          </w:rPr>
          <w:t>http://polsis.mk.gov.lv/documents/6109</w:t>
        </w:r>
      </w:hyperlink>
      <w:r w:rsidRPr="00AE605F">
        <w:t>. Aktuālais ziņojums par Latvijas saistību izpildi 2013.-2017.gadā un prognozēto saistību izpildi periodā līdz 2020.gadam tiks publicēts līdz 2018.gada 31.decembrim.</w:t>
      </w:r>
    </w:p>
  </w:footnote>
  <w:footnote w:id="167">
    <w:p w14:paraId="7548DB05" w14:textId="764EA40D" w:rsidR="00C80B8F" w:rsidRPr="00885D89" w:rsidRDefault="00C80B8F" w:rsidP="00C928F3">
      <w:pPr>
        <w:pStyle w:val="FootnoteText"/>
      </w:pPr>
      <w:r w:rsidRPr="00885D89">
        <w:rPr>
          <w:rStyle w:val="FootnoteReference"/>
        </w:rPr>
        <w:footnoteRef/>
      </w:r>
      <w:r w:rsidRPr="00885D89">
        <w:t xml:space="preserve"> </w:t>
      </w:r>
      <w:hyperlink r:id="rId76" w:history="1">
        <w:r w:rsidRPr="00705A85">
          <w:rPr>
            <w:rStyle w:val="Hyperlink"/>
          </w:rPr>
          <w:t>http://cdr.eionet.europa.eu/lv/eu/mmr/art07_inventory/ghg_inventory/envwu6qfa/</w:t>
        </w:r>
      </w:hyperlink>
      <w:r>
        <w:t xml:space="preserve"> </w:t>
      </w:r>
    </w:p>
  </w:footnote>
  <w:footnote w:id="168">
    <w:p w14:paraId="070739A1" w14:textId="3BF01216" w:rsidR="00C80B8F" w:rsidRPr="00885D89" w:rsidRDefault="00C80B8F" w:rsidP="00C928F3">
      <w:pPr>
        <w:pStyle w:val="FootnoteText"/>
      </w:pPr>
      <w:r w:rsidRPr="00885D89">
        <w:rPr>
          <w:rStyle w:val="FootnoteReference"/>
        </w:rPr>
        <w:footnoteRef/>
      </w:r>
      <w:r w:rsidRPr="00885D89">
        <w:t xml:space="preserve"> </w:t>
      </w:r>
      <w:hyperlink r:id="rId77" w:history="1">
        <w:r w:rsidRPr="00705A85">
          <w:rPr>
            <w:rStyle w:val="Hyperlink"/>
          </w:rPr>
          <w:t>http://cdr.eionet.europa.eu/lv/eu/mmr/art08_proxy/envw07vaw/</w:t>
        </w:r>
      </w:hyperlink>
      <w:r>
        <w:t xml:space="preserve"> </w:t>
      </w:r>
    </w:p>
  </w:footnote>
  <w:footnote w:id="169">
    <w:p w14:paraId="7D1B531B" w14:textId="0987A06B" w:rsidR="00C80B8F" w:rsidRPr="003B481E" w:rsidRDefault="00C80B8F" w:rsidP="00565E98">
      <w:pPr>
        <w:pStyle w:val="FootnoteText"/>
        <w:jc w:val="both"/>
      </w:pPr>
      <w:r w:rsidRPr="003B481E">
        <w:rPr>
          <w:rStyle w:val="FootnoteReference"/>
        </w:rPr>
        <w:footnoteRef/>
      </w:r>
      <w:r w:rsidRPr="003B481E">
        <w:t xml:space="preserve"> SEG emisiju daudzums uz IKP jeb SEG emisiju intensitāte norāda, cik efektīvi ekonomikas sektori ierobežo emisijas, ražojot preces un pakalpojumus mūsu patēriņam. Valstīm, kuru ekonomikā dominē smagā rūpniecība, ir iespējama augstāka SEG emisiju intensitāte kā citām, kuru ekonomikas galvenais virzītājs ir pakalpojumi, pat ja ener</w:t>
      </w:r>
      <w:r>
        <w:t>go</w:t>
      </w:r>
      <w:r w:rsidRPr="003B481E">
        <w:t>efektivitāte šajās valstīs ir vienāda.</w:t>
      </w:r>
    </w:p>
  </w:footnote>
  <w:footnote w:id="170">
    <w:p w14:paraId="1C502DB2" w14:textId="2C40C794" w:rsidR="00C80B8F" w:rsidRPr="00672F33" w:rsidRDefault="00C80B8F" w:rsidP="00565E98">
      <w:pPr>
        <w:pStyle w:val="FootnoteText"/>
        <w:jc w:val="both"/>
      </w:pPr>
      <w:r w:rsidRPr="00672F33">
        <w:rPr>
          <w:rStyle w:val="FootnoteReference"/>
        </w:rPr>
        <w:footnoteRef/>
      </w:r>
      <w:r w:rsidRPr="00672F33">
        <w:t> Datu avots: 201</w:t>
      </w:r>
      <w:r>
        <w:t>8</w:t>
      </w:r>
      <w:r w:rsidRPr="00672F33">
        <w:t>. gada SEG inventarizācija</w:t>
      </w:r>
      <w:r>
        <w:t xml:space="preserve">, </w:t>
      </w:r>
      <w:r w:rsidRPr="004B3A52">
        <w:t>aptuven</w:t>
      </w:r>
      <w:r>
        <w:t>ā</w:t>
      </w:r>
      <w:r w:rsidRPr="004B3A52">
        <w:t xml:space="preserve"> SEG inventarizācij</w:t>
      </w:r>
      <w:r>
        <w:t>a</w:t>
      </w:r>
      <w:r w:rsidRPr="004B3A52">
        <w:t xml:space="preserve"> par 2017. gadu</w:t>
      </w:r>
      <w:r w:rsidRPr="00672F33">
        <w:t xml:space="preserve">, </w:t>
      </w:r>
      <w:r>
        <w:t>CSP</w:t>
      </w:r>
    </w:p>
  </w:footnote>
  <w:footnote w:id="171">
    <w:p w14:paraId="4AF5B4F2" w14:textId="77777777" w:rsidR="00C80B8F" w:rsidRPr="003B481E" w:rsidRDefault="00C80B8F" w:rsidP="00565E98">
      <w:pPr>
        <w:pStyle w:val="FootnoteText"/>
        <w:jc w:val="both"/>
      </w:pPr>
      <w:r w:rsidRPr="003B481E">
        <w:rPr>
          <w:rStyle w:val="FootnoteReference"/>
        </w:rPr>
        <w:footnoteRef/>
      </w:r>
      <w:r w:rsidRPr="003B481E">
        <w:t xml:space="preserve"> http://www.oecd.org/environment/indicators-modelling-outlooks/1933638.pdf</w:t>
      </w:r>
    </w:p>
  </w:footnote>
  <w:footnote w:id="172">
    <w:p w14:paraId="4F2B72FE" w14:textId="2F0081A1" w:rsidR="00C80B8F" w:rsidRPr="00672F33" w:rsidRDefault="00C80B8F" w:rsidP="00BE47E6">
      <w:pPr>
        <w:pStyle w:val="FootnoteText"/>
        <w:jc w:val="both"/>
      </w:pPr>
      <w:r w:rsidRPr="00672F33">
        <w:rPr>
          <w:rStyle w:val="FootnoteReference"/>
        </w:rPr>
        <w:footnoteRef/>
      </w:r>
      <w:r w:rsidRPr="00672F33">
        <w:t> Datu avots: 201</w:t>
      </w:r>
      <w:r>
        <w:t>8</w:t>
      </w:r>
      <w:r w:rsidRPr="00672F33">
        <w:t>. gada SEG inventarizācija</w:t>
      </w:r>
      <w:r>
        <w:t xml:space="preserve">, </w:t>
      </w:r>
      <w:r w:rsidRPr="004B3A52">
        <w:t>aptuven</w:t>
      </w:r>
      <w:r>
        <w:t>ā</w:t>
      </w:r>
      <w:r w:rsidRPr="004B3A52">
        <w:t xml:space="preserve"> SEG inventarizācij</w:t>
      </w:r>
      <w:r>
        <w:t>a</w:t>
      </w:r>
      <w:r w:rsidRPr="004B3A52">
        <w:t xml:space="preserve"> par 2017. gadu</w:t>
      </w:r>
      <w:r w:rsidRPr="00672F33">
        <w:t xml:space="preserve">, </w:t>
      </w:r>
      <w:r>
        <w:t>CSP</w:t>
      </w:r>
    </w:p>
  </w:footnote>
  <w:footnote w:id="173">
    <w:p w14:paraId="0FFE795B" w14:textId="41EF4659" w:rsidR="00C80B8F" w:rsidRDefault="00C80B8F">
      <w:pPr>
        <w:pStyle w:val="FootnoteText"/>
      </w:pPr>
      <w:r>
        <w:rPr>
          <w:rStyle w:val="FootnoteReference"/>
        </w:rPr>
        <w:footnoteRef/>
      </w:r>
      <w:r>
        <w:t xml:space="preserve"> Datu avots: CSP</w:t>
      </w:r>
    </w:p>
  </w:footnote>
  <w:footnote w:id="174">
    <w:p w14:paraId="222C51D9" w14:textId="3D8007F8" w:rsidR="00C80B8F" w:rsidRDefault="00C80B8F">
      <w:pPr>
        <w:pStyle w:val="FootnoteText"/>
      </w:pPr>
      <w:r>
        <w:rPr>
          <w:rStyle w:val="FootnoteReference"/>
        </w:rPr>
        <w:footnoteRef/>
      </w:r>
      <w:r>
        <w:t xml:space="preserve"> Datu avots: CSP</w:t>
      </w:r>
    </w:p>
  </w:footnote>
  <w:footnote w:id="175">
    <w:p w14:paraId="7F8A4D0A" w14:textId="77777777" w:rsidR="00C80B8F" w:rsidRDefault="00C80B8F" w:rsidP="00E869E9">
      <w:pPr>
        <w:pStyle w:val="FootnoteText"/>
      </w:pPr>
      <w:r>
        <w:rPr>
          <w:rStyle w:val="FootnoteReference"/>
        </w:rPr>
        <w:footnoteRef/>
      </w:r>
      <w:r>
        <w:t xml:space="preserve"> Datu avots: CSP</w:t>
      </w:r>
    </w:p>
  </w:footnote>
  <w:footnote w:id="176">
    <w:p w14:paraId="3D7F782A" w14:textId="77777777" w:rsidR="00C80B8F" w:rsidRDefault="00C80B8F" w:rsidP="00E869E9">
      <w:pPr>
        <w:pStyle w:val="FootnoteText"/>
      </w:pPr>
      <w:r>
        <w:rPr>
          <w:rStyle w:val="FootnoteReference"/>
        </w:rPr>
        <w:footnoteRef/>
      </w:r>
      <w:r>
        <w:t xml:space="preserve"> Datu avots: CSP</w:t>
      </w:r>
    </w:p>
  </w:footnote>
  <w:footnote w:id="177">
    <w:p w14:paraId="69D1EC30" w14:textId="02B585C5" w:rsidR="00C80B8F" w:rsidRDefault="00C80B8F">
      <w:pPr>
        <w:pStyle w:val="FootnoteText"/>
      </w:pPr>
      <w:r>
        <w:rPr>
          <w:rStyle w:val="FootnoteReference"/>
        </w:rPr>
        <w:footnoteRef/>
      </w:r>
      <w:r>
        <w:t xml:space="preserve"> Datu avots: CSP, EUROSTAT</w:t>
      </w:r>
    </w:p>
  </w:footnote>
  <w:footnote w:id="178">
    <w:p w14:paraId="2751F970" w14:textId="1112B32D" w:rsidR="00C80B8F" w:rsidRDefault="00C80B8F">
      <w:pPr>
        <w:pStyle w:val="FootnoteText"/>
      </w:pPr>
      <w:r>
        <w:rPr>
          <w:rStyle w:val="FootnoteReference"/>
        </w:rPr>
        <w:footnoteRef/>
      </w:r>
      <w:r>
        <w:t xml:space="preserve"> </w:t>
      </w:r>
      <w:hyperlink r:id="rId78" w:history="1">
        <w:r w:rsidRPr="00B96A2B">
          <w:rPr>
            <w:rStyle w:val="Hyperlink"/>
          </w:rPr>
          <w:t>https://ec.europa.eu/energy/sites/ener/files/documents/dir_2009_0028_action_plan_latvia.zip</w:t>
        </w:r>
      </w:hyperlink>
      <w:r>
        <w:t xml:space="preserve"> </w:t>
      </w:r>
    </w:p>
  </w:footnote>
  <w:footnote w:id="179">
    <w:p w14:paraId="59D2F32B" w14:textId="531500BC" w:rsidR="00C80B8F" w:rsidRDefault="00C80B8F">
      <w:pPr>
        <w:pStyle w:val="FootnoteText"/>
      </w:pPr>
      <w:r>
        <w:rPr>
          <w:rStyle w:val="FootnoteReference"/>
        </w:rPr>
        <w:footnoteRef/>
      </w:r>
      <w:r>
        <w:t xml:space="preserve"> Datu avots: CSP, EUROSTAT</w:t>
      </w:r>
    </w:p>
  </w:footnote>
  <w:footnote w:id="180">
    <w:p w14:paraId="481D5ACD" w14:textId="77777777" w:rsidR="00C80B8F" w:rsidRDefault="00C80B8F" w:rsidP="00D5028E">
      <w:pPr>
        <w:pStyle w:val="FootnoteText"/>
      </w:pPr>
      <w:r>
        <w:rPr>
          <w:rStyle w:val="FootnoteReference"/>
        </w:rPr>
        <w:footnoteRef/>
      </w:r>
      <w:r>
        <w:t xml:space="preserve"> </w:t>
      </w:r>
      <w:r>
        <w:rPr>
          <w:rFonts w:eastAsia="Calibri"/>
          <w:szCs w:val="24"/>
        </w:rPr>
        <w:t>Direktīva 2009/28/EK</w:t>
      </w:r>
    </w:p>
  </w:footnote>
  <w:footnote w:id="181">
    <w:p w14:paraId="29314FB4" w14:textId="77777777" w:rsidR="00C80B8F" w:rsidRDefault="00C80B8F" w:rsidP="00D5028E">
      <w:pPr>
        <w:pStyle w:val="FootnoteText"/>
      </w:pPr>
      <w:r>
        <w:rPr>
          <w:rStyle w:val="FootnoteReference"/>
        </w:rPr>
        <w:footnoteRef/>
      </w:r>
      <w:r>
        <w:t xml:space="preserve"> Aktuālais ziņojums par Latvijas saistību izpildi ir pieejams</w:t>
      </w:r>
    </w:p>
    <w:p w14:paraId="63CB6F13" w14:textId="77777777" w:rsidR="00C80B8F" w:rsidRDefault="00C80B8F" w:rsidP="00D5028E">
      <w:pPr>
        <w:pStyle w:val="FootnoteText"/>
      </w:pPr>
      <w:hyperlink r:id="rId79" w:history="1">
        <w:r>
          <w:rPr>
            <w:rStyle w:val="Hyperlink"/>
          </w:rPr>
          <w:t>https://www.em.gov.lv/files/nozares_politika/EMZino_AER_030518.pdf</w:t>
        </w:r>
      </w:hyperlink>
      <w:r>
        <w:t xml:space="preserve">. </w:t>
      </w:r>
    </w:p>
  </w:footnote>
  <w:footnote w:id="182">
    <w:p w14:paraId="79A7B4F0" w14:textId="0B92A040" w:rsidR="00C80B8F" w:rsidRDefault="00C80B8F">
      <w:pPr>
        <w:pStyle w:val="FootnoteText"/>
      </w:pPr>
      <w:r>
        <w:rPr>
          <w:rStyle w:val="FootnoteReference"/>
        </w:rPr>
        <w:footnoteRef/>
      </w:r>
      <w:r>
        <w:t xml:space="preserve"> FEI</w:t>
      </w:r>
    </w:p>
  </w:footnote>
  <w:footnote w:id="183">
    <w:p w14:paraId="67C6F097" w14:textId="77777777" w:rsidR="00C80B8F" w:rsidRDefault="00C80B8F" w:rsidP="002D7DF8">
      <w:pPr>
        <w:pStyle w:val="FootnoteText"/>
      </w:pPr>
      <w:r>
        <w:rPr>
          <w:rStyle w:val="FootnoteReference"/>
        </w:rPr>
        <w:footnoteRef/>
      </w:r>
      <w:r>
        <w:t xml:space="preserve"> FEI</w:t>
      </w:r>
    </w:p>
  </w:footnote>
  <w:footnote w:id="184">
    <w:p w14:paraId="77239C91" w14:textId="3A55E60F" w:rsidR="00C80B8F" w:rsidRPr="00D07F6C" w:rsidRDefault="00C80B8F" w:rsidP="00C928F3">
      <w:pPr>
        <w:pStyle w:val="FootnoteText"/>
      </w:pPr>
      <w:r w:rsidRPr="00D07F6C">
        <w:rPr>
          <w:rStyle w:val="FootnoteReference"/>
        </w:rPr>
        <w:footnoteRef/>
      </w:r>
      <w:r>
        <w:t xml:space="preserve"> CSP</w:t>
      </w:r>
    </w:p>
  </w:footnote>
  <w:footnote w:id="185">
    <w:p w14:paraId="2A42FB92" w14:textId="062CA7FB" w:rsidR="00C80B8F" w:rsidRDefault="00C80B8F">
      <w:pPr>
        <w:pStyle w:val="FootnoteText"/>
      </w:pPr>
      <w:r>
        <w:rPr>
          <w:rStyle w:val="FootnoteReference"/>
        </w:rPr>
        <w:footnoteRef/>
      </w:r>
      <w:r>
        <w:t xml:space="preserve"> Datu avots: CSP</w:t>
      </w:r>
    </w:p>
  </w:footnote>
  <w:footnote w:id="186">
    <w:p w14:paraId="23DE24FA" w14:textId="77777777" w:rsidR="00C80B8F" w:rsidRPr="00771AA8" w:rsidRDefault="00C80B8F" w:rsidP="00C928F3">
      <w:pPr>
        <w:pStyle w:val="FootnoteText"/>
      </w:pPr>
      <w:r w:rsidRPr="00771AA8">
        <w:rPr>
          <w:rStyle w:val="FootnoteReference"/>
        </w:rPr>
        <w:footnoteRef/>
      </w:r>
      <w:r w:rsidRPr="00771AA8">
        <w:t xml:space="preserve"> </w:t>
      </w:r>
      <w:hyperlink r:id="rId80" w:history="1">
        <w:r w:rsidRPr="00587AF7">
          <w:rPr>
            <w:rStyle w:val="Hyperlink"/>
          </w:rPr>
          <w:t>http://data1.csb.gov.lv/pxweb/lv/vide/vide__energetika__ikgad/ENG020.px</w:t>
        </w:r>
      </w:hyperlink>
      <w:r>
        <w:t xml:space="preserve"> </w:t>
      </w:r>
    </w:p>
  </w:footnote>
  <w:footnote w:id="187">
    <w:p w14:paraId="25C763BE" w14:textId="77777777" w:rsidR="00C80B8F" w:rsidRDefault="00C80B8F" w:rsidP="00093B4E">
      <w:pPr>
        <w:pStyle w:val="FootnoteText"/>
      </w:pPr>
      <w:r>
        <w:rPr>
          <w:rStyle w:val="FootnoteReference"/>
        </w:rPr>
        <w:footnoteRef/>
      </w:r>
      <w:r>
        <w:t xml:space="preserve"> Datu avots: CSP</w:t>
      </w:r>
    </w:p>
  </w:footnote>
  <w:footnote w:id="188">
    <w:p w14:paraId="6780E8E4" w14:textId="60EE228A" w:rsidR="00C80B8F" w:rsidRDefault="00C80B8F" w:rsidP="00DB7C72">
      <w:pPr>
        <w:pStyle w:val="FootnoteText"/>
      </w:pPr>
      <w:r>
        <w:rPr>
          <w:rStyle w:val="FootnoteReference"/>
        </w:rPr>
        <w:footnoteRef/>
      </w:r>
      <w:r>
        <w:t xml:space="preserve"> CSP</w:t>
      </w:r>
    </w:p>
  </w:footnote>
  <w:footnote w:id="189">
    <w:p w14:paraId="57736039" w14:textId="2AAFF827" w:rsidR="00C80B8F" w:rsidRDefault="00C80B8F" w:rsidP="00DB7C72">
      <w:pPr>
        <w:pStyle w:val="FootnoteText"/>
      </w:pPr>
      <w:r>
        <w:rPr>
          <w:rStyle w:val="FootnoteReference"/>
        </w:rPr>
        <w:footnoteRef/>
      </w:r>
      <w:r>
        <w:t xml:space="preserve"> CSP</w:t>
      </w:r>
    </w:p>
  </w:footnote>
  <w:footnote w:id="190">
    <w:p w14:paraId="5D103E19" w14:textId="3BCFB8D9" w:rsidR="00C80B8F" w:rsidRDefault="00C80B8F" w:rsidP="00DB7C72">
      <w:pPr>
        <w:pStyle w:val="FootnoteText"/>
      </w:pPr>
      <w:r>
        <w:rPr>
          <w:rStyle w:val="FootnoteReference"/>
        </w:rPr>
        <w:footnoteRef/>
      </w:r>
      <w:r>
        <w:t xml:space="preserve"> CSP</w:t>
      </w:r>
    </w:p>
  </w:footnote>
  <w:footnote w:id="191">
    <w:p w14:paraId="159A3988" w14:textId="190034FD" w:rsidR="00C80B8F" w:rsidRDefault="00C80B8F">
      <w:pPr>
        <w:pStyle w:val="FootnoteText"/>
      </w:pPr>
      <w:r>
        <w:rPr>
          <w:rStyle w:val="FootnoteReference"/>
        </w:rPr>
        <w:footnoteRef/>
      </w:r>
      <w:r>
        <w:t xml:space="preserve"> </w:t>
      </w:r>
      <w:hyperlink r:id="rId81" w:history="1">
        <w:r>
          <w:rPr>
            <w:rStyle w:val="Hyperlink"/>
          </w:rPr>
          <w:t>http://elektrifikacija.ldz.lv/</w:t>
        </w:r>
      </w:hyperlink>
    </w:p>
  </w:footnote>
  <w:footnote w:id="192">
    <w:p w14:paraId="01FAD545" w14:textId="7A6B40C3" w:rsidR="00C80B8F" w:rsidRPr="00DB7C72" w:rsidRDefault="00C80B8F" w:rsidP="00DB7C72">
      <w:pPr>
        <w:pStyle w:val="FootnoteText"/>
      </w:pPr>
      <w:r w:rsidRPr="00DB7C72">
        <w:rPr>
          <w:rStyle w:val="FootnoteReference"/>
        </w:rPr>
        <w:footnoteRef/>
      </w:r>
      <w:r w:rsidRPr="00DB7C72">
        <w:t xml:space="preserve"> Datu avots: CSP, EUROSTAT</w:t>
      </w:r>
    </w:p>
  </w:footnote>
  <w:footnote w:id="193">
    <w:p w14:paraId="39CDA7EC" w14:textId="3F20D663" w:rsidR="00C80B8F" w:rsidRDefault="00C80B8F">
      <w:pPr>
        <w:pStyle w:val="FootnoteText"/>
      </w:pPr>
      <w:r>
        <w:rPr>
          <w:rStyle w:val="FootnoteReference"/>
        </w:rPr>
        <w:footnoteRef/>
      </w:r>
      <w:r>
        <w:t xml:space="preserve"> Datu avots: CSP, EUROSTAT</w:t>
      </w:r>
    </w:p>
  </w:footnote>
  <w:footnote w:id="194">
    <w:p w14:paraId="44DE145B" w14:textId="6C662962" w:rsidR="00C80B8F" w:rsidRPr="001026AF" w:rsidRDefault="00C80B8F" w:rsidP="001026AF">
      <w:pPr>
        <w:autoSpaceDE w:val="0"/>
        <w:autoSpaceDN w:val="0"/>
        <w:adjustRightInd w:val="0"/>
        <w:spacing w:after="0" w:line="240" w:lineRule="auto"/>
        <w:jc w:val="both"/>
        <w:rPr>
          <w:rFonts w:ascii="Times New Roman" w:eastAsia="Calibri" w:hAnsi="Times New Roman" w:cs="Times New Roman"/>
          <w:sz w:val="18"/>
          <w:szCs w:val="18"/>
          <w:lang w:eastAsia="lv-LV"/>
        </w:rPr>
      </w:pPr>
      <w:r w:rsidRPr="001026AF">
        <w:rPr>
          <w:rStyle w:val="FootnoteReference"/>
          <w:rFonts w:ascii="Times New Roman" w:hAnsi="Times New Roman" w:cs="Times New Roman"/>
          <w:sz w:val="18"/>
          <w:szCs w:val="18"/>
        </w:rPr>
        <w:footnoteRef/>
      </w:r>
      <w:r w:rsidRPr="001026AF">
        <w:rPr>
          <w:rFonts w:ascii="Times New Roman" w:hAnsi="Times New Roman" w:cs="Times New Roman"/>
          <w:sz w:val="18"/>
          <w:szCs w:val="18"/>
        </w:rPr>
        <w:t xml:space="preserve"> </w:t>
      </w:r>
      <w:r w:rsidRPr="001026AF">
        <w:rPr>
          <w:rFonts w:ascii="Times New Roman" w:eastAsia="Calibri" w:hAnsi="Times New Roman" w:cs="Times New Roman"/>
          <w:bCs/>
          <w:sz w:val="18"/>
          <w:szCs w:val="18"/>
          <w:lang w:eastAsia="lv-LV"/>
        </w:rPr>
        <w:t>2016.gada FEI pētījums „Valsts energoefektivitātes rīcības plāna priekšlikumu izstrāde atbilstoši Energoefektivitātes direktīvas 2012/27/ES XIV pielikuma 2.daļas prasībām”</w:t>
      </w:r>
    </w:p>
  </w:footnote>
  <w:footnote w:id="195">
    <w:p w14:paraId="7A9066CA" w14:textId="6738E7BC" w:rsidR="00C80B8F" w:rsidRDefault="00C80B8F">
      <w:pPr>
        <w:pStyle w:val="FootnoteText"/>
      </w:pPr>
      <w:r>
        <w:rPr>
          <w:rStyle w:val="FootnoteReference"/>
        </w:rPr>
        <w:footnoteRef/>
      </w:r>
      <w:r>
        <w:t xml:space="preserve"> </w:t>
      </w:r>
      <w:hyperlink r:id="rId82" w:history="1">
        <w:r w:rsidRPr="00FF7CA5">
          <w:rPr>
            <w:rStyle w:val="Hyperlink"/>
          </w:rPr>
          <w:t>https://ec.europa.eu/energy/sites/ener/files/documents/lv_annual_report_2018_lv.pdf</w:t>
        </w:r>
      </w:hyperlink>
      <w:r>
        <w:t xml:space="preserve"> </w:t>
      </w:r>
    </w:p>
  </w:footnote>
  <w:footnote w:id="196">
    <w:p w14:paraId="0DBDF2CA" w14:textId="77777777" w:rsidR="00C80B8F" w:rsidRPr="00692079" w:rsidRDefault="00C80B8F" w:rsidP="00757462">
      <w:pPr>
        <w:pStyle w:val="FootnoteText"/>
        <w:jc w:val="both"/>
      </w:pPr>
      <w:r w:rsidRPr="00692079">
        <w:rPr>
          <w:rStyle w:val="FootnoteReference"/>
        </w:rPr>
        <w:footnoteRef/>
      </w:r>
      <w:r w:rsidRPr="00692079">
        <w:t xml:space="preserve"> Visa ar programmu saistītā informācija pieejama LIAA tīmekļvietnē: </w:t>
      </w:r>
      <w:hyperlink r:id="rId83" w:history="1">
        <w:r w:rsidRPr="00692079">
          <w:rPr>
            <w:rStyle w:val="Hyperlink"/>
          </w:rPr>
          <w:t>http://www.liaa.gov.lv/lv/es-fondi/aktivitates-kuru-ieviesana-noslegusies</w:t>
        </w:r>
      </w:hyperlink>
      <w:r w:rsidRPr="00692079">
        <w:t xml:space="preserve"> (Pasākumi centralizētās siltumapgādes sistēmu efektivitātes paaugstināšanai (1. – 6.kārta);</w:t>
      </w:r>
    </w:p>
  </w:footnote>
  <w:footnote w:id="197">
    <w:p w14:paraId="4B17F49E" w14:textId="77777777" w:rsidR="00C80B8F" w:rsidRPr="00692079" w:rsidRDefault="00C80B8F" w:rsidP="00757462">
      <w:pPr>
        <w:pStyle w:val="FootnoteText"/>
        <w:jc w:val="both"/>
      </w:pPr>
      <w:r w:rsidRPr="00692079">
        <w:rPr>
          <w:rStyle w:val="FootnoteReference"/>
        </w:rPr>
        <w:footnoteRef/>
      </w:r>
      <w:r w:rsidRPr="00692079">
        <w:t xml:space="preserve"> Visa ar programmu saistītā informācija pieejama LIAA tīmekļvietnē: </w:t>
      </w:r>
      <w:hyperlink r:id="rId84" w:history="1">
        <w:r w:rsidRPr="00692079">
          <w:rPr>
            <w:rStyle w:val="Hyperlink"/>
          </w:rPr>
          <w:t>http://www.liaa.gov.lv/lv/es-fondi/aktivitates-kuru-ieviesana-noslegusies/atjaunojamo-energoresursu-izmantojosu-kogeneracijas-elektrostciju-attistiba</w:t>
        </w:r>
      </w:hyperlink>
    </w:p>
  </w:footnote>
  <w:footnote w:id="198">
    <w:p w14:paraId="711024F1" w14:textId="77777777" w:rsidR="00C80B8F" w:rsidRPr="00692079" w:rsidRDefault="00C80B8F" w:rsidP="00757462">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CSA sistēmas sākotnējais novērtējums, kurā ietverti iepriekš īstenoto programmu sasniegtie rādītāji un piesaistītais finansējums, kā arī programmas regulējošie MK noteikumi un projektu iesniegumu vērtēšanas kritēriji:</w:t>
      </w:r>
    </w:p>
    <w:p w14:paraId="13661FB3" w14:textId="77777777" w:rsidR="00C80B8F" w:rsidRPr="00692079" w:rsidRDefault="00C80B8F" w:rsidP="00757462">
      <w:pPr>
        <w:spacing w:after="0" w:line="240" w:lineRule="auto"/>
        <w:jc w:val="both"/>
        <w:rPr>
          <w:rFonts w:ascii="Times New Roman" w:hAnsi="Times New Roman" w:cs="Times New Roman"/>
          <w:sz w:val="18"/>
          <w:szCs w:val="18"/>
        </w:rPr>
      </w:pPr>
      <w:hyperlink r:id="rId85" w:history="1">
        <w:r w:rsidRPr="00692079">
          <w:rPr>
            <w:rStyle w:val="Hyperlink"/>
            <w:rFonts w:ascii="Times New Roman" w:hAnsi="Times New Roman" w:cs="Times New Roman"/>
            <w:sz w:val="18"/>
            <w:szCs w:val="18"/>
          </w:rPr>
          <w:t>https://em.gov.lv/lv/es_fondi/atbalsta_pasakumi_2014_2020/veicinat_energoefektivitati_un_vietejo_aer_izmantosanu_centralizetaja_siltumapgade/</w:t>
        </w:r>
      </w:hyperlink>
    </w:p>
    <w:p w14:paraId="4FDACA1A" w14:textId="77777777" w:rsidR="00C80B8F" w:rsidRPr="00692079" w:rsidRDefault="00C80B8F" w:rsidP="00757462">
      <w:pPr>
        <w:spacing w:after="0" w:line="240" w:lineRule="auto"/>
        <w:jc w:val="both"/>
        <w:rPr>
          <w:rFonts w:ascii="Times New Roman" w:hAnsi="Times New Roman" w:cs="Times New Roman"/>
          <w:sz w:val="18"/>
          <w:szCs w:val="18"/>
        </w:rPr>
      </w:pPr>
      <w:hyperlink r:id="rId86" w:history="1">
        <w:r w:rsidRPr="00692079">
          <w:rPr>
            <w:rStyle w:val="Hyperlink"/>
            <w:rFonts w:ascii="Times New Roman" w:hAnsi="Times New Roman" w:cs="Times New Roman"/>
            <w:sz w:val="18"/>
            <w:szCs w:val="18"/>
          </w:rPr>
          <w:t>https://em.gov.lv/lv/es_fondi/atbalsta_pasakumi_2014_2020/veicinat_energoefektivitati_un_vietejo_aer_izmantosanu_centralizetaja_siltumapgade__ii_karta_</w:t>
        </w:r>
      </w:hyperlink>
    </w:p>
  </w:footnote>
  <w:footnote w:id="199">
    <w:p w14:paraId="45D04B74" w14:textId="77777777" w:rsidR="00C80B8F" w:rsidRDefault="00C80B8F" w:rsidP="003729D9">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sākotnējais novērtējums, regulējošie MK noteikumi, projektu iesniegumu vērtēšanas kritēriji pieejami EM tīmekļvietnē:</w:t>
      </w:r>
    </w:p>
    <w:p w14:paraId="62EB8791" w14:textId="77777777" w:rsidR="00C80B8F" w:rsidRPr="00692079" w:rsidRDefault="00C80B8F" w:rsidP="003729D9">
      <w:pPr>
        <w:spacing w:after="0" w:line="240" w:lineRule="auto"/>
        <w:jc w:val="both"/>
        <w:rPr>
          <w:rFonts w:ascii="Times New Roman" w:hAnsi="Times New Roman" w:cs="Times New Roman"/>
          <w:sz w:val="18"/>
          <w:szCs w:val="18"/>
        </w:rPr>
      </w:pPr>
      <w:hyperlink r:id="rId87" w:history="1">
        <w:r w:rsidRPr="00692079">
          <w:rPr>
            <w:rStyle w:val="Hyperlink"/>
            <w:rFonts w:ascii="Times New Roman" w:hAnsi="Times New Roman" w:cs="Times New Roman"/>
            <w:sz w:val="18"/>
            <w:szCs w:val="18"/>
          </w:rPr>
          <w:t>https://em.gov.lv/lv/es_fondi/atbalsta_pasakumi_2014_2020/veicinat_energoefektivitates_paaugstinasanu_valsts_ekas</w:t>
        </w:r>
      </w:hyperlink>
      <w:r w:rsidRPr="00692079">
        <w:rPr>
          <w:rFonts w:ascii="Times New Roman" w:hAnsi="Times New Roman" w:cs="Times New Roman"/>
          <w:sz w:val="18"/>
          <w:szCs w:val="18"/>
        </w:rPr>
        <w:t xml:space="preserve">; </w:t>
      </w:r>
    </w:p>
    <w:p w14:paraId="00BCAB22" w14:textId="77777777" w:rsidR="00C80B8F" w:rsidRPr="006A3D6D" w:rsidRDefault="00C80B8F" w:rsidP="003729D9">
      <w:pPr>
        <w:pStyle w:val="FootnoteText"/>
        <w:jc w:val="both"/>
      </w:pPr>
      <w:hyperlink r:id="rId88" w:history="1">
        <w:r w:rsidRPr="00692079">
          <w:rPr>
            <w:rStyle w:val="Hyperlink"/>
          </w:rPr>
          <w:t>https://em.gov.lv/lv/es_fondi/atbalsta_pasakumi_2014_2020/veicinat_energoefektivitates_paaugstinasanu_valsts_ekas__ii_karta_/</w:t>
        </w:r>
      </w:hyperlink>
    </w:p>
  </w:footnote>
  <w:footnote w:id="200">
    <w:p w14:paraId="60FDE894" w14:textId="77777777" w:rsidR="00C80B8F" w:rsidRPr="006A3D6D" w:rsidRDefault="00C80B8F" w:rsidP="003729D9">
      <w:pPr>
        <w:spacing w:after="0" w:line="240" w:lineRule="auto"/>
        <w:jc w:val="both"/>
        <w:rPr>
          <w:rFonts w:ascii="Times New Roman" w:hAnsi="Times New Roman" w:cs="Times New Roman"/>
          <w:sz w:val="18"/>
          <w:szCs w:val="18"/>
        </w:rPr>
      </w:pPr>
      <w:r w:rsidRPr="006A3D6D">
        <w:rPr>
          <w:rStyle w:val="FootnoteReference"/>
          <w:rFonts w:ascii="Times New Roman" w:hAnsi="Times New Roman" w:cs="Times New Roman"/>
          <w:sz w:val="18"/>
          <w:szCs w:val="18"/>
        </w:rPr>
        <w:footnoteRef/>
      </w:r>
      <w:r w:rsidRPr="006A3D6D">
        <w:rPr>
          <w:rFonts w:ascii="Times New Roman" w:hAnsi="Times New Roman" w:cs="Times New Roman"/>
          <w:sz w:val="18"/>
          <w:szCs w:val="18"/>
        </w:rPr>
        <w:t xml:space="preserve"> Visa ar programmu saistītā informācija, t.sk., Ex-ante novērtējums, kas ir saskaņots ar </w:t>
      </w:r>
      <w:r>
        <w:rPr>
          <w:rFonts w:ascii="Times New Roman" w:hAnsi="Times New Roman" w:cs="Times New Roman"/>
          <w:sz w:val="18"/>
          <w:szCs w:val="18"/>
        </w:rPr>
        <w:t>EK</w:t>
      </w:r>
      <w:r w:rsidRPr="006A3D6D">
        <w:rPr>
          <w:rFonts w:ascii="Times New Roman" w:hAnsi="Times New Roman" w:cs="Times New Roman"/>
          <w:sz w:val="18"/>
          <w:szCs w:val="18"/>
        </w:rPr>
        <w:t>, regulējošie MK noteikumi, projektu iesniegumu vērtēšanas kritēriji pieejami EM tīmekļvietnē:</w:t>
      </w:r>
    </w:p>
    <w:p w14:paraId="07D05C92" w14:textId="77777777" w:rsidR="00C80B8F" w:rsidRDefault="00C80B8F" w:rsidP="003729D9">
      <w:pPr>
        <w:spacing w:after="0" w:line="240" w:lineRule="auto"/>
        <w:jc w:val="both"/>
      </w:pPr>
      <w:hyperlink r:id="rId89" w:history="1">
        <w:r w:rsidRPr="006A3D6D">
          <w:rPr>
            <w:rStyle w:val="Hyperlink"/>
            <w:rFonts w:ascii="Times New Roman" w:hAnsi="Times New Roman" w:cs="Times New Roman"/>
            <w:sz w:val="18"/>
            <w:szCs w:val="18"/>
          </w:rPr>
          <w:t>https://em.gov.lv/lv/es_fondi/atbalsta_pasakumi_2014_2020/veicinat_energoefektivitates_paaugstinasanu_dzivojamas_ekas/</w:t>
        </w:r>
      </w:hyperlink>
    </w:p>
  </w:footnote>
  <w:footnote w:id="201">
    <w:p w14:paraId="5F7C1412" w14:textId="77777777" w:rsidR="00C80B8F" w:rsidRPr="00DF7D60" w:rsidRDefault="00C80B8F" w:rsidP="003729D9">
      <w:pPr>
        <w:spacing w:after="0" w:line="240" w:lineRule="auto"/>
        <w:jc w:val="both"/>
        <w:rPr>
          <w:rFonts w:ascii="Times New Roman" w:hAnsi="Times New Roman" w:cs="Times New Roman"/>
          <w:sz w:val="18"/>
          <w:szCs w:val="18"/>
        </w:rPr>
      </w:pPr>
      <w:r w:rsidRPr="00DF7D60">
        <w:rPr>
          <w:rStyle w:val="FootnoteReference"/>
          <w:rFonts w:ascii="Times New Roman" w:hAnsi="Times New Roman" w:cs="Times New Roman"/>
          <w:sz w:val="18"/>
          <w:szCs w:val="18"/>
        </w:rPr>
        <w:footnoteRef/>
      </w:r>
      <w:r w:rsidRPr="00DF7D60">
        <w:rPr>
          <w:rFonts w:ascii="Times New Roman" w:hAnsi="Times New Roman" w:cs="Times New Roman"/>
          <w:sz w:val="18"/>
          <w:szCs w:val="18"/>
        </w:rPr>
        <w:t xml:space="preserve"> Visa ar programmu saistītā informācija, t.sk., sākotnējais novērtējums, kas saskaņots ar </w:t>
      </w:r>
      <w:r>
        <w:rPr>
          <w:rFonts w:ascii="Times New Roman" w:hAnsi="Times New Roman" w:cs="Times New Roman"/>
          <w:sz w:val="18"/>
          <w:szCs w:val="18"/>
        </w:rPr>
        <w:t>EK</w:t>
      </w:r>
      <w:r w:rsidRPr="00DF7D60">
        <w:rPr>
          <w:rFonts w:ascii="Times New Roman" w:hAnsi="Times New Roman" w:cs="Times New Roman"/>
          <w:sz w:val="18"/>
          <w:szCs w:val="18"/>
        </w:rPr>
        <w:t>, programmu regulējošie MK noteikumi un projektu iesniegumu vērtēšanas kritēriji pieejami Ekonomikas ministrijas tīmekļvietnē:</w:t>
      </w:r>
    </w:p>
    <w:p w14:paraId="361AD7DF" w14:textId="77777777" w:rsidR="00C80B8F" w:rsidRPr="00DF7D60" w:rsidRDefault="00C80B8F" w:rsidP="003729D9">
      <w:pPr>
        <w:spacing w:after="0" w:line="240" w:lineRule="auto"/>
        <w:jc w:val="both"/>
        <w:rPr>
          <w:rFonts w:ascii="Times New Roman" w:hAnsi="Times New Roman" w:cs="Times New Roman"/>
          <w:sz w:val="18"/>
          <w:szCs w:val="18"/>
        </w:rPr>
      </w:pPr>
      <w:hyperlink r:id="rId90" w:history="1">
        <w:r w:rsidRPr="00DF7D60">
          <w:rPr>
            <w:rStyle w:val="Hyperlink"/>
            <w:rFonts w:ascii="Times New Roman" w:hAnsi="Times New Roman" w:cs="Times New Roman"/>
            <w:sz w:val="18"/>
            <w:szCs w:val="18"/>
          </w:rPr>
          <w:t>https://em.gov.lv/lv/es_fondi/atbalsta_pasakumi_2014_2020/veicinat_efektivu_energoresursu_izmantosanu__energijas_paterina_samazinasanu_un_pareju_uz_aer_apstrades_rupniecibas_nozare/</w:t>
        </w:r>
      </w:hyperlink>
    </w:p>
    <w:p w14:paraId="3ED85DFA" w14:textId="77777777" w:rsidR="00C80B8F" w:rsidRDefault="00C80B8F" w:rsidP="003729D9">
      <w:pPr>
        <w:spacing w:after="0" w:line="240" w:lineRule="auto"/>
        <w:jc w:val="both"/>
      </w:pPr>
      <w:hyperlink r:id="rId91" w:history="1">
        <w:r w:rsidRPr="00DF7D60">
          <w:rPr>
            <w:rStyle w:val="Hyperlink"/>
            <w:rFonts w:ascii="Times New Roman" w:hAnsi="Times New Roman" w:cs="Times New Roman"/>
            <w:sz w:val="18"/>
            <w:szCs w:val="18"/>
          </w:rPr>
          <w:t>https://www.em.gov.lv/lv/es_fondi/atbalsta_pasakumi_2014_2020/veicinat_efektivu_energoresursu_izmantosanu__energijas_paterina_samazinasanu_un_pareju_uz_aer_apstrades_rupniecibas_nozare__ii_karta_/</w:t>
        </w:r>
      </w:hyperlink>
    </w:p>
  </w:footnote>
  <w:footnote w:id="202">
    <w:p w14:paraId="0D9A231B" w14:textId="77777777" w:rsidR="00C80B8F" w:rsidRDefault="00C80B8F" w:rsidP="003729D9">
      <w:pPr>
        <w:pStyle w:val="FootnoteText"/>
      </w:pPr>
      <w:r>
        <w:rPr>
          <w:rStyle w:val="FootnoteReference"/>
        </w:rPr>
        <w:footnoteRef/>
      </w:r>
      <w:r>
        <w:t xml:space="preserve"> </w:t>
      </w:r>
      <w:hyperlink r:id="rId92" w:history="1">
        <w:r w:rsidRPr="00F97E2D">
          <w:rPr>
            <w:rStyle w:val="Hyperlink"/>
          </w:rPr>
          <w:t>https://www.cfla.gov.lv/CFLA2/item.php?itemID=40</w:t>
        </w:r>
      </w:hyperlink>
      <w:r>
        <w:t xml:space="preserve"> </w:t>
      </w:r>
    </w:p>
  </w:footnote>
  <w:footnote w:id="203">
    <w:p w14:paraId="1C3D5620" w14:textId="50BD4878" w:rsidR="00C80B8F" w:rsidRPr="001026AF" w:rsidRDefault="00C80B8F" w:rsidP="001026AF">
      <w:pPr>
        <w:pStyle w:val="FootnoteText"/>
      </w:pPr>
      <w:r w:rsidRPr="001026AF">
        <w:rPr>
          <w:rStyle w:val="FootnoteReference"/>
        </w:rPr>
        <w:footnoteRef/>
      </w:r>
      <w:r w:rsidRPr="001026AF">
        <w:t xml:space="preserve"> </w:t>
      </w:r>
      <w:hyperlink r:id="rId93" w:history="1">
        <w:r w:rsidRPr="001026AF">
          <w:rPr>
            <w:rStyle w:val="Hyperlink"/>
          </w:rPr>
          <w:t>https://www.em.gov.lv/lv/nozares_politika/energoefektivitate_un_siltumapgade/zinojumi_eiropas_komisijai/</w:t>
        </w:r>
      </w:hyperlink>
      <w:r w:rsidRPr="001026AF">
        <w:t xml:space="preserve"> </w:t>
      </w:r>
    </w:p>
  </w:footnote>
  <w:footnote w:id="204">
    <w:p w14:paraId="038D491E" w14:textId="77777777" w:rsidR="00C80B8F" w:rsidRDefault="00C80B8F" w:rsidP="00E94F3D">
      <w:pPr>
        <w:pStyle w:val="FootnoteText"/>
      </w:pPr>
      <w:r>
        <w:rPr>
          <w:rStyle w:val="FootnoteReference"/>
        </w:rPr>
        <w:footnoteRef/>
      </w:r>
      <w:r>
        <w:t xml:space="preserve"> FEI</w:t>
      </w:r>
    </w:p>
  </w:footnote>
  <w:footnote w:id="205">
    <w:p w14:paraId="2578A20F" w14:textId="77777777" w:rsidR="00C80B8F" w:rsidRDefault="00C80B8F" w:rsidP="009A7542">
      <w:pPr>
        <w:pStyle w:val="FootnoteText"/>
      </w:pPr>
      <w:r>
        <w:rPr>
          <w:rStyle w:val="FootnoteReference"/>
        </w:rPr>
        <w:footnoteRef/>
      </w:r>
      <w:r>
        <w:t xml:space="preserve"> FEI</w:t>
      </w:r>
    </w:p>
  </w:footnote>
  <w:footnote w:id="206">
    <w:p w14:paraId="5D446416" w14:textId="2A2A7E10" w:rsidR="00C80B8F" w:rsidRDefault="00C80B8F">
      <w:pPr>
        <w:pStyle w:val="FootnoteText"/>
      </w:pPr>
      <w:r>
        <w:rPr>
          <w:rStyle w:val="FootnoteReference"/>
        </w:rPr>
        <w:footnoteRef/>
      </w:r>
      <w:r>
        <w:t xml:space="preserve"> FEI</w:t>
      </w:r>
    </w:p>
  </w:footnote>
  <w:footnote w:id="207">
    <w:p w14:paraId="71F569A5" w14:textId="77777777" w:rsidR="00C80B8F" w:rsidRDefault="00C80B8F" w:rsidP="007E0115">
      <w:pPr>
        <w:pStyle w:val="FootnoteText"/>
      </w:pPr>
      <w:r>
        <w:rPr>
          <w:rStyle w:val="FootnoteReference"/>
        </w:rPr>
        <w:footnoteRef/>
      </w:r>
      <w:r>
        <w:t xml:space="preserve"> FEI</w:t>
      </w:r>
    </w:p>
  </w:footnote>
  <w:footnote w:id="208">
    <w:p w14:paraId="76743705" w14:textId="3471B5A7" w:rsidR="00C80B8F" w:rsidRDefault="00C80B8F">
      <w:pPr>
        <w:pStyle w:val="FootnoteText"/>
      </w:pPr>
      <w:r>
        <w:rPr>
          <w:rStyle w:val="FootnoteReference"/>
        </w:rPr>
        <w:footnoteRef/>
      </w:r>
      <w:r>
        <w:t xml:space="preserve"> </w:t>
      </w:r>
      <w:r w:rsidRPr="00C25301">
        <w:t>Avots: AS “Augstsprieguma tīkls”</w:t>
      </w:r>
    </w:p>
  </w:footnote>
  <w:footnote w:id="209">
    <w:p w14:paraId="51D9DBF0" w14:textId="62C8CBF9" w:rsidR="00C80B8F" w:rsidRPr="005835B7" w:rsidRDefault="00C80B8F" w:rsidP="005835B7">
      <w:pPr>
        <w:pStyle w:val="FootnoteText"/>
        <w:jc w:val="both"/>
        <w:rPr>
          <w:sz w:val="20"/>
          <w:szCs w:val="20"/>
        </w:rPr>
      </w:pPr>
      <w:r w:rsidRPr="005835B7">
        <w:rPr>
          <w:rStyle w:val="FootnoteReference"/>
          <w:sz w:val="20"/>
          <w:szCs w:val="20"/>
        </w:rPr>
        <w:footnoteRef/>
      </w:r>
      <w:r w:rsidRPr="005835B7">
        <w:rPr>
          <w:sz w:val="20"/>
          <w:szCs w:val="20"/>
        </w:rPr>
        <w:t xml:space="preserve"> </w:t>
      </w:r>
      <w:r w:rsidRPr="005835B7">
        <w:rPr>
          <w:color w:val="000000"/>
          <w:sz w:val="20"/>
          <w:szCs w:val="20"/>
        </w:rPr>
        <w:t>enerģētiskā atkarība parāda, cik lielā mērā dalīb</w:t>
      </w:r>
      <w:r>
        <w:rPr>
          <w:color w:val="000000"/>
          <w:sz w:val="20"/>
          <w:szCs w:val="20"/>
        </w:rPr>
        <w:t>v</w:t>
      </w:r>
      <w:r w:rsidRPr="005835B7">
        <w:rPr>
          <w:color w:val="000000"/>
          <w:sz w:val="20"/>
          <w:szCs w:val="20"/>
        </w:rPr>
        <w:t>alsts ir atkarīga no energoresursu importa, lai apmierinātu savas enerģētiskās vajadzības. Enerģētiskā atkarība ir indikators, kas tiek aprēķināts, atņemot no energoresursu importa rādītāja eksporta apjomu un dalot  ar kopējo energoresursu patēriņu. Šādu indikatoru iespējams aprēķināt jebkuram energoresursu produktam.</w:t>
      </w:r>
    </w:p>
  </w:footnote>
  <w:footnote w:id="210">
    <w:p w14:paraId="7D95B413" w14:textId="65D8F260" w:rsidR="00C80B8F" w:rsidRDefault="00C80B8F">
      <w:pPr>
        <w:pStyle w:val="FootnoteText"/>
      </w:pPr>
      <w:r>
        <w:rPr>
          <w:rStyle w:val="FootnoteReference"/>
        </w:rPr>
        <w:footnoteRef/>
      </w:r>
      <w:r>
        <w:t xml:space="preserve"> EUROSTAT</w:t>
      </w:r>
    </w:p>
  </w:footnote>
  <w:footnote w:id="211">
    <w:p w14:paraId="00A0403F" w14:textId="53179B3F" w:rsidR="00C80B8F" w:rsidRDefault="00C80B8F">
      <w:pPr>
        <w:pStyle w:val="FootnoteText"/>
      </w:pPr>
      <w:r>
        <w:rPr>
          <w:rStyle w:val="FootnoteReference"/>
        </w:rPr>
        <w:footnoteRef/>
      </w:r>
      <w:r>
        <w:t xml:space="preserve"> </w:t>
      </w:r>
      <w:r w:rsidRPr="00C25301">
        <w:t>Avots: AS “Augstsprieguma tīkls”</w:t>
      </w:r>
    </w:p>
  </w:footnote>
  <w:footnote w:id="212">
    <w:p w14:paraId="5E10A726" w14:textId="2EAA355D" w:rsidR="00C80B8F" w:rsidRDefault="00C80B8F">
      <w:pPr>
        <w:pStyle w:val="FootnoteText"/>
      </w:pPr>
      <w:r>
        <w:rPr>
          <w:rStyle w:val="FootnoteReference"/>
        </w:rPr>
        <w:footnoteRef/>
      </w:r>
      <w:r>
        <w:t xml:space="preserve"> Saskaņā ar regulas Nr. 2017/1938 prasībām N – 1 ≥ 100 %</w:t>
      </w:r>
    </w:p>
  </w:footnote>
  <w:footnote w:id="213">
    <w:p w14:paraId="47A31A9E" w14:textId="1FE26CA7" w:rsidR="00C80B8F" w:rsidRDefault="00C80B8F">
      <w:pPr>
        <w:pStyle w:val="FootnoteText"/>
      </w:pPr>
      <w:r>
        <w:rPr>
          <w:rStyle w:val="FootnoteReference"/>
        </w:rPr>
        <w:footnoteRef/>
      </w:r>
      <w:r>
        <w:t xml:space="preserve"> Avots: a/s “Conexus Baltic Grid” (</w:t>
      </w:r>
      <w:hyperlink r:id="rId94" w:history="1">
        <w:r w:rsidRPr="006114BE">
          <w:rPr>
            <w:rStyle w:val="Hyperlink"/>
          </w:rPr>
          <w:t>http://www.conexus.lv/uploads/filedir/parvades_operatora_zinojums_2018.pdf</w:t>
        </w:r>
      </w:hyperlink>
      <w:r>
        <w:t xml:space="preserve">) </w:t>
      </w:r>
    </w:p>
  </w:footnote>
  <w:footnote w:id="214">
    <w:p w14:paraId="13854E2D" w14:textId="7F9F4534" w:rsidR="00C80B8F" w:rsidRDefault="00C80B8F">
      <w:pPr>
        <w:pStyle w:val="FootnoteText"/>
      </w:pPr>
      <w:r>
        <w:rPr>
          <w:rStyle w:val="FootnoteReference"/>
        </w:rPr>
        <w:footnoteRef/>
      </w:r>
      <w:r>
        <w:t xml:space="preserve"> </w:t>
      </w:r>
      <w:r w:rsidRPr="000C5FCB">
        <w:t>Noslogotība = mēneša summārā komercplūsmas kWh / mēneša summārā neto pārvades jauda kWh („Net Transfer Capacity” NTC).</w:t>
      </w:r>
    </w:p>
  </w:footnote>
  <w:footnote w:id="215">
    <w:p w14:paraId="6D8F0EF9" w14:textId="6FED1145" w:rsidR="00C80B8F" w:rsidRDefault="00C80B8F">
      <w:pPr>
        <w:pStyle w:val="FootnoteText"/>
      </w:pPr>
      <w:r>
        <w:rPr>
          <w:rStyle w:val="FootnoteReference"/>
        </w:rPr>
        <w:footnoteRef/>
      </w:r>
      <w:r>
        <w:t xml:space="preserve"> </w:t>
      </w:r>
      <w:r w:rsidRPr="00583754">
        <w:t>Aprēķinam izmantota vidējā Nord Pool elektroenerģijas cena – 0,0348EUR/kWh</w:t>
      </w:r>
    </w:p>
  </w:footnote>
  <w:footnote w:id="216">
    <w:p w14:paraId="3203F1B7" w14:textId="2ED5E8B0" w:rsidR="00C80B8F" w:rsidRPr="00D327E6" w:rsidRDefault="00C80B8F" w:rsidP="00583754">
      <w:pPr>
        <w:pStyle w:val="FootnoteText"/>
        <w:rPr>
          <w:color w:val="0563C1" w:themeColor="hyperlink"/>
          <w:u w:val="single"/>
        </w:rPr>
      </w:pPr>
      <w:r w:rsidRPr="000951BA">
        <w:rPr>
          <w:rStyle w:val="FootnoteReference"/>
        </w:rPr>
        <w:footnoteRef/>
      </w:r>
      <w:r w:rsidRPr="000951BA">
        <w:t xml:space="preserve"> Eurostat Statistics Explained “Natural gas price </w:t>
      </w:r>
      <w:r w:rsidRPr="00E9468D">
        <w:t xml:space="preserve">statistics”, dati izgūti 2017.gada novembrī </w:t>
      </w:r>
      <w:hyperlink r:id="rId95" w:history="1">
        <w:r w:rsidRPr="000951BA">
          <w:rPr>
            <w:rStyle w:val="Hyperlink"/>
          </w:rPr>
          <w:t>http://ec.europa.eu/eurostat/statistics-explained/index.php/Natural_gas_price_statistics</w:t>
        </w:r>
      </w:hyperlink>
    </w:p>
  </w:footnote>
  <w:footnote w:id="217">
    <w:p w14:paraId="5324C329" w14:textId="77777777" w:rsidR="00C80B8F" w:rsidRPr="00040816" w:rsidRDefault="00C80B8F" w:rsidP="00583754">
      <w:pPr>
        <w:pStyle w:val="FootnoteText"/>
      </w:pPr>
      <w:r>
        <w:rPr>
          <w:rStyle w:val="FootnoteReference"/>
        </w:rPr>
        <w:footnoteRef/>
      </w:r>
      <w:r>
        <w:t xml:space="preserve"> </w:t>
      </w:r>
      <w:r w:rsidRPr="00040816">
        <w:t>Natural gas price statistics http://ec.europa.eu/eurostat/statistics-explained/index.php/Natural_gas_price_statistics#Natural_gas_prices_for_household_consumers</w:t>
      </w:r>
    </w:p>
  </w:footnote>
  <w:footnote w:id="218">
    <w:p w14:paraId="445FE924" w14:textId="31DD5620" w:rsidR="00C80B8F" w:rsidRDefault="00C80B8F" w:rsidP="00583754">
      <w:pPr>
        <w:pStyle w:val="FootnoteText"/>
        <w:jc w:val="both"/>
        <w:rPr>
          <w:rStyle w:val="Hyperlink"/>
        </w:rPr>
      </w:pPr>
      <w:r w:rsidRPr="000951BA">
        <w:rPr>
          <w:rStyle w:val="FootnoteReference"/>
        </w:rPr>
        <w:footnoteRef/>
      </w:r>
      <w:r w:rsidRPr="000951BA">
        <w:t xml:space="preserve"> Gas prices for</w:t>
      </w:r>
      <w:r w:rsidRPr="00E9468D">
        <w:t xml:space="preserve"> non-household consumers - bi-annual data (from 2007 onwards) (nrg_pc_203), Latvia, Lithuania, Esonia, EU </w:t>
      </w:r>
      <w:hyperlink r:id="rId96" w:history="1">
        <w:r w:rsidRPr="000951BA">
          <w:rPr>
            <w:rStyle w:val="Hyperlink"/>
          </w:rPr>
          <w:t>http://ec.europa.eu/eurostat/data/database</w:t>
        </w:r>
      </w:hyperlink>
    </w:p>
    <w:p w14:paraId="133DE8DD" w14:textId="6A8E93C8" w:rsidR="00C80B8F" w:rsidRPr="000951BA" w:rsidRDefault="00C80B8F" w:rsidP="00583754">
      <w:pPr>
        <w:pStyle w:val="FootnoteText"/>
        <w:jc w:val="both"/>
      </w:pPr>
      <w:r>
        <w:t>a</w:t>
      </w:r>
      <w:r w:rsidRPr="00C95640">
        <w:t>vots: Eurostat; Ekonomikas ministrija</w:t>
      </w:r>
    </w:p>
  </w:footnote>
  <w:footnote w:id="219">
    <w:p w14:paraId="2E7FDD7A" w14:textId="77777777" w:rsidR="00C80B8F" w:rsidRPr="00E030A9" w:rsidRDefault="00C80B8F" w:rsidP="00583754">
      <w:pPr>
        <w:pStyle w:val="FootnoteText"/>
        <w:jc w:val="both"/>
      </w:pPr>
      <w:r w:rsidRPr="000951BA">
        <w:rPr>
          <w:rStyle w:val="FootnoteReference"/>
        </w:rPr>
        <w:footnoteRef/>
      </w:r>
      <w:r w:rsidRPr="000951BA">
        <w:t xml:space="preserve"> Quarterly Report on European Gas Markets, Mark</w:t>
      </w:r>
      <w:r w:rsidRPr="00E9468D">
        <w:t>et Observatory for Energy, DG Energy Volume 9,issue 1; fourth quarter of 2015 and first quarter of 2016</w:t>
      </w:r>
    </w:p>
    <w:p w14:paraId="7A604B29" w14:textId="77777777" w:rsidR="00C80B8F" w:rsidRPr="000951BA" w:rsidRDefault="00C80B8F" w:rsidP="00583754">
      <w:pPr>
        <w:pStyle w:val="FootnoteText"/>
        <w:jc w:val="both"/>
      </w:pPr>
      <w:hyperlink r:id="rId97" w:history="1">
        <w:r w:rsidRPr="00285D4F">
          <w:rPr>
            <w:rStyle w:val="Hyperlink"/>
          </w:rPr>
          <w:t>https://ec.europa.eu/energy/en/data-analysis/market-analysis</w:t>
        </w:r>
      </w:hyperlink>
    </w:p>
  </w:footnote>
  <w:footnote w:id="220">
    <w:p w14:paraId="5B306CCA" w14:textId="77777777" w:rsidR="00C80B8F" w:rsidRPr="000951BA" w:rsidRDefault="00C80B8F" w:rsidP="00583754">
      <w:pPr>
        <w:pStyle w:val="FootnoteText"/>
      </w:pPr>
      <w:r w:rsidRPr="000951BA">
        <w:rPr>
          <w:rStyle w:val="FootnoteReference"/>
        </w:rPr>
        <w:footnoteRef/>
      </w:r>
      <w:r w:rsidRPr="000951BA">
        <w:t xml:space="preserve"> Quarterly Report on European Gas Markets, Market Observato</w:t>
      </w:r>
      <w:r w:rsidRPr="00E9468D">
        <w:t xml:space="preserve">ry for Energy, DG Energy Volume 10,issue 4; fourth quarter of 2017 </w:t>
      </w:r>
      <w:hyperlink r:id="rId98" w:history="1">
        <w:r w:rsidRPr="00E9468D">
          <w:rPr>
            <w:rStyle w:val="Hyperlink"/>
          </w:rPr>
          <w:t>https://ec.europa.eu/energy/sites/ener/files/documents/quarterly_report_on_european_gas_markets_q4_2017_final_20180323.pdf</w:t>
        </w:r>
      </w:hyperlink>
    </w:p>
  </w:footnote>
  <w:footnote w:id="221">
    <w:p w14:paraId="6BCA55D3" w14:textId="14BA52A3" w:rsidR="00C80B8F" w:rsidRDefault="00C80B8F" w:rsidP="00583754">
      <w:pPr>
        <w:pStyle w:val="FootnoteText"/>
        <w:jc w:val="both"/>
        <w:rPr>
          <w:rStyle w:val="Hyperlink"/>
        </w:rPr>
      </w:pPr>
      <w:r w:rsidRPr="008F0405">
        <w:rPr>
          <w:rStyle w:val="FootnoteReference"/>
        </w:rPr>
        <w:footnoteRef/>
      </w:r>
      <w:r w:rsidRPr="008F0405">
        <w:t xml:space="preserve"> Iepirkumi </w:t>
      </w:r>
      <w:hyperlink r:id="rId99" w:history="1">
        <w:r w:rsidRPr="00BC375C">
          <w:rPr>
            <w:rStyle w:val="Hyperlink"/>
          </w:rPr>
          <w:t>https://www.iub.gov.lv/lv/iubsearch/q/dabasg%C4%81ze/</w:t>
        </w:r>
      </w:hyperlink>
    </w:p>
    <w:p w14:paraId="4B00F4E1" w14:textId="4F4774F0" w:rsidR="00C80B8F" w:rsidRPr="000951BA" w:rsidRDefault="00C80B8F" w:rsidP="00583754">
      <w:pPr>
        <w:pStyle w:val="FootnoteText"/>
        <w:jc w:val="both"/>
      </w:pPr>
      <w:r>
        <w:t>a</w:t>
      </w:r>
      <w:r w:rsidRPr="00C95640">
        <w:t>vots: Ekonomikas ministrija, Iepirkumu uzraudzības birojs</w:t>
      </w:r>
    </w:p>
  </w:footnote>
  <w:footnote w:id="222">
    <w:p w14:paraId="5CCE0B5D" w14:textId="6F59F76B" w:rsidR="00C80B8F" w:rsidRDefault="00C80B8F" w:rsidP="000671F8">
      <w:pPr>
        <w:pStyle w:val="FootnoteText"/>
        <w:rPr>
          <w:sz w:val="20"/>
          <w:szCs w:val="20"/>
        </w:rPr>
      </w:pPr>
      <w:r>
        <w:rPr>
          <w:rStyle w:val="FootnoteReference"/>
        </w:rPr>
        <w:footnoteRef/>
      </w:r>
      <w:r>
        <w:t xml:space="preserve"> EUROSTAT</w:t>
      </w:r>
    </w:p>
  </w:footnote>
  <w:footnote w:id="223">
    <w:p w14:paraId="2E2B6B43" w14:textId="3DCD09D5" w:rsidR="00C80B8F" w:rsidRDefault="00C80B8F" w:rsidP="000671F8">
      <w:pPr>
        <w:pStyle w:val="FootnoteText"/>
      </w:pPr>
      <w:r>
        <w:rPr>
          <w:rStyle w:val="FootnoteReference"/>
        </w:rPr>
        <w:footnoteRef/>
      </w:r>
      <w:r>
        <w:t xml:space="preserve"> EUROSTAT</w:t>
      </w:r>
    </w:p>
  </w:footnote>
  <w:footnote w:id="224">
    <w:p w14:paraId="52BEAD73" w14:textId="77777777" w:rsidR="00C80B8F" w:rsidRDefault="00C80B8F" w:rsidP="000671F8">
      <w:pPr>
        <w:pStyle w:val="FootnoteText"/>
      </w:pPr>
      <w:r>
        <w:rPr>
          <w:rStyle w:val="FootnoteReference"/>
        </w:rPr>
        <w:footnoteRef/>
      </w:r>
      <w:r>
        <w:t xml:space="preserve"> Tabulā iekļauti tie mājsaimniecību veidi, kur atšķirības ar ES-28 vidējo rādītāju ir vairāk kā 4 procentpunkti. </w:t>
      </w:r>
    </w:p>
  </w:footnote>
  <w:footnote w:id="225">
    <w:p w14:paraId="74C474A5" w14:textId="77777777" w:rsidR="00C80B8F" w:rsidRPr="00E30EE6" w:rsidRDefault="00C80B8F" w:rsidP="00166C61">
      <w:pPr>
        <w:pStyle w:val="NormalWeb"/>
        <w:spacing w:before="0" w:beforeAutospacing="0" w:after="0" w:afterAutospacing="0"/>
        <w:textAlignment w:val="baseline"/>
        <w:rPr>
          <w:sz w:val="18"/>
          <w:szCs w:val="18"/>
        </w:rPr>
      </w:pPr>
      <w:r w:rsidRPr="00E30EE6">
        <w:rPr>
          <w:rStyle w:val="FootnoteReference"/>
          <w:sz w:val="18"/>
          <w:szCs w:val="18"/>
        </w:rPr>
        <w:footnoteRef/>
      </w:r>
      <w:r w:rsidRPr="00E30EE6">
        <w:rPr>
          <w:sz w:val="18"/>
          <w:szCs w:val="18"/>
        </w:rPr>
        <w:t xml:space="preserve"> </w:t>
      </w:r>
      <w:hyperlink r:id="rId100" w:history="1">
        <w:r w:rsidRPr="00E30EE6">
          <w:rPr>
            <w:rStyle w:val="Hyperlink"/>
            <w:sz w:val="18"/>
            <w:szCs w:val="18"/>
          </w:rPr>
          <w:t>https://www.cfla.gov.lv/lv/es-fondi-2014-2020/projektu-istenosana/1-2-1-1-atbalsts-jaunu-produktu-un-tehnologiju-izstradei-kompetences-centru-ietvaros-1-karta</w:t>
        </w:r>
      </w:hyperlink>
      <w:r w:rsidRPr="00E30EE6">
        <w:rPr>
          <w:sz w:val="18"/>
          <w:szCs w:val="18"/>
        </w:rPr>
        <w:t xml:space="preserve"> </w:t>
      </w:r>
    </w:p>
    <w:p w14:paraId="2FBBD35B" w14:textId="77777777" w:rsidR="00C80B8F" w:rsidRPr="00E30EE6" w:rsidRDefault="00C80B8F" w:rsidP="00166C61">
      <w:pPr>
        <w:pStyle w:val="NormalWeb"/>
        <w:spacing w:before="0" w:beforeAutospacing="0" w:after="0" w:afterAutospacing="0"/>
        <w:textAlignment w:val="baseline"/>
        <w:rPr>
          <w:rStyle w:val="Hyperlink"/>
          <w:rFonts w:eastAsiaTheme="majorEastAsia"/>
          <w:color w:val="533666"/>
          <w:sz w:val="18"/>
          <w:szCs w:val="18"/>
          <w:bdr w:val="none" w:sz="0" w:space="0" w:color="auto" w:frame="1"/>
        </w:rPr>
      </w:pPr>
      <w:hyperlink r:id="rId101" w:history="1">
        <w:r w:rsidRPr="00E30EE6">
          <w:rPr>
            <w:rStyle w:val="Hyperlink"/>
            <w:rFonts w:eastAsiaTheme="majorEastAsia"/>
            <w:color w:val="533666"/>
            <w:sz w:val="18"/>
            <w:szCs w:val="18"/>
            <w:bdr w:val="none" w:sz="0" w:space="0" w:color="auto" w:frame="1"/>
          </w:rPr>
          <w:t>http://www.cfla.gov.lv/lv/es-fondi-2014-2020/izsludinatas-atlases/1-2-1-1-atbalsts-jaunu-produktu-un-tehnologiju-izstradei-kompetences-centru-ietvaros-2-karta</w:t>
        </w:r>
      </w:hyperlink>
    </w:p>
    <w:p w14:paraId="53A815CF" w14:textId="77777777" w:rsidR="00C80B8F" w:rsidRDefault="00C80B8F" w:rsidP="00166C61">
      <w:pPr>
        <w:pStyle w:val="FootnoteText"/>
      </w:pPr>
      <w:hyperlink r:id="rId102" w:history="1">
        <w:r w:rsidRPr="00E30EE6">
          <w:rPr>
            <w:rStyle w:val="Hyperlink"/>
          </w:rPr>
          <w:t>https://cfla.gov.lv/lv/es-fondi-2014-2020/izsludinatas-atlases/1-2-1-1-k-4</w:t>
        </w:r>
      </w:hyperlink>
    </w:p>
  </w:footnote>
  <w:footnote w:id="226">
    <w:p w14:paraId="3D057086" w14:textId="5969CDEC" w:rsidR="00C80B8F" w:rsidRDefault="00C80B8F">
      <w:pPr>
        <w:pStyle w:val="FootnoteText"/>
      </w:pPr>
      <w:r>
        <w:rPr>
          <w:rStyle w:val="FootnoteReference"/>
        </w:rPr>
        <w:footnoteRef/>
      </w:r>
      <w:r>
        <w:t xml:space="preserve"> </w:t>
      </w:r>
      <w:hyperlink r:id="rId103" w:history="1">
        <w:r w:rsidRPr="0017515F">
          <w:rPr>
            <w:rStyle w:val="Hyperlink"/>
            <w:rFonts w:eastAsiaTheme="majorEastAsia"/>
            <w:color w:val="533666"/>
            <w:bdr w:val="none" w:sz="0" w:space="0" w:color="auto" w:frame="1"/>
          </w:rPr>
          <w:t>http://cfla.gov.lv/lv/es-fondi-2014-2020/izsludinatas-atlases/1-2-1-2</w:t>
        </w:r>
      </w:hyperlink>
    </w:p>
  </w:footnote>
  <w:footnote w:id="227">
    <w:p w14:paraId="243CF76C" w14:textId="02178E5A" w:rsidR="00C80B8F" w:rsidRDefault="00C80B8F">
      <w:pPr>
        <w:pStyle w:val="FootnoteText"/>
      </w:pPr>
      <w:r>
        <w:rPr>
          <w:rStyle w:val="FootnoteReference"/>
        </w:rPr>
        <w:footnoteRef/>
      </w:r>
      <w:r>
        <w:t xml:space="preserve"> </w:t>
      </w:r>
      <w:hyperlink r:id="rId104" w:history="1">
        <w:r w:rsidRPr="006E20B3">
          <w:rPr>
            <w:rStyle w:val="Hyperlink"/>
          </w:rPr>
          <w:t>https://em.gov.lv/lv/es_fondi/atbalsta_pasakumi_2014_2020/jaunu_produktu_ieviesanas_razosana/</w:t>
        </w:r>
      </w:hyperlink>
      <w:r>
        <w:t xml:space="preserve"> </w:t>
      </w:r>
    </w:p>
  </w:footnote>
  <w:footnote w:id="228">
    <w:p w14:paraId="5ACF85A4" w14:textId="184569C9" w:rsidR="00C80B8F" w:rsidRDefault="00C80B8F">
      <w:pPr>
        <w:pStyle w:val="FootnoteText"/>
      </w:pPr>
      <w:r>
        <w:rPr>
          <w:rStyle w:val="FootnoteReference"/>
        </w:rPr>
        <w:footnoteRef/>
      </w:r>
      <w:r>
        <w:t xml:space="preserve"> </w:t>
      </w:r>
      <w:hyperlink r:id="rId105" w:history="1">
        <w:r w:rsidRPr="0017515F">
          <w:rPr>
            <w:rStyle w:val="Hyperlink"/>
            <w:rFonts w:eastAsiaTheme="majorEastAsia"/>
            <w:color w:val="533666"/>
            <w:bdr w:val="none" w:sz="0" w:space="0" w:color="auto" w:frame="1"/>
          </w:rPr>
          <w:t>http://www.cfla.gov.lv/lv/es-fondi-2014-2020/izsludinatas-atlases/1-2-2-1-atbalsts-nodarbinato-apmacibam</w:t>
        </w:r>
      </w:hyperlink>
    </w:p>
  </w:footnote>
  <w:footnote w:id="229">
    <w:p w14:paraId="5A7E64B2" w14:textId="06A03075" w:rsidR="00C80B8F" w:rsidRDefault="00C80B8F">
      <w:pPr>
        <w:pStyle w:val="FootnoteText"/>
      </w:pPr>
      <w:r>
        <w:rPr>
          <w:rStyle w:val="FootnoteReference"/>
        </w:rPr>
        <w:footnoteRef/>
      </w:r>
      <w:r>
        <w:t xml:space="preserve"> </w:t>
      </w:r>
      <w:hyperlink r:id="rId106" w:history="1">
        <w:r w:rsidRPr="0017515F">
          <w:rPr>
            <w:rStyle w:val="Hyperlink"/>
            <w:rFonts w:eastAsiaTheme="majorEastAsia"/>
            <w:color w:val="533666"/>
            <w:bdr w:val="none" w:sz="0" w:space="0" w:color="auto" w:frame="1"/>
          </w:rPr>
          <w:t>http://cfla.gov.lv/lv/es-fondi-2014-2020/izsludinatas-atlases/1-2-2-2-inovaciju-motivacijas-programma</w:t>
        </w:r>
      </w:hyperlink>
    </w:p>
  </w:footnote>
  <w:footnote w:id="230">
    <w:p w14:paraId="04690E62" w14:textId="53CED27E" w:rsidR="00C80B8F" w:rsidRDefault="00C80B8F">
      <w:pPr>
        <w:pStyle w:val="FootnoteText"/>
      </w:pPr>
      <w:r>
        <w:rPr>
          <w:rStyle w:val="FootnoteReference"/>
        </w:rPr>
        <w:footnoteRef/>
      </w:r>
      <w:r>
        <w:t xml:space="preserve"> </w:t>
      </w:r>
      <w:hyperlink r:id="rId107" w:history="1">
        <w:r w:rsidRPr="0017515F">
          <w:rPr>
            <w:rStyle w:val="Hyperlink"/>
            <w:rFonts w:eastAsiaTheme="majorEastAsia"/>
            <w:color w:val="533666"/>
            <w:bdr w:val="none" w:sz="0" w:space="0" w:color="auto" w:frame="1"/>
          </w:rPr>
          <w:t>http://www.cfla.gov.lv/lv/es-fondi-2014-2020/izsludinatas-atlases/1-2-2-3-atbalsts-ikt-un-netehnologiskam-apmacibam-ka-ari-apmacibam-lai-sekmetu-investoru-piesaisti</w:t>
        </w:r>
      </w:hyperlink>
    </w:p>
  </w:footnote>
  <w:footnote w:id="231">
    <w:p w14:paraId="50FA186F" w14:textId="23EF0CDC" w:rsidR="00C80B8F" w:rsidRDefault="00C80B8F">
      <w:pPr>
        <w:pStyle w:val="FootnoteText"/>
      </w:pPr>
      <w:r>
        <w:rPr>
          <w:rStyle w:val="FootnoteReference"/>
        </w:rPr>
        <w:footnoteRef/>
      </w:r>
      <w:r>
        <w:t xml:space="preserve"> </w:t>
      </w:r>
      <w:hyperlink r:id="rId108" w:history="1">
        <w:r w:rsidRPr="006E20B3">
          <w:rPr>
            <w:rStyle w:val="Hyperlink"/>
          </w:rPr>
          <w:t>https://www.em.gov.lv/lv/es_fondi/atbalsta_pasakumi_2014_2020/mazo_un_videjo_komersantu_konkuretspejas_veicinasana/Mazo%20un%20vid%C4%93jo%20komersantu%20konkur%C4%93tsp%C4%93jas%20veicin%C4%81%C5%A1ana/</w:t>
        </w:r>
      </w:hyperlink>
      <w:r>
        <w:t xml:space="preserve"> </w:t>
      </w:r>
    </w:p>
  </w:footnote>
  <w:footnote w:id="232">
    <w:p w14:paraId="3366FFEE" w14:textId="434F7249" w:rsidR="00C80B8F" w:rsidRDefault="00C80B8F">
      <w:pPr>
        <w:pStyle w:val="FootnoteText"/>
      </w:pPr>
      <w:r>
        <w:rPr>
          <w:rStyle w:val="FootnoteReference"/>
        </w:rPr>
        <w:footnoteRef/>
      </w:r>
      <w:r>
        <w:t xml:space="preserve"> </w:t>
      </w:r>
      <w:hyperlink r:id="rId109" w:tgtFrame="_blank" w:history="1">
        <w:r w:rsidRPr="0017515F">
          <w:rPr>
            <w:rStyle w:val="Hyperlink"/>
            <w:rFonts w:eastAsiaTheme="majorEastAsia"/>
            <w:color w:val="533666"/>
            <w:bdr w:val="none" w:sz="0" w:space="0" w:color="auto" w:frame="1"/>
          </w:rPr>
          <w:t>http://cfla.gov.lv/lv/es-fondi-2014-2020/projektu-istenosana/3-1-1-6-regionalie-biznesa-inkubatori-un-radoso-industriju-inkubators</w:t>
        </w:r>
      </w:hyperlink>
    </w:p>
  </w:footnote>
  <w:footnote w:id="233">
    <w:p w14:paraId="37BC6D0B" w14:textId="1BE28D45" w:rsidR="00C80B8F" w:rsidRDefault="00C80B8F">
      <w:pPr>
        <w:pStyle w:val="FootnoteText"/>
      </w:pPr>
      <w:r>
        <w:rPr>
          <w:rStyle w:val="FootnoteReference"/>
        </w:rPr>
        <w:footnoteRef/>
      </w:r>
      <w:r>
        <w:t xml:space="preserve"> </w:t>
      </w:r>
      <w:hyperlink r:id="rId110" w:tgtFrame="_blank" w:history="1">
        <w:r w:rsidRPr="0017515F">
          <w:rPr>
            <w:rStyle w:val="Hyperlink"/>
            <w:color w:val="533666"/>
            <w:szCs w:val="24"/>
            <w:bdr w:val="none" w:sz="0" w:space="0" w:color="auto" w:frame="1"/>
          </w:rPr>
          <w:t>http://www.cfla.gov.lv/lv/es-fondi-2014-2020/izsludinatas-atlases/3-2-1-2</w:t>
        </w:r>
      </w:hyperlink>
    </w:p>
  </w:footnote>
  <w:footnote w:id="234">
    <w:p w14:paraId="2838DC3F" w14:textId="7F56E51D" w:rsidR="00C80B8F" w:rsidRDefault="00C80B8F">
      <w:pPr>
        <w:pStyle w:val="FootnoteText"/>
      </w:pPr>
      <w:r>
        <w:rPr>
          <w:rStyle w:val="FootnoteReference"/>
        </w:rPr>
        <w:footnoteRef/>
      </w:r>
      <w:r>
        <w:t xml:space="preserve"> </w:t>
      </w:r>
      <w:hyperlink r:id="rId111" w:history="1">
        <w:r w:rsidRPr="006E20B3">
          <w:rPr>
            <w:rStyle w:val="Hyperlink"/>
          </w:rPr>
          <w:t>https://em.gov.lv/lv/es_fondi/atbalsta_pasakumi_2014_2020/klasteru_programma/</w:t>
        </w:r>
      </w:hyperlink>
      <w:r>
        <w:t xml:space="preserve"> </w:t>
      </w:r>
    </w:p>
  </w:footnote>
  <w:footnote w:id="235">
    <w:p w14:paraId="0F7CE3E9" w14:textId="2DC7A40D" w:rsidR="00C80B8F" w:rsidRDefault="00C80B8F">
      <w:pPr>
        <w:pStyle w:val="FootnoteText"/>
      </w:pPr>
      <w:r>
        <w:rPr>
          <w:rStyle w:val="FootnoteReference"/>
        </w:rPr>
        <w:footnoteRef/>
      </w:r>
      <w:r>
        <w:t xml:space="preserve"> </w:t>
      </w:r>
      <w:r w:rsidRPr="00C0595A">
        <w:t>https://www.altum.lv/lv/pakalpojumi/biznesa-uzsacejiem/akseleracijas-fondi/par-programmu/</w:t>
      </w:r>
    </w:p>
  </w:footnote>
  <w:footnote w:id="236">
    <w:p w14:paraId="48BE2B1D" w14:textId="7D9C7AF4" w:rsidR="00C80B8F" w:rsidRDefault="00C80B8F">
      <w:pPr>
        <w:pStyle w:val="FootnoteText"/>
      </w:pPr>
      <w:r>
        <w:rPr>
          <w:rStyle w:val="FootnoteReference"/>
        </w:rPr>
        <w:footnoteRef/>
      </w:r>
      <w:hyperlink r:id="rId112" w:history="1">
        <w:r w:rsidRPr="006E20B3">
          <w:rPr>
            <w:rStyle w:val="Hyperlink"/>
          </w:rPr>
          <w:t>https://www.em.gov.lv/lv/es_fondi/atbalsta_pasakumi_2014_2020/mazo_un_videjo_komersantu_konkuretspejas_veicinasana/seklas_un_sakuma_kapitala_fondi/</w:t>
        </w:r>
      </w:hyperlink>
      <w:r>
        <w:t xml:space="preserve"> </w:t>
      </w:r>
    </w:p>
  </w:footnote>
  <w:footnote w:id="237">
    <w:p w14:paraId="28BD5FFC" w14:textId="7725E16B" w:rsidR="00C80B8F" w:rsidRDefault="00C80B8F">
      <w:pPr>
        <w:pStyle w:val="FootnoteText"/>
      </w:pPr>
      <w:r>
        <w:rPr>
          <w:rStyle w:val="FootnoteReference"/>
        </w:rPr>
        <w:footnoteRef/>
      </w:r>
      <w:hyperlink r:id="rId113" w:history="1">
        <w:r w:rsidRPr="006E20B3">
          <w:rPr>
            <w:rStyle w:val="Hyperlink"/>
          </w:rPr>
          <w:t>https://www.em.gov.lv/lv/es_fondi/atbalsta_pasakumi_2014_2020/mazo_un_videjo_komersantu_konkuretspejas_veicinasana/izaugsmes_kapitala_fondi/</w:t>
        </w:r>
      </w:hyperlink>
      <w:r>
        <w:t xml:space="preserve"> </w:t>
      </w:r>
    </w:p>
  </w:footnote>
  <w:footnote w:id="238">
    <w:p w14:paraId="6D58EF68" w14:textId="0345AC9A" w:rsidR="00C80B8F" w:rsidRDefault="00C80B8F">
      <w:pPr>
        <w:pStyle w:val="FootnoteText"/>
      </w:pPr>
      <w:r>
        <w:rPr>
          <w:rStyle w:val="FootnoteReference"/>
        </w:rPr>
        <w:footnoteRef/>
      </w:r>
      <w:hyperlink r:id="rId114" w:history="1">
        <w:r w:rsidRPr="006E20B3">
          <w:rPr>
            <w:rStyle w:val="Hyperlink"/>
          </w:rPr>
          <w:t>https://www.em.gov.lv/lv/es_fondi/atbalsta_pasakumi_2014_2020/mazo_un_videjo_komersantu_konkuretspejas_veicinasana/paralelie_aizdevumi/</w:t>
        </w:r>
      </w:hyperlink>
      <w:r>
        <w:t xml:space="preserve"> </w:t>
      </w:r>
    </w:p>
  </w:footnote>
  <w:footnote w:id="239">
    <w:p w14:paraId="1C8455D8" w14:textId="71F834E2" w:rsidR="00C80B8F" w:rsidRDefault="00C80B8F">
      <w:pPr>
        <w:pStyle w:val="FootnoteText"/>
      </w:pPr>
      <w:r>
        <w:rPr>
          <w:rStyle w:val="FootnoteReference"/>
        </w:rPr>
        <w:footnoteRef/>
      </w:r>
      <w:hyperlink r:id="rId115" w:history="1">
        <w:r w:rsidRPr="006E20B3">
          <w:rPr>
            <w:rStyle w:val="Hyperlink"/>
          </w:rPr>
          <w:t>https://www.em.gov.lv/lv/es_fondi/atbalsta_pasakumi_2014_2020/mazo_un_videjo_komersantu_konkuretspejas_veicinasana/mikrokreditesana_un_aizdevumi_biznesa_uzsacejiem/</w:t>
        </w:r>
      </w:hyperlink>
      <w:r>
        <w:t xml:space="preserve"> </w:t>
      </w:r>
    </w:p>
  </w:footnote>
  <w:footnote w:id="240">
    <w:p w14:paraId="74BCEE80" w14:textId="4B05C37C" w:rsidR="00C80B8F" w:rsidRDefault="00C80B8F">
      <w:pPr>
        <w:pStyle w:val="FootnoteText"/>
      </w:pPr>
      <w:r>
        <w:rPr>
          <w:rStyle w:val="FootnoteReference"/>
        </w:rPr>
        <w:footnoteRef/>
      </w:r>
      <w:hyperlink r:id="rId116" w:history="1">
        <w:r w:rsidRPr="006E20B3">
          <w:rPr>
            <w:rStyle w:val="Hyperlink"/>
          </w:rPr>
          <w:t>https://www.em.gov.lv/lv/es_fondi/atbalsta_pasakumi_2014_2020/mazo_un_videjo_komersantu_konkuretspejas_veicinasana/aizdevumu_garantijas/</w:t>
        </w:r>
      </w:hyperlink>
      <w:r>
        <w:t xml:space="preserve"> </w:t>
      </w:r>
    </w:p>
  </w:footnote>
  <w:footnote w:id="241">
    <w:p w14:paraId="4409570B" w14:textId="6C583173" w:rsidR="00C80B8F" w:rsidRDefault="00C80B8F">
      <w:pPr>
        <w:pStyle w:val="FootnoteText"/>
      </w:pPr>
      <w:r>
        <w:rPr>
          <w:rStyle w:val="FootnoteReference"/>
        </w:rPr>
        <w:footnoteRef/>
      </w:r>
      <w:hyperlink r:id="rId117" w:history="1">
        <w:r w:rsidRPr="006E20B3">
          <w:rPr>
            <w:rStyle w:val="Hyperlink"/>
          </w:rPr>
          <w:t>https://www.em.gov.lv/lv/es_fondi/atbalsta_pasakumi_2014_2020/mazo_un_videjo_komersantu_konkuretspejas_veicinasana/eksporta_kreditu_garantijas/</w:t>
        </w:r>
      </w:hyperlink>
      <w:r>
        <w:t xml:space="preserve"> </w:t>
      </w:r>
    </w:p>
  </w:footnote>
  <w:footnote w:id="242">
    <w:p w14:paraId="2734271A" w14:textId="77777777" w:rsidR="00C80B8F" w:rsidRDefault="00C80B8F" w:rsidP="0012612C">
      <w:pPr>
        <w:pStyle w:val="FootnoteText"/>
      </w:pPr>
      <w:r>
        <w:rPr>
          <w:rStyle w:val="FootnoteReference"/>
        </w:rPr>
        <w:footnoteRef/>
      </w:r>
      <w:r>
        <w:t xml:space="preserve"> </w:t>
      </w:r>
      <w:r w:rsidRPr="00FD3CEE">
        <w:t>http://latenergi.rtu.lv/index.html</w:t>
      </w:r>
    </w:p>
  </w:footnote>
  <w:footnote w:id="243">
    <w:p w14:paraId="2125EE73" w14:textId="77777777" w:rsidR="00C80B8F" w:rsidRDefault="00C80B8F" w:rsidP="0012612C">
      <w:pPr>
        <w:pStyle w:val="FootnoteText"/>
      </w:pPr>
      <w:r>
        <w:rPr>
          <w:rStyle w:val="FootnoteReference"/>
        </w:rPr>
        <w:footnoteRef/>
      </w:r>
      <w:r>
        <w:t xml:space="preserve"> </w:t>
      </w:r>
      <w:r w:rsidRPr="00FD3CEE">
        <w:t>http://www.vpp-evident.lv/</w:t>
      </w:r>
    </w:p>
  </w:footnote>
  <w:footnote w:id="244">
    <w:p w14:paraId="62698C9A" w14:textId="20F4335D" w:rsidR="00C80B8F" w:rsidRDefault="00C80B8F">
      <w:pPr>
        <w:pStyle w:val="FootnoteText"/>
      </w:pPr>
      <w:r>
        <w:rPr>
          <w:rStyle w:val="FootnoteReference"/>
        </w:rPr>
        <w:footnoteRef/>
      </w:r>
      <w:r>
        <w:t xml:space="preserve"> </w:t>
      </w:r>
      <w:hyperlink r:id="rId118" w:history="1">
        <w:r w:rsidRPr="00DF1D1C">
          <w:rPr>
            <w:rStyle w:val="Hyperlink"/>
          </w:rPr>
          <w:t>https://likumi.lv/ta/id/301891-par-valsts-petijumu-programmu-energetika</w:t>
        </w:r>
      </w:hyperlink>
      <w:r>
        <w:t xml:space="preserve"> </w:t>
      </w:r>
    </w:p>
  </w:footnote>
  <w:footnote w:id="245">
    <w:p w14:paraId="04650BBA" w14:textId="286BBD2F" w:rsidR="00C80B8F" w:rsidRDefault="00C80B8F">
      <w:pPr>
        <w:pStyle w:val="FootnoteText"/>
      </w:pPr>
      <w:r>
        <w:rPr>
          <w:rStyle w:val="FootnoteReference"/>
        </w:rPr>
        <w:footnoteRef/>
      </w:r>
      <w:r>
        <w:t xml:space="preserve"> </w:t>
      </w:r>
      <w:hyperlink r:id="rId119" w:history="1">
        <w:r w:rsidRPr="00DF1D1C">
          <w:rPr>
            <w:rStyle w:val="Hyperlink"/>
          </w:rPr>
          <w:t>https://www.em.gov.lv/lv/nozares_politika/valsts_petijumu_programma__energetika_/</w:t>
        </w:r>
      </w:hyperlink>
      <w:r>
        <w:t xml:space="preserve"> </w:t>
      </w:r>
    </w:p>
  </w:footnote>
  <w:footnote w:id="246">
    <w:p w14:paraId="59D002A4" w14:textId="44A6313A" w:rsidR="00C80B8F" w:rsidRDefault="00C80B8F">
      <w:pPr>
        <w:pStyle w:val="FootnoteText"/>
      </w:pPr>
      <w:r>
        <w:rPr>
          <w:rStyle w:val="FootnoteReference"/>
        </w:rPr>
        <w:footnoteRef/>
      </w:r>
      <w:r>
        <w:t xml:space="preserve"> </w:t>
      </w:r>
      <w:r>
        <w:rPr>
          <w:bCs/>
        </w:rPr>
        <w:t>avots: Apvārsnis 2020 programmkomitejas “Droša, tīra un efektīva enerģija” pārskata dati, 2018</w:t>
      </w:r>
    </w:p>
  </w:footnote>
  <w:footnote w:id="247">
    <w:p w14:paraId="2BF8823C" w14:textId="77777777" w:rsidR="00C80B8F" w:rsidRPr="00DE68F8" w:rsidRDefault="00C80B8F" w:rsidP="00ED1BD8">
      <w:pPr>
        <w:pStyle w:val="FootnoteText"/>
      </w:pPr>
      <w:r>
        <w:rPr>
          <w:rStyle w:val="FootnoteReference"/>
        </w:rPr>
        <w:footnoteRef/>
      </w:r>
      <w:r>
        <w:t xml:space="preserve"> </w:t>
      </w:r>
      <w:r w:rsidRPr="00BE539C">
        <w:t>Informatīvais ziņojums “Viedās specializācijas stratēģijas monitorings”</w:t>
      </w:r>
      <w:r>
        <w:t xml:space="preserve">, apstiprināts </w:t>
      </w:r>
      <w:r w:rsidRPr="00BE539C">
        <w:t>27.02.2018 MK sēdē</w:t>
      </w:r>
    </w:p>
  </w:footnote>
  <w:footnote w:id="248">
    <w:p w14:paraId="4C2D9B3B" w14:textId="77777777" w:rsidR="00C80B8F" w:rsidRDefault="00C80B8F" w:rsidP="00353EAE">
      <w:pPr>
        <w:pStyle w:val="FootnoteText"/>
        <w:rPr>
          <w:sz w:val="20"/>
          <w:szCs w:val="20"/>
        </w:rPr>
      </w:pPr>
      <w:r>
        <w:rPr>
          <w:rStyle w:val="FootnoteReference"/>
        </w:rPr>
        <w:footnoteRef/>
      </w:r>
      <w:r>
        <w:t xml:space="preserve"> </w:t>
      </w:r>
      <w:hyperlink r:id="rId120" w:history="1">
        <w:r>
          <w:rPr>
            <w:rStyle w:val="Hyperlink"/>
            <w:rFonts w:eastAsia="Times New Roman"/>
          </w:rPr>
          <w:t>Espacenet</w:t>
        </w:r>
      </w:hyperlink>
      <w:r>
        <w:rPr>
          <w:rFonts w:eastAsia="Times New Roman"/>
        </w:rPr>
        <w:t>.com datubāzē pieejamie dati</w:t>
      </w:r>
    </w:p>
  </w:footnote>
  <w:footnote w:id="249">
    <w:p w14:paraId="19D50F84" w14:textId="50F97B0C" w:rsidR="00C80B8F" w:rsidRDefault="00C80B8F">
      <w:pPr>
        <w:pStyle w:val="FootnoteText"/>
      </w:pPr>
      <w:r>
        <w:rPr>
          <w:rStyle w:val="FootnoteReference"/>
        </w:rPr>
        <w:footnoteRef/>
      </w:r>
      <w:r>
        <w:t xml:space="preserve"> </w:t>
      </w:r>
      <w:hyperlink r:id="rId121" w:history="1">
        <w:r w:rsidRPr="004605D3">
          <w:rPr>
            <w:rStyle w:val="Hyperlink"/>
          </w:rPr>
          <w:t>https://sciencelatvia.lv/</w:t>
        </w:r>
      </w:hyperlink>
      <w:r>
        <w:t xml:space="preserve"> </w:t>
      </w:r>
    </w:p>
  </w:footnote>
  <w:footnote w:id="250">
    <w:p w14:paraId="4E71C8A5" w14:textId="13A606EC" w:rsidR="00C80B8F" w:rsidRDefault="00C80B8F">
      <w:pPr>
        <w:pStyle w:val="FootnoteText"/>
      </w:pPr>
      <w:r>
        <w:rPr>
          <w:rStyle w:val="FootnoteReference"/>
        </w:rPr>
        <w:footnoteRef/>
      </w:r>
      <w:r>
        <w:t xml:space="preserve"> Avots: a/s “Sadales tīkls”</w:t>
      </w:r>
    </w:p>
  </w:footnote>
  <w:footnote w:id="251">
    <w:p w14:paraId="11BFD51A" w14:textId="77777777" w:rsidR="00C80B8F" w:rsidRDefault="00C80B8F" w:rsidP="00B94CDF">
      <w:pPr>
        <w:pStyle w:val="FootnoteText"/>
      </w:pPr>
      <w:r>
        <w:rPr>
          <w:rStyle w:val="FootnoteReference"/>
        </w:rPr>
        <w:footnoteRef/>
      </w:r>
      <w:r>
        <w:t xml:space="preserve"> </w:t>
      </w:r>
      <w:r w:rsidRPr="003310D9">
        <w:t>Avots: AS “Latvijas gāze”</w:t>
      </w:r>
    </w:p>
  </w:footnote>
  <w:footnote w:id="252">
    <w:p w14:paraId="5108C088" w14:textId="77777777" w:rsidR="00C80B8F" w:rsidRPr="001E1D35" w:rsidRDefault="00C80B8F" w:rsidP="00AB46B9">
      <w:pPr>
        <w:pStyle w:val="FootnoteText"/>
      </w:pPr>
      <w:r w:rsidRPr="001E1D35">
        <w:rPr>
          <w:rStyle w:val="FootnoteReference"/>
        </w:rPr>
        <w:footnoteRef/>
      </w:r>
      <w:r w:rsidRPr="001E1D35">
        <w:t xml:space="preserve"> </w:t>
      </w:r>
      <w:hyperlink r:id="rId122" w:history="1">
        <w:r w:rsidRPr="00402EB3">
          <w:rPr>
            <w:rStyle w:val="Hyperlink"/>
          </w:rPr>
          <w:t>http://polsis.mk.gov.lv/documents/3323</w:t>
        </w:r>
      </w:hyperlink>
      <w:r>
        <w:t xml:space="preserve"> </w:t>
      </w:r>
    </w:p>
  </w:footnote>
  <w:footnote w:id="253">
    <w:p w14:paraId="57CF04C3" w14:textId="77777777" w:rsidR="00C80B8F" w:rsidRPr="001E1D35" w:rsidRDefault="00C80B8F" w:rsidP="00AB46B9">
      <w:pPr>
        <w:pStyle w:val="FootnoteText"/>
      </w:pPr>
      <w:r w:rsidRPr="001E1D35">
        <w:rPr>
          <w:rStyle w:val="FootnoteReference"/>
        </w:rPr>
        <w:footnoteRef/>
      </w:r>
      <w:r w:rsidRPr="001E1D35">
        <w:t xml:space="preserve"> </w:t>
      </w:r>
      <w:hyperlink r:id="rId123" w:history="1">
        <w:r w:rsidRPr="00402EB3">
          <w:rPr>
            <w:rStyle w:val="Hyperlink"/>
          </w:rPr>
          <w:t>http://polsis.mk.gov.lv/documents/4247</w:t>
        </w:r>
      </w:hyperlink>
      <w:r>
        <w:t xml:space="preserve"> </w:t>
      </w:r>
    </w:p>
  </w:footnote>
  <w:footnote w:id="254">
    <w:p w14:paraId="3BF68122" w14:textId="77777777" w:rsidR="00C80B8F" w:rsidRPr="00495E54" w:rsidRDefault="00C80B8F" w:rsidP="00AB46B9">
      <w:pPr>
        <w:pStyle w:val="FootnoteText"/>
      </w:pPr>
      <w:r w:rsidRPr="00495E54">
        <w:rPr>
          <w:rStyle w:val="FootnoteReference"/>
        </w:rPr>
        <w:footnoteRef/>
      </w:r>
      <w:r w:rsidRPr="00495E54">
        <w:t xml:space="preserve"> </w:t>
      </w:r>
      <w:hyperlink r:id="rId124" w:history="1">
        <w:r w:rsidRPr="00402EB3">
          <w:rPr>
            <w:rStyle w:val="Hyperlink"/>
          </w:rPr>
          <w:t>http://polsis.mk.gov.lv/documents/4294</w:t>
        </w:r>
      </w:hyperlink>
      <w:r>
        <w:t xml:space="preserve"> </w:t>
      </w:r>
    </w:p>
  </w:footnote>
  <w:footnote w:id="255">
    <w:p w14:paraId="7AC4DC73" w14:textId="77777777" w:rsidR="00C80B8F" w:rsidRDefault="00C80B8F" w:rsidP="00AB46B9">
      <w:pPr>
        <w:pStyle w:val="FootnoteText"/>
      </w:pPr>
      <w:r>
        <w:rPr>
          <w:rStyle w:val="FootnoteReference"/>
        </w:rPr>
        <w:footnoteRef/>
      </w:r>
      <w:r>
        <w:t xml:space="preserve"> </w:t>
      </w:r>
      <w:hyperlink r:id="rId125" w:history="1">
        <w:r w:rsidRPr="00483B4E">
          <w:rPr>
            <w:rStyle w:val="Hyperlink"/>
          </w:rPr>
          <w:t>http://polsis.mk.gov.lv/documents/4849</w:t>
        </w:r>
      </w:hyperlink>
      <w:r>
        <w:t xml:space="preserve"> </w:t>
      </w:r>
    </w:p>
  </w:footnote>
  <w:footnote w:id="256">
    <w:p w14:paraId="6D4A2594" w14:textId="77777777" w:rsidR="00C80B8F" w:rsidRPr="001E1D35" w:rsidRDefault="00C80B8F" w:rsidP="00AB46B9">
      <w:pPr>
        <w:pStyle w:val="FootnoteText"/>
      </w:pPr>
      <w:r w:rsidRPr="001E1D35">
        <w:rPr>
          <w:rStyle w:val="FootnoteReference"/>
        </w:rPr>
        <w:footnoteRef/>
      </w:r>
      <w:r w:rsidRPr="001E1D35">
        <w:t xml:space="preserve"> </w:t>
      </w:r>
      <w:hyperlink r:id="rId126" w:history="1">
        <w:r w:rsidRPr="002A5CC3">
          <w:rPr>
            <w:rStyle w:val="Hyperlink"/>
          </w:rPr>
          <w:t>http://polsis.mk.gov.lv/documents/5499</w:t>
        </w:r>
      </w:hyperlink>
      <w:r>
        <w:t xml:space="preserve"> </w:t>
      </w:r>
    </w:p>
  </w:footnote>
  <w:footnote w:id="257">
    <w:p w14:paraId="50909E11" w14:textId="77777777" w:rsidR="00C80B8F" w:rsidRDefault="00C80B8F" w:rsidP="00AB46B9">
      <w:pPr>
        <w:pStyle w:val="FootnoteText"/>
      </w:pPr>
      <w:r>
        <w:rPr>
          <w:rStyle w:val="FootnoteReference"/>
        </w:rPr>
        <w:footnoteRef/>
      </w:r>
      <w:r>
        <w:t xml:space="preserve"> </w:t>
      </w:r>
      <w:hyperlink r:id="rId127" w:history="1">
        <w:r w:rsidRPr="000D0C30">
          <w:rPr>
            <w:rStyle w:val="Hyperlink"/>
          </w:rPr>
          <w:t>http://polsis.mk.gov.lv/documents/5921</w:t>
        </w:r>
      </w:hyperlink>
      <w:r>
        <w:t xml:space="preserve"> </w:t>
      </w:r>
    </w:p>
  </w:footnote>
  <w:footnote w:id="258">
    <w:p w14:paraId="570CE364" w14:textId="77777777" w:rsidR="00C80B8F" w:rsidRDefault="00C80B8F" w:rsidP="00AB46B9">
      <w:pPr>
        <w:pStyle w:val="FootnoteText"/>
      </w:pPr>
      <w:r>
        <w:rPr>
          <w:rStyle w:val="FootnoteReference"/>
        </w:rPr>
        <w:footnoteRef/>
      </w:r>
      <w:r>
        <w:t xml:space="preserve"> </w:t>
      </w:r>
      <w:hyperlink r:id="rId128" w:history="1">
        <w:r w:rsidRPr="000D0C30">
          <w:rPr>
            <w:rStyle w:val="Hyperlink"/>
          </w:rPr>
          <w:t>http://polsis.mk.gov.lv/documents/4572</w:t>
        </w:r>
      </w:hyperlink>
      <w:r>
        <w:t xml:space="preserve"> </w:t>
      </w:r>
    </w:p>
  </w:footnote>
  <w:footnote w:id="259">
    <w:p w14:paraId="247C5EC7" w14:textId="77777777" w:rsidR="00C80B8F" w:rsidRDefault="00C80B8F" w:rsidP="00AB46B9">
      <w:pPr>
        <w:pStyle w:val="FootnoteText"/>
      </w:pPr>
      <w:r>
        <w:rPr>
          <w:rStyle w:val="FootnoteReference"/>
        </w:rPr>
        <w:footnoteRef/>
      </w:r>
      <w:r>
        <w:t xml:space="preserve"> </w:t>
      </w:r>
      <w:hyperlink r:id="rId129" w:history="1">
        <w:r w:rsidRPr="004605D3">
          <w:rPr>
            <w:rStyle w:val="Hyperlink"/>
          </w:rPr>
          <w:t>http://polsis.mk.gov.lv/documents/6043</w:t>
        </w:r>
      </w:hyperlink>
      <w:r>
        <w:t xml:space="preserve"> </w:t>
      </w:r>
    </w:p>
  </w:footnote>
  <w:footnote w:id="260">
    <w:p w14:paraId="524CBDE7" w14:textId="77777777" w:rsidR="00C80B8F" w:rsidRPr="008953F4" w:rsidRDefault="00C80B8F" w:rsidP="00AB46B9">
      <w:pPr>
        <w:pStyle w:val="FootnoteText"/>
      </w:pPr>
      <w:r w:rsidRPr="008953F4">
        <w:rPr>
          <w:rStyle w:val="FootnoteReference"/>
        </w:rPr>
        <w:footnoteRef/>
      </w:r>
      <w:r w:rsidRPr="008953F4">
        <w:t xml:space="preserve"> </w:t>
      </w:r>
      <w:hyperlink r:id="rId130" w:history="1">
        <w:r w:rsidRPr="008953F4">
          <w:rPr>
            <w:rStyle w:val="Hyperlink"/>
          </w:rPr>
          <w:t>http://www.varam.gov.lv/lat/pol/ppd/vide/?doc=17913</w:t>
        </w:r>
      </w:hyperlink>
      <w:r w:rsidRPr="008953F4">
        <w:t xml:space="preserve"> </w:t>
      </w:r>
    </w:p>
  </w:footnote>
  <w:footnote w:id="261">
    <w:p w14:paraId="651E16F0" w14:textId="77777777" w:rsidR="00C80B8F" w:rsidRPr="008953F4" w:rsidRDefault="00C80B8F" w:rsidP="00AB46B9">
      <w:pPr>
        <w:pStyle w:val="FootnoteText"/>
      </w:pPr>
      <w:r w:rsidRPr="008953F4">
        <w:rPr>
          <w:rStyle w:val="FootnoteReference"/>
        </w:rPr>
        <w:footnoteRef/>
      </w:r>
      <w:r w:rsidRPr="008953F4">
        <w:t xml:space="preserve"> </w:t>
      </w:r>
      <w:hyperlink r:id="rId131" w:history="1">
        <w:r w:rsidRPr="008953F4">
          <w:rPr>
            <w:rStyle w:val="Hyperlink"/>
          </w:rPr>
          <w:t>http://polsis.mk.gov.lv/documents/5893</w:t>
        </w:r>
      </w:hyperlink>
      <w:r w:rsidRPr="008953F4">
        <w:t xml:space="preserve"> </w:t>
      </w:r>
    </w:p>
  </w:footnote>
  <w:footnote w:id="262">
    <w:p w14:paraId="4E62F517" w14:textId="77777777" w:rsidR="00C80B8F" w:rsidRPr="008953F4" w:rsidRDefault="00C80B8F" w:rsidP="00AB46B9">
      <w:pPr>
        <w:pStyle w:val="FootnoteText"/>
      </w:pPr>
      <w:r w:rsidRPr="008953F4">
        <w:rPr>
          <w:rStyle w:val="FootnoteReference"/>
        </w:rPr>
        <w:footnoteRef/>
      </w:r>
      <w:r w:rsidRPr="008953F4">
        <w:t xml:space="preserve"> </w:t>
      </w:r>
      <w:hyperlink r:id="rId132" w:history="1">
        <w:r w:rsidRPr="008953F4">
          <w:rPr>
            <w:rStyle w:val="Hyperlink"/>
          </w:rPr>
          <w:t>http://polsis.mk.gov.lv/documents/4276</w:t>
        </w:r>
      </w:hyperlink>
      <w:r w:rsidRPr="008953F4">
        <w:t xml:space="preserve"> </w:t>
      </w:r>
    </w:p>
  </w:footnote>
  <w:footnote w:id="263">
    <w:p w14:paraId="45614F84" w14:textId="77777777" w:rsidR="00C80B8F" w:rsidRPr="008953F4" w:rsidRDefault="00C80B8F" w:rsidP="00AB46B9">
      <w:pPr>
        <w:pStyle w:val="FootnoteText"/>
      </w:pPr>
      <w:r w:rsidRPr="008953F4">
        <w:rPr>
          <w:rStyle w:val="FootnoteReference"/>
        </w:rPr>
        <w:footnoteRef/>
      </w:r>
      <w:r w:rsidRPr="008953F4">
        <w:t xml:space="preserve"> </w:t>
      </w:r>
      <w:hyperlink r:id="rId133" w:anchor="jump" w:history="1">
        <w:r w:rsidRPr="008953F4">
          <w:rPr>
            <w:rStyle w:val="Hyperlink"/>
          </w:rPr>
          <w:t>https://www.zm.gov.lv/zemkopibas-ministrija/statiskas-lapas/latvijas-lauku-attistibas-programma-2014-2020-gadam?id=14234#jump</w:t>
        </w:r>
      </w:hyperlink>
      <w:r w:rsidRPr="008953F4">
        <w:t xml:space="preserve"> </w:t>
      </w:r>
    </w:p>
  </w:footnote>
  <w:footnote w:id="264">
    <w:p w14:paraId="413464D4" w14:textId="77777777" w:rsidR="00C80B8F" w:rsidRDefault="00C80B8F" w:rsidP="00AB46B9">
      <w:pPr>
        <w:pStyle w:val="FootnoteText"/>
      </w:pPr>
      <w:r>
        <w:rPr>
          <w:rStyle w:val="FootnoteReference"/>
        </w:rPr>
        <w:footnoteRef/>
      </w:r>
      <w:r>
        <w:t xml:space="preserve"> </w:t>
      </w:r>
      <w:hyperlink r:id="rId134" w:history="1">
        <w:r w:rsidRPr="00483B4E">
          <w:rPr>
            <w:rStyle w:val="Hyperlink"/>
          </w:rPr>
          <w:t>http://polsis.mk.gov.lv/documents/5331</w:t>
        </w:r>
      </w:hyperlink>
      <w:r>
        <w:t xml:space="preserve"> </w:t>
      </w:r>
    </w:p>
  </w:footnote>
  <w:footnote w:id="265">
    <w:p w14:paraId="120CE5BF" w14:textId="77777777" w:rsidR="00C80B8F" w:rsidRDefault="00C80B8F" w:rsidP="00AB46B9">
      <w:pPr>
        <w:pStyle w:val="FootnoteText"/>
      </w:pPr>
      <w:r>
        <w:rPr>
          <w:rStyle w:val="FootnoteReference"/>
        </w:rPr>
        <w:footnoteRef/>
      </w:r>
      <w:r>
        <w:t xml:space="preserve"> </w:t>
      </w:r>
      <w:hyperlink r:id="rId135" w:history="1">
        <w:r w:rsidRPr="004605D3">
          <w:rPr>
            <w:rStyle w:val="Hyperlink"/>
          </w:rPr>
          <w:t>http://polsis.mk.gov.lv/documents/4607</w:t>
        </w:r>
      </w:hyperlink>
      <w:r>
        <w:t xml:space="preserve"> a</w:t>
      </w:r>
    </w:p>
  </w:footnote>
  <w:footnote w:id="266">
    <w:p w14:paraId="13D683DE" w14:textId="77777777" w:rsidR="00C80B8F" w:rsidRDefault="00C80B8F" w:rsidP="00AB46B9">
      <w:pPr>
        <w:pStyle w:val="FootnoteText"/>
      </w:pPr>
      <w:r>
        <w:rPr>
          <w:rStyle w:val="FootnoteReference"/>
        </w:rPr>
        <w:footnoteRef/>
      </w:r>
      <w:r>
        <w:t xml:space="preserve"> </w:t>
      </w:r>
      <w:hyperlink r:id="rId136" w:history="1">
        <w:r w:rsidRPr="004605D3">
          <w:rPr>
            <w:rStyle w:val="Hyperlink"/>
          </w:rPr>
          <w:t>http://polsis.mk.gov.lv/documents/5893</w:t>
        </w:r>
      </w:hyperlink>
      <w:r>
        <w:t xml:space="preserve"> </w:t>
      </w:r>
    </w:p>
  </w:footnote>
  <w:footnote w:id="267">
    <w:p w14:paraId="278D86F5" w14:textId="77777777" w:rsidR="00C80B8F" w:rsidRDefault="00C80B8F" w:rsidP="00AB46B9">
      <w:pPr>
        <w:pStyle w:val="FootnoteText"/>
      </w:pPr>
      <w:r>
        <w:rPr>
          <w:rStyle w:val="FootnoteReference"/>
        </w:rPr>
        <w:footnoteRef/>
      </w:r>
      <w:r>
        <w:t xml:space="preserve"> Pasākums ir mainīts “Valsts nodokļu politikas pamatnostādnes 2018.-2021.gadam” (Ministru kabineta 2017.gada 24.maija rīkojums Nr.245)</w:t>
      </w:r>
    </w:p>
  </w:footnote>
  <w:footnote w:id="268">
    <w:p w14:paraId="7B7F3E64" w14:textId="77777777" w:rsidR="00C80B8F" w:rsidRDefault="00C80B8F" w:rsidP="00AB46B9">
      <w:pPr>
        <w:pStyle w:val="FootnoteText"/>
      </w:pPr>
      <w:r>
        <w:rPr>
          <w:rStyle w:val="FootnoteReference"/>
        </w:rPr>
        <w:footnoteRef/>
      </w:r>
      <w:r>
        <w:t xml:space="preserve"> </w:t>
      </w:r>
      <w:r w:rsidRPr="00412489">
        <w:t>http://polsis.mk.gov.lv/documents/4608</w:t>
      </w:r>
    </w:p>
  </w:footnote>
  <w:footnote w:id="269">
    <w:p w14:paraId="5B8976EA" w14:textId="77777777" w:rsidR="00C80B8F" w:rsidRDefault="00C80B8F" w:rsidP="00AB46B9">
      <w:pPr>
        <w:pStyle w:val="FootnoteText"/>
      </w:pPr>
      <w:r>
        <w:rPr>
          <w:rStyle w:val="FootnoteReference"/>
        </w:rPr>
        <w:footnoteRef/>
      </w:r>
      <w:r>
        <w:t xml:space="preserve"> </w:t>
      </w:r>
      <w:r w:rsidRPr="00412489">
        <w:t>http://polsis.mk.gov.lv/documents/4391</w:t>
      </w:r>
    </w:p>
  </w:footnote>
  <w:footnote w:id="270">
    <w:p w14:paraId="037991AF" w14:textId="77777777" w:rsidR="00C80B8F" w:rsidRDefault="00C80B8F" w:rsidP="00AB46B9">
      <w:pPr>
        <w:pStyle w:val="FootnoteText"/>
      </w:pPr>
      <w:r>
        <w:rPr>
          <w:rStyle w:val="FootnoteReference"/>
        </w:rPr>
        <w:footnoteRef/>
      </w:r>
      <w:r>
        <w:t xml:space="preserve"> Priekšlikums Eiropas Parlamenta un Padomes Regulai par Eiropas Reģionālās attīstības fondu un Kohēzijas fondu, kā arī ieviešanas priekšnosacījumus</w:t>
      </w:r>
    </w:p>
    <w:p w14:paraId="69D69BB2" w14:textId="5F6A3E77" w:rsidR="00C80B8F" w:rsidRDefault="00C80B8F" w:rsidP="00AB46B9">
      <w:pPr>
        <w:pStyle w:val="FootnoteText"/>
      </w:pPr>
      <w:r>
        <w:t>Priekšlikums Eiropas Parlamenta un Padomes Regulai,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w:t>
      </w:r>
    </w:p>
    <w:p w14:paraId="09EB38E5" w14:textId="582E5AFD" w:rsidR="00C80B8F" w:rsidRDefault="00C80B8F" w:rsidP="00AB46B9">
      <w:pPr>
        <w:pStyle w:val="FootnoteText"/>
      </w:pPr>
      <w:r>
        <w:t>Vienošanās par rādītāju sarakstu vēl nav panākta, tāpēc iespējams tie var būtiski mainīties</w:t>
      </w:r>
    </w:p>
  </w:footnote>
  <w:footnote w:id="271">
    <w:p w14:paraId="239373B2" w14:textId="08975945" w:rsidR="00C80B8F" w:rsidRDefault="00C80B8F">
      <w:pPr>
        <w:pStyle w:val="FootnoteText"/>
      </w:pPr>
      <w:r>
        <w:rPr>
          <w:rStyle w:val="FootnoteReference"/>
        </w:rPr>
        <w:footnoteRef/>
      </w:r>
      <w:r>
        <w:t xml:space="preserve"> Rezultātu mērvienības kā Plāna projektā noteikts</w:t>
      </w:r>
    </w:p>
  </w:footnote>
  <w:footnote w:id="272">
    <w:p w14:paraId="691FF38C" w14:textId="77777777" w:rsidR="00C80B8F" w:rsidRDefault="00C80B8F" w:rsidP="00AB46B9">
      <w:pPr>
        <w:pStyle w:val="FootnoteText"/>
        <w:ind w:left="480" w:hanging="480"/>
      </w:pPr>
      <w:r>
        <w:rPr>
          <w:rStyle w:val="FootnoteReference"/>
        </w:rPr>
        <w:footnoteRef/>
      </w:r>
      <w:r>
        <w:t xml:space="preserve"> RKR: Reģionālās politikas kopīgais rezultātu rādītājs.</w:t>
      </w:r>
    </w:p>
  </w:footnote>
  <w:footnote w:id="273">
    <w:p w14:paraId="09CF33AE" w14:textId="77777777" w:rsidR="00C80B8F" w:rsidRDefault="00C80B8F" w:rsidP="00AB46B9">
      <w:pPr>
        <w:pStyle w:val="FootnoteText"/>
        <w:rPr>
          <w:sz w:val="20"/>
          <w:szCs w:val="20"/>
        </w:rPr>
      </w:pPr>
      <w:r>
        <w:rPr>
          <w:rStyle w:val="FootnoteReference"/>
        </w:rPr>
        <w:footnoteRef/>
      </w:r>
      <w:r>
        <w:tab/>
        <w:t>OV [vēl nav pieņemta].</w:t>
      </w:r>
    </w:p>
  </w:footnote>
  <w:footnote w:id="274">
    <w:p w14:paraId="6CFE4A50" w14:textId="77777777" w:rsidR="00C80B8F" w:rsidRDefault="00C80B8F" w:rsidP="00AB46B9">
      <w:pPr>
        <w:pStyle w:val="FootnoteText"/>
      </w:pPr>
      <w:r>
        <w:rPr>
          <w:rStyle w:val="FootnoteReference"/>
        </w:rPr>
        <w:footnoteRef/>
      </w:r>
      <w:r>
        <w:t xml:space="preserve"> </w:t>
      </w:r>
      <w:r>
        <w:tab/>
        <w:t>OV [vēl nav pieņemta].</w:t>
      </w:r>
    </w:p>
  </w:footnote>
  <w:footnote w:id="275">
    <w:p w14:paraId="7275D06D" w14:textId="77777777" w:rsidR="00C80B8F" w:rsidRDefault="00C80B8F" w:rsidP="00AB46B9">
      <w:pPr>
        <w:pStyle w:val="FootnoteText"/>
      </w:pPr>
      <w:r>
        <w:rPr>
          <w:rStyle w:val="FootnoteReference"/>
        </w:rPr>
        <w:footnoteRef/>
      </w:r>
      <w:r>
        <w:tab/>
        <w:t>Kā novērtēts riska pārvaldības spēju izvērtējumā, kas prasīts Lēmuma Nr. 1313/2013 6. panta c) punktā.</w:t>
      </w:r>
    </w:p>
  </w:footnote>
  <w:footnote w:id="276">
    <w:p w14:paraId="2CC9DF0F" w14:textId="77777777" w:rsidR="00C80B8F" w:rsidRDefault="00C80B8F" w:rsidP="00AB46B9">
      <w:pPr>
        <w:pStyle w:val="FootnoteText"/>
        <w:rPr>
          <w:sz w:val="20"/>
          <w:szCs w:val="20"/>
        </w:rPr>
      </w:pPr>
      <w:r>
        <w:rPr>
          <w:rStyle w:val="FootnoteReference"/>
        </w:rPr>
        <w:footnoteRef/>
      </w:r>
      <w:r>
        <w:tab/>
        <w:t>Kā noteikts Eiropas Komisijas paziņojumā: “Virzība uz Eiropas Gigabitu sabiedrību”, COM(2016)587, https://ec.europa.eu/digital-single-market/en/policies/improving-connectivity-and-access.</w:t>
      </w:r>
    </w:p>
  </w:footnote>
  <w:footnote w:id="277">
    <w:p w14:paraId="577F06DC" w14:textId="77777777" w:rsidR="00C80B8F" w:rsidRDefault="00C80B8F" w:rsidP="00AB46B9">
      <w:pPr>
        <w:pStyle w:val="FootnoteText"/>
      </w:pPr>
      <w:r>
        <w:rPr>
          <w:rStyle w:val="FootnoteReference"/>
        </w:rPr>
        <w:footnoteRef/>
      </w:r>
      <w:r>
        <w:t xml:space="preserve"> Saskaņā ar 22. pantu [priekšlikumā] Eiropas Parlamenta un Padomes direktīvai par Eiropas elektronisko sakaru kodeksa izveidi.</w:t>
      </w:r>
    </w:p>
  </w:footnote>
  <w:footnote w:id="278">
    <w:p w14:paraId="3F36F98B" w14:textId="77777777" w:rsidR="00C80B8F" w:rsidRDefault="00C80B8F" w:rsidP="00AB46B9">
      <w:pPr>
        <w:pStyle w:val="FootnoteText"/>
      </w:pPr>
      <w:r>
        <w:rPr>
          <w:rStyle w:val="FootnoteReference"/>
        </w:rPr>
        <w:footnoteRef/>
      </w:r>
      <w:r>
        <w:t xml:space="preserve"> Direktīva 2014/61/ES.</w:t>
      </w:r>
    </w:p>
  </w:footnote>
  <w:footnote w:id="279">
    <w:p w14:paraId="72291C51" w14:textId="09716F0E" w:rsidR="00C80B8F" w:rsidRDefault="00C80B8F">
      <w:pPr>
        <w:pStyle w:val="FootnoteText"/>
      </w:pPr>
      <w:r>
        <w:rPr>
          <w:rStyle w:val="FootnoteReference"/>
        </w:rPr>
        <w:footnoteRef/>
      </w:r>
      <w:r>
        <w:t xml:space="preserve"> Šajā pielikumā ir iekļauti tie pasākumi, kas šobrīd tiek īstenoti vai kuru īstenošana ir paredzēta Latvijas politikas plānošanas dokumentos vai tiesību aktos</w:t>
      </w:r>
    </w:p>
  </w:footnote>
  <w:footnote w:id="280">
    <w:p w14:paraId="758B59BC" w14:textId="77777777" w:rsidR="00C80B8F" w:rsidRPr="00B31D77" w:rsidRDefault="00C80B8F" w:rsidP="00AB46B9">
      <w:pPr>
        <w:pStyle w:val="FootnoteText"/>
      </w:pPr>
      <w:r w:rsidRPr="00B31D77">
        <w:rPr>
          <w:rStyle w:val="FootnoteReference"/>
        </w:rPr>
        <w:footnoteRef/>
      </w:r>
      <w:r w:rsidRPr="00B31D77">
        <w:t xml:space="preserve"> “Energoefektivitātes politikas alternatīvo pasākumu plāns enerģijas galapatēriņa ietaupījuma mērķa 2014.–2020. gadam sasniegšanai” 1.pielikums</w:t>
      </w:r>
    </w:p>
  </w:footnote>
  <w:footnote w:id="281">
    <w:p w14:paraId="527B72B0" w14:textId="07FF317D" w:rsidR="00C80B8F" w:rsidRDefault="00C80B8F">
      <w:pPr>
        <w:pStyle w:val="FootnoteText"/>
      </w:pPr>
      <w:r>
        <w:rPr>
          <w:rStyle w:val="FootnoteReference"/>
        </w:rPr>
        <w:footnoteRef/>
      </w:r>
      <w:r>
        <w:t xml:space="preserve"> </w:t>
      </w:r>
      <w:r>
        <w:rPr>
          <w:bCs/>
          <w:szCs w:val="24"/>
        </w:rPr>
        <w:t>Padomes 1999.gada 26.aprīļa direktīva Nr.</w:t>
      </w:r>
      <w:r w:rsidRPr="00965BD7">
        <w:rPr>
          <w:bCs/>
          <w:szCs w:val="24"/>
        </w:rPr>
        <w:t>1999/31/EK</w:t>
      </w:r>
      <w:r>
        <w:rPr>
          <w:bCs/>
          <w:szCs w:val="24"/>
        </w:rPr>
        <w:t xml:space="preserve"> par atkritumu poligoniem</w:t>
      </w:r>
    </w:p>
  </w:footnote>
  <w:footnote w:id="282">
    <w:p w14:paraId="34C53B70" w14:textId="5A5335DB" w:rsidR="00C80B8F" w:rsidRDefault="00C80B8F" w:rsidP="00AB46B9">
      <w:pPr>
        <w:pStyle w:val="FootnoteText"/>
        <w:rPr>
          <w:b/>
        </w:rPr>
      </w:pPr>
      <w:r>
        <w:rPr>
          <w:rStyle w:val="FootnoteReference"/>
        </w:rPr>
        <w:footnoteRef/>
      </w:r>
      <w:r>
        <w:t xml:space="preserve"> </w:t>
      </w:r>
      <w:r w:rsidRPr="00D67BCF">
        <w:rPr>
          <w:b/>
        </w:rPr>
        <w:t>Š</w:t>
      </w:r>
      <w:r>
        <w:rPr>
          <w:b/>
        </w:rPr>
        <w:t>obrīd vēl turpinās šajā tabulā minēto pasākumu ietekmes izvērtējums (diskusija par šiem pasākumiem tiks turpināta arī 2019.gadā), līdz ar to šajā tabulā minētie pasākumi ir indikatīvi. Tabulā iekļautā informācija var tikt aktualizēta</w:t>
      </w:r>
    </w:p>
  </w:footnote>
  <w:footnote w:id="283">
    <w:p w14:paraId="060FF51D" w14:textId="77777777" w:rsidR="00C80B8F" w:rsidRDefault="00C80B8F" w:rsidP="002653B0">
      <w:pPr>
        <w:pStyle w:val="FootnoteText"/>
      </w:pPr>
      <w:r>
        <w:rPr>
          <w:rStyle w:val="FootnoteReference"/>
        </w:rPr>
        <w:footnoteRef/>
      </w:r>
      <w:r>
        <w:t xml:space="preserve"> Attiecībā uz pasākumiem, kuru īstenošanai nepieciešams valsts budžeta finansējums – </w:t>
      </w:r>
      <w:r w:rsidRPr="004C0BD8">
        <w:t>papildus valsts budžeta līdzekļu pieprasījums ir vērtējams ikgadējā valsts budžeta un vidēja termiņa budžeta ietvara likumprojektu sagatavošanas un izskatīšanas procesā, ievērojot valsts budžeta finansiālās iespējas.</w:t>
      </w:r>
    </w:p>
  </w:footnote>
  <w:footnote w:id="284">
    <w:p w14:paraId="1D5B2CB2" w14:textId="514BB8DA" w:rsidR="00C80B8F" w:rsidRDefault="00C80B8F">
      <w:pPr>
        <w:pStyle w:val="FootnoteText"/>
      </w:pPr>
      <w:r>
        <w:rPr>
          <w:rStyle w:val="FootnoteReference"/>
        </w:rPr>
        <w:footnoteRef/>
      </w:r>
      <w:r>
        <w:t xml:space="preserve"> Norādīts finansējums pasākuma pilnīgai īstenošanai vai Plāna aptvēruma periodā</w:t>
      </w:r>
    </w:p>
  </w:footnote>
  <w:footnote w:id="285">
    <w:p w14:paraId="0D860252"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86">
    <w:p w14:paraId="6913B3F7" w14:textId="77777777" w:rsidR="00C80B8F" w:rsidRDefault="00C80B8F" w:rsidP="00AB46B9">
      <w:pPr>
        <w:pStyle w:val="FootnoteText"/>
      </w:pPr>
      <w:r>
        <w:rPr>
          <w:rStyle w:val="FootnoteReference"/>
        </w:rPr>
        <w:footnoteRef/>
      </w:r>
      <w:r>
        <w:t xml:space="preserve"> Daudzdzīvokļu mājām, kuras ir pieslēgtas CSA un LSA, kurās izmanto fosilo kurināmo, un privātmājām</w:t>
      </w:r>
    </w:p>
  </w:footnote>
  <w:footnote w:id="287">
    <w:p w14:paraId="33EC0311" w14:textId="77777777" w:rsidR="00C80B8F" w:rsidRDefault="00C80B8F" w:rsidP="00AB46B9">
      <w:pPr>
        <w:pStyle w:val="FootnoteText"/>
      </w:pPr>
      <w:r>
        <w:rPr>
          <w:rStyle w:val="FootnoteReference"/>
        </w:rPr>
        <w:footnoteRef/>
      </w:r>
      <w:r>
        <w:t xml:space="preserve"> Gan daudzdzīvokļu māju, gan privātmāju</w:t>
      </w:r>
    </w:p>
  </w:footnote>
  <w:footnote w:id="288">
    <w:p w14:paraId="003E7214"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89">
    <w:p w14:paraId="639C3348" w14:textId="7093A11B" w:rsidR="00C80B8F" w:rsidRDefault="00C80B8F">
      <w:pPr>
        <w:pStyle w:val="FootnoteText"/>
      </w:pPr>
      <w:r>
        <w:rPr>
          <w:rStyle w:val="FootnoteReference"/>
        </w:rPr>
        <w:footnoteRef/>
      </w:r>
      <w:r>
        <w:t xml:space="preserve"> Eiropas Komisijas 2015.gada 28.aprīļa regula Nr.2015/1189, </w:t>
      </w:r>
      <w:r w:rsidRPr="00DB3E12">
        <w:t>ar ko Eiropas Parlamenta un Padomes Direktīvu 2009/125/EK īsteno attiecībā uz ekodizaina prasībām cietā kurināmā katliem</w:t>
      </w:r>
    </w:p>
  </w:footnote>
  <w:footnote w:id="290">
    <w:p w14:paraId="405C5ADA" w14:textId="77777777" w:rsidR="00C80B8F" w:rsidRDefault="00C80B8F" w:rsidP="00156A1B">
      <w:pPr>
        <w:pStyle w:val="FootnoteText"/>
      </w:pPr>
      <w:r>
        <w:rPr>
          <w:rStyle w:val="FootnoteReference"/>
        </w:rPr>
        <w:footnoteRef/>
      </w:r>
      <w:r>
        <w:t xml:space="preserve"> Pasākums ir jau iekļauts bāzes scenārijā (skatīt 3.pielikumu)</w:t>
      </w:r>
    </w:p>
  </w:footnote>
  <w:footnote w:id="291">
    <w:p w14:paraId="3494EE22"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92">
    <w:p w14:paraId="50804E44"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93">
    <w:p w14:paraId="65477538"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94">
    <w:p w14:paraId="0168E27A"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95">
    <w:p w14:paraId="037E0787" w14:textId="6075CC32" w:rsidR="00C80B8F" w:rsidRDefault="00C80B8F" w:rsidP="000C7519">
      <w:pPr>
        <w:pStyle w:val="FootnoteText"/>
        <w:jc w:val="both"/>
      </w:pPr>
      <w:r>
        <w:rPr>
          <w:rStyle w:val="FootnoteReference"/>
        </w:rPr>
        <w:footnoteRef/>
      </w:r>
      <w:r>
        <w:t xml:space="preserve"> Akcīzes nodokļa likmes samazināšana ir valsts atbalsts, kuru piešķirot ir jāievēro </w:t>
      </w:r>
      <w:hyperlink r:id="rId137" w:history="1">
        <w:r>
          <w:rPr>
            <w:rStyle w:val="Hyperlink"/>
          </w:rPr>
          <w:t>p</w:t>
        </w:r>
        <w:r w:rsidRPr="000C7519">
          <w:rPr>
            <w:rStyle w:val="Hyperlink"/>
          </w:rPr>
          <w:t>amatnostādnes par valsts atbalstu vides aizsardzībai un enerģētikai</w:t>
        </w:r>
      </w:hyperlink>
      <w:r>
        <w:t xml:space="preserve">. Saskaņā ar aktuālajām pamatnostādnēm 2014.g.-2020.gadam (2014/C 200/01) spēkā ir šādi būtiski nosacījumi, kuri provizoriski varētu būt spēkā arī pēc 2020.gada: 1) atbalsts uz vienu enerģijas vienību nedrīkst pārsniegt starpību starp kopējām izlīdzinātajām izmaksām, ko rada enerģijas ražošana, izmantojot noteiktu attiecīgo tehnoloģiju, un attiecīgā enerģijas veida tirgus cenu; 2) </w:t>
      </w:r>
      <w:r w:rsidRPr="00A32158">
        <w:t>atbalstu piešķir vienīgi līdz ražotņu pilnīgai amortizācijai</w:t>
      </w:r>
      <w:r>
        <w:t xml:space="preserve">; 3) akcīzes nodokļa likmes tiek pārskatītas regulāri balstoties uz ražošanas izmaksām (vismaz reizi gadā).  </w:t>
      </w:r>
    </w:p>
  </w:footnote>
  <w:footnote w:id="296">
    <w:p w14:paraId="2FC522D6" w14:textId="77777777" w:rsidR="00C80B8F" w:rsidRDefault="00C80B8F" w:rsidP="00AB46B9">
      <w:pPr>
        <w:pStyle w:val="FootnoteText"/>
      </w:pPr>
      <w:r>
        <w:rPr>
          <w:rStyle w:val="FootnoteReference"/>
        </w:rPr>
        <w:footnoteRef/>
      </w:r>
      <w:r>
        <w:t xml:space="preserve"> degvielas vai enerģijas avoti, ar kuriem vismaz daļēji aizvieto fosilās naftas avotus transportlīdzekļu apgādē ar enerģiju un kuriem ir potenciāls veicināt transporta dekarbonizāciju un uzlabot transporta nozares ekoloģiskos rādītājus. Tās inter alia ietver:</w:t>
      </w:r>
    </w:p>
    <w:p w14:paraId="38D62E48" w14:textId="77777777" w:rsidR="00C80B8F" w:rsidRDefault="00C80B8F" w:rsidP="00AB46B9">
      <w:pPr>
        <w:pStyle w:val="FootnoteText"/>
      </w:pPr>
      <w:r>
        <w:t>- elektroenerģiju;</w:t>
      </w:r>
    </w:p>
    <w:p w14:paraId="0BBA4A87" w14:textId="77777777" w:rsidR="00C80B8F" w:rsidRDefault="00C80B8F" w:rsidP="00AB46B9">
      <w:pPr>
        <w:pStyle w:val="FootnoteText"/>
      </w:pPr>
      <w:r>
        <w:t>- ūdeņradi;</w:t>
      </w:r>
    </w:p>
    <w:p w14:paraId="04C9C80E" w14:textId="77777777" w:rsidR="00C80B8F" w:rsidRDefault="00C80B8F" w:rsidP="00AB46B9">
      <w:pPr>
        <w:pStyle w:val="FootnoteText"/>
      </w:pPr>
      <w:r>
        <w:t>- biodegvielas, kā definēts Direktīvas 2009/28/EK 2. panta i) punktā;</w:t>
      </w:r>
    </w:p>
    <w:p w14:paraId="4C0C7E9A" w14:textId="77777777" w:rsidR="00C80B8F" w:rsidRDefault="00C80B8F" w:rsidP="00AB46B9">
      <w:pPr>
        <w:pStyle w:val="FootnoteText"/>
      </w:pPr>
      <w:r>
        <w:t>- dabasgāzi, tostarp biometānu, gāzveida agregātstāvoklī (saspiestā dabasgāze – CNG)) un šķidrā agregātstāvoklī (sašķidrinātā dabasgāze - LNG));</w:t>
      </w:r>
    </w:p>
  </w:footnote>
  <w:footnote w:id="297">
    <w:p w14:paraId="1661B8A8"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 w:id="298">
    <w:p w14:paraId="492A9012" w14:textId="5016EE23" w:rsidR="00C80B8F" w:rsidRDefault="00C80B8F">
      <w:pPr>
        <w:pStyle w:val="FootnoteText"/>
      </w:pPr>
      <w:r>
        <w:rPr>
          <w:rStyle w:val="FootnoteReference"/>
        </w:rPr>
        <w:footnoteRef/>
      </w:r>
      <w:r>
        <w:t xml:space="preserve"> Tiks precizēts, uz ko attiecas pienākums – valsts līmenī vai degvielas piegādātāju līmenī</w:t>
      </w:r>
    </w:p>
  </w:footnote>
  <w:footnote w:id="299">
    <w:p w14:paraId="3DF5CF49" w14:textId="77777777" w:rsidR="00C80B8F" w:rsidRDefault="00C80B8F" w:rsidP="00AB46B9">
      <w:pPr>
        <w:pStyle w:val="FootnoteText"/>
        <w:rPr>
          <w:sz w:val="20"/>
          <w:szCs w:val="20"/>
        </w:rPr>
      </w:pPr>
      <w:r>
        <w:rPr>
          <w:rStyle w:val="FootnoteReference"/>
          <w:sz w:val="20"/>
          <w:szCs w:val="20"/>
        </w:rPr>
        <w:footnoteRef/>
      </w:r>
      <w:r>
        <w:rPr>
          <w:sz w:val="20"/>
          <w:szCs w:val="20"/>
        </w:rPr>
        <w:t xml:space="preserve"> </w:t>
      </w:r>
      <w:r>
        <w:t>Pasākums ir jau iekļauts bāzes scenārijā (skatīt 3.pielikumu)</w:t>
      </w:r>
    </w:p>
  </w:footnote>
  <w:footnote w:id="300">
    <w:p w14:paraId="1A1DFD96" w14:textId="77777777" w:rsidR="00C80B8F" w:rsidRDefault="00C80B8F" w:rsidP="00AB46B9">
      <w:pPr>
        <w:pStyle w:val="FootnoteText"/>
      </w:pPr>
      <w:r>
        <w:rPr>
          <w:rStyle w:val="FootnoteReference"/>
        </w:rPr>
        <w:footnoteRef/>
      </w:r>
      <w:r>
        <w:t xml:space="preserve"> Pasākums ir jau iekļauts bāzes scenārijā (skatīt 3.pielikumu)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2BCF" w14:textId="525585A4" w:rsidR="00C80B8F" w:rsidRPr="00C25547" w:rsidRDefault="00C80B8F">
    <w:pPr>
      <w:pStyle w:val="Header"/>
      <w:jc w:val="center"/>
      <w:rPr>
        <w:rFonts w:ascii="Times New Roman" w:hAnsi="Times New Roman" w:cs="Times New Roman"/>
      </w:rPr>
    </w:pPr>
    <w:sdt>
      <w:sdtPr>
        <w:rPr>
          <w:rFonts w:ascii="Times New Roman" w:hAnsi="Times New Roman" w:cs="Times New Roman"/>
        </w:rPr>
        <w:id w:val="217255456"/>
        <w:docPartObj>
          <w:docPartGallery w:val="Page Numbers (Top of Page)"/>
          <w:docPartUnique/>
        </w:docPartObj>
      </w:sdtPr>
      <w:sdtEndPr>
        <w:rPr>
          <w:noProof/>
        </w:rPr>
      </w:sdtEndPr>
      <w:sdtContent>
        <w:r w:rsidRPr="00C25547">
          <w:rPr>
            <w:rFonts w:ascii="Times New Roman" w:hAnsi="Times New Roman" w:cs="Times New Roman"/>
          </w:rPr>
          <w:fldChar w:fldCharType="begin"/>
        </w:r>
        <w:r w:rsidRPr="00C25547">
          <w:rPr>
            <w:rFonts w:ascii="Times New Roman" w:hAnsi="Times New Roman" w:cs="Times New Roman"/>
          </w:rPr>
          <w:instrText xml:space="preserve"> PAGE   \* MERGEFORMAT </w:instrText>
        </w:r>
        <w:r w:rsidRPr="00C25547">
          <w:rPr>
            <w:rFonts w:ascii="Times New Roman" w:hAnsi="Times New Roman" w:cs="Times New Roman"/>
          </w:rPr>
          <w:fldChar w:fldCharType="separate"/>
        </w:r>
        <w:r>
          <w:rPr>
            <w:rFonts w:ascii="Times New Roman" w:hAnsi="Times New Roman" w:cs="Times New Roman"/>
            <w:noProof/>
          </w:rPr>
          <w:t>27</w:t>
        </w:r>
        <w:r w:rsidRPr="00C25547">
          <w:rPr>
            <w:rFonts w:ascii="Times New Roman" w:hAnsi="Times New Roman" w:cs="Times New Roman"/>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3E120" w14:textId="7CF5B433" w:rsidR="00C80B8F" w:rsidRPr="009A50CF" w:rsidRDefault="00C80B8F">
    <w:pPr>
      <w:pStyle w:val="Header"/>
      <w:jc w:val="center"/>
      <w:rPr>
        <w:rFonts w:ascii="Times New Roman" w:hAnsi="Times New Roman" w:cs="Times New Roman"/>
      </w:rPr>
    </w:pPr>
    <w:sdt>
      <w:sdtPr>
        <w:rPr>
          <w:rFonts w:ascii="Times New Roman" w:hAnsi="Times New Roman" w:cs="Times New Roman"/>
        </w:rPr>
        <w:id w:val="147095433"/>
        <w:docPartObj>
          <w:docPartGallery w:val="Page Numbers (Top of Page)"/>
          <w:docPartUnique/>
        </w:docPartObj>
      </w:sdtPr>
      <w:sdtEndPr>
        <w:rPr>
          <w:noProof/>
        </w:rPr>
      </w:sdtEndPr>
      <w:sdtContent>
        <w:r w:rsidRPr="009A50CF">
          <w:rPr>
            <w:rFonts w:ascii="Times New Roman" w:hAnsi="Times New Roman" w:cs="Times New Roman"/>
          </w:rPr>
          <w:fldChar w:fldCharType="begin"/>
        </w:r>
        <w:r w:rsidRPr="009A50CF">
          <w:rPr>
            <w:rFonts w:ascii="Times New Roman" w:hAnsi="Times New Roman" w:cs="Times New Roman"/>
          </w:rPr>
          <w:instrText xml:space="preserve"> PAGE   \* MERGEFORMAT </w:instrText>
        </w:r>
        <w:r w:rsidRPr="009A50CF">
          <w:rPr>
            <w:rFonts w:ascii="Times New Roman" w:hAnsi="Times New Roman" w:cs="Times New Roman"/>
          </w:rPr>
          <w:fldChar w:fldCharType="separate"/>
        </w:r>
        <w:r>
          <w:rPr>
            <w:rFonts w:ascii="Times New Roman" w:hAnsi="Times New Roman" w:cs="Times New Roman"/>
            <w:noProof/>
          </w:rPr>
          <w:t>176</w:t>
        </w:r>
        <w:r w:rsidRPr="009A50CF">
          <w:rPr>
            <w:rFonts w:ascii="Times New Roman" w:hAnsi="Times New Roman" w:cs="Times New Roman"/>
            <w:noProof/>
          </w:rPr>
          <w:fldChar w:fldCharType="end"/>
        </w:r>
      </w:sdtContent>
    </w:sdt>
  </w:p>
  <w:p w14:paraId="0100549B" w14:textId="77777777" w:rsidR="00C80B8F" w:rsidRDefault="00C80B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834B" w14:textId="77777777" w:rsidR="00C80B8F" w:rsidRDefault="00C80B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087B3" w14:textId="4608E437" w:rsidR="00C80B8F" w:rsidRPr="00150AA5" w:rsidRDefault="00C80B8F">
    <w:pPr>
      <w:pStyle w:val="Header"/>
      <w:jc w:val="center"/>
      <w:rPr>
        <w:rFonts w:ascii="Times New Roman" w:hAnsi="Times New Roman" w:cs="Times New Roman"/>
        <w:szCs w:val="24"/>
      </w:rPr>
    </w:pPr>
    <w:sdt>
      <w:sdtPr>
        <w:rPr>
          <w:rFonts w:ascii="Times New Roman" w:hAnsi="Times New Roman" w:cs="Times New Roman"/>
          <w:szCs w:val="24"/>
        </w:rPr>
        <w:id w:val="-390271626"/>
        <w:docPartObj>
          <w:docPartGallery w:val="Page Numbers (Top of Page)"/>
          <w:docPartUnique/>
        </w:docPartObj>
      </w:sdtPr>
      <w:sdtEndPr>
        <w:rPr>
          <w:noProof/>
        </w:rPr>
      </w:sdtEndPr>
      <w:sdtContent>
        <w:r w:rsidRPr="00150AA5">
          <w:rPr>
            <w:rFonts w:ascii="Times New Roman" w:hAnsi="Times New Roman" w:cs="Times New Roman"/>
            <w:szCs w:val="24"/>
          </w:rPr>
          <w:fldChar w:fldCharType="begin"/>
        </w:r>
        <w:r w:rsidRPr="00150AA5">
          <w:rPr>
            <w:rFonts w:ascii="Times New Roman" w:hAnsi="Times New Roman" w:cs="Times New Roman"/>
            <w:szCs w:val="24"/>
          </w:rPr>
          <w:instrText xml:space="preserve"> PAGE   \* MERGEFORMAT </w:instrText>
        </w:r>
        <w:r w:rsidRPr="00150AA5">
          <w:rPr>
            <w:rFonts w:ascii="Times New Roman" w:hAnsi="Times New Roman" w:cs="Times New Roman"/>
            <w:szCs w:val="24"/>
          </w:rPr>
          <w:fldChar w:fldCharType="separate"/>
        </w:r>
        <w:r>
          <w:rPr>
            <w:rFonts w:ascii="Times New Roman" w:hAnsi="Times New Roman" w:cs="Times New Roman"/>
            <w:noProof/>
            <w:szCs w:val="24"/>
          </w:rPr>
          <w:t>202</w:t>
        </w:r>
        <w:r w:rsidRPr="00150AA5">
          <w:rPr>
            <w:rFonts w:ascii="Times New Roman" w:hAnsi="Times New Roman" w:cs="Times New Roman"/>
            <w:noProof/>
            <w:szCs w:val="24"/>
          </w:rPr>
          <w:fldChar w:fldCharType="end"/>
        </w:r>
      </w:sdtContent>
    </w:sdt>
  </w:p>
  <w:p w14:paraId="1B4291BB" w14:textId="77777777" w:rsidR="00C80B8F" w:rsidRDefault="00C80B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53144014"/>
      <w:docPartObj>
        <w:docPartGallery w:val="Page Numbers (Top of Page)"/>
        <w:docPartUnique/>
      </w:docPartObj>
    </w:sdtPr>
    <w:sdtEndPr>
      <w:rPr>
        <w:noProof/>
      </w:rPr>
    </w:sdtEndPr>
    <w:sdtContent>
      <w:p w14:paraId="3569BE88" w14:textId="26681462" w:rsidR="006067D4" w:rsidRPr="006067D4" w:rsidRDefault="006067D4">
        <w:pPr>
          <w:pStyle w:val="Header"/>
          <w:jc w:val="center"/>
          <w:rPr>
            <w:rFonts w:ascii="Times New Roman" w:hAnsi="Times New Roman" w:cs="Times New Roman"/>
          </w:rPr>
        </w:pPr>
        <w:r w:rsidRPr="006067D4">
          <w:rPr>
            <w:rFonts w:ascii="Times New Roman" w:hAnsi="Times New Roman" w:cs="Times New Roman"/>
          </w:rPr>
          <w:fldChar w:fldCharType="begin"/>
        </w:r>
        <w:r w:rsidRPr="006067D4">
          <w:rPr>
            <w:rFonts w:ascii="Times New Roman" w:hAnsi="Times New Roman" w:cs="Times New Roman"/>
          </w:rPr>
          <w:instrText xml:space="preserve"> PAGE   \* MERGEFORMAT </w:instrText>
        </w:r>
        <w:r w:rsidRPr="006067D4">
          <w:rPr>
            <w:rFonts w:ascii="Times New Roman" w:hAnsi="Times New Roman" w:cs="Times New Roman"/>
          </w:rPr>
          <w:fldChar w:fldCharType="separate"/>
        </w:r>
        <w:r w:rsidRPr="006067D4">
          <w:rPr>
            <w:rFonts w:ascii="Times New Roman" w:hAnsi="Times New Roman" w:cs="Times New Roman"/>
            <w:noProof/>
          </w:rPr>
          <w:t>2</w:t>
        </w:r>
        <w:r w:rsidRPr="006067D4">
          <w:rPr>
            <w:rFonts w:ascii="Times New Roman" w:hAnsi="Times New Roman" w:cs="Times New Roman"/>
            <w:noProof/>
          </w:rPr>
          <w:fldChar w:fldCharType="end"/>
        </w:r>
      </w:p>
    </w:sdtContent>
  </w:sdt>
  <w:p w14:paraId="46BA861F" w14:textId="77777777" w:rsidR="00C80B8F" w:rsidRDefault="00C80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name w:val="WWNum2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00732FE"/>
    <w:multiLevelType w:val="hybridMultilevel"/>
    <w:tmpl w:val="FEFC96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3528B8"/>
    <w:multiLevelType w:val="hybridMultilevel"/>
    <w:tmpl w:val="A39ADE6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0672FBD"/>
    <w:multiLevelType w:val="hybridMultilevel"/>
    <w:tmpl w:val="525E5534"/>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36079D"/>
    <w:multiLevelType w:val="multilevel"/>
    <w:tmpl w:val="80F6BF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323555"/>
    <w:multiLevelType w:val="hybridMultilevel"/>
    <w:tmpl w:val="6E7E43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430426D"/>
    <w:multiLevelType w:val="hybridMultilevel"/>
    <w:tmpl w:val="3404C7C2"/>
    <w:lvl w:ilvl="0" w:tplc="0809000F">
      <w:start w:val="1"/>
      <w:numFmt w:val="decimal"/>
      <w:lvlText w:val="%1."/>
      <w:lvlJc w:val="left"/>
      <w:pPr>
        <w:ind w:left="816" w:hanging="360"/>
      </w:pPr>
    </w:lvl>
    <w:lvl w:ilvl="1" w:tplc="08090019">
      <w:start w:val="1"/>
      <w:numFmt w:val="lowerLetter"/>
      <w:lvlText w:val="%2."/>
      <w:lvlJc w:val="left"/>
      <w:pPr>
        <w:ind w:left="1536" w:hanging="360"/>
      </w:pPr>
    </w:lvl>
    <w:lvl w:ilvl="2" w:tplc="0809001B">
      <w:start w:val="1"/>
      <w:numFmt w:val="lowerRoman"/>
      <w:lvlText w:val="%3."/>
      <w:lvlJc w:val="right"/>
      <w:pPr>
        <w:ind w:left="2256" w:hanging="180"/>
      </w:pPr>
    </w:lvl>
    <w:lvl w:ilvl="3" w:tplc="0809000F">
      <w:start w:val="1"/>
      <w:numFmt w:val="decimal"/>
      <w:lvlText w:val="%4."/>
      <w:lvlJc w:val="left"/>
      <w:pPr>
        <w:ind w:left="2976" w:hanging="360"/>
      </w:pPr>
    </w:lvl>
    <w:lvl w:ilvl="4" w:tplc="08090019">
      <w:start w:val="1"/>
      <w:numFmt w:val="lowerLetter"/>
      <w:lvlText w:val="%5."/>
      <w:lvlJc w:val="left"/>
      <w:pPr>
        <w:ind w:left="3696" w:hanging="360"/>
      </w:pPr>
    </w:lvl>
    <w:lvl w:ilvl="5" w:tplc="0809001B">
      <w:start w:val="1"/>
      <w:numFmt w:val="lowerRoman"/>
      <w:lvlText w:val="%6."/>
      <w:lvlJc w:val="right"/>
      <w:pPr>
        <w:ind w:left="4416" w:hanging="180"/>
      </w:pPr>
    </w:lvl>
    <w:lvl w:ilvl="6" w:tplc="0809000F">
      <w:start w:val="1"/>
      <w:numFmt w:val="decimal"/>
      <w:lvlText w:val="%7."/>
      <w:lvlJc w:val="left"/>
      <w:pPr>
        <w:ind w:left="5136" w:hanging="360"/>
      </w:pPr>
    </w:lvl>
    <w:lvl w:ilvl="7" w:tplc="08090019">
      <w:start w:val="1"/>
      <w:numFmt w:val="lowerLetter"/>
      <w:lvlText w:val="%8."/>
      <w:lvlJc w:val="left"/>
      <w:pPr>
        <w:ind w:left="5856" w:hanging="360"/>
      </w:pPr>
    </w:lvl>
    <w:lvl w:ilvl="8" w:tplc="0809001B">
      <w:start w:val="1"/>
      <w:numFmt w:val="lowerRoman"/>
      <w:lvlText w:val="%9."/>
      <w:lvlJc w:val="right"/>
      <w:pPr>
        <w:ind w:left="6576" w:hanging="180"/>
      </w:pPr>
    </w:lvl>
  </w:abstractNum>
  <w:abstractNum w:abstractNumId="7" w15:restartNumberingAfterBreak="0">
    <w:nsid w:val="05C04606"/>
    <w:multiLevelType w:val="hybridMultilevel"/>
    <w:tmpl w:val="30C0BB2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4F61BD"/>
    <w:multiLevelType w:val="hybridMultilevel"/>
    <w:tmpl w:val="B4BE6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90D597A"/>
    <w:multiLevelType w:val="hybridMultilevel"/>
    <w:tmpl w:val="D7A443D0"/>
    <w:lvl w:ilvl="0" w:tplc="04260001">
      <w:start w:val="1"/>
      <w:numFmt w:val="bullet"/>
      <w:lvlText w:val=""/>
      <w:lvlJc w:val="left"/>
      <w:pPr>
        <w:ind w:left="720" w:hanging="360"/>
      </w:pPr>
      <w:rPr>
        <w:rFonts w:ascii="Symbol" w:hAnsi="Symbol"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098D19EF"/>
    <w:multiLevelType w:val="hybridMultilevel"/>
    <w:tmpl w:val="4A52805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98D1FA2"/>
    <w:multiLevelType w:val="hybridMultilevel"/>
    <w:tmpl w:val="91D62A46"/>
    <w:lvl w:ilvl="0" w:tplc="E0769DF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A2F6FDA"/>
    <w:multiLevelType w:val="multilevel"/>
    <w:tmpl w:val="7434929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A756282"/>
    <w:multiLevelType w:val="hybridMultilevel"/>
    <w:tmpl w:val="D8327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B5B6077"/>
    <w:multiLevelType w:val="hybridMultilevel"/>
    <w:tmpl w:val="01C084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C9E2AB3"/>
    <w:multiLevelType w:val="hybridMultilevel"/>
    <w:tmpl w:val="C54C770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0E3664A3"/>
    <w:multiLevelType w:val="hybridMultilevel"/>
    <w:tmpl w:val="0A8CDD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0AE268B"/>
    <w:multiLevelType w:val="hybridMultilevel"/>
    <w:tmpl w:val="D8526EF2"/>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036581"/>
    <w:multiLevelType w:val="hybridMultilevel"/>
    <w:tmpl w:val="B4824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1CC6731"/>
    <w:multiLevelType w:val="hybridMultilevel"/>
    <w:tmpl w:val="3314E342"/>
    <w:lvl w:ilvl="0" w:tplc="04270001">
      <w:start w:val="1"/>
      <w:numFmt w:val="decimal"/>
      <w:lvlText w:val="%1)"/>
      <w:lvlJc w:val="left"/>
      <w:pPr>
        <w:ind w:left="720" w:hanging="360"/>
      </w:pPr>
      <w:rPr>
        <w:rFonts w:cs="Times New Roman"/>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23" w15:restartNumberingAfterBreak="0">
    <w:nsid w:val="13C5156A"/>
    <w:multiLevelType w:val="hybridMultilevel"/>
    <w:tmpl w:val="85EC1F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417626A"/>
    <w:multiLevelType w:val="hybridMultilevel"/>
    <w:tmpl w:val="AD66C4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4B404E9"/>
    <w:multiLevelType w:val="hybridMultilevel"/>
    <w:tmpl w:val="043CE1AE"/>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62A1149"/>
    <w:multiLevelType w:val="hybridMultilevel"/>
    <w:tmpl w:val="C1BCE440"/>
    <w:lvl w:ilvl="0" w:tplc="04260001">
      <w:start w:val="1"/>
      <w:numFmt w:val="bullet"/>
      <w:lvlText w:val=""/>
      <w:lvlJc w:val="left"/>
      <w:pPr>
        <w:ind w:left="720" w:hanging="360"/>
      </w:pPr>
      <w:rPr>
        <w:rFonts w:ascii="Symbol" w:hAnsi="Symbol"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75B2618"/>
    <w:multiLevelType w:val="multilevel"/>
    <w:tmpl w:val="4362609E"/>
    <w:lvl w:ilvl="0">
      <w:start w:val="1"/>
      <w:numFmt w:val="bullet"/>
      <w:lvlText w:val=""/>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94E0570"/>
    <w:multiLevelType w:val="hybridMultilevel"/>
    <w:tmpl w:val="428417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9F753EF"/>
    <w:multiLevelType w:val="hybridMultilevel"/>
    <w:tmpl w:val="583C4D3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AC24367"/>
    <w:multiLevelType w:val="hybridMultilevel"/>
    <w:tmpl w:val="2ED6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FD204C3"/>
    <w:multiLevelType w:val="hybridMultilevel"/>
    <w:tmpl w:val="918874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22474171"/>
    <w:multiLevelType w:val="hybridMultilevel"/>
    <w:tmpl w:val="894E1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3C5676E"/>
    <w:multiLevelType w:val="hybridMultilevel"/>
    <w:tmpl w:val="83E67712"/>
    <w:lvl w:ilvl="0" w:tplc="D7C8BC22">
      <w:start w:val="7"/>
      <w:numFmt w:val="bullet"/>
      <w:lvlText w:val="-"/>
      <w:lvlJc w:val="left"/>
      <w:pPr>
        <w:ind w:left="1429" w:hanging="360"/>
      </w:pPr>
      <w:rPr>
        <w:rFonts w:ascii="Times New Roman" w:eastAsia="Times New Roman" w:hAnsi="Times New Roman" w:cs="Times New Roman" w:hint="default"/>
        <w:b/>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5" w15:restartNumberingAfterBreak="0">
    <w:nsid w:val="25FB3EE9"/>
    <w:multiLevelType w:val="hybridMultilevel"/>
    <w:tmpl w:val="7EDC4340"/>
    <w:lvl w:ilvl="0" w:tplc="55C8740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6ED1A3D"/>
    <w:multiLevelType w:val="hybridMultilevel"/>
    <w:tmpl w:val="B5CA77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6F9522C"/>
    <w:multiLevelType w:val="hybridMultilevel"/>
    <w:tmpl w:val="61465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7E771D3"/>
    <w:multiLevelType w:val="hybridMultilevel"/>
    <w:tmpl w:val="F3A6B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7F76EE9"/>
    <w:multiLevelType w:val="hybridMultilevel"/>
    <w:tmpl w:val="3B70A7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28382666"/>
    <w:multiLevelType w:val="hybridMultilevel"/>
    <w:tmpl w:val="A974501E"/>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84B70DD"/>
    <w:multiLevelType w:val="hybridMultilevel"/>
    <w:tmpl w:val="45E84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90977A7"/>
    <w:multiLevelType w:val="hybridMultilevel"/>
    <w:tmpl w:val="EC1C7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6255A5"/>
    <w:multiLevelType w:val="hybridMultilevel"/>
    <w:tmpl w:val="C93C7AD8"/>
    <w:lvl w:ilvl="0" w:tplc="04260001">
      <w:start w:val="1"/>
      <w:numFmt w:val="bullet"/>
      <w:lvlText w:val=""/>
      <w:lvlJc w:val="left"/>
      <w:pPr>
        <w:ind w:left="-642" w:hanging="360"/>
      </w:pPr>
      <w:rPr>
        <w:rFonts w:ascii="Symbol" w:hAnsi="Symbol" w:hint="default"/>
      </w:rPr>
    </w:lvl>
    <w:lvl w:ilvl="1" w:tplc="04260003">
      <w:start w:val="1"/>
      <w:numFmt w:val="bullet"/>
      <w:lvlText w:val="o"/>
      <w:lvlJc w:val="left"/>
      <w:pPr>
        <w:ind w:left="78" w:hanging="360"/>
      </w:pPr>
      <w:rPr>
        <w:rFonts w:ascii="Courier New" w:hAnsi="Courier New" w:cs="Courier New" w:hint="default"/>
      </w:rPr>
    </w:lvl>
    <w:lvl w:ilvl="2" w:tplc="04260005">
      <w:start w:val="1"/>
      <w:numFmt w:val="bullet"/>
      <w:lvlText w:val=""/>
      <w:lvlJc w:val="left"/>
      <w:pPr>
        <w:ind w:left="798" w:hanging="360"/>
      </w:pPr>
      <w:rPr>
        <w:rFonts w:ascii="Wingdings" w:hAnsi="Wingdings" w:hint="default"/>
      </w:rPr>
    </w:lvl>
    <w:lvl w:ilvl="3" w:tplc="04260001">
      <w:start w:val="1"/>
      <w:numFmt w:val="bullet"/>
      <w:lvlText w:val=""/>
      <w:lvlJc w:val="left"/>
      <w:pPr>
        <w:ind w:left="1518" w:hanging="360"/>
      </w:pPr>
      <w:rPr>
        <w:rFonts w:ascii="Symbol" w:hAnsi="Symbol" w:hint="default"/>
      </w:rPr>
    </w:lvl>
    <w:lvl w:ilvl="4" w:tplc="04260003">
      <w:start w:val="1"/>
      <w:numFmt w:val="bullet"/>
      <w:lvlText w:val="o"/>
      <w:lvlJc w:val="left"/>
      <w:pPr>
        <w:ind w:left="2238" w:hanging="360"/>
      </w:pPr>
      <w:rPr>
        <w:rFonts w:ascii="Courier New" w:hAnsi="Courier New" w:cs="Courier New" w:hint="default"/>
      </w:rPr>
    </w:lvl>
    <w:lvl w:ilvl="5" w:tplc="04260005">
      <w:start w:val="1"/>
      <w:numFmt w:val="bullet"/>
      <w:lvlText w:val=""/>
      <w:lvlJc w:val="left"/>
      <w:pPr>
        <w:ind w:left="2958" w:hanging="360"/>
      </w:pPr>
      <w:rPr>
        <w:rFonts w:ascii="Wingdings" w:hAnsi="Wingdings" w:hint="default"/>
      </w:rPr>
    </w:lvl>
    <w:lvl w:ilvl="6" w:tplc="04260001">
      <w:start w:val="1"/>
      <w:numFmt w:val="bullet"/>
      <w:lvlText w:val=""/>
      <w:lvlJc w:val="left"/>
      <w:pPr>
        <w:ind w:left="3678" w:hanging="360"/>
      </w:pPr>
      <w:rPr>
        <w:rFonts w:ascii="Symbol" w:hAnsi="Symbol" w:hint="default"/>
      </w:rPr>
    </w:lvl>
    <w:lvl w:ilvl="7" w:tplc="04260003">
      <w:start w:val="1"/>
      <w:numFmt w:val="bullet"/>
      <w:lvlText w:val="o"/>
      <w:lvlJc w:val="left"/>
      <w:pPr>
        <w:ind w:left="4398" w:hanging="360"/>
      </w:pPr>
      <w:rPr>
        <w:rFonts w:ascii="Courier New" w:hAnsi="Courier New" w:cs="Courier New" w:hint="default"/>
      </w:rPr>
    </w:lvl>
    <w:lvl w:ilvl="8" w:tplc="04260005">
      <w:start w:val="1"/>
      <w:numFmt w:val="bullet"/>
      <w:lvlText w:val=""/>
      <w:lvlJc w:val="left"/>
      <w:pPr>
        <w:ind w:left="5118" w:hanging="360"/>
      </w:pPr>
      <w:rPr>
        <w:rFonts w:ascii="Wingdings" w:hAnsi="Wingdings" w:hint="default"/>
      </w:rPr>
    </w:lvl>
  </w:abstractNum>
  <w:abstractNum w:abstractNumId="44" w15:restartNumberingAfterBreak="0">
    <w:nsid w:val="2A721450"/>
    <w:multiLevelType w:val="hybridMultilevel"/>
    <w:tmpl w:val="06BA5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ACB7251"/>
    <w:multiLevelType w:val="hybridMultilevel"/>
    <w:tmpl w:val="BE8C909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6" w15:restartNumberingAfterBreak="0">
    <w:nsid w:val="2C8775C6"/>
    <w:multiLevelType w:val="hybridMultilevel"/>
    <w:tmpl w:val="1FD2055E"/>
    <w:lvl w:ilvl="0" w:tplc="0426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E082303"/>
    <w:multiLevelType w:val="hybridMultilevel"/>
    <w:tmpl w:val="E6341F6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2E814362"/>
    <w:multiLevelType w:val="hybridMultilevel"/>
    <w:tmpl w:val="AB2C5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2ED97771"/>
    <w:multiLevelType w:val="hybridMultilevel"/>
    <w:tmpl w:val="D66459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2F7D0856"/>
    <w:multiLevelType w:val="hybridMultilevel"/>
    <w:tmpl w:val="DE889FDA"/>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2F992F9C"/>
    <w:multiLevelType w:val="hybridMultilevel"/>
    <w:tmpl w:val="691CB72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301A1C50"/>
    <w:multiLevelType w:val="hybridMultilevel"/>
    <w:tmpl w:val="BD9CA3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2245BCF"/>
    <w:multiLevelType w:val="hybridMultilevel"/>
    <w:tmpl w:val="DC30DFB0"/>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2314C35"/>
    <w:multiLevelType w:val="hybridMultilevel"/>
    <w:tmpl w:val="BF42F0B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2563F95"/>
    <w:multiLevelType w:val="multilevel"/>
    <w:tmpl w:val="BFD83A4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27C7B7D"/>
    <w:multiLevelType w:val="hybridMultilevel"/>
    <w:tmpl w:val="6792C3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8" w15:restartNumberingAfterBreak="0">
    <w:nsid w:val="34224CBE"/>
    <w:multiLevelType w:val="hybridMultilevel"/>
    <w:tmpl w:val="AA10D958"/>
    <w:lvl w:ilvl="0" w:tplc="15DAAC14">
      <w:start w:val="1"/>
      <w:numFmt w:val="bullet"/>
      <w:lvlText w:val=""/>
      <w:lvlJc w:val="left"/>
      <w:pPr>
        <w:ind w:left="780" w:hanging="360"/>
      </w:pPr>
      <w:rPr>
        <w:rFonts w:ascii="Symbol" w:hAnsi="Symbol" w:hint="default"/>
        <w:vertAlign w:val="baseline"/>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59"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B9874A2"/>
    <w:multiLevelType w:val="hybridMultilevel"/>
    <w:tmpl w:val="54FA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BCC497A"/>
    <w:multiLevelType w:val="hybridMultilevel"/>
    <w:tmpl w:val="7E90ED54"/>
    <w:lvl w:ilvl="0" w:tplc="04260001">
      <w:start w:val="1"/>
      <w:numFmt w:val="bullet"/>
      <w:lvlText w:val=""/>
      <w:lvlJc w:val="left"/>
      <w:pPr>
        <w:ind w:left="720" w:hanging="360"/>
      </w:pPr>
      <w:rPr>
        <w:rFonts w:ascii="Symbol" w:hAnsi="Symbol" w:hint="default"/>
      </w:rPr>
    </w:lvl>
    <w:lvl w:ilvl="1" w:tplc="72DCD540">
      <w:numFmt w:val="bullet"/>
      <w:lvlText w:val="-"/>
      <w:lvlJc w:val="left"/>
      <w:pPr>
        <w:ind w:left="1695" w:hanging="615"/>
      </w:pPr>
      <w:rPr>
        <w:rFonts w:ascii="Calibri" w:eastAsiaTheme="minorHAns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3E527E"/>
    <w:multiLevelType w:val="hybridMultilevel"/>
    <w:tmpl w:val="F09E80BC"/>
    <w:lvl w:ilvl="0" w:tplc="04260001">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3E144F71"/>
    <w:multiLevelType w:val="hybridMultilevel"/>
    <w:tmpl w:val="F4505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F5D0906"/>
    <w:multiLevelType w:val="hybridMultilevel"/>
    <w:tmpl w:val="A1B4F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F8109A6"/>
    <w:multiLevelType w:val="hybridMultilevel"/>
    <w:tmpl w:val="A87C422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40A35E6F"/>
    <w:multiLevelType w:val="hybridMultilevel"/>
    <w:tmpl w:val="34E46A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7" w15:restartNumberingAfterBreak="0">
    <w:nsid w:val="413A20A7"/>
    <w:multiLevelType w:val="hybridMultilevel"/>
    <w:tmpl w:val="E21CE0E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2E225B6"/>
    <w:multiLevelType w:val="hybridMultilevel"/>
    <w:tmpl w:val="C5B437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558127A"/>
    <w:multiLevelType w:val="hybridMultilevel"/>
    <w:tmpl w:val="2A94C9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15:restartNumberingAfterBreak="0">
    <w:nsid w:val="4633565D"/>
    <w:multiLevelType w:val="hybridMultilevel"/>
    <w:tmpl w:val="083074D4"/>
    <w:lvl w:ilvl="0" w:tplc="0426000B">
      <w:start w:val="1"/>
      <w:numFmt w:val="decimal"/>
      <w:lvlText w:val="%1)"/>
      <w:lvlJc w:val="left"/>
      <w:pPr>
        <w:ind w:left="720" w:hanging="360"/>
      </w:pPr>
      <w:rPr>
        <w:rFonts w:cs="Times New Roman" w:hint="default"/>
      </w:rPr>
    </w:lvl>
    <w:lvl w:ilvl="1" w:tplc="04260003">
      <w:start w:val="1"/>
      <w:numFmt w:val="decimal"/>
      <w:lvlText w:val="%2."/>
      <w:lvlJc w:val="left"/>
      <w:pPr>
        <w:tabs>
          <w:tab w:val="num" w:pos="1440"/>
        </w:tabs>
        <w:ind w:left="1440" w:hanging="360"/>
      </w:pPr>
      <w:rPr>
        <w:rFonts w:hint="default"/>
        <w:color w:val="auto"/>
      </w:rPr>
    </w:lvl>
    <w:lvl w:ilvl="2" w:tplc="04260005" w:tentative="1">
      <w:start w:val="1"/>
      <w:numFmt w:val="lowerRoman"/>
      <w:lvlText w:val="%3."/>
      <w:lvlJc w:val="right"/>
      <w:pPr>
        <w:ind w:left="2160" w:hanging="180"/>
      </w:pPr>
      <w:rPr>
        <w:rFonts w:cs="Times New Roman"/>
      </w:rPr>
    </w:lvl>
    <w:lvl w:ilvl="3" w:tplc="04260001" w:tentative="1">
      <w:start w:val="1"/>
      <w:numFmt w:val="decimal"/>
      <w:lvlText w:val="%4."/>
      <w:lvlJc w:val="left"/>
      <w:pPr>
        <w:ind w:left="2880" w:hanging="360"/>
      </w:pPr>
      <w:rPr>
        <w:rFonts w:cs="Times New Roman"/>
      </w:rPr>
    </w:lvl>
    <w:lvl w:ilvl="4" w:tplc="04260003" w:tentative="1">
      <w:start w:val="1"/>
      <w:numFmt w:val="lowerLetter"/>
      <w:lvlText w:val="%5."/>
      <w:lvlJc w:val="left"/>
      <w:pPr>
        <w:ind w:left="3600" w:hanging="360"/>
      </w:pPr>
      <w:rPr>
        <w:rFonts w:cs="Times New Roman"/>
      </w:rPr>
    </w:lvl>
    <w:lvl w:ilvl="5" w:tplc="04260005" w:tentative="1">
      <w:start w:val="1"/>
      <w:numFmt w:val="lowerRoman"/>
      <w:lvlText w:val="%6."/>
      <w:lvlJc w:val="right"/>
      <w:pPr>
        <w:ind w:left="4320" w:hanging="180"/>
      </w:pPr>
      <w:rPr>
        <w:rFonts w:cs="Times New Roman"/>
      </w:rPr>
    </w:lvl>
    <w:lvl w:ilvl="6" w:tplc="04260001" w:tentative="1">
      <w:start w:val="1"/>
      <w:numFmt w:val="decimal"/>
      <w:lvlText w:val="%7."/>
      <w:lvlJc w:val="left"/>
      <w:pPr>
        <w:ind w:left="5040" w:hanging="360"/>
      </w:pPr>
      <w:rPr>
        <w:rFonts w:cs="Times New Roman"/>
      </w:rPr>
    </w:lvl>
    <w:lvl w:ilvl="7" w:tplc="04260003" w:tentative="1">
      <w:start w:val="1"/>
      <w:numFmt w:val="lowerLetter"/>
      <w:lvlText w:val="%8."/>
      <w:lvlJc w:val="left"/>
      <w:pPr>
        <w:ind w:left="5760" w:hanging="360"/>
      </w:pPr>
      <w:rPr>
        <w:rFonts w:cs="Times New Roman"/>
      </w:rPr>
    </w:lvl>
    <w:lvl w:ilvl="8" w:tplc="04260005" w:tentative="1">
      <w:start w:val="1"/>
      <w:numFmt w:val="lowerRoman"/>
      <w:lvlText w:val="%9."/>
      <w:lvlJc w:val="right"/>
      <w:pPr>
        <w:ind w:left="6480" w:hanging="180"/>
      </w:pPr>
      <w:rPr>
        <w:rFonts w:cs="Times New Roman"/>
      </w:rPr>
    </w:lvl>
  </w:abstractNum>
  <w:abstractNum w:abstractNumId="71" w15:restartNumberingAfterBreak="0">
    <w:nsid w:val="470B3A0F"/>
    <w:multiLevelType w:val="hybridMultilevel"/>
    <w:tmpl w:val="368E4C5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48522697"/>
    <w:multiLevelType w:val="hybridMultilevel"/>
    <w:tmpl w:val="738C213C"/>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48B04906"/>
    <w:multiLevelType w:val="hybridMultilevel"/>
    <w:tmpl w:val="5914D6E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4931208A"/>
    <w:multiLevelType w:val="hybridMultilevel"/>
    <w:tmpl w:val="E180A65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4AE90ECC"/>
    <w:multiLevelType w:val="hybridMultilevel"/>
    <w:tmpl w:val="AC9082F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D027A11"/>
    <w:multiLevelType w:val="hybridMultilevel"/>
    <w:tmpl w:val="63C4C3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4E960EBD"/>
    <w:multiLevelType w:val="hybridMultilevel"/>
    <w:tmpl w:val="3326C7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F9B20E5"/>
    <w:multiLevelType w:val="hybridMultilevel"/>
    <w:tmpl w:val="3ED6E2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4FC16C64"/>
    <w:multiLevelType w:val="hybridMultilevel"/>
    <w:tmpl w:val="30EA064A"/>
    <w:lvl w:ilvl="0" w:tplc="0809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51EB6B4F"/>
    <w:multiLevelType w:val="hybridMultilevel"/>
    <w:tmpl w:val="0FD256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2" w15:restartNumberingAfterBreak="0">
    <w:nsid w:val="529D11C6"/>
    <w:multiLevelType w:val="hybridMultilevel"/>
    <w:tmpl w:val="304E66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52C75FC9"/>
    <w:multiLevelType w:val="hybridMultilevel"/>
    <w:tmpl w:val="B6B014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85"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3540A45"/>
    <w:multiLevelType w:val="hybridMultilevel"/>
    <w:tmpl w:val="6AE099F8"/>
    <w:lvl w:ilvl="0" w:tplc="04260001">
      <w:start w:val="1"/>
      <w:numFmt w:val="bullet"/>
      <w:lvlText w:val=""/>
      <w:lvlJc w:val="left"/>
      <w:pPr>
        <w:ind w:left="701" w:hanging="360"/>
      </w:pPr>
      <w:rPr>
        <w:rFonts w:ascii="Symbol" w:hAnsi="Symbol" w:hint="default"/>
      </w:rPr>
    </w:lvl>
    <w:lvl w:ilvl="1" w:tplc="04260003" w:tentative="1">
      <w:start w:val="1"/>
      <w:numFmt w:val="bullet"/>
      <w:lvlText w:val="o"/>
      <w:lvlJc w:val="left"/>
      <w:pPr>
        <w:ind w:left="1421" w:hanging="360"/>
      </w:pPr>
      <w:rPr>
        <w:rFonts w:ascii="Courier New" w:hAnsi="Courier New" w:cs="Courier New" w:hint="default"/>
      </w:rPr>
    </w:lvl>
    <w:lvl w:ilvl="2" w:tplc="04260005" w:tentative="1">
      <w:start w:val="1"/>
      <w:numFmt w:val="bullet"/>
      <w:lvlText w:val=""/>
      <w:lvlJc w:val="left"/>
      <w:pPr>
        <w:ind w:left="2141" w:hanging="360"/>
      </w:pPr>
      <w:rPr>
        <w:rFonts w:ascii="Wingdings" w:hAnsi="Wingdings" w:hint="default"/>
      </w:rPr>
    </w:lvl>
    <w:lvl w:ilvl="3" w:tplc="04260001" w:tentative="1">
      <w:start w:val="1"/>
      <w:numFmt w:val="bullet"/>
      <w:lvlText w:val=""/>
      <w:lvlJc w:val="left"/>
      <w:pPr>
        <w:ind w:left="2861" w:hanging="360"/>
      </w:pPr>
      <w:rPr>
        <w:rFonts w:ascii="Symbol" w:hAnsi="Symbol" w:hint="default"/>
      </w:rPr>
    </w:lvl>
    <w:lvl w:ilvl="4" w:tplc="04260003" w:tentative="1">
      <w:start w:val="1"/>
      <w:numFmt w:val="bullet"/>
      <w:lvlText w:val="o"/>
      <w:lvlJc w:val="left"/>
      <w:pPr>
        <w:ind w:left="3581" w:hanging="360"/>
      </w:pPr>
      <w:rPr>
        <w:rFonts w:ascii="Courier New" w:hAnsi="Courier New" w:cs="Courier New" w:hint="default"/>
      </w:rPr>
    </w:lvl>
    <w:lvl w:ilvl="5" w:tplc="04260005" w:tentative="1">
      <w:start w:val="1"/>
      <w:numFmt w:val="bullet"/>
      <w:lvlText w:val=""/>
      <w:lvlJc w:val="left"/>
      <w:pPr>
        <w:ind w:left="4301" w:hanging="360"/>
      </w:pPr>
      <w:rPr>
        <w:rFonts w:ascii="Wingdings" w:hAnsi="Wingdings" w:hint="default"/>
      </w:rPr>
    </w:lvl>
    <w:lvl w:ilvl="6" w:tplc="04260001" w:tentative="1">
      <w:start w:val="1"/>
      <w:numFmt w:val="bullet"/>
      <w:lvlText w:val=""/>
      <w:lvlJc w:val="left"/>
      <w:pPr>
        <w:ind w:left="5021" w:hanging="360"/>
      </w:pPr>
      <w:rPr>
        <w:rFonts w:ascii="Symbol" w:hAnsi="Symbol" w:hint="default"/>
      </w:rPr>
    </w:lvl>
    <w:lvl w:ilvl="7" w:tplc="04260003" w:tentative="1">
      <w:start w:val="1"/>
      <w:numFmt w:val="bullet"/>
      <w:lvlText w:val="o"/>
      <w:lvlJc w:val="left"/>
      <w:pPr>
        <w:ind w:left="5741" w:hanging="360"/>
      </w:pPr>
      <w:rPr>
        <w:rFonts w:ascii="Courier New" w:hAnsi="Courier New" w:cs="Courier New" w:hint="default"/>
      </w:rPr>
    </w:lvl>
    <w:lvl w:ilvl="8" w:tplc="04260005" w:tentative="1">
      <w:start w:val="1"/>
      <w:numFmt w:val="bullet"/>
      <w:lvlText w:val=""/>
      <w:lvlJc w:val="left"/>
      <w:pPr>
        <w:ind w:left="6461" w:hanging="360"/>
      </w:pPr>
      <w:rPr>
        <w:rFonts w:ascii="Wingdings" w:hAnsi="Wingdings" w:hint="default"/>
      </w:rPr>
    </w:lvl>
  </w:abstractNum>
  <w:abstractNum w:abstractNumId="87" w15:restartNumberingAfterBreak="0">
    <w:nsid w:val="53897B45"/>
    <w:multiLevelType w:val="hybridMultilevel"/>
    <w:tmpl w:val="B5CA77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5D92917"/>
    <w:multiLevelType w:val="hybridMultilevel"/>
    <w:tmpl w:val="436254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573A2723"/>
    <w:multiLevelType w:val="hybridMultilevel"/>
    <w:tmpl w:val="68C4B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9D467B7"/>
    <w:multiLevelType w:val="hybridMultilevel"/>
    <w:tmpl w:val="6E9CC0C2"/>
    <w:lvl w:ilvl="0" w:tplc="15DAAC14">
      <w:start w:val="1"/>
      <w:numFmt w:val="bullet"/>
      <w:lvlText w:val=""/>
      <w:lvlJc w:val="left"/>
      <w:pPr>
        <w:ind w:left="720" w:hanging="360"/>
      </w:pPr>
      <w:rPr>
        <w:rFonts w:ascii="Symbol" w:hAnsi="Symbol" w:hint="default"/>
        <w:vertAlign w:val="baseli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5A26314D"/>
    <w:multiLevelType w:val="hybridMultilevel"/>
    <w:tmpl w:val="A836C1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3" w15:restartNumberingAfterBreak="0">
    <w:nsid w:val="5A537AB4"/>
    <w:multiLevelType w:val="hybridMultilevel"/>
    <w:tmpl w:val="211C96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4" w15:restartNumberingAfterBreak="0">
    <w:nsid w:val="5A9854B7"/>
    <w:multiLevelType w:val="hybridMultilevel"/>
    <w:tmpl w:val="937EC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5B132619"/>
    <w:multiLevelType w:val="hybridMultilevel"/>
    <w:tmpl w:val="A8DC767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5C30686F"/>
    <w:multiLevelType w:val="hybridMultilevel"/>
    <w:tmpl w:val="678E4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C543B6F"/>
    <w:multiLevelType w:val="hybridMultilevel"/>
    <w:tmpl w:val="A8180FCE"/>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5CD34747"/>
    <w:multiLevelType w:val="hybridMultilevel"/>
    <w:tmpl w:val="7C3C761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5D611FD6"/>
    <w:multiLevelType w:val="hybridMultilevel"/>
    <w:tmpl w:val="23A24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 w15:restartNumberingAfterBreak="0">
    <w:nsid w:val="5D974531"/>
    <w:multiLevelType w:val="hybridMultilevel"/>
    <w:tmpl w:val="66FAF5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2" w15:restartNumberingAfterBreak="0">
    <w:nsid w:val="5E3B4E97"/>
    <w:multiLevelType w:val="hybridMultilevel"/>
    <w:tmpl w:val="7520E458"/>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03" w15:restartNumberingAfterBreak="0">
    <w:nsid w:val="5EB92008"/>
    <w:multiLevelType w:val="hybridMultilevel"/>
    <w:tmpl w:val="1D5C93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5EC32D76"/>
    <w:multiLevelType w:val="multilevel"/>
    <w:tmpl w:val="68C0E9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6A0F2D"/>
    <w:multiLevelType w:val="hybridMultilevel"/>
    <w:tmpl w:val="E724E6AC"/>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1030432"/>
    <w:multiLevelType w:val="hybridMultilevel"/>
    <w:tmpl w:val="2012D7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612042E6"/>
    <w:multiLevelType w:val="hybridMultilevel"/>
    <w:tmpl w:val="73DE6D5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 w15:restartNumberingAfterBreak="0">
    <w:nsid w:val="61524314"/>
    <w:multiLevelType w:val="hybridMultilevel"/>
    <w:tmpl w:val="4D04E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61AD707B"/>
    <w:multiLevelType w:val="hybridMultilevel"/>
    <w:tmpl w:val="D88C31D6"/>
    <w:lvl w:ilvl="0" w:tplc="D7C8BC22">
      <w:start w:val="7"/>
      <w:numFmt w:val="bullet"/>
      <w:lvlText w:val="-"/>
      <w:lvlJc w:val="left"/>
      <w:pPr>
        <w:ind w:left="720" w:hanging="360"/>
      </w:pPr>
      <w:rPr>
        <w:rFonts w:ascii="Times New Roman" w:eastAsia="Times New Roman" w:hAnsi="Times New Roman" w:cs="Times New Roman" w:hint="default"/>
        <w:b/>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61B8137A"/>
    <w:multiLevelType w:val="hybridMultilevel"/>
    <w:tmpl w:val="DA1E4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62B45B23"/>
    <w:multiLevelType w:val="hybridMultilevel"/>
    <w:tmpl w:val="13FC2FA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63450F10"/>
    <w:multiLevelType w:val="hybridMultilevel"/>
    <w:tmpl w:val="A8F6989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3" w15:restartNumberingAfterBreak="0">
    <w:nsid w:val="69610F07"/>
    <w:multiLevelType w:val="hybridMultilevel"/>
    <w:tmpl w:val="424A80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696E62D0"/>
    <w:multiLevelType w:val="hybridMultilevel"/>
    <w:tmpl w:val="28AA8C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69F237F8"/>
    <w:multiLevelType w:val="hybridMultilevel"/>
    <w:tmpl w:val="D2D01B5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6" w15:restartNumberingAfterBreak="0">
    <w:nsid w:val="6B351DD8"/>
    <w:multiLevelType w:val="hybridMultilevel"/>
    <w:tmpl w:val="518E0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6C49088D"/>
    <w:multiLevelType w:val="hybridMultilevel"/>
    <w:tmpl w:val="4C8C09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8" w15:restartNumberingAfterBreak="0">
    <w:nsid w:val="6CE01E2B"/>
    <w:multiLevelType w:val="hybridMultilevel"/>
    <w:tmpl w:val="323C855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19" w15:restartNumberingAfterBreak="0">
    <w:nsid w:val="6D5A6D18"/>
    <w:multiLevelType w:val="hybridMultilevel"/>
    <w:tmpl w:val="DC2E63D0"/>
    <w:lvl w:ilvl="0" w:tplc="0809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0" w15:restartNumberingAfterBreak="0">
    <w:nsid w:val="6E712280"/>
    <w:multiLevelType w:val="hybridMultilevel"/>
    <w:tmpl w:val="7A687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6FDF0717"/>
    <w:multiLevelType w:val="hybridMultilevel"/>
    <w:tmpl w:val="FDE6FF56"/>
    <w:lvl w:ilvl="0" w:tplc="04260011">
      <w:start w:val="1"/>
      <w:numFmt w:val="decimal"/>
      <w:lvlText w:val="%1)"/>
      <w:lvlJc w:val="left"/>
      <w:pPr>
        <w:ind w:left="720" w:hanging="360"/>
      </w:pPr>
      <w:rPr>
        <w:rFonts w:hint="default"/>
      </w:rPr>
    </w:lvl>
    <w:lvl w:ilvl="1" w:tplc="4E8CBDA6">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71951F2E"/>
    <w:multiLevelType w:val="hybridMultilevel"/>
    <w:tmpl w:val="D24EA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72B84B18"/>
    <w:multiLevelType w:val="hybridMultilevel"/>
    <w:tmpl w:val="17AEC9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4" w15:restartNumberingAfterBreak="0">
    <w:nsid w:val="730E1E92"/>
    <w:multiLevelType w:val="hybridMultilevel"/>
    <w:tmpl w:val="D99EFB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73641BA8"/>
    <w:multiLevelType w:val="hybridMultilevel"/>
    <w:tmpl w:val="87FC5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7" w15:restartNumberingAfterBreak="0">
    <w:nsid w:val="76643DD8"/>
    <w:multiLevelType w:val="hybridMultilevel"/>
    <w:tmpl w:val="74F2F21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77461830"/>
    <w:multiLevelType w:val="hybridMultilevel"/>
    <w:tmpl w:val="1FAEB81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7681987"/>
    <w:multiLevelType w:val="hybridMultilevel"/>
    <w:tmpl w:val="FC980A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779B4D3B"/>
    <w:multiLevelType w:val="hybridMultilevel"/>
    <w:tmpl w:val="3A4C074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1" w15:restartNumberingAfterBreak="0">
    <w:nsid w:val="77B244A1"/>
    <w:multiLevelType w:val="hybridMultilevel"/>
    <w:tmpl w:val="4BE2A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7806632D"/>
    <w:multiLevelType w:val="hybridMultilevel"/>
    <w:tmpl w:val="1B805A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787E3ADB"/>
    <w:multiLevelType w:val="hybridMultilevel"/>
    <w:tmpl w:val="3B1E74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78DD0866"/>
    <w:multiLevelType w:val="hybridMultilevel"/>
    <w:tmpl w:val="ACF4B714"/>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793F2632"/>
    <w:multiLevelType w:val="hybridMultilevel"/>
    <w:tmpl w:val="0888C3A2"/>
    <w:lvl w:ilvl="0" w:tplc="0E5ADE0A">
      <w:start w:val="1"/>
      <w:numFmt w:val="bullet"/>
      <w:lvlText w:val="–"/>
      <w:lvlJc w:val="left"/>
      <w:pPr>
        <w:ind w:left="720" w:hanging="360"/>
      </w:pPr>
      <w:rPr>
        <w:rFonts w:ascii="Times New Roman" w:eastAsia="Times New Roman" w:hAnsi="Times New Roman" w:cs="Times New Roman"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79575BDE"/>
    <w:multiLevelType w:val="hybridMultilevel"/>
    <w:tmpl w:val="3F8673A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7ABE15FC"/>
    <w:multiLevelType w:val="hybridMultilevel"/>
    <w:tmpl w:val="24FEA1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8" w15:restartNumberingAfterBreak="0">
    <w:nsid w:val="7B2347FD"/>
    <w:multiLevelType w:val="hybridMultilevel"/>
    <w:tmpl w:val="083074D4"/>
    <w:lvl w:ilvl="0" w:tplc="0426000B">
      <w:start w:val="1"/>
      <w:numFmt w:val="decimal"/>
      <w:lvlText w:val="%1)"/>
      <w:lvlJc w:val="left"/>
      <w:pPr>
        <w:ind w:left="720" w:hanging="360"/>
      </w:pPr>
      <w:rPr>
        <w:rFonts w:cs="Times New Roman" w:hint="default"/>
      </w:rPr>
    </w:lvl>
    <w:lvl w:ilvl="1" w:tplc="04260003">
      <w:start w:val="1"/>
      <w:numFmt w:val="decimal"/>
      <w:lvlText w:val="%2."/>
      <w:lvlJc w:val="left"/>
      <w:pPr>
        <w:tabs>
          <w:tab w:val="num" w:pos="1440"/>
        </w:tabs>
        <w:ind w:left="1440" w:hanging="360"/>
      </w:pPr>
      <w:rPr>
        <w:rFonts w:hint="default"/>
        <w:color w:val="auto"/>
      </w:rPr>
    </w:lvl>
    <w:lvl w:ilvl="2" w:tplc="04260005" w:tentative="1">
      <w:start w:val="1"/>
      <w:numFmt w:val="lowerRoman"/>
      <w:lvlText w:val="%3."/>
      <w:lvlJc w:val="right"/>
      <w:pPr>
        <w:ind w:left="2160" w:hanging="180"/>
      </w:pPr>
      <w:rPr>
        <w:rFonts w:cs="Times New Roman"/>
      </w:rPr>
    </w:lvl>
    <w:lvl w:ilvl="3" w:tplc="04260001" w:tentative="1">
      <w:start w:val="1"/>
      <w:numFmt w:val="decimal"/>
      <w:lvlText w:val="%4."/>
      <w:lvlJc w:val="left"/>
      <w:pPr>
        <w:ind w:left="2880" w:hanging="360"/>
      </w:pPr>
      <w:rPr>
        <w:rFonts w:cs="Times New Roman"/>
      </w:rPr>
    </w:lvl>
    <w:lvl w:ilvl="4" w:tplc="04260003" w:tentative="1">
      <w:start w:val="1"/>
      <w:numFmt w:val="lowerLetter"/>
      <w:lvlText w:val="%5."/>
      <w:lvlJc w:val="left"/>
      <w:pPr>
        <w:ind w:left="3600" w:hanging="360"/>
      </w:pPr>
      <w:rPr>
        <w:rFonts w:cs="Times New Roman"/>
      </w:rPr>
    </w:lvl>
    <w:lvl w:ilvl="5" w:tplc="04260005" w:tentative="1">
      <w:start w:val="1"/>
      <w:numFmt w:val="lowerRoman"/>
      <w:lvlText w:val="%6."/>
      <w:lvlJc w:val="right"/>
      <w:pPr>
        <w:ind w:left="4320" w:hanging="180"/>
      </w:pPr>
      <w:rPr>
        <w:rFonts w:cs="Times New Roman"/>
      </w:rPr>
    </w:lvl>
    <w:lvl w:ilvl="6" w:tplc="04260001" w:tentative="1">
      <w:start w:val="1"/>
      <w:numFmt w:val="decimal"/>
      <w:lvlText w:val="%7."/>
      <w:lvlJc w:val="left"/>
      <w:pPr>
        <w:ind w:left="5040" w:hanging="360"/>
      </w:pPr>
      <w:rPr>
        <w:rFonts w:cs="Times New Roman"/>
      </w:rPr>
    </w:lvl>
    <w:lvl w:ilvl="7" w:tplc="04260003" w:tentative="1">
      <w:start w:val="1"/>
      <w:numFmt w:val="lowerLetter"/>
      <w:lvlText w:val="%8."/>
      <w:lvlJc w:val="left"/>
      <w:pPr>
        <w:ind w:left="5760" w:hanging="360"/>
      </w:pPr>
      <w:rPr>
        <w:rFonts w:cs="Times New Roman"/>
      </w:rPr>
    </w:lvl>
    <w:lvl w:ilvl="8" w:tplc="04260005" w:tentative="1">
      <w:start w:val="1"/>
      <w:numFmt w:val="lowerRoman"/>
      <w:lvlText w:val="%9."/>
      <w:lvlJc w:val="right"/>
      <w:pPr>
        <w:ind w:left="6480" w:hanging="180"/>
      </w:pPr>
      <w:rPr>
        <w:rFonts w:cs="Times New Roman"/>
      </w:rPr>
    </w:lvl>
  </w:abstractNum>
  <w:abstractNum w:abstractNumId="139" w15:restartNumberingAfterBreak="0">
    <w:nsid w:val="7C0D5057"/>
    <w:multiLevelType w:val="hybridMultilevel"/>
    <w:tmpl w:val="3AF89046"/>
    <w:lvl w:ilvl="0" w:tplc="15DAAC14">
      <w:start w:val="1"/>
      <w:numFmt w:val="bullet"/>
      <w:lvlText w:val=""/>
      <w:lvlJc w:val="left"/>
      <w:pPr>
        <w:ind w:left="720" w:hanging="360"/>
      </w:pPr>
      <w:rPr>
        <w:rFonts w:ascii="Symbol" w:hAnsi="Symbol" w:hint="default"/>
        <w:vertAlign w:val="baseli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0" w15:restartNumberingAfterBreak="0">
    <w:nsid w:val="7EE737E7"/>
    <w:multiLevelType w:val="hybridMultilevel"/>
    <w:tmpl w:val="B2AE43D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1" w15:restartNumberingAfterBreak="0">
    <w:nsid w:val="7F4C5FC9"/>
    <w:multiLevelType w:val="hybridMultilevel"/>
    <w:tmpl w:val="F24AB7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7F604A28"/>
    <w:multiLevelType w:val="hybridMultilevel"/>
    <w:tmpl w:val="485C8034"/>
    <w:lvl w:ilvl="0" w:tplc="8E2A6458">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5"/>
  </w:num>
  <w:num w:numId="2">
    <w:abstractNumId w:val="102"/>
  </w:num>
  <w:num w:numId="3">
    <w:abstractNumId w:val="59"/>
  </w:num>
  <w:num w:numId="4">
    <w:abstractNumId w:val="13"/>
  </w:num>
  <w:num w:numId="5">
    <w:abstractNumId w:val="138"/>
  </w:num>
  <w:num w:numId="6">
    <w:abstractNumId w:val="22"/>
  </w:num>
  <w:num w:numId="7">
    <w:abstractNumId w:val="70"/>
  </w:num>
  <w:num w:numId="8">
    <w:abstractNumId w:val="15"/>
    <w:lvlOverride w:ilvl="0">
      <w:startOverride w:val="1"/>
    </w:lvlOverride>
    <w:lvlOverride w:ilvl="1"/>
    <w:lvlOverride w:ilvl="2"/>
    <w:lvlOverride w:ilvl="3"/>
    <w:lvlOverride w:ilvl="4"/>
    <w:lvlOverride w:ilvl="5"/>
    <w:lvlOverride w:ilvl="6"/>
    <w:lvlOverride w:ilvl="7"/>
    <w:lvlOverride w:ilvl="8"/>
  </w:num>
  <w:num w:numId="9">
    <w:abstractNumId w:val="33"/>
  </w:num>
  <w:num w:numId="10">
    <w:abstractNumId w:val="135"/>
  </w:num>
  <w:num w:numId="11">
    <w:abstractNumId w:val="111"/>
  </w:num>
  <w:num w:numId="12">
    <w:abstractNumId w:val="41"/>
  </w:num>
  <w:num w:numId="13">
    <w:abstractNumId w:val="23"/>
  </w:num>
  <w:num w:numId="14">
    <w:abstractNumId w:val="47"/>
  </w:num>
  <w:num w:numId="15">
    <w:abstractNumId w:val="53"/>
  </w:num>
  <w:num w:numId="16">
    <w:abstractNumId w:val="121"/>
  </w:num>
  <w:num w:numId="17">
    <w:abstractNumId w:val="5"/>
  </w:num>
  <w:num w:numId="18">
    <w:abstractNumId w:val="61"/>
  </w:num>
  <w:num w:numId="19">
    <w:abstractNumId w:val="20"/>
  </w:num>
  <w:num w:numId="20">
    <w:abstractNumId w:val="29"/>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7"/>
  </w:num>
  <w:num w:numId="24">
    <w:abstractNumId w:val="45"/>
  </w:num>
  <w:num w:numId="25">
    <w:abstractNumId w:val="35"/>
  </w:num>
  <w:num w:numId="26">
    <w:abstractNumId w:val="142"/>
  </w:num>
  <w:num w:numId="27">
    <w:abstractNumId w:val="96"/>
  </w:num>
  <w:num w:numId="28">
    <w:abstractNumId w:val="28"/>
  </w:num>
  <w:num w:numId="29">
    <w:abstractNumId w:val="52"/>
  </w:num>
  <w:num w:numId="30">
    <w:abstractNumId w:val="82"/>
  </w:num>
  <w:num w:numId="31">
    <w:abstractNumId w:val="95"/>
  </w:num>
  <w:num w:numId="32">
    <w:abstractNumId w:val="21"/>
  </w:num>
  <w:num w:numId="33">
    <w:abstractNumId w:val="103"/>
  </w:num>
  <w:num w:numId="34">
    <w:abstractNumId w:val="78"/>
  </w:num>
  <w:num w:numId="35">
    <w:abstractNumId w:val="113"/>
  </w:num>
  <w:num w:numId="36">
    <w:abstractNumId w:val="17"/>
  </w:num>
  <w:num w:numId="37">
    <w:abstractNumId w:val="12"/>
  </w:num>
  <w:num w:numId="38">
    <w:abstractNumId w:val="88"/>
  </w:num>
  <w:num w:numId="39">
    <w:abstractNumId w:val="57"/>
  </w:num>
  <w:num w:numId="40">
    <w:abstractNumId w:val="56"/>
  </w:num>
  <w:num w:numId="41">
    <w:abstractNumId w:val="133"/>
  </w:num>
  <w:num w:numId="42">
    <w:abstractNumId w:val="132"/>
  </w:num>
  <w:num w:numId="43">
    <w:abstractNumId w:val="94"/>
  </w:num>
  <w:num w:numId="44">
    <w:abstractNumId w:val="9"/>
  </w:num>
  <w:num w:numId="45">
    <w:abstractNumId w:val="31"/>
  </w:num>
  <w:num w:numId="46">
    <w:abstractNumId w:val="85"/>
  </w:num>
  <w:num w:numId="47">
    <w:abstractNumId w:val="65"/>
  </w:num>
  <w:num w:numId="48">
    <w:abstractNumId w:val="99"/>
  </w:num>
  <w:num w:numId="49">
    <w:abstractNumId w:val="110"/>
  </w:num>
  <w:num w:numId="50">
    <w:abstractNumId w:val="77"/>
  </w:num>
  <w:num w:numId="51">
    <w:abstractNumId w:val="8"/>
  </w:num>
  <w:num w:numId="52">
    <w:abstractNumId w:val="89"/>
  </w:num>
  <w:num w:numId="53">
    <w:abstractNumId w:val="16"/>
  </w:num>
  <w:num w:numId="54">
    <w:abstractNumId w:val="44"/>
  </w:num>
  <w:num w:numId="55">
    <w:abstractNumId w:val="42"/>
  </w:num>
  <w:num w:numId="56">
    <w:abstractNumId w:val="118"/>
  </w:num>
  <w:num w:numId="57">
    <w:abstractNumId w:val="122"/>
  </w:num>
  <w:num w:numId="58">
    <w:abstractNumId w:val="126"/>
  </w:num>
  <w:num w:numId="59">
    <w:abstractNumId w:val="2"/>
  </w:num>
  <w:num w:numId="60">
    <w:abstractNumId w:val="48"/>
  </w:num>
  <w:num w:numId="61">
    <w:abstractNumId w:val="40"/>
  </w:num>
  <w:num w:numId="62">
    <w:abstractNumId w:val="62"/>
  </w:num>
  <w:num w:numId="63">
    <w:abstractNumId w:val="30"/>
  </w:num>
  <w:num w:numId="64">
    <w:abstractNumId w:val="60"/>
  </w:num>
  <w:num w:numId="65">
    <w:abstractNumId w:val="104"/>
  </w:num>
  <w:num w:numId="66">
    <w:abstractNumId w:val="4"/>
  </w:num>
  <w:num w:numId="67">
    <w:abstractNumId w:val="66"/>
  </w:num>
  <w:num w:numId="68">
    <w:abstractNumId w:val="93"/>
  </w:num>
  <w:num w:numId="69">
    <w:abstractNumId w:val="51"/>
  </w:num>
  <w:num w:numId="70">
    <w:abstractNumId w:val="106"/>
  </w:num>
  <w:num w:numId="71">
    <w:abstractNumId w:val="68"/>
  </w:num>
  <w:num w:numId="72">
    <w:abstractNumId w:val="1"/>
  </w:num>
  <w:num w:numId="73">
    <w:abstractNumId w:val="114"/>
  </w:num>
  <w:num w:numId="74">
    <w:abstractNumId w:val="3"/>
  </w:num>
  <w:num w:numId="75">
    <w:abstractNumId w:val="98"/>
  </w:num>
  <w:num w:numId="76">
    <w:abstractNumId w:val="105"/>
  </w:num>
  <w:num w:numId="77">
    <w:abstractNumId w:val="124"/>
  </w:num>
  <w:num w:numId="78">
    <w:abstractNumId w:val="46"/>
  </w:num>
  <w:num w:numId="79">
    <w:abstractNumId w:val="50"/>
  </w:num>
  <w:num w:numId="80">
    <w:abstractNumId w:val="49"/>
  </w:num>
  <w:num w:numId="81">
    <w:abstractNumId w:val="72"/>
  </w:num>
  <w:num w:numId="82">
    <w:abstractNumId w:val="108"/>
  </w:num>
  <w:num w:numId="83">
    <w:abstractNumId w:val="134"/>
  </w:num>
  <w:num w:numId="84">
    <w:abstractNumId w:val="25"/>
  </w:num>
  <w:num w:numId="85">
    <w:abstractNumId w:val="27"/>
  </w:num>
  <w:num w:numId="86">
    <w:abstractNumId w:val="112"/>
  </w:num>
  <w:num w:numId="87">
    <w:abstractNumId w:val="130"/>
  </w:num>
  <w:num w:numId="88">
    <w:abstractNumId w:val="71"/>
  </w:num>
  <w:num w:numId="89">
    <w:abstractNumId w:val="115"/>
  </w:num>
  <w:num w:numId="90">
    <w:abstractNumId w:val="39"/>
  </w:num>
  <w:num w:numId="91">
    <w:abstractNumId w:val="34"/>
  </w:num>
  <w:num w:numId="92">
    <w:abstractNumId w:val="109"/>
  </w:num>
  <w:num w:numId="93">
    <w:abstractNumId w:val="63"/>
  </w:num>
  <w:num w:numId="94">
    <w:abstractNumId w:val="11"/>
  </w:num>
  <w:num w:numId="95">
    <w:abstractNumId w:val="86"/>
  </w:num>
  <w:num w:numId="96">
    <w:abstractNumId w:val="97"/>
  </w:num>
  <w:num w:numId="97">
    <w:abstractNumId w:val="116"/>
  </w:num>
  <w:num w:numId="98">
    <w:abstractNumId w:val="131"/>
  </w:num>
  <w:num w:numId="99">
    <w:abstractNumId w:val="120"/>
  </w:num>
  <w:num w:numId="100">
    <w:abstractNumId w:val="90"/>
  </w:num>
  <w:num w:numId="101">
    <w:abstractNumId w:val="38"/>
  </w:num>
  <w:num w:numId="102">
    <w:abstractNumId w:val="64"/>
  </w:num>
  <w:num w:numId="103">
    <w:abstractNumId w:val="74"/>
    <w:lvlOverride w:ilvl="0">
      <w:startOverride w:val="1"/>
    </w:lvlOverride>
    <w:lvlOverride w:ilvl="1"/>
    <w:lvlOverride w:ilvl="2"/>
    <w:lvlOverride w:ilvl="3"/>
    <w:lvlOverride w:ilvl="4"/>
    <w:lvlOverride w:ilvl="5"/>
    <w:lvlOverride w:ilvl="6"/>
    <w:lvlOverride w:ilvl="7"/>
    <w:lvlOverride w:ilvl="8"/>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lvlOverride w:ilvl="0">
      <w:startOverride w:val="1"/>
    </w:lvlOverride>
    <w:lvlOverride w:ilvl="1"/>
    <w:lvlOverride w:ilvl="2"/>
    <w:lvlOverride w:ilvl="3"/>
    <w:lvlOverride w:ilvl="4"/>
    <w:lvlOverride w:ilvl="5"/>
    <w:lvlOverride w:ilvl="6"/>
    <w:lvlOverride w:ilvl="7"/>
    <w:lvlOverride w:ilvl="8"/>
  </w:num>
  <w:num w:numId="106">
    <w:abstractNumId w:val="54"/>
    <w:lvlOverride w:ilvl="0">
      <w:startOverride w:val="1"/>
    </w:lvlOverride>
    <w:lvlOverride w:ilvl="1"/>
    <w:lvlOverride w:ilvl="2"/>
    <w:lvlOverride w:ilvl="3"/>
    <w:lvlOverride w:ilvl="4"/>
    <w:lvlOverride w:ilvl="5"/>
    <w:lvlOverride w:ilvl="6"/>
    <w:lvlOverride w:ilvl="7"/>
    <w:lvlOverride w:ilvl="8"/>
  </w:num>
  <w:num w:numId="107">
    <w:abstractNumId w:val="128"/>
    <w:lvlOverride w:ilvl="0">
      <w:startOverride w:val="1"/>
    </w:lvlOverride>
    <w:lvlOverride w:ilvl="1"/>
    <w:lvlOverride w:ilvl="2"/>
    <w:lvlOverride w:ilvl="3"/>
    <w:lvlOverride w:ilvl="4"/>
    <w:lvlOverride w:ilvl="5"/>
    <w:lvlOverride w:ilvl="6"/>
    <w:lvlOverride w:ilvl="7"/>
    <w:lvlOverride w:ilvl="8"/>
  </w:num>
  <w:num w:numId="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6"/>
    <w:lvlOverride w:ilvl="0">
      <w:startOverride w:val="1"/>
    </w:lvlOverride>
    <w:lvlOverride w:ilvl="1"/>
    <w:lvlOverride w:ilvl="2"/>
    <w:lvlOverride w:ilvl="3"/>
    <w:lvlOverride w:ilvl="4"/>
    <w:lvlOverride w:ilvl="5"/>
    <w:lvlOverride w:ilvl="6"/>
    <w:lvlOverride w:ilvl="7"/>
    <w:lvlOverride w:ilvl="8"/>
  </w:num>
  <w:num w:numId="110">
    <w:abstractNumId w:val="18"/>
    <w:lvlOverride w:ilvl="0">
      <w:startOverride w:val="1"/>
    </w:lvlOverride>
    <w:lvlOverride w:ilvl="1"/>
    <w:lvlOverride w:ilvl="2"/>
    <w:lvlOverride w:ilvl="3"/>
    <w:lvlOverride w:ilvl="4"/>
    <w:lvlOverride w:ilvl="5"/>
    <w:lvlOverride w:ilvl="6"/>
    <w:lvlOverride w:ilvl="7"/>
    <w:lvlOverride w:ilvl="8"/>
  </w:num>
  <w:num w:numId="111">
    <w:abstractNumId w:val="127"/>
    <w:lvlOverride w:ilvl="0">
      <w:startOverride w:val="1"/>
    </w:lvlOverride>
    <w:lvlOverride w:ilvl="1"/>
    <w:lvlOverride w:ilvl="2"/>
    <w:lvlOverride w:ilvl="3"/>
    <w:lvlOverride w:ilvl="4"/>
    <w:lvlOverride w:ilvl="5"/>
    <w:lvlOverride w:ilvl="6"/>
    <w:lvlOverride w:ilvl="7"/>
    <w:lvlOverride w:ilvl="8"/>
  </w:num>
  <w:num w:numId="1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lvlOverride w:ilvl="0">
      <w:startOverride w:val="1"/>
    </w:lvlOverride>
    <w:lvlOverride w:ilvl="1"/>
    <w:lvlOverride w:ilvl="2"/>
    <w:lvlOverride w:ilvl="3"/>
    <w:lvlOverride w:ilvl="4"/>
    <w:lvlOverride w:ilvl="5"/>
    <w:lvlOverride w:ilvl="6"/>
    <w:lvlOverride w:ilvl="7"/>
    <w:lvlOverride w:ilvl="8"/>
  </w:num>
  <w:num w:numId="117">
    <w:abstractNumId w:val="73"/>
    <w:lvlOverride w:ilvl="0">
      <w:startOverride w:val="1"/>
    </w:lvlOverride>
    <w:lvlOverride w:ilvl="1"/>
    <w:lvlOverride w:ilvl="2"/>
    <w:lvlOverride w:ilvl="3"/>
    <w:lvlOverride w:ilvl="4"/>
    <w:lvlOverride w:ilvl="5"/>
    <w:lvlOverride w:ilvl="6"/>
    <w:lvlOverride w:ilvl="7"/>
    <w:lvlOverride w:ilvl="8"/>
  </w:num>
  <w:num w:numId="1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9"/>
  </w:num>
  <w:num w:numId="120">
    <w:abstractNumId w:val="91"/>
  </w:num>
  <w:num w:numId="121">
    <w:abstractNumId w:val="101"/>
  </w:num>
  <w:num w:numId="122">
    <w:abstractNumId w:val="92"/>
  </w:num>
  <w:num w:numId="123">
    <w:abstractNumId w:val="137"/>
  </w:num>
  <w:num w:numId="124">
    <w:abstractNumId w:val="66"/>
  </w:num>
  <w:num w:numId="125">
    <w:abstractNumId w:val="43"/>
  </w:num>
  <w:num w:numId="126">
    <w:abstractNumId w:val="58"/>
  </w:num>
  <w:num w:numId="127">
    <w:abstractNumId w:val="81"/>
  </w:num>
  <w:num w:numId="128">
    <w:abstractNumId w:val="76"/>
  </w:num>
  <w:num w:numId="129">
    <w:abstractNumId w:val="24"/>
  </w:num>
  <w:num w:numId="130">
    <w:abstractNumId w:val="32"/>
  </w:num>
  <w:num w:numId="131">
    <w:abstractNumId w:val="117"/>
  </w:num>
  <w:num w:numId="132">
    <w:abstractNumId w:val="69"/>
  </w:num>
  <w:num w:numId="133">
    <w:abstractNumId w:val="19"/>
  </w:num>
  <w:num w:numId="134">
    <w:abstractNumId w:val="140"/>
  </w:num>
  <w:num w:numId="135">
    <w:abstractNumId w:val="87"/>
  </w:num>
  <w:num w:numId="136">
    <w:abstractNumId w:val="36"/>
  </w:num>
  <w:num w:numId="137">
    <w:abstractNumId w:val="80"/>
  </w:num>
  <w:num w:numId="138">
    <w:abstractNumId w:val="26"/>
  </w:num>
  <w:num w:numId="139">
    <w:abstractNumId w:val="141"/>
  </w:num>
  <w:num w:numId="140">
    <w:abstractNumId w:val="129"/>
  </w:num>
  <w:num w:numId="141">
    <w:abstractNumId w:val="14"/>
  </w:num>
  <w:num w:numId="142">
    <w:abstractNumId w:val="10"/>
  </w:num>
  <w:num w:numId="143">
    <w:abstractNumId w:val="12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hideGrammaticalErrors/>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56"/>
    <w:rsid w:val="0000144F"/>
    <w:rsid w:val="000033C9"/>
    <w:rsid w:val="00004AB3"/>
    <w:rsid w:val="00011268"/>
    <w:rsid w:val="00015093"/>
    <w:rsid w:val="00016602"/>
    <w:rsid w:val="0002073D"/>
    <w:rsid w:val="00020A4A"/>
    <w:rsid w:val="00020FC1"/>
    <w:rsid w:val="00025DBF"/>
    <w:rsid w:val="0002726A"/>
    <w:rsid w:val="00027DFC"/>
    <w:rsid w:val="0003297C"/>
    <w:rsid w:val="00033E8F"/>
    <w:rsid w:val="00035B4C"/>
    <w:rsid w:val="00036008"/>
    <w:rsid w:val="00036FD0"/>
    <w:rsid w:val="0003780C"/>
    <w:rsid w:val="00037C52"/>
    <w:rsid w:val="00044658"/>
    <w:rsid w:val="000451B8"/>
    <w:rsid w:val="000464C2"/>
    <w:rsid w:val="00051B58"/>
    <w:rsid w:val="00052C4B"/>
    <w:rsid w:val="0005622B"/>
    <w:rsid w:val="0006202C"/>
    <w:rsid w:val="0006254D"/>
    <w:rsid w:val="00063C4C"/>
    <w:rsid w:val="000641F0"/>
    <w:rsid w:val="00064D16"/>
    <w:rsid w:val="0006678F"/>
    <w:rsid w:val="000671F8"/>
    <w:rsid w:val="00071E13"/>
    <w:rsid w:val="00071E44"/>
    <w:rsid w:val="00073523"/>
    <w:rsid w:val="00073DA0"/>
    <w:rsid w:val="000764E8"/>
    <w:rsid w:val="000769C6"/>
    <w:rsid w:val="00077332"/>
    <w:rsid w:val="00077550"/>
    <w:rsid w:val="0007781A"/>
    <w:rsid w:val="00080BE7"/>
    <w:rsid w:val="000810A5"/>
    <w:rsid w:val="00090A30"/>
    <w:rsid w:val="00090F72"/>
    <w:rsid w:val="000912A9"/>
    <w:rsid w:val="00093B4E"/>
    <w:rsid w:val="000973CF"/>
    <w:rsid w:val="000A0BB8"/>
    <w:rsid w:val="000A220E"/>
    <w:rsid w:val="000A4C7C"/>
    <w:rsid w:val="000A6DEC"/>
    <w:rsid w:val="000A7C80"/>
    <w:rsid w:val="000B0153"/>
    <w:rsid w:val="000B06C3"/>
    <w:rsid w:val="000B1765"/>
    <w:rsid w:val="000B1B04"/>
    <w:rsid w:val="000B3759"/>
    <w:rsid w:val="000B450B"/>
    <w:rsid w:val="000C04C8"/>
    <w:rsid w:val="000C1115"/>
    <w:rsid w:val="000C1569"/>
    <w:rsid w:val="000C5FCB"/>
    <w:rsid w:val="000C65C8"/>
    <w:rsid w:val="000C697D"/>
    <w:rsid w:val="000C7519"/>
    <w:rsid w:val="000D0AE7"/>
    <w:rsid w:val="000D1CDE"/>
    <w:rsid w:val="000D730D"/>
    <w:rsid w:val="000D741E"/>
    <w:rsid w:val="000E27DA"/>
    <w:rsid w:val="000E2D24"/>
    <w:rsid w:val="000E2DED"/>
    <w:rsid w:val="000E3144"/>
    <w:rsid w:val="000E5315"/>
    <w:rsid w:val="000F38B8"/>
    <w:rsid w:val="000F51FF"/>
    <w:rsid w:val="000F5D61"/>
    <w:rsid w:val="0010106D"/>
    <w:rsid w:val="00101BAF"/>
    <w:rsid w:val="001026AF"/>
    <w:rsid w:val="00103094"/>
    <w:rsid w:val="00104895"/>
    <w:rsid w:val="00104B56"/>
    <w:rsid w:val="00104E5E"/>
    <w:rsid w:val="001077DB"/>
    <w:rsid w:val="00111E90"/>
    <w:rsid w:val="001134C0"/>
    <w:rsid w:val="00114800"/>
    <w:rsid w:val="00114C00"/>
    <w:rsid w:val="0011587F"/>
    <w:rsid w:val="001162B6"/>
    <w:rsid w:val="00117E73"/>
    <w:rsid w:val="00121062"/>
    <w:rsid w:val="00123443"/>
    <w:rsid w:val="001246B4"/>
    <w:rsid w:val="00125460"/>
    <w:rsid w:val="0012612C"/>
    <w:rsid w:val="00127D38"/>
    <w:rsid w:val="001301BD"/>
    <w:rsid w:val="00130BFD"/>
    <w:rsid w:val="00131A90"/>
    <w:rsid w:val="001320E7"/>
    <w:rsid w:val="00140C65"/>
    <w:rsid w:val="00143F08"/>
    <w:rsid w:val="001478E8"/>
    <w:rsid w:val="00153172"/>
    <w:rsid w:val="00154A78"/>
    <w:rsid w:val="0015582E"/>
    <w:rsid w:val="00156A1B"/>
    <w:rsid w:val="00156CAD"/>
    <w:rsid w:val="00162248"/>
    <w:rsid w:val="00165D1B"/>
    <w:rsid w:val="00166C61"/>
    <w:rsid w:val="00166CD8"/>
    <w:rsid w:val="0016746F"/>
    <w:rsid w:val="00170AF3"/>
    <w:rsid w:val="00172130"/>
    <w:rsid w:val="0017230F"/>
    <w:rsid w:val="00172540"/>
    <w:rsid w:val="0017515F"/>
    <w:rsid w:val="00180FED"/>
    <w:rsid w:val="00181242"/>
    <w:rsid w:val="00181E56"/>
    <w:rsid w:val="00181E6C"/>
    <w:rsid w:val="001832C4"/>
    <w:rsid w:val="00183803"/>
    <w:rsid w:val="00185F06"/>
    <w:rsid w:val="00187D0D"/>
    <w:rsid w:val="00192E75"/>
    <w:rsid w:val="001937D2"/>
    <w:rsid w:val="00194BDB"/>
    <w:rsid w:val="00196072"/>
    <w:rsid w:val="00196495"/>
    <w:rsid w:val="001A2F35"/>
    <w:rsid w:val="001A3F68"/>
    <w:rsid w:val="001A415C"/>
    <w:rsid w:val="001A4BA1"/>
    <w:rsid w:val="001A4E6F"/>
    <w:rsid w:val="001A6556"/>
    <w:rsid w:val="001A692C"/>
    <w:rsid w:val="001A6FB4"/>
    <w:rsid w:val="001B139A"/>
    <w:rsid w:val="001B439E"/>
    <w:rsid w:val="001B503E"/>
    <w:rsid w:val="001B678A"/>
    <w:rsid w:val="001B6FE0"/>
    <w:rsid w:val="001C0E9B"/>
    <w:rsid w:val="001C0F15"/>
    <w:rsid w:val="001C210B"/>
    <w:rsid w:val="001C21D5"/>
    <w:rsid w:val="001C3315"/>
    <w:rsid w:val="001C4002"/>
    <w:rsid w:val="001C520F"/>
    <w:rsid w:val="001C76E8"/>
    <w:rsid w:val="001D05B8"/>
    <w:rsid w:val="001D4477"/>
    <w:rsid w:val="001D7C9F"/>
    <w:rsid w:val="001E1D35"/>
    <w:rsid w:val="001E2449"/>
    <w:rsid w:val="001E3724"/>
    <w:rsid w:val="001E4B2A"/>
    <w:rsid w:val="001E78A6"/>
    <w:rsid w:val="001E7C31"/>
    <w:rsid w:val="001F048E"/>
    <w:rsid w:val="001F29F5"/>
    <w:rsid w:val="001F3F22"/>
    <w:rsid w:val="001F443F"/>
    <w:rsid w:val="001F44B0"/>
    <w:rsid w:val="001F498F"/>
    <w:rsid w:val="001F4FAA"/>
    <w:rsid w:val="0020334E"/>
    <w:rsid w:val="00207D5B"/>
    <w:rsid w:val="00211F3A"/>
    <w:rsid w:val="002130EC"/>
    <w:rsid w:val="00213AA3"/>
    <w:rsid w:val="00217552"/>
    <w:rsid w:val="00221A15"/>
    <w:rsid w:val="00225CC0"/>
    <w:rsid w:val="0022638D"/>
    <w:rsid w:val="00232746"/>
    <w:rsid w:val="00232BFE"/>
    <w:rsid w:val="00233443"/>
    <w:rsid w:val="00237C89"/>
    <w:rsid w:val="002405D0"/>
    <w:rsid w:val="00241CCE"/>
    <w:rsid w:val="002425FC"/>
    <w:rsid w:val="00245E6B"/>
    <w:rsid w:val="00250178"/>
    <w:rsid w:val="00250D4A"/>
    <w:rsid w:val="00253EAC"/>
    <w:rsid w:val="002600FF"/>
    <w:rsid w:val="002609F2"/>
    <w:rsid w:val="002621C4"/>
    <w:rsid w:val="00262BD2"/>
    <w:rsid w:val="00264875"/>
    <w:rsid w:val="002651A7"/>
    <w:rsid w:val="002653B0"/>
    <w:rsid w:val="0026598C"/>
    <w:rsid w:val="00266881"/>
    <w:rsid w:val="0027023F"/>
    <w:rsid w:val="00271B1A"/>
    <w:rsid w:val="002729AC"/>
    <w:rsid w:val="00283C85"/>
    <w:rsid w:val="00285A00"/>
    <w:rsid w:val="00290F19"/>
    <w:rsid w:val="00291C9A"/>
    <w:rsid w:val="00293455"/>
    <w:rsid w:val="002A1DD4"/>
    <w:rsid w:val="002A26DA"/>
    <w:rsid w:val="002A2B2F"/>
    <w:rsid w:val="002A34FA"/>
    <w:rsid w:val="002A4CFD"/>
    <w:rsid w:val="002A59DA"/>
    <w:rsid w:val="002A6739"/>
    <w:rsid w:val="002A6A2A"/>
    <w:rsid w:val="002A72BD"/>
    <w:rsid w:val="002A72E8"/>
    <w:rsid w:val="002B1CA2"/>
    <w:rsid w:val="002B2045"/>
    <w:rsid w:val="002B2B91"/>
    <w:rsid w:val="002B2D62"/>
    <w:rsid w:val="002B34F1"/>
    <w:rsid w:val="002B5486"/>
    <w:rsid w:val="002B71D9"/>
    <w:rsid w:val="002C0070"/>
    <w:rsid w:val="002C1805"/>
    <w:rsid w:val="002C2B17"/>
    <w:rsid w:val="002C2BBC"/>
    <w:rsid w:val="002C32BB"/>
    <w:rsid w:val="002C3451"/>
    <w:rsid w:val="002C6E77"/>
    <w:rsid w:val="002C72B9"/>
    <w:rsid w:val="002C7D1F"/>
    <w:rsid w:val="002D0506"/>
    <w:rsid w:val="002D1990"/>
    <w:rsid w:val="002D28BC"/>
    <w:rsid w:val="002D36E7"/>
    <w:rsid w:val="002D6969"/>
    <w:rsid w:val="002D7DF8"/>
    <w:rsid w:val="002E1762"/>
    <w:rsid w:val="002E3112"/>
    <w:rsid w:val="002E482C"/>
    <w:rsid w:val="002E51E3"/>
    <w:rsid w:val="002E64E9"/>
    <w:rsid w:val="002F0416"/>
    <w:rsid w:val="002F2578"/>
    <w:rsid w:val="002F2C81"/>
    <w:rsid w:val="002F3BAA"/>
    <w:rsid w:val="002F3FE2"/>
    <w:rsid w:val="002F51AA"/>
    <w:rsid w:val="002F6EA4"/>
    <w:rsid w:val="002F7BA4"/>
    <w:rsid w:val="003015F7"/>
    <w:rsid w:val="00302AEF"/>
    <w:rsid w:val="00303787"/>
    <w:rsid w:val="00304C82"/>
    <w:rsid w:val="003057A7"/>
    <w:rsid w:val="0030713E"/>
    <w:rsid w:val="00313D88"/>
    <w:rsid w:val="00317927"/>
    <w:rsid w:val="0032087A"/>
    <w:rsid w:val="00322BD3"/>
    <w:rsid w:val="00324005"/>
    <w:rsid w:val="003262A3"/>
    <w:rsid w:val="00327EE6"/>
    <w:rsid w:val="00330C7C"/>
    <w:rsid w:val="003310D9"/>
    <w:rsid w:val="00331B6C"/>
    <w:rsid w:val="0033245E"/>
    <w:rsid w:val="00333FAF"/>
    <w:rsid w:val="00340B9C"/>
    <w:rsid w:val="00342637"/>
    <w:rsid w:val="003426FD"/>
    <w:rsid w:val="00347B4E"/>
    <w:rsid w:val="00352F7E"/>
    <w:rsid w:val="00353EAE"/>
    <w:rsid w:val="003554FE"/>
    <w:rsid w:val="00355B22"/>
    <w:rsid w:val="00360EAA"/>
    <w:rsid w:val="00361441"/>
    <w:rsid w:val="003625B9"/>
    <w:rsid w:val="00371B35"/>
    <w:rsid w:val="003723A4"/>
    <w:rsid w:val="003729D9"/>
    <w:rsid w:val="003730D9"/>
    <w:rsid w:val="00376AFA"/>
    <w:rsid w:val="00376DA7"/>
    <w:rsid w:val="00376EE1"/>
    <w:rsid w:val="00384F40"/>
    <w:rsid w:val="00385733"/>
    <w:rsid w:val="00385849"/>
    <w:rsid w:val="003864B1"/>
    <w:rsid w:val="0038659E"/>
    <w:rsid w:val="00386EB3"/>
    <w:rsid w:val="00387782"/>
    <w:rsid w:val="00387DAC"/>
    <w:rsid w:val="00391410"/>
    <w:rsid w:val="003924CF"/>
    <w:rsid w:val="003938D8"/>
    <w:rsid w:val="003944A6"/>
    <w:rsid w:val="0039583D"/>
    <w:rsid w:val="003961D3"/>
    <w:rsid w:val="003A1309"/>
    <w:rsid w:val="003A1F99"/>
    <w:rsid w:val="003A2F21"/>
    <w:rsid w:val="003A373F"/>
    <w:rsid w:val="003A62A0"/>
    <w:rsid w:val="003B135B"/>
    <w:rsid w:val="003B46B9"/>
    <w:rsid w:val="003C0352"/>
    <w:rsid w:val="003C2350"/>
    <w:rsid w:val="003C23BF"/>
    <w:rsid w:val="003C30FB"/>
    <w:rsid w:val="003C3B44"/>
    <w:rsid w:val="003D156C"/>
    <w:rsid w:val="003D16FF"/>
    <w:rsid w:val="003D1E4D"/>
    <w:rsid w:val="003D760C"/>
    <w:rsid w:val="003E0E27"/>
    <w:rsid w:val="003E0E74"/>
    <w:rsid w:val="003E0F81"/>
    <w:rsid w:val="003E1015"/>
    <w:rsid w:val="003E1E6A"/>
    <w:rsid w:val="003E2EAC"/>
    <w:rsid w:val="003E435A"/>
    <w:rsid w:val="003E5526"/>
    <w:rsid w:val="003E7321"/>
    <w:rsid w:val="003F0BA2"/>
    <w:rsid w:val="003F39C7"/>
    <w:rsid w:val="003F3D28"/>
    <w:rsid w:val="003F3F14"/>
    <w:rsid w:val="003F4596"/>
    <w:rsid w:val="003F48D4"/>
    <w:rsid w:val="003F514A"/>
    <w:rsid w:val="003F5CD4"/>
    <w:rsid w:val="003F7B26"/>
    <w:rsid w:val="00400B29"/>
    <w:rsid w:val="004036CC"/>
    <w:rsid w:val="004037C2"/>
    <w:rsid w:val="0040532A"/>
    <w:rsid w:val="00407219"/>
    <w:rsid w:val="0040776F"/>
    <w:rsid w:val="00412107"/>
    <w:rsid w:val="00412831"/>
    <w:rsid w:val="00412D57"/>
    <w:rsid w:val="00413A6B"/>
    <w:rsid w:val="00414B97"/>
    <w:rsid w:val="00423968"/>
    <w:rsid w:val="004322E3"/>
    <w:rsid w:val="0043515A"/>
    <w:rsid w:val="00435CFC"/>
    <w:rsid w:val="00435E90"/>
    <w:rsid w:val="004376E0"/>
    <w:rsid w:val="004414B5"/>
    <w:rsid w:val="00441A20"/>
    <w:rsid w:val="00441CFC"/>
    <w:rsid w:val="00441E7B"/>
    <w:rsid w:val="00442257"/>
    <w:rsid w:val="00442C65"/>
    <w:rsid w:val="00442D43"/>
    <w:rsid w:val="0044489C"/>
    <w:rsid w:val="00445E35"/>
    <w:rsid w:val="0044703B"/>
    <w:rsid w:val="00447D19"/>
    <w:rsid w:val="004517BF"/>
    <w:rsid w:val="004530AB"/>
    <w:rsid w:val="00457914"/>
    <w:rsid w:val="0046072B"/>
    <w:rsid w:val="00463E03"/>
    <w:rsid w:val="004650A2"/>
    <w:rsid w:val="004658C9"/>
    <w:rsid w:val="00466528"/>
    <w:rsid w:val="0047081B"/>
    <w:rsid w:val="00471A12"/>
    <w:rsid w:val="00471CF9"/>
    <w:rsid w:val="00471ECB"/>
    <w:rsid w:val="0047434A"/>
    <w:rsid w:val="00475933"/>
    <w:rsid w:val="00476419"/>
    <w:rsid w:val="004814AC"/>
    <w:rsid w:val="00485878"/>
    <w:rsid w:val="004901B2"/>
    <w:rsid w:val="004902AA"/>
    <w:rsid w:val="004919EC"/>
    <w:rsid w:val="004920F4"/>
    <w:rsid w:val="00492239"/>
    <w:rsid w:val="004922AC"/>
    <w:rsid w:val="004937A1"/>
    <w:rsid w:val="00495E1C"/>
    <w:rsid w:val="00497676"/>
    <w:rsid w:val="004A060F"/>
    <w:rsid w:val="004A4283"/>
    <w:rsid w:val="004A4CA1"/>
    <w:rsid w:val="004A4DB0"/>
    <w:rsid w:val="004B0661"/>
    <w:rsid w:val="004B28BC"/>
    <w:rsid w:val="004B3A52"/>
    <w:rsid w:val="004B3D15"/>
    <w:rsid w:val="004B65B5"/>
    <w:rsid w:val="004B6E22"/>
    <w:rsid w:val="004B6F90"/>
    <w:rsid w:val="004B7E41"/>
    <w:rsid w:val="004C0BD8"/>
    <w:rsid w:val="004C668A"/>
    <w:rsid w:val="004C78D4"/>
    <w:rsid w:val="004C7936"/>
    <w:rsid w:val="004D5B82"/>
    <w:rsid w:val="004D69D2"/>
    <w:rsid w:val="004E07CC"/>
    <w:rsid w:val="004E0D63"/>
    <w:rsid w:val="004E34B0"/>
    <w:rsid w:val="004E451F"/>
    <w:rsid w:val="004E4C7C"/>
    <w:rsid w:val="004E4D31"/>
    <w:rsid w:val="004E6B8C"/>
    <w:rsid w:val="004F4BCC"/>
    <w:rsid w:val="004F51CD"/>
    <w:rsid w:val="0050010E"/>
    <w:rsid w:val="005002CD"/>
    <w:rsid w:val="0050180E"/>
    <w:rsid w:val="00502C89"/>
    <w:rsid w:val="00505595"/>
    <w:rsid w:val="005061BB"/>
    <w:rsid w:val="0051088C"/>
    <w:rsid w:val="00512D17"/>
    <w:rsid w:val="00512EEA"/>
    <w:rsid w:val="0051536C"/>
    <w:rsid w:val="0051545E"/>
    <w:rsid w:val="005157CD"/>
    <w:rsid w:val="00515D3A"/>
    <w:rsid w:val="00517F8A"/>
    <w:rsid w:val="005203D0"/>
    <w:rsid w:val="00521652"/>
    <w:rsid w:val="0052198C"/>
    <w:rsid w:val="00523B4F"/>
    <w:rsid w:val="00524A79"/>
    <w:rsid w:val="0052660E"/>
    <w:rsid w:val="00526D4F"/>
    <w:rsid w:val="00527C45"/>
    <w:rsid w:val="005313F6"/>
    <w:rsid w:val="00531F0C"/>
    <w:rsid w:val="005321B3"/>
    <w:rsid w:val="005347C2"/>
    <w:rsid w:val="005349B1"/>
    <w:rsid w:val="0054265A"/>
    <w:rsid w:val="00542A2F"/>
    <w:rsid w:val="00542C10"/>
    <w:rsid w:val="005439CB"/>
    <w:rsid w:val="005459FB"/>
    <w:rsid w:val="00545C85"/>
    <w:rsid w:val="005464B2"/>
    <w:rsid w:val="005470F3"/>
    <w:rsid w:val="00547D3F"/>
    <w:rsid w:val="00550014"/>
    <w:rsid w:val="00554052"/>
    <w:rsid w:val="00554324"/>
    <w:rsid w:val="00555ED7"/>
    <w:rsid w:val="0056124E"/>
    <w:rsid w:val="00561BB9"/>
    <w:rsid w:val="00562FB7"/>
    <w:rsid w:val="00564B94"/>
    <w:rsid w:val="00565E98"/>
    <w:rsid w:val="0056638D"/>
    <w:rsid w:val="005716E8"/>
    <w:rsid w:val="00573EBD"/>
    <w:rsid w:val="00574F4A"/>
    <w:rsid w:val="00580A6A"/>
    <w:rsid w:val="00581156"/>
    <w:rsid w:val="005822AC"/>
    <w:rsid w:val="005835B7"/>
    <w:rsid w:val="00583754"/>
    <w:rsid w:val="0058468D"/>
    <w:rsid w:val="005851BA"/>
    <w:rsid w:val="00590DF4"/>
    <w:rsid w:val="00591F77"/>
    <w:rsid w:val="00593581"/>
    <w:rsid w:val="00594FEB"/>
    <w:rsid w:val="005A041E"/>
    <w:rsid w:val="005A2B35"/>
    <w:rsid w:val="005A59D8"/>
    <w:rsid w:val="005A5FBA"/>
    <w:rsid w:val="005B02F5"/>
    <w:rsid w:val="005B0D53"/>
    <w:rsid w:val="005B4611"/>
    <w:rsid w:val="005B60C3"/>
    <w:rsid w:val="005B70C5"/>
    <w:rsid w:val="005C0BDE"/>
    <w:rsid w:val="005C0DC9"/>
    <w:rsid w:val="005C3DD2"/>
    <w:rsid w:val="005C76FC"/>
    <w:rsid w:val="005D22A9"/>
    <w:rsid w:val="005D73B7"/>
    <w:rsid w:val="005E30B0"/>
    <w:rsid w:val="005E49FD"/>
    <w:rsid w:val="005E70E5"/>
    <w:rsid w:val="005E7380"/>
    <w:rsid w:val="005F085F"/>
    <w:rsid w:val="005F1283"/>
    <w:rsid w:val="005F42DD"/>
    <w:rsid w:val="005F4AC6"/>
    <w:rsid w:val="005F59CE"/>
    <w:rsid w:val="005F6638"/>
    <w:rsid w:val="005F7496"/>
    <w:rsid w:val="00600D70"/>
    <w:rsid w:val="00604910"/>
    <w:rsid w:val="00604A74"/>
    <w:rsid w:val="00604AE3"/>
    <w:rsid w:val="006067D4"/>
    <w:rsid w:val="006133AD"/>
    <w:rsid w:val="00615E2C"/>
    <w:rsid w:val="00617A33"/>
    <w:rsid w:val="0062134E"/>
    <w:rsid w:val="0062153F"/>
    <w:rsid w:val="00621553"/>
    <w:rsid w:val="006223AA"/>
    <w:rsid w:val="0062318B"/>
    <w:rsid w:val="00623C6F"/>
    <w:rsid w:val="00623E08"/>
    <w:rsid w:val="00625012"/>
    <w:rsid w:val="00625193"/>
    <w:rsid w:val="00625B58"/>
    <w:rsid w:val="00626181"/>
    <w:rsid w:val="00626A53"/>
    <w:rsid w:val="006279F6"/>
    <w:rsid w:val="0063104B"/>
    <w:rsid w:val="00632D0C"/>
    <w:rsid w:val="0063363A"/>
    <w:rsid w:val="00635828"/>
    <w:rsid w:val="006360E9"/>
    <w:rsid w:val="006366D6"/>
    <w:rsid w:val="00640042"/>
    <w:rsid w:val="006406C6"/>
    <w:rsid w:val="0064179F"/>
    <w:rsid w:val="00641E47"/>
    <w:rsid w:val="0064440D"/>
    <w:rsid w:val="00647586"/>
    <w:rsid w:val="00647D42"/>
    <w:rsid w:val="00650391"/>
    <w:rsid w:val="00652611"/>
    <w:rsid w:val="00653E00"/>
    <w:rsid w:val="00655741"/>
    <w:rsid w:val="00655920"/>
    <w:rsid w:val="00655BAD"/>
    <w:rsid w:val="00667B00"/>
    <w:rsid w:val="006705A0"/>
    <w:rsid w:val="00670BF6"/>
    <w:rsid w:val="00677F54"/>
    <w:rsid w:val="006800DD"/>
    <w:rsid w:val="006805F2"/>
    <w:rsid w:val="0068236C"/>
    <w:rsid w:val="00683767"/>
    <w:rsid w:val="00684E3E"/>
    <w:rsid w:val="00686B2A"/>
    <w:rsid w:val="00692079"/>
    <w:rsid w:val="006922CA"/>
    <w:rsid w:val="00694968"/>
    <w:rsid w:val="0069700A"/>
    <w:rsid w:val="006A1FAA"/>
    <w:rsid w:val="006A3D6D"/>
    <w:rsid w:val="006A6372"/>
    <w:rsid w:val="006B3DE8"/>
    <w:rsid w:val="006B5E67"/>
    <w:rsid w:val="006B6FCC"/>
    <w:rsid w:val="006C0304"/>
    <w:rsid w:val="006C0888"/>
    <w:rsid w:val="006C4E3C"/>
    <w:rsid w:val="006C5D95"/>
    <w:rsid w:val="006C746B"/>
    <w:rsid w:val="006D1920"/>
    <w:rsid w:val="006D2DDB"/>
    <w:rsid w:val="006D2E71"/>
    <w:rsid w:val="006D496F"/>
    <w:rsid w:val="006D57B6"/>
    <w:rsid w:val="006D694D"/>
    <w:rsid w:val="006D79AE"/>
    <w:rsid w:val="006E0793"/>
    <w:rsid w:val="006E1332"/>
    <w:rsid w:val="006E1C79"/>
    <w:rsid w:val="006E2F59"/>
    <w:rsid w:val="006E3BB7"/>
    <w:rsid w:val="006E554B"/>
    <w:rsid w:val="006E5B5D"/>
    <w:rsid w:val="006E629A"/>
    <w:rsid w:val="006F03D6"/>
    <w:rsid w:val="006F26B0"/>
    <w:rsid w:val="006F546A"/>
    <w:rsid w:val="006F61E6"/>
    <w:rsid w:val="006F7439"/>
    <w:rsid w:val="00700D8D"/>
    <w:rsid w:val="0070165C"/>
    <w:rsid w:val="00705B9C"/>
    <w:rsid w:val="00706C8A"/>
    <w:rsid w:val="00710BDC"/>
    <w:rsid w:val="00711BE2"/>
    <w:rsid w:val="00712731"/>
    <w:rsid w:val="00713644"/>
    <w:rsid w:val="00713CAA"/>
    <w:rsid w:val="00716A71"/>
    <w:rsid w:val="00717A77"/>
    <w:rsid w:val="007219CE"/>
    <w:rsid w:val="007229CB"/>
    <w:rsid w:val="00722BC2"/>
    <w:rsid w:val="00725B2F"/>
    <w:rsid w:val="00726CF7"/>
    <w:rsid w:val="00727820"/>
    <w:rsid w:val="00731434"/>
    <w:rsid w:val="00731508"/>
    <w:rsid w:val="00735181"/>
    <w:rsid w:val="007356BB"/>
    <w:rsid w:val="00740FBD"/>
    <w:rsid w:val="00741D8C"/>
    <w:rsid w:val="0074302D"/>
    <w:rsid w:val="00743EB4"/>
    <w:rsid w:val="0074500F"/>
    <w:rsid w:val="007473D0"/>
    <w:rsid w:val="00751808"/>
    <w:rsid w:val="00753093"/>
    <w:rsid w:val="0075356F"/>
    <w:rsid w:val="00753A3C"/>
    <w:rsid w:val="007540BD"/>
    <w:rsid w:val="00757462"/>
    <w:rsid w:val="00760EFC"/>
    <w:rsid w:val="00761F1D"/>
    <w:rsid w:val="00763D91"/>
    <w:rsid w:val="007642C4"/>
    <w:rsid w:val="00764FFB"/>
    <w:rsid w:val="007651B6"/>
    <w:rsid w:val="00766BD4"/>
    <w:rsid w:val="0077072F"/>
    <w:rsid w:val="007728DB"/>
    <w:rsid w:val="00777A19"/>
    <w:rsid w:val="007809D3"/>
    <w:rsid w:val="0078130A"/>
    <w:rsid w:val="007817A7"/>
    <w:rsid w:val="007856E5"/>
    <w:rsid w:val="007872B8"/>
    <w:rsid w:val="007918F0"/>
    <w:rsid w:val="00793131"/>
    <w:rsid w:val="00795580"/>
    <w:rsid w:val="00796220"/>
    <w:rsid w:val="0079729D"/>
    <w:rsid w:val="007976B5"/>
    <w:rsid w:val="007A1B8F"/>
    <w:rsid w:val="007A2F4A"/>
    <w:rsid w:val="007A3E3A"/>
    <w:rsid w:val="007A5332"/>
    <w:rsid w:val="007A626E"/>
    <w:rsid w:val="007A6288"/>
    <w:rsid w:val="007A71AC"/>
    <w:rsid w:val="007B1147"/>
    <w:rsid w:val="007B11E4"/>
    <w:rsid w:val="007B3E0A"/>
    <w:rsid w:val="007B4558"/>
    <w:rsid w:val="007B48F5"/>
    <w:rsid w:val="007B4F8F"/>
    <w:rsid w:val="007B5104"/>
    <w:rsid w:val="007B5A39"/>
    <w:rsid w:val="007B6377"/>
    <w:rsid w:val="007B6C5D"/>
    <w:rsid w:val="007C038C"/>
    <w:rsid w:val="007C05CD"/>
    <w:rsid w:val="007C1103"/>
    <w:rsid w:val="007C2715"/>
    <w:rsid w:val="007C346F"/>
    <w:rsid w:val="007C37F7"/>
    <w:rsid w:val="007C43DD"/>
    <w:rsid w:val="007D04EF"/>
    <w:rsid w:val="007D396F"/>
    <w:rsid w:val="007D3A53"/>
    <w:rsid w:val="007D3FD1"/>
    <w:rsid w:val="007D6851"/>
    <w:rsid w:val="007E0115"/>
    <w:rsid w:val="007E1CEC"/>
    <w:rsid w:val="007E257A"/>
    <w:rsid w:val="007E3039"/>
    <w:rsid w:val="007E59D8"/>
    <w:rsid w:val="007E6184"/>
    <w:rsid w:val="007E7188"/>
    <w:rsid w:val="007E7247"/>
    <w:rsid w:val="007E783F"/>
    <w:rsid w:val="007F0025"/>
    <w:rsid w:val="007F344D"/>
    <w:rsid w:val="007F3DED"/>
    <w:rsid w:val="008000C9"/>
    <w:rsid w:val="00801570"/>
    <w:rsid w:val="00803345"/>
    <w:rsid w:val="00803DAB"/>
    <w:rsid w:val="0080594D"/>
    <w:rsid w:val="0080616C"/>
    <w:rsid w:val="008113F5"/>
    <w:rsid w:val="008127E3"/>
    <w:rsid w:val="00813A79"/>
    <w:rsid w:val="00814C35"/>
    <w:rsid w:val="00815510"/>
    <w:rsid w:val="0081770D"/>
    <w:rsid w:val="0082166A"/>
    <w:rsid w:val="00822B8C"/>
    <w:rsid w:val="00822F35"/>
    <w:rsid w:val="00824DAB"/>
    <w:rsid w:val="00830A2C"/>
    <w:rsid w:val="00833DAC"/>
    <w:rsid w:val="0083432E"/>
    <w:rsid w:val="008432A1"/>
    <w:rsid w:val="0084577B"/>
    <w:rsid w:val="008502EC"/>
    <w:rsid w:val="00852791"/>
    <w:rsid w:val="00852D6E"/>
    <w:rsid w:val="00855271"/>
    <w:rsid w:val="0085567A"/>
    <w:rsid w:val="00856C8D"/>
    <w:rsid w:val="008575A9"/>
    <w:rsid w:val="00861930"/>
    <w:rsid w:val="00861E6D"/>
    <w:rsid w:val="00862025"/>
    <w:rsid w:val="00863FD7"/>
    <w:rsid w:val="00864E9F"/>
    <w:rsid w:val="00866428"/>
    <w:rsid w:val="00870647"/>
    <w:rsid w:val="00870C19"/>
    <w:rsid w:val="0087190C"/>
    <w:rsid w:val="00872ABA"/>
    <w:rsid w:val="008734FD"/>
    <w:rsid w:val="00874DEF"/>
    <w:rsid w:val="00875C71"/>
    <w:rsid w:val="008763EA"/>
    <w:rsid w:val="008779BF"/>
    <w:rsid w:val="0088202C"/>
    <w:rsid w:val="00882769"/>
    <w:rsid w:val="00882951"/>
    <w:rsid w:val="008831DC"/>
    <w:rsid w:val="00883644"/>
    <w:rsid w:val="00883D54"/>
    <w:rsid w:val="00886116"/>
    <w:rsid w:val="00886359"/>
    <w:rsid w:val="00886C5C"/>
    <w:rsid w:val="0089347A"/>
    <w:rsid w:val="008953F4"/>
    <w:rsid w:val="008955F9"/>
    <w:rsid w:val="008956C7"/>
    <w:rsid w:val="00896BCE"/>
    <w:rsid w:val="008A1FA2"/>
    <w:rsid w:val="008A3D8E"/>
    <w:rsid w:val="008A4508"/>
    <w:rsid w:val="008B0374"/>
    <w:rsid w:val="008B1F35"/>
    <w:rsid w:val="008B56B2"/>
    <w:rsid w:val="008B628A"/>
    <w:rsid w:val="008C247D"/>
    <w:rsid w:val="008C2CA6"/>
    <w:rsid w:val="008C3071"/>
    <w:rsid w:val="008C3540"/>
    <w:rsid w:val="008C3904"/>
    <w:rsid w:val="008C57EB"/>
    <w:rsid w:val="008C5BCE"/>
    <w:rsid w:val="008C6F40"/>
    <w:rsid w:val="008C7423"/>
    <w:rsid w:val="008D2284"/>
    <w:rsid w:val="008E0B79"/>
    <w:rsid w:val="008E27A8"/>
    <w:rsid w:val="008E4771"/>
    <w:rsid w:val="008E4C90"/>
    <w:rsid w:val="008E6A78"/>
    <w:rsid w:val="008E6DF5"/>
    <w:rsid w:val="008F00B7"/>
    <w:rsid w:val="008F01F9"/>
    <w:rsid w:val="008F18A4"/>
    <w:rsid w:val="008F3131"/>
    <w:rsid w:val="008F3505"/>
    <w:rsid w:val="008F3999"/>
    <w:rsid w:val="008F463F"/>
    <w:rsid w:val="008F501B"/>
    <w:rsid w:val="008F5B77"/>
    <w:rsid w:val="008F69C3"/>
    <w:rsid w:val="008F7027"/>
    <w:rsid w:val="008F7719"/>
    <w:rsid w:val="00907548"/>
    <w:rsid w:val="00912935"/>
    <w:rsid w:val="00915FAC"/>
    <w:rsid w:val="0091638E"/>
    <w:rsid w:val="00920213"/>
    <w:rsid w:val="00920DED"/>
    <w:rsid w:val="00921858"/>
    <w:rsid w:val="00923869"/>
    <w:rsid w:val="0092571E"/>
    <w:rsid w:val="0092721F"/>
    <w:rsid w:val="00927229"/>
    <w:rsid w:val="0093145C"/>
    <w:rsid w:val="009323FC"/>
    <w:rsid w:val="009365A1"/>
    <w:rsid w:val="009370F1"/>
    <w:rsid w:val="0094517B"/>
    <w:rsid w:val="00945864"/>
    <w:rsid w:val="00947EE1"/>
    <w:rsid w:val="009501EA"/>
    <w:rsid w:val="00950B84"/>
    <w:rsid w:val="00956D1A"/>
    <w:rsid w:val="00960F4C"/>
    <w:rsid w:val="00962A65"/>
    <w:rsid w:val="00963338"/>
    <w:rsid w:val="009654DA"/>
    <w:rsid w:val="00965BD7"/>
    <w:rsid w:val="00970407"/>
    <w:rsid w:val="009723EA"/>
    <w:rsid w:val="00983827"/>
    <w:rsid w:val="009848BC"/>
    <w:rsid w:val="00984A1C"/>
    <w:rsid w:val="00985AA2"/>
    <w:rsid w:val="00986FE5"/>
    <w:rsid w:val="00991558"/>
    <w:rsid w:val="0099203A"/>
    <w:rsid w:val="00997F4B"/>
    <w:rsid w:val="009A0839"/>
    <w:rsid w:val="009A15C5"/>
    <w:rsid w:val="009A1F2B"/>
    <w:rsid w:val="009A3A54"/>
    <w:rsid w:val="009A4716"/>
    <w:rsid w:val="009A6A05"/>
    <w:rsid w:val="009A6D73"/>
    <w:rsid w:val="009A7542"/>
    <w:rsid w:val="009B6947"/>
    <w:rsid w:val="009C33A8"/>
    <w:rsid w:val="009C3BF4"/>
    <w:rsid w:val="009C3DC5"/>
    <w:rsid w:val="009C4FEF"/>
    <w:rsid w:val="009C60B5"/>
    <w:rsid w:val="009C64DA"/>
    <w:rsid w:val="009C75A3"/>
    <w:rsid w:val="009C7AA5"/>
    <w:rsid w:val="009D0465"/>
    <w:rsid w:val="009D331F"/>
    <w:rsid w:val="009D3CCF"/>
    <w:rsid w:val="009D4376"/>
    <w:rsid w:val="009D51A8"/>
    <w:rsid w:val="009E5C91"/>
    <w:rsid w:val="009E7201"/>
    <w:rsid w:val="009E7B60"/>
    <w:rsid w:val="009F3AFC"/>
    <w:rsid w:val="009F58FF"/>
    <w:rsid w:val="009F7F10"/>
    <w:rsid w:val="00A00DE1"/>
    <w:rsid w:val="00A04912"/>
    <w:rsid w:val="00A0492D"/>
    <w:rsid w:val="00A05903"/>
    <w:rsid w:val="00A064FB"/>
    <w:rsid w:val="00A103FE"/>
    <w:rsid w:val="00A10824"/>
    <w:rsid w:val="00A12BBB"/>
    <w:rsid w:val="00A12C1D"/>
    <w:rsid w:val="00A13F46"/>
    <w:rsid w:val="00A15549"/>
    <w:rsid w:val="00A15582"/>
    <w:rsid w:val="00A16795"/>
    <w:rsid w:val="00A20020"/>
    <w:rsid w:val="00A212D0"/>
    <w:rsid w:val="00A234C5"/>
    <w:rsid w:val="00A24932"/>
    <w:rsid w:val="00A25A3F"/>
    <w:rsid w:val="00A25C5B"/>
    <w:rsid w:val="00A25ECB"/>
    <w:rsid w:val="00A266CC"/>
    <w:rsid w:val="00A30211"/>
    <w:rsid w:val="00A307C2"/>
    <w:rsid w:val="00A315F9"/>
    <w:rsid w:val="00A32158"/>
    <w:rsid w:val="00A321FA"/>
    <w:rsid w:val="00A3563A"/>
    <w:rsid w:val="00A403A3"/>
    <w:rsid w:val="00A4201E"/>
    <w:rsid w:val="00A4463D"/>
    <w:rsid w:val="00A44903"/>
    <w:rsid w:val="00A44AC4"/>
    <w:rsid w:val="00A44CF8"/>
    <w:rsid w:val="00A4543D"/>
    <w:rsid w:val="00A45919"/>
    <w:rsid w:val="00A46EB5"/>
    <w:rsid w:val="00A474EC"/>
    <w:rsid w:val="00A50EA3"/>
    <w:rsid w:val="00A52384"/>
    <w:rsid w:val="00A53FA7"/>
    <w:rsid w:val="00A54AC9"/>
    <w:rsid w:val="00A63868"/>
    <w:rsid w:val="00A63B3B"/>
    <w:rsid w:val="00A648C3"/>
    <w:rsid w:val="00A65D94"/>
    <w:rsid w:val="00A66A4B"/>
    <w:rsid w:val="00A67F51"/>
    <w:rsid w:val="00A71BC9"/>
    <w:rsid w:val="00A72ECD"/>
    <w:rsid w:val="00A73A21"/>
    <w:rsid w:val="00A7477E"/>
    <w:rsid w:val="00A7615B"/>
    <w:rsid w:val="00A77988"/>
    <w:rsid w:val="00A810E3"/>
    <w:rsid w:val="00A81304"/>
    <w:rsid w:val="00A81509"/>
    <w:rsid w:val="00A81A65"/>
    <w:rsid w:val="00A82764"/>
    <w:rsid w:val="00A8370D"/>
    <w:rsid w:val="00A83C74"/>
    <w:rsid w:val="00A9182C"/>
    <w:rsid w:val="00A946E4"/>
    <w:rsid w:val="00A94A41"/>
    <w:rsid w:val="00A95294"/>
    <w:rsid w:val="00AA1B80"/>
    <w:rsid w:val="00AA3D96"/>
    <w:rsid w:val="00AA5DD5"/>
    <w:rsid w:val="00AA6416"/>
    <w:rsid w:val="00AA74CA"/>
    <w:rsid w:val="00AB3450"/>
    <w:rsid w:val="00AB3B65"/>
    <w:rsid w:val="00AB46B9"/>
    <w:rsid w:val="00AB5272"/>
    <w:rsid w:val="00AB78B9"/>
    <w:rsid w:val="00AB7AFC"/>
    <w:rsid w:val="00AC0085"/>
    <w:rsid w:val="00AC1FD3"/>
    <w:rsid w:val="00AC25EC"/>
    <w:rsid w:val="00AD07C8"/>
    <w:rsid w:val="00AD1B1B"/>
    <w:rsid w:val="00AD2169"/>
    <w:rsid w:val="00AD2376"/>
    <w:rsid w:val="00AD2C16"/>
    <w:rsid w:val="00AD416F"/>
    <w:rsid w:val="00AD5C7E"/>
    <w:rsid w:val="00AD7234"/>
    <w:rsid w:val="00AE0481"/>
    <w:rsid w:val="00AF3992"/>
    <w:rsid w:val="00AF47A8"/>
    <w:rsid w:val="00AF5F99"/>
    <w:rsid w:val="00AF725F"/>
    <w:rsid w:val="00B012FD"/>
    <w:rsid w:val="00B031D1"/>
    <w:rsid w:val="00B03407"/>
    <w:rsid w:val="00B0350B"/>
    <w:rsid w:val="00B03D12"/>
    <w:rsid w:val="00B04363"/>
    <w:rsid w:val="00B04949"/>
    <w:rsid w:val="00B04DC6"/>
    <w:rsid w:val="00B0626C"/>
    <w:rsid w:val="00B1086B"/>
    <w:rsid w:val="00B10F9A"/>
    <w:rsid w:val="00B14D83"/>
    <w:rsid w:val="00B152BF"/>
    <w:rsid w:val="00B15309"/>
    <w:rsid w:val="00B21493"/>
    <w:rsid w:val="00B218DC"/>
    <w:rsid w:val="00B224CF"/>
    <w:rsid w:val="00B26946"/>
    <w:rsid w:val="00B27674"/>
    <w:rsid w:val="00B310DC"/>
    <w:rsid w:val="00B310FF"/>
    <w:rsid w:val="00B31543"/>
    <w:rsid w:val="00B31F50"/>
    <w:rsid w:val="00B3373A"/>
    <w:rsid w:val="00B33FF8"/>
    <w:rsid w:val="00B34AF1"/>
    <w:rsid w:val="00B35406"/>
    <w:rsid w:val="00B35CCD"/>
    <w:rsid w:val="00B35DDE"/>
    <w:rsid w:val="00B35EC3"/>
    <w:rsid w:val="00B370D0"/>
    <w:rsid w:val="00B37284"/>
    <w:rsid w:val="00B37FF6"/>
    <w:rsid w:val="00B40FE6"/>
    <w:rsid w:val="00B4101D"/>
    <w:rsid w:val="00B4235B"/>
    <w:rsid w:val="00B42DCE"/>
    <w:rsid w:val="00B42E8E"/>
    <w:rsid w:val="00B50011"/>
    <w:rsid w:val="00B52088"/>
    <w:rsid w:val="00B52622"/>
    <w:rsid w:val="00B5267A"/>
    <w:rsid w:val="00B52941"/>
    <w:rsid w:val="00B52AE8"/>
    <w:rsid w:val="00B52AFA"/>
    <w:rsid w:val="00B52E11"/>
    <w:rsid w:val="00B5366C"/>
    <w:rsid w:val="00B54834"/>
    <w:rsid w:val="00B606B4"/>
    <w:rsid w:val="00B66BA3"/>
    <w:rsid w:val="00B6719B"/>
    <w:rsid w:val="00B70A10"/>
    <w:rsid w:val="00B70C07"/>
    <w:rsid w:val="00B70CF8"/>
    <w:rsid w:val="00B7106A"/>
    <w:rsid w:val="00B718E4"/>
    <w:rsid w:val="00B74E24"/>
    <w:rsid w:val="00B762E9"/>
    <w:rsid w:val="00B764D5"/>
    <w:rsid w:val="00B77842"/>
    <w:rsid w:val="00B80B18"/>
    <w:rsid w:val="00B8130C"/>
    <w:rsid w:val="00B8163E"/>
    <w:rsid w:val="00B8248C"/>
    <w:rsid w:val="00B84290"/>
    <w:rsid w:val="00B8598C"/>
    <w:rsid w:val="00B90599"/>
    <w:rsid w:val="00B9124B"/>
    <w:rsid w:val="00B915F3"/>
    <w:rsid w:val="00B94CDF"/>
    <w:rsid w:val="00BA03A3"/>
    <w:rsid w:val="00BA13BA"/>
    <w:rsid w:val="00BA19D4"/>
    <w:rsid w:val="00BA5A43"/>
    <w:rsid w:val="00BB121F"/>
    <w:rsid w:val="00BB291A"/>
    <w:rsid w:val="00BB492B"/>
    <w:rsid w:val="00BB4A44"/>
    <w:rsid w:val="00BB56F6"/>
    <w:rsid w:val="00BB5B88"/>
    <w:rsid w:val="00BB5B8B"/>
    <w:rsid w:val="00BB6277"/>
    <w:rsid w:val="00BB7B70"/>
    <w:rsid w:val="00BC0EFE"/>
    <w:rsid w:val="00BC733B"/>
    <w:rsid w:val="00BC7B7B"/>
    <w:rsid w:val="00BD18E7"/>
    <w:rsid w:val="00BD4052"/>
    <w:rsid w:val="00BD4B0A"/>
    <w:rsid w:val="00BD5993"/>
    <w:rsid w:val="00BE0B9B"/>
    <w:rsid w:val="00BE36F3"/>
    <w:rsid w:val="00BE47E6"/>
    <w:rsid w:val="00BE73BD"/>
    <w:rsid w:val="00BE7BFA"/>
    <w:rsid w:val="00BF0451"/>
    <w:rsid w:val="00BF133C"/>
    <w:rsid w:val="00BF1EE3"/>
    <w:rsid w:val="00BF2E51"/>
    <w:rsid w:val="00BF3E98"/>
    <w:rsid w:val="00BF40F4"/>
    <w:rsid w:val="00BF4857"/>
    <w:rsid w:val="00BF5279"/>
    <w:rsid w:val="00BF5AB6"/>
    <w:rsid w:val="00BF683B"/>
    <w:rsid w:val="00BF76B5"/>
    <w:rsid w:val="00BF7C79"/>
    <w:rsid w:val="00C015ED"/>
    <w:rsid w:val="00C02DB1"/>
    <w:rsid w:val="00C02FB0"/>
    <w:rsid w:val="00C03D9C"/>
    <w:rsid w:val="00C04635"/>
    <w:rsid w:val="00C0595A"/>
    <w:rsid w:val="00C13FB3"/>
    <w:rsid w:val="00C145C5"/>
    <w:rsid w:val="00C17172"/>
    <w:rsid w:val="00C20617"/>
    <w:rsid w:val="00C22D63"/>
    <w:rsid w:val="00C25301"/>
    <w:rsid w:val="00C25547"/>
    <w:rsid w:val="00C25679"/>
    <w:rsid w:val="00C27144"/>
    <w:rsid w:val="00C27397"/>
    <w:rsid w:val="00C2747D"/>
    <w:rsid w:val="00C277CD"/>
    <w:rsid w:val="00C3045B"/>
    <w:rsid w:val="00C30B5D"/>
    <w:rsid w:val="00C33A6B"/>
    <w:rsid w:val="00C34D89"/>
    <w:rsid w:val="00C37689"/>
    <w:rsid w:val="00C402B7"/>
    <w:rsid w:val="00C432CC"/>
    <w:rsid w:val="00C43A73"/>
    <w:rsid w:val="00C44789"/>
    <w:rsid w:val="00C44CAD"/>
    <w:rsid w:val="00C45798"/>
    <w:rsid w:val="00C45A3D"/>
    <w:rsid w:val="00C46AE5"/>
    <w:rsid w:val="00C47762"/>
    <w:rsid w:val="00C47F55"/>
    <w:rsid w:val="00C519E0"/>
    <w:rsid w:val="00C5555D"/>
    <w:rsid w:val="00C55F27"/>
    <w:rsid w:val="00C5655F"/>
    <w:rsid w:val="00C573AD"/>
    <w:rsid w:val="00C61765"/>
    <w:rsid w:val="00C61774"/>
    <w:rsid w:val="00C61802"/>
    <w:rsid w:val="00C619A3"/>
    <w:rsid w:val="00C62D11"/>
    <w:rsid w:val="00C64BFC"/>
    <w:rsid w:val="00C654A6"/>
    <w:rsid w:val="00C658DC"/>
    <w:rsid w:val="00C673AF"/>
    <w:rsid w:val="00C70BC2"/>
    <w:rsid w:val="00C715FA"/>
    <w:rsid w:val="00C7184D"/>
    <w:rsid w:val="00C73C08"/>
    <w:rsid w:val="00C75E91"/>
    <w:rsid w:val="00C767B2"/>
    <w:rsid w:val="00C80B8F"/>
    <w:rsid w:val="00C820EA"/>
    <w:rsid w:val="00C8299B"/>
    <w:rsid w:val="00C82AF4"/>
    <w:rsid w:val="00C82DC5"/>
    <w:rsid w:val="00C838E8"/>
    <w:rsid w:val="00C85308"/>
    <w:rsid w:val="00C9124A"/>
    <w:rsid w:val="00C91F2F"/>
    <w:rsid w:val="00C928F3"/>
    <w:rsid w:val="00C94F42"/>
    <w:rsid w:val="00C95166"/>
    <w:rsid w:val="00C95542"/>
    <w:rsid w:val="00C95640"/>
    <w:rsid w:val="00C956C5"/>
    <w:rsid w:val="00C96C8E"/>
    <w:rsid w:val="00CA14C4"/>
    <w:rsid w:val="00CA1FAB"/>
    <w:rsid w:val="00CA32C4"/>
    <w:rsid w:val="00CA3776"/>
    <w:rsid w:val="00CA4079"/>
    <w:rsid w:val="00CA4FFA"/>
    <w:rsid w:val="00CA559B"/>
    <w:rsid w:val="00CA5C91"/>
    <w:rsid w:val="00CA6CFD"/>
    <w:rsid w:val="00CB1F2C"/>
    <w:rsid w:val="00CB2E62"/>
    <w:rsid w:val="00CB5361"/>
    <w:rsid w:val="00CB5F49"/>
    <w:rsid w:val="00CB608E"/>
    <w:rsid w:val="00CB6A49"/>
    <w:rsid w:val="00CB6D18"/>
    <w:rsid w:val="00CC5442"/>
    <w:rsid w:val="00CC5532"/>
    <w:rsid w:val="00CC6188"/>
    <w:rsid w:val="00CC7789"/>
    <w:rsid w:val="00CD0274"/>
    <w:rsid w:val="00CD08E1"/>
    <w:rsid w:val="00CD30DD"/>
    <w:rsid w:val="00CD366E"/>
    <w:rsid w:val="00CD42B1"/>
    <w:rsid w:val="00CD64EB"/>
    <w:rsid w:val="00CD6D04"/>
    <w:rsid w:val="00CE4B0F"/>
    <w:rsid w:val="00CE6E25"/>
    <w:rsid w:val="00CE7710"/>
    <w:rsid w:val="00CF1C26"/>
    <w:rsid w:val="00CF1EBD"/>
    <w:rsid w:val="00CF3FEE"/>
    <w:rsid w:val="00CF7ED5"/>
    <w:rsid w:val="00D0051F"/>
    <w:rsid w:val="00D00778"/>
    <w:rsid w:val="00D034B8"/>
    <w:rsid w:val="00D03908"/>
    <w:rsid w:val="00D0456E"/>
    <w:rsid w:val="00D05BE5"/>
    <w:rsid w:val="00D05EDA"/>
    <w:rsid w:val="00D06DA8"/>
    <w:rsid w:val="00D07F6C"/>
    <w:rsid w:val="00D1100B"/>
    <w:rsid w:val="00D11B11"/>
    <w:rsid w:val="00D11C49"/>
    <w:rsid w:val="00D12693"/>
    <w:rsid w:val="00D12763"/>
    <w:rsid w:val="00D1480D"/>
    <w:rsid w:val="00D16C1D"/>
    <w:rsid w:val="00D17C5B"/>
    <w:rsid w:val="00D21D0A"/>
    <w:rsid w:val="00D232F4"/>
    <w:rsid w:val="00D2404F"/>
    <w:rsid w:val="00D248CB"/>
    <w:rsid w:val="00D25D35"/>
    <w:rsid w:val="00D309F1"/>
    <w:rsid w:val="00D327E6"/>
    <w:rsid w:val="00D37297"/>
    <w:rsid w:val="00D37936"/>
    <w:rsid w:val="00D42488"/>
    <w:rsid w:val="00D4341F"/>
    <w:rsid w:val="00D444DA"/>
    <w:rsid w:val="00D45B47"/>
    <w:rsid w:val="00D46574"/>
    <w:rsid w:val="00D47FCD"/>
    <w:rsid w:val="00D5028E"/>
    <w:rsid w:val="00D50724"/>
    <w:rsid w:val="00D518DE"/>
    <w:rsid w:val="00D5212C"/>
    <w:rsid w:val="00D531A9"/>
    <w:rsid w:val="00D56711"/>
    <w:rsid w:val="00D60879"/>
    <w:rsid w:val="00D64B66"/>
    <w:rsid w:val="00D65C44"/>
    <w:rsid w:val="00D665A3"/>
    <w:rsid w:val="00D67BCF"/>
    <w:rsid w:val="00D70AC8"/>
    <w:rsid w:val="00D70B91"/>
    <w:rsid w:val="00D73200"/>
    <w:rsid w:val="00D74029"/>
    <w:rsid w:val="00D8031C"/>
    <w:rsid w:val="00D8045E"/>
    <w:rsid w:val="00D83C7F"/>
    <w:rsid w:val="00D853F9"/>
    <w:rsid w:val="00D860AE"/>
    <w:rsid w:val="00D864A7"/>
    <w:rsid w:val="00D86CA0"/>
    <w:rsid w:val="00D873F8"/>
    <w:rsid w:val="00D9153E"/>
    <w:rsid w:val="00D928E2"/>
    <w:rsid w:val="00D92911"/>
    <w:rsid w:val="00D93019"/>
    <w:rsid w:val="00D9352A"/>
    <w:rsid w:val="00D94D8D"/>
    <w:rsid w:val="00D95181"/>
    <w:rsid w:val="00D95610"/>
    <w:rsid w:val="00D96A54"/>
    <w:rsid w:val="00DA11B2"/>
    <w:rsid w:val="00DA2DCD"/>
    <w:rsid w:val="00DA3300"/>
    <w:rsid w:val="00DA38C5"/>
    <w:rsid w:val="00DA459F"/>
    <w:rsid w:val="00DA478B"/>
    <w:rsid w:val="00DA515A"/>
    <w:rsid w:val="00DA5675"/>
    <w:rsid w:val="00DA763E"/>
    <w:rsid w:val="00DB0C4E"/>
    <w:rsid w:val="00DB2D42"/>
    <w:rsid w:val="00DB3958"/>
    <w:rsid w:val="00DB3E12"/>
    <w:rsid w:val="00DB3F48"/>
    <w:rsid w:val="00DB43C5"/>
    <w:rsid w:val="00DB63CE"/>
    <w:rsid w:val="00DB6D12"/>
    <w:rsid w:val="00DB7C72"/>
    <w:rsid w:val="00DC13FC"/>
    <w:rsid w:val="00DC362B"/>
    <w:rsid w:val="00DC371E"/>
    <w:rsid w:val="00DC7E13"/>
    <w:rsid w:val="00DC7E1F"/>
    <w:rsid w:val="00DD181A"/>
    <w:rsid w:val="00DE0D03"/>
    <w:rsid w:val="00DE4E4C"/>
    <w:rsid w:val="00DE50A5"/>
    <w:rsid w:val="00DE6E95"/>
    <w:rsid w:val="00DF159D"/>
    <w:rsid w:val="00DF24DD"/>
    <w:rsid w:val="00DF25F8"/>
    <w:rsid w:val="00DF2709"/>
    <w:rsid w:val="00DF5D8B"/>
    <w:rsid w:val="00DF5F26"/>
    <w:rsid w:val="00DF7D60"/>
    <w:rsid w:val="00E03212"/>
    <w:rsid w:val="00E03990"/>
    <w:rsid w:val="00E0429D"/>
    <w:rsid w:val="00E05C7C"/>
    <w:rsid w:val="00E10007"/>
    <w:rsid w:val="00E106AD"/>
    <w:rsid w:val="00E115E3"/>
    <w:rsid w:val="00E1356B"/>
    <w:rsid w:val="00E144EE"/>
    <w:rsid w:val="00E161FC"/>
    <w:rsid w:val="00E16FD8"/>
    <w:rsid w:val="00E16FF3"/>
    <w:rsid w:val="00E17DBB"/>
    <w:rsid w:val="00E23203"/>
    <w:rsid w:val="00E237CC"/>
    <w:rsid w:val="00E23B5E"/>
    <w:rsid w:val="00E2463F"/>
    <w:rsid w:val="00E25D68"/>
    <w:rsid w:val="00E30421"/>
    <w:rsid w:val="00E30C7B"/>
    <w:rsid w:val="00E30EE6"/>
    <w:rsid w:val="00E33A20"/>
    <w:rsid w:val="00E35D31"/>
    <w:rsid w:val="00E363C8"/>
    <w:rsid w:val="00E40BC9"/>
    <w:rsid w:val="00E411DC"/>
    <w:rsid w:val="00E412CD"/>
    <w:rsid w:val="00E41930"/>
    <w:rsid w:val="00E45C46"/>
    <w:rsid w:val="00E46AFC"/>
    <w:rsid w:val="00E47703"/>
    <w:rsid w:val="00E50C7C"/>
    <w:rsid w:val="00E50F73"/>
    <w:rsid w:val="00E5146A"/>
    <w:rsid w:val="00E518E7"/>
    <w:rsid w:val="00E525C4"/>
    <w:rsid w:val="00E538C4"/>
    <w:rsid w:val="00E5405C"/>
    <w:rsid w:val="00E61F96"/>
    <w:rsid w:val="00E64D83"/>
    <w:rsid w:val="00E724FC"/>
    <w:rsid w:val="00E72CD9"/>
    <w:rsid w:val="00E73543"/>
    <w:rsid w:val="00E76190"/>
    <w:rsid w:val="00E76867"/>
    <w:rsid w:val="00E775BF"/>
    <w:rsid w:val="00E77D66"/>
    <w:rsid w:val="00E802BB"/>
    <w:rsid w:val="00E80655"/>
    <w:rsid w:val="00E825E8"/>
    <w:rsid w:val="00E83A87"/>
    <w:rsid w:val="00E84287"/>
    <w:rsid w:val="00E852C7"/>
    <w:rsid w:val="00E869E9"/>
    <w:rsid w:val="00E901F7"/>
    <w:rsid w:val="00E90CE4"/>
    <w:rsid w:val="00E9372D"/>
    <w:rsid w:val="00E93D26"/>
    <w:rsid w:val="00E941BD"/>
    <w:rsid w:val="00E9464B"/>
    <w:rsid w:val="00E94722"/>
    <w:rsid w:val="00E94CBD"/>
    <w:rsid w:val="00E94F3D"/>
    <w:rsid w:val="00E96D7B"/>
    <w:rsid w:val="00EA0B60"/>
    <w:rsid w:val="00EA220D"/>
    <w:rsid w:val="00EA29FA"/>
    <w:rsid w:val="00EA2D61"/>
    <w:rsid w:val="00EA362F"/>
    <w:rsid w:val="00EA3F22"/>
    <w:rsid w:val="00EA43A3"/>
    <w:rsid w:val="00EA5B69"/>
    <w:rsid w:val="00EA6D20"/>
    <w:rsid w:val="00EB042B"/>
    <w:rsid w:val="00EB08A5"/>
    <w:rsid w:val="00EB1337"/>
    <w:rsid w:val="00EB2204"/>
    <w:rsid w:val="00EB3045"/>
    <w:rsid w:val="00EB541A"/>
    <w:rsid w:val="00EC23B2"/>
    <w:rsid w:val="00EC51B1"/>
    <w:rsid w:val="00EC76E7"/>
    <w:rsid w:val="00ED146E"/>
    <w:rsid w:val="00ED1BD8"/>
    <w:rsid w:val="00ED221A"/>
    <w:rsid w:val="00EE0ED1"/>
    <w:rsid w:val="00EE1634"/>
    <w:rsid w:val="00EE1673"/>
    <w:rsid w:val="00EE45D3"/>
    <w:rsid w:val="00EE7827"/>
    <w:rsid w:val="00EF1404"/>
    <w:rsid w:val="00EF44BB"/>
    <w:rsid w:val="00EF47B5"/>
    <w:rsid w:val="00F00826"/>
    <w:rsid w:val="00F01959"/>
    <w:rsid w:val="00F01F75"/>
    <w:rsid w:val="00F057DB"/>
    <w:rsid w:val="00F058C1"/>
    <w:rsid w:val="00F060A0"/>
    <w:rsid w:val="00F10825"/>
    <w:rsid w:val="00F10D55"/>
    <w:rsid w:val="00F11BA5"/>
    <w:rsid w:val="00F1242E"/>
    <w:rsid w:val="00F13C95"/>
    <w:rsid w:val="00F14945"/>
    <w:rsid w:val="00F15264"/>
    <w:rsid w:val="00F20591"/>
    <w:rsid w:val="00F23576"/>
    <w:rsid w:val="00F24A64"/>
    <w:rsid w:val="00F24CD7"/>
    <w:rsid w:val="00F32024"/>
    <w:rsid w:val="00F322D9"/>
    <w:rsid w:val="00F343DA"/>
    <w:rsid w:val="00F3581F"/>
    <w:rsid w:val="00F379EA"/>
    <w:rsid w:val="00F4031E"/>
    <w:rsid w:val="00F41E70"/>
    <w:rsid w:val="00F42BD4"/>
    <w:rsid w:val="00F42FEF"/>
    <w:rsid w:val="00F4414D"/>
    <w:rsid w:val="00F46F07"/>
    <w:rsid w:val="00F50D38"/>
    <w:rsid w:val="00F51BFA"/>
    <w:rsid w:val="00F51C95"/>
    <w:rsid w:val="00F51FC8"/>
    <w:rsid w:val="00F5246A"/>
    <w:rsid w:val="00F527A3"/>
    <w:rsid w:val="00F53CCC"/>
    <w:rsid w:val="00F5415C"/>
    <w:rsid w:val="00F542C6"/>
    <w:rsid w:val="00F55C4E"/>
    <w:rsid w:val="00F55EDA"/>
    <w:rsid w:val="00F57AD9"/>
    <w:rsid w:val="00F60A85"/>
    <w:rsid w:val="00F61989"/>
    <w:rsid w:val="00F62A69"/>
    <w:rsid w:val="00F63468"/>
    <w:rsid w:val="00F6421E"/>
    <w:rsid w:val="00F64BD7"/>
    <w:rsid w:val="00F65FA8"/>
    <w:rsid w:val="00F6729F"/>
    <w:rsid w:val="00F67E09"/>
    <w:rsid w:val="00F70E80"/>
    <w:rsid w:val="00F70EB1"/>
    <w:rsid w:val="00F712FA"/>
    <w:rsid w:val="00F71A59"/>
    <w:rsid w:val="00F73CAE"/>
    <w:rsid w:val="00F74D88"/>
    <w:rsid w:val="00F75BC0"/>
    <w:rsid w:val="00F769A4"/>
    <w:rsid w:val="00F771FD"/>
    <w:rsid w:val="00F77427"/>
    <w:rsid w:val="00F77CA7"/>
    <w:rsid w:val="00F8048F"/>
    <w:rsid w:val="00F83DA8"/>
    <w:rsid w:val="00F86D5E"/>
    <w:rsid w:val="00F8722A"/>
    <w:rsid w:val="00F92CE0"/>
    <w:rsid w:val="00F96F33"/>
    <w:rsid w:val="00F96F3B"/>
    <w:rsid w:val="00F97F8B"/>
    <w:rsid w:val="00F97F9D"/>
    <w:rsid w:val="00FA0924"/>
    <w:rsid w:val="00FA1E9C"/>
    <w:rsid w:val="00FA4250"/>
    <w:rsid w:val="00FA6216"/>
    <w:rsid w:val="00FA6464"/>
    <w:rsid w:val="00FA7300"/>
    <w:rsid w:val="00FA765C"/>
    <w:rsid w:val="00FA7EF0"/>
    <w:rsid w:val="00FB01B4"/>
    <w:rsid w:val="00FB02A2"/>
    <w:rsid w:val="00FB13CD"/>
    <w:rsid w:val="00FB42B1"/>
    <w:rsid w:val="00FB49E8"/>
    <w:rsid w:val="00FB547F"/>
    <w:rsid w:val="00FB58FE"/>
    <w:rsid w:val="00FB5A11"/>
    <w:rsid w:val="00FB5C4C"/>
    <w:rsid w:val="00FB757B"/>
    <w:rsid w:val="00FC0191"/>
    <w:rsid w:val="00FC12C1"/>
    <w:rsid w:val="00FC189A"/>
    <w:rsid w:val="00FC1FD5"/>
    <w:rsid w:val="00FC2856"/>
    <w:rsid w:val="00FC36C8"/>
    <w:rsid w:val="00FC50BA"/>
    <w:rsid w:val="00FC5885"/>
    <w:rsid w:val="00FC5E6B"/>
    <w:rsid w:val="00FD3CEE"/>
    <w:rsid w:val="00FD4EDD"/>
    <w:rsid w:val="00FD6161"/>
    <w:rsid w:val="00FD6D1E"/>
    <w:rsid w:val="00FD6D90"/>
    <w:rsid w:val="00FD764E"/>
    <w:rsid w:val="00FD79F6"/>
    <w:rsid w:val="00FD7BDD"/>
    <w:rsid w:val="00FD7F6C"/>
    <w:rsid w:val="00FE072E"/>
    <w:rsid w:val="00FE39FE"/>
    <w:rsid w:val="00FE4181"/>
    <w:rsid w:val="00FE4574"/>
    <w:rsid w:val="00FE4688"/>
    <w:rsid w:val="00FE6776"/>
    <w:rsid w:val="00FE69E7"/>
    <w:rsid w:val="00FF06DD"/>
    <w:rsid w:val="00FF14AE"/>
    <w:rsid w:val="00FF3717"/>
    <w:rsid w:val="00FF3FB2"/>
    <w:rsid w:val="00FF5696"/>
    <w:rsid w:val="00FF5D5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
  <w:shapeDefaults>
    <o:shapedefaults v:ext="edit" spidmax="126977"/>
    <o:shapelayout v:ext="edit">
      <o:idmap v:ext="edit" data="1"/>
    </o:shapelayout>
  </w:shapeDefaults>
  <w:decimalSymbol w:val=","/>
  <w:listSeparator w:val=";"/>
  <w14:docId w14:val="573D0818"/>
  <w15:chartTrackingRefBased/>
  <w15:docId w15:val="{FC6AD857-78DE-4204-B402-03D8545F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787"/>
    <w:rPr>
      <w:sz w:val="24"/>
    </w:rPr>
  </w:style>
  <w:style w:type="paragraph" w:styleId="Heading1">
    <w:name w:val="heading 1"/>
    <w:basedOn w:val="Normal"/>
    <w:next w:val="Normal"/>
    <w:link w:val="Heading1Char"/>
    <w:uiPriority w:val="9"/>
    <w:qFormat/>
    <w:rsid w:val="00573EBD"/>
    <w:pPr>
      <w:keepNext/>
      <w:keepLines/>
      <w:numPr>
        <w:numId w:val="1"/>
      </w:numPr>
      <w:tabs>
        <w:tab w:val="left" w:pos="2694"/>
      </w:tabs>
      <w:spacing w:before="120" w:after="120" w:line="240" w:lineRule="auto"/>
      <w:ind w:left="709" w:hanging="709"/>
      <w:outlineLvl w:val="0"/>
    </w:pPr>
    <w:rPr>
      <w:rFonts w:ascii="Times New Roman" w:eastAsiaTheme="majorEastAsia" w:hAnsi="Times New Roman" w:cs="Times New Roman"/>
      <w:b/>
      <w:sz w:val="28"/>
      <w:szCs w:val="32"/>
    </w:rPr>
  </w:style>
  <w:style w:type="paragraph" w:styleId="Heading2">
    <w:name w:val="heading 2"/>
    <w:basedOn w:val="Normal"/>
    <w:next w:val="Normal"/>
    <w:link w:val="Heading2Char"/>
    <w:uiPriority w:val="9"/>
    <w:unhideWhenUsed/>
    <w:qFormat/>
    <w:rsid w:val="006F546A"/>
    <w:pPr>
      <w:keepNext/>
      <w:keepLines/>
      <w:numPr>
        <w:ilvl w:val="1"/>
        <w:numId w:val="1"/>
      </w:numPr>
      <w:spacing w:before="40" w:after="0"/>
      <w:ind w:left="680" w:hanging="567"/>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5F59CE"/>
    <w:pPr>
      <w:keepNext/>
      <w:keepLines/>
      <w:numPr>
        <w:ilvl w:val="2"/>
        <w:numId w:val="1"/>
      </w:numPr>
      <w:spacing w:before="120" w:after="120" w:line="240" w:lineRule="auto"/>
      <w:ind w:left="680" w:hanging="680"/>
      <w:jc w:val="both"/>
      <w:outlineLvl w:val="2"/>
    </w:pPr>
    <w:rPr>
      <w:rFonts w:ascii="Times New Roman" w:eastAsiaTheme="majorEastAsia" w:hAnsi="Times New Roman" w:cs="Times New Roman"/>
      <w:szCs w:val="24"/>
      <w:u w:val="single"/>
      <w:lang w:eastAsia="lv-LV"/>
    </w:rPr>
  </w:style>
  <w:style w:type="paragraph" w:styleId="Heading4">
    <w:name w:val="heading 4"/>
    <w:basedOn w:val="Normal"/>
    <w:next w:val="Normal"/>
    <w:link w:val="Heading4Char"/>
    <w:uiPriority w:val="9"/>
    <w:unhideWhenUsed/>
    <w:qFormat/>
    <w:rsid w:val="00863FD7"/>
    <w:pPr>
      <w:keepNext/>
      <w:keepLines/>
      <w:numPr>
        <w:ilvl w:val="3"/>
        <w:numId w:val="1"/>
      </w:numPr>
      <w:tabs>
        <w:tab w:val="left" w:pos="993"/>
      </w:tabs>
      <w:spacing w:before="120" w:after="120" w:line="240" w:lineRule="auto"/>
      <w:ind w:left="0" w:firstLine="0"/>
      <w:outlineLvl w:val="3"/>
    </w:pPr>
    <w:rPr>
      <w:rFonts w:ascii="Times New Roman" w:eastAsiaTheme="majorEastAsia" w:hAnsi="Times New Roman" w:cs="Times New Roman"/>
      <w:i/>
      <w:iCs/>
      <w:szCs w:val="24"/>
    </w:rPr>
  </w:style>
  <w:style w:type="paragraph" w:styleId="Heading5">
    <w:name w:val="heading 5"/>
    <w:basedOn w:val="Normal"/>
    <w:next w:val="Normal"/>
    <w:link w:val="Heading5Char"/>
    <w:uiPriority w:val="9"/>
    <w:unhideWhenUsed/>
    <w:qFormat/>
    <w:rsid w:val="002A59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EBD"/>
    <w:rPr>
      <w:rFonts w:ascii="Times New Roman" w:eastAsiaTheme="majorEastAsia" w:hAnsi="Times New Roman" w:cs="Times New Roman"/>
      <w:b/>
      <w:sz w:val="28"/>
      <w:szCs w:val="32"/>
    </w:rPr>
  </w:style>
  <w:style w:type="character" w:customStyle="1" w:styleId="Heading2Char">
    <w:name w:val="Heading 2 Char"/>
    <w:basedOn w:val="DefaultParagraphFont"/>
    <w:link w:val="Heading2"/>
    <w:uiPriority w:val="9"/>
    <w:rsid w:val="006F546A"/>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5F59CE"/>
    <w:rPr>
      <w:rFonts w:ascii="Times New Roman" w:eastAsiaTheme="majorEastAsia" w:hAnsi="Times New Roman" w:cs="Times New Roman"/>
      <w:sz w:val="24"/>
      <w:szCs w:val="24"/>
      <w:u w:val="single"/>
      <w:lang w:eastAsia="lv-LV"/>
    </w:rPr>
  </w:style>
  <w:style w:type="character" w:customStyle="1" w:styleId="Heading4Char">
    <w:name w:val="Heading 4 Char"/>
    <w:basedOn w:val="DefaultParagraphFont"/>
    <w:link w:val="Heading4"/>
    <w:uiPriority w:val="9"/>
    <w:rsid w:val="00863FD7"/>
    <w:rPr>
      <w:rFonts w:ascii="Times New Roman" w:eastAsiaTheme="majorEastAsia" w:hAnsi="Times New Roman" w:cs="Times New Roman"/>
      <w:i/>
      <w:iCs/>
      <w:sz w:val="24"/>
      <w:szCs w:val="24"/>
    </w:rPr>
  </w:style>
  <w:style w:type="character" w:customStyle="1" w:styleId="Heading5Char">
    <w:name w:val="Heading 5 Char"/>
    <w:basedOn w:val="DefaultParagraphFont"/>
    <w:link w:val="Heading5"/>
    <w:uiPriority w:val="9"/>
    <w:rsid w:val="002A59DA"/>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621553"/>
  </w:style>
  <w:style w:type="character" w:customStyle="1" w:styleId="eop">
    <w:name w:val="eop"/>
    <w:basedOn w:val="DefaultParagraphFont"/>
    <w:rsid w:val="00621553"/>
  </w:style>
  <w:style w:type="character" w:customStyle="1" w:styleId="spellingerror">
    <w:name w:val="spellingerror"/>
    <w:basedOn w:val="DefaultParagraphFont"/>
    <w:rsid w:val="00621553"/>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C928F3"/>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C928F3"/>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621553"/>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621553"/>
    <w:pPr>
      <w:spacing w:line="240" w:lineRule="exact"/>
      <w:jc w:val="both"/>
    </w:pPr>
    <w:rPr>
      <w:vertAlign w:val="superscript"/>
    </w:rPr>
  </w:style>
  <w:style w:type="paragraph" w:customStyle="1" w:styleId="Default">
    <w:name w:val="Default"/>
    <w:link w:val="DefaultChar"/>
    <w:rsid w:val="006215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6C746B"/>
    <w:rPr>
      <w:rFonts w:ascii="Times New Roman" w:hAnsi="Times New Roman" w:cs="Times New Roman"/>
      <w:color w:val="000000"/>
      <w:sz w:val="24"/>
      <w:szCs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621553"/>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621553"/>
  </w:style>
  <w:style w:type="table" w:styleId="TableGrid">
    <w:name w:val="Table Grid"/>
    <w:basedOn w:val="TableNormal"/>
    <w:uiPriority w:val="39"/>
    <w:rsid w:val="0062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547"/>
  </w:style>
  <w:style w:type="paragraph" w:styleId="Footer">
    <w:name w:val="footer"/>
    <w:basedOn w:val="Normal"/>
    <w:link w:val="FooterChar"/>
    <w:uiPriority w:val="99"/>
    <w:unhideWhenUsed/>
    <w:rsid w:val="00C25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547"/>
  </w:style>
  <w:style w:type="character" w:styleId="Hyperlink">
    <w:name w:val="Hyperlink"/>
    <w:basedOn w:val="DefaultParagraphFont"/>
    <w:uiPriority w:val="99"/>
    <w:unhideWhenUsed/>
    <w:rsid w:val="00290F19"/>
    <w:rPr>
      <w:color w:val="0563C1" w:themeColor="hyperlink"/>
      <w:u w:val="single"/>
    </w:rPr>
  </w:style>
  <w:style w:type="character" w:customStyle="1" w:styleId="UnresolvedMention1">
    <w:name w:val="Unresolved Mention1"/>
    <w:basedOn w:val="DefaultParagraphFont"/>
    <w:uiPriority w:val="99"/>
    <w:semiHidden/>
    <w:unhideWhenUsed/>
    <w:rsid w:val="00290F19"/>
    <w:rPr>
      <w:color w:val="808080"/>
      <w:shd w:val="clear" w:color="auto" w:fill="E6E6E6"/>
    </w:rPr>
  </w:style>
  <w:style w:type="paragraph" w:customStyle="1" w:styleId="paragraph">
    <w:name w:val="paragraph"/>
    <w:basedOn w:val="Normal"/>
    <w:rsid w:val="0063104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3104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2729AC"/>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729AC"/>
    <w:pPr>
      <w:spacing w:after="100"/>
    </w:pPr>
  </w:style>
  <w:style w:type="paragraph" w:styleId="TOC2">
    <w:name w:val="toc 2"/>
    <w:basedOn w:val="Normal"/>
    <w:next w:val="Normal"/>
    <w:autoRedefine/>
    <w:uiPriority w:val="39"/>
    <w:unhideWhenUsed/>
    <w:rsid w:val="002729AC"/>
    <w:pPr>
      <w:spacing w:after="100"/>
      <w:ind w:left="220"/>
    </w:pPr>
  </w:style>
  <w:style w:type="paragraph" w:styleId="TOC3">
    <w:name w:val="toc 3"/>
    <w:basedOn w:val="Normal"/>
    <w:next w:val="Normal"/>
    <w:autoRedefine/>
    <w:uiPriority w:val="39"/>
    <w:unhideWhenUsed/>
    <w:rsid w:val="00D65C44"/>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2E51E3"/>
    <w:pPr>
      <w:spacing w:line="240" w:lineRule="exact"/>
      <w:jc w:val="both"/>
      <w:textAlignment w:val="baseline"/>
    </w:pPr>
    <w:rPr>
      <w:vertAlign w:val="superscript"/>
    </w:rPr>
  </w:style>
  <w:style w:type="paragraph" w:styleId="NormalWeb">
    <w:name w:val="Normal (Web)"/>
    <w:basedOn w:val="Normal"/>
    <w:uiPriority w:val="99"/>
    <w:unhideWhenUsed/>
    <w:rsid w:val="006C746B"/>
    <w:pPr>
      <w:spacing w:before="100" w:beforeAutospacing="1" w:after="100" w:afterAutospacing="1" w:line="240" w:lineRule="auto"/>
    </w:pPr>
    <w:rPr>
      <w:rFonts w:ascii="Times New Roman" w:eastAsia="Times New Roman" w:hAnsi="Times New Roman" w:cs="Times New Roman"/>
      <w:szCs w:val="24"/>
      <w:lang w:eastAsia="lv-LV"/>
    </w:rPr>
  </w:style>
  <w:style w:type="character" w:styleId="CommentReference">
    <w:name w:val="annotation reference"/>
    <w:basedOn w:val="DefaultParagraphFont"/>
    <w:uiPriority w:val="99"/>
    <w:unhideWhenUsed/>
    <w:rsid w:val="006C746B"/>
    <w:rPr>
      <w:sz w:val="16"/>
      <w:szCs w:val="16"/>
    </w:rPr>
  </w:style>
  <w:style w:type="paragraph" w:styleId="CommentText">
    <w:name w:val="annotation text"/>
    <w:basedOn w:val="Normal"/>
    <w:link w:val="CommentTextChar"/>
    <w:uiPriority w:val="99"/>
    <w:unhideWhenUsed/>
    <w:rsid w:val="006C746B"/>
    <w:pPr>
      <w:spacing w:line="240" w:lineRule="auto"/>
    </w:pPr>
    <w:rPr>
      <w:sz w:val="20"/>
      <w:szCs w:val="20"/>
    </w:rPr>
  </w:style>
  <w:style w:type="character" w:customStyle="1" w:styleId="CommentTextChar">
    <w:name w:val="Comment Text Char"/>
    <w:basedOn w:val="DefaultParagraphFont"/>
    <w:link w:val="CommentText"/>
    <w:uiPriority w:val="99"/>
    <w:rsid w:val="006C746B"/>
    <w:rPr>
      <w:sz w:val="20"/>
      <w:szCs w:val="20"/>
    </w:rPr>
  </w:style>
  <w:style w:type="paragraph" w:styleId="BalloonText">
    <w:name w:val="Balloon Text"/>
    <w:basedOn w:val="Normal"/>
    <w:link w:val="BalloonTextChar"/>
    <w:uiPriority w:val="99"/>
    <w:unhideWhenUsed/>
    <w:rsid w:val="006C74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C746B"/>
    <w:rPr>
      <w:rFonts w:ascii="Segoe UI" w:hAnsi="Segoe UI" w:cs="Segoe UI"/>
      <w:sz w:val="18"/>
      <w:szCs w:val="18"/>
    </w:rPr>
  </w:style>
  <w:style w:type="paragraph" w:styleId="Caption">
    <w:name w:val="caption"/>
    <w:aliases w:val="Beschriftung Char"/>
    <w:basedOn w:val="Normal"/>
    <w:next w:val="Normal"/>
    <w:link w:val="CaptionChar"/>
    <w:uiPriority w:val="35"/>
    <w:unhideWhenUsed/>
    <w:qFormat/>
    <w:rsid w:val="00CD366E"/>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st">
    <w:name w:val="st"/>
    <w:rsid w:val="00D07F6C"/>
  </w:style>
  <w:style w:type="paragraph" w:styleId="TableofFigures">
    <w:name w:val="table of figures"/>
    <w:basedOn w:val="Normal"/>
    <w:next w:val="Normal"/>
    <w:uiPriority w:val="99"/>
    <w:unhideWhenUsed/>
    <w:rsid w:val="00A63B3B"/>
    <w:pPr>
      <w:spacing w:after="0"/>
    </w:pPr>
  </w:style>
  <w:style w:type="paragraph" w:styleId="TOC4">
    <w:name w:val="toc 4"/>
    <w:basedOn w:val="Normal"/>
    <w:next w:val="Normal"/>
    <w:autoRedefine/>
    <w:uiPriority w:val="39"/>
    <w:unhideWhenUsed/>
    <w:rsid w:val="0063363A"/>
    <w:pPr>
      <w:spacing w:after="100"/>
      <w:ind w:left="660"/>
    </w:pPr>
    <w:rPr>
      <w:rFonts w:eastAsiaTheme="minorEastAsia"/>
      <w:lang w:eastAsia="lv-LV"/>
    </w:rPr>
  </w:style>
  <w:style w:type="paragraph" w:styleId="TOC5">
    <w:name w:val="toc 5"/>
    <w:basedOn w:val="Normal"/>
    <w:next w:val="Normal"/>
    <w:autoRedefine/>
    <w:uiPriority w:val="39"/>
    <w:unhideWhenUsed/>
    <w:rsid w:val="0063363A"/>
    <w:pPr>
      <w:spacing w:after="100"/>
      <w:ind w:left="880"/>
    </w:pPr>
    <w:rPr>
      <w:rFonts w:eastAsiaTheme="minorEastAsia"/>
      <w:lang w:eastAsia="lv-LV"/>
    </w:rPr>
  </w:style>
  <w:style w:type="paragraph" w:styleId="TOC6">
    <w:name w:val="toc 6"/>
    <w:basedOn w:val="Normal"/>
    <w:next w:val="Normal"/>
    <w:autoRedefine/>
    <w:uiPriority w:val="39"/>
    <w:unhideWhenUsed/>
    <w:rsid w:val="0063363A"/>
    <w:pPr>
      <w:spacing w:after="100"/>
      <w:ind w:left="1100"/>
    </w:pPr>
    <w:rPr>
      <w:rFonts w:eastAsiaTheme="minorEastAsia"/>
      <w:lang w:eastAsia="lv-LV"/>
    </w:rPr>
  </w:style>
  <w:style w:type="paragraph" w:styleId="TOC7">
    <w:name w:val="toc 7"/>
    <w:basedOn w:val="Normal"/>
    <w:next w:val="Normal"/>
    <w:autoRedefine/>
    <w:uiPriority w:val="39"/>
    <w:unhideWhenUsed/>
    <w:rsid w:val="0063363A"/>
    <w:pPr>
      <w:spacing w:after="100"/>
      <w:ind w:left="1320"/>
    </w:pPr>
    <w:rPr>
      <w:rFonts w:eastAsiaTheme="minorEastAsia"/>
      <w:lang w:eastAsia="lv-LV"/>
    </w:rPr>
  </w:style>
  <w:style w:type="paragraph" w:styleId="TOC8">
    <w:name w:val="toc 8"/>
    <w:basedOn w:val="Normal"/>
    <w:next w:val="Normal"/>
    <w:autoRedefine/>
    <w:uiPriority w:val="39"/>
    <w:unhideWhenUsed/>
    <w:rsid w:val="0063363A"/>
    <w:pPr>
      <w:spacing w:after="100"/>
      <w:ind w:left="1540"/>
    </w:pPr>
    <w:rPr>
      <w:rFonts w:eastAsiaTheme="minorEastAsia"/>
      <w:lang w:eastAsia="lv-LV"/>
    </w:rPr>
  </w:style>
  <w:style w:type="paragraph" w:styleId="TOC9">
    <w:name w:val="toc 9"/>
    <w:basedOn w:val="Normal"/>
    <w:next w:val="Normal"/>
    <w:autoRedefine/>
    <w:uiPriority w:val="39"/>
    <w:unhideWhenUsed/>
    <w:rsid w:val="0063363A"/>
    <w:pPr>
      <w:spacing w:after="100"/>
      <w:ind w:left="1760"/>
    </w:pPr>
    <w:rPr>
      <w:rFonts w:eastAsiaTheme="minorEastAsia"/>
      <w:lang w:eastAsia="lv-LV"/>
    </w:rPr>
  </w:style>
  <w:style w:type="table" w:customStyle="1" w:styleId="Style1">
    <w:name w:val="Style1"/>
    <w:basedOn w:val="TableNormal"/>
    <w:uiPriority w:val="99"/>
    <w:rsid w:val="00E115E3"/>
    <w:pPr>
      <w:spacing w:after="0" w:line="240" w:lineRule="auto"/>
    </w:pPr>
    <w:tblPr/>
  </w:style>
  <w:style w:type="character" w:styleId="FollowedHyperlink">
    <w:name w:val="FollowedHyperlink"/>
    <w:basedOn w:val="DefaultParagraphFont"/>
    <w:uiPriority w:val="99"/>
    <w:semiHidden/>
    <w:unhideWhenUsed/>
    <w:rsid w:val="00020A4A"/>
    <w:rPr>
      <w:color w:val="954F72" w:themeColor="followedHyperlink"/>
      <w:u w:val="single"/>
    </w:rPr>
  </w:style>
  <w:style w:type="character" w:customStyle="1" w:styleId="mw-headline">
    <w:name w:val="mw-headline"/>
    <w:basedOn w:val="DefaultParagraphFont"/>
    <w:rsid w:val="00EE1634"/>
  </w:style>
  <w:style w:type="character" w:customStyle="1" w:styleId="VirsrkastsOtraisRakstz">
    <w:name w:val="Virsrkasts Otrais Rakstz."/>
    <w:basedOn w:val="DefaultParagraphFont"/>
    <w:link w:val="VirsrkastsOtrais"/>
    <w:locked/>
    <w:rsid w:val="004B7E41"/>
    <w:rPr>
      <w:rFonts w:ascii="Cambria" w:hAnsi="Cambria"/>
      <w:b/>
      <w:sz w:val="28"/>
      <w:szCs w:val="28"/>
      <w:lang w:val="x-none"/>
    </w:rPr>
  </w:style>
  <w:style w:type="paragraph" w:customStyle="1" w:styleId="VirsrkastsOtrais">
    <w:name w:val="Virsrkasts Otrais"/>
    <w:basedOn w:val="ListParagraph"/>
    <w:link w:val="VirsrkastsOtraisRakstz"/>
    <w:qFormat/>
    <w:rsid w:val="004B7E41"/>
    <w:pPr>
      <w:numPr>
        <w:ilvl w:val="1"/>
        <w:numId w:val="21"/>
      </w:numPr>
      <w:spacing w:after="0" w:line="240" w:lineRule="auto"/>
    </w:pPr>
    <w:rPr>
      <w:rFonts w:ascii="Cambria" w:hAnsi="Cambria"/>
      <w:b/>
      <w:sz w:val="28"/>
      <w:szCs w:val="28"/>
      <w:lang w:val="x-none"/>
    </w:rPr>
  </w:style>
  <w:style w:type="paragraph" w:styleId="CommentSubject">
    <w:name w:val="annotation subject"/>
    <w:basedOn w:val="CommentText"/>
    <w:next w:val="CommentText"/>
    <w:link w:val="CommentSubjectChar"/>
    <w:uiPriority w:val="99"/>
    <w:semiHidden/>
    <w:unhideWhenUsed/>
    <w:rsid w:val="009E5C91"/>
    <w:rPr>
      <w:b/>
      <w:bCs/>
    </w:rPr>
  </w:style>
  <w:style w:type="character" w:customStyle="1" w:styleId="CommentSubjectChar">
    <w:name w:val="Comment Subject Char"/>
    <w:basedOn w:val="CommentTextChar"/>
    <w:link w:val="CommentSubject"/>
    <w:uiPriority w:val="99"/>
    <w:semiHidden/>
    <w:rsid w:val="009E5C91"/>
    <w:rPr>
      <w:b/>
      <w:bCs/>
      <w:sz w:val="20"/>
      <w:szCs w:val="20"/>
    </w:rPr>
  </w:style>
  <w:style w:type="paragraph" w:styleId="BodyText2">
    <w:name w:val="Body Text 2"/>
    <w:basedOn w:val="Normal"/>
    <w:link w:val="BodyText2Char"/>
    <w:uiPriority w:val="99"/>
    <w:semiHidden/>
    <w:unhideWhenUsed/>
    <w:rsid w:val="005D22A9"/>
    <w:pPr>
      <w:spacing w:after="120" w:line="480" w:lineRule="auto"/>
      <w:ind w:firstLine="720"/>
      <w:jc w:val="both"/>
    </w:pPr>
    <w:rPr>
      <w:rFonts w:ascii="Times New Roman" w:hAnsi="Times New Roman"/>
      <w:sz w:val="28"/>
    </w:rPr>
  </w:style>
  <w:style w:type="character" w:customStyle="1" w:styleId="BodyText2Char">
    <w:name w:val="Body Text 2 Char"/>
    <w:basedOn w:val="DefaultParagraphFont"/>
    <w:link w:val="BodyText2"/>
    <w:uiPriority w:val="99"/>
    <w:semiHidden/>
    <w:rsid w:val="005D22A9"/>
    <w:rPr>
      <w:rFonts w:ascii="Times New Roman" w:hAnsi="Times New Roman"/>
      <w:sz w:val="28"/>
    </w:rPr>
  </w:style>
  <w:style w:type="character" w:styleId="Emphasis">
    <w:name w:val="Emphasis"/>
    <w:qFormat/>
    <w:rsid w:val="0062153F"/>
    <w:rPr>
      <w:i/>
      <w:iCs/>
    </w:rPr>
  </w:style>
  <w:style w:type="character" w:customStyle="1" w:styleId="standard-description">
    <w:name w:val="standard-description"/>
    <w:basedOn w:val="DefaultParagraphFont"/>
    <w:rsid w:val="00271B1A"/>
  </w:style>
  <w:style w:type="character" w:styleId="Strong">
    <w:name w:val="Strong"/>
    <w:basedOn w:val="DefaultParagraphFont"/>
    <w:uiPriority w:val="22"/>
    <w:qFormat/>
    <w:rsid w:val="00561BB9"/>
    <w:rPr>
      <w:b/>
      <w:bCs/>
    </w:rPr>
  </w:style>
  <w:style w:type="paragraph" w:styleId="BodyText">
    <w:name w:val="Body Text"/>
    <w:basedOn w:val="Normal"/>
    <w:link w:val="BodyTextChar"/>
    <w:uiPriority w:val="99"/>
    <w:unhideWhenUsed/>
    <w:rsid w:val="003015F7"/>
    <w:pPr>
      <w:spacing w:after="120"/>
    </w:pPr>
  </w:style>
  <w:style w:type="character" w:customStyle="1" w:styleId="BodyTextChar">
    <w:name w:val="Body Text Char"/>
    <w:basedOn w:val="DefaultParagraphFont"/>
    <w:link w:val="BodyText"/>
    <w:uiPriority w:val="99"/>
    <w:rsid w:val="003015F7"/>
    <w:rPr>
      <w:sz w:val="24"/>
    </w:rPr>
  </w:style>
  <w:style w:type="paragraph" w:styleId="NoSpacing">
    <w:name w:val="No Spacing"/>
    <w:uiPriority w:val="1"/>
    <w:qFormat/>
    <w:rsid w:val="001A6FB4"/>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1A6FB4"/>
    <w:pPr>
      <w:spacing w:after="120" w:line="276" w:lineRule="auto"/>
      <w:ind w:firstLine="720"/>
      <w:jc w:val="both"/>
    </w:pPr>
    <w:rPr>
      <w:rFonts w:eastAsiaTheme="minorHAnsi" w:cstheme="minorBidi"/>
    </w:rPr>
  </w:style>
  <w:style w:type="character" w:customStyle="1" w:styleId="A11">
    <w:name w:val="A1+1"/>
    <w:uiPriority w:val="99"/>
    <w:rsid w:val="001A6FB4"/>
    <w:rPr>
      <w:color w:val="000000"/>
      <w:sz w:val="16"/>
      <w:szCs w:val="16"/>
    </w:rPr>
  </w:style>
  <w:style w:type="character" w:customStyle="1" w:styleId="CaptionChar">
    <w:name w:val="Caption Char"/>
    <w:aliases w:val="Beschriftung Char Char"/>
    <w:link w:val="Caption"/>
    <w:uiPriority w:val="35"/>
    <w:rsid w:val="00CD366E"/>
    <w:rPr>
      <w:rFonts w:ascii="Times New Roman" w:eastAsiaTheme="majorEastAsia" w:hAnsi="Times New Roman" w:cs="Times New Roman"/>
      <w:b/>
      <w:iCs/>
      <w:sz w:val="20"/>
      <w:szCs w:val="20"/>
    </w:rPr>
  </w:style>
  <w:style w:type="paragraph" w:customStyle="1" w:styleId="tv213">
    <w:name w:val="tv213"/>
    <w:basedOn w:val="Normal"/>
    <w:rsid w:val="00A266CC"/>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A266CC"/>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74500F"/>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74500F"/>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74500F"/>
  </w:style>
  <w:style w:type="paragraph" w:customStyle="1" w:styleId="Pa1">
    <w:name w:val="Pa1"/>
    <w:basedOn w:val="Default"/>
    <w:next w:val="Default"/>
    <w:uiPriority w:val="99"/>
    <w:rsid w:val="00A83C74"/>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A83C74"/>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A83C74"/>
    <w:pPr>
      <w:spacing w:line="211" w:lineRule="atLeast"/>
    </w:pPr>
    <w:rPr>
      <w:rFonts w:ascii="EC Square Sans Pro" w:hAnsi="EC Square Sans Pro" w:cstheme="minorBidi"/>
      <w:color w:val="auto"/>
    </w:rPr>
  </w:style>
  <w:style w:type="paragraph" w:customStyle="1" w:styleId="Normal1">
    <w:name w:val="Normal1"/>
    <w:basedOn w:val="Normal"/>
    <w:rsid w:val="002B2B91"/>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2B2B91"/>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187D0D"/>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187D0D"/>
  </w:style>
  <w:style w:type="paragraph" w:styleId="Revision">
    <w:name w:val="Revision"/>
    <w:hidden/>
    <w:uiPriority w:val="99"/>
    <w:semiHidden/>
    <w:rsid w:val="00A24932"/>
    <w:pPr>
      <w:spacing w:after="0" w:line="240" w:lineRule="auto"/>
    </w:pPr>
    <w:rPr>
      <w:sz w:val="24"/>
    </w:rPr>
  </w:style>
  <w:style w:type="character" w:customStyle="1" w:styleId="fontsize2">
    <w:name w:val="fontsize2"/>
    <w:basedOn w:val="DefaultParagraphFont"/>
    <w:rsid w:val="002A6739"/>
  </w:style>
  <w:style w:type="paragraph" w:customStyle="1" w:styleId="article-lead">
    <w:name w:val="article-lead"/>
    <w:basedOn w:val="Normal"/>
    <w:rsid w:val="00F97F8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8956C7"/>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8956C7"/>
    <w:pPr>
      <w:spacing w:before="75" w:after="75" w:line="240" w:lineRule="auto"/>
      <w:jc w:val="center"/>
    </w:pPr>
    <w:rPr>
      <w:rFonts w:ascii="Times New Roman" w:eastAsia="Times New Roman" w:hAnsi="Times New Roman" w:cs="Times New Roman"/>
      <w:szCs w:val="24"/>
      <w:lang w:eastAsia="lv-LV"/>
    </w:rPr>
  </w:style>
  <w:style w:type="table" w:styleId="GridTable5Dark-Accent4">
    <w:name w:val="Grid Table 5 Dark Accent 4"/>
    <w:basedOn w:val="TableNormal"/>
    <w:uiPriority w:val="50"/>
    <w:rsid w:val="00CB1F2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ontstyle01">
    <w:name w:val="fontstyle01"/>
    <w:basedOn w:val="DefaultParagraphFont"/>
    <w:rsid w:val="00C94F42"/>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747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46B9"/>
    <w:pPr>
      <w:spacing w:after="0" w:line="240" w:lineRule="auto"/>
    </w:pPr>
    <w:rPr>
      <w:rFonts w:ascii="Calibri" w:eastAsia="Calibri" w:hAnsi="Calibri" w:cs="Times New Roman"/>
      <w:lang w:eastAsia="lv-LV" w:bidi="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46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63868"/>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D496F"/>
    <w:rPr>
      <w:vertAlign w:val="superscript"/>
    </w:rPr>
  </w:style>
  <w:style w:type="character" w:customStyle="1" w:styleId="FootnoteAnchor">
    <w:name w:val="Footnote Anchor"/>
    <w:rsid w:val="006D496F"/>
    <w:rPr>
      <w:vertAlign w:val="superscript"/>
    </w:rPr>
  </w:style>
  <w:style w:type="character" w:styleId="Mention">
    <w:name w:val="Mention"/>
    <w:basedOn w:val="DefaultParagraphFont"/>
    <w:uiPriority w:val="99"/>
    <w:semiHidden/>
    <w:unhideWhenUsed/>
    <w:rsid w:val="000C7519"/>
    <w:rPr>
      <w:color w:val="2B579A"/>
      <w:shd w:val="clear" w:color="auto" w:fill="E6E6E6"/>
    </w:rPr>
  </w:style>
  <w:style w:type="character" w:styleId="UnresolvedMention">
    <w:name w:val="Unresolved Mention"/>
    <w:basedOn w:val="DefaultParagraphFont"/>
    <w:uiPriority w:val="99"/>
    <w:semiHidden/>
    <w:unhideWhenUsed/>
    <w:rsid w:val="00232B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1964">
      <w:bodyDiv w:val="1"/>
      <w:marLeft w:val="0"/>
      <w:marRight w:val="0"/>
      <w:marTop w:val="0"/>
      <w:marBottom w:val="0"/>
      <w:divBdr>
        <w:top w:val="none" w:sz="0" w:space="0" w:color="auto"/>
        <w:left w:val="none" w:sz="0" w:space="0" w:color="auto"/>
        <w:bottom w:val="none" w:sz="0" w:space="0" w:color="auto"/>
        <w:right w:val="none" w:sz="0" w:space="0" w:color="auto"/>
      </w:divBdr>
    </w:div>
    <w:div w:id="41177584">
      <w:bodyDiv w:val="1"/>
      <w:marLeft w:val="0"/>
      <w:marRight w:val="0"/>
      <w:marTop w:val="0"/>
      <w:marBottom w:val="0"/>
      <w:divBdr>
        <w:top w:val="none" w:sz="0" w:space="0" w:color="auto"/>
        <w:left w:val="none" w:sz="0" w:space="0" w:color="auto"/>
        <w:bottom w:val="none" w:sz="0" w:space="0" w:color="auto"/>
        <w:right w:val="none" w:sz="0" w:space="0" w:color="auto"/>
      </w:divBdr>
    </w:div>
    <w:div w:id="107815725">
      <w:bodyDiv w:val="1"/>
      <w:marLeft w:val="0"/>
      <w:marRight w:val="0"/>
      <w:marTop w:val="0"/>
      <w:marBottom w:val="0"/>
      <w:divBdr>
        <w:top w:val="none" w:sz="0" w:space="0" w:color="auto"/>
        <w:left w:val="none" w:sz="0" w:space="0" w:color="auto"/>
        <w:bottom w:val="none" w:sz="0" w:space="0" w:color="auto"/>
        <w:right w:val="none" w:sz="0" w:space="0" w:color="auto"/>
      </w:divBdr>
    </w:div>
    <w:div w:id="119537894">
      <w:bodyDiv w:val="1"/>
      <w:marLeft w:val="0"/>
      <w:marRight w:val="0"/>
      <w:marTop w:val="0"/>
      <w:marBottom w:val="0"/>
      <w:divBdr>
        <w:top w:val="none" w:sz="0" w:space="0" w:color="auto"/>
        <w:left w:val="none" w:sz="0" w:space="0" w:color="auto"/>
        <w:bottom w:val="none" w:sz="0" w:space="0" w:color="auto"/>
        <w:right w:val="none" w:sz="0" w:space="0" w:color="auto"/>
      </w:divBdr>
    </w:div>
    <w:div w:id="134614453">
      <w:bodyDiv w:val="1"/>
      <w:marLeft w:val="0"/>
      <w:marRight w:val="0"/>
      <w:marTop w:val="0"/>
      <w:marBottom w:val="0"/>
      <w:divBdr>
        <w:top w:val="none" w:sz="0" w:space="0" w:color="auto"/>
        <w:left w:val="none" w:sz="0" w:space="0" w:color="auto"/>
        <w:bottom w:val="none" w:sz="0" w:space="0" w:color="auto"/>
        <w:right w:val="none" w:sz="0" w:space="0" w:color="auto"/>
      </w:divBdr>
    </w:div>
    <w:div w:id="179322367">
      <w:bodyDiv w:val="1"/>
      <w:marLeft w:val="0"/>
      <w:marRight w:val="0"/>
      <w:marTop w:val="0"/>
      <w:marBottom w:val="0"/>
      <w:divBdr>
        <w:top w:val="none" w:sz="0" w:space="0" w:color="auto"/>
        <w:left w:val="none" w:sz="0" w:space="0" w:color="auto"/>
        <w:bottom w:val="none" w:sz="0" w:space="0" w:color="auto"/>
        <w:right w:val="none" w:sz="0" w:space="0" w:color="auto"/>
      </w:divBdr>
    </w:div>
    <w:div w:id="198593893">
      <w:bodyDiv w:val="1"/>
      <w:marLeft w:val="0"/>
      <w:marRight w:val="0"/>
      <w:marTop w:val="0"/>
      <w:marBottom w:val="0"/>
      <w:divBdr>
        <w:top w:val="none" w:sz="0" w:space="0" w:color="auto"/>
        <w:left w:val="none" w:sz="0" w:space="0" w:color="auto"/>
        <w:bottom w:val="none" w:sz="0" w:space="0" w:color="auto"/>
        <w:right w:val="none" w:sz="0" w:space="0" w:color="auto"/>
      </w:divBdr>
    </w:div>
    <w:div w:id="201677910">
      <w:bodyDiv w:val="1"/>
      <w:marLeft w:val="0"/>
      <w:marRight w:val="0"/>
      <w:marTop w:val="0"/>
      <w:marBottom w:val="0"/>
      <w:divBdr>
        <w:top w:val="none" w:sz="0" w:space="0" w:color="auto"/>
        <w:left w:val="none" w:sz="0" w:space="0" w:color="auto"/>
        <w:bottom w:val="none" w:sz="0" w:space="0" w:color="auto"/>
        <w:right w:val="none" w:sz="0" w:space="0" w:color="auto"/>
      </w:divBdr>
    </w:div>
    <w:div w:id="203716770">
      <w:bodyDiv w:val="1"/>
      <w:marLeft w:val="0"/>
      <w:marRight w:val="0"/>
      <w:marTop w:val="0"/>
      <w:marBottom w:val="0"/>
      <w:divBdr>
        <w:top w:val="none" w:sz="0" w:space="0" w:color="auto"/>
        <w:left w:val="none" w:sz="0" w:space="0" w:color="auto"/>
        <w:bottom w:val="none" w:sz="0" w:space="0" w:color="auto"/>
        <w:right w:val="none" w:sz="0" w:space="0" w:color="auto"/>
      </w:divBdr>
      <w:divsChild>
        <w:div w:id="658849304">
          <w:marLeft w:val="0"/>
          <w:marRight w:val="0"/>
          <w:marTop w:val="0"/>
          <w:marBottom w:val="0"/>
          <w:divBdr>
            <w:top w:val="none" w:sz="0" w:space="0" w:color="auto"/>
            <w:left w:val="none" w:sz="0" w:space="0" w:color="auto"/>
            <w:bottom w:val="none" w:sz="0" w:space="0" w:color="auto"/>
            <w:right w:val="none" w:sz="0" w:space="0" w:color="auto"/>
          </w:divBdr>
        </w:div>
        <w:div w:id="885991931">
          <w:marLeft w:val="0"/>
          <w:marRight w:val="0"/>
          <w:marTop w:val="0"/>
          <w:marBottom w:val="0"/>
          <w:divBdr>
            <w:top w:val="none" w:sz="0" w:space="0" w:color="auto"/>
            <w:left w:val="none" w:sz="0" w:space="0" w:color="auto"/>
            <w:bottom w:val="none" w:sz="0" w:space="0" w:color="auto"/>
            <w:right w:val="none" w:sz="0" w:space="0" w:color="auto"/>
          </w:divBdr>
        </w:div>
      </w:divsChild>
    </w:div>
    <w:div w:id="321549031">
      <w:bodyDiv w:val="1"/>
      <w:marLeft w:val="0"/>
      <w:marRight w:val="0"/>
      <w:marTop w:val="0"/>
      <w:marBottom w:val="0"/>
      <w:divBdr>
        <w:top w:val="none" w:sz="0" w:space="0" w:color="auto"/>
        <w:left w:val="none" w:sz="0" w:space="0" w:color="auto"/>
        <w:bottom w:val="none" w:sz="0" w:space="0" w:color="auto"/>
        <w:right w:val="none" w:sz="0" w:space="0" w:color="auto"/>
      </w:divBdr>
    </w:div>
    <w:div w:id="330068770">
      <w:bodyDiv w:val="1"/>
      <w:marLeft w:val="0"/>
      <w:marRight w:val="0"/>
      <w:marTop w:val="0"/>
      <w:marBottom w:val="0"/>
      <w:divBdr>
        <w:top w:val="none" w:sz="0" w:space="0" w:color="auto"/>
        <w:left w:val="none" w:sz="0" w:space="0" w:color="auto"/>
        <w:bottom w:val="none" w:sz="0" w:space="0" w:color="auto"/>
        <w:right w:val="none" w:sz="0" w:space="0" w:color="auto"/>
      </w:divBdr>
    </w:div>
    <w:div w:id="363870510">
      <w:bodyDiv w:val="1"/>
      <w:marLeft w:val="0"/>
      <w:marRight w:val="0"/>
      <w:marTop w:val="0"/>
      <w:marBottom w:val="0"/>
      <w:divBdr>
        <w:top w:val="none" w:sz="0" w:space="0" w:color="auto"/>
        <w:left w:val="none" w:sz="0" w:space="0" w:color="auto"/>
        <w:bottom w:val="none" w:sz="0" w:space="0" w:color="auto"/>
        <w:right w:val="none" w:sz="0" w:space="0" w:color="auto"/>
      </w:divBdr>
    </w:div>
    <w:div w:id="385881101">
      <w:bodyDiv w:val="1"/>
      <w:marLeft w:val="0"/>
      <w:marRight w:val="0"/>
      <w:marTop w:val="0"/>
      <w:marBottom w:val="0"/>
      <w:divBdr>
        <w:top w:val="none" w:sz="0" w:space="0" w:color="auto"/>
        <w:left w:val="none" w:sz="0" w:space="0" w:color="auto"/>
        <w:bottom w:val="none" w:sz="0" w:space="0" w:color="auto"/>
        <w:right w:val="none" w:sz="0" w:space="0" w:color="auto"/>
      </w:divBdr>
    </w:div>
    <w:div w:id="404651513">
      <w:bodyDiv w:val="1"/>
      <w:marLeft w:val="0"/>
      <w:marRight w:val="0"/>
      <w:marTop w:val="0"/>
      <w:marBottom w:val="0"/>
      <w:divBdr>
        <w:top w:val="none" w:sz="0" w:space="0" w:color="auto"/>
        <w:left w:val="none" w:sz="0" w:space="0" w:color="auto"/>
        <w:bottom w:val="none" w:sz="0" w:space="0" w:color="auto"/>
        <w:right w:val="none" w:sz="0" w:space="0" w:color="auto"/>
      </w:divBdr>
    </w:div>
    <w:div w:id="440734280">
      <w:bodyDiv w:val="1"/>
      <w:marLeft w:val="0"/>
      <w:marRight w:val="0"/>
      <w:marTop w:val="0"/>
      <w:marBottom w:val="0"/>
      <w:divBdr>
        <w:top w:val="none" w:sz="0" w:space="0" w:color="auto"/>
        <w:left w:val="none" w:sz="0" w:space="0" w:color="auto"/>
        <w:bottom w:val="none" w:sz="0" w:space="0" w:color="auto"/>
        <w:right w:val="none" w:sz="0" w:space="0" w:color="auto"/>
      </w:divBdr>
    </w:div>
    <w:div w:id="443573573">
      <w:bodyDiv w:val="1"/>
      <w:marLeft w:val="0"/>
      <w:marRight w:val="0"/>
      <w:marTop w:val="0"/>
      <w:marBottom w:val="0"/>
      <w:divBdr>
        <w:top w:val="none" w:sz="0" w:space="0" w:color="auto"/>
        <w:left w:val="none" w:sz="0" w:space="0" w:color="auto"/>
        <w:bottom w:val="none" w:sz="0" w:space="0" w:color="auto"/>
        <w:right w:val="none" w:sz="0" w:space="0" w:color="auto"/>
      </w:divBdr>
    </w:div>
    <w:div w:id="506869357">
      <w:bodyDiv w:val="1"/>
      <w:marLeft w:val="0"/>
      <w:marRight w:val="0"/>
      <w:marTop w:val="0"/>
      <w:marBottom w:val="0"/>
      <w:divBdr>
        <w:top w:val="none" w:sz="0" w:space="0" w:color="auto"/>
        <w:left w:val="none" w:sz="0" w:space="0" w:color="auto"/>
        <w:bottom w:val="none" w:sz="0" w:space="0" w:color="auto"/>
        <w:right w:val="none" w:sz="0" w:space="0" w:color="auto"/>
      </w:divBdr>
    </w:div>
    <w:div w:id="508103288">
      <w:bodyDiv w:val="1"/>
      <w:marLeft w:val="0"/>
      <w:marRight w:val="0"/>
      <w:marTop w:val="0"/>
      <w:marBottom w:val="0"/>
      <w:divBdr>
        <w:top w:val="none" w:sz="0" w:space="0" w:color="auto"/>
        <w:left w:val="none" w:sz="0" w:space="0" w:color="auto"/>
        <w:bottom w:val="none" w:sz="0" w:space="0" w:color="auto"/>
        <w:right w:val="none" w:sz="0" w:space="0" w:color="auto"/>
      </w:divBdr>
    </w:div>
    <w:div w:id="540289323">
      <w:bodyDiv w:val="1"/>
      <w:marLeft w:val="0"/>
      <w:marRight w:val="0"/>
      <w:marTop w:val="0"/>
      <w:marBottom w:val="0"/>
      <w:divBdr>
        <w:top w:val="none" w:sz="0" w:space="0" w:color="auto"/>
        <w:left w:val="none" w:sz="0" w:space="0" w:color="auto"/>
        <w:bottom w:val="none" w:sz="0" w:space="0" w:color="auto"/>
        <w:right w:val="none" w:sz="0" w:space="0" w:color="auto"/>
      </w:divBdr>
    </w:div>
    <w:div w:id="546260419">
      <w:bodyDiv w:val="1"/>
      <w:marLeft w:val="0"/>
      <w:marRight w:val="0"/>
      <w:marTop w:val="0"/>
      <w:marBottom w:val="0"/>
      <w:divBdr>
        <w:top w:val="none" w:sz="0" w:space="0" w:color="auto"/>
        <w:left w:val="none" w:sz="0" w:space="0" w:color="auto"/>
        <w:bottom w:val="none" w:sz="0" w:space="0" w:color="auto"/>
        <w:right w:val="none" w:sz="0" w:space="0" w:color="auto"/>
      </w:divBdr>
    </w:div>
    <w:div w:id="550656618">
      <w:bodyDiv w:val="1"/>
      <w:marLeft w:val="0"/>
      <w:marRight w:val="0"/>
      <w:marTop w:val="0"/>
      <w:marBottom w:val="0"/>
      <w:divBdr>
        <w:top w:val="none" w:sz="0" w:space="0" w:color="auto"/>
        <w:left w:val="none" w:sz="0" w:space="0" w:color="auto"/>
        <w:bottom w:val="none" w:sz="0" w:space="0" w:color="auto"/>
        <w:right w:val="none" w:sz="0" w:space="0" w:color="auto"/>
      </w:divBdr>
    </w:div>
    <w:div w:id="564489222">
      <w:bodyDiv w:val="1"/>
      <w:marLeft w:val="0"/>
      <w:marRight w:val="0"/>
      <w:marTop w:val="0"/>
      <w:marBottom w:val="0"/>
      <w:divBdr>
        <w:top w:val="none" w:sz="0" w:space="0" w:color="auto"/>
        <w:left w:val="none" w:sz="0" w:space="0" w:color="auto"/>
        <w:bottom w:val="none" w:sz="0" w:space="0" w:color="auto"/>
        <w:right w:val="none" w:sz="0" w:space="0" w:color="auto"/>
      </w:divBdr>
      <w:divsChild>
        <w:div w:id="606349757">
          <w:marLeft w:val="0"/>
          <w:marRight w:val="0"/>
          <w:marTop w:val="0"/>
          <w:marBottom w:val="0"/>
          <w:divBdr>
            <w:top w:val="none" w:sz="0" w:space="0" w:color="auto"/>
            <w:left w:val="none" w:sz="0" w:space="0" w:color="auto"/>
            <w:bottom w:val="none" w:sz="0" w:space="0" w:color="auto"/>
            <w:right w:val="none" w:sz="0" w:space="0" w:color="auto"/>
          </w:divBdr>
        </w:div>
        <w:div w:id="1288973772">
          <w:marLeft w:val="0"/>
          <w:marRight w:val="0"/>
          <w:marTop w:val="0"/>
          <w:marBottom w:val="0"/>
          <w:divBdr>
            <w:top w:val="none" w:sz="0" w:space="0" w:color="auto"/>
            <w:left w:val="none" w:sz="0" w:space="0" w:color="auto"/>
            <w:bottom w:val="none" w:sz="0" w:space="0" w:color="auto"/>
            <w:right w:val="none" w:sz="0" w:space="0" w:color="auto"/>
          </w:divBdr>
        </w:div>
        <w:div w:id="1912540822">
          <w:marLeft w:val="0"/>
          <w:marRight w:val="0"/>
          <w:marTop w:val="0"/>
          <w:marBottom w:val="0"/>
          <w:divBdr>
            <w:top w:val="none" w:sz="0" w:space="0" w:color="auto"/>
            <w:left w:val="none" w:sz="0" w:space="0" w:color="auto"/>
            <w:bottom w:val="none" w:sz="0" w:space="0" w:color="auto"/>
            <w:right w:val="none" w:sz="0" w:space="0" w:color="auto"/>
          </w:divBdr>
        </w:div>
        <w:div w:id="438180368">
          <w:marLeft w:val="0"/>
          <w:marRight w:val="0"/>
          <w:marTop w:val="0"/>
          <w:marBottom w:val="0"/>
          <w:divBdr>
            <w:top w:val="none" w:sz="0" w:space="0" w:color="auto"/>
            <w:left w:val="none" w:sz="0" w:space="0" w:color="auto"/>
            <w:bottom w:val="none" w:sz="0" w:space="0" w:color="auto"/>
            <w:right w:val="none" w:sz="0" w:space="0" w:color="auto"/>
          </w:divBdr>
        </w:div>
        <w:div w:id="1697340831">
          <w:marLeft w:val="0"/>
          <w:marRight w:val="0"/>
          <w:marTop w:val="0"/>
          <w:marBottom w:val="0"/>
          <w:divBdr>
            <w:top w:val="none" w:sz="0" w:space="0" w:color="auto"/>
            <w:left w:val="none" w:sz="0" w:space="0" w:color="auto"/>
            <w:bottom w:val="none" w:sz="0" w:space="0" w:color="auto"/>
            <w:right w:val="none" w:sz="0" w:space="0" w:color="auto"/>
          </w:divBdr>
        </w:div>
        <w:div w:id="1106921077">
          <w:marLeft w:val="0"/>
          <w:marRight w:val="0"/>
          <w:marTop w:val="0"/>
          <w:marBottom w:val="0"/>
          <w:divBdr>
            <w:top w:val="none" w:sz="0" w:space="0" w:color="auto"/>
            <w:left w:val="none" w:sz="0" w:space="0" w:color="auto"/>
            <w:bottom w:val="none" w:sz="0" w:space="0" w:color="auto"/>
            <w:right w:val="none" w:sz="0" w:space="0" w:color="auto"/>
          </w:divBdr>
        </w:div>
        <w:div w:id="302194224">
          <w:marLeft w:val="0"/>
          <w:marRight w:val="0"/>
          <w:marTop w:val="0"/>
          <w:marBottom w:val="0"/>
          <w:divBdr>
            <w:top w:val="none" w:sz="0" w:space="0" w:color="auto"/>
            <w:left w:val="none" w:sz="0" w:space="0" w:color="auto"/>
            <w:bottom w:val="none" w:sz="0" w:space="0" w:color="auto"/>
            <w:right w:val="none" w:sz="0" w:space="0" w:color="auto"/>
          </w:divBdr>
        </w:div>
        <w:div w:id="621352284">
          <w:marLeft w:val="0"/>
          <w:marRight w:val="0"/>
          <w:marTop w:val="0"/>
          <w:marBottom w:val="0"/>
          <w:divBdr>
            <w:top w:val="none" w:sz="0" w:space="0" w:color="auto"/>
            <w:left w:val="none" w:sz="0" w:space="0" w:color="auto"/>
            <w:bottom w:val="none" w:sz="0" w:space="0" w:color="auto"/>
            <w:right w:val="none" w:sz="0" w:space="0" w:color="auto"/>
          </w:divBdr>
        </w:div>
        <w:div w:id="2097284027">
          <w:marLeft w:val="0"/>
          <w:marRight w:val="0"/>
          <w:marTop w:val="0"/>
          <w:marBottom w:val="0"/>
          <w:divBdr>
            <w:top w:val="none" w:sz="0" w:space="0" w:color="auto"/>
            <w:left w:val="none" w:sz="0" w:space="0" w:color="auto"/>
            <w:bottom w:val="none" w:sz="0" w:space="0" w:color="auto"/>
            <w:right w:val="none" w:sz="0" w:space="0" w:color="auto"/>
          </w:divBdr>
        </w:div>
        <w:div w:id="490289820">
          <w:marLeft w:val="0"/>
          <w:marRight w:val="0"/>
          <w:marTop w:val="0"/>
          <w:marBottom w:val="0"/>
          <w:divBdr>
            <w:top w:val="none" w:sz="0" w:space="0" w:color="auto"/>
            <w:left w:val="none" w:sz="0" w:space="0" w:color="auto"/>
            <w:bottom w:val="none" w:sz="0" w:space="0" w:color="auto"/>
            <w:right w:val="none" w:sz="0" w:space="0" w:color="auto"/>
          </w:divBdr>
        </w:div>
        <w:div w:id="470632964">
          <w:marLeft w:val="0"/>
          <w:marRight w:val="0"/>
          <w:marTop w:val="0"/>
          <w:marBottom w:val="0"/>
          <w:divBdr>
            <w:top w:val="none" w:sz="0" w:space="0" w:color="auto"/>
            <w:left w:val="none" w:sz="0" w:space="0" w:color="auto"/>
            <w:bottom w:val="none" w:sz="0" w:space="0" w:color="auto"/>
            <w:right w:val="none" w:sz="0" w:space="0" w:color="auto"/>
          </w:divBdr>
        </w:div>
        <w:div w:id="494223160">
          <w:marLeft w:val="0"/>
          <w:marRight w:val="0"/>
          <w:marTop w:val="0"/>
          <w:marBottom w:val="0"/>
          <w:divBdr>
            <w:top w:val="none" w:sz="0" w:space="0" w:color="auto"/>
            <w:left w:val="none" w:sz="0" w:space="0" w:color="auto"/>
            <w:bottom w:val="none" w:sz="0" w:space="0" w:color="auto"/>
            <w:right w:val="none" w:sz="0" w:space="0" w:color="auto"/>
          </w:divBdr>
        </w:div>
        <w:div w:id="1329944243">
          <w:marLeft w:val="0"/>
          <w:marRight w:val="0"/>
          <w:marTop w:val="0"/>
          <w:marBottom w:val="0"/>
          <w:divBdr>
            <w:top w:val="none" w:sz="0" w:space="0" w:color="auto"/>
            <w:left w:val="none" w:sz="0" w:space="0" w:color="auto"/>
            <w:bottom w:val="none" w:sz="0" w:space="0" w:color="auto"/>
            <w:right w:val="none" w:sz="0" w:space="0" w:color="auto"/>
          </w:divBdr>
        </w:div>
        <w:div w:id="1128934114">
          <w:marLeft w:val="0"/>
          <w:marRight w:val="0"/>
          <w:marTop w:val="0"/>
          <w:marBottom w:val="0"/>
          <w:divBdr>
            <w:top w:val="none" w:sz="0" w:space="0" w:color="auto"/>
            <w:left w:val="none" w:sz="0" w:space="0" w:color="auto"/>
            <w:bottom w:val="none" w:sz="0" w:space="0" w:color="auto"/>
            <w:right w:val="none" w:sz="0" w:space="0" w:color="auto"/>
          </w:divBdr>
        </w:div>
        <w:div w:id="813060272">
          <w:marLeft w:val="0"/>
          <w:marRight w:val="0"/>
          <w:marTop w:val="0"/>
          <w:marBottom w:val="0"/>
          <w:divBdr>
            <w:top w:val="none" w:sz="0" w:space="0" w:color="auto"/>
            <w:left w:val="none" w:sz="0" w:space="0" w:color="auto"/>
            <w:bottom w:val="none" w:sz="0" w:space="0" w:color="auto"/>
            <w:right w:val="none" w:sz="0" w:space="0" w:color="auto"/>
          </w:divBdr>
        </w:div>
        <w:div w:id="112023219">
          <w:marLeft w:val="0"/>
          <w:marRight w:val="0"/>
          <w:marTop w:val="0"/>
          <w:marBottom w:val="0"/>
          <w:divBdr>
            <w:top w:val="none" w:sz="0" w:space="0" w:color="auto"/>
            <w:left w:val="none" w:sz="0" w:space="0" w:color="auto"/>
            <w:bottom w:val="none" w:sz="0" w:space="0" w:color="auto"/>
            <w:right w:val="none" w:sz="0" w:space="0" w:color="auto"/>
          </w:divBdr>
        </w:div>
        <w:div w:id="1148743522">
          <w:marLeft w:val="0"/>
          <w:marRight w:val="0"/>
          <w:marTop w:val="0"/>
          <w:marBottom w:val="0"/>
          <w:divBdr>
            <w:top w:val="none" w:sz="0" w:space="0" w:color="auto"/>
            <w:left w:val="none" w:sz="0" w:space="0" w:color="auto"/>
            <w:bottom w:val="none" w:sz="0" w:space="0" w:color="auto"/>
            <w:right w:val="none" w:sz="0" w:space="0" w:color="auto"/>
          </w:divBdr>
        </w:div>
        <w:div w:id="880481057">
          <w:marLeft w:val="0"/>
          <w:marRight w:val="0"/>
          <w:marTop w:val="0"/>
          <w:marBottom w:val="0"/>
          <w:divBdr>
            <w:top w:val="none" w:sz="0" w:space="0" w:color="auto"/>
            <w:left w:val="none" w:sz="0" w:space="0" w:color="auto"/>
            <w:bottom w:val="none" w:sz="0" w:space="0" w:color="auto"/>
            <w:right w:val="none" w:sz="0" w:space="0" w:color="auto"/>
          </w:divBdr>
        </w:div>
        <w:div w:id="1762795219">
          <w:marLeft w:val="0"/>
          <w:marRight w:val="0"/>
          <w:marTop w:val="0"/>
          <w:marBottom w:val="0"/>
          <w:divBdr>
            <w:top w:val="none" w:sz="0" w:space="0" w:color="auto"/>
            <w:left w:val="none" w:sz="0" w:space="0" w:color="auto"/>
            <w:bottom w:val="none" w:sz="0" w:space="0" w:color="auto"/>
            <w:right w:val="none" w:sz="0" w:space="0" w:color="auto"/>
          </w:divBdr>
        </w:div>
        <w:div w:id="430586776">
          <w:marLeft w:val="0"/>
          <w:marRight w:val="0"/>
          <w:marTop w:val="0"/>
          <w:marBottom w:val="0"/>
          <w:divBdr>
            <w:top w:val="none" w:sz="0" w:space="0" w:color="auto"/>
            <w:left w:val="none" w:sz="0" w:space="0" w:color="auto"/>
            <w:bottom w:val="none" w:sz="0" w:space="0" w:color="auto"/>
            <w:right w:val="none" w:sz="0" w:space="0" w:color="auto"/>
          </w:divBdr>
        </w:div>
        <w:div w:id="1090858261">
          <w:marLeft w:val="0"/>
          <w:marRight w:val="0"/>
          <w:marTop w:val="0"/>
          <w:marBottom w:val="0"/>
          <w:divBdr>
            <w:top w:val="none" w:sz="0" w:space="0" w:color="auto"/>
            <w:left w:val="none" w:sz="0" w:space="0" w:color="auto"/>
            <w:bottom w:val="none" w:sz="0" w:space="0" w:color="auto"/>
            <w:right w:val="none" w:sz="0" w:space="0" w:color="auto"/>
          </w:divBdr>
        </w:div>
        <w:div w:id="98914597">
          <w:marLeft w:val="0"/>
          <w:marRight w:val="0"/>
          <w:marTop w:val="0"/>
          <w:marBottom w:val="0"/>
          <w:divBdr>
            <w:top w:val="none" w:sz="0" w:space="0" w:color="auto"/>
            <w:left w:val="none" w:sz="0" w:space="0" w:color="auto"/>
            <w:bottom w:val="none" w:sz="0" w:space="0" w:color="auto"/>
            <w:right w:val="none" w:sz="0" w:space="0" w:color="auto"/>
          </w:divBdr>
        </w:div>
        <w:div w:id="171795558">
          <w:marLeft w:val="0"/>
          <w:marRight w:val="0"/>
          <w:marTop w:val="0"/>
          <w:marBottom w:val="0"/>
          <w:divBdr>
            <w:top w:val="none" w:sz="0" w:space="0" w:color="auto"/>
            <w:left w:val="none" w:sz="0" w:space="0" w:color="auto"/>
            <w:bottom w:val="none" w:sz="0" w:space="0" w:color="auto"/>
            <w:right w:val="none" w:sz="0" w:space="0" w:color="auto"/>
          </w:divBdr>
        </w:div>
        <w:div w:id="926693841">
          <w:marLeft w:val="0"/>
          <w:marRight w:val="0"/>
          <w:marTop w:val="0"/>
          <w:marBottom w:val="0"/>
          <w:divBdr>
            <w:top w:val="none" w:sz="0" w:space="0" w:color="auto"/>
            <w:left w:val="none" w:sz="0" w:space="0" w:color="auto"/>
            <w:bottom w:val="none" w:sz="0" w:space="0" w:color="auto"/>
            <w:right w:val="none" w:sz="0" w:space="0" w:color="auto"/>
          </w:divBdr>
        </w:div>
        <w:div w:id="683634157">
          <w:marLeft w:val="0"/>
          <w:marRight w:val="0"/>
          <w:marTop w:val="0"/>
          <w:marBottom w:val="0"/>
          <w:divBdr>
            <w:top w:val="none" w:sz="0" w:space="0" w:color="auto"/>
            <w:left w:val="none" w:sz="0" w:space="0" w:color="auto"/>
            <w:bottom w:val="none" w:sz="0" w:space="0" w:color="auto"/>
            <w:right w:val="none" w:sz="0" w:space="0" w:color="auto"/>
          </w:divBdr>
        </w:div>
        <w:div w:id="1348291445">
          <w:marLeft w:val="0"/>
          <w:marRight w:val="0"/>
          <w:marTop w:val="0"/>
          <w:marBottom w:val="0"/>
          <w:divBdr>
            <w:top w:val="none" w:sz="0" w:space="0" w:color="auto"/>
            <w:left w:val="none" w:sz="0" w:space="0" w:color="auto"/>
            <w:bottom w:val="none" w:sz="0" w:space="0" w:color="auto"/>
            <w:right w:val="none" w:sz="0" w:space="0" w:color="auto"/>
          </w:divBdr>
        </w:div>
        <w:div w:id="1560363026">
          <w:marLeft w:val="0"/>
          <w:marRight w:val="0"/>
          <w:marTop w:val="0"/>
          <w:marBottom w:val="0"/>
          <w:divBdr>
            <w:top w:val="none" w:sz="0" w:space="0" w:color="auto"/>
            <w:left w:val="none" w:sz="0" w:space="0" w:color="auto"/>
            <w:bottom w:val="none" w:sz="0" w:space="0" w:color="auto"/>
            <w:right w:val="none" w:sz="0" w:space="0" w:color="auto"/>
          </w:divBdr>
        </w:div>
        <w:div w:id="526060623">
          <w:marLeft w:val="0"/>
          <w:marRight w:val="0"/>
          <w:marTop w:val="0"/>
          <w:marBottom w:val="0"/>
          <w:divBdr>
            <w:top w:val="none" w:sz="0" w:space="0" w:color="auto"/>
            <w:left w:val="none" w:sz="0" w:space="0" w:color="auto"/>
            <w:bottom w:val="none" w:sz="0" w:space="0" w:color="auto"/>
            <w:right w:val="none" w:sz="0" w:space="0" w:color="auto"/>
          </w:divBdr>
        </w:div>
        <w:div w:id="1083842543">
          <w:marLeft w:val="0"/>
          <w:marRight w:val="0"/>
          <w:marTop w:val="0"/>
          <w:marBottom w:val="0"/>
          <w:divBdr>
            <w:top w:val="none" w:sz="0" w:space="0" w:color="auto"/>
            <w:left w:val="none" w:sz="0" w:space="0" w:color="auto"/>
            <w:bottom w:val="none" w:sz="0" w:space="0" w:color="auto"/>
            <w:right w:val="none" w:sz="0" w:space="0" w:color="auto"/>
          </w:divBdr>
        </w:div>
        <w:div w:id="938490553">
          <w:marLeft w:val="0"/>
          <w:marRight w:val="0"/>
          <w:marTop w:val="0"/>
          <w:marBottom w:val="0"/>
          <w:divBdr>
            <w:top w:val="none" w:sz="0" w:space="0" w:color="auto"/>
            <w:left w:val="none" w:sz="0" w:space="0" w:color="auto"/>
            <w:bottom w:val="none" w:sz="0" w:space="0" w:color="auto"/>
            <w:right w:val="none" w:sz="0" w:space="0" w:color="auto"/>
          </w:divBdr>
        </w:div>
        <w:div w:id="1800755523">
          <w:marLeft w:val="0"/>
          <w:marRight w:val="0"/>
          <w:marTop w:val="0"/>
          <w:marBottom w:val="0"/>
          <w:divBdr>
            <w:top w:val="none" w:sz="0" w:space="0" w:color="auto"/>
            <w:left w:val="none" w:sz="0" w:space="0" w:color="auto"/>
            <w:bottom w:val="none" w:sz="0" w:space="0" w:color="auto"/>
            <w:right w:val="none" w:sz="0" w:space="0" w:color="auto"/>
          </w:divBdr>
        </w:div>
        <w:div w:id="308288394">
          <w:marLeft w:val="0"/>
          <w:marRight w:val="0"/>
          <w:marTop w:val="0"/>
          <w:marBottom w:val="0"/>
          <w:divBdr>
            <w:top w:val="none" w:sz="0" w:space="0" w:color="auto"/>
            <w:left w:val="none" w:sz="0" w:space="0" w:color="auto"/>
            <w:bottom w:val="none" w:sz="0" w:space="0" w:color="auto"/>
            <w:right w:val="none" w:sz="0" w:space="0" w:color="auto"/>
          </w:divBdr>
        </w:div>
        <w:div w:id="2147235210">
          <w:marLeft w:val="0"/>
          <w:marRight w:val="0"/>
          <w:marTop w:val="0"/>
          <w:marBottom w:val="0"/>
          <w:divBdr>
            <w:top w:val="none" w:sz="0" w:space="0" w:color="auto"/>
            <w:left w:val="none" w:sz="0" w:space="0" w:color="auto"/>
            <w:bottom w:val="none" w:sz="0" w:space="0" w:color="auto"/>
            <w:right w:val="none" w:sz="0" w:space="0" w:color="auto"/>
          </w:divBdr>
        </w:div>
        <w:div w:id="53050649">
          <w:marLeft w:val="0"/>
          <w:marRight w:val="0"/>
          <w:marTop w:val="0"/>
          <w:marBottom w:val="0"/>
          <w:divBdr>
            <w:top w:val="none" w:sz="0" w:space="0" w:color="auto"/>
            <w:left w:val="none" w:sz="0" w:space="0" w:color="auto"/>
            <w:bottom w:val="none" w:sz="0" w:space="0" w:color="auto"/>
            <w:right w:val="none" w:sz="0" w:space="0" w:color="auto"/>
          </w:divBdr>
        </w:div>
        <w:div w:id="1599799613">
          <w:marLeft w:val="0"/>
          <w:marRight w:val="0"/>
          <w:marTop w:val="0"/>
          <w:marBottom w:val="0"/>
          <w:divBdr>
            <w:top w:val="none" w:sz="0" w:space="0" w:color="auto"/>
            <w:left w:val="none" w:sz="0" w:space="0" w:color="auto"/>
            <w:bottom w:val="none" w:sz="0" w:space="0" w:color="auto"/>
            <w:right w:val="none" w:sz="0" w:space="0" w:color="auto"/>
          </w:divBdr>
        </w:div>
        <w:div w:id="313265453">
          <w:marLeft w:val="0"/>
          <w:marRight w:val="0"/>
          <w:marTop w:val="0"/>
          <w:marBottom w:val="0"/>
          <w:divBdr>
            <w:top w:val="none" w:sz="0" w:space="0" w:color="auto"/>
            <w:left w:val="none" w:sz="0" w:space="0" w:color="auto"/>
            <w:bottom w:val="none" w:sz="0" w:space="0" w:color="auto"/>
            <w:right w:val="none" w:sz="0" w:space="0" w:color="auto"/>
          </w:divBdr>
        </w:div>
        <w:div w:id="1880120873">
          <w:marLeft w:val="0"/>
          <w:marRight w:val="0"/>
          <w:marTop w:val="0"/>
          <w:marBottom w:val="0"/>
          <w:divBdr>
            <w:top w:val="none" w:sz="0" w:space="0" w:color="auto"/>
            <w:left w:val="none" w:sz="0" w:space="0" w:color="auto"/>
            <w:bottom w:val="none" w:sz="0" w:space="0" w:color="auto"/>
            <w:right w:val="none" w:sz="0" w:space="0" w:color="auto"/>
          </w:divBdr>
        </w:div>
        <w:div w:id="1878394921">
          <w:marLeft w:val="0"/>
          <w:marRight w:val="0"/>
          <w:marTop w:val="0"/>
          <w:marBottom w:val="0"/>
          <w:divBdr>
            <w:top w:val="none" w:sz="0" w:space="0" w:color="auto"/>
            <w:left w:val="none" w:sz="0" w:space="0" w:color="auto"/>
            <w:bottom w:val="none" w:sz="0" w:space="0" w:color="auto"/>
            <w:right w:val="none" w:sz="0" w:space="0" w:color="auto"/>
          </w:divBdr>
        </w:div>
        <w:div w:id="141234892">
          <w:marLeft w:val="0"/>
          <w:marRight w:val="0"/>
          <w:marTop w:val="0"/>
          <w:marBottom w:val="0"/>
          <w:divBdr>
            <w:top w:val="none" w:sz="0" w:space="0" w:color="auto"/>
            <w:left w:val="none" w:sz="0" w:space="0" w:color="auto"/>
            <w:bottom w:val="none" w:sz="0" w:space="0" w:color="auto"/>
            <w:right w:val="none" w:sz="0" w:space="0" w:color="auto"/>
          </w:divBdr>
        </w:div>
        <w:div w:id="482477711">
          <w:marLeft w:val="0"/>
          <w:marRight w:val="0"/>
          <w:marTop w:val="0"/>
          <w:marBottom w:val="0"/>
          <w:divBdr>
            <w:top w:val="none" w:sz="0" w:space="0" w:color="auto"/>
            <w:left w:val="none" w:sz="0" w:space="0" w:color="auto"/>
            <w:bottom w:val="none" w:sz="0" w:space="0" w:color="auto"/>
            <w:right w:val="none" w:sz="0" w:space="0" w:color="auto"/>
          </w:divBdr>
        </w:div>
        <w:div w:id="819267912">
          <w:marLeft w:val="0"/>
          <w:marRight w:val="0"/>
          <w:marTop w:val="0"/>
          <w:marBottom w:val="0"/>
          <w:divBdr>
            <w:top w:val="none" w:sz="0" w:space="0" w:color="auto"/>
            <w:left w:val="none" w:sz="0" w:space="0" w:color="auto"/>
            <w:bottom w:val="none" w:sz="0" w:space="0" w:color="auto"/>
            <w:right w:val="none" w:sz="0" w:space="0" w:color="auto"/>
          </w:divBdr>
        </w:div>
        <w:div w:id="136260823">
          <w:marLeft w:val="0"/>
          <w:marRight w:val="0"/>
          <w:marTop w:val="0"/>
          <w:marBottom w:val="0"/>
          <w:divBdr>
            <w:top w:val="none" w:sz="0" w:space="0" w:color="auto"/>
            <w:left w:val="none" w:sz="0" w:space="0" w:color="auto"/>
            <w:bottom w:val="none" w:sz="0" w:space="0" w:color="auto"/>
            <w:right w:val="none" w:sz="0" w:space="0" w:color="auto"/>
          </w:divBdr>
        </w:div>
        <w:div w:id="1453015633">
          <w:marLeft w:val="0"/>
          <w:marRight w:val="0"/>
          <w:marTop w:val="0"/>
          <w:marBottom w:val="0"/>
          <w:divBdr>
            <w:top w:val="none" w:sz="0" w:space="0" w:color="auto"/>
            <w:left w:val="none" w:sz="0" w:space="0" w:color="auto"/>
            <w:bottom w:val="none" w:sz="0" w:space="0" w:color="auto"/>
            <w:right w:val="none" w:sz="0" w:space="0" w:color="auto"/>
          </w:divBdr>
        </w:div>
        <w:div w:id="643236001">
          <w:marLeft w:val="0"/>
          <w:marRight w:val="0"/>
          <w:marTop w:val="0"/>
          <w:marBottom w:val="0"/>
          <w:divBdr>
            <w:top w:val="none" w:sz="0" w:space="0" w:color="auto"/>
            <w:left w:val="none" w:sz="0" w:space="0" w:color="auto"/>
            <w:bottom w:val="none" w:sz="0" w:space="0" w:color="auto"/>
            <w:right w:val="none" w:sz="0" w:space="0" w:color="auto"/>
          </w:divBdr>
        </w:div>
        <w:div w:id="375005267">
          <w:marLeft w:val="0"/>
          <w:marRight w:val="0"/>
          <w:marTop w:val="0"/>
          <w:marBottom w:val="0"/>
          <w:divBdr>
            <w:top w:val="none" w:sz="0" w:space="0" w:color="auto"/>
            <w:left w:val="none" w:sz="0" w:space="0" w:color="auto"/>
            <w:bottom w:val="none" w:sz="0" w:space="0" w:color="auto"/>
            <w:right w:val="none" w:sz="0" w:space="0" w:color="auto"/>
          </w:divBdr>
        </w:div>
        <w:div w:id="475343007">
          <w:marLeft w:val="0"/>
          <w:marRight w:val="0"/>
          <w:marTop w:val="0"/>
          <w:marBottom w:val="0"/>
          <w:divBdr>
            <w:top w:val="none" w:sz="0" w:space="0" w:color="auto"/>
            <w:left w:val="none" w:sz="0" w:space="0" w:color="auto"/>
            <w:bottom w:val="none" w:sz="0" w:space="0" w:color="auto"/>
            <w:right w:val="none" w:sz="0" w:space="0" w:color="auto"/>
          </w:divBdr>
        </w:div>
        <w:div w:id="1921744561">
          <w:marLeft w:val="0"/>
          <w:marRight w:val="0"/>
          <w:marTop w:val="0"/>
          <w:marBottom w:val="0"/>
          <w:divBdr>
            <w:top w:val="none" w:sz="0" w:space="0" w:color="auto"/>
            <w:left w:val="none" w:sz="0" w:space="0" w:color="auto"/>
            <w:bottom w:val="none" w:sz="0" w:space="0" w:color="auto"/>
            <w:right w:val="none" w:sz="0" w:space="0" w:color="auto"/>
          </w:divBdr>
        </w:div>
        <w:div w:id="80104876">
          <w:marLeft w:val="0"/>
          <w:marRight w:val="0"/>
          <w:marTop w:val="0"/>
          <w:marBottom w:val="0"/>
          <w:divBdr>
            <w:top w:val="none" w:sz="0" w:space="0" w:color="auto"/>
            <w:left w:val="none" w:sz="0" w:space="0" w:color="auto"/>
            <w:bottom w:val="none" w:sz="0" w:space="0" w:color="auto"/>
            <w:right w:val="none" w:sz="0" w:space="0" w:color="auto"/>
          </w:divBdr>
        </w:div>
        <w:div w:id="1889219745">
          <w:marLeft w:val="0"/>
          <w:marRight w:val="0"/>
          <w:marTop w:val="0"/>
          <w:marBottom w:val="0"/>
          <w:divBdr>
            <w:top w:val="none" w:sz="0" w:space="0" w:color="auto"/>
            <w:left w:val="none" w:sz="0" w:space="0" w:color="auto"/>
            <w:bottom w:val="none" w:sz="0" w:space="0" w:color="auto"/>
            <w:right w:val="none" w:sz="0" w:space="0" w:color="auto"/>
          </w:divBdr>
        </w:div>
        <w:div w:id="360252969">
          <w:marLeft w:val="0"/>
          <w:marRight w:val="0"/>
          <w:marTop w:val="0"/>
          <w:marBottom w:val="0"/>
          <w:divBdr>
            <w:top w:val="none" w:sz="0" w:space="0" w:color="auto"/>
            <w:left w:val="none" w:sz="0" w:space="0" w:color="auto"/>
            <w:bottom w:val="none" w:sz="0" w:space="0" w:color="auto"/>
            <w:right w:val="none" w:sz="0" w:space="0" w:color="auto"/>
          </w:divBdr>
        </w:div>
        <w:div w:id="1488208791">
          <w:marLeft w:val="0"/>
          <w:marRight w:val="0"/>
          <w:marTop w:val="0"/>
          <w:marBottom w:val="0"/>
          <w:divBdr>
            <w:top w:val="none" w:sz="0" w:space="0" w:color="auto"/>
            <w:left w:val="none" w:sz="0" w:space="0" w:color="auto"/>
            <w:bottom w:val="none" w:sz="0" w:space="0" w:color="auto"/>
            <w:right w:val="none" w:sz="0" w:space="0" w:color="auto"/>
          </w:divBdr>
        </w:div>
        <w:div w:id="56056764">
          <w:marLeft w:val="0"/>
          <w:marRight w:val="0"/>
          <w:marTop w:val="0"/>
          <w:marBottom w:val="0"/>
          <w:divBdr>
            <w:top w:val="none" w:sz="0" w:space="0" w:color="auto"/>
            <w:left w:val="none" w:sz="0" w:space="0" w:color="auto"/>
            <w:bottom w:val="none" w:sz="0" w:space="0" w:color="auto"/>
            <w:right w:val="none" w:sz="0" w:space="0" w:color="auto"/>
          </w:divBdr>
        </w:div>
        <w:div w:id="1777410065">
          <w:marLeft w:val="0"/>
          <w:marRight w:val="0"/>
          <w:marTop w:val="0"/>
          <w:marBottom w:val="0"/>
          <w:divBdr>
            <w:top w:val="none" w:sz="0" w:space="0" w:color="auto"/>
            <w:left w:val="none" w:sz="0" w:space="0" w:color="auto"/>
            <w:bottom w:val="none" w:sz="0" w:space="0" w:color="auto"/>
            <w:right w:val="none" w:sz="0" w:space="0" w:color="auto"/>
          </w:divBdr>
        </w:div>
        <w:div w:id="1214274227">
          <w:marLeft w:val="0"/>
          <w:marRight w:val="0"/>
          <w:marTop w:val="0"/>
          <w:marBottom w:val="0"/>
          <w:divBdr>
            <w:top w:val="none" w:sz="0" w:space="0" w:color="auto"/>
            <w:left w:val="none" w:sz="0" w:space="0" w:color="auto"/>
            <w:bottom w:val="none" w:sz="0" w:space="0" w:color="auto"/>
            <w:right w:val="none" w:sz="0" w:space="0" w:color="auto"/>
          </w:divBdr>
        </w:div>
        <w:div w:id="889460244">
          <w:marLeft w:val="0"/>
          <w:marRight w:val="0"/>
          <w:marTop w:val="0"/>
          <w:marBottom w:val="0"/>
          <w:divBdr>
            <w:top w:val="none" w:sz="0" w:space="0" w:color="auto"/>
            <w:left w:val="none" w:sz="0" w:space="0" w:color="auto"/>
            <w:bottom w:val="none" w:sz="0" w:space="0" w:color="auto"/>
            <w:right w:val="none" w:sz="0" w:space="0" w:color="auto"/>
          </w:divBdr>
        </w:div>
        <w:div w:id="2112897584">
          <w:marLeft w:val="0"/>
          <w:marRight w:val="0"/>
          <w:marTop w:val="0"/>
          <w:marBottom w:val="0"/>
          <w:divBdr>
            <w:top w:val="none" w:sz="0" w:space="0" w:color="auto"/>
            <w:left w:val="none" w:sz="0" w:space="0" w:color="auto"/>
            <w:bottom w:val="none" w:sz="0" w:space="0" w:color="auto"/>
            <w:right w:val="none" w:sz="0" w:space="0" w:color="auto"/>
          </w:divBdr>
        </w:div>
        <w:div w:id="1386677785">
          <w:marLeft w:val="0"/>
          <w:marRight w:val="0"/>
          <w:marTop w:val="0"/>
          <w:marBottom w:val="0"/>
          <w:divBdr>
            <w:top w:val="none" w:sz="0" w:space="0" w:color="auto"/>
            <w:left w:val="none" w:sz="0" w:space="0" w:color="auto"/>
            <w:bottom w:val="none" w:sz="0" w:space="0" w:color="auto"/>
            <w:right w:val="none" w:sz="0" w:space="0" w:color="auto"/>
          </w:divBdr>
        </w:div>
        <w:div w:id="2075809208">
          <w:marLeft w:val="0"/>
          <w:marRight w:val="0"/>
          <w:marTop w:val="0"/>
          <w:marBottom w:val="0"/>
          <w:divBdr>
            <w:top w:val="none" w:sz="0" w:space="0" w:color="auto"/>
            <w:left w:val="none" w:sz="0" w:space="0" w:color="auto"/>
            <w:bottom w:val="none" w:sz="0" w:space="0" w:color="auto"/>
            <w:right w:val="none" w:sz="0" w:space="0" w:color="auto"/>
          </w:divBdr>
        </w:div>
        <w:div w:id="339939119">
          <w:marLeft w:val="0"/>
          <w:marRight w:val="0"/>
          <w:marTop w:val="0"/>
          <w:marBottom w:val="0"/>
          <w:divBdr>
            <w:top w:val="none" w:sz="0" w:space="0" w:color="auto"/>
            <w:left w:val="none" w:sz="0" w:space="0" w:color="auto"/>
            <w:bottom w:val="none" w:sz="0" w:space="0" w:color="auto"/>
            <w:right w:val="none" w:sz="0" w:space="0" w:color="auto"/>
          </w:divBdr>
        </w:div>
        <w:div w:id="353925081">
          <w:marLeft w:val="0"/>
          <w:marRight w:val="0"/>
          <w:marTop w:val="0"/>
          <w:marBottom w:val="0"/>
          <w:divBdr>
            <w:top w:val="none" w:sz="0" w:space="0" w:color="auto"/>
            <w:left w:val="none" w:sz="0" w:space="0" w:color="auto"/>
            <w:bottom w:val="none" w:sz="0" w:space="0" w:color="auto"/>
            <w:right w:val="none" w:sz="0" w:space="0" w:color="auto"/>
          </w:divBdr>
        </w:div>
        <w:div w:id="1854103397">
          <w:marLeft w:val="0"/>
          <w:marRight w:val="0"/>
          <w:marTop w:val="0"/>
          <w:marBottom w:val="0"/>
          <w:divBdr>
            <w:top w:val="none" w:sz="0" w:space="0" w:color="auto"/>
            <w:left w:val="none" w:sz="0" w:space="0" w:color="auto"/>
            <w:bottom w:val="none" w:sz="0" w:space="0" w:color="auto"/>
            <w:right w:val="none" w:sz="0" w:space="0" w:color="auto"/>
          </w:divBdr>
        </w:div>
        <w:div w:id="1390618030">
          <w:marLeft w:val="0"/>
          <w:marRight w:val="0"/>
          <w:marTop w:val="0"/>
          <w:marBottom w:val="0"/>
          <w:divBdr>
            <w:top w:val="none" w:sz="0" w:space="0" w:color="auto"/>
            <w:left w:val="none" w:sz="0" w:space="0" w:color="auto"/>
            <w:bottom w:val="none" w:sz="0" w:space="0" w:color="auto"/>
            <w:right w:val="none" w:sz="0" w:space="0" w:color="auto"/>
          </w:divBdr>
        </w:div>
        <w:div w:id="304244128">
          <w:marLeft w:val="0"/>
          <w:marRight w:val="0"/>
          <w:marTop w:val="0"/>
          <w:marBottom w:val="0"/>
          <w:divBdr>
            <w:top w:val="none" w:sz="0" w:space="0" w:color="auto"/>
            <w:left w:val="none" w:sz="0" w:space="0" w:color="auto"/>
            <w:bottom w:val="none" w:sz="0" w:space="0" w:color="auto"/>
            <w:right w:val="none" w:sz="0" w:space="0" w:color="auto"/>
          </w:divBdr>
        </w:div>
        <w:div w:id="1578516577">
          <w:marLeft w:val="0"/>
          <w:marRight w:val="0"/>
          <w:marTop w:val="0"/>
          <w:marBottom w:val="0"/>
          <w:divBdr>
            <w:top w:val="none" w:sz="0" w:space="0" w:color="auto"/>
            <w:left w:val="none" w:sz="0" w:space="0" w:color="auto"/>
            <w:bottom w:val="none" w:sz="0" w:space="0" w:color="auto"/>
            <w:right w:val="none" w:sz="0" w:space="0" w:color="auto"/>
          </w:divBdr>
        </w:div>
        <w:div w:id="1673416066">
          <w:marLeft w:val="0"/>
          <w:marRight w:val="0"/>
          <w:marTop w:val="0"/>
          <w:marBottom w:val="0"/>
          <w:divBdr>
            <w:top w:val="none" w:sz="0" w:space="0" w:color="auto"/>
            <w:left w:val="none" w:sz="0" w:space="0" w:color="auto"/>
            <w:bottom w:val="none" w:sz="0" w:space="0" w:color="auto"/>
            <w:right w:val="none" w:sz="0" w:space="0" w:color="auto"/>
          </w:divBdr>
        </w:div>
        <w:div w:id="586616778">
          <w:marLeft w:val="0"/>
          <w:marRight w:val="0"/>
          <w:marTop w:val="0"/>
          <w:marBottom w:val="0"/>
          <w:divBdr>
            <w:top w:val="none" w:sz="0" w:space="0" w:color="auto"/>
            <w:left w:val="none" w:sz="0" w:space="0" w:color="auto"/>
            <w:bottom w:val="none" w:sz="0" w:space="0" w:color="auto"/>
            <w:right w:val="none" w:sz="0" w:space="0" w:color="auto"/>
          </w:divBdr>
        </w:div>
        <w:div w:id="1117483318">
          <w:marLeft w:val="0"/>
          <w:marRight w:val="0"/>
          <w:marTop w:val="0"/>
          <w:marBottom w:val="0"/>
          <w:divBdr>
            <w:top w:val="none" w:sz="0" w:space="0" w:color="auto"/>
            <w:left w:val="none" w:sz="0" w:space="0" w:color="auto"/>
            <w:bottom w:val="none" w:sz="0" w:space="0" w:color="auto"/>
            <w:right w:val="none" w:sz="0" w:space="0" w:color="auto"/>
          </w:divBdr>
        </w:div>
        <w:div w:id="1343388492">
          <w:marLeft w:val="0"/>
          <w:marRight w:val="0"/>
          <w:marTop w:val="0"/>
          <w:marBottom w:val="0"/>
          <w:divBdr>
            <w:top w:val="none" w:sz="0" w:space="0" w:color="auto"/>
            <w:left w:val="none" w:sz="0" w:space="0" w:color="auto"/>
            <w:bottom w:val="none" w:sz="0" w:space="0" w:color="auto"/>
            <w:right w:val="none" w:sz="0" w:space="0" w:color="auto"/>
          </w:divBdr>
        </w:div>
        <w:div w:id="973409779">
          <w:marLeft w:val="0"/>
          <w:marRight w:val="0"/>
          <w:marTop w:val="0"/>
          <w:marBottom w:val="0"/>
          <w:divBdr>
            <w:top w:val="none" w:sz="0" w:space="0" w:color="auto"/>
            <w:left w:val="none" w:sz="0" w:space="0" w:color="auto"/>
            <w:bottom w:val="none" w:sz="0" w:space="0" w:color="auto"/>
            <w:right w:val="none" w:sz="0" w:space="0" w:color="auto"/>
          </w:divBdr>
        </w:div>
        <w:div w:id="853155152">
          <w:marLeft w:val="0"/>
          <w:marRight w:val="0"/>
          <w:marTop w:val="0"/>
          <w:marBottom w:val="0"/>
          <w:divBdr>
            <w:top w:val="none" w:sz="0" w:space="0" w:color="auto"/>
            <w:left w:val="none" w:sz="0" w:space="0" w:color="auto"/>
            <w:bottom w:val="none" w:sz="0" w:space="0" w:color="auto"/>
            <w:right w:val="none" w:sz="0" w:space="0" w:color="auto"/>
          </w:divBdr>
        </w:div>
        <w:div w:id="352536098">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 w:id="1325091560">
          <w:marLeft w:val="0"/>
          <w:marRight w:val="0"/>
          <w:marTop w:val="0"/>
          <w:marBottom w:val="0"/>
          <w:divBdr>
            <w:top w:val="none" w:sz="0" w:space="0" w:color="auto"/>
            <w:left w:val="none" w:sz="0" w:space="0" w:color="auto"/>
            <w:bottom w:val="none" w:sz="0" w:space="0" w:color="auto"/>
            <w:right w:val="none" w:sz="0" w:space="0" w:color="auto"/>
          </w:divBdr>
        </w:div>
        <w:div w:id="1424955644">
          <w:marLeft w:val="0"/>
          <w:marRight w:val="0"/>
          <w:marTop w:val="0"/>
          <w:marBottom w:val="0"/>
          <w:divBdr>
            <w:top w:val="none" w:sz="0" w:space="0" w:color="auto"/>
            <w:left w:val="none" w:sz="0" w:space="0" w:color="auto"/>
            <w:bottom w:val="none" w:sz="0" w:space="0" w:color="auto"/>
            <w:right w:val="none" w:sz="0" w:space="0" w:color="auto"/>
          </w:divBdr>
        </w:div>
        <w:div w:id="278610541">
          <w:marLeft w:val="0"/>
          <w:marRight w:val="0"/>
          <w:marTop w:val="0"/>
          <w:marBottom w:val="0"/>
          <w:divBdr>
            <w:top w:val="none" w:sz="0" w:space="0" w:color="auto"/>
            <w:left w:val="none" w:sz="0" w:space="0" w:color="auto"/>
            <w:bottom w:val="none" w:sz="0" w:space="0" w:color="auto"/>
            <w:right w:val="none" w:sz="0" w:space="0" w:color="auto"/>
          </w:divBdr>
        </w:div>
        <w:div w:id="1697123557">
          <w:marLeft w:val="0"/>
          <w:marRight w:val="0"/>
          <w:marTop w:val="0"/>
          <w:marBottom w:val="0"/>
          <w:divBdr>
            <w:top w:val="none" w:sz="0" w:space="0" w:color="auto"/>
            <w:left w:val="none" w:sz="0" w:space="0" w:color="auto"/>
            <w:bottom w:val="none" w:sz="0" w:space="0" w:color="auto"/>
            <w:right w:val="none" w:sz="0" w:space="0" w:color="auto"/>
          </w:divBdr>
        </w:div>
        <w:div w:id="1214462464">
          <w:marLeft w:val="0"/>
          <w:marRight w:val="0"/>
          <w:marTop w:val="0"/>
          <w:marBottom w:val="0"/>
          <w:divBdr>
            <w:top w:val="none" w:sz="0" w:space="0" w:color="auto"/>
            <w:left w:val="none" w:sz="0" w:space="0" w:color="auto"/>
            <w:bottom w:val="none" w:sz="0" w:space="0" w:color="auto"/>
            <w:right w:val="none" w:sz="0" w:space="0" w:color="auto"/>
          </w:divBdr>
        </w:div>
        <w:div w:id="525482032">
          <w:marLeft w:val="0"/>
          <w:marRight w:val="0"/>
          <w:marTop w:val="0"/>
          <w:marBottom w:val="0"/>
          <w:divBdr>
            <w:top w:val="none" w:sz="0" w:space="0" w:color="auto"/>
            <w:left w:val="none" w:sz="0" w:space="0" w:color="auto"/>
            <w:bottom w:val="none" w:sz="0" w:space="0" w:color="auto"/>
            <w:right w:val="none" w:sz="0" w:space="0" w:color="auto"/>
          </w:divBdr>
        </w:div>
        <w:div w:id="532306892">
          <w:marLeft w:val="0"/>
          <w:marRight w:val="0"/>
          <w:marTop w:val="0"/>
          <w:marBottom w:val="0"/>
          <w:divBdr>
            <w:top w:val="none" w:sz="0" w:space="0" w:color="auto"/>
            <w:left w:val="none" w:sz="0" w:space="0" w:color="auto"/>
            <w:bottom w:val="none" w:sz="0" w:space="0" w:color="auto"/>
            <w:right w:val="none" w:sz="0" w:space="0" w:color="auto"/>
          </w:divBdr>
        </w:div>
        <w:div w:id="1085570670">
          <w:marLeft w:val="0"/>
          <w:marRight w:val="0"/>
          <w:marTop w:val="0"/>
          <w:marBottom w:val="0"/>
          <w:divBdr>
            <w:top w:val="none" w:sz="0" w:space="0" w:color="auto"/>
            <w:left w:val="none" w:sz="0" w:space="0" w:color="auto"/>
            <w:bottom w:val="none" w:sz="0" w:space="0" w:color="auto"/>
            <w:right w:val="none" w:sz="0" w:space="0" w:color="auto"/>
          </w:divBdr>
        </w:div>
        <w:div w:id="1570849369">
          <w:marLeft w:val="0"/>
          <w:marRight w:val="0"/>
          <w:marTop w:val="0"/>
          <w:marBottom w:val="0"/>
          <w:divBdr>
            <w:top w:val="none" w:sz="0" w:space="0" w:color="auto"/>
            <w:left w:val="none" w:sz="0" w:space="0" w:color="auto"/>
            <w:bottom w:val="none" w:sz="0" w:space="0" w:color="auto"/>
            <w:right w:val="none" w:sz="0" w:space="0" w:color="auto"/>
          </w:divBdr>
        </w:div>
        <w:div w:id="2123112955">
          <w:marLeft w:val="0"/>
          <w:marRight w:val="0"/>
          <w:marTop w:val="0"/>
          <w:marBottom w:val="0"/>
          <w:divBdr>
            <w:top w:val="none" w:sz="0" w:space="0" w:color="auto"/>
            <w:left w:val="none" w:sz="0" w:space="0" w:color="auto"/>
            <w:bottom w:val="none" w:sz="0" w:space="0" w:color="auto"/>
            <w:right w:val="none" w:sz="0" w:space="0" w:color="auto"/>
          </w:divBdr>
        </w:div>
        <w:div w:id="798037837">
          <w:marLeft w:val="0"/>
          <w:marRight w:val="0"/>
          <w:marTop w:val="0"/>
          <w:marBottom w:val="0"/>
          <w:divBdr>
            <w:top w:val="none" w:sz="0" w:space="0" w:color="auto"/>
            <w:left w:val="none" w:sz="0" w:space="0" w:color="auto"/>
            <w:bottom w:val="none" w:sz="0" w:space="0" w:color="auto"/>
            <w:right w:val="none" w:sz="0" w:space="0" w:color="auto"/>
          </w:divBdr>
        </w:div>
        <w:div w:id="1946187795">
          <w:marLeft w:val="0"/>
          <w:marRight w:val="0"/>
          <w:marTop w:val="0"/>
          <w:marBottom w:val="0"/>
          <w:divBdr>
            <w:top w:val="none" w:sz="0" w:space="0" w:color="auto"/>
            <w:left w:val="none" w:sz="0" w:space="0" w:color="auto"/>
            <w:bottom w:val="none" w:sz="0" w:space="0" w:color="auto"/>
            <w:right w:val="none" w:sz="0" w:space="0" w:color="auto"/>
          </w:divBdr>
        </w:div>
        <w:div w:id="304119627">
          <w:marLeft w:val="0"/>
          <w:marRight w:val="0"/>
          <w:marTop w:val="0"/>
          <w:marBottom w:val="0"/>
          <w:divBdr>
            <w:top w:val="none" w:sz="0" w:space="0" w:color="auto"/>
            <w:left w:val="none" w:sz="0" w:space="0" w:color="auto"/>
            <w:bottom w:val="none" w:sz="0" w:space="0" w:color="auto"/>
            <w:right w:val="none" w:sz="0" w:space="0" w:color="auto"/>
          </w:divBdr>
        </w:div>
        <w:div w:id="489253897">
          <w:marLeft w:val="0"/>
          <w:marRight w:val="0"/>
          <w:marTop w:val="0"/>
          <w:marBottom w:val="0"/>
          <w:divBdr>
            <w:top w:val="none" w:sz="0" w:space="0" w:color="auto"/>
            <w:left w:val="none" w:sz="0" w:space="0" w:color="auto"/>
            <w:bottom w:val="none" w:sz="0" w:space="0" w:color="auto"/>
            <w:right w:val="none" w:sz="0" w:space="0" w:color="auto"/>
          </w:divBdr>
        </w:div>
        <w:div w:id="1136488396">
          <w:marLeft w:val="0"/>
          <w:marRight w:val="0"/>
          <w:marTop w:val="0"/>
          <w:marBottom w:val="0"/>
          <w:divBdr>
            <w:top w:val="none" w:sz="0" w:space="0" w:color="auto"/>
            <w:left w:val="none" w:sz="0" w:space="0" w:color="auto"/>
            <w:bottom w:val="none" w:sz="0" w:space="0" w:color="auto"/>
            <w:right w:val="none" w:sz="0" w:space="0" w:color="auto"/>
          </w:divBdr>
        </w:div>
        <w:div w:id="245460397">
          <w:marLeft w:val="0"/>
          <w:marRight w:val="0"/>
          <w:marTop w:val="0"/>
          <w:marBottom w:val="0"/>
          <w:divBdr>
            <w:top w:val="none" w:sz="0" w:space="0" w:color="auto"/>
            <w:left w:val="none" w:sz="0" w:space="0" w:color="auto"/>
            <w:bottom w:val="none" w:sz="0" w:space="0" w:color="auto"/>
            <w:right w:val="none" w:sz="0" w:space="0" w:color="auto"/>
          </w:divBdr>
        </w:div>
        <w:div w:id="800266291">
          <w:marLeft w:val="0"/>
          <w:marRight w:val="0"/>
          <w:marTop w:val="0"/>
          <w:marBottom w:val="0"/>
          <w:divBdr>
            <w:top w:val="none" w:sz="0" w:space="0" w:color="auto"/>
            <w:left w:val="none" w:sz="0" w:space="0" w:color="auto"/>
            <w:bottom w:val="none" w:sz="0" w:space="0" w:color="auto"/>
            <w:right w:val="none" w:sz="0" w:space="0" w:color="auto"/>
          </w:divBdr>
        </w:div>
        <w:div w:id="1621298639">
          <w:marLeft w:val="0"/>
          <w:marRight w:val="0"/>
          <w:marTop w:val="0"/>
          <w:marBottom w:val="0"/>
          <w:divBdr>
            <w:top w:val="none" w:sz="0" w:space="0" w:color="auto"/>
            <w:left w:val="none" w:sz="0" w:space="0" w:color="auto"/>
            <w:bottom w:val="none" w:sz="0" w:space="0" w:color="auto"/>
            <w:right w:val="none" w:sz="0" w:space="0" w:color="auto"/>
          </w:divBdr>
        </w:div>
        <w:div w:id="1380982986">
          <w:marLeft w:val="0"/>
          <w:marRight w:val="0"/>
          <w:marTop w:val="0"/>
          <w:marBottom w:val="0"/>
          <w:divBdr>
            <w:top w:val="none" w:sz="0" w:space="0" w:color="auto"/>
            <w:left w:val="none" w:sz="0" w:space="0" w:color="auto"/>
            <w:bottom w:val="none" w:sz="0" w:space="0" w:color="auto"/>
            <w:right w:val="none" w:sz="0" w:space="0" w:color="auto"/>
          </w:divBdr>
        </w:div>
        <w:div w:id="30233910">
          <w:marLeft w:val="0"/>
          <w:marRight w:val="0"/>
          <w:marTop w:val="0"/>
          <w:marBottom w:val="0"/>
          <w:divBdr>
            <w:top w:val="none" w:sz="0" w:space="0" w:color="auto"/>
            <w:left w:val="none" w:sz="0" w:space="0" w:color="auto"/>
            <w:bottom w:val="none" w:sz="0" w:space="0" w:color="auto"/>
            <w:right w:val="none" w:sz="0" w:space="0" w:color="auto"/>
          </w:divBdr>
        </w:div>
        <w:div w:id="644552494">
          <w:marLeft w:val="0"/>
          <w:marRight w:val="0"/>
          <w:marTop w:val="0"/>
          <w:marBottom w:val="0"/>
          <w:divBdr>
            <w:top w:val="none" w:sz="0" w:space="0" w:color="auto"/>
            <w:left w:val="none" w:sz="0" w:space="0" w:color="auto"/>
            <w:bottom w:val="none" w:sz="0" w:space="0" w:color="auto"/>
            <w:right w:val="none" w:sz="0" w:space="0" w:color="auto"/>
          </w:divBdr>
        </w:div>
        <w:div w:id="1280719527">
          <w:marLeft w:val="0"/>
          <w:marRight w:val="0"/>
          <w:marTop w:val="0"/>
          <w:marBottom w:val="0"/>
          <w:divBdr>
            <w:top w:val="none" w:sz="0" w:space="0" w:color="auto"/>
            <w:left w:val="none" w:sz="0" w:space="0" w:color="auto"/>
            <w:bottom w:val="none" w:sz="0" w:space="0" w:color="auto"/>
            <w:right w:val="none" w:sz="0" w:space="0" w:color="auto"/>
          </w:divBdr>
        </w:div>
        <w:div w:id="550851627">
          <w:marLeft w:val="0"/>
          <w:marRight w:val="0"/>
          <w:marTop w:val="0"/>
          <w:marBottom w:val="0"/>
          <w:divBdr>
            <w:top w:val="none" w:sz="0" w:space="0" w:color="auto"/>
            <w:left w:val="none" w:sz="0" w:space="0" w:color="auto"/>
            <w:bottom w:val="none" w:sz="0" w:space="0" w:color="auto"/>
            <w:right w:val="none" w:sz="0" w:space="0" w:color="auto"/>
          </w:divBdr>
        </w:div>
        <w:div w:id="113915115">
          <w:marLeft w:val="0"/>
          <w:marRight w:val="0"/>
          <w:marTop w:val="0"/>
          <w:marBottom w:val="0"/>
          <w:divBdr>
            <w:top w:val="none" w:sz="0" w:space="0" w:color="auto"/>
            <w:left w:val="none" w:sz="0" w:space="0" w:color="auto"/>
            <w:bottom w:val="none" w:sz="0" w:space="0" w:color="auto"/>
            <w:right w:val="none" w:sz="0" w:space="0" w:color="auto"/>
          </w:divBdr>
        </w:div>
        <w:div w:id="1170172374">
          <w:marLeft w:val="0"/>
          <w:marRight w:val="0"/>
          <w:marTop w:val="0"/>
          <w:marBottom w:val="0"/>
          <w:divBdr>
            <w:top w:val="none" w:sz="0" w:space="0" w:color="auto"/>
            <w:left w:val="none" w:sz="0" w:space="0" w:color="auto"/>
            <w:bottom w:val="none" w:sz="0" w:space="0" w:color="auto"/>
            <w:right w:val="none" w:sz="0" w:space="0" w:color="auto"/>
          </w:divBdr>
        </w:div>
        <w:div w:id="1800562208">
          <w:marLeft w:val="0"/>
          <w:marRight w:val="0"/>
          <w:marTop w:val="0"/>
          <w:marBottom w:val="0"/>
          <w:divBdr>
            <w:top w:val="none" w:sz="0" w:space="0" w:color="auto"/>
            <w:left w:val="none" w:sz="0" w:space="0" w:color="auto"/>
            <w:bottom w:val="none" w:sz="0" w:space="0" w:color="auto"/>
            <w:right w:val="none" w:sz="0" w:space="0" w:color="auto"/>
          </w:divBdr>
        </w:div>
        <w:div w:id="1919440252">
          <w:marLeft w:val="0"/>
          <w:marRight w:val="0"/>
          <w:marTop w:val="0"/>
          <w:marBottom w:val="0"/>
          <w:divBdr>
            <w:top w:val="none" w:sz="0" w:space="0" w:color="auto"/>
            <w:left w:val="none" w:sz="0" w:space="0" w:color="auto"/>
            <w:bottom w:val="none" w:sz="0" w:space="0" w:color="auto"/>
            <w:right w:val="none" w:sz="0" w:space="0" w:color="auto"/>
          </w:divBdr>
        </w:div>
        <w:div w:id="143550833">
          <w:marLeft w:val="0"/>
          <w:marRight w:val="0"/>
          <w:marTop w:val="0"/>
          <w:marBottom w:val="0"/>
          <w:divBdr>
            <w:top w:val="none" w:sz="0" w:space="0" w:color="auto"/>
            <w:left w:val="none" w:sz="0" w:space="0" w:color="auto"/>
            <w:bottom w:val="none" w:sz="0" w:space="0" w:color="auto"/>
            <w:right w:val="none" w:sz="0" w:space="0" w:color="auto"/>
          </w:divBdr>
        </w:div>
        <w:div w:id="1098252867">
          <w:marLeft w:val="0"/>
          <w:marRight w:val="0"/>
          <w:marTop w:val="0"/>
          <w:marBottom w:val="0"/>
          <w:divBdr>
            <w:top w:val="none" w:sz="0" w:space="0" w:color="auto"/>
            <w:left w:val="none" w:sz="0" w:space="0" w:color="auto"/>
            <w:bottom w:val="none" w:sz="0" w:space="0" w:color="auto"/>
            <w:right w:val="none" w:sz="0" w:space="0" w:color="auto"/>
          </w:divBdr>
        </w:div>
        <w:div w:id="1249390777">
          <w:marLeft w:val="0"/>
          <w:marRight w:val="0"/>
          <w:marTop w:val="0"/>
          <w:marBottom w:val="0"/>
          <w:divBdr>
            <w:top w:val="none" w:sz="0" w:space="0" w:color="auto"/>
            <w:left w:val="none" w:sz="0" w:space="0" w:color="auto"/>
            <w:bottom w:val="none" w:sz="0" w:space="0" w:color="auto"/>
            <w:right w:val="none" w:sz="0" w:space="0" w:color="auto"/>
          </w:divBdr>
        </w:div>
        <w:div w:id="836769488">
          <w:marLeft w:val="0"/>
          <w:marRight w:val="0"/>
          <w:marTop w:val="0"/>
          <w:marBottom w:val="0"/>
          <w:divBdr>
            <w:top w:val="none" w:sz="0" w:space="0" w:color="auto"/>
            <w:left w:val="none" w:sz="0" w:space="0" w:color="auto"/>
            <w:bottom w:val="none" w:sz="0" w:space="0" w:color="auto"/>
            <w:right w:val="none" w:sz="0" w:space="0" w:color="auto"/>
          </w:divBdr>
        </w:div>
        <w:div w:id="636108018">
          <w:marLeft w:val="0"/>
          <w:marRight w:val="0"/>
          <w:marTop w:val="0"/>
          <w:marBottom w:val="0"/>
          <w:divBdr>
            <w:top w:val="none" w:sz="0" w:space="0" w:color="auto"/>
            <w:left w:val="none" w:sz="0" w:space="0" w:color="auto"/>
            <w:bottom w:val="none" w:sz="0" w:space="0" w:color="auto"/>
            <w:right w:val="none" w:sz="0" w:space="0" w:color="auto"/>
          </w:divBdr>
        </w:div>
        <w:div w:id="656764335">
          <w:marLeft w:val="0"/>
          <w:marRight w:val="0"/>
          <w:marTop w:val="0"/>
          <w:marBottom w:val="0"/>
          <w:divBdr>
            <w:top w:val="none" w:sz="0" w:space="0" w:color="auto"/>
            <w:left w:val="none" w:sz="0" w:space="0" w:color="auto"/>
            <w:bottom w:val="none" w:sz="0" w:space="0" w:color="auto"/>
            <w:right w:val="none" w:sz="0" w:space="0" w:color="auto"/>
          </w:divBdr>
        </w:div>
        <w:div w:id="1995452646">
          <w:marLeft w:val="0"/>
          <w:marRight w:val="0"/>
          <w:marTop w:val="0"/>
          <w:marBottom w:val="0"/>
          <w:divBdr>
            <w:top w:val="none" w:sz="0" w:space="0" w:color="auto"/>
            <w:left w:val="none" w:sz="0" w:space="0" w:color="auto"/>
            <w:bottom w:val="none" w:sz="0" w:space="0" w:color="auto"/>
            <w:right w:val="none" w:sz="0" w:space="0" w:color="auto"/>
          </w:divBdr>
        </w:div>
        <w:div w:id="1905721756">
          <w:marLeft w:val="0"/>
          <w:marRight w:val="0"/>
          <w:marTop w:val="0"/>
          <w:marBottom w:val="0"/>
          <w:divBdr>
            <w:top w:val="none" w:sz="0" w:space="0" w:color="auto"/>
            <w:left w:val="none" w:sz="0" w:space="0" w:color="auto"/>
            <w:bottom w:val="none" w:sz="0" w:space="0" w:color="auto"/>
            <w:right w:val="none" w:sz="0" w:space="0" w:color="auto"/>
          </w:divBdr>
        </w:div>
        <w:div w:id="1165045889">
          <w:marLeft w:val="0"/>
          <w:marRight w:val="0"/>
          <w:marTop w:val="0"/>
          <w:marBottom w:val="0"/>
          <w:divBdr>
            <w:top w:val="none" w:sz="0" w:space="0" w:color="auto"/>
            <w:left w:val="none" w:sz="0" w:space="0" w:color="auto"/>
            <w:bottom w:val="none" w:sz="0" w:space="0" w:color="auto"/>
            <w:right w:val="none" w:sz="0" w:space="0" w:color="auto"/>
          </w:divBdr>
        </w:div>
        <w:div w:id="1392122532">
          <w:marLeft w:val="0"/>
          <w:marRight w:val="0"/>
          <w:marTop w:val="0"/>
          <w:marBottom w:val="0"/>
          <w:divBdr>
            <w:top w:val="none" w:sz="0" w:space="0" w:color="auto"/>
            <w:left w:val="none" w:sz="0" w:space="0" w:color="auto"/>
            <w:bottom w:val="none" w:sz="0" w:space="0" w:color="auto"/>
            <w:right w:val="none" w:sz="0" w:space="0" w:color="auto"/>
          </w:divBdr>
        </w:div>
        <w:div w:id="167914198">
          <w:marLeft w:val="0"/>
          <w:marRight w:val="0"/>
          <w:marTop w:val="0"/>
          <w:marBottom w:val="0"/>
          <w:divBdr>
            <w:top w:val="none" w:sz="0" w:space="0" w:color="auto"/>
            <w:left w:val="none" w:sz="0" w:space="0" w:color="auto"/>
            <w:bottom w:val="none" w:sz="0" w:space="0" w:color="auto"/>
            <w:right w:val="none" w:sz="0" w:space="0" w:color="auto"/>
          </w:divBdr>
        </w:div>
        <w:div w:id="2012827842">
          <w:marLeft w:val="0"/>
          <w:marRight w:val="0"/>
          <w:marTop w:val="0"/>
          <w:marBottom w:val="0"/>
          <w:divBdr>
            <w:top w:val="none" w:sz="0" w:space="0" w:color="auto"/>
            <w:left w:val="none" w:sz="0" w:space="0" w:color="auto"/>
            <w:bottom w:val="none" w:sz="0" w:space="0" w:color="auto"/>
            <w:right w:val="none" w:sz="0" w:space="0" w:color="auto"/>
          </w:divBdr>
        </w:div>
        <w:div w:id="1191869323">
          <w:marLeft w:val="0"/>
          <w:marRight w:val="0"/>
          <w:marTop w:val="0"/>
          <w:marBottom w:val="0"/>
          <w:divBdr>
            <w:top w:val="none" w:sz="0" w:space="0" w:color="auto"/>
            <w:left w:val="none" w:sz="0" w:space="0" w:color="auto"/>
            <w:bottom w:val="none" w:sz="0" w:space="0" w:color="auto"/>
            <w:right w:val="none" w:sz="0" w:space="0" w:color="auto"/>
          </w:divBdr>
        </w:div>
      </w:divsChild>
    </w:div>
    <w:div w:id="575483204">
      <w:bodyDiv w:val="1"/>
      <w:marLeft w:val="0"/>
      <w:marRight w:val="0"/>
      <w:marTop w:val="0"/>
      <w:marBottom w:val="0"/>
      <w:divBdr>
        <w:top w:val="none" w:sz="0" w:space="0" w:color="auto"/>
        <w:left w:val="none" w:sz="0" w:space="0" w:color="auto"/>
        <w:bottom w:val="none" w:sz="0" w:space="0" w:color="auto"/>
        <w:right w:val="none" w:sz="0" w:space="0" w:color="auto"/>
      </w:divBdr>
    </w:div>
    <w:div w:id="591671283">
      <w:bodyDiv w:val="1"/>
      <w:marLeft w:val="0"/>
      <w:marRight w:val="0"/>
      <w:marTop w:val="0"/>
      <w:marBottom w:val="0"/>
      <w:divBdr>
        <w:top w:val="none" w:sz="0" w:space="0" w:color="auto"/>
        <w:left w:val="none" w:sz="0" w:space="0" w:color="auto"/>
        <w:bottom w:val="none" w:sz="0" w:space="0" w:color="auto"/>
        <w:right w:val="none" w:sz="0" w:space="0" w:color="auto"/>
      </w:divBdr>
    </w:div>
    <w:div w:id="595405048">
      <w:bodyDiv w:val="1"/>
      <w:marLeft w:val="0"/>
      <w:marRight w:val="0"/>
      <w:marTop w:val="0"/>
      <w:marBottom w:val="0"/>
      <w:divBdr>
        <w:top w:val="none" w:sz="0" w:space="0" w:color="auto"/>
        <w:left w:val="none" w:sz="0" w:space="0" w:color="auto"/>
        <w:bottom w:val="none" w:sz="0" w:space="0" w:color="auto"/>
        <w:right w:val="none" w:sz="0" w:space="0" w:color="auto"/>
      </w:divBdr>
    </w:div>
    <w:div w:id="611548768">
      <w:bodyDiv w:val="1"/>
      <w:marLeft w:val="0"/>
      <w:marRight w:val="0"/>
      <w:marTop w:val="0"/>
      <w:marBottom w:val="0"/>
      <w:divBdr>
        <w:top w:val="none" w:sz="0" w:space="0" w:color="auto"/>
        <w:left w:val="none" w:sz="0" w:space="0" w:color="auto"/>
        <w:bottom w:val="none" w:sz="0" w:space="0" w:color="auto"/>
        <w:right w:val="none" w:sz="0" w:space="0" w:color="auto"/>
      </w:divBdr>
    </w:div>
    <w:div w:id="624625016">
      <w:bodyDiv w:val="1"/>
      <w:marLeft w:val="0"/>
      <w:marRight w:val="0"/>
      <w:marTop w:val="0"/>
      <w:marBottom w:val="0"/>
      <w:divBdr>
        <w:top w:val="none" w:sz="0" w:space="0" w:color="auto"/>
        <w:left w:val="none" w:sz="0" w:space="0" w:color="auto"/>
        <w:bottom w:val="none" w:sz="0" w:space="0" w:color="auto"/>
        <w:right w:val="none" w:sz="0" w:space="0" w:color="auto"/>
      </w:divBdr>
    </w:div>
    <w:div w:id="726756259">
      <w:bodyDiv w:val="1"/>
      <w:marLeft w:val="0"/>
      <w:marRight w:val="0"/>
      <w:marTop w:val="0"/>
      <w:marBottom w:val="0"/>
      <w:divBdr>
        <w:top w:val="none" w:sz="0" w:space="0" w:color="auto"/>
        <w:left w:val="none" w:sz="0" w:space="0" w:color="auto"/>
        <w:bottom w:val="none" w:sz="0" w:space="0" w:color="auto"/>
        <w:right w:val="none" w:sz="0" w:space="0" w:color="auto"/>
      </w:divBdr>
    </w:div>
    <w:div w:id="752699667">
      <w:bodyDiv w:val="1"/>
      <w:marLeft w:val="0"/>
      <w:marRight w:val="0"/>
      <w:marTop w:val="0"/>
      <w:marBottom w:val="0"/>
      <w:divBdr>
        <w:top w:val="none" w:sz="0" w:space="0" w:color="auto"/>
        <w:left w:val="none" w:sz="0" w:space="0" w:color="auto"/>
        <w:bottom w:val="none" w:sz="0" w:space="0" w:color="auto"/>
        <w:right w:val="none" w:sz="0" w:space="0" w:color="auto"/>
      </w:divBdr>
    </w:div>
    <w:div w:id="756634645">
      <w:bodyDiv w:val="1"/>
      <w:marLeft w:val="0"/>
      <w:marRight w:val="0"/>
      <w:marTop w:val="0"/>
      <w:marBottom w:val="0"/>
      <w:divBdr>
        <w:top w:val="none" w:sz="0" w:space="0" w:color="auto"/>
        <w:left w:val="none" w:sz="0" w:space="0" w:color="auto"/>
        <w:bottom w:val="none" w:sz="0" w:space="0" w:color="auto"/>
        <w:right w:val="none" w:sz="0" w:space="0" w:color="auto"/>
      </w:divBdr>
    </w:div>
    <w:div w:id="759132984">
      <w:bodyDiv w:val="1"/>
      <w:marLeft w:val="0"/>
      <w:marRight w:val="0"/>
      <w:marTop w:val="0"/>
      <w:marBottom w:val="0"/>
      <w:divBdr>
        <w:top w:val="none" w:sz="0" w:space="0" w:color="auto"/>
        <w:left w:val="none" w:sz="0" w:space="0" w:color="auto"/>
        <w:bottom w:val="none" w:sz="0" w:space="0" w:color="auto"/>
        <w:right w:val="none" w:sz="0" w:space="0" w:color="auto"/>
      </w:divBdr>
    </w:div>
    <w:div w:id="807165998">
      <w:bodyDiv w:val="1"/>
      <w:marLeft w:val="0"/>
      <w:marRight w:val="0"/>
      <w:marTop w:val="0"/>
      <w:marBottom w:val="0"/>
      <w:divBdr>
        <w:top w:val="none" w:sz="0" w:space="0" w:color="auto"/>
        <w:left w:val="none" w:sz="0" w:space="0" w:color="auto"/>
        <w:bottom w:val="none" w:sz="0" w:space="0" w:color="auto"/>
        <w:right w:val="none" w:sz="0" w:space="0" w:color="auto"/>
      </w:divBdr>
    </w:div>
    <w:div w:id="825777866">
      <w:bodyDiv w:val="1"/>
      <w:marLeft w:val="0"/>
      <w:marRight w:val="0"/>
      <w:marTop w:val="0"/>
      <w:marBottom w:val="0"/>
      <w:divBdr>
        <w:top w:val="none" w:sz="0" w:space="0" w:color="auto"/>
        <w:left w:val="none" w:sz="0" w:space="0" w:color="auto"/>
        <w:bottom w:val="none" w:sz="0" w:space="0" w:color="auto"/>
        <w:right w:val="none" w:sz="0" w:space="0" w:color="auto"/>
      </w:divBdr>
    </w:div>
    <w:div w:id="844245172">
      <w:bodyDiv w:val="1"/>
      <w:marLeft w:val="0"/>
      <w:marRight w:val="0"/>
      <w:marTop w:val="0"/>
      <w:marBottom w:val="0"/>
      <w:divBdr>
        <w:top w:val="none" w:sz="0" w:space="0" w:color="auto"/>
        <w:left w:val="none" w:sz="0" w:space="0" w:color="auto"/>
        <w:bottom w:val="none" w:sz="0" w:space="0" w:color="auto"/>
        <w:right w:val="none" w:sz="0" w:space="0" w:color="auto"/>
      </w:divBdr>
    </w:div>
    <w:div w:id="865406587">
      <w:bodyDiv w:val="1"/>
      <w:marLeft w:val="0"/>
      <w:marRight w:val="0"/>
      <w:marTop w:val="0"/>
      <w:marBottom w:val="0"/>
      <w:divBdr>
        <w:top w:val="none" w:sz="0" w:space="0" w:color="auto"/>
        <w:left w:val="none" w:sz="0" w:space="0" w:color="auto"/>
        <w:bottom w:val="none" w:sz="0" w:space="0" w:color="auto"/>
        <w:right w:val="none" w:sz="0" w:space="0" w:color="auto"/>
      </w:divBdr>
    </w:div>
    <w:div w:id="871377704">
      <w:bodyDiv w:val="1"/>
      <w:marLeft w:val="0"/>
      <w:marRight w:val="0"/>
      <w:marTop w:val="0"/>
      <w:marBottom w:val="0"/>
      <w:divBdr>
        <w:top w:val="none" w:sz="0" w:space="0" w:color="auto"/>
        <w:left w:val="none" w:sz="0" w:space="0" w:color="auto"/>
        <w:bottom w:val="none" w:sz="0" w:space="0" w:color="auto"/>
        <w:right w:val="none" w:sz="0" w:space="0" w:color="auto"/>
      </w:divBdr>
    </w:div>
    <w:div w:id="872424671">
      <w:bodyDiv w:val="1"/>
      <w:marLeft w:val="0"/>
      <w:marRight w:val="0"/>
      <w:marTop w:val="0"/>
      <w:marBottom w:val="0"/>
      <w:divBdr>
        <w:top w:val="none" w:sz="0" w:space="0" w:color="auto"/>
        <w:left w:val="none" w:sz="0" w:space="0" w:color="auto"/>
        <w:bottom w:val="none" w:sz="0" w:space="0" w:color="auto"/>
        <w:right w:val="none" w:sz="0" w:space="0" w:color="auto"/>
      </w:divBdr>
    </w:div>
    <w:div w:id="890266422">
      <w:bodyDiv w:val="1"/>
      <w:marLeft w:val="0"/>
      <w:marRight w:val="0"/>
      <w:marTop w:val="0"/>
      <w:marBottom w:val="0"/>
      <w:divBdr>
        <w:top w:val="none" w:sz="0" w:space="0" w:color="auto"/>
        <w:left w:val="none" w:sz="0" w:space="0" w:color="auto"/>
        <w:bottom w:val="none" w:sz="0" w:space="0" w:color="auto"/>
        <w:right w:val="none" w:sz="0" w:space="0" w:color="auto"/>
      </w:divBdr>
    </w:div>
    <w:div w:id="903105629">
      <w:bodyDiv w:val="1"/>
      <w:marLeft w:val="0"/>
      <w:marRight w:val="0"/>
      <w:marTop w:val="0"/>
      <w:marBottom w:val="0"/>
      <w:divBdr>
        <w:top w:val="none" w:sz="0" w:space="0" w:color="auto"/>
        <w:left w:val="none" w:sz="0" w:space="0" w:color="auto"/>
        <w:bottom w:val="none" w:sz="0" w:space="0" w:color="auto"/>
        <w:right w:val="none" w:sz="0" w:space="0" w:color="auto"/>
      </w:divBdr>
    </w:div>
    <w:div w:id="967053013">
      <w:bodyDiv w:val="1"/>
      <w:marLeft w:val="0"/>
      <w:marRight w:val="0"/>
      <w:marTop w:val="0"/>
      <w:marBottom w:val="0"/>
      <w:divBdr>
        <w:top w:val="none" w:sz="0" w:space="0" w:color="auto"/>
        <w:left w:val="none" w:sz="0" w:space="0" w:color="auto"/>
        <w:bottom w:val="none" w:sz="0" w:space="0" w:color="auto"/>
        <w:right w:val="none" w:sz="0" w:space="0" w:color="auto"/>
      </w:divBdr>
    </w:div>
    <w:div w:id="1028993208">
      <w:bodyDiv w:val="1"/>
      <w:marLeft w:val="0"/>
      <w:marRight w:val="0"/>
      <w:marTop w:val="0"/>
      <w:marBottom w:val="0"/>
      <w:divBdr>
        <w:top w:val="none" w:sz="0" w:space="0" w:color="auto"/>
        <w:left w:val="none" w:sz="0" w:space="0" w:color="auto"/>
        <w:bottom w:val="none" w:sz="0" w:space="0" w:color="auto"/>
        <w:right w:val="none" w:sz="0" w:space="0" w:color="auto"/>
      </w:divBdr>
    </w:div>
    <w:div w:id="1066955713">
      <w:bodyDiv w:val="1"/>
      <w:marLeft w:val="0"/>
      <w:marRight w:val="0"/>
      <w:marTop w:val="0"/>
      <w:marBottom w:val="0"/>
      <w:divBdr>
        <w:top w:val="none" w:sz="0" w:space="0" w:color="auto"/>
        <w:left w:val="none" w:sz="0" w:space="0" w:color="auto"/>
        <w:bottom w:val="none" w:sz="0" w:space="0" w:color="auto"/>
        <w:right w:val="none" w:sz="0" w:space="0" w:color="auto"/>
      </w:divBdr>
    </w:div>
    <w:div w:id="1074741714">
      <w:bodyDiv w:val="1"/>
      <w:marLeft w:val="0"/>
      <w:marRight w:val="0"/>
      <w:marTop w:val="0"/>
      <w:marBottom w:val="0"/>
      <w:divBdr>
        <w:top w:val="none" w:sz="0" w:space="0" w:color="auto"/>
        <w:left w:val="none" w:sz="0" w:space="0" w:color="auto"/>
        <w:bottom w:val="none" w:sz="0" w:space="0" w:color="auto"/>
        <w:right w:val="none" w:sz="0" w:space="0" w:color="auto"/>
      </w:divBdr>
      <w:divsChild>
        <w:div w:id="323171073">
          <w:marLeft w:val="150"/>
          <w:marRight w:val="150"/>
          <w:marTop w:val="0"/>
          <w:marBottom w:val="0"/>
          <w:divBdr>
            <w:top w:val="none" w:sz="0" w:space="0" w:color="auto"/>
            <w:left w:val="none" w:sz="0" w:space="0" w:color="auto"/>
            <w:bottom w:val="none" w:sz="0" w:space="0" w:color="auto"/>
            <w:right w:val="none" w:sz="0" w:space="0" w:color="auto"/>
          </w:divBdr>
        </w:div>
      </w:divsChild>
    </w:div>
    <w:div w:id="1074939276">
      <w:bodyDiv w:val="1"/>
      <w:marLeft w:val="0"/>
      <w:marRight w:val="0"/>
      <w:marTop w:val="0"/>
      <w:marBottom w:val="0"/>
      <w:divBdr>
        <w:top w:val="none" w:sz="0" w:space="0" w:color="auto"/>
        <w:left w:val="none" w:sz="0" w:space="0" w:color="auto"/>
        <w:bottom w:val="none" w:sz="0" w:space="0" w:color="auto"/>
        <w:right w:val="none" w:sz="0" w:space="0" w:color="auto"/>
      </w:divBdr>
      <w:divsChild>
        <w:div w:id="1443064932">
          <w:marLeft w:val="0"/>
          <w:marRight w:val="0"/>
          <w:marTop w:val="0"/>
          <w:marBottom w:val="0"/>
          <w:divBdr>
            <w:top w:val="none" w:sz="0" w:space="0" w:color="auto"/>
            <w:left w:val="none" w:sz="0" w:space="0" w:color="auto"/>
            <w:bottom w:val="none" w:sz="0" w:space="0" w:color="auto"/>
            <w:right w:val="none" w:sz="0" w:space="0" w:color="auto"/>
          </w:divBdr>
        </w:div>
        <w:div w:id="1163351234">
          <w:marLeft w:val="0"/>
          <w:marRight w:val="0"/>
          <w:marTop w:val="0"/>
          <w:marBottom w:val="0"/>
          <w:divBdr>
            <w:top w:val="none" w:sz="0" w:space="0" w:color="auto"/>
            <w:left w:val="none" w:sz="0" w:space="0" w:color="auto"/>
            <w:bottom w:val="none" w:sz="0" w:space="0" w:color="auto"/>
            <w:right w:val="none" w:sz="0" w:space="0" w:color="auto"/>
          </w:divBdr>
          <w:divsChild>
            <w:div w:id="2030250559">
              <w:marLeft w:val="0"/>
              <w:marRight w:val="0"/>
              <w:marTop w:val="0"/>
              <w:marBottom w:val="405"/>
              <w:divBdr>
                <w:top w:val="single" w:sz="6" w:space="0" w:color="EFEFEF"/>
                <w:left w:val="none" w:sz="0" w:space="0" w:color="auto"/>
                <w:bottom w:val="single" w:sz="6" w:space="0" w:color="EFEFEF"/>
                <w:right w:val="none" w:sz="0" w:space="0" w:color="auto"/>
              </w:divBdr>
              <w:divsChild>
                <w:div w:id="1888447764">
                  <w:marLeft w:val="0"/>
                  <w:marRight w:val="0"/>
                  <w:marTop w:val="120"/>
                  <w:marBottom w:val="0"/>
                  <w:divBdr>
                    <w:top w:val="none" w:sz="0" w:space="0" w:color="auto"/>
                    <w:left w:val="none" w:sz="0" w:space="0" w:color="auto"/>
                    <w:bottom w:val="none" w:sz="0" w:space="0" w:color="auto"/>
                    <w:right w:val="none" w:sz="0" w:space="0" w:color="auto"/>
                  </w:divBdr>
                </w:div>
                <w:div w:id="449209347">
                  <w:marLeft w:val="-270"/>
                  <w:marRight w:val="0"/>
                  <w:marTop w:val="135"/>
                  <w:marBottom w:val="135"/>
                  <w:divBdr>
                    <w:top w:val="none" w:sz="0" w:space="0" w:color="auto"/>
                    <w:left w:val="none" w:sz="0" w:space="0" w:color="auto"/>
                    <w:bottom w:val="none" w:sz="0" w:space="0" w:color="auto"/>
                    <w:right w:val="none" w:sz="0" w:space="0" w:color="auto"/>
                  </w:divBdr>
                  <w:divsChild>
                    <w:div w:id="1629386986">
                      <w:marLeft w:val="270"/>
                      <w:marRight w:val="0"/>
                      <w:marTop w:val="0"/>
                      <w:marBottom w:val="0"/>
                      <w:divBdr>
                        <w:top w:val="none" w:sz="0" w:space="0" w:color="auto"/>
                        <w:left w:val="none" w:sz="0" w:space="0" w:color="auto"/>
                        <w:bottom w:val="none" w:sz="0" w:space="0" w:color="auto"/>
                        <w:right w:val="none" w:sz="0" w:space="0" w:color="auto"/>
                      </w:divBdr>
                      <w:divsChild>
                        <w:div w:id="915672334">
                          <w:marLeft w:val="0"/>
                          <w:marRight w:val="0"/>
                          <w:marTop w:val="0"/>
                          <w:marBottom w:val="0"/>
                          <w:divBdr>
                            <w:top w:val="none" w:sz="0" w:space="0" w:color="auto"/>
                            <w:left w:val="none" w:sz="0" w:space="0" w:color="auto"/>
                            <w:bottom w:val="none" w:sz="0" w:space="0" w:color="auto"/>
                            <w:right w:val="none" w:sz="0" w:space="0" w:color="auto"/>
                          </w:divBdr>
                        </w:div>
                      </w:divsChild>
                    </w:div>
                    <w:div w:id="1252081530">
                      <w:marLeft w:val="270"/>
                      <w:marRight w:val="0"/>
                      <w:marTop w:val="0"/>
                      <w:marBottom w:val="0"/>
                      <w:divBdr>
                        <w:top w:val="none" w:sz="0" w:space="0" w:color="auto"/>
                        <w:left w:val="none" w:sz="0" w:space="0" w:color="auto"/>
                        <w:bottom w:val="none" w:sz="0" w:space="0" w:color="auto"/>
                        <w:right w:val="none" w:sz="0" w:space="0" w:color="auto"/>
                      </w:divBdr>
                      <w:divsChild>
                        <w:div w:id="1204443174">
                          <w:marLeft w:val="0"/>
                          <w:marRight w:val="0"/>
                          <w:marTop w:val="0"/>
                          <w:marBottom w:val="0"/>
                          <w:divBdr>
                            <w:top w:val="none" w:sz="0" w:space="0" w:color="auto"/>
                            <w:left w:val="none" w:sz="0" w:space="0" w:color="auto"/>
                            <w:bottom w:val="none" w:sz="0" w:space="0" w:color="auto"/>
                            <w:right w:val="none" w:sz="0" w:space="0" w:color="auto"/>
                          </w:divBdr>
                        </w:div>
                      </w:divsChild>
                    </w:div>
                    <w:div w:id="390814997">
                      <w:marLeft w:val="270"/>
                      <w:marRight w:val="0"/>
                      <w:marTop w:val="0"/>
                      <w:marBottom w:val="0"/>
                      <w:divBdr>
                        <w:top w:val="none" w:sz="0" w:space="0" w:color="auto"/>
                        <w:left w:val="none" w:sz="0" w:space="0" w:color="auto"/>
                        <w:bottom w:val="none" w:sz="0" w:space="0" w:color="auto"/>
                        <w:right w:val="none" w:sz="0" w:space="0" w:color="auto"/>
                      </w:divBdr>
                      <w:divsChild>
                        <w:div w:id="9810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561431">
      <w:bodyDiv w:val="1"/>
      <w:marLeft w:val="0"/>
      <w:marRight w:val="0"/>
      <w:marTop w:val="0"/>
      <w:marBottom w:val="0"/>
      <w:divBdr>
        <w:top w:val="none" w:sz="0" w:space="0" w:color="auto"/>
        <w:left w:val="none" w:sz="0" w:space="0" w:color="auto"/>
        <w:bottom w:val="none" w:sz="0" w:space="0" w:color="auto"/>
        <w:right w:val="none" w:sz="0" w:space="0" w:color="auto"/>
      </w:divBdr>
    </w:div>
    <w:div w:id="1086655144">
      <w:bodyDiv w:val="1"/>
      <w:marLeft w:val="0"/>
      <w:marRight w:val="0"/>
      <w:marTop w:val="0"/>
      <w:marBottom w:val="0"/>
      <w:divBdr>
        <w:top w:val="none" w:sz="0" w:space="0" w:color="auto"/>
        <w:left w:val="none" w:sz="0" w:space="0" w:color="auto"/>
        <w:bottom w:val="none" w:sz="0" w:space="0" w:color="auto"/>
        <w:right w:val="none" w:sz="0" w:space="0" w:color="auto"/>
      </w:divBdr>
    </w:div>
    <w:div w:id="1138839561">
      <w:bodyDiv w:val="1"/>
      <w:marLeft w:val="0"/>
      <w:marRight w:val="0"/>
      <w:marTop w:val="0"/>
      <w:marBottom w:val="0"/>
      <w:divBdr>
        <w:top w:val="none" w:sz="0" w:space="0" w:color="auto"/>
        <w:left w:val="none" w:sz="0" w:space="0" w:color="auto"/>
        <w:bottom w:val="none" w:sz="0" w:space="0" w:color="auto"/>
        <w:right w:val="none" w:sz="0" w:space="0" w:color="auto"/>
      </w:divBdr>
    </w:div>
    <w:div w:id="1149175948">
      <w:bodyDiv w:val="1"/>
      <w:marLeft w:val="0"/>
      <w:marRight w:val="0"/>
      <w:marTop w:val="0"/>
      <w:marBottom w:val="0"/>
      <w:divBdr>
        <w:top w:val="none" w:sz="0" w:space="0" w:color="auto"/>
        <w:left w:val="none" w:sz="0" w:space="0" w:color="auto"/>
        <w:bottom w:val="none" w:sz="0" w:space="0" w:color="auto"/>
        <w:right w:val="none" w:sz="0" w:space="0" w:color="auto"/>
      </w:divBdr>
    </w:div>
    <w:div w:id="1168715680">
      <w:bodyDiv w:val="1"/>
      <w:marLeft w:val="0"/>
      <w:marRight w:val="0"/>
      <w:marTop w:val="0"/>
      <w:marBottom w:val="0"/>
      <w:divBdr>
        <w:top w:val="none" w:sz="0" w:space="0" w:color="auto"/>
        <w:left w:val="none" w:sz="0" w:space="0" w:color="auto"/>
        <w:bottom w:val="none" w:sz="0" w:space="0" w:color="auto"/>
        <w:right w:val="none" w:sz="0" w:space="0" w:color="auto"/>
      </w:divBdr>
    </w:div>
    <w:div w:id="1190728636">
      <w:bodyDiv w:val="1"/>
      <w:marLeft w:val="0"/>
      <w:marRight w:val="0"/>
      <w:marTop w:val="0"/>
      <w:marBottom w:val="0"/>
      <w:divBdr>
        <w:top w:val="none" w:sz="0" w:space="0" w:color="auto"/>
        <w:left w:val="none" w:sz="0" w:space="0" w:color="auto"/>
        <w:bottom w:val="none" w:sz="0" w:space="0" w:color="auto"/>
        <w:right w:val="none" w:sz="0" w:space="0" w:color="auto"/>
      </w:divBdr>
    </w:div>
    <w:div w:id="1213543688">
      <w:bodyDiv w:val="1"/>
      <w:marLeft w:val="0"/>
      <w:marRight w:val="0"/>
      <w:marTop w:val="0"/>
      <w:marBottom w:val="0"/>
      <w:divBdr>
        <w:top w:val="none" w:sz="0" w:space="0" w:color="auto"/>
        <w:left w:val="none" w:sz="0" w:space="0" w:color="auto"/>
        <w:bottom w:val="none" w:sz="0" w:space="0" w:color="auto"/>
        <w:right w:val="none" w:sz="0" w:space="0" w:color="auto"/>
      </w:divBdr>
    </w:div>
    <w:div w:id="1222063778">
      <w:bodyDiv w:val="1"/>
      <w:marLeft w:val="0"/>
      <w:marRight w:val="0"/>
      <w:marTop w:val="0"/>
      <w:marBottom w:val="0"/>
      <w:divBdr>
        <w:top w:val="none" w:sz="0" w:space="0" w:color="auto"/>
        <w:left w:val="none" w:sz="0" w:space="0" w:color="auto"/>
        <w:bottom w:val="none" w:sz="0" w:space="0" w:color="auto"/>
        <w:right w:val="none" w:sz="0" w:space="0" w:color="auto"/>
      </w:divBdr>
    </w:div>
    <w:div w:id="1232077007">
      <w:bodyDiv w:val="1"/>
      <w:marLeft w:val="0"/>
      <w:marRight w:val="0"/>
      <w:marTop w:val="0"/>
      <w:marBottom w:val="0"/>
      <w:divBdr>
        <w:top w:val="none" w:sz="0" w:space="0" w:color="auto"/>
        <w:left w:val="none" w:sz="0" w:space="0" w:color="auto"/>
        <w:bottom w:val="none" w:sz="0" w:space="0" w:color="auto"/>
        <w:right w:val="none" w:sz="0" w:space="0" w:color="auto"/>
      </w:divBdr>
    </w:div>
    <w:div w:id="1290824582">
      <w:bodyDiv w:val="1"/>
      <w:marLeft w:val="0"/>
      <w:marRight w:val="0"/>
      <w:marTop w:val="0"/>
      <w:marBottom w:val="0"/>
      <w:divBdr>
        <w:top w:val="none" w:sz="0" w:space="0" w:color="auto"/>
        <w:left w:val="none" w:sz="0" w:space="0" w:color="auto"/>
        <w:bottom w:val="none" w:sz="0" w:space="0" w:color="auto"/>
        <w:right w:val="none" w:sz="0" w:space="0" w:color="auto"/>
      </w:divBdr>
    </w:div>
    <w:div w:id="1300649215">
      <w:bodyDiv w:val="1"/>
      <w:marLeft w:val="0"/>
      <w:marRight w:val="0"/>
      <w:marTop w:val="0"/>
      <w:marBottom w:val="0"/>
      <w:divBdr>
        <w:top w:val="none" w:sz="0" w:space="0" w:color="auto"/>
        <w:left w:val="none" w:sz="0" w:space="0" w:color="auto"/>
        <w:bottom w:val="none" w:sz="0" w:space="0" w:color="auto"/>
        <w:right w:val="none" w:sz="0" w:space="0" w:color="auto"/>
      </w:divBdr>
    </w:div>
    <w:div w:id="1318221634">
      <w:bodyDiv w:val="1"/>
      <w:marLeft w:val="0"/>
      <w:marRight w:val="0"/>
      <w:marTop w:val="0"/>
      <w:marBottom w:val="0"/>
      <w:divBdr>
        <w:top w:val="none" w:sz="0" w:space="0" w:color="auto"/>
        <w:left w:val="none" w:sz="0" w:space="0" w:color="auto"/>
        <w:bottom w:val="none" w:sz="0" w:space="0" w:color="auto"/>
        <w:right w:val="none" w:sz="0" w:space="0" w:color="auto"/>
      </w:divBdr>
    </w:div>
    <w:div w:id="1323393529">
      <w:bodyDiv w:val="1"/>
      <w:marLeft w:val="0"/>
      <w:marRight w:val="0"/>
      <w:marTop w:val="0"/>
      <w:marBottom w:val="0"/>
      <w:divBdr>
        <w:top w:val="none" w:sz="0" w:space="0" w:color="auto"/>
        <w:left w:val="none" w:sz="0" w:space="0" w:color="auto"/>
        <w:bottom w:val="none" w:sz="0" w:space="0" w:color="auto"/>
        <w:right w:val="none" w:sz="0" w:space="0" w:color="auto"/>
      </w:divBdr>
    </w:div>
    <w:div w:id="1331256945">
      <w:bodyDiv w:val="1"/>
      <w:marLeft w:val="0"/>
      <w:marRight w:val="0"/>
      <w:marTop w:val="0"/>
      <w:marBottom w:val="0"/>
      <w:divBdr>
        <w:top w:val="none" w:sz="0" w:space="0" w:color="auto"/>
        <w:left w:val="none" w:sz="0" w:space="0" w:color="auto"/>
        <w:bottom w:val="none" w:sz="0" w:space="0" w:color="auto"/>
        <w:right w:val="none" w:sz="0" w:space="0" w:color="auto"/>
      </w:divBdr>
    </w:div>
    <w:div w:id="1342463483">
      <w:bodyDiv w:val="1"/>
      <w:marLeft w:val="0"/>
      <w:marRight w:val="0"/>
      <w:marTop w:val="0"/>
      <w:marBottom w:val="0"/>
      <w:divBdr>
        <w:top w:val="none" w:sz="0" w:space="0" w:color="auto"/>
        <w:left w:val="none" w:sz="0" w:space="0" w:color="auto"/>
        <w:bottom w:val="none" w:sz="0" w:space="0" w:color="auto"/>
        <w:right w:val="none" w:sz="0" w:space="0" w:color="auto"/>
      </w:divBdr>
    </w:div>
    <w:div w:id="1367023928">
      <w:bodyDiv w:val="1"/>
      <w:marLeft w:val="0"/>
      <w:marRight w:val="0"/>
      <w:marTop w:val="0"/>
      <w:marBottom w:val="0"/>
      <w:divBdr>
        <w:top w:val="none" w:sz="0" w:space="0" w:color="auto"/>
        <w:left w:val="none" w:sz="0" w:space="0" w:color="auto"/>
        <w:bottom w:val="none" w:sz="0" w:space="0" w:color="auto"/>
        <w:right w:val="none" w:sz="0" w:space="0" w:color="auto"/>
      </w:divBdr>
      <w:divsChild>
        <w:div w:id="269362277">
          <w:marLeft w:val="0"/>
          <w:marRight w:val="0"/>
          <w:marTop w:val="0"/>
          <w:marBottom w:val="0"/>
          <w:divBdr>
            <w:top w:val="none" w:sz="0" w:space="0" w:color="auto"/>
            <w:left w:val="none" w:sz="0" w:space="0" w:color="auto"/>
            <w:bottom w:val="none" w:sz="0" w:space="0" w:color="auto"/>
            <w:right w:val="none" w:sz="0" w:space="0" w:color="auto"/>
          </w:divBdr>
        </w:div>
        <w:div w:id="1491873767">
          <w:marLeft w:val="0"/>
          <w:marRight w:val="0"/>
          <w:marTop w:val="0"/>
          <w:marBottom w:val="0"/>
          <w:divBdr>
            <w:top w:val="none" w:sz="0" w:space="0" w:color="auto"/>
            <w:left w:val="none" w:sz="0" w:space="0" w:color="auto"/>
            <w:bottom w:val="none" w:sz="0" w:space="0" w:color="auto"/>
            <w:right w:val="none" w:sz="0" w:space="0" w:color="auto"/>
          </w:divBdr>
        </w:div>
      </w:divsChild>
    </w:div>
    <w:div w:id="1369374920">
      <w:bodyDiv w:val="1"/>
      <w:marLeft w:val="0"/>
      <w:marRight w:val="0"/>
      <w:marTop w:val="0"/>
      <w:marBottom w:val="0"/>
      <w:divBdr>
        <w:top w:val="none" w:sz="0" w:space="0" w:color="auto"/>
        <w:left w:val="none" w:sz="0" w:space="0" w:color="auto"/>
        <w:bottom w:val="none" w:sz="0" w:space="0" w:color="auto"/>
        <w:right w:val="none" w:sz="0" w:space="0" w:color="auto"/>
      </w:divBdr>
    </w:div>
    <w:div w:id="1389720299">
      <w:bodyDiv w:val="1"/>
      <w:marLeft w:val="0"/>
      <w:marRight w:val="0"/>
      <w:marTop w:val="0"/>
      <w:marBottom w:val="0"/>
      <w:divBdr>
        <w:top w:val="none" w:sz="0" w:space="0" w:color="auto"/>
        <w:left w:val="none" w:sz="0" w:space="0" w:color="auto"/>
        <w:bottom w:val="none" w:sz="0" w:space="0" w:color="auto"/>
        <w:right w:val="none" w:sz="0" w:space="0" w:color="auto"/>
      </w:divBdr>
    </w:div>
    <w:div w:id="1390226079">
      <w:bodyDiv w:val="1"/>
      <w:marLeft w:val="0"/>
      <w:marRight w:val="0"/>
      <w:marTop w:val="0"/>
      <w:marBottom w:val="0"/>
      <w:divBdr>
        <w:top w:val="none" w:sz="0" w:space="0" w:color="auto"/>
        <w:left w:val="none" w:sz="0" w:space="0" w:color="auto"/>
        <w:bottom w:val="none" w:sz="0" w:space="0" w:color="auto"/>
        <w:right w:val="none" w:sz="0" w:space="0" w:color="auto"/>
      </w:divBdr>
    </w:div>
    <w:div w:id="1395351895">
      <w:bodyDiv w:val="1"/>
      <w:marLeft w:val="0"/>
      <w:marRight w:val="0"/>
      <w:marTop w:val="0"/>
      <w:marBottom w:val="0"/>
      <w:divBdr>
        <w:top w:val="none" w:sz="0" w:space="0" w:color="auto"/>
        <w:left w:val="none" w:sz="0" w:space="0" w:color="auto"/>
        <w:bottom w:val="none" w:sz="0" w:space="0" w:color="auto"/>
        <w:right w:val="none" w:sz="0" w:space="0" w:color="auto"/>
      </w:divBdr>
    </w:div>
    <w:div w:id="1442534608">
      <w:bodyDiv w:val="1"/>
      <w:marLeft w:val="0"/>
      <w:marRight w:val="0"/>
      <w:marTop w:val="0"/>
      <w:marBottom w:val="0"/>
      <w:divBdr>
        <w:top w:val="none" w:sz="0" w:space="0" w:color="auto"/>
        <w:left w:val="none" w:sz="0" w:space="0" w:color="auto"/>
        <w:bottom w:val="none" w:sz="0" w:space="0" w:color="auto"/>
        <w:right w:val="none" w:sz="0" w:space="0" w:color="auto"/>
      </w:divBdr>
    </w:div>
    <w:div w:id="1457601982">
      <w:bodyDiv w:val="1"/>
      <w:marLeft w:val="0"/>
      <w:marRight w:val="0"/>
      <w:marTop w:val="0"/>
      <w:marBottom w:val="0"/>
      <w:divBdr>
        <w:top w:val="none" w:sz="0" w:space="0" w:color="auto"/>
        <w:left w:val="none" w:sz="0" w:space="0" w:color="auto"/>
        <w:bottom w:val="none" w:sz="0" w:space="0" w:color="auto"/>
        <w:right w:val="none" w:sz="0" w:space="0" w:color="auto"/>
      </w:divBdr>
    </w:div>
    <w:div w:id="1467701554">
      <w:bodyDiv w:val="1"/>
      <w:marLeft w:val="0"/>
      <w:marRight w:val="0"/>
      <w:marTop w:val="0"/>
      <w:marBottom w:val="0"/>
      <w:divBdr>
        <w:top w:val="none" w:sz="0" w:space="0" w:color="auto"/>
        <w:left w:val="none" w:sz="0" w:space="0" w:color="auto"/>
        <w:bottom w:val="none" w:sz="0" w:space="0" w:color="auto"/>
        <w:right w:val="none" w:sz="0" w:space="0" w:color="auto"/>
      </w:divBdr>
    </w:div>
    <w:div w:id="1564371261">
      <w:bodyDiv w:val="1"/>
      <w:marLeft w:val="0"/>
      <w:marRight w:val="0"/>
      <w:marTop w:val="0"/>
      <w:marBottom w:val="0"/>
      <w:divBdr>
        <w:top w:val="none" w:sz="0" w:space="0" w:color="auto"/>
        <w:left w:val="none" w:sz="0" w:space="0" w:color="auto"/>
        <w:bottom w:val="none" w:sz="0" w:space="0" w:color="auto"/>
        <w:right w:val="none" w:sz="0" w:space="0" w:color="auto"/>
      </w:divBdr>
    </w:div>
    <w:div w:id="1565918276">
      <w:bodyDiv w:val="1"/>
      <w:marLeft w:val="0"/>
      <w:marRight w:val="0"/>
      <w:marTop w:val="0"/>
      <w:marBottom w:val="0"/>
      <w:divBdr>
        <w:top w:val="none" w:sz="0" w:space="0" w:color="auto"/>
        <w:left w:val="none" w:sz="0" w:space="0" w:color="auto"/>
        <w:bottom w:val="none" w:sz="0" w:space="0" w:color="auto"/>
        <w:right w:val="none" w:sz="0" w:space="0" w:color="auto"/>
      </w:divBdr>
    </w:div>
    <w:div w:id="1583564488">
      <w:bodyDiv w:val="1"/>
      <w:marLeft w:val="0"/>
      <w:marRight w:val="0"/>
      <w:marTop w:val="0"/>
      <w:marBottom w:val="0"/>
      <w:divBdr>
        <w:top w:val="none" w:sz="0" w:space="0" w:color="auto"/>
        <w:left w:val="none" w:sz="0" w:space="0" w:color="auto"/>
        <w:bottom w:val="none" w:sz="0" w:space="0" w:color="auto"/>
        <w:right w:val="none" w:sz="0" w:space="0" w:color="auto"/>
      </w:divBdr>
    </w:div>
    <w:div w:id="1592621860">
      <w:bodyDiv w:val="1"/>
      <w:marLeft w:val="0"/>
      <w:marRight w:val="0"/>
      <w:marTop w:val="0"/>
      <w:marBottom w:val="0"/>
      <w:divBdr>
        <w:top w:val="none" w:sz="0" w:space="0" w:color="auto"/>
        <w:left w:val="none" w:sz="0" w:space="0" w:color="auto"/>
        <w:bottom w:val="none" w:sz="0" w:space="0" w:color="auto"/>
        <w:right w:val="none" w:sz="0" w:space="0" w:color="auto"/>
      </w:divBdr>
    </w:div>
    <w:div w:id="1625892164">
      <w:bodyDiv w:val="1"/>
      <w:marLeft w:val="0"/>
      <w:marRight w:val="0"/>
      <w:marTop w:val="0"/>
      <w:marBottom w:val="0"/>
      <w:divBdr>
        <w:top w:val="none" w:sz="0" w:space="0" w:color="auto"/>
        <w:left w:val="none" w:sz="0" w:space="0" w:color="auto"/>
        <w:bottom w:val="none" w:sz="0" w:space="0" w:color="auto"/>
        <w:right w:val="none" w:sz="0" w:space="0" w:color="auto"/>
      </w:divBdr>
    </w:div>
    <w:div w:id="1691026708">
      <w:bodyDiv w:val="1"/>
      <w:marLeft w:val="0"/>
      <w:marRight w:val="0"/>
      <w:marTop w:val="0"/>
      <w:marBottom w:val="0"/>
      <w:divBdr>
        <w:top w:val="none" w:sz="0" w:space="0" w:color="auto"/>
        <w:left w:val="none" w:sz="0" w:space="0" w:color="auto"/>
        <w:bottom w:val="none" w:sz="0" w:space="0" w:color="auto"/>
        <w:right w:val="none" w:sz="0" w:space="0" w:color="auto"/>
      </w:divBdr>
    </w:div>
    <w:div w:id="1693652318">
      <w:bodyDiv w:val="1"/>
      <w:marLeft w:val="0"/>
      <w:marRight w:val="0"/>
      <w:marTop w:val="0"/>
      <w:marBottom w:val="0"/>
      <w:divBdr>
        <w:top w:val="none" w:sz="0" w:space="0" w:color="auto"/>
        <w:left w:val="none" w:sz="0" w:space="0" w:color="auto"/>
        <w:bottom w:val="none" w:sz="0" w:space="0" w:color="auto"/>
        <w:right w:val="none" w:sz="0" w:space="0" w:color="auto"/>
      </w:divBdr>
    </w:div>
    <w:div w:id="1694922455">
      <w:bodyDiv w:val="1"/>
      <w:marLeft w:val="0"/>
      <w:marRight w:val="0"/>
      <w:marTop w:val="0"/>
      <w:marBottom w:val="0"/>
      <w:divBdr>
        <w:top w:val="none" w:sz="0" w:space="0" w:color="auto"/>
        <w:left w:val="none" w:sz="0" w:space="0" w:color="auto"/>
        <w:bottom w:val="none" w:sz="0" w:space="0" w:color="auto"/>
        <w:right w:val="none" w:sz="0" w:space="0" w:color="auto"/>
      </w:divBdr>
    </w:div>
    <w:div w:id="1765957029">
      <w:bodyDiv w:val="1"/>
      <w:marLeft w:val="0"/>
      <w:marRight w:val="0"/>
      <w:marTop w:val="0"/>
      <w:marBottom w:val="0"/>
      <w:divBdr>
        <w:top w:val="none" w:sz="0" w:space="0" w:color="auto"/>
        <w:left w:val="none" w:sz="0" w:space="0" w:color="auto"/>
        <w:bottom w:val="none" w:sz="0" w:space="0" w:color="auto"/>
        <w:right w:val="none" w:sz="0" w:space="0" w:color="auto"/>
      </w:divBdr>
    </w:div>
    <w:div w:id="1777944451">
      <w:bodyDiv w:val="1"/>
      <w:marLeft w:val="0"/>
      <w:marRight w:val="0"/>
      <w:marTop w:val="0"/>
      <w:marBottom w:val="0"/>
      <w:divBdr>
        <w:top w:val="none" w:sz="0" w:space="0" w:color="auto"/>
        <w:left w:val="none" w:sz="0" w:space="0" w:color="auto"/>
        <w:bottom w:val="none" w:sz="0" w:space="0" w:color="auto"/>
        <w:right w:val="none" w:sz="0" w:space="0" w:color="auto"/>
      </w:divBdr>
    </w:div>
    <w:div w:id="1791123411">
      <w:bodyDiv w:val="1"/>
      <w:marLeft w:val="0"/>
      <w:marRight w:val="0"/>
      <w:marTop w:val="0"/>
      <w:marBottom w:val="0"/>
      <w:divBdr>
        <w:top w:val="none" w:sz="0" w:space="0" w:color="auto"/>
        <w:left w:val="none" w:sz="0" w:space="0" w:color="auto"/>
        <w:bottom w:val="none" w:sz="0" w:space="0" w:color="auto"/>
        <w:right w:val="none" w:sz="0" w:space="0" w:color="auto"/>
      </w:divBdr>
    </w:div>
    <w:div w:id="1807967481">
      <w:bodyDiv w:val="1"/>
      <w:marLeft w:val="0"/>
      <w:marRight w:val="0"/>
      <w:marTop w:val="0"/>
      <w:marBottom w:val="0"/>
      <w:divBdr>
        <w:top w:val="none" w:sz="0" w:space="0" w:color="auto"/>
        <w:left w:val="none" w:sz="0" w:space="0" w:color="auto"/>
        <w:bottom w:val="none" w:sz="0" w:space="0" w:color="auto"/>
        <w:right w:val="none" w:sz="0" w:space="0" w:color="auto"/>
      </w:divBdr>
      <w:divsChild>
        <w:div w:id="1709716616">
          <w:marLeft w:val="0"/>
          <w:marRight w:val="0"/>
          <w:marTop w:val="0"/>
          <w:marBottom w:val="0"/>
          <w:divBdr>
            <w:top w:val="none" w:sz="0" w:space="0" w:color="auto"/>
            <w:left w:val="none" w:sz="0" w:space="0" w:color="auto"/>
            <w:bottom w:val="none" w:sz="0" w:space="0" w:color="auto"/>
            <w:right w:val="none" w:sz="0" w:space="0" w:color="auto"/>
          </w:divBdr>
          <w:divsChild>
            <w:div w:id="6158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8611">
      <w:bodyDiv w:val="1"/>
      <w:marLeft w:val="0"/>
      <w:marRight w:val="0"/>
      <w:marTop w:val="0"/>
      <w:marBottom w:val="0"/>
      <w:divBdr>
        <w:top w:val="none" w:sz="0" w:space="0" w:color="auto"/>
        <w:left w:val="none" w:sz="0" w:space="0" w:color="auto"/>
        <w:bottom w:val="none" w:sz="0" w:space="0" w:color="auto"/>
        <w:right w:val="none" w:sz="0" w:space="0" w:color="auto"/>
      </w:divBdr>
    </w:div>
    <w:div w:id="1890916559">
      <w:bodyDiv w:val="1"/>
      <w:marLeft w:val="0"/>
      <w:marRight w:val="0"/>
      <w:marTop w:val="0"/>
      <w:marBottom w:val="0"/>
      <w:divBdr>
        <w:top w:val="none" w:sz="0" w:space="0" w:color="auto"/>
        <w:left w:val="none" w:sz="0" w:space="0" w:color="auto"/>
        <w:bottom w:val="none" w:sz="0" w:space="0" w:color="auto"/>
        <w:right w:val="none" w:sz="0" w:space="0" w:color="auto"/>
      </w:divBdr>
    </w:div>
    <w:div w:id="1917546381">
      <w:bodyDiv w:val="1"/>
      <w:marLeft w:val="0"/>
      <w:marRight w:val="0"/>
      <w:marTop w:val="0"/>
      <w:marBottom w:val="0"/>
      <w:divBdr>
        <w:top w:val="none" w:sz="0" w:space="0" w:color="auto"/>
        <w:left w:val="none" w:sz="0" w:space="0" w:color="auto"/>
        <w:bottom w:val="none" w:sz="0" w:space="0" w:color="auto"/>
        <w:right w:val="none" w:sz="0" w:space="0" w:color="auto"/>
      </w:divBdr>
      <w:divsChild>
        <w:div w:id="77333063">
          <w:marLeft w:val="0"/>
          <w:marRight w:val="0"/>
          <w:marTop w:val="0"/>
          <w:marBottom w:val="0"/>
          <w:divBdr>
            <w:top w:val="none" w:sz="0" w:space="0" w:color="auto"/>
            <w:left w:val="none" w:sz="0" w:space="0" w:color="auto"/>
            <w:bottom w:val="none" w:sz="0" w:space="0" w:color="auto"/>
            <w:right w:val="none" w:sz="0" w:space="0" w:color="auto"/>
          </w:divBdr>
          <w:divsChild>
            <w:div w:id="4543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385">
      <w:bodyDiv w:val="1"/>
      <w:marLeft w:val="0"/>
      <w:marRight w:val="0"/>
      <w:marTop w:val="0"/>
      <w:marBottom w:val="0"/>
      <w:divBdr>
        <w:top w:val="none" w:sz="0" w:space="0" w:color="auto"/>
        <w:left w:val="none" w:sz="0" w:space="0" w:color="auto"/>
        <w:bottom w:val="none" w:sz="0" w:space="0" w:color="auto"/>
        <w:right w:val="none" w:sz="0" w:space="0" w:color="auto"/>
      </w:divBdr>
    </w:div>
    <w:div w:id="2037385929">
      <w:bodyDiv w:val="1"/>
      <w:marLeft w:val="0"/>
      <w:marRight w:val="0"/>
      <w:marTop w:val="0"/>
      <w:marBottom w:val="0"/>
      <w:divBdr>
        <w:top w:val="none" w:sz="0" w:space="0" w:color="auto"/>
        <w:left w:val="none" w:sz="0" w:space="0" w:color="auto"/>
        <w:bottom w:val="none" w:sz="0" w:space="0" w:color="auto"/>
        <w:right w:val="none" w:sz="0" w:space="0" w:color="auto"/>
      </w:divBdr>
    </w:div>
    <w:div w:id="21154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footer" Target="footer4.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3.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http://www.cfla.gov.lv/CFLA2/item.php?itemID=5"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LV/TXT/HTML/?uri=CELEX:32013D0634&amp;from=EN" TargetMode="External"/><Relationship Id="rId117" Type="http://schemas.openxmlformats.org/officeDocument/2006/relationships/hyperlink" Target="https://www.em.gov.lv/lv/es_fondi/atbalsta_pasakumi_2014_2020/mazo_un_videjo_komersantu_konkuretspejas_veicinasana/eksporta_kreditu_garantijas/" TargetMode="External"/><Relationship Id="rId21" Type="http://schemas.openxmlformats.org/officeDocument/2006/relationships/hyperlink" Target="https://eur-lex.europa.eu/legal-content/LV/TXT/PDF/?uri=CELEX:02003L0087-20180408&amp;qid=1533277840239&amp;from=LV" TargetMode="External"/><Relationship Id="rId42" Type="http://schemas.openxmlformats.org/officeDocument/2006/relationships/hyperlink" Target="http://polsis.mk.gov.lv/documents/4247" TargetMode="External"/><Relationship Id="rId47" Type="http://schemas.openxmlformats.org/officeDocument/2006/relationships/hyperlink" Target="https://eur-lex.europa.eu/legal-content/LV/TXT/?qid=1533109262415&amp;uri=CELEX:02010L0031-20180709" TargetMode="External"/><Relationship Id="rId63" Type="http://schemas.openxmlformats.org/officeDocument/2006/relationships/hyperlink" Target="https://www.em.gov.lv/lv/es_fondi/atbalsta_pasakumi_2014_2020/veicinat_efektivu_energoresursu_izmantosanu__energijas_paterina_samazinasanu_un_pareju_uz_aer_apstrades_rupniecibas_nozare__ii_karta_/" TargetMode="External"/><Relationship Id="rId68" Type="http://schemas.openxmlformats.org/officeDocument/2006/relationships/hyperlink" Target="http://polsis.mk.gov.lv/documents/3323" TargetMode="External"/><Relationship Id="rId84" Type="http://schemas.openxmlformats.org/officeDocument/2006/relationships/hyperlink" Target="http://www.liaa.gov.lv/lv/es-fondi/aktivitates-kuru-ieviesana-noslegusies/atjaunojamo-energoresursu-izmantojosu-kogeneracijas-elektrostciju-attistiba" TargetMode="External"/><Relationship Id="rId89" Type="http://schemas.openxmlformats.org/officeDocument/2006/relationships/hyperlink" Target="https://em.gov.lv/lv/es_fondi/atbalsta_pasakumi_2014_2020/veicinat_energoefektivitates_paaugstinasanu_dzivojamas_ekas/" TargetMode="External"/><Relationship Id="rId112" Type="http://schemas.openxmlformats.org/officeDocument/2006/relationships/hyperlink" Target="https://www.em.gov.lv/lv/es_fondi/atbalsta_pasakumi_2014_2020/mazo_un_videjo_komersantu_konkuretspejas_veicinasana/seklas_un_sakuma_kapitala_fondi/" TargetMode="External"/><Relationship Id="rId133" Type="http://schemas.openxmlformats.org/officeDocument/2006/relationships/hyperlink" Target="https://www.zm.gov.lv/zemkopibas-ministrija/statiskas-lapas/latvijas-lauku-attistibas-programma-2014-2020-gadam?id=14234" TargetMode="External"/><Relationship Id="rId16" Type="http://schemas.openxmlformats.org/officeDocument/2006/relationships/hyperlink" Target="https://likumi.lv/doc.php?id=74749" TargetMode="External"/><Relationship Id="rId107" Type="http://schemas.openxmlformats.org/officeDocument/2006/relationships/hyperlink" Target="http://www.cfla.gov.lv/lv/es-fondi-2014-2020/izsludinatas-atlases/1-2-2-3-atbalsts-ikt-un-netehnologiskam-apmacibam-ka-ari-apmacibam-lai-sekmetu-investoru-piesaisti" TargetMode="External"/><Relationship Id="rId11" Type="http://schemas.openxmlformats.org/officeDocument/2006/relationships/hyperlink" Target="http://data.consilium.europa.eu/doc/document/PE-48-2018-INIT/lv/pdf" TargetMode="External"/><Relationship Id="rId32" Type="http://schemas.openxmlformats.org/officeDocument/2006/relationships/hyperlink" Target="https://eur-lex.europa.eu/legal-content/LV/TXT/PDF/?uri=CELEX:32018R0842&amp;from=EN" TargetMode="External"/><Relationship Id="rId37" Type="http://schemas.openxmlformats.org/officeDocument/2006/relationships/hyperlink" Target="http://polsis.mk.gov.lv/documents/4711" TargetMode="External"/><Relationship Id="rId53" Type="http://schemas.openxmlformats.org/officeDocument/2006/relationships/hyperlink" Target="http://polsis.mk.gov.lv/documents/4608" TargetMode="External"/><Relationship Id="rId58" Type="http://schemas.openxmlformats.org/officeDocument/2006/relationships/hyperlink" Target="http://www.varam.gov.lv/lat/darbibas_veidi/zalais_publiskais_iepirkums/?doc=22769" TargetMode="External"/><Relationship Id="rId74" Type="http://schemas.openxmlformats.org/officeDocument/2006/relationships/hyperlink" Target="http://carbon-pulse.com/55059/" TargetMode="External"/><Relationship Id="rId79" Type="http://schemas.openxmlformats.org/officeDocument/2006/relationships/hyperlink" Target="https://www.em.gov.lv/files/nozares_politika/EMZino_AER_030518.pdf" TargetMode="External"/><Relationship Id="rId102" Type="http://schemas.openxmlformats.org/officeDocument/2006/relationships/hyperlink" Target="https://cfla.gov.lv/lv/es-fondi-2014-2020/izsludinatas-atlases/1-2-1-1-k-4" TargetMode="External"/><Relationship Id="rId123" Type="http://schemas.openxmlformats.org/officeDocument/2006/relationships/hyperlink" Target="http://polsis.mk.gov.lv/documents/4247" TargetMode="External"/><Relationship Id="rId128" Type="http://schemas.openxmlformats.org/officeDocument/2006/relationships/hyperlink" Target="http://polsis.mk.gov.lv/documents/4572" TargetMode="External"/><Relationship Id="rId5" Type="http://schemas.openxmlformats.org/officeDocument/2006/relationships/hyperlink" Target="https://eur-lex.europa.eu/legal-content/LV/TXT/PDF/?uri=CELEX:52011DC0112&amp;from=LV" TargetMode="External"/><Relationship Id="rId90" Type="http://schemas.openxmlformats.org/officeDocument/2006/relationships/hyperlink" Target="https://em.gov.lv/lv/es_fondi/atbalsta_pasakumi_2014_2020/veicinat_efektivu_energoresursu_izmantosanu__energijas_paterina_samazinasanu_un_pareju_uz_aer_apstrades_rupniecibas_nozare/" TargetMode="External"/><Relationship Id="rId95" Type="http://schemas.openxmlformats.org/officeDocument/2006/relationships/hyperlink" Target="http://ec.europa.eu/eurostat/statistics-explained/index.php/Natural_gas_price_statistics" TargetMode="External"/><Relationship Id="rId14" Type="http://schemas.openxmlformats.org/officeDocument/2006/relationships/hyperlink" Target="https://likumi.lv/doc.php?id=207119" TargetMode="External"/><Relationship Id="rId22" Type="http://schemas.openxmlformats.org/officeDocument/2006/relationships/hyperlink" Target="https://eur-lex.europa.eu/legal-content/LV/TXT/PDF/?uri=CELEX:32018R0841&amp;from=lv" TargetMode="External"/><Relationship Id="rId27" Type="http://schemas.openxmlformats.org/officeDocument/2006/relationships/hyperlink" Target="https://www.zm.gov.lv/zemkopibas-ministrija/statiskas-lapas/latvijas-lauku-attistibas-programma-2014-2020-gadam?id=14234" TargetMode="External"/><Relationship Id="rId30" Type="http://schemas.openxmlformats.org/officeDocument/2006/relationships/hyperlink" Target="http://polsis.mk.gov.lv/documents/4711" TargetMode="External"/><Relationship Id="rId35" Type="http://schemas.openxmlformats.org/officeDocument/2006/relationships/hyperlink" Target="https://eur-lex.europa.eu/legal-content/LV/TXT/HTML/?uri=CELEX:32013D0634&amp;from=EN" TargetMode="External"/><Relationship Id="rId43" Type="http://schemas.openxmlformats.org/officeDocument/2006/relationships/hyperlink" Target="https://eur-lex.europa.eu/legal-content/LV/TXT/?qid=1533109262415&amp;uri=CELEX:02010L0031-20180709" TargetMode="External"/><Relationship Id="rId48" Type="http://schemas.openxmlformats.org/officeDocument/2006/relationships/hyperlink" Target="http://www.ast.lv/sites/default/files/editor/Gada_parsk_2017_parakstits_Final_print_arvaku_.pdf" TargetMode="External"/><Relationship Id="rId56" Type="http://schemas.openxmlformats.org/officeDocument/2006/relationships/hyperlink" Target="https://www.ipcc-nggip.iges.or.jp/public/2006gl/" TargetMode="External"/><Relationship Id="rId64" Type="http://schemas.openxmlformats.org/officeDocument/2006/relationships/hyperlink" Target="https://www.cfla.gov.lv/CFLA2/item.php?itemID=40" TargetMode="External"/><Relationship Id="rId69" Type="http://schemas.openxmlformats.org/officeDocument/2006/relationships/hyperlink" Target="http://www.viaa.gov.lv/lat/pecdoktoranturas_atbalsts/pecdoktorantura_apraksts/" TargetMode="External"/><Relationship Id="rId77" Type="http://schemas.openxmlformats.org/officeDocument/2006/relationships/hyperlink" Target="http://cdr.eionet.europa.eu/lv/eu/mmr/art08_proxy/envw07vaw/" TargetMode="External"/><Relationship Id="rId100" Type="http://schemas.openxmlformats.org/officeDocument/2006/relationships/hyperlink" Target="https://www.cfla.gov.lv/lv/es-fondi-2014-2020/projektu-istenosana/1-2-1-1-atbalsts-jaunu-produktu-un-tehnologiju-izstradei-kompetences-centru-ietvaros-1-karta" TargetMode="External"/><Relationship Id="rId105" Type="http://schemas.openxmlformats.org/officeDocument/2006/relationships/hyperlink" Target="http://www.cfla.gov.lv/lv/es-fondi-2014-2020/izsludinatas-atlases/1-2-2-1-atbalsts-nodarbinato-apmacibam" TargetMode="External"/><Relationship Id="rId113" Type="http://schemas.openxmlformats.org/officeDocument/2006/relationships/hyperlink" Target="https://www.em.gov.lv/lv/es_fondi/atbalsta_pasakumi_2014_2020/mazo_un_videjo_komersantu_konkuretspejas_veicinasana/izaugsmes_kapitala_fondi/" TargetMode="External"/><Relationship Id="rId118" Type="http://schemas.openxmlformats.org/officeDocument/2006/relationships/hyperlink" Target="https://likumi.lv/ta/id/301891-par-valsts-petijumu-programmu-energetika" TargetMode="External"/><Relationship Id="rId126" Type="http://schemas.openxmlformats.org/officeDocument/2006/relationships/hyperlink" Target="http://polsis.mk.gov.lv/documents/5499" TargetMode="External"/><Relationship Id="rId134" Type="http://schemas.openxmlformats.org/officeDocument/2006/relationships/hyperlink" Target="http://polsis.mk.gov.lv/documents/5331" TargetMode="External"/><Relationship Id="rId8" Type="http://schemas.openxmlformats.org/officeDocument/2006/relationships/hyperlink" Target="http://polsis.mk.gov.lv/documents/3323" TargetMode="External"/><Relationship Id="rId51" Type="http://schemas.openxmlformats.org/officeDocument/2006/relationships/hyperlink" Target="http://polsis.mk.gov.lv/documents/4294" TargetMode="External"/><Relationship Id="rId72" Type="http://schemas.openxmlformats.org/officeDocument/2006/relationships/hyperlink" Target="http://s3platform.jrc.ec.europa.eu/home" TargetMode="External"/><Relationship Id="rId80" Type="http://schemas.openxmlformats.org/officeDocument/2006/relationships/hyperlink" Target="http://data1.csb.gov.lv/pxweb/lv/vide/vide__energetika__ikgad/ENG020.px" TargetMode="External"/><Relationship Id="rId85" Type="http://schemas.openxmlformats.org/officeDocument/2006/relationships/hyperlink" Target="https://em.gov.lv/lv/es_fondi/atbalsta_pasakumi_2014_2020/veicinat_energoefektivitati_un_vietejo_aer_izmantosanu_centralizetaja_siltumapgade/" TargetMode="External"/><Relationship Id="rId93" Type="http://schemas.openxmlformats.org/officeDocument/2006/relationships/hyperlink" Target="https://www.em.gov.lv/lv/nozares_politika/energoefektivitate_un_siltumapgade/zinojumi_eiropas_komisijai/" TargetMode="External"/><Relationship Id="rId98" Type="http://schemas.openxmlformats.org/officeDocument/2006/relationships/hyperlink" Target="https://ec.europa.eu/energy/sites/ener/files/documents/quarterly_report_on_european_gas_markets_q4_2017_final_20180323.pdf" TargetMode="External"/><Relationship Id="rId121" Type="http://schemas.openxmlformats.org/officeDocument/2006/relationships/hyperlink" Target="https://sciencelatvia.lv/" TargetMode="External"/><Relationship Id="rId3" Type="http://schemas.openxmlformats.org/officeDocument/2006/relationships/hyperlink" Target="http://data.consilium.europa.eu/doc/document/ST-14459-2015-INIT/lv/pdf" TargetMode="External"/><Relationship Id="rId12" Type="http://schemas.openxmlformats.org/officeDocument/2006/relationships/hyperlink" Target="http://data.consilium.europa.eu/doc/document/PE-54-2018-INIT/lv/pdf"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PDF/?uri=CELEX:32017D1471&amp;from=EN" TargetMode="External"/><Relationship Id="rId33" Type="http://schemas.openxmlformats.org/officeDocument/2006/relationships/hyperlink" Target="http://polsis.mk.gov.lv/documents/4711" TargetMode="External"/><Relationship Id="rId38" Type="http://schemas.openxmlformats.org/officeDocument/2006/relationships/hyperlink" Target="https://eur-lex.europa.eu/legal-content/LV/TXT/PDF/?uri=CELEX:32018R0841&amp;from=EN" TargetMode="External"/><Relationship Id="rId46" Type="http://schemas.openxmlformats.org/officeDocument/2006/relationships/hyperlink" Target="https://eur-lex.europa.eu/legal-content/LV/TXT/?qid=1533109262415&amp;uri=CELEX:02010L0031-20180709" TargetMode="External"/><Relationship Id="rId59" Type="http://schemas.openxmlformats.org/officeDocument/2006/relationships/hyperlink" Target="https://em.gov.lv/lv/es_fondi/atbalsta_pasakumi_2014_2020/veicinat_energoefektivitati_un_vietejo_aer_izmantosanu_centralizetaja_siltumapgade/" TargetMode="External"/><Relationship Id="rId67" Type="http://schemas.openxmlformats.org/officeDocument/2006/relationships/hyperlink" Target="https://em.gov.lv/lv/es_fondi/atbalsta_pasakumi_2014_2020/veicinat_energoefektivitates_paaugstinasanu_dzivojamas_ekas/" TargetMode="External"/><Relationship Id="rId103" Type="http://schemas.openxmlformats.org/officeDocument/2006/relationships/hyperlink" Target="http://cfla.gov.lv/lv/es-fondi-2014-2020/izsludinatas-atlases/1-2-1-2" TargetMode="External"/><Relationship Id="rId108" Type="http://schemas.openxmlformats.org/officeDocument/2006/relationships/hyperlink" Target="https://www.em.gov.lv/lv/es_fondi/atbalsta_pasakumi_2014_2020/mazo_un_videjo_komersantu_konkuretspejas_veicinasana/Mazo%20un%20vid%C4%93jo%20komersantu%20konkur%C4%93tsp%C4%93jas%20veicin%C4%81%C5%A1ana/" TargetMode="External"/><Relationship Id="rId116" Type="http://schemas.openxmlformats.org/officeDocument/2006/relationships/hyperlink" Target="https://www.em.gov.lv/lv/es_fondi/atbalsta_pasakumi_2014_2020/mazo_un_videjo_komersantu_konkuretspejas_veicinasana/aizdevumu_garantijas/" TargetMode="External"/><Relationship Id="rId124" Type="http://schemas.openxmlformats.org/officeDocument/2006/relationships/hyperlink" Target="http://polsis.mk.gov.lv/documents/4294" TargetMode="External"/><Relationship Id="rId129" Type="http://schemas.openxmlformats.org/officeDocument/2006/relationships/hyperlink" Target="http://polsis.mk.gov.lv/documents/6043" TargetMode="External"/><Relationship Id="rId137" Type="http://schemas.openxmlformats.org/officeDocument/2006/relationships/hyperlink" Target="https://eur-lex.europa.eu/legal-content/LV/TXT/PDF/?uri=CELEX:52014XC0628(01)&amp;from=CS" TargetMode="External"/><Relationship Id="rId20" Type="http://schemas.openxmlformats.org/officeDocument/2006/relationships/hyperlink" Target="http://tap.mk.gov.lv/lv/mk/tap/?dateFrom=2017-11-09&amp;dateTo=2018-11-09&amp;text=oglek%C4%BCa+maziet&amp;org=0&amp;area=0&amp;type=0" TargetMode="External"/><Relationship Id="rId41" Type="http://schemas.openxmlformats.org/officeDocument/2006/relationships/hyperlink" Target="https://ec.europa.eu/eurostat/tgm/table.do?tab=table&amp;init=1&amp;language=en&amp;pcode=sdg_08_10&amp;plugin=1" TargetMode="External"/><Relationship Id="rId54" Type="http://schemas.openxmlformats.org/officeDocument/2006/relationships/hyperlink" Target="http://polsis.mk.gov.lv/documents/3323" TargetMode="External"/><Relationship Id="rId62" Type="http://schemas.openxmlformats.org/officeDocument/2006/relationships/hyperlink" Target="https://em.gov.lv/lv/es_fondi/atbalsta_pasakumi_2014_2020/veicinat_efektivu_energoresursu_izmantosanu__energijas_paterina_samazinasanu_un_pareju_uz_aer_apstrades_rupniecibas_nozare/" TargetMode="External"/><Relationship Id="rId70" Type="http://schemas.openxmlformats.org/officeDocument/2006/relationships/hyperlink" Target="http://www.izm.gov.lv/images/ES_fondi/prezentacijas/1113.pdf" TargetMode="External"/><Relationship Id="rId75" Type="http://schemas.openxmlformats.org/officeDocument/2006/relationships/hyperlink" Target="http://polsis.mk.gov.lv/documents/6109" TargetMode="External"/><Relationship Id="rId83" Type="http://schemas.openxmlformats.org/officeDocument/2006/relationships/hyperlink" Target="http://www.liaa.gov.lv/lv/es-fondi/aktivitates-kuru-ieviesana-noslegusies" TargetMode="External"/><Relationship Id="rId88" Type="http://schemas.openxmlformats.org/officeDocument/2006/relationships/hyperlink" Target="https://em.gov.lv/lv/es_fondi/atbalsta_pasakumi_2014_2020/veicinat_energoefektivitates_paaugstinasanu_valsts_ekas__ii_karta_/" TargetMode="External"/><Relationship Id="rId91" Type="http://schemas.openxmlformats.org/officeDocument/2006/relationships/hyperlink" Target="https://www.em.gov.lv/lv/es_fondi/atbalsta_pasakumi_2014_2020/veicinat_efektivu_energoresursu_izmantosanu__energijas_paterina_samazinasanu_un_pareju_uz_aer_apstrades_rupniecibas_nozare__ii_karta_/" TargetMode="External"/><Relationship Id="rId96" Type="http://schemas.openxmlformats.org/officeDocument/2006/relationships/hyperlink" Target="http://ec.europa.eu/eurostat/data/database" TargetMode="External"/><Relationship Id="rId111" Type="http://schemas.openxmlformats.org/officeDocument/2006/relationships/hyperlink" Target="https://em.gov.lv/lv/es_fondi/atbalsta_pasakumi_2014_2020/klasteru_programma/" TargetMode="External"/><Relationship Id="rId132" Type="http://schemas.openxmlformats.org/officeDocument/2006/relationships/hyperlink" Target="http://polsis.mk.gov.lv/documents/4276"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c.europa.eu/clima/sites/clima/files/docs/pages/com_2018_733_en.pdf" TargetMode="External"/><Relationship Id="rId15" Type="http://schemas.openxmlformats.org/officeDocument/2006/relationships/hyperlink" Target="https://likumi.lv/doc.php?id=74746" TargetMode="External"/><Relationship Id="rId23" Type="http://schemas.openxmlformats.org/officeDocument/2006/relationships/hyperlink" Target="http://cdr.eionet.europa.eu/lv/eu/mmr/art07_inventory/ghg_inventory/envwu6qfa/" TargetMode="External"/><Relationship Id="rId28" Type="http://schemas.openxmlformats.org/officeDocument/2006/relationships/hyperlink" Target="http://polsis.mk.gov.lv/documents/5331" TargetMode="External"/><Relationship Id="rId36" Type="http://schemas.openxmlformats.org/officeDocument/2006/relationships/hyperlink" Target="http://www.varam.gov.lv/lat/pol/ppd/vide/?doc=17913" TargetMode="External"/><Relationship Id="rId49" Type="http://schemas.openxmlformats.org/officeDocument/2006/relationships/hyperlink" Target="https://www.em.gov.lv/lv/nozares_politika/valsts_petijumu_programma__energetika_/" TargetMode="External"/><Relationship Id="rId57" Type="http://schemas.openxmlformats.org/officeDocument/2006/relationships/hyperlink" Target="https://likumi.lv/ta/id/291867-prasibas-zalajam-publiskajam-iepirkumam-un-to-piemerosanas-kartiba" TargetMode="External"/><Relationship Id="rId106" Type="http://schemas.openxmlformats.org/officeDocument/2006/relationships/hyperlink" Target="http://cfla.gov.lv/lv/es-fondi-2014-2020/izsludinatas-atlases/1-2-2-2-inovaciju-motivacijas-programma" TargetMode="External"/><Relationship Id="rId114" Type="http://schemas.openxmlformats.org/officeDocument/2006/relationships/hyperlink" Target="https://www.em.gov.lv/lv/es_fondi/atbalsta_pasakumi_2014_2020/mazo_un_videjo_komersantu_konkuretspejas_veicinasana/paralelie_aizdevumi/" TargetMode="External"/><Relationship Id="rId119" Type="http://schemas.openxmlformats.org/officeDocument/2006/relationships/hyperlink" Target="https://www.em.gov.lv/lv/nozares_politika/valsts_petijumu_programma__energetika_/" TargetMode="External"/><Relationship Id="rId127" Type="http://schemas.openxmlformats.org/officeDocument/2006/relationships/hyperlink" Target="http://polsis.mk.gov.lv/documents/5921" TargetMode="External"/><Relationship Id="rId10" Type="http://schemas.openxmlformats.org/officeDocument/2006/relationships/hyperlink" Target="https://eur-lex.europa.eu/legal-content/LV/TXT/PDF/?uri=CELEX:52011DC0112&amp;from=LV" TargetMode="External"/><Relationship Id="rId31" Type="http://schemas.openxmlformats.org/officeDocument/2006/relationships/hyperlink" Target="https://eur-lex.europa.eu/legal-content/LV/TXT/PDF/?uri=CELEX:32009D0406&amp;from=EN" TargetMode="External"/><Relationship Id="rId44" Type="http://schemas.openxmlformats.org/officeDocument/2006/relationships/hyperlink" Target="http://polsis.mk.gov.lv/documents/6043" TargetMode="External"/><Relationship Id="rId52" Type="http://schemas.openxmlformats.org/officeDocument/2006/relationships/hyperlink" Target="http://tap.mk.gov.lv/lv/mk/tap/?pid=40334802&amp;mode=mk&amp;date=2014-10-21" TargetMode="External"/><Relationship Id="rId60" Type="http://schemas.openxmlformats.org/officeDocument/2006/relationships/hyperlink" Target="https://em.gov.lv/lv/es_fondi/atbalsta_pasakumi_2014_2020/veicinat_energoefektivitati_un_vietejo_aer_izmantosanu_centralizetaja_siltumapgade__ii_karta_" TargetMode="External"/><Relationship Id="rId65" Type="http://schemas.openxmlformats.org/officeDocument/2006/relationships/hyperlink" Target="https://em.gov.lv/lv/es_fondi/atbalsta_pasakumi_2014_2020/veicinat_energoefektivitates_paaugstinasanu_valsts_ekas" TargetMode="External"/><Relationship Id="rId73" Type="http://schemas.openxmlformats.org/officeDocument/2006/relationships/hyperlink" Target="https://eur-lex.europa.eu/legal-content/LV/TXT/HTML/?uri=CELEX:52018PC0372&amp;from=EN" TargetMode="External"/><Relationship Id="rId78" Type="http://schemas.openxmlformats.org/officeDocument/2006/relationships/hyperlink" Target="https://ec.europa.eu/energy/sites/ener/files/documents/dir_2009_0028_action_plan_latvia.zip" TargetMode="External"/><Relationship Id="rId81" Type="http://schemas.openxmlformats.org/officeDocument/2006/relationships/hyperlink" Target="http://elektrifikacija.ldz.lv/" TargetMode="External"/><Relationship Id="rId86" Type="http://schemas.openxmlformats.org/officeDocument/2006/relationships/hyperlink" Target="https://em.gov.lv/lv/es_fondi/atbalsta_pasakumi_2014_2020/veicinat_energoefektivitati_un_vietejo_aer_izmantosanu_centralizetaja_siltumapgade__ii_karta_" TargetMode="External"/><Relationship Id="rId94" Type="http://schemas.openxmlformats.org/officeDocument/2006/relationships/hyperlink" Target="http://www.conexus.lv/uploads/filedir/parvades_operatora_zinojums_2018.pdf" TargetMode="External"/><Relationship Id="rId99" Type="http://schemas.openxmlformats.org/officeDocument/2006/relationships/hyperlink" Target="https://www.iub.gov.lv/lv/iubsearch/q/dabasg%C4%81ze/" TargetMode="External"/><Relationship Id="rId101" Type="http://schemas.openxmlformats.org/officeDocument/2006/relationships/hyperlink" Target="http://www.cfla.gov.lv/lv/es-fondi-2014-2020/izsludinatas-atlases/1-2-1-1-atbalsts-jaunu-produktu-un-tehnologiju-izstradei-kompetences-centru-ietvaros-2-karta" TargetMode="External"/><Relationship Id="rId122" Type="http://schemas.openxmlformats.org/officeDocument/2006/relationships/hyperlink" Target="http://polsis.mk.gov.lv/documents/3323" TargetMode="External"/><Relationship Id="rId130" Type="http://schemas.openxmlformats.org/officeDocument/2006/relationships/hyperlink" Target="http://www.varam.gov.lv/lat/pol/ppd/vide/?doc=17913" TargetMode="External"/><Relationship Id="rId135" Type="http://schemas.openxmlformats.org/officeDocument/2006/relationships/hyperlink" Target="http://polsis.mk.gov.lv/documents/4607" TargetMode="External"/><Relationship Id="rId4" Type="http://schemas.openxmlformats.org/officeDocument/2006/relationships/hyperlink" Target="http://data.consilium.europa.eu/doc/document/PE-55-2018-INIT/lv/pdf" TargetMode="External"/><Relationship Id="rId9" Type="http://schemas.openxmlformats.org/officeDocument/2006/relationships/hyperlink" Target="http://polsis.mk.gov.lv/documents/4849" TargetMode="External"/><Relationship Id="rId13" Type="http://schemas.openxmlformats.org/officeDocument/2006/relationships/hyperlink" Target="http://polsis.mk.gov.lv/documents/4711" TargetMode="External"/><Relationship Id="rId18" Type="http://schemas.openxmlformats.org/officeDocument/2006/relationships/hyperlink" Target="https://likumi.lv/doc.php?id=228051" TargetMode="External"/><Relationship Id="rId39" Type="http://schemas.openxmlformats.org/officeDocument/2006/relationships/hyperlink" Target="https://eur-lex.europa.eu/legal-content/EN/TXT/PDF/?uri=CONSIL:ST_10308_2018_INIT&amp;from=LV" TargetMode="External"/><Relationship Id="rId109" Type="http://schemas.openxmlformats.org/officeDocument/2006/relationships/hyperlink" Target="http://cfla.gov.lv/lv/es-fondi-2014-2020/projektu-istenosana/3-1-1-6-regionalie-biznesa-inkubatori-un-radoso-industriju-inkubators" TargetMode="External"/><Relationship Id="rId34" Type="http://schemas.openxmlformats.org/officeDocument/2006/relationships/hyperlink" Target="https://eur-lex.europa.eu/legal-content/LV/TXT/PDF/?uri=CELEX:32017D1471&amp;from=EN" TargetMode="External"/><Relationship Id="rId50" Type="http://schemas.openxmlformats.org/officeDocument/2006/relationships/hyperlink" Target="http://polsis.mk.gov.lv/documents/3323" TargetMode="External"/><Relationship Id="rId55" Type="http://schemas.openxmlformats.org/officeDocument/2006/relationships/hyperlink" Target="http://www.vvd.gov.lv/filedownload?tabula=Document&amp;id=122216&amp;filename=EMISIJA-2017.7z" TargetMode="External"/><Relationship Id="rId76" Type="http://schemas.openxmlformats.org/officeDocument/2006/relationships/hyperlink" Target="http://cdr.eionet.europa.eu/lv/eu/mmr/art07_inventory/ghg_inventory/envwu6qfa/" TargetMode="External"/><Relationship Id="rId97" Type="http://schemas.openxmlformats.org/officeDocument/2006/relationships/hyperlink" Target="https://ec.europa.eu/energy/en/data-analysis/market-analysis" TargetMode="External"/><Relationship Id="rId104" Type="http://schemas.openxmlformats.org/officeDocument/2006/relationships/hyperlink" Target="https://em.gov.lv/lv/es_fondi/atbalsta_pasakumi_2014_2020/jaunu_produktu_ieviesanas_razosana/" TargetMode="External"/><Relationship Id="rId120" Type="http://schemas.openxmlformats.org/officeDocument/2006/relationships/hyperlink" Target="https://worldwide.espacenet.com/" TargetMode="External"/><Relationship Id="rId125" Type="http://schemas.openxmlformats.org/officeDocument/2006/relationships/hyperlink" Target="http://polsis.mk.gov.lv/documents/4849" TargetMode="External"/><Relationship Id="rId7" Type="http://schemas.openxmlformats.org/officeDocument/2006/relationships/hyperlink" Target="https://likumi.lv/doc.php?id=175748" TargetMode="External"/><Relationship Id="rId71" Type="http://schemas.openxmlformats.org/officeDocument/2006/relationships/hyperlink" Target="https://ec.europa.eu/commission/publications/research-and-innovation-including-horizon-europe-iter-and-euratom-legal-texts-and-factsheets_en" TargetMode="External"/><Relationship Id="rId92" Type="http://schemas.openxmlformats.org/officeDocument/2006/relationships/hyperlink" Target="https://www.cfla.gov.lv/CFLA2/item.php?itemID=40" TargetMode="External"/><Relationship Id="rId2" Type="http://schemas.openxmlformats.org/officeDocument/2006/relationships/hyperlink" Target="http://data.consilium.europa.eu/doc/document/ST-169-2014-INIT/lv/pdf" TargetMode="External"/><Relationship Id="rId29" Type="http://schemas.openxmlformats.org/officeDocument/2006/relationships/hyperlink" Target="http://polsis.mk.gov.lv/documents/3323" TargetMode="External"/><Relationship Id="rId24" Type="http://schemas.openxmlformats.org/officeDocument/2006/relationships/hyperlink" Target="http://cdr.eionet.europa.eu/lv/eu/mmr/art08_proxy/envw07vaw/" TargetMode="External"/><Relationship Id="rId40" Type="http://schemas.openxmlformats.org/officeDocument/2006/relationships/hyperlink" Target="https://eur-lex.europa.eu/legal-content/EN/TXT/PDF/?uri=CONSIL:ST_10308_2018_COR_1&amp;from=LV" TargetMode="External"/><Relationship Id="rId45" Type="http://schemas.openxmlformats.org/officeDocument/2006/relationships/hyperlink" Target="http://polsis.mk.gov.lv/documents/6043" TargetMode="External"/><Relationship Id="rId66" Type="http://schemas.openxmlformats.org/officeDocument/2006/relationships/hyperlink" Target="https://em.gov.lv/lv/es_fondi/atbalsta_pasakumi_2014_2020/veicinat_energoefektivitates_paaugstinasanu_valsts_ekas__ii_karta_/" TargetMode="External"/><Relationship Id="rId87" Type="http://schemas.openxmlformats.org/officeDocument/2006/relationships/hyperlink" Target="https://em.gov.lv/lv/es_fondi/atbalsta_pasakumi_2014_2020/veicinat_energoefektivitates_paaugstinasanu_valsts_ekas" TargetMode="External"/><Relationship Id="rId110" Type="http://schemas.openxmlformats.org/officeDocument/2006/relationships/hyperlink" Target="http://www.cfla.gov.lv/lv/es-fondi-2014-2020/izsludinatas-atlases/3-2-1-2" TargetMode="External"/><Relationship Id="rId115" Type="http://schemas.openxmlformats.org/officeDocument/2006/relationships/hyperlink" Target="https://www.em.gov.lv/lv/es_fondi/atbalsta_pasakumi_2014_2020/mazo_un_videjo_komersantu_konkuretspejas_veicinasana/mikrokreditesana_un_aizdevumi_biznesa_uzsacejiem/" TargetMode="External"/><Relationship Id="rId131" Type="http://schemas.openxmlformats.org/officeDocument/2006/relationships/hyperlink" Target="http://polsis.mk.gov.lv/documents/5893" TargetMode="External"/><Relationship Id="rId136" Type="http://schemas.openxmlformats.org/officeDocument/2006/relationships/hyperlink" Target="http://polsis.mk.gov.lv/documents/5893" TargetMode="External"/><Relationship Id="rId61" Type="http://schemas.openxmlformats.org/officeDocument/2006/relationships/hyperlink" Target="https://www.em.gov.lv/lv/nozares_politika/valsts_petijumu_programma__energetika_/" TargetMode="External"/><Relationship Id="rId82" Type="http://schemas.openxmlformats.org/officeDocument/2006/relationships/hyperlink" Target="https://ec.europa.eu/energy/sites/ener/files/documents/lv_annual_report_2018_lv.pdf" TargetMode="External"/><Relationship Id="rId19" Type="http://schemas.openxmlformats.org/officeDocument/2006/relationships/hyperlink" Target="https://em.gov.lv/lv/par_ministriju/notikumu_kalendars/21866-konference-nacionalais-energetikas-un-klimata-plans-2021-2030gadam-energetikas-attistiba-un-klimata-parmainu-mazinas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F9B61-1224-4331-8DB1-59872561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211</Pages>
  <Words>281312</Words>
  <Characters>160349</Characters>
  <Application>Microsoft Office Word</Application>
  <DocSecurity>0</DocSecurity>
  <Lines>1336</Lines>
  <Paragraphs>881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440780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Rimša</dc:creator>
  <cp:keywords/>
  <dc:description/>
  <cp:lastModifiedBy>Helēna Rimša</cp:lastModifiedBy>
  <cp:revision>6</cp:revision>
  <cp:lastPrinted>2018-12-19T10:01:00Z</cp:lastPrinted>
  <dcterms:created xsi:type="dcterms:W3CDTF">2018-12-19T06:00:00Z</dcterms:created>
  <dcterms:modified xsi:type="dcterms:W3CDTF">2018-12-19T10:40:00Z</dcterms:modified>
</cp:coreProperties>
</file>