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557" w:rsidRPr="003949EA" w:rsidRDefault="000C4557" w:rsidP="000C4557">
      <w:pPr>
        <w:spacing w:after="0"/>
        <w:rPr>
          <w:rFonts w:ascii="Times New Roman" w:hAnsi="Times New Roman" w:cs="Times New Roman"/>
          <w:b/>
          <w:sz w:val="28"/>
          <w:szCs w:val="28"/>
        </w:rPr>
      </w:pPr>
    </w:p>
    <w:p w:rsidR="000C4557" w:rsidRDefault="000C4557" w:rsidP="000C4557">
      <w:pPr>
        <w:spacing w:after="0"/>
        <w:jc w:val="center"/>
        <w:rPr>
          <w:rFonts w:ascii="Times New Roman" w:hAnsi="Times New Roman" w:cs="Times New Roman"/>
          <w:b/>
          <w:sz w:val="28"/>
          <w:szCs w:val="28"/>
        </w:rPr>
      </w:pPr>
    </w:p>
    <w:p w:rsidR="00E410EB" w:rsidRPr="003949EA" w:rsidRDefault="00E410EB" w:rsidP="000C4557">
      <w:pPr>
        <w:spacing w:after="0"/>
        <w:jc w:val="center"/>
        <w:rPr>
          <w:rFonts w:ascii="Times New Roman" w:hAnsi="Times New Roman" w:cs="Times New Roman"/>
          <w:b/>
          <w:sz w:val="28"/>
          <w:szCs w:val="28"/>
        </w:rPr>
      </w:pPr>
    </w:p>
    <w:p w:rsidR="00220B5B" w:rsidRPr="003949EA" w:rsidRDefault="00220B5B" w:rsidP="000C4557">
      <w:pPr>
        <w:spacing w:after="0"/>
        <w:jc w:val="center"/>
        <w:rPr>
          <w:rFonts w:ascii="Times New Roman" w:hAnsi="Times New Roman" w:cs="Times New Roman"/>
          <w:b/>
          <w:sz w:val="28"/>
          <w:szCs w:val="28"/>
        </w:rPr>
      </w:pPr>
    </w:p>
    <w:p w:rsidR="00220B5B" w:rsidRPr="003949EA" w:rsidRDefault="00220B5B" w:rsidP="000C4557">
      <w:pPr>
        <w:spacing w:after="0"/>
        <w:jc w:val="center"/>
        <w:rPr>
          <w:rFonts w:ascii="Times New Roman" w:hAnsi="Times New Roman" w:cs="Times New Roman"/>
          <w:b/>
          <w:sz w:val="28"/>
          <w:szCs w:val="28"/>
        </w:rPr>
      </w:pPr>
    </w:p>
    <w:p w:rsidR="00220B5B" w:rsidRPr="003949EA" w:rsidRDefault="00220B5B" w:rsidP="000C4557">
      <w:pPr>
        <w:spacing w:after="0"/>
        <w:jc w:val="center"/>
        <w:rPr>
          <w:rFonts w:ascii="Times New Roman" w:hAnsi="Times New Roman" w:cs="Times New Roman"/>
          <w:b/>
          <w:sz w:val="28"/>
          <w:szCs w:val="28"/>
        </w:rPr>
      </w:pPr>
    </w:p>
    <w:p w:rsidR="00220B5B" w:rsidRPr="003949EA" w:rsidRDefault="00220B5B" w:rsidP="000C4557">
      <w:pPr>
        <w:spacing w:after="0"/>
        <w:jc w:val="center"/>
        <w:rPr>
          <w:rFonts w:ascii="Times New Roman" w:hAnsi="Times New Roman" w:cs="Times New Roman"/>
          <w:b/>
          <w:sz w:val="28"/>
          <w:szCs w:val="28"/>
        </w:rPr>
      </w:pPr>
    </w:p>
    <w:p w:rsidR="00220B5B" w:rsidRPr="003949EA" w:rsidRDefault="00220B5B" w:rsidP="000C4557">
      <w:pPr>
        <w:spacing w:after="0"/>
        <w:jc w:val="center"/>
        <w:rPr>
          <w:rFonts w:ascii="Times New Roman" w:hAnsi="Times New Roman" w:cs="Times New Roman"/>
          <w:b/>
          <w:sz w:val="28"/>
          <w:szCs w:val="28"/>
        </w:rPr>
      </w:pPr>
    </w:p>
    <w:p w:rsidR="00220B5B" w:rsidRPr="003949EA" w:rsidRDefault="00220B5B" w:rsidP="000C4557">
      <w:pPr>
        <w:spacing w:after="0"/>
        <w:jc w:val="center"/>
        <w:rPr>
          <w:rFonts w:ascii="Times New Roman" w:hAnsi="Times New Roman" w:cs="Times New Roman"/>
          <w:b/>
          <w:sz w:val="28"/>
          <w:szCs w:val="28"/>
        </w:rPr>
      </w:pPr>
    </w:p>
    <w:p w:rsidR="000C4557" w:rsidRPr="003C1B12" w:rsidRDefault="000C4557" w:rsidP="000C4557">
      <w:pPr>
        <w:spacing w:after="0" w:line="240" w:lineRule="auto"/>
        <w:jc w:val="center"/>
        <w:rPr>
          <w:rFonts w:ascii="Times New Roman" w:eastAsia="Calibri" w:hAnsi="Times New Roman" w:cs="Times New Roman"/>
          <w:b/>
          <w:sz w:val="36"/>
          <w:szCs w:val="36"/>
        </w:rPr>
      </w:pPr>
      <w:r w:rsidRPr="003C1B12">
        <w:rPr>
          <w:rFonts w:ascii="Times New Roman" w:eastAsia="Calibri" w:hAnsi="Times New Roman" w:cs="Times New Roman"/>
          <w:b/>
          <w:sz w:val="36"/>
          <w:szCs w:val="36"/>
        </w:rPr>
        <w:t>1.2.</w:t>
      </w:r>
      <w:r w:rsidR="00E12EB3" w:rsidRPr="003C1B12">
        <w:rPr>
          <w:rFonts w:ascii="Times New Roman" w:eastAsia="Calibri" w:hAnsi="Times New Roman" w:cs="Times New Roman"/>
          <w:b/>
          <w:sz w:val="36"/>
          <w:szCs w:val="36"/>
        </w:rPr>
        <w:t>1</w:t>
      </w:r>
      <w:r w:rsidRPr="003C1B12">
        <w:rPr>
          <w:rFonts w:ascii="Times New Roman" w:eastAsia="Calibri" w:hAnsi="Times New Roman" w:cs="Times New Roman"/>
          <w:b/>
          <w:sz w:val="36"/>
          <w:szCs w:val="36"/>
        </w:rPr>
        <w:t xml:space="preserve">.specifiskā atbalsta mērķa </w:t>
      </w:r>
    </w:p>
    <w:p w:rsidR="000C4557" w:rsidRPr="003C1B12" w:rsidRDefault="000C4557" w:rsidP="000C4557">
      <w:pPr>
        <w:spacing w:after="0" w:line="240" w:lineRule="auto"/>
        <w:jc w:val="center"/>
        <w:rPr>
          <w:rFonts w:ascii="Times New Roman" w:eastAsia="Calibri" w:hAnsi="Times New Roman" w:cs="Times New Roman"/>
          <w:b/>
          <w:sz w:val="36"/>
          <w:szCs w:val="36"/>
        </w:rPr>
      </w:pPr>
      <w:r w:rsidRPr="003C1B12">
        <w:rPr>
          <w:rFonts w:ascii="Times New Roman" w:eastAsia="Calibri" w:hAnsi="Times New Roman" w:cs="Times New Roman"/>
          <w:b/>
          <w:sz w:val="36"/>
          <w:szCs w:val="36"/>
        </w:rPr>
        <w:t>„</w:t>
      </w:r>
      <w:r w:rsidR="00E12EB3" w:rsidRPr="003C1B12">
        <w:rPr>
          <w:rFonts w:ascii="Times New Roman" w:eastAsia="Calibri" w:hAnsi="Times New Roman" w:cs="Times New Roman"/>
          <w:b/>
          <w:color w:val="000000"/>
          <w:sz w:val="36"/>
          <w:szCs w:val="36"/>
          <w:lang w:eastAsia="lv-LV"/>
        </w:rPr>
        <w:t>Palielināt privātā sektora investīcijas P&amp;A</w:t>
      </w:r>
      <w:r w:rsidRPr="003C1B12">
        <w:rPr>
          <w:rFonts w:ascii="Times New Roman" w:eastAsia="Calibri" w:hAnsi="Times New Roman" w:cs="Times New Roman"/>
          <w:b/>
          <w:sz w:val="36"/>
          <w:szCs w:val="36"/>
        </w:rPr>
        <w:t xml:space="preserve">” </w:t>
      </w:r>
    </w:p>
    <w:p w:rsidR="000C4557" w:rsidRPr="003C1B12" w:rsidRDefault="000C4557" w:rsidP="000C4557">
      <w:pPr>
        <w:spacing w:after="0" w:line="240" w:lineRule="auto"/>
        <w:jc w:val="center"/>
        <w:rPr>
          <w:rFonts w:ascii="Times New Roman" w:eastAsia="Calibri" w:hAnsi="Times New Roman" w:cs="Times New Roman"/>
          <w:b/>
          <w:sz w:val="36"/>
          <w:szCs w:val="36"/>
        </w:rPr>
      </w:pPr>
      <w:r w:rsidRPr="003C1B12">
        <w:rPr>
          <w:rFonts w:ascii="Times New Roman" w:eastAsia="Calibri" w:hAnsi="Times New Roman" w:cs="Times New Roman"/>
          <w:b/>
          <w:sz w:val="36"/>
          <w:szCs w:val="36"/>
        </w:rPr>
        <w:t>1.2.</w:t>
      </w:r>
      <w:r w:rsidR="00E12EB3" w:rsidRPr="003C1B12">
        <w:rPr>
          <w:rFonts w:ascii="Times New Roman" w:eastAsia="Calibri" w:hAnsi="Times New Roman" w:cs="Times New Roman"/>
          <w:b/>
          <w:sz w:val="36"/>
          <w:szCs w:val="36"/>
        </w:rPr>
        <w:t>1</w:t>
      </w:r>
      <w:r w:rsidRPr="003C1B12">
        <w:rPr>
          <w:rFonts w:ascii="Times New Roman" w:eastAsia="Calibri" w:hAnsi="Times New Roman" w:cs="Times New Roman"/>
          <w:b/>
          <w:sz w:val="36"/>
          <w:szCs w:val="36"/>
        </w:rPr>
        <w:t>.1.pasākuma</w:t>
      </w:r>
    </w:p>
    <w:p w:rsidR="000C4557" w:rsidRPr="003C1B12" w:rsidRDefault="000C4557" w:rsidP="000C4557">
      <w:pPr>
        <w:spacing w:after="0" w:line="240" w:lineRule="auto"/>
        <w:jc w:val="center"/>
        <w:rPr>
          <w:rFonts w:ascii="Times New Roman" w:eastAsia="Calibri" w:hAnsi="Times New Roman" w:cs="Times New Roman"/>
          <w:b/>
          <w:sz w:val="36"/>
          <w:szCs w:val="36"/>
        </w:rPr>
      </w:pPr>
      <w:r w:rsidRPr="003C1B12">
        <w:rPr>
          <w:rFonts w:ascii="Times New Roman" w:eastAsia="Calibri" w:hAnsi="Times New Roman" w:cs="Times New Roman"/>
          <w:b/>
          <w:sz w:val="36"/>
          <w:szCs w:val="36"/>
        </w:rPr>
        <w:t>“</w:t>
      </w:r>
      <w:r w:rsidR="006946AB" w:rsidRPr="003C1B12">
        <w:rPr>
          <w:rFonts w:ascii="Times New Roman" w:eastAsia="Calibri" w:hAnsi="Times New Roman" w:cs="Times New Roman"/>
          <w:b/>
          <w:sz w:val="36"/>
          <w:szCs w:val="36"/>
        </w:rPr>
        <w:t>Atbalsts jaunu produktu un tehnoloģiju izstrādei kompetences centru ietvaros</w:t>
      </w:r>
      <w:r w:rsidRPr="003C1B12">
        <w:rPr>
          <w:rFonts w:ascii="Times New Roman" w:eastAsia="Calibri" w:hAnsi="Times New Roman" w:cs="Times New Roman"/>
          <w:b/>
          <w:sz w:val="36"/>
          <w:szCs w:val="36"/>
        </w:rPr>
        <w:t>”</w:t>
      </w:r>
    </w:p>
    <w:p w:rsidR="000C4557" w:rsidRPr="003C1B12" w:rsidRDefault="000C4557" w:rsidP="000C4557">
      <w:pPr>
        <w:spacing w:after="0" w:line="240" w:lineRule="auto"/>
        <w:jc w:val="center"/>
        <w:rPr>
          <w:rFonts w:ascii="Times New Roman" w:eastAsia="Calibri" w:hAnsi="Times New Roman" w:cs="Times New Roman"/>
          <w:b/>
          <w:sz w:val="36"/>
          <w:szCs w:val="36"/>
        </w:rPr>
      </w:pPr>
    </w:p>
    <w:p w:rsidR="000C4557" w:rsidRPr="003C1B12" w:rsidRDefault="000C4557" w:rsidP="000C4557">
      <w:pPr>
        <w:spacing w:after="0" w:line="240" w:lineRule="auto"/>
        <w:jc w:val="center"/>
        <w:rPr>
          <w:rFonts w:ascii="Times New Roman" w:hAnsi="Times New Roman" w:cs="Times New Roman"/>
          <w:b/>
          <w:sz w:val="28"/>
          <w:szCs w:val="28"/>
        </w:rPr>
      </w:pPr>
      <w:r w:rsidRPr="003C1B12">
        <w:rPr>
          <w:rFonts w:ascii="Times New Roman" w:eastAsia="Calibri" w:hAnsi="Times New Roman" w:cs="Times New Roman"/>
          <w:b/>
          <w:sz w:val="36"/>
          <w:szCs w:val="36"/>
        </w:rPr>
        <w:t>SĀKOTNĒJAIS NOVĒRTĒJUMS</w:t>
      </w:r>
    </w:p>
    <w:p w:rsidR="000C4557" w:rsidRPr="003C1B12" w:rsidRDefault="000C4557" w:rsidP="000C4557">
      <w:pPr>
        <w:spacing w:after="0"/>
        <w:jc w:val="center"/>
        <w:rPr>
          <w:rFonts w:ascii="Times New Roman" w:hAnsi="Times New Roman" w:cs="Times New Roman"/>
          <w:b/>
          <w:sz w:val="28"/>
          <w:szCs w:val="28"/>
        </w:rPr>
      </w:pPr>
    </w:p>
    <w:p w:rsidR="000C4557" w:rsidRPr="003C1B12" w:rsidRDefault="000C4557" w:rsidP="000C4557">
      <w:pPr>
        <w:spacing w:after="0"/>
        <w:jc w:val="center"/>
        <w:rPr>
          <w:rFonts w:ascii="Times New Roman" w:hAnsi="Times New Roman" w:cs="Times New Roman"/>
          <w:b/>
          <w:sz w:val="28"/>
          <w:szCs w:val="28"/>
        </w:rPr>
      </w:pPr>
    </w:p>
    <w:p w:rsidR="000C4557" w:rsidRPr="003C1B12" w:rsidRDefault="000C4557" w:rsidP="000C4557">
      <w:pPr>
        <w:spacing w:after="0"/>
        <w:jc w:val="center"/>
        <w:rPr>
          <w:rFonts w:ascii="Times New Roman" w:hAnsi="Times New Roman" w:cs="Times New Roman"/>
          <w:b/>
          <w:sz w:val="28"/>
          <w:szCs w:val="28"/>
        </w:rPr>
      </w:pPr>
    </w:p>
    <w:p w:rsidR="000C4557" w:rsidRPr="003C1B12" w:rsidRDefault="000C4557" w:rsidP="000C4557">
      <w:pPr>
        <w:spacing w:after="0"/>
        <w:jc w:val="center"/>
        <w:rPr>
          <w:rFonts w:ascii="Times New Roman" w:hAnsi="Times New Roman" w:cs="Times New Roman"/>
          <w:b/>
          <w:sz w:val="28"/>
          <w:szCs w:val="28"/>
        </w:rPr>
      </w:pPr>
    </w:p>
    <w:p w:rsidR="000C4557" w:rsidRPr="003C1B12" w:rsidRDefault="000C4557" w:rsidP="000C4557">
      <w:pPr>
        <w:spacing w:after="0"/>
        <w:jc w:val="center"/>
        <w:rPr>
          <w:rFonts w:ascii="Times New Roman" w:hAnsi="Times New Roman" w:cs="Times New Roman"/>
          <w:b/>
          <w:sz w:val="28"/>
          <w:szCs w:val="28"/>
        </w:rPr>
      </w:pPr>
    </w:p>
    <w:p w:rsidR="000C4557" w:rsidRPr="003C1B12" w:rsidRDefault="000C4557" w:rsidP="000C4557">
      <w:pPr>
        <w:spacing w:after="0"/>
        <w:jc w:val="center"/>
        <w:rPr>
          <w:rFonts w:ascii="Times New Roman" w:hAnsi="Times New Roman" w:cs="Times New Roman"/>
          <w:b/>
          <w:sz w:val="28"/>
          <w:szCs w:val="28"/>
        </w:rPr>
      </w:pPr>
    </w:p>
    <w:p w:rsidR="000C4557" w:rsidRPr="003C1B12" w:rsidRDefault="000C4557" w:rsidP="000C4557">
      <w:pPr>
        <w:spacing w:after="0"/>
        <w:jc w:val="center"/>
        <w:rPr>
          <w:rFonts w:ascii="Times New Roman" w:hAnsi="Times New Roman" w:cs="Times New Roman"/>
          <w:b/>
          <w:sz w:val="28"/>
          <w:szCs w:val="28"/>
        </w:rPr>
      </w:pPr>
    </w:p>
    <w:p w:rsidR="000C4557" w:rsidRPr="003C1B12" w:rsidRDefault="000C4557" w:rsidP="000C4557">
      <w:pPr>
        <w:spacing w:after="0"/>
        <w:jc w:val="center"/>
        <w:rPr>
          <w:rFonts w:ascii="Times New Roman" w:hAnsi="Times New Roman" w:cs="Times New Roman"/>
          <w:b/>
          <w:sz w:val="28"/>
          <w:szCs w:val="28"/>
        </w:rPr>
      </w:pPr>
    </w:p>
    <w:p w:rsidR="000C4557" w:rsidRPr="003C1B12" w:rsidRDefault="000C4557" w:rsidP="000C4557">
      <w:pPr>
        <w:spacing w:after="0"/>
        <w:jc w:val="center"/>
        <w:rPr>
          <w:rFonts w:ascii="Times New Roman" w:hAnsi="Times New Roman" w:cs="Times New Roman"/>
          <w:b/>
          <w:sz w:val="28"/>
          <w:szCs w:val="28"/>
        </w:rPr>
      </w:pPr>
    </w:p>
    <w:p w:rsidR="000C4557" w:rsidRPr="003C1B12" w:rsidRDefault="000C4557" w:rsidP="000C4557">
      <w:pPr>
        <w:spacing w:after="0"/>
        <w:jc w:val="center"/>
        <w:rPr>
          <w:rFonts w:ascii="Times New Roman" w:hAnsi="Times New Roman" w:cs="Times New Roman"/>
          <w:b/>
          <w:sz w:val="28"/>
          <w:szCs w:val="28"/>
        </w:rPr>
      </w:pPr>
    </w:p>
    <w:p w:rsidR="000C4557" w:rsidRPr="003C1B12" w:rsidRDefault="000C4557" w:rsidP="000C4557">
      <w:pPr>
        <w:spacing w:after="0"/>
        <w:jc w:val="center"/>
        <w:rPr>
          <w:rFonts w:ascii="Times New Roman" w:hAnsi="Times New Roman" w:cs="Times New Roman"/>
          <w:b/>
          <w:sz w:val="28"/>
          <w:szCs w:val="28"/>
        </w:rPr>
      </w:pPr>
    </w:p>
    <w:p w:rsidR="000C4557" w:rsidRPr="003C1B12" w:rsidRDefault="000C4557" w:rsidP="000C4557">
      <w:pPr>
        <w:spacing w:after="0"/>
        <w:jc w:val="center"/>
        <w:rPr>
          <w:rFonts w:ascii="Times New Roman" w:hAnsi="Times New Roman" w:cs="Times New Roman"/>
          <w:b/>
          <w:sz w:val="28"/>
          <w:szCs w:val="28"/>
        </w:rPr>
      </w:pPr>
    </w:p>
    <w:p w:rsidR="000C4557" w:rsidRPr="003C1B12" w:rsidRDefault="000C4557" w:rsidP="000C4557">
      <w:pPr>
        <w:spacing w:after="0"/>
        <w:jc w:val="center"/>
        <w:rPr>
          <w:rFonts w:ascii="Times New Roman" w:hAnsi="Times New Roman" w:cs="Times New Roman"/>
          <w:b/>
          <w:sz w:val="28"/>
          <w:szCs w:val="28"/>
        </w:rPr>
      </w:pPr>
    </w:p>
    <w:p w:rsidR="000C4557" w:rsidRPr="003C1B12" w:rsidRDefault="000C4557" w:rsidP="000C4557">
      <w:pPr>
        <w:spacing w:after="0"/>
        <w:jc w:val="center"/>
        <w:rPr>
          <w:rFonts w:ascii="Times New Roman" w:hAnsi="Times New Roman" w:cs="Times New Roman"/>
          <w:b/>
          <w:sz w:val="28"/>
          <w:szCs w:val="28"/>
        </w:rPr>
      </w:pPr>
    </w:p>
    <w:p w:rsidR="000C4557" w:rsidRPr="003C1B12" w:rsidRDefault="000C4557" w:rsidP="000C4557">
      <w:pPr>
        <w:spacing w:after="0"/>
        <w:jc w:val="center"/>
        <w:rPr>
          <w:rFonts w:ascii="Times New Roman" w:hAnsi="Times New Roman" w:cs="Times New Roman"/>
          <w:b/>
          <w:sz w:val="28"/>
          <w:szCs w:val="28"/>
        </w:rPr>
      </w:pPr>
    </w:p>
    <w:p w:rsidR="000C4557" w:rsidRPr="003C1B12" w:rsidRDefault="000C4557" w:rsidP="000C4557">
      <w:pPr>
        <w:spacing w:after="0"/>
        <w:jc w:val="center"/>
        <w:rPr>
          <w:rFonts w:ascii="Times New Roman" w:hAnsi="Times New Roman" w:cs="Times New Roman"/>
          <w:b/>
          <w:sz w:val="28"/>
          <w:szCs w:val="28"/>
        </w:rPr>
      </w:pPr>
    </w:p>
    <w:p w:rsidR="000C4557" w:rsidRPr="003C1B12" w:rsidRDefault="000C4557" w:rsidP="000C4557">
      <w:pPr>
        <w:spacing w:after="0"/>
        <w:jc w:val="center"/>
        <w:rPr>
          <w:rFonts w:ascii="Times New Roman" w:hAnsi="Times New Roman" w:cs="Times New Roman"/>
          <w:b/>
          <w:sz w:val="28"/>
          <w:szCs w:val="28"/>
        </w:rPr>
      </w:pPr>
    </w:p>
    <w:p w:rsidR="000C4557" w:rsidRPr="003C1B12" w:rsidRDefault="000C4557" w:rsidP="000C4557">
      <w:pPr>
        <w:spacing w:after="0"/>
        <w:jc w:val="center"/>
        <w:rPr>
          <w:rFonts w:ascii="Times New Roman" w:hAnsi="Times New Roman" w:cs="Times New Roman"/>
          <w:sz w:val="28"/>
          <w:szCs w:val="28"/>
        </w:rPr>
      </w:pPr>
      <w:r w:rsidRPr="003C1B12">
        <w:rPr>
          <w:rFonts w:ascii="Times New Roman" w:hAnsi="Times New Roman" w:cs="Times New Roman"/>
          <w:sz w:val="28"/>
          <w:szCs w:val="28"/>
        </w:rPr>
        <w:t>Rīga, 2015</w:t>
      </w:r>
      <w:r w:rsidRPr="003C1B12">
        <w:rPr>
          <w:rFonts w:ascii="Times New Roman" w:hAnsi="Times New Roman" w:cs="Times New Roman"/>
          <w:sz w:val="28"/>
          <w:szCs w:val="28"/>
        </w:rPr>
        <w:br w:type="page"/>
      </w:r>
    </w:p>
    <w:p w:rsidR="000C4557" w:rsidRPr="003C1B12" w:rsidRDefault="000C4557" w:rsidP="000C4557">
      <w:pPr>
        <w:spacing w:after="0"/>
        <w:rPr>
          <w:rFonts w:ascii="Times New Roman" w:hAnsi="Times New Roman" w:cs="Times New Roman"/>
          <w:b/>
          <w:sz w:val="28"/>
          <w:szCs w:val="28"/>
        </w:rPr>
      </w:pPr>
    </w:p>
    <w:sdt>
      <w:sdtPr>
        <w:rPr>
          <w:rFonts w:ascii="Times New Roman" w:eastAsiaTheme="minorEastAsia" w:hAnsi="Times New Roman" w:cs="Times New Roman"/>
          <w:color w:val="31849B" w:themeColor="accent5" w:themeShade="BF"/>
          <w:sz w:val="22"/>
          <w:szCs w:val="22"/>
          <w:lang w:val="lv-LV" w:eastAsia="zh-TW"/>
        </w:rPr>
        <w:id w:val="-337006486"/>
        <w:docPartObj>
          <w:docPartGallery w:val="Table of Contents"/>
          <w:docPartUnique/>
        </w:docPartObj>
      </w:sdtPr>
      <w:sdtEndPr>
        <w:rPr>
          <w:b/>
          <w:bCs/>
          <w:noProof/>
          <w:color w:val="auto"/>
        </w:rPr>
      </w:sdtEndPr>
      <w:sdtContent>
        <w:p w:rsidR="000C4557" w:rsidRPr="003C1B12" w:rsidRDefault="000C4557" w:rsidP="000C4557">
          <w:pPr>
            <w:pStyle w:val="TOCHeading"/>
            <w:spacing w:before="0"/>
            <w:rPr>
              <w:rFonts w:ascii="Times New Roman" w:hAnsi="Times New Roman" w:cs="Times New Roman"/>
              <w:color w:val="31849B" w:themeColor="accent5" w:themeShade="BF"/>
              <w:lang w:val="lv-LV"/>
            </w:rPr>
          </w:pPr>
          <w:r w:rsidRPr="003C1B12">
            <w:rPr>
              <w:rFonts w:ascii="Times New Roman" w:hAnsi="Times New Roman" w:cs="Times New Roman"/>
              <w:color w:val="31849B" w:themeColor="accent5" w:themeShade="BF"/>
              <w:lang w:val="lv-LV"/>
            </w:rPr>
            <w:t>Saturs</w:t>
          </w:r>
        </w:p>
        <w:p w:rsidR="000C4557" w:rsidRPr="003C1B12" w:rsidRDefault="000C4557" w:rsidP="000C4557">
          <w:pPr>
            <w:spacing w:after="0"/>
            <w:rPr>
              <w:rFonts w:ascii="Times New Roman" w:hAnsi="Times New Roman" w:cs="Times New Roman"/>
              <w:lang w:eastAsia="en-US"/>
            </w:rPr>
          </w:pPr>
        </w:p>
        <w:p w:rsidR="0018013F" w:rsidRPr="003C1B12" w:rsidRDefault="000C4557">
          <w:pPr>
            <w:pStyle w:val="TOC1"/>
            <w:rPr>
              <w:noProof/>
              <w:lang w:eastAsia="lv-LV"/>
            </w:rPr>
          </w:pPr>
          <w:r w:rsidRPr="003C1B12">
            <w:rPr>
              <w:rFonts w:ascii="Times New Roman" w:hAnsi="Times New Roman" w:cs="Times New Roman"/>
            </w:rPr>
            <w:fldChar w:fldCharType="begin"/>
          </w:r>
          <w:r w:rsidRPr="003C1B12">
            <w:rPr>
              <w:rFonts w:ascii="Times New Roman" w:hAnsi="Times New Roman" w:cs="Times New Roman"/>
            </w:rPr>
            <w:instrText xml:space="preserve"> TOC \o "1-3" \h \z \u </w:instrText>
          </w:r>
          <w:r w:rsidRPr="003C1B12">
            <w:rPr>
              <w:rFonts w:ascii="Times New Roman" w:hAnsi="Times New Roman" w:cs="Times New Roman"/>
            </w:rPr>
            <w:fldChar w:fldCharType="separate"/>
          </w:r>
          <w:hyperlink w:anchor="_Toc427646548" w:history="1">
            <w:r w:rsidR="0018013F" w:rsidRPr="003C1B12">
              <w:rPr>
                <w:rStyle w:val="Hyperlink"/>
                <w:rFonts w:ascii="Times New Roman" w:hAnsi="Times New Roman" w:cs="Times New Roman"/>
                <w:noProof/>
              </w:rPr>
              <w:t>SAĪSINĀJUMI</w:t>
            </w:r>
            <w:r w:rsidR="0018013F" w:rsidRPr="003C1B12">
              <w:rPr>
                <w:noProof/>
                <w:webHidden/>
              </w:rPr>
              <w:tab/>
            </w:r>
            <w:r w:rsidR="0018013F" w:rsidRPr="003C1B12">
              <w:rPr>
                <w:noProof/>
                <w:webHidden/>
              </w:rPr>
              <w:fldChar w:fldCharType="begin"/>
            </w:r>
            <w:r w:rsidR="0018013F" w:rsidRPr="003C1B12">
              <w:rPr>
                <w:noProof/>
                <w:webHidden/>
              </w:rPr>
              <w:instrText xml:space="preserve"> PAGEREF _Toc427646548 \h </w:instrText>
            </w:r>
            <w:r w:rsidR="0018013F" w:rsidRPr="003C1B12">
              <w:rPr>
                <w:noProof/>
                <w:webHidden/>
              </w:rPr>
            </w:r>
            <w:r w:rsidR="0018013F" w:rsidRPr="003C1B12">
              <w:rPr>
                <w:noProof/>
                <w:webHidden/>
              </w:rPr>
              <w:fldChar w:fldCharType="separate"/>
            </w:r>
            <w:r w:rsidR="0018013F" w:rsidRPr="003C1B12">
              <w:rPr>
                <w:noProof/>
                <w:webHidden/>
              </w:rPr>
              <w:t>3</w:t>
            </w:r>
            <w:r w:rsidR="0018013F" w:rsidRPr="003C1B12">
              <w:rPr>
                <w:noProof/>
                <w:webHidden/>
              </w:rPr>
              <w:fldChar w:fldCharType="end"/>
            </w:r>
          </w:hyperlink>
        </w:p>
        <w:p w:rsidR="0018013F" w:rsidRPr="003C1B12" w:rsidRDefault="00FC32FF">
          <w:pPr>
            <w:pStyle w:val="TOC1"/>
            <w:rPr>
              <w:noProof/>
              <w:lang w:eastAsia="lv-LV"/>
            </w:rPr>
          </w:pPr>
          <w:hyperlink w:anchor="_Toc427646549" w:history="1">
            <w:r w:rsidR="0018013F" w:rsidRPr="003C1B12">
              <w:rPr>
                <w:rStyle w:val="Hyperlink"/>
                <w:rFonts w:ascii="Times New Roman" w:hAnsi="Times New Roman" w:cs="Times New Roman"/>
                <w:noProof/>
              </w:rPr>
              <w:t>1. Esošās sociāli ekonomiskās situācijas apraksts</w:t>
            </w:r>
            <w:r w:rsidR="0018013F" w:rsidRPr="003C1B12">
              <w:rPr>
                <w:noProof/>
                <w:webHidden/>
              </w:rPr>
              <w:tab/>
            </w:r>
            <w:r w:rsidR="0018013F" w:rsidRPr="003C1B12">
              <w:rPr>
                <w:noProof/>
                <w:webHidden/>
              </w:rPr>
              <w:fldChar w:fldCharType="begin"/>
            </w:r>
            <w:r w:rsidR="0018013F" w:rsidRPr="003C1B12">
              <w:rPr>
                <w:noProof/>
                <w:webHidden/>
              </w:rPr>
              <w:instrText xml:space="preserve"> PAGEREF _Toc427646549 \h </w:instrText>
            </w:r>
            <w:r w:rsidR="0018013F" w:rsidRPr="003C1B12">
              <w:rPr>
                <w:noProof/>
                <w:webHidden/>
              </w:rPr>
            </w:r>
            <w:r w:rsidR="0018013F" w:rsidRPr="003C1B12">
              <w:rPr>
                <w:noProof/>
                <w:webHidden/>
              </w:rPr>
              <w:fldChar w:fldCharType="separate"/>
            </w:r>
            <w:r w:rsidR="0018013F" w:rsidRPr="003C1B12">
              <w:rPr>
                <w:noProof/>
                <w:webHidden/>
              </w:rPr>
              <w:t>4</w:t>
            </w:r>
            <w:r w:rsidR="0018013F" w:rsidRPr="003C1B12">
              <w:rPr>
                <w:noProof/>
                <w:webHidden/>
              </w:rPr>
              <w:fldChar w:fldCharType="end"/>
            </w:r>
          </w:hyperlink>
        </w:p>
        <w:p w:rsidR="0018013F" w:rsidRPr="003C1B12" w:rsidRDefault="00FC32FF">
          <w:pPr>
            <w:pStyle w:val="TOC2"/>
            <w:tabs>
              <w:tab w:val="right" w:leader="dot" w:pos="9061"/>
            </w:tabs>
            <w:rPr>
              <w:noProof/>
              <w:lang w:eastAsia="lv-LV"/>
            </w:rPr>
          </w:pPr>
          <w:hyperlink w:anchor="_Toc427646550" w:history="1">
            <w:r w:rsidR="0018013F" w:rsidRPr="003C1B12">
              <w:rPr>
                <w:rStyle w:val="Hyperlink"/>
                <w:rFonts w:ascii="Times New Roman" w:hAnsi="Times New Roman" w:cs="Times New Roman"/>
                <w:noProof/>
              </w:rPr>
              <w:t>1.1. Makroekonomiskās situācijas raksturojums</w:t>
            </w:r>
            <w:r w:rsidR="0018013F" w:rsidRPr="003C1B12">
              <w:rPr>
                <w:noProof/>
                <w:webHidden/>
              </w:rPr>
              <w:tab/>
            </w:r>
            <w:r w:rsidR="0018013F" w:rsidRPr="003C1B12">
              <w:rPr>
                <w:noProof/>
                <w:webHidden/>
              </w:rPr>
              <w:fldChar w:fldCharType="begin"/>
            </w:r>
            <w:r w:rsidR="0018013F" w:rsidRPr="003C1B12">
              <w:rPr>
                <w:noProof/>
                <w:webHidden/>
              </w:rPr>
              <w:instrText xml:space="preserve"> PAGEREF _Toc427646550 \h </w:instrText>
            </w:r>
            <w:r w:rsidR="0018013F" w:rsidRPr="003C1B12">
              <w:rPr>
                <w:noProof/>
                <w:webHidden/>
              </w:rPr>
            </w:r>
            <w:r w:rsidR="0018013F" w:rsidRPr="003C1B12">
              <w:rPr>
                <w:noProof/>
                <w:webHidden/>
              </w:rPr>
              <w:fldChar w:fldCharType="separate"/>
            </w:r>
            <w:r w:rsidR="0018013F" w:rsidRPr="003C1B12">
              <w:rPr>
                <w:noProof/>
                <w:webHidden/>
              </w:rPr>
              <w:t>4</w:t>
            </w:r>
            <w:r w:rsidR="0018013F" w:rsidRPr="003C1B12">
              <w:rPr>
                <w:noProof/>
                <w:webHidden/>
              </w:rPr>
              <w:fldChar w:fldCharType="end"/>
            </w:r>
          </w:hyperlink>
        </w:p>
        <w:p w:rsidR="0018013F" w:rsidRPr="003C1B12" w:rsidRDefault="00FC32FF">
          <w:pPr>
            <w:pStyle w:val="TOC2"/>
            <w:tabs>
              <w:tab w:val="right" w:leader="dot" w:pos="9061"/>
            </w:tabs>
            <w:rPr>
              <w:noProof/>
              <w:lang w:eastAsia="lv-LV"/>
            </w:rPr>
          </w:pPr>
          <w:hyperlink w:anchor="_Toc427646551" w:history="1">
            <w:r w:rsidR="0018013F" w:rsidRPr="003C1B12">
              <w:rPr>
                <w:rStyle w:val="Hyperlink"/>
                <w:rFonts w:ascii="Times New Roman" w:hAnsi="Times New Roman" w:cs="Times New Roman"/>
                <w:noProof/>
              </w:rPr>
              <w:t>1.2. Inovācijas attīstība</w:t>
            </w:r>
            <w:r w:rsidR="0018013F" w:rsidRPr="003C1B12">
              <w:rPr>
                <w:noProof/>
                <w:webHidden/>
              </w:rPr>
              <w:tab/>
            </w:r>
            <w:r w:rsidR="0018013F" w:rsidRPr="003C1B12">
              <w:rPr>
                <w:noProof/>
                <w:webHidden/>
              </w:rPr>
              <w:fldChar w:fldCharType="begin"/>
            </w:r>
            <w:r w:rsidR="0018013F" w:rsidRPr="003C1B12">
              <w:rPr>
                <w:noProof/>
                <w:webHidden/>
              </w:rPr>
              <w:instrText xml:space="preserve"> PAGEREF _Toc427646551 \h </w:instrText>
            </w:r>
            <w:r w:rsidR="0018013F" w:rsidRPr="003C1B12">
              <w:rPr>
                <w:noProof/>
                <w:webHidden/>
              </w:rPr>
            </w:r>
            <w:r w:rsidR="0018013F" w:rsidRPr="003C1B12">
              <w:rPr>
                <w:noProof/>
                <w:webHidden/>
              </w:rPr>
              <w:fldChar w:fldCharType="separate"/>
            </w:r>
            <w:r w:rsidR="0018013F" w:rsidRPr="003C1B12">
              <w:rPr>
                <w:noProof/>
                <w:webHidden/>
              </w:rPr>
              <w:t>5</w:t>
            </w:r>
            <w:r w:rsidR="0018013F" w:rsidRPr="003C1B12">
              <w:rPr>
                <w:noProof/>
                <w:webHidden/>
              </w:rPr>
              <w:fldChar w:fldCharType="end"/>
            </w:r>
          </w:hyperlink>
        </w:p>
        <w:p w:rsidR="0018013F" w:rsidRPr="003C1B12" w:rsidRDefault="00FC32FF">
          <w:pPr>
            <w:pStyle w:val="TOC2"/>
            <w:tabs>
              <w:tab w:val="right" w:leader="dot" w:pos="9061"/>
            </w:tabs>
            <w:rPr>
              <w:noProof/>
              <w:lang w:eastAsia="lv-LV"/>
            </w:rPr>
          </w:pPr>
          <w:hyperlink w:anchor="_Toc427646552" w:history="1">
            <w:r w:rsidR="0018013F" w:rsidRPr="003C1B12">
              <w:rPr>
                <w:rStyle w:val="Hyperlink"/>
                <w:rFonts w:ascii="Times New Roman" w:hAnsi="Times New Roman" w:cs="Times New Roman"/>
                <w:noProof/>
              </w:rPr>
              <w:t>1.3. Politikas plānošanas dokumentos noteiktās rūpniecības un inovācijas  politikas prioritātes</w:t>
            </w:r>
            <w:r w:rsidR="0018013F" w:rsidRPr="003C1B12">
              <w:rPr>
                <w:noProof/>
                <w:webHidden/>
              </w:rPr>
              <w:tab/>
            </w:r>
            <w:r w:rsidR="0018013F" w:rsidRPr="003C1B12">
              <w:rPr>
                <w:noProof/>
                <w:webHidden/>
              </w:rPr>
              <w:fldChar w:fldCharType="begin"/>
            </w:r>
            <w:r w:rsidR="0018013F" w:rsidRPr="003C1B12">
              <w:rPr>
                <w:noProof/>
                <w:webHidden/>
              </w:rPr>
              <w:instrText xml:space="preserve"> PAGEREF _Toc427646552 \h </w:instrText>
            </w:r>
            <w:r w:rsidR="0018013F" w:rsidRPr="003C1B12">
              <w:rPr>
                <w:noProof/>
                <w:webHidden/>
              </w:rPr>
            </w:r>
            <w:r w:rsidR="0018013F" w:rsidRPr="003C1B12">
              <w:rPr>
                <w:noProof/>
                <w:webHidden/>
              </w:rPr>
              <w:fldChar w:fldCharType="separate"/>
            </w:r>
            <w:r w:rsidR="0018013F" w:rsidRPr="003C1B12">
              <w:rPr>
                <w:noProof/>
                <w:webHidden/>
              </w:rPr>
              <w:t>7</w:t>
            </w:r>
            <w:r w:rsidR="0018013F" w:rsidRPr="003C1B12">
              <w:rPr>
                <w:noProof/>
                <w:webHidden/>
              </w:rPr>
              <w:fldChar w:fldCharType="end"/>
            </w:r>
          </w:hyperlink>
        </w:p>
        <w:p w:rsidR="0018013F" w:rsidRPr="003C1B12" w:rsidRDefault="00FC32FF">
          <w:pPr>
            <w:pStyle w:val="TOC1"/>
            <w:rPr>
              <w:noProof/>
              <w:lang w:eastAsia="lv-LV"/>
            </w:rPr>
          </w:pPr>
          <w:hyperlink w:anchor="_Toc427646553" w:history="1">
            <w:r w:rsidR="0018013F" w:rsidRPr="003C1B12">
              <w:rPr>
                <w:rStyle w:val="Hyperlink"/>
                <w:rFonts w:ascii="Times New Roman" w:hAnsi="Times New Roman" w:cs="Times New Roman"/>
                <w:noProof/>
              </w:rPr>
              <w:t>2. 2007.-2013.gada plānošanas perioda KC programmas  izvērtējums</w:t>
            </w:r>
            <w:r w:rsidR="0018013F" w:rsidRPr="003C1B12">
              <w:rPr>
                <w:noProof/>
                <w:webHidden/>
              </w:rPr>
              <w:tab/>
            </w:r>
            <w:r w:rsidR="0018013F" w:rsidRPr="003C1B12">
              <w:rPr>
                <w:noProof/>
                <w:webHidden/>
              </w:rPr>
              <w:fldChar w:fldCharType="begin"/>
            </w:r>
            <w:r w:rsidR="0018013F" w:rsidRPr="003C1B12">
              <w:rPr>
                <w:noProof/>
                <w:webHidden/>
              </w:rPr>
              <w:instrText xml:space="preserve"> PAGEREF _Toc427646553 \h </w:instrText>
            </w:r>
            <w:r w:rsidR="0018013F" w:rsidRPr="003C1B12">
              <w:rPr>
                <w:noProof/>
                <w:webHidden/>
              </w:rPr>
            </w:r>
            <w:r w:rsidR="0018013F" w:rsidRPr="003C1B12">
              <w:rPr>
                <w:noProof/>
                <w:webHidden/>
              </w:rPr>
              <w:fldChar w:fldCharType="separate"/>
            </w:r>
            <w:r w:rsidR="0018013F" w:rsidRPr="003C1B12">
              <w:rPr>
                <w:noProof/>
                <w:webHidden/>
              </w:rPr>
              <w:t>9</w:t>
            </w:r>
            <w:r w:rsidR="0018013F" w:rsidRPr="003C1B12">
              <w:rPr>
                <w:noProof/>
                <w:webHidden/>
              </w:rPr>
              <w:fldChar w:fldCharType="end"/>
            </w:r>
          </w:hyperlink>
        </w:p>
        <w:p w:rsidR="0018013F" w:rsidRPr="003C1B12" w:rsidRDefault="00FC32FF">
          <w:pPr>
            <w:pStyle w:val="TOC2"/>
            <w:tabs>
              <w:tab w:val="right" w:leader="dot" w:pos="9061"/>
            </w:tabs>
            <w:rPr>
              <w:noProof/>
              <w:lang w:eastAsia="lv-LV"/>
            </w:rPr>
          </w:pPr>
          <w:hyperlink w:anchor="_Toc427646554" w:history="1">
            <w:r w:rsidR="0018013F" w:rsidRPr="003C1B12">
              <w:rPr>
                <w:rStyle w:val="Hyperlink"/>
                <w:rFonts w:ascii="Times New Roman" w:hAnsi="Times New Roman" w:cs="Times New Roman"/>
                <w:noProof/>
              </w:rPr>
              <w:t>2.1. KC programmas rezultātu izvērtējums</w:t>
            </w:r>
            <w:r w:rsidR="0018013F" w:rsidRPr="003C1B12">
              <w:rPr>
                <w:noProof/>
                <w:webHidden/>
              </w:rPr>
              <w:tab/>
            </w:r>
            <w:r w:rsidR="0018013F" w:rsidRPr="003C1B12">
              <w:rPr>
                <w:noProof/>
                <w:webHidden/>
              </w:rPr>
              <w:fldChar w:fldCharType="begin"/>
            </w:r>
            <w:r w:rsidR="0018013F" w:rsidRPr="003C1B12">
              <w:rPr>
                <w:noProof/>
                <w:webHidden/>
              </w:rPr>
              <w:instrText xml:space="preserve"> PAGEREF _Toc427646554 \h </w:instrText>
            </w:r>
            <w:r w:rsidR="0018013F" w:rsidRPr="003C1B12">
              <w:rPr>
                <w:noProof/>
                <w:webHidden/>
              </w:rPr>
            </w:r>
            <w:r w:rsidR="0018013F" w:rsidRPr="003C1B12">
              <w:rPr>
                <w:noProof/>
                <w:webHidden/>
              </w:rPr>
              <w:fldChar w:fldCharType="separate"/>
            </w:r>
            <w:r w:rsidR="0018013F" w:rsidRPr="003C1B12">
              <w:rPr>
                <w:noProof/>
                <w:webHidden/>
              </w:rPr>
              <w:t>10</w:t>
            </w:r>
            <w:r w:rsidR="0018013F" w:rsidRPr="003C1B12">
              <w:rPr>
                <w:noProof/>
                <w:webHidden/>
              </w:rPr>
              <w:fldChar w:fldCharType="end"/>
            </w:r>
          </w:hyperlink>
        </w:p>
        <w:p w:rsidR="0018013F" w:rsidRPr="003C1B12" w:rsidRDefault="00FC32FF">
          <w:pPr>
            <w:pStyle w:val="TOC2"/>
            <w:tabs>
              <w:tab w:val="right" w:leader="dot" w:pos="9061"/>
            </w:tabs>
            <w:rPr>
              <w:noProof/>
              <w:lang w:eastAsia="lv-LV"/>
            </w:rPr>
          </w:pPr>
          <w:hyperlink w:anchor="_Toc427646555" w:history="1">
            <w:r w:rsidR="0018013F" w:rsidRPr="003C1B12">
              <w:rPr>
                <w:rStyle w:val="Hyperlink"/>
                <w:rFonts w:ascii="Times New Roman" w:hAnsi="Times New Roman" w:cs="Times New Roman"/>
                <w:noProof/>
              </w:rPr>
              <w:t>2.2. KC programmas ieviešanas modeļa izvērtējums un secinājumi</w:t>
            </w:r>
            <w:r w:rsidR="0018013F" w:rsidRPr="003C1B12">
              <w:rPr>
                <w:noProof/>
                <w:webHidden/>
              </w:rPr>
              <w:tab/>
            </w:r>
            <w:r w:rsidR="0018013F" w:rsidRPr="003C1B12">
              <w:rPr>
                <w:noProof/>
                <w:webHidden/>
              </w:rPr>
              <w:fldChar w:fldCharType="begin"/>
            </w:r>
            <w:r w:rsidR="0018013F" w:rsidRPr="003C1B12">
              <w:rPr>
                <w:noProof/>
                <w:webHidden/>
              </w:rPr>
              <w:instrText xml:space="preserve"> PAGEREF _Toc427646555 \h </w:instrText>
            </w:r>
            <w:r w:rsidR="0018013F" w:rsidRPr="003C1B12">
              <w:rPr>
                <w:noProof/>
                <w:webHidden/>
              </w:rPr>
            </w:r>
            <w:r w:rsidR="0018013F" w:rsidRPr="003C1B12">
              <w:rPr>
                <w:noProof/>
                <w:webHidden/>
              </w:rPr>
              <w:fldChar w:fldCharType="separate"/>
            </w:r>
            <w:r w:rsidR="0018013F" w:rsidRPr="003C1B12">
              <w:rPr>
                <w:noProof/>
                <w:webHidden/>
              </w:rPr>
              <w:t>13</w:t>
            </w:r>
            <w:r w:rsidR="0018013F" w:rsidRPr="003C1B12">
              <w:rPr>
                <w:noProof/>
                <w:webHidden/>
              </w:rPr>
              <w:fldChar w:fldCharType="end"/>
            </w:r>
          </w:hyperlink>
        </w:p>
        <w:p w:rsidR="0018013F" w:rsidRPr="003C1B12" w:rsidRDefault="00FC32FF">
          <w:pPr>
            <w:pStyle w:val="TOC2"/>
            <w:tabs>
              <w:tab w:val="right" w:leader="dot" w:pos="9061"/>
            </w:tabs>
            <w:rPr>
              <w:noProof/>
              <w:lang w:eastAsia="lv-LV"/>
            </w:rPr>
          </w:pPr>
          <w:hyperlink w:anchor="_Toc427646556" w:history="1">
            <w:r w:rsidR="0018013F" w:rsidRPr="003C1B12">
              <w:rPr>
                <w:rStyle w:val="Hyperlink"/>
                <w:rFonts w:ascii="Times New Roman" w:hAnsi="Times New Roman" w:cs="Times New Roman"/>
                <w:noProof/>
              </w:rPr>
              <w:t>2.2.1. KC projektu ieviešanas modelis</w:t>
            </w:r>
            <w:r w:rsidR="0018013F" w:rsidRPr="003C1B12">
              <w:rPr>
                <w:noProof/>
                <w:webHidden/>
              </w:rPr>
              <w:tab/>
            </w:r>
            <w:r w:rsidR="0018013F" w:rsidRPr="003C1B12">
              <w:rPr>
                <w:noProof/>
                <w:webHidden/>
              </w:rPr>
              <w:fldChar w:fldCharType="begin"/>
            </w:r>
            <w:r w:rsidR="0018013F" w:rsidRPr="003C1B12">
              <w:rPr>
                <w:noProof/>
                <w:webHidden/>
              </w:rPr>
              <w:instrText xml:space="preserve"> PAGEREF _Toc427646556 \h </w:instrText>
            </w:r>
            <w:r w:rsidR="0018013F" w:rsidRPr="003C1B12">
              <w:rPr>
                <w:noProof/>
                <w:webHidden/>
              </w:rPr>
            </w:r>
            <w:r w:rsidR="0018013F" w:rsidRPr="003C1B12">
              <w:rPr>
                <w:noProof/>
                <w:webHidden/>
              </w:rPr>
              <w:fldChar w:fldCharType="separate"/>
            </w:r>
            <w:r w:rsidR="0018013F" w:rsidRPr="003C1B12">
              <w:rPr>
                <w:noProof/>
                <w:webHidden/>
              </w:rPr>
              <w:t>13</w:t>
            </w:r>
            <w:r w:rsidR="0018013F" w:rsidRPr="003C1B12">
              <w:rPr>
                <w:noProof/>
                <w:webHidden/>
              </w:rPr>
              <w:fldChar w:fldCharType="end"/>
            </w:r>
          </w:hyperlink>
        </w:p>
        <w:p w:rsidR="0018013F" w:rsidRPr="003C1B12" w:rsidRDefault="00FC32FF">
          <w:pPr>
            <w:pStyle w:val="TOC2"/>
            <w:tabs>
              <w:tab w:val="right" w:leader="dot" w:pos="9061"/>
            </w:tabs>
            <w:rPr>
              <w:noProof/>
              <w:lang w:eastAsia="lv-LV"/>
            </w:rPr>
          </w:pPr>
          <w:hyperlink w:anchor="_Toc427646557" w:history="1">
            <w:r w:rsidR="0018013F" w:rsidRPr="003C1B12">
              <w:rPr>
                <w:rStyle w:val="Hyperlink"/>
                <w:rFonts w:ascii="Times New Roman" w:hAnsi="Times New Roman" w:cs="Times New Roman"/>
                <w:noProof/>
              </w:rPr>
              <w:t>2.2.2. Komersantu un zinātnisko institūciju sadarbība</w:t>
            </w:r>
            <w:r w:rsidR="0018013F" w:rsidRPr="003C1B12">
              <w:rPr>
                <w:noProof/>
                <w:webHidden/>
              </w:rPr>
              <w:tab/>
            </w:r>
            <w:r w:rsidR="0018013F" w:rsidRPr="003C1B12">
              <w:rPr>
                <w:noProof/>
                <w:webHidden/>
              </w:rPr>
              <w:fldChar w:fldCharType="begin"/>
            </w:r>
            <w:r w:rsidR="0018013F" w:rsidRPr="003C1B12">
              <w:rPr>
                <w:noProof/>
                <w:webHidden/>
              </w:rPr>
              <w:instrText xml:space="preserve"> PAGEREF _Toc427646557 \h </w:instrText>
            </w:r>
            <w:r w:rsidR="0018013F" w:rsidRPr="003C1B12">
              <w:rPr>
                <w:noProof/>
                <w:webHidden/>
              </w:rPr>
            </w:r>
            <w:r w:rsidR="0018013F" w:rsidRPr="003C1B12">
              <w:rPr>
                <w:noProof/>
                <w:webHidden/>
              </w:rPr>
              <w:fldChar w:fldCharType="separate"/>
            </w:r>
            <w:r w:rsidR="0018013F" w:rsidRPr="003C1B12">
              <w:rPr>
                <w:noProof/>
                <w:webHidden/>
              </w:rPr>
              <w:t>14</w:t>
            </w:r>
            <w:r w:rsidR="0018013F" w:rsidRPr="003C1B12">
              <w:rPr>
                <w:noProof/>
                <w:webHidden/>
              </w:rPr>
              <w:fldChar w:fldCharType="end"/>
            </w:r>
          </w:hyperlink>
        </w:p>
        <w:p w:rsidR="0018013F" w:rsidRPr="003C1B12" w:rsidRDefault="00FC32FF">
          <w:pPr>
            <w:pStyle w:val="TOC2"/>
            <w:tabs>
              <w:tab w:val="right" w:leader="dot" w:pos="9061"/>
            </w:tabs>
            <w:rPr>
              <w:noProof/>
              <w:lang w:eastAsia="lv-LV"/>
            </w:rPr>
          </w:pPr>
          <w:hyperlink w:anchor="_Toc427646558" w:history="1">
            <w:r w:rsidR="0018013F" w:rsidRPr="003C1B12">
              <w:rPr>
                <w:rStyle w:val="Hyperlink"/>
                <w:rFonts w:ascii="Times New Roman" w:hAnsi="Times New Roman" w:cs="Times New Roman"/>
                <w:noProof/>
              </w:rPr>
              <w:t>2.2.3. Pētniecības projektu atlase, uzraudzība  un rezultātu ieviešana</w:t>
            </w:r>
            <w:r w:rsidR="0018013F" w:rsidRPr="003C1B12">
              <w:rPr>
                <w:noProof/>
                <w:webHidden/>
              </w:rPr>
              <w:tab/>
            </w:r>
            <w:r w:rsidR="0018013F" w:rsidRPr="003C1B12">
              <w:rPr>
                <w:noProof/>
                <w:webHidden/>
              </w:rPr>
              <w:fldChar w:fldCharType="begin"/>
            </w:r>
            <w:r w:rsidR="0018013F" w:rsidRPr="003C1B12">
              <w:rPr>
                <w:noProof/>
                <w:webHidden/>
              </w:rPr>
              <w:instrText xml:space="preserve"> PAGEREF _Toc427646558 \h </w:instrText>
            </w:r>
            <w:r w:rsidR="0018013F" w:rsidRPr="003C1B12">
              <w:rPr>
                <w:noProof/>
                <w:webHidden/>
              </w:rPr>
            </w:r>
            <w:r w:rsidR="0018013F" w:rsidRPr="003C1B12">
              <w:rPr>
                <w:noProof/>
                <w:webHidden/>
              </w:rPr>
              <w:fldChar w:fldCharType="separate"/>
            </w:r>
            <w:r w:rsidR="0018013F" w:rsidRPr="003C1B12">
              <w:rPr>
                <w:noProof/>
                <w:webHidden/>
              </w:rPr>
              <w:t>16</w:t>
            </w:r>
            <w:r w:rsidR="0018013F" w:rsidRPr="003C1B12">
              <w:rPr>
                <w:noProof/>
                <w:webHidden/>
              </w:rPr>
              <w:fldChar w:fldCharType="end"/>
            </w:r>
          </w:hyperlink>
        </w:p>
        <w:p w:rsidR="0018013F" w:rsidRPr="003C1B12" w:rsidRDefault="00FC32FF">
          <w:pPr>
            <w:pStyle w:val="TOC2"/>
            <w:tabs>
              <w:tab w:val="right" w:leader="dot" w:pos="9061"/>
            </w:tabs>
            <w:rPr>
              <w:noProof/>
              <w:lang w:eastAsia="lv-LV"/>
            </w:rPr>
          </w:pPr>
          <w:hyperlink w:anchor="_Toc427646559" w:history="1">
            <w:r w:rsidR="0018013F" w:rsidRPr="003C1B12">
              <w:rPr>
                <w:rStyle w:val="Hyperlink"/>
                <w:rFonts w:ascii="Times New Roman" w:hAnsi="Times New Roman" w:cs="Times New Roman"/>
                <w:noProof/>
              </w:rPr>
              <w:t>2.2.4. KC pētniecības virzienu atbilstība viedās specializācijas jomām</w:t>
            </w:r>
            <w:r w:rsidR="0018013F" w:rsidRPr="003C1B12">
              <w:rPr>
                <w:noProof/>
                <w:webHidden/>
              </w:rPr>
              <w:tab/>
            </w:r>
            <w:r w:rsidR="0018013F" w:rsidRPr="003C1B12">
              <w:rPr>
                <w:noProof/>
                <w:webHidden/>
              </w:rPr>
              <w:fldChar w:fldCharType="begin"/>
            </w:r>
            <w:r w:rsidR="0018013F" w:rsidRPr="003C1B12">
              <w:rPr>
                <w:noProof/>
                <w:webHidden/>
              </w:rPr>
              <w:instrText xml:space="preserve"> PAGEREF _Toc427646559 \h </w:instrText>
            </w:r>
            <w:r w:rsidR="0018013F" w:rsidRPr="003C1B12">
              <w:rPr>
                <w:noProof/>
                <w:webHidden/>
              </w:rPr>
            </w:r>
            <w:r w:rsidR="0018013F" w:rsidRPr="003C1B12">
              <w:rPr>
                <w:noProof/>
                <w:webHidden/>
              </w:rPr>
              <w:fldChar w:fldCharType="separate"/>
            </w:r>
            <w:r w:rsidR="0018013F" w:rsidRPr="003C1B12">
              <w:rPr>
                <w:noProof/>
                <w:webHidden/>
              </w:rPr>
              <w:t>17</w:t>
            </w:r>
            <w:r w:rsidR="0018013F" w:rsidRPr="003C1B12">
              <w:rPr>
                <w:noProof/>
                <w:webHidden/>
              </w:rPr>
              <w:fldChar w:fldCharType="end"/>
            </w:r>
          </w:hyperlink>
        </w:p>
        <w:p w:rsidR="0018013F" w:rsidRPr="003C1B12" w:rsidRDefault="00FC32FF">
          <w:pPr>
            <w:pStyle w:val="TOC2"/>
            <w:tabs>
              <w:tab w:val="right" w:leader="dot" w:pos="9061"/>
            </w:tabs>
            <w:rPr>
              <w:noProof/>
              <w:lang w:eastAsia="lv-LV"/>
            </w:rPr>
          </w:pPr>
          <w:hyperlink w:anchor="_Toc427646560" w:history="1">
            <w:r w:rsidR="0018013F" w:rsidRPr="003C1B12">
              <w:rPr>
                <w:rStyle w:val="Hyperlink"/>
                <w:rFonts w:ascii="Times New Roman" w:hAnsi="Times New Roman" w:cs="Times New Roman"/>
                <w:noProof/>
              </w:rPr>
              <w:t>2.2.5. Programmas administrēšana</w:t>
            </w:r>
            <w:r w:rsidR="0018013F" w:rsidRPr="003C1B12">
              <w:rPr>
                <w:noProof/>
                <w:webHidden/>
              </w:rPr>
              <w:tab/>
            </w:r>
            <w:r w:rsidR="0018013F" w:rsidRPr="003C1B12">
              <w:rPr>
                <w:noProof/>
                <w:webHidden/>
              </w:rPr>
              <w:fldChar w:fldCharType="begin"/>
            </w:r>
            <w:r w:rsidR="0018013F" w:rsidRPr="003C1B12">
              <w:rPr>
                <w:noProof/>
                <w:webHidden/>
              </w:rPr>
              <w:instrText xml:space="preserve"> PAGEREF _Toc427646560 \h </w:instrText>
            </w:r>
            <w:r w:rsidR="0018013F" w:rsidRPr="003C1B12">
              <w:rPr>
                <w:noProof/>
                <w:webHidden/>
              </w:rPr>
            </w:r>
            <w:r w:rsidR="0018013F" w:rsidRPr="003C1B12">
              <w:rPr>
                <w:noProof/>
                <w:webHidden/>
              </w:rPr>
              <w:fldChar w:fldCharType="separate"/>
            </w:r>
            <w:r w:rsidR="0018013F" w:rsidRPr="003C1B12">
              <w:rPr>
                <w:noProof/>
                <w:webHidden/>
              </w:rPr>
              <w:t>18</w:t>
            </w:r>
            <w:r w:rsidR="0018013F" w:rsidRPr="003C1B12">
              <w:rPr>
                <w:noProof/>
                <w:webHidden/>
              </w:rPr>
              <w:fldChar w:fldCharType="end"/>
            </w:r>
          </w:hyperlink>
        </w:p>
        <w:p w:rsidR="0018013F" w:rsidRPr="003C1B12" w:rsidRDefault="00FC32FF">
          <w:pPr>
            <w:pStyle w:val="TOC2"/>
            <w:tabs>
              <w:tab w:val="right" w:leader="dot" w:pos="9061"/>
            </w:tabs>
            <w:rPr>
              <w:noProof/>
              <w:lang w:eastAsia="lv-LV"/>
            </w:rPr>
          </w:pPr>
          <w:hyperlink w:anchor="_Toc427646561" w:history="1">
            <w:r w:rsidR="0018013F" w:rsidRPr="003C1B12">
              <w:rPr>
                <w:rStyle w:val="Hyperlink"/>
                <w:rFonts w:ascii="Times New Roman" w:hAnsi="Times New Roman" w:cs="Times New Roman"/>
                <w:noProof/>
              </w:rPr>
              <w:t>2.4. Priekšlikumi KC programmas pilnveidošanai</w:t>
            </w:r>
            <w:r w:rsidR="0018013F" w:rsidRPr="003C1B12">
              <w:rPr>
                <w:noProof/>
                <w:webHidden/>
              </w:rPr>
              <w:tab/>
            </w:r>
            <w:r w:rsidR="0018013F" w:rsidRPr="003C1B12">
              <w:rPr>
                <w:noProof/>
                <w:webHidden/>
              </w:rPr>
              <w:fldChar w:fldCharType="begin"/>
            </w:r>
            <w:r w:rsidR="0018013F" w:rsidRPr="003C1B12">
              <w:rPr>
                <w:noProof/>
                <w:webHidden/>
              </w:rPr>
              <w:instrText xml:space="preserve"> PAGEREF _Toc427646561 \h </w:instrText>
            </w:r>
            <w:r w:rsidR="0018013F" w:rsidRPr="003C1B12">
              <w:rPr>
                <w:noProof/>
                <w:webHidden/>
              </w:rPr>
            </w:r>
            <w:r w:rsidR="0018013F" w:rsidRPr="003C1B12">
              <w:rPr>
                <w:noProof/>
                <w:webHidden/>
              </w:rPr>
              <w:fldChar w:fldCharType="separate"/>
            </w:r>
            <w:r w:rsidR="0018013F" w:rsidRPr="003C1B12">
              <w:rPr>
                <w:noProof/>
                <w:webHidden/>
              </w:rPr>
              <w:t>22</w:t>
            </w:r>
            <w:r w:rsidR="0018013F" w:rsidRPr="003C1B12">
              <w:rPr>
                <w:noProof/>
                <w:webHidden/>
              </w:rPr>
              <w:fldChar w:fldCharType="end"/>
            </w:r>
          </w:hyperlink>
        </w:p>
        <w:p w:rsidR="0018013F" w:rsidRPr="003C1B12" w:rsidRDefault="00FC32FF">
          <w:pPr>
            <w:pStyle w:val="TOC1"/>
            <w:rPr>
              <w:noProof/>
              <w:lang w:eastAsia="lv-LV"/>
            </w:rPr>
          </w:pPr>
          <w:hyperlink w:anchor="_Toc427646562" w:history="1">
            <w:r w:rsidR="0018013F" w:rsidRPr="003C1B12">
              <w:rPr>
                <w:rStyle w:val="Hyperlink"/>
                <w:rFonts w:ascii="Times New Roman" w:hAnsi="Times New Roman" w:cs="Times New Roman"/>
                <w:noProof/>
              </w:rPr>
              <w:t>3. KC atbalsta programmas 2014.-2020.gadā  ieviešanas nosacījumi</w:t>
            </w:r>
            <w:r w:rsidR="0018013F" w:rsidRPr="003C1B12">
              <w:rPr>
                <w:noProof/>
                <w:webHidden/>
              </w:rPr>
              <w:tab/>
            </w:r>
            <w:r w:rsidR="0018013F" w:rsidRPr="003C1B12">
              <w:rPr>
                <w:noProof/>
                <w:webHidden/>
              </w:rPr>
              <w:fldChar w:fldCharType="begin"/>
            </w:r>
            <w:r w:rsidR="0018013F" w:rsidRPr="003C1B12">
              <w:rPr>
                <w:noProof/>
                <w:webHidden/>
              </w:rPr>
              <w:instrText xml:space="preserve"> PAGEREF _Toc427646562 \h </w:instrText>
            </w:r>
            <w:r w:rsidR="0018013F" w:rsidRPr="003C1B12">
              <w:rPr>
                <w:noProof/>
                <w:webHidden/>
              </w:rPr>
            </w:r>
            <w:r w:rsidR="0018013F" w:rsidRPr="003C1B12">
              <w:rPr>
                <w:noProof/>
                <w:webHidden/>
              </w:rPr>
              <w:fldChar w:fldCharType="separate"/>
            </w:r>
            <w:r w:rsidR="0018013F" w:rsidRPr="003C1B12">
              <w:rPr>
                <w:noProof/>
                <w:webHidden/>
              </w:rPr>
              <w:t>23</w:t>
            </w:r>
            <w:r w:rsidR="0018013F" w:rsidRPr="003C1B12">
              <w:rPr>
                <w:noProof/>
                <w:webHidden/>
              </w:rPr>
              <w:fldChar w:fldCharType="end"/>
            </w:r>
          </w:hyperlink>
        </w:p>
        <w:p w:rsidR="0018013F" w:rsidRPr="003C1B12" w:rsidRDefault="00FC32FF">
          <w:pPr>
            <w:pStyle w:val="TOC1"/>
            <w:rPr>
              <w:noProof/>
              <w:lang w:eastAsia="lv-LV"/>
            </w:rPr>
          </w:pPr>
          <w:hyperlink w:anchor="_Toc427646563" w:history="1">
            <w:r w:rsidR="0018013F" w:rsidRPr="003C1B12">
              <w:rPr>
                <w:rStyle w:val="Hyperlink"/>
                <w:rFonts w:ascii="Times New Roman" w:hAnsi="Times New Roman" w:cs="Times New Roman"/>
                <w:noProof/>
              </w:rPr>
              <w:t>4. Rezultāta un iznākuma rādītāji</w:t>
            </w:r>
            <w:r w:rsidR="0018013F" w:rsidRPr="003C1B12">
              <w:rPr>
                <w:noProof/>
                <w:webHidden/>
              </w:rPr>
              <w:tab/>
            </w:r>
            <w:r w:rsidR="0018013F" w:rsidRPr="003C1B12">
              <w:rPr>
                <w:noProof/>
                <w:webHidden/>
              </w:rPr>
              <w:fldChar w:fldCharType="begin"/>
            </w:r>
            <w:r w:rsidR="0018013F" w:rsidRPr="003C1B12">
              <w:rPr>
                <w:noProof/>
                <w:webHidden/>
              </w:rPr>
              <w:instrText xml:space="preserve"> PAGEREF _Toc427646563 \h </w:instrText>
            </w:r>
            <w:r w:rsidR="0018013F" w:rsidRPr="003C1B12">
              <w:rPr>
                <w:noProof/>
                <w:webHidden/>
              </w:rPr>
            </w:r>
            <w:r w:rsidR="0018013F" w:rsidRPr="003C1B12">
              <w:rPr>
                <w:noProof/>
                <w:webHidden/>
              </w:rPr>
              <w:fldChar w:fldCharType="separate"/>
            </w:r>
            <w:r w:rsidR="0018013F" w:rsidRPr="003C1B12">
              <w:rPr>
                <w:noProof/>
                <w:webHidden/>
              </w:rPr>
              <w:t>31</w:t>
            </w:r>
            <w:r w:rsidR="0018013F" w:rsidRPr="003C1B12">
              <w:rPr>
                <w:noProof/>
                <w:webHidden/>
              </w:rPr>
              <w:fldChar w:fldCharType="end"/>
            </w:r>
          </w:hyperlink>
        </w:p>
        <w:p w:rsidR="0018013F" w:rsidRPr="003C1B12" w:rsidRDefault="00FC32FF">
          <w:pPr>
            <w:pStyle w:val="TOC1"/>
            <w:rPr>
              <w:noProof/>
              <w:lang w:eastAsia="lv-LV"/>
            </w:rPr>
          </w:pPr>
          <w:hyperlink w:anchor="_Toc427646564" w:history="1">
            <w:r w:rsidR="0018013F" w:rsidRPr="003C1B12">
              <w:rPr>
                <w:rStyle w:val="Hyperlink"/>
                <w:rFonts w:ascii="Times New Roman" w:hAnsi="Times New Roman" w:cs="Times New Roman"/>
                <w:noProof/>
              </w:rPr>
              <w:t>5. Sinerģija ar citām valsts atbalsta iniciatīvām</w:t>
            </w:r>
            <w:r w:rsidR="0018013F" w:rsidRPr="003C1B12">
              <w:rPr>
                <w:noProof/>
                <w:webHidden/>
              </w:rPr>
              <w:tab/>
            </w:r>
            <w:r w:rsidR="0018013F" w:rsidRPr="003C1B12">
              <w:rPr>
                <w:noProof/>
                <w:webHidden/>
              </w:rPr>
              <w:fldChar w:fldCharType="begin"/>
            </w:r>
            <w:r w:rsidR="0018013F" w:rsidRPr="003C1B12">
              <w:rPr>
                <w:noProof/>
                <w:webHidden/>
              </w:rPr>
              <w:instrText xml:space="preserve"> PAGEREF _Toc427646564 \h </w:instrText>
            </w:r>
            <w:r w:rsidR="0018013F" w:rsidRPr="003C1B12">
              <w:rPr>
                <w:noProof/>
                <w:webHidden/>
              </w:rPr>
            </w:r>
            <w:r w:rsidR="0018013F" w:rsidRPr="003C1B12">
              <w:rPr>
                <w:noProof/>
                <w:webHidden/>
              </w:rPr>
              <w:fldChar w:fldCharType="separate"/>
            </w:r>
            <w:r w:rsidR="0018013F" w:rsidRPr="003C1B12">
              <w:rPr>
                <w:noProof/>
                <w:webHidden/>
              </w:rPr>
              <w:t>34</w:t>
            </w:r>
            <w:r w:rsidR="0018013F" w:rsidRPr="003C1B12">
              <w:rPr>
                <w:noProof/>
                <w:webHidden/>
              </w:rPr>
              <w:fldChar w:fldCharType="end"/>
            </w:r>
          </w:hyperlink>
        </w:p>
        <w:p w:rsidR="0018013F" w:rsidRPr="003C1B12" w:rsidRDefault="00FC32FF">
          <w:pPr>
            <w:pStyle w:val="TOC1"/>
            <w:rPr>
              <w:noProof/>
              <w:lang w:eastAsia="lv-LV"/>
            </w:rPr>
          </w:pPr>
          <w:hyperlink w:anchor="_Toc427646565" w:history="1">
            <w:r w:rsidR="0018013F" w:rsidRPr="003C1B12">
              <w:rPr>
                <w:rStyle w:val="Hyperlink"/>
                <w:rFonts w:ascii="Times New Roman" w:hAnsi="Times New Roman" w:cs="Times New Roman"/>
                <w:noProof/>
              </w:rPr>
              <w:t>Pielikums Nr.1</w:t>
            </w:r>
            <w:r w:rsidR="0018013F" w:rsidRPr="003C1B12">
              <w:rPr>
                <w:noProof/>
                <w:webHidden/>
              </w:rPr>
              <w:tab/>
            </w:r>
            <w:r w:rsidR="0018013F" w:rsidRPr="003C1B12">
              <w:rPr>
                <w:noProof/>
                <w:webHidden/>
              </w:rPr>
              <w:fldChar w:fldCharType="begin"/>
            </w:r>
            <w:r w:rsidR="0018013F" w:rsidRPr="003C1B12">
              <w:rPr>
                <w:noProof/>
                <w:webHidden/>
              </w:rPr>
              <w:instrText xml:space="preserve"> PAGEREF _Toc427646565 \h </w:instrText>
            </w:r>
            <w:r w:rsidR="0018013F" w:rsidRPr="003C1B12">
              <w:rPr>
                <w:noProof/>
                <w:webHidden/>
              </w:rPr>
            </w:r>
            <w:r w:rsidR="0018013F" w:rsidRPr="003C1B12">
              <w:rPr>
                <w:noProof/>
                <w:webHidden/>
              </w:rPr>
              <w:fldChar w:fldCharType="separate"/>
            </w:r>
            <w:r w:rsidR="0018013F" w:rsidRPr="003C1B12">
              <w:rPr>
                <w:noProof/>
                <w:webHidden/>
              </w:rPr>
              <w:t>37</w:t>
            </w:r>
            <w:r w:rsidR="0018013F" w:rsidRPr="003C1B12">
              <w:rPr>
                <w:noProof/>
                <w:webHidden/>
              </w:rPr>
              <w:fldChar w:fldCharType="end"/>
            </w:r>
          </w:hyperlink>
        </w:p>
        <w:p w:rsidR="0018013F" w:rsidRPr="003C1B12" w:rsidRDefault="00FC32FF">
          <w:pPr>
            <w:pStyle w:val="TOC1"/>
            <w:rPr>
              <w:noProof/>
              <w:lang w:eastAsia="lv-LV"/>
            </w:rPr>
          </w:pPr>
          <w:hyperlink w:anchor="_Toc427646566" w:history="1">
            <w:r w:rsidR="0018013F" w:rsidRPr="003C1B12">
              <w:rPr>
                <w:rStyle w:val="Hyperlink"/>
                <w:rFonts w:ascii="Times New Roman" w:hAnsi="Times New Roman" w:cs="Times New Roman"/>
                <w:noProof/>
              </w:rPr>
              <w:t>Pielikums Nr.2</w:t>
            </w:r>
            <w:r w:rsidR="0018013F" w:rsidRPr="003C1B12">
              <w:rPr>
                <w:noProof/>
                <w:webHidden/>
              </w:rPr>
              <w:tab/>
            </w:r>
            <w:r w:rsidR="0018013F" w:rsidRPr="003C1B12">
              <w:rPr>
                <w:noProof/>
                <w:webHidden/>
              </w:rPr>
              <w:fldChar w:fldCharType="begin"/>
            </w:r>
            <w:r w:rsidR="0018013F" w:rsidRPr="003C1B12">
              <w:rPr>
                <w:noProof/>
                <w:webHidden/>
              </w:rPr>
              <w:instrText xml:space="preserve"> PAGEREF _Toc427646566 \h </w:instrText>
            </w:r>
            <w:r w:rsidR="0018013F" w:rsidRPr="003C1B12">
              <w:rPr>
                <w:noProof/>
                <w:webHidden/>
              </w:rPr>
            </w:r>
            <w:r w:rsidR="0018013F" w:rsidRPr="003C1B12">
              <w:rPr>
                <w:noProof/>
                <w:webHidden/>
              </w:rPr>
              <w:fldChar w:fldCharType="separate"/>
            </w:r>
            <w:r w:rsidR="0018013F" w:rsidRPr="003C1B12">
              <w:rPr>
                <w:noProof/>
                <w:webHidden/>
              </w:rPr>
              <w:t>39</w:t>
            </w:r>
            <w:r w:rsidR="0018013F" w:rsidRPr="003C1B12">
              <w:rPr>
                <w:noProof/>
                <w:webHidden/>
              </w:rPr>
              <w:fldChar w:fldCharType="end"/>
            </w:r>
          </w:hyperlink>
        </w:p>
        <w:p w:rsidR="000C4557" w:rsidRPr="003C1B12" w:rsidRDefault="000C4557" w:rsidP="000C4557">
          <w:pPr>
            <w:spacing w:after="0"/>
            <w:rPr>
              <w:rFonts w:ascii="Times New Roman" w:hAnsi="Times New Roman" w:cs="Times New Roman"/>
            </w:rPr>
          </w:pPr>
          <w:r w:rsidRPr="003C1B12">
            <w:rPr>
              <w:rFonts w:ascii="Times New Roman" w:hAnsi="Times New Roman" w:cs="Times New Roman"/>
              <w:b/>
              <w:bCs/>
              <w:noProof/>
            </w:rPr>
            <w:fldChar w:fldCharType="end"/>
          </w:r>
        </w:p>
      </w:sdtContent>
    </w:sdt>
    <w:p w:rsidR="000C4557" w:rsidRPr="003C1B12" w:rsidRDefault="000C4557" w:rsidP="000C4557">
      <w:pPr>
        <w:spacing w:after="0" w:line="240" w:lineRule="auto"/>
        <w:ind w:firstLine="720"/>
        <w:jc w:val="both"/>
        <w:rPr>
          <w:rFonts w:ascii="Times New Roman" w:hAnsi="Times New Roman" w:cs="Times New Roman"/>
        </w:rPr>
      </w:pPr>
    </w:p>
    <w:p w:rsidR="000C4557" w:rsidRPr="003C1B12" w:rsidRDefault="000C4557" w:rsidP="000C4557">
      <w:pPr>
        <w:spacing w:after="0" w:line="240" w:lineRule="auto"/>
        <w:ind w:firstLine="720"/>
        <w:jc w:val="both"/>
        <w:rPr>
          <w:rFonts w:ascii="Times New Roman" w:hAnsi="Times New Roman" w:cs="Times New Roman"/>
        </w:rPr>
      </w:pPr>
    </w:p>
    <w:p w:rsidR="000C4557" w:rsidRPr="003C1B12" w:rsidRDefault="000C4557" w:rsidP="000C4557">
      <w:pPr>
        <w:spacing w:after="0" w:line="240" w:lineRule="auto"/>
        <w:ind w:firstLine="720"/>
        <w:jc w:val="both"/>
        <w:rPr>
          <w:rFonts w:ascii="Times New Roman" w:hAnsi="Times New Roman" w:cs="Times New Roman"/>
        </w:rPr>
      </w:pPr>
    </w:p>
    <w:p w:rsidR="000C4557" w:rsidRPr="003C1B12" w:rsidRDefault="000C4557" w:rsidP="000C4557">
      <w:pPr>
        <w:spacing w:after="0" w:line="240" w:lineRule="auto"/>
        <w:ind w:firstLine="720"/>
        <w:jc w:val="both"/>
        <w:rPr>
          <w:rFonts w:ascii="Times New Roman" w:hAnsi="Times New Roman" w:cs="Times New Roman"/>
        </w:rPr>
      </w:pPr>
      <w:r w:rsidRPr="003C1B12">
        <w:rPr>
          <w:rFonts w:ascii="Times New Roman" w:hAnsi="Times New Roman" w:cs="Times New Roman"/>
        </w:rPr>
        <w:br w:type="page"/>
      </w:r>
    </w:p>
    <w:p w:rsidR="000C4557" w:rsidRPr="003C1B12" w:rsidRDefault="000C4557" w:rsidP="000C4557">
      <w:pPr>
        <w:pStyle w:val="Heading1"/>
        <w:spacing w:before="0" w:line="240" w:lineRule="auto"/>
        <w:jc w:val="center"/>
        <w:rPr>
          <w:rFonts w:ascii="Times New Roman" w:hAnsi="Times New Roman" w:cs="Times New Roman"/>
          <w:color w:val="31849B" w:themeColor="accent5" w:themeShade="BF"/>
          <w:sz w:val="28"/>
          <w:szCs w:val="28"/>
        </w:rPr>
      </w:pPr>
      <w:bookmarkStart w:id="0" w:name="_Toc427646462"/>
      <w:bookmarkStart w:id="1" w:name="_Toc427646548"/>
      <w:r w:rsidRPr="003C1B12">
        <w:rPr>
          <w:rFonts w:ascii="Times New Roman" w:hAnsi="Times New Roman" w:cs="Times New Roman"/>
          <w:color w:val="31849B" w:themeColor="accent5" w:themeShade="BF"/>
          <w:sz w:val="28"/>
          <w:szCs w:val="28"/>
        </w:rPr>
        <w:lastRenderedPageBreak/>
        <w:t>SAĪSINĀJUMI</w:t>
      </w:r>
      <w:bookmarkEnd w:id="0"/>
      <w:bookmarkEnd w:id="1"/>
    </w:p>
    <w:p w:rsidR="000C4557" w:rsidRPr="003C1B12" w:rsidRDefault="000C4557" w:rsidP="000C4557">
      <w:pPr>
        <w:spacing w:after="0" w:line="240" w:lineRule="auto"/>
        <w:ind w:firstLine="720"/>
        <w:jc w:val="both"/>
        <w:rPr>
          <w:rFonts w:ascii="Times New Roman" w:hAnsi="Times New Roman" w:cs="Times New Roman"/>
        </w:rPr>
      </w:pPr>
    </w:p>
    <w:p w:rsidR="000C4557" w:rsidRPr="003C1B12" w:rsidRDefault="000C4557" w:rsidP="000C4557">
      <w:pPr>
        <w:spacing w:after="0" w:line="240" w:lineRule="auto"/>
        <w:ind w:left="1276" w:hanging="1134"/>
        <w:jc w:val="both"/>
        <w:rPr>
          <w:rFonts w:ascii="Times New Roman" w:hAnsi="Times New Roman" w:cs="Times New Roman"/>
        </w:rPr>
      </w:pPr>
    </w:p>
    <w:p w:rsidR="00B1058C" w:rsidRPr="003C1B12" w:rsidRDefault="00B1058C" w:rsidP="00B1058C">
      <w:pPr>
        <w:spacing w:after="0" w:line="240" w:lineRule="auto"/>
        <w:ind w:left="993" w:hanging="851"/>
        <w:jc w:val="both"/>
        <w:rPr>
          <w:rFonts w:ascii="Times New Roman" w:hAnsi="Times New Roman" w:cs="Times New Roman"/>
          <w:sz w:val="24"/>
          <w:szCs w:val="24"/>
        </w:rPr>
      </w:pPr>
      <w:r w:rsidRPr="003C1B12">
        <w:rPr>
          <w:rFonts w:ascii="Times New Roman" w:hAnsi="Times New Roman" w:cs="Times New Roman"/>
          <w:sz w:val="24"/>
          <w:szCs w:val="24"/>
        </w:rPr>
        <w:t>CFLA</w:t>
      </w:r>
      <w:r w:rsidRPr="003C1B12">
        <w:rPr>
          <w:rFonts w:ascii="Times New Roman" w:hAnsi="Times New Roman" w:cs="Times New Roman"/>
          <w:sz w:val="24"/>
          <w:szCs w:val="24"/>
        </w:rPr>
        <w:tab/>
        <w:t>Centrālā finanšu un līgumu aģentūra</w:t>
      </w:r>
    </w:p>
    <w:p w:rsidR="00B1058C" w:rsidRPr="003C1B12" w:rsidRDefault="00B1058C" w:rsidP="00B1058C">
      <w:pPr>
        <w:spacing w:after="0" w:line="240" w:lineRule="auto"/>
        <w:ind w:left="993" w:hanging="851"/>
        <w:jc w:val="both"/>
        <w:rPr>
          <w:rFonts w:ascii="Times New Roman" w:hAnsi="Times New Roman" w:cs="Times New Roman"/>
        </w:rPr>
      </w:pPr>
      <w:r w:rsidRPr="003C1B12">
        <w:rPr>
          <w:rFonts w:ascii="Times New Roman" w:hAnsi="Times New Roman" w:cs="Times New Roman"/>
          <w:sz w:val="24"/>
          <w:szCs w:val="24"/>
        </w:rPr>
        <w:t>CSP</w:t>
      </w:r>
      <w:r w:rsidRPr="003C1B12">
        <w:rPr>
          <w:rFonts w:ascii="Times New Roman" w:hAnsi="Times New Roman" w:cs="Times New Roman"/>
          <w:sz w:val="24"/>
          <w:szCs w:val="24"/>
        </w:rPr>
        <w:tab/>
        <w:t>Centrālā statistikas pārvalde</w:t>
      </w:r>
    </w:p>
    <w:p w:rsidR="00B1058C" w:rsidRPr="003C1B12" w:rsidRDefault="00B1058C" w:rsidP="00B1058C">
      <w:pPr>
        <w:spacing w:after="0" w:line="240" w:lineRule="auto"/>
        <w:ind w:left="993" w:hanging="851"/>
        <w:jc w:val="both"/>
        <w:rPr>
          <w:rFonts w:ascii="Times New Roman" w:hAnsi="Times New Roman" w:cs="Times New Roman"/>
        </w:rPr>
      </w:pPr>
      <w:r w:rsidRPr="003C1B12">
        <w:rPr>
          <w:rFonts w:ascii="Times New Roman" w:hAnsi="Times New Roman" w:cs="Times New Roman"/>
        </w:rPr>
        <w:t>EK</w:t>
      </w:r>
      <w:r w:rsidRPr="003C1B12">
        <w:rPr>
          <w:rFonts w:ascii="Times New Roman" w:hAnsi="Times New Roman" w:cs="Times New Roman"/>
        </w:rPr>
        <w:tab/>
        <w:t>Eiropas Komisija</w:t>
      </w:r>
    </w:p>
    <w:p w:rsidR="00B1058C" w:rsidRPr="003C1B12" w:rsidRDefault="00B1058C" w:rsidP="00B1058C">
      <w:pPr>
        <w:spacing w:after="0" w:line="240" w:lineRule="auto"/>
        <w:ind w:left="993" w:hanging="851"/>
        <w:jc w:val="both"/>
        <w:rPr>
          <w:rFonts w:ascii="Times New Roman" w:hAnsi="Times New Roman" w:cs="Times New Roman"/>
        </w:rPr>
      </w:pPr>
      <w:r w:rsidRPr="003C1B12">
        <w:rPr>
          <w:rFonts w:ascii="Times New Roman" w:hAnsi="Times New Roman" w:cs="Times New Roman"/>
        </w:rPr>
        <w:t xml:space="preserve">EM </w:t>
      </w:r>
      <w:r w:rsidRPr="003C1B12">
        <w:rPr>
          <w:rFonts w:ascii="Times New Roman" w:hAnsi="Times New Roman" w:cs="Times New Roman"/>
        </w:rPr>
        <w:tab/>
        <w:t>Ekonomikas ministrija</w:t>
      </w:r>
    </w:p>
    <w:p w:rsidR="00B1058C" w:rsidRPr="003C1B12" w:rsidRDefault="00B1058C" w:rsidP="00B1058C">
      <w:pPr>
        <w:spacing w:after="0" w:line="240" w:lineRule="auto"/>
        <w:ind w:left="993" w:hanging="851"/>
        <w:jc w:val="both"/>
        <w:rPr>
          <w:rFonts w:ascii="Times New Roman" w:hAnsi="Times New Roman" w:cs="Times New Roman"/>
        </w:rPr>
      </w:pPr>
      <w:r w:rsidRPr="003C1B12">
        <w:rPr>
          <w:rFonts w:ascii="Times New Roman" w:hAnsi="Times New Roman" w:cs="Times New Roman"/>
        </w:rPr>
        <w:t>ES</w:t>
      </w:r>
      <w:r w:rsidRPr="003C1B12">
        <w:rPr>
          <w:rFonts w:ascii="Times New Roman" w:hAnsi="Times New Roman" w:cs="Times New Roman"/>
        </w:rPr>
        <w:tab/>
        <w:t xml:space="preserve">Eiropas Savienība </w:t>
      </w:r>
    </w:p>
    <w:p w:rsidR="00B1058C" w:rsidRPr="003C1B12" w:rsidRDefault="00B1058C" w:rsidP="00B1058C">
      <w:pPr>
        <w:spacing w:after="0" w:line="240" w:lineRule="auto"/>
        <w:ind w:left="993" w:hanging="851"/>
        <w:jc w:val="both"/>
        <w:rPr>
          <w:rFonts w:ascii="Times New Roman" w:hAnsi="Times New Roman" w:cs="Times New Roman"/>
        </w:rPr>
      </w:pPr>
      <w:r w:rsidRPr="003C1B12">
        <w:rPr>
          <w:rFonts w:ascii="Times New Roman" w:hAnsi="Times New Roman" w:cs="Times New Roman"/>
        </w:rPr>
        <w:t>FM</w:t>
      </w:r>
      <w:r w:rsidRPr="003C1B12">
        <w:rPr>
          <w:rFonts w:ascii="Times New Roman" w:hAnsi="Times New Roman" w:cs="Times New Roman"/>
        </w:rPr>
        <w:tab/>
        <w:t>Finanšu ministrija</w:t>
      </w:r>
    </w:p>
    <w:p w:rsidR="00B1058C" w:rsidRPr="003C1B12" w:rsidRDefault="00B1058C" w:rsidP="00B1058C">
      <w:pPr>
        <w:spacing w:after="0" w:line="240" w:lineRule="auto"/>
        <w:ind w:left="993" w:hanging="851"/>
        <w:jc w:val="both"/>
        <w:rPr>
          <w:rFonts w:ascii="Times New Roman" w:hAnsi="Times New Roman" w:cs="Times New Roman"/>
        </w:rPr>
      </w:pPr>
      <w:r w:rsidRPr="003C1B12">
        <w:rPr>
          <w:rFonts w:ascii="Times New Roman" w:hAnsi="Times New Roman" w:cs="Times New Roman"/>
        </w:rPr>
        <w:t>IZM</w:t>
      </w:r>
      <w:r w:rsidRPr="003C1B12">
        <w:rPr>
          <w:rFonts w:ascii="Times New Roman" w:hAnsi="Times New Roman" w:cs="Times New Roman"/>
        </w:rPr>
        <w:tab/>
        <w:t>Izglītības un zinātnes ministrija</w:t>
      </w:r>
    </w:p>
    <w:p w:rsidR="00B1058C" w:rsidRPr="003C1B12" w:rsidRDefault="00B1058C" w:rsidP="00B1058C">
      <w:pPr>
        <w:spacing w:after="0" w:line="240" w:lineRule="auto"/>
        <w:ind w:left="993" w:hanging="851"/>
        <w:jc w:val="both"/>
        <w:rPr>
          <w:rStyle w:val="st"/>
          <w:rFonts w:ascii="Times New Roman" w:hAnsi="Times New Roman" w:cs="Times New Roman"/>
          <w:sz w:val="24"/>
          <w:szCs w:val="24"/>
        </w:rPr>
      </w:pPr>
      <w:r w:rsidRPr="003C1B12">
        <w:rPr>
          <w:rStyle w:val="st"/>
          <w:rFonts w:ascii="Times New Roman" w:hAnsi="Times New Roman" w:cs="Times New Roman"/>
          <w:sz w:val="24"/>
          <w:szCs w:val="24"/>
        </w:rPr>
        <w:t>IKP</w:t>
      </w:r>
      <w:r w:rsidRPr="003C1B12">
        <w:rPr>
          <w:rStyle w:val="st"/>
          <w:rFonts w:ascii="Times New Roman" w:hAnsi="Times New Roman" w:cs="Times New Roman"/>
          <w:sz w:val="24"/>
          <w:szCs w:val="24"/>
        </w:rPr>
        <w:tab/>
        <w:t>Iekšzemes kopprodukts</w:t>
      </w:r>
    </w:p>
    <w:p w:rsidR="00B1058C" w:rsidRPr="003C1B12" w:rsidRDefault="00B1058C" w:rsidP="00B1058C">
      <w:pPr>
        <w:spacing w:after="0" w:line="240" w:lineRule="auto"/>
        <w:ind w:left="993" w:hanging="851"/>
        <w:jc w:val="both"/>
        <w:rPr>
          <w:rFonts w:ascii="Times New Roman" w:hAnsi="Times New Roman" w:cs="Times New Roman"/>
          <w:sz w:val="24"/>
          <w:szCs w:val="24"/>
        </w:rPr>
      </w:pPr>
      <w:r w:rsidRPr="003C1B12">
        <w:rPr>
          <w:rFonts w:ascii="Times New Roman" w:hAnsi="Times New Roman" w:cs="Times New Roman"/>
          <w:sz w:val="24"/>
          <w:szCs w:val="24"/>
        </w:rPr>
        <w:t>IKT</w:t>
      </w:r>
      <w:r w:rsidRPr="003C1B12">
        <w:rPr>
          <w:rFonts w:ascii="Times New Roman" w:hAnsi="Times New Roman" w:cs="Times New Roman"/>
          <w:sz w:val="24"/>
          <w:szCs w:val="24"/>
        </w:rPr>
        <w:tab/>
        <w:t>Informācijas un komunikāciju tehnoloģijas</w:t>
      </w:r>
    </w:p>
    <w:p w:rsidR="00B1058C" w:rsidRPr="003C1B12" w:rsidRDefault="00B1058C" w:rsidP="00B1058C">
      <w:pPr>
        <w:spacing w:after="0" w:line="240" w:lineRule="auto"/>
        <w:ind w:left="993" w:hanging="851"/>
        <w:jc w:val="both"/>
        <w:rPr>
          <w:rFonts w:ascii="Times New Roman" w:hAnsi="Times New Roman" w:cs="Times New Roman"/>
          <w:sz w:val="24"/>
          <w:szCs w:val="24"/>
        </w:rPr>
      </w:pPr>
      <w:r w:rsidRPr="003C1B12">
        <w:rPr>
          <w:rFonts w:ascii="Times New Roman" w:hAnsi="Times New Roman" w:cs="Times New Roman"/>
          <w:sz w:val="24"/>
          <w:szCs w:val="24"/>
        </w:rPr>
        <w:t>ITKC</w:t>
      </w:r>
      <w:r w:rsidRPr="003C1B12">
        <w:rPr>
          <w:rFonts w:ascii="Times New Roman" w:hAnsi="Times New Roman" w:cs="Times New Roman"/>
          <w:sz w:val="24"/>
          <w:szCs w:val="24"/>
        </w:rPr>
        <w:tab/>
        <w:t>Informācijas un komunikāciju tehnoloģiju kompetences centrs</w:t>
      </w:r>
    </w:p>
    <w:p w:rsidR="00B1058C" w:rsidRPr="003C1B12" w:rsidRDefault="00B1058C" w:rsidP="00B1058C">
      <w:pPr>
        <w:spacing w:after="0" w:line="240" w:lineRule="auto"/>
        <w:ind w:left="993" w:hanging="851"/>
        <w:jc w:val="both"/>
        <w:rPr>
          <w:rFonts w:ascii="Times New Roman" w:hAnsi="Times New Roman" w:cs="Times New Roman"/>
          <w:sz w:val="24"/>
          <w:szCs w:val="24"/>
        </w:rPr>
      </w:pPr>
      <w:r w:rsidRPr="003C1B12">
        <w:rPr>
          <w:rFonts w:ascii="Times New Roman" w:hAnsi="Times New Roman" w:cs="Times New Roman"/>
          <w:sz w:val="24"/>
          <w:szCs w:val="24"/>
        </w:rPr>
        <w:t>KC</w:t>
      </w:r>
      <w:r w:rsidRPr="003C1B12">
        <w:rPr>
          <w:rFonts w:ascii="Times New Roman" w:hAnsi="Times New Roman" w:cs="Times New Roman"/>
          <w:sz w:val="24"/>
          <w:szCs w:val="24"/>
        </w:rPr>
        <w:tab/>
        <w:t>Kompetences centrs</w:t>
      </w:r>
    </w:p>
    <w:p w:rsidR="00B1058C" w:rsidRPr="003C1B12" w:rsidRDefault="00B1058C" w:rsidP="00B1058C">
      <w:pPr>
        <w:spacing w:after="0" w:line="240" w:lineRule="auto"/>
        <w:ind w:left="993" w:hanging="851"/>
        <w:jc w:val="both"/>
        <w:rPr>
          <w:rFonts w:ascii="Times New Roman" w:hAnsi="Times New Roman" w:cs="Times New Roman"/>
        </w:rPr>
      </w:pPr>
      <w:r w:rsidRPr="003C1B12">
        <w:rPr>
          <w:rFonts w:ascii="Times New Roman" w:hAnsi="Times New Roman" w:cs="Times New Roman"/>
        </w:rPr>
        <w:t>LEO KC</w:t>
      </w:r>
      <w:r w:rsidRPr="003C1B12">
        <w:rPr>
          <w:rFonts w:ascii="Times New Roman" w:hAnsi="Times New Roman" w:cs="Times New Roman"/>
        </w:rPr>
        <w:tab/>
        <w:t>Latvijas elektrisko un optisko iekārtu ražošanas nozares kompetences centrs</w:t>
      </w:r>
    </w:p>
    <w:p w:rsidR="00B1058C" w:rsidRPr="003C1B12" w:rsidRDefault="00B1058C" w:rsidP="00B1058C">
      <w:pPr>
        <w:spacing w:after="0" w:line="240" w:lineRule="auto"/>
        <w:ind w:left="993" w:hanging="851"/>
        <w:jc w:val="both"/>
        <w:rPr>
          <w:rFonts w:ascii="Times New Roman" w:hAnsi="Times New Roman" w:cs="Times New Roman"/>
        </w:rPr>
      </w:pPr>
      <w:r w:rsidRPr="003C1B12">
        <w:rPr>
          <w:rFonts w:ascii="Times New Roman" w:hAnsi="Times New Roman" w:cs="Times New Roman"/>
        </w:rPr>
        <w:t>LIAA</w:t>
      </w:r>
      <w:r w:rsidRPr="003C1B12">
        <w:rPr>
          <w:rFonts w:ascii="Times New Roman" w:hAnsi="Times New Roman" w:cs="Times New Roman"/>
        </w:rPr>
        <w:tab/>
        <w:t>Latvijas Investīciju un attīstības aģentūra</w:t>
      </w:r>
    </w:p>
    <w:p w:rsidR="00B1058C" w:rsidRPr="003C1B12" w:rsidRDefault="00B1058C" w:rsidP="00B1058C">
      <w:pPr>
        <w:spacing w:after="0" w:line="240" w:lineRule="auto"/>
        <w:ind w:left="993" w:hanging="851"/>
        <w:jc w:val="both"/>
        <w:rPr>
          <w:rFonts w:ascii="Times New Roman" w:hAnsi="Times New Roman" w:cs="Times New Roman"/>
        </w:rPr>
      </w:pPr>
      <w:r w:rsidRPr="003C1B12">
        <w:rPr>
          <w:rFonts w:ascii="Times New Roman" w:hAnsi="Times New Roman" w:cs="Times New Roman"/>
        </w:rPr>
        <w:t>MNKC</w:t>
      </w:r>
      <w:r w:rsidRPr="003C1B12">
        <w:rPr>
          <w:rFonts w:ascii="Times New Roman" w:hAnsi="Times New Roman" w:cs="Times New Roman"/>
        </w:rPr>
        <w:tab/>
        <w:t>Meža nozares kompetences centrs</w:t>
      </w:r>
    </w:p>
    <w:p w:rsidR="00B1058C" w:rsidRPr="003C1B12" w:rsidRDefault="00B1058C" w:rsidP="00B1058C">
      <w:pPr>
        <w:spacing w:after="0" w:line="240" w:lineRule="auto"/>
        <w:ind w:left="993" w:hanging="851"/>
        <w:jc w:val="both"/>
        <w:rPr>
          <w:rFonts w:ascii="Times New Roman" w:hAnsi="Times New Roman" w:cs="Times New Roman"/>
        </w:rPr>
      </w:pPr>
      <w:r w:rsidRPr="003C1B12">
        <w:rPr>
          <w:rFonts w:ascii="Times New Roman" w:eastAsia="SimSun" w:hAnsi="Times New Roman" w:cs="Times New Roman"/>
          <w:sz w:val="24"/>
          <w:szCs w:val="24"/>
          <w:lang w:eastAsia="zh-CN" w:bidi="lo-LA"/>
        </w:rPr>
        <w:t>OECD</w:t>
      </w:r>
      <w:r w:rsidRPr="003C1B12">
        <w:rPr>
          <w:rFonts w:ascii="Times New Roman" w:eastAsia="SimSun" w:hAnsi="Times New Roman" w:cs="Times New Roman"/>
          <w:sz w:val="24"/>
          <w:szCs w:val="24"/>
          <w:lang w:eastAsia="zh-CN" w:bidi="lo-LA"/>
        </w:rPr>
        <w:tab/>
        <w:t>Ekonomiskās sadarbības un attīstības organizācija</w:t>
      </w:r>
    </w:p>
    <w:p w:rsidR="00B1058C" w:rsidRPr="003C1B12" w:rsidRDefault="00B1058C" w:rsidP="00B1058C">
      <w:pPr>
        <w:spacing w:after="0" w:line="240" w:lineRule="auto"/>
        <w:ind w:left="993" w:hanging="851"/>
        <w:jc w:val="both"/>
        <w:rPr>
          <w:rFonts w:ascii="Times New Roman" w:hAnsi="Times New Roman" w:cs="Times New Roman"/>
        </w:rPr>
      </w:pPr>
      <w:r w:rsidRPr="003C1B12">
        <w:rPr>
          <w:rFonts w:ascii="Times New Roman" w:hAnsi="Times New Roman" w:cs="Times New Roman"/>
        </w:rPr>
        <w:t>PCCCL</w:t>
      </w:r>
      <w:r w:rsidRPr="003C1B12">
        <w:rPr>
          <w:rFonts w:ascii="Times New Roman" w:hAnsi="Times New Roman" w:cs="Times New Roman"/>
        </w:rPr>
        <w:tab/>
        <w:t>Pharma and Chemestry Competence Centre of Latvia</w:t>
      </w:r>
    </w:p>
    <w:p w:rsidR="00B1058C" w:rsidRPr="003C1B12" w:rsidRDefault="00B1058C" w:rsidP="00B1058C">
      <w:pPr>
        <w:spacing w:after="0" w:line="240" w:lineRule="auto"/>
        <w:ind w:left="993" w:hanging="851"/>
        <w:jc w:val="both"/>
        <w:rPr>
          <w:rFonts w:ascii="Times New Roman" w:hAnsi="Times New Roman" w:cs="Times New Roman"/>
        </w:rPr>
      </w:pPr>
      <w:r w:rsidRPr="003C1B12">
        <w:rPr>
          <w:rFonts w:ascii="Times New Roman" w:hAnsi="Times New Roman" w:cs="Times New Roman"/>
        </w:rPr>
        <w:t>P&amp;A</w:t>
      </w:r>
      <w:r w:rsidRPr="003C1B12">
        <w:rPr>
          <w:rFonts w:ascii="Times New Roman" w:hAnsi="Times New Roman" w:cs="Times New Roman"/>
        </w:rPr>
        <w:tab/>
        <w:t>Pētniecība un attīstība</w:t>
      </w:r>
    </w:p>
    <w:p w:rsidR="00B1058C" w:rsidRPr="003C1B12" w:rsidRDefault="00B1058C" w:rsidP="00B1058C">
      <w:pPr>
        <w:spacing w:after="0" w:line="240" w:lineRule="auto"/>
        <w:ind w:left="993" w:hanging="851"/>
        <w:jc w:val="both"/>
        <w:rPr>
          <w:rFonts w:ascii="Times New Roman" w:hAnsi="Times New Roman" w:cs="Times New Roman"/>
        </w:rPr>
      </w:pPr>
      <w:r w:rsidRPr="003C1B12">
        <w:rPr>
          <w:rFonts w:ascii="Times New Roman" w:hAnsi="Times New Roman" w:cs="Times New Roman"/>
          <w:sz w:val="24"/>
        </w:rPr>
        <w:t>SAM</w:t>
      </w:r>
      <w:r w:rsidRPr="003C1B12">
        <w:rPr>
          <w:rFonts w:ascii="Times New Roman" w:hAnsi="Times New Roman" w:cs="Times New Roman"/>
          <w:sz w:val="24"/>
        </w:rPr>
        <w:tab/>
        <w:t>Specifiskais atbalsta mērķis</w:t>
      </w:r>
    </w:p>
    <w:p w:rsidR="00B1058C" w:rsidRPr="003C1B12" w:rsidRDefault="00B1058C" w:rsidP="00B1058C">
      <w:pPr>
        <w:spacing w:after="0" w:line="240" w:lineRule="auto"/>
        <w:ind w:left="993" w:hanging="851"/>
        <w:jc w:val="both"/>
        <w:rPr>
          <w:rFonts w:ascii="Times New Roman" w:hAnsi="Times New Roman" w:cs="Times New Roman"/>
        </w:rPr>
      </w:pPr>
      <w:r w:rsidRPr="003C1B12">
        <w:rPr>
          <w:rFonts w:ascii="Times New Roman" w:hAnsi="Times New Roman" w:cs="Times New Roman"/>
        </w:rPr>
        <w:t>TMKC</w:t>
      </w:r>
      <w:r w:rsidRPr="003C1B12">
        <w:rPr>
          <w:rFonts w:ascii="Times New Roman" w:hAnsi="Times New Roman" w:cs="Times New Roman"/>
        </w:rPr>
        <w:tab/>
        <w:t>Transporta mašīnbūves kompetences centrs</w:t>
      </w:r>
    </w:p>
    <w:p w:rsidR="00B1058C" w:rsidRPr="003C1B12" w:rsidRDefault="00B1058C" w:rsidP="00B1058C">
      <w:pPr>
        <w:spacing w:after="0" w:line="240" w:lineRule="auto"/>
        <w:ind w:left="993" w:hanging="851"/>
        <w:jc w:val="both"/>
        <w:rPr>
          <w:rFonts w:ascii="Times New Roman" w:hAnsi="Times New Roman" w:cs="Times New Roman"/>
        </w:rPr>
      </w:pPr>
      <w:r w:rsidRPr="003C1B12">
        <w:rPr>
          <w:rFonts w:ascii="Times New Roman" w:hAnsi="Times New Roman" w:cs="Times New Roman"/>
        </w:rPr>
        <w:t>VBBKC</w:t>
      </w:r>
      <w:r w:rsidRPr="003C1B12">
        <w:rPr>
          <w:rFonts w:ascii="Times New Roman" w:hAnsi="Times New Roman" w:cs="Times New Roman"/>
        </w:rPr>
        <w:tab/>
        <w:t>Vides, bioenerģētikas un biotehnoloģijas kompetences centrs</w:t>
      </w:r>
    </w:p>
    <w:p w:rsidR="00B1058C" w:rsidRPr="003C1B12" w:rsidRDefault="00B1058C" w:rsidP="00B1058C">
      <w:pPr>
        <w:spacing w:after="0" w:line="240" w:lineRule="auto"/>
        <w:ind w:left="993" w:hanging="851"/>
        <w:jc w:val="both"/>
        <w:rPr>
          <w:rFonts w:ascii="Times New Roman" w:hAnsi="Times New Roman" w:cs="Times New Roman"/>
        </w:rPr>
      </w:pPr>
      <w:r w:rsidRPr="003C1B12">
        <w:rPr>
          <w:rFonts w:ascii="Times New Roman" w:hAnsi="Times New Roman" w:cs="Times New Roman"/>
        </w:rPr>
        <w:t>VID</w:t>
      </w:r>
      <w:r w:rsidRPr="003C1B12">
        <w:rPr>
          <w:rFonts w:ascii="Times New Roman" w:hAnsi="Times New Roman" w:cs="Times New Roman"/>
        </w:rPr>
        <w:tab/>
        <w:t>Valsts ieņēmumu dienests</w:t>
      </w:r>
    </w:p>
    <w:p w:rsidR="00B1058C" w:rsidRPr="003C1B12" w:rsidRDefault="00B1058C" w:rsidP="00B1058C">
      <w:pPr>
        <w:spacing w:after="0" w:line="240" w:lineRule="auto"/>
        <w:ind w:left="993" w:hanging="851"/>
        <w:jc w:val="both"/>
        <w:rPr>
          <w:rFonts w:ascii="Times New Roman" w:hAnsi="Times New Roman" w:cs="Times New Roman"/>
        </w:rPr>
      </w:pPr>
      <w:r w:rsidRPr="003C1B12">
        <w:rPr>
          <w:rFonts w:ascii="Times New Roman" w:hAnsi="Times New Roman" w:cs="Times New Roman"/>
        </w:rPr>
        <w:t>VIS</w:t>
      </w:r>
      <w:r w:rsidRPr="003C1B12">
        <w:rPr>
          <w:rFonts w:ascii="Times New Roman" w:hAnsi="Times New Roman" w:cs="Times New Roman"/>
        </w:rPr>
        <w:tab/>
        <w:t>Eiropas Savienības struktūrfondu un Kohēzijas fonda vadības informācijas sistēma</w:t>
      </w:r>
    </w:p>
    <w:p w:rsidR="000C4557" w:rsidRPr="003C1B12" w:rsidRDefault="000C4557" w:rsidP="000C4557">
      <w:pPr>
        <w:spacing w:after="0" w:line="240" w:lineRule="auto"/>
        <w:ind w:firstLine="720"/>
        <w:jc w:val="both"/>
        <w:rPr>
          <w:rFonts w:ascii="Times New Roman" w:hAnsi="Times New Roman" w:cs="Times New Roman"/>
        </w:rPr>
      </w:pPr>
    </w:p>
    <w:p w:rsidR="000C4557" w:rsidRPr="003C1B12" w:rsidRDefault="000C4557" w:rsidP="000C4557">
      <w:pPr>
        <w:spacing w:after="0" w:line="240" w:lineRule="auto"/>
        <w:jc w:val="both"/>
        <w:rPr>
          <w:rFonts w:ascii="Times New Roman" w:hAnsi="Times New Roman" w:cs="Times New Roman"/>
        </w:rPr>
      </w:pPr>
    </w:p>
    <w:p w:rsidR="000C4557" w:rsidRPr="003C1B12" w:rsidRDefault="000C4557" w:rsidP="000C4557">
      <w:pPr>
        <w:spacing w:after="0" w:line="240" w:lineRule="auto"/>
        <w:ind w:firstLine="720"/>
        <w:jc w:val="both"/>
        <w:rPr>
          <w:rFonts w:ascii="Times New Roman" w:hAnsi="Times New Roman" w:cs="Times New Roman"/>
        </w:rPr>
      </w:pPr>
    </w:p>
    <w:p w:rsidR="000C4557" w:rsidRPr="003C1B12" w:rsidRDefault="000C4557" w:rsidP="000C4557">
      <w:pPr>
        <w:spacing w:after="0" w:line="240" w:lineRule="auto"/>
        <w:jc w:val="both"/>
        <w:rPr>
          <w:rFonts w:ascii="Times New Roman" w:hAnsi="Times New Roman" w:cs="Times New Roman"/>
          <w:b/>
        </w:rPr>
      </w:pPr>
      <w:r w:rsidRPr="003C1B12">
        <w:rPr>
          <w:rFonts w:ascii="Times New Roman" w:hAnsi="Times New Roman" w:cs="Times New Roman"/>
          <w:b/>
        </w:rPr>
        <w:br w:type="page"/>
      </w:r>
    </w:p>
    <w:p w:rsidR="000C4557" w:rsidRPr="003C1B12" w:rsidRDefault="000C4557" w:rsidP="000C4557">
      <w:pPr>
        <w:pStyle w:val="Heading1"/>
        <w:spacing w:before="0" w:line="240" w:lineRule="auto"/>
        <w:rPr>
          <w:rFonts w:ascii="Times New Roman" w:hAnsi="Times New Roman" w:cs="Times New Roman"/>
          <w:color w:val="31849B" w:themeColor="accent5" w:themeShade="BF"/>
        </w:rPr>
      </w:pPr>
      <w:bookmarkStart w:id="2" w:name="_Toc417324170"/>
      <w:bookmarkStart w:id="3" w:name="_Toc427646463"/>
      <w:bookmarkStart w:id="4" w:name="_Toc427646549"/>
      <w:r w:rsidRPr="003C1B12">
        <w:rPr>
          <w:rFonts w:ascii="Times New Roman" w:hAnsi="Times New Roman" w:cs="Times New Roman"/>
          <w:color w:val="31849B" w:themeColor="accent5" w:themeShade="BF"/>
        </w:rPr>
        <w:lastRenderedPageBreak/>
        <w:t>1. Esošās sociāli ekonomiskās situācijas apraksts</w:t>
      </w:r>
      <w:bookmarkEnd w:id="2"/>
      <w:bookmarkEnd w:id="3"/>
      <w:bookmarkEnd w:id="4"/>
    </w:p>
    <w:p w:rsidR="000C4557" w:rsidRPr="003C1B12" w:rsidRDefault="000C4557" w:rsidP="000C4557">
      <w:pPr>
        <w:spacing w:after="0" w:line="240" w:lineRule="auto"/>
        <w:jc w:val="both"/>
        <w:rPr>
          <w:rFonts w:ascii="Times New Roman" w:hAnsi="Times New Roman" w:cs="Times New Roman"/>
          <w:color w:val="31849B" w:themeColor="accent5" w:themeShade="BF"/>
        </w:rPr>
      </w:pPr>
    </w:p>
    <w:p w:rsidR="000C4557" w:rsidRPr="003C1B12" w:rsidRDefault="000C4557" w:rsidP="000C4557">
      <w:pPr>
        <w:pStyle w:val="Heading2"/>
        <w:spacing w:before="0"/>
        <w:rPr>
          <w:rFonts w:ascii="Times New Roman" w:hAnsi="Times New Roman" w:cs="Times New Roman"/>
          <w:color w:val="31849B" w:themeColor="accent5" w:themeShade="BF"/>
        </w:rPr>
      </w:pPr>
      <w:bookmarkStart w:id="5" w:name="_Toc417324171"/>
      <w:bookmarkStart w:id="6" w:name="_Toc427646464"/>
      <w:bookmarkStart w:id="7" w:name="_Toc427646550"/>
      <w:r w:rsidRPr="003C1B12">
        <w:rPr>
          <w:rFonts w:ascii="Times New Roman" w:hAnsi="Times New Roman" w:cs="Times New Roman"/>
          <w:color w:val="31849B" w:themeColor="accent5" w:themeShade="BF"/>
        </w:rPr>
        <w:t>1.1. Makroekonomiskās situācijas raksturojums</w:t>
      </w:r>
      <w:bookmarkEnd w:id="5"/>
      <w:bookmarkEnd w:id="6"/>
      <w:bookmarkEnd w:id="7"/>
    </w:p>
    <w:p w:rsidR="00220B5B" w:rsidRPr="003C1B12" w:rsidRDefault="00220B5B" w:rsidP="000C4557">
      <w:pPr>
        <w:spacing w:after="0" w:line="240" w:lineRule="auto"/>
        <w:ind w:firstLine="567"/>
        <w:jc w:val="both"/>
        <w:rPr>
          <w:rFonts w:ascii="Times New Roman" w:hAnsi="Times New Roman" w:cs="Times New Roman"/>
          <w:sz w:val="24"/>
          <w:szCs w:val="24"/>
        </w:rPr>
      </w:pPr>
    </w:p>
    <w:p w:rsidR="000C4557" w:rsidRPr="003C1B12" w:rsidRDefault="000C4557" w:rsidP="000C4557">
      <w:pPr>
        <w:spacing w:after="0" w:line="240" w:lineRule="auto"/>
        <w:ind w:firstLine="567"/>
        <w:jc w:val="both"/>
        <w:rPr>
          <w:rFonts w:ascii="Times New Roman" w:hAnsi="Times New Roman" w:cs="Times New Roman"/>
          <w:sz w:val="24"/>
          <w:szCs w:val="24"/>
        </w:rPr>
      </w:pPr>
      <w:r w:rsidRPr="003C1B12">
        <w:rPr>
          <w:rFonts w:ascii="Times New Roman" w:hAnsi="Times New Roman" w:cs="Times New Roman"/>
          <w:sz w:val="24"/>
          <w:szCs w:val="24"/>
        </w:rPr>
        <w:t xml:space="preserve">Laika posmā no 2001. līdz 2008.gadam </w:t>
      </w:r>
      <w:r w:rsidRPr="003C1B12">
        <w:rPr>
          <w:rStyle w:val="st"/>
          <w:rFonts w:ascii="Times New Roman" w:hAnsi="Times New Roman" w:cs="Times New Roman"/>
          <w:sz w:val="24"/>
          <w:szCs w:val="24"/>
        </w:rPr>
        <w:t xml:space="preserve">Latvijā bija vērojama strauja ekonomiskā attīstība, kas balstījās </w:t>
      </w:r>
      <w:r w:rsidRPr="003C1B12">
        <w:rPr>
          <w:rFonts w:ascii="Times New Roman" w:hAnsi="Times New Roman" w:cs="Times New Roman"/>
          <w:sz w:val="24"/>
          <w:szCs w:val="24"/>
        </w:rPr>
        <w:t>uz būtisku privātā patēriņa un investīciju pieaugumu un nozīmīgu ārējā kapitāla ieplūdi.</w:t>
      </w:r>
      <w:r w:rsidRPr="003C1B12">
        <w:rPr>
          <w:rStyle w:val="st"/>
          <w:rFonts w:ascii="Times New Roman" w:hAnsi="Times New Roman" w:cs="Times New Roman"/>
          <w:sz w:val="24"/>
          <w:szCs w:val="24"/>
        </w:rPr>
        <w:t xml:space="preserve"> Šajā periodā IKP</w:t>
      </w:r>
      <w:r w:rsidRPr="003C1B12">
        <w:rPr>
          <w:rFonts w:ascii="Times New Roman" w:hAnsi="Times New Roman" w:cs="Times New Roman"/>
          <w:sz w:val="24"/>
          <w:szCs w:val="24"/>
        </w:rPr>
        <w:t xml:space="preserve"> pieaugums valstī veidoja vidēji 8,8% gadā. 2008.–2010. gadā globālās finanšu un ekonomiskās krīzes ietekmē valstī iestājās viena no dziļākajām recesijām ES. IKP visstraujāk saruka 2009.gadā, samazinoties gandrīz par 18% un tādējādi atstājot būtisku iespaidu uz tautsaimniecību, kurā strauji samazinājās darbavietu skaits un palielinājās bezdarbs, kā arī pieauga finansiālā un sociālā nenoteiktība.</w:t>
      </w:r>
    </w:p>
    <w:p w:rsidR="000C4557" w:rsidRPr="003C1B12" w:rsidRDefault="000C4557" w:rsidP="000C4557">
      <w:pPr>
        <w:spacing w:after="0" w:line="240" w:lineRule="auto"/>
        <w:ind w:firstLine="567"/>
        <w:jc w:val="both"/>
        <w:rPr>
          <w:rFonts w:ascii="Times New Roman" w:hAnsi="Times New Roman" w:cs="Times New Roman"/>
          <w:sz w:val="24"/>
          <w:szCs w:val="24"/>
        </w:rPr>
      </w:pPr>
      <w:r w:rsidRPr="003C1B12">
        <w:rPr>
          <w:rFonts w:ascii="Times New Roman" w:hAnsi="Times New Roman" w:cs="Times New Roman"/>
          <w:sz w:val="24"/>
          <w:szCs w:val="24"/>
        </w:rPr>
        <w:t>Pēc nepārtrauktas septiņu ceturkšņu ekonomiskās lejupslīdes 2009.gada 4.ceturksnī ekonomikā atsākās izaugsme un 2010.gadā bija vērojams pakāpenisks IKP pieaugums. Tomēr, ņemot vērā, ka izaugsme atsākās no ļoti zema punkta, 2010.gadā IKP bija par 0,3% mazāks nekā gadu iepriekš. Savukārt 2012.gadā IKP par 5,6</w:t>
      </w:r>
      <w:r w:rsidR="007824AA" w:rsidRPr="003C1B12">
        <w:rPr>
          <w:rFonts w:ascii="Times New Roman" w:hAnsi="Times New Roman" w:cs="Times New Roman"/>
          <w:sz w:val="24"/>
          <w:szCs w:val="24"/>
        </w:rPr>
        <w:t xml:space="preserve">% pārsniedza 2011.gada līmeni </w:t>
      </w:r>
      <w:r w:rsidR="007824AA" w:rsidRPr="003C1B12">
        <w:rPr>
          <w:rFonts w:ascii="Times New Roman" w:hAnsi="Times New Roman" w:cs="Times New Roman"/>
          <w:sz w:val="24"/>
          <w:szCs w:val="24"/>
        </w:rPr>
        <w:softHyphen/>
      </w:r>
      <w:r w:rsidRPr="003C1B12">
        <w:rPr>
          <w:rFonts w:ascii="Times New Roman" w:hAnsi="Times New Roman" w:cs="Times New Roman"/>
          <w:sz w:val="24"/>
          <w:szCs w:val="24"/>
        </w:rPr>
        <w:t xml:space="preserve"> tas bija viens no straujākajiem pieaugumiem ES. Atbilstoši CSP apkopotajiem </w:t>
      </w:r>
      <w:r w:rsidRPr="003C1B12">
        <w:rPr>
          <w:rFonts w:ascii="Times New Roman" w:hAnsi="Times New Roman" w:cs="Times New Roman"/>
          <w:bCs/>
          <w:sz w:val="24"/>
          <w:szCs w:val="24"/>
        </w:rPr>
        <w:t xml:space="preserve">sezonāli neizlīdzinātajiem datiem </w:t>
      </w:r>
      <w:r w:rsidRPr="003C1B12">
        <w:rPr>
          <w:rFonts w:ascii="Times New Roman" w:hAnsi="Times New Roman" w:cs="Times New Roman"/>
          <w:sz w:val="24"/>
          <w:szCs w:val="24"/>
        </w:rPr>
        <w:t>2012.gadā pozitīvā tendence turpinājās. 2014.gadā, salīdzinājumā ar 2013.gadu, IKP salīdzināmajās cenās palielinājies par 2,4%.</w:t>
      </w:r>
    </w:p>
    <w:p w:rsidR="000C4557" w:rsidRPr="003C1B12" w:rsidRDefault="000C4557" w:rsidP="000C4557">
      <w:pPr>
        <w:spacing w:after="0" w:line="240" w:lineRule="auto"/>
        <w:ind w:firstLine="567"/>
        <w:jc w:val="both"/>
        <w:rPr>
          <w:rFonts w:ascii="Times New Roman" w:hAnsi="Times New Roman" w:cs="Times New Roman"/>
          <w:sz w:val="24"/>
          <w:szCs w:val="24"/>
        </w:rPr>
      </w:pPr>
      <w:r w:rsidRPr="003C1B12">
        <w:rPr>
          <w:rFonts w:ascii="Times New Roman" w:hAnsi="Times New Roman" w:cs="Times New Roman"/>
          <w:sz w:val="24"/>
          <w:szCs w:val="24"/>
        </w:rPr>
        <w:t>Ekonomisko izaugsmi galvenokārt ir veicinājis eksporta pieaugums, tā rezultātā Latvijas ekonomiskā struktūra ir kļuvusi sabalansētāka, tik lielā mērā vairs nebalstoties uz iekšzemes patēriņu. Pozitīvas tendences vērojamas arī iekšējā tirgū, ko nosaka ne vien ienākumu pieaugums no eksporta, bet arī nodarbinātības pieaugums un pakāpenisks darba samaksas kāpums.</w:t>
      </w:r>
    </w:p>
    <w:p w:rsidR="000C4557" w:rsidRPr="003C1B12" w:rsidRDefault="000C4557" w:rsidP="000C4557">
      <w:pPr>
        <w:spacing w:after="0" w:line="240" w:lineRule="auto"/>
        <w:ind w:firstLine="720"/>
        <w:jc w:val="both"/>
        <w:rPr>
          <w:rFonts w:ascii="Times New Roman" w:hAnsi="Times New Roman" w:cs="Times New Roman"/>
          <w:sz w:val="24"/>
          <w:szCs w:val="24"/>
        </w:rPr>
      </w:pPr>
      <w:r w:rsidRPr="003C1B12">
        <w:rPr>
          <w:rFonts w:ascii="Times New Roman" w:eastAsia="MS Mincho" w:hAnsi="Times New Roman" w:cs="Times New Roman"/>
          <w:sz w:val="24"/>
          <w:szCs w:val="24"/>
          <w:lang w:eastAsia="ja-JP" w:bidi="lo-LA"/>
        </w:rPr>
        <w:t xml:space="preserve">Latvijas konkurētspēju </w:t>
      </w:r>
      <w:r w:rsidR="004859E8" w:rsidRPr="003C1B12">
        <w:rPr>
          <w:rFonts w:ascii="Times New Roman" w:eastAsia="MS Mincho" w:hAnsi="Times New Roman" w:cs="Times New Roman"/>
          <w:sz w:val="24"/>
          <w:szCs w:val="24"/>
          <w:lang w:eastAsia="ja-JP" w:bidi="lo-LA"/>
        </w:rPr>
        <w:t xml:space="preserve">līdz šim </w:t>
      </w:r>
      <w:r w:rsidRPr="003C1B12">
        <w:rPr>
          <w:rFonts w:ascii="Times New Roman" w:eastAsia="MS Mincho" w:hAnsi="Times New Roman" w:cs="Times New Roman"/>
          <w:sz w:val="24"/>
          <w:szCs w:val="24"/>
          <w:lang w:eastAsia="ja-JP" w:bidi="lo-LA"/>
        </w:rPr>
        <w:t xml:space="preserve">lielā mērā ir veicinājis salīdzinoši lēts darbaspēks un zemas vispārējās izmaksas. Tomēr, pastāvot brīvai darbaspēka kustībai, zemu algu līmeni nav iespējams uzturēt ilgstoši. Tā vietā konkurētspējai ir jābalstās uz pieaugošu darba ražīgumu. Pirmskrīzes periodā reālā darba samaksa pārsniedza darba ražīguma pieauguma tempus, kā rezultātā mazinājās tautsaimniecības ārējā konkurētspēja. Kopš 2009.gada darba ražīguma rādītāji uzlabojas. </w:t>
      </w:r>
      <w:r w:rsidRPr="003C1B12">
        <w:rPr>
          <w:rFonts w:ascii="Times New Roman" w:hAnsi="Times New Roman" w:cs="Times New Roman"/>
          <w:sz w:val="24"/>
          <w:szCs w:val="24"/>
        </w:rPr>
        <w:t xml:space="preserve">Vienlaikus 2014.gadā Latvija vēl joprojām ieņēma vienu no pēdējām vietām ES darbaspēka produktivitātē. ES dalībvalstu vidējais rādītājs ir 32 </w:t>
      </w:r>
      <w:r w:rsidRPr="003C1B12">
        <w:rPr>
          <w:rFonts w:ascii="Times New Roman" w:hAnsi="Times New Roman" w:cs="Times New Roman"/>
          <w:i/>
          <w:sz w:val="24"/>
          <w:szCs w:val="24"/>
        </w:rPr>
        <w:t>euro</w:t>
      </w:r>
      <w:r w:rsidRPr="003C1B12">
        <w:rPr>
          <w:rFonts w:ascii="Times New Roman" w:hAnsi="Times New Roman" w:cs="Times New Roman"/>
          <w:sz w:val="24"/>
          <w:szCs w:val="24"/>
        </w:rPr>
        <w:t xml:space="preserve"> uz vienu nostrādāto stundu, kamēr Latvijā tas ir bijis 8,4 </w:t>
      </w:r>
      <w:r w:rsidRPr="003C1B12">
        <w:rPr>
          <w:rFonts w:ascii="Times New Roman" w:hAnsi="Times New Roman" w:cs="Times New Roman"/>
          <w:i/>
          <w:sz w:val="24"/>
          <w:szCs w:val="24"/>
        </w:rPr>
        <w:t>euro</w:t>
      </w:r>
      <w:r w:rsidRPr="003C1B12">
        <w:rPr>
          <w:rFonts w:ascii="Times New Roman" w:hAnsi="Times New Roman" w:cs="Times New Roman"/>
          <w:sz w:val="24"/>
          <w:szCs w:val="24"/>
        </w:rPr>
        <w:t>.</w:t>
      </w:r>
    </w:p>
    <w:p w:rsidR="000C4557" w:rsidRPr="003C1B12" w:rsidRDefault="000C4557" w:rsidP="00EF67F0">
      <w:pPr>
        <w:spacing w:after="0" w:line="240" w:lineRule="auto"/>
        <w:ind w:firstLine="720"/>
        <w:jc w:val="both"/>
        <w:rPr>
          <w:rFonts w:ascii="Times New Roman" w:hAnsi="Times New Roman" w:cs="Times New Roman"/>
          <w:sz w:val="24"/>
          <w:szCs w:val="24"/>
        </w:rPr>
      </w:pPr>
      <w:r w:rsidRPr="003C1B12">
        <w:rPr>
          <w:rFonts w:ascii="Times New Roman" w:hAnsi="Times New Roman" w:cs="Times New Roman"/>
          <w:sz w:val="24"/>
          <w:szCs w:val="24"/>
        </w:rPr>
        <w:t xml:space="preserve">Atjaunojoties ekonomikas izaugsmei pēc dziļās krīzes, Latvijas lielākās eksporta nozares - apstrādes rūpniecības - pieauguma tempi bija krietni straujāki nekā kopējā tautsaimniecības izaugsme. Pēckrīzes gados apstrādes rūpniecība bija galvenais tautsaimniecības izaugsmes virzītājs. No 2009.gada līdz 2012.gada beigām ražošanas apjomi apstrādes rūpniecībā pieauga par 24%. Apstrādes rūpniecībai bija nozīmīgs pienesums jaunu darbavietu radīšanā tautsaimniecībā – 2011. un 2012.gadā nozare nodrošināja gandrīz piektdaļu no visām jaunajām darbavietām. Eksporta īpatsvars šīs nozares produkcijas realizācijā vidēji ir 62%. Tomēr apstrādes rūpniecības īpatsvars Latvijas tautsaimniecības kopējā pievienotajā vērtībā salīdzinājumā ar Eiropas </w:t>
      </w:r>
      <w:r w:rsidR="0029150F" w:rsidRPr="003C1B12">
        <w:rPr>
          <w:rFonts w:ascii="Times New Roman" w:hAnsi="Times New Roman" w:cs="Times New Roman"/>
          <w:sz w:val="24"/>
          <w:szCs w:val="24"/>
        </w:rPr>
        <w:t xml:space="preserve">Savienības </w:t>
      </w:r>
      <w:r w:rsidRPr="003C1B12">
        <w:rPr>
          <w:rFonts w:ascii="Times New Roman" w:hAnsi="Times New Roman" w:cs="Times New Roman"/>
          <w:sz w:val="24"/>
          <w:szCs w:val="24"/>
        </w:rPr>
        <w:t xml:space="preserve">valstu vidējo rādītāju ir relatīvi zems, nozare 2014.gadā veidoja 12,2% pievienotās vērtības no kopējās tautsaimniecības struktūras. </w:t>
      </w:r>
    </w:p>
    <w:p w:rsidR="009F00B1" w:rsidRPr="003C1B12" w:rsidRDefault="009F00B1" w:rsidP="00EF67F0">
      <w:pPr>
        <w:spacing w:after="0" w:line="240" w:lineRule="auto"/>
        <w:ind w:firstLine="426"/>
        <w:jc w:val="both"/>
        <w:rPr>
          <w:rFonts w:ascii="Times New Roman" w:hAnsi="Times New Roman" w:cs="Times New Roman"/>
          <w:szCs w:val="28"/>
        </w:rPr>
      </w:pPr>
      <w:r w:rsidRPr="003C1B12">
        <w:rPr>
          <w:rFonts w:ascii="Times New Roman" w:hAnsi="Times New Roman" w:cs="Times New Roman"/>
          <w:sz w:val="24"/>
          <w:szCs w:val="24"/>
        </w:rPr>
        <w:t xml:space="preserve">Apstrādes rūpniecības </w:t>
      </w:r>
      <w:r w:rsidR="00995BDA" w:rsidRPr="003C1B12">
        <w:rPr>
          <w:rFonts w:ascii="Times New Roman" w:hAnsi="Times New Roman" w:cs="Times New Roman"/>
          <w:sz w:val="24"/>
          <w:szCs w:val="24"/>
        </w:rPr>
        <w:t xml:space="preserve">struktūrā </w:t>
      </w:r>
      <w:r w:rsidRPr="003C1B12">
        <w:rPr>
          <w:rFonts w:ascii="Times New Roman" w:hAnsi="Times New Roman" w:cs="Times New Roman"/>
          <w:sz w:val="24"/>
          <w:szCs w:val="24"/>
        </w:rPr>
        <w:t xml:space="preserve">izteikti dominē zemo un vidēji zemo tehnoloģiju nozares. Lielais zemo un vidēji zemo tehnoloģiju nozaru īpatsvars Latvijā ir saistīts ar tādām tradicionālām nozarēm kā pārtikas ražošana un kokapstrāde, kas kopā veido gandrīz pusi no visas pievienotās vērtības apstrādes rūpniecībā. Tas nozīmē, ka Latvijas apstrādes rūpniecības ilgtspējīgai attīstībai ir nepieciešams diversificēt apstrādes rūpniecību un panākt straujāku vidēji augsto un augsto tehnoloģiju nozaru attīstību. Kā viens no veidiem, kā to panākt, ir jaunu nišas produktu ražošanas attīstība, </w:t>
      </w:r>
      <w:r w:rsidR="00EF67F0" w:rsidRPr="003C1B12">
        <w:rPr>
          <w:rFonts w:ascii="Times New Roman" w:hAnsi="Times New Roman" w:cs="Times New Roman"/>
          <w:sz w:val="24"/>
          <w:szCs w:val="24"/>
        </w:rPr>
        <w:t>palie</w:t>
      </w:r>
      <w:r w:rsidR="004859E8" w:rsidRPr="003C1B12">
        <w:rPr>
          <w:rFonts w:ascii="Times New Roman" w:hAnsi="Times New Roman" w:cs="Times New Roman"/>
          <w:sz w:val="24"/>
          <w:szCs w:val="24"/>
        </w:rPr>
        <w:t>li</w:t>
      </w:r>
      <w:r w:rsidR="00EF67F0" w:rsidRPr="003C1B12">
        <w:rPr>
          <w:rFonts w:ascii="Times New Roman" w:hAnsi="Times New Roman" w:cs="Times New Roman"/>
          <w:sz w:val="24"/>
          <w:szCs w:val="24"/>
        </w:rPr>
        <w:t>not investīcijas jaunāko tehnoloģiju pārnesē,</w:t>
      </w:r>
      <w:r w:rsidRPr="003C1B12">
        <w:rPr>
          <w:rFonts w:ascii="Times New Roman" w:hAnsi="Times New Roman" w:cs="Times New Roman"/>
          <w:sz w:val="24"/>
          <w:szCs w:val="24"/>
        </w:rPr>
        <w:t xml:space="preserve"> </w:t>
      </w:r>
      <w:r w:rsidR="00EF67F0" w:rsidRPr="003C1B12">
        <w:rPr>
          <w:rFonts w:ascii="Times New Roman" w:hAnsi="Times New Roman" w:cs="Times New Roman"/>
          <w:sz w:val="24"/>
          <w:szCs w:val="24"/>
        </w:rPr>
        <w:t xml:space="preserve">produktu </w:t>
      </w:r>
      <w:r w:rsidR="00392252" w:rsidRPr="003C1B12">
        <w:rPr>
          <w:rFonts w:ascii="Times New Roman" w:hAnsi="Times New Roman" w:cs="Times New Roman"/>
          <w:sz w:val="24"/>
          <w:szCs w:val="24"/>
        </w:rPr>
        <w:t>izstrādē</w:t>
      </w:r>
      <w:r w:rsidRPr="003C1B12">
        <w:rPr>
          <w:rFonts w:ascii="Times New Roman" w:hAnsi="Times New Roman" w:cs="Times New Roman"/>
          <w:sz w:val="24"/>
          <w:szCs w:val="24"/>
        </w:rPr>
        <w:t xml:space="preserve"> </w:t>
      </w:r>
      <w:r w:rsidR="00EF67F0" w:rsidRPr="003C1B12">
        <w:rPr>
          <w:rFonts w:ascii="Times New Roman" w:hAnsi="Times New Roman" w:cs="Times New Roman"/>
          <w:sz w:val="24"/>
          <w:szCs w:val="24"/>
        </w:rPr>
        <w:t>un</w:t>
      </w:r>
      <w:r w:rsidRPr="003C1B12">
        <w:rPr>
          <w:rFonts w:ascii="Times New Roman" w:hAnsi="Times New Roman" w:cs="Times New Roman"/>
          <w:sz w:val="24"/>
          <w:szCs w:val="24"/>
        </w:rPr>
        <w:t xml:space="preserve"> sadarbojoties ar </w:t>
      </w:r>
      <w:r w:rsidR="00EF67F0" w:rsidRPr="003C1B12">
        <w:rPr>
          <w:rFonts w:ascii="Times New Roman" w:hAnsi="Times New Roman" w:cs="Times New Roman"/>
          <w:sz w:val="24"/>
          <w:szCs w:val="24"/>
        </w:rPr>
        <w:t>pētniecības</w:t>
      </w:r>
      <w:r w:rsidRPr="003C1B12">
        <w:rPr>
          <w:rFonts w:ascii="Times New Roman" w:hAnsi="Times New Roman" w:cs="Times New Roman"/>
          <w:sz w:val="24"/>
          <w:szCs w:val="24"/>
        </w:rPr>
        <w:t xml:space="preserve"> sektoru</w:t>
      </w:r>
      <w:r w:rsidR="00EF67F0" w:rsidRPr="003C1B12">
        <w:rPr>
          <w:rFonts w:ascii="Times New Roman" w:hAnsi="Times New Roman" w:cs="Times New Roman"/>
          <w:sz w:val="24"/>
          <w:szCs w:val="24"/>
        </w:rPr>
        <w:t>.</w:t>
      </w:r>
      <w:r w:rsidRPr="003C1B12">
        <w:rPr>
          <w:rFonts w:ascii="Times New Roman" w:hAnsi="Times New Roman" w:cs="Times New Roman"/>
          <w:sz w:val="24"/>
          <w:szCs w:val="24"/>
        </w:rPr>
        <w:t xml:space="preserve"> </w:t>
      </w:r>
    </w:p>
    <w:p w:rsidR="00D544AD" w:rsidRPr="003C1B12" w:rsidRDefault="00D544AD" w:rsidP="000C4557">
      <w:pPr>
        <w:spacing w:after="0" w:line="240" w:lineRule="auto"/>
        <w:ind w:firstLine="720"/>
        <w:jc w:val="both"/>
        <w:rPr>
          <w:rFonts w:ascii="Times New Roman" w:hAnsi="Times New Roman" w:cs="Times New Roman"/>
          <w:sz w:val="24"/>
          <w:szCs w:val="24"/>
        </w:rPr>
      </w:pPr>
    </w:p>
    <w:p w:rsidR="00D544AD" w:rsidRPr="003C1B12" w:rsidRDefault="00FF192D" w:rsidP="00D544AD">
      <w:pPr>
        <w:spacing w:line="240" w:lineRule="auto"/>
        <w:ind w:firstLine="720"/>
        <w:jc w:val="both"/>
        <w:textAlignment w:val="top"/>
        <w:rPr>
          <w:rFonts w:ascii="Times New Roman" w:hAnsi="Times New Roman" w:cs="Times New Roman"/>
          <w:sz w:val="24"/>
          <w:szCs w:val="24"/>
        </w:rPr>
      </w:pPr>
      <w:r w:rsidRPr="003C1B12">
        <w:rPr>
          <w:rFonts w:ascii="Times New Roman" w:hAnsi="Times New Roman" w:cs="Times New Roman"/>
          <w:sz w:val="24"/>
          <w:szCs w:val="24"/>
          <w:lang w:eastAsia="lv-LV"/>
        </w:rPr>
        <w:lastRenderedPageBreak/>
        <w:t>Uzņēmumu i</w:t>
      </w:r>
      <w:r w:rsidR="00D544AD" w:rsidRPr="003C1B12">
        <w:rPr>
          <w:rFonts w:ascii="Times New Roman" w:hAnsi="Times New Roman" w:cs="Times New Roman"/>
          <w:sz w:val="24"/>
          <w:szCs w:val="24"/>
          <w:lang w:eastAsia="lv-LV"/>
        </w:rPr>
        <w:t>nvestēšanas aktivitātes ir visai mērenas un investīciju apjomi joprojām nav sasnieguši pirmskrīzes līmeni. Investīciju dinamika Latvijā, kā arī citās ES dalībvalstīs liecina, ka uzņēmumi un investori ir piesardzīgi investēšanas plānu īstenošanā. 2013.</w:t>
      </w:r>
      <w:r w:rsidR="00392252" w:rsidRPr="003C1B12">
        <w:rPr>
          <w:rFonts w:ascii="Times New Roman" w:hAnsi="Times New Roman" w:cs="Times New Roman"/>
          <w:sz w:val="24"/>
          <w:szCs w:val="24"/>
          <w:lang w:eastAsia="lv-LV"/>
        </w:rPr>
        <w:t>gadā salīdzinājumā ar 2007.</w:t>
      </w:r>
      <w:r w:rsidR="00D544AD" w:rsidRPr="003C1B12">
        <w:rPr>
          <w:rFonts w:ascii="Times New Roman" w:hAnsi="Times New Roman" w:cs="Times New Roman"/>
          <w:sz w:val="24"/>
          <w:szCs w:val="24"/>
          <w:lang w:eastAsia="lv-LV"/>
        </w:rPr>
        <w:t>gadu investīciju apjomi ES kopumā bija gandrīz par 15% zemākā līmenī. Arī i</w:t>
      </w:r>
      <w:r w:rsidR="00D544AD" w:rsidRPr="003C1B12">
        <w:rPr>
          <w:rFonts w:ascii="Times New Roman" w:hAnsi="Times New Roman" w:cs="Times New Roman"/>
          <w:sz w:val="24"/>
          <w:szCs w:val="24"/>
        </w:rPr>
        <w:t>nvestēšanas procesi apstrādes rūpniecībā Latvijā ir nevienmērīgi ar izteikti lielām svārstībām pēdējos gados. Ekonomikas straujās lejupslīdes gados investīciju apjomi nozarē samazin</w:t>
      </w:r>
      <w:r w:rsidR="00273E02" w:rsidRPr="003C1B12">
        <w:rPr>
          <w:rFonts w:ascii="Times New Roman" w:hAnsi="Times New Roman" w:cs="Times New Roman"/>
          <w:sz w:val="24"/>
          <w:szCs w:val="24"/>
        </w:rPr>
        <w:t>ājās gandrīz trīs reizes, 2009.</w:t>
      </w:r>
      <w:r w:rsidR="00D544AD" w:rsidRPr="003C1B12">
        <w:rPr>
          <w:rFonts w:ascii="Times New Roman" w:hAnsi="Times New Roman" w:cs="Times New Roman"/>
          <w:sz w:val="24"/>
          <w:szCs w:val="24"/>
        </w:rPr>
        <w:t>gadā sasniedzot viszemāko līmeni. Lielā mērā to noteica investīciju samazinājums patēriņa preču ražošanā (t.sk. pārtikas rūpniecībā – par 44%), kā arī starppatēriņa preču ražošanas nozarēs (t.sk. kokapstrādē – par 88% un ķīmisko vielu un to iz</w:t>
      </w:r>
      <w:r w:rsidR="00273E02" w:rsidRPr="003C1B12">
        <w:rPr>
          <w:rFonts w:ascii="Times New Roman" w:hAnsi="Times New Roman" w:cs="Times New Roman"/>
          <w:sz w:val="24"/>
          <w:szCs w:val="24"/>
        </w:rPr>
        <w:t>strādājumu ražošanā – par 77%).</w:t>
      </w:r>
      <w:r w:rsidR="00EF67F0" w:rsidRPr="003C1B12">
        <w:rPr>
          <w:rFonts w:ascii="Times New Roman" w:hAnsi="Times New Roman" w:cs="Times New Roman"/>
          <w:sz w:val="24"/>
          <w:szCs w:val="24"/>
        </w:rPr>
        <w:t xml:space="preserve"> CSP veiktā i</w:t>
      </w:r>
      <w:r w:rsidR="00D544AD" w:rsidRPr="003C1B12">
        <w:rPr>
          <w:rFonts w:ascii="Times New Roman" w:hAnsi="Times New Roman" w:cs="Times New Roman"/>
          <w:sz w:val="24"/>
          <w:szCs w:val="24"/>
        </w:rPr>
        <w:t>nvestoru apsekojuma dati liecina, ka investīciju struktūra rūpniecībā liel</w:t>
      </w:r>
      <w:r w:rsidR="00273E02" w:rsidRPr="003C1B12">
        <w:rPr>
          <w:rFonts w:ascii="Times New Roman" w:hAnsi="Times New Roman" w:cs="Times New Roman"/>
          <w:sz w:val="24"/>
          <w:szCs w:val="24"/>
        </w:rPr>
        <w:t>ākoties paliek nemainīga. 2014.</w:t>
      </w:r>
      <w:r w:rsidR="00D544AD" w:rsidRPr="003C1B12">
        <w:rPr>
          <w:rFonts w:ascii="Times New Roman" w:hAnsi="Times New Roman" w:cs="Times New Roman"/>
          <w:sz w:val="24"/>
          <w:szCs w:val="24"/>
        </w:rPr>
        <w:t xml:space="preserve">gadā investīcijas rūpniecībā pārsvarā bija saistītas ar nolietoto iekārtu un mašīnu aizvietošanu un ražošanas jaudu paplašināšanu – attiecīgi 41% un 24% no kopējām investīcijām rūpniecībā. Pēdējos gados pieaug arī investīcijas, kas paredzētas ražošanas </w:t>
      </w:r>
      <w:r w:rsidR="00273E02" w:rsidRPr="003C1B12">
        <w:rPr>
          <w:rFonts w:ascii="Times New Roman" w:hAnsi="Times New Roman" w:cs="Times New Roman"/>
          <w:sz w:val="24"/>
          <w:szCs w:val="24"/>
        </w:rPr>
        <w:t>procesa racionalizēšanai. 2014.</w:t>
      </w:r>
      <w:r w:rsidR="00D544AD" w:rsidRPr="003C1B12">
        <w:rPr>
          <w:rFonts w:ascii="Times New Roman" w:hAnsi="Times New Roman" w:cs="Times New Roman"/>
          <w:sz w:val="24"/>
          <w:szCs w:val="24"/>
        </w:rPr>
        <w:t>gadā tās veidoja 21% no kopējām investīcijām rūpniecības nozarēs. Tuvākajā nākotnē investīciju apjomi Latvijas tautsaimniecībā mēreni pieaugs. Tomēr investēšanas procesa dinamiku lielā mērā noteiks finanšu resursu pieejamība, kā arī situācijas uzlabošanās ārējā vidē.</w:t>
      </w:r>
      <w:r w:rsidR="004859E8" w:rsidRPr="003C1B12">
        <w:rPr>
          <w:rStyle w:val="FootnoteReference"/>
          <w:rFonts w:ascii="Times New Roman" w:hAnsi="Times New Roman" w:cs="Times New Roman"/>
          <w:sz w:val="24"/>
          <w:szCs w:val="24"/>
        </w:rPr>
        <w:footnoteReference w:id="1"/>
      </w:r>
    </w:p>
    <w:p w:rsidR="000C4557" w:rsidRPr="003C1B12" w:rsidRDefault="000C4557" w:rsidP="000C4557">
      <w:pPr>
        <w:spacing w:after="0" w:line="240" w:lineRule="auto"/>
        <w:ind w:firstLine="720"/>
        <w:jc w:val="both"/>
        <w:rPr>
          <w:rFonts w:ascii="Times New Roman" w:hAnsi="Times New Roman" w:cs="Times New Roman"/>
          <w:sz w:val="24"/>
          <w:szCs w:val="24"/>
        </w:rPr>
      </w:pPr>
    </w:p>
    <w:p w:rsidR="000C4557" w:rsidRPr="003C1B12" w:rsidRDefault="000C4557" w:rsidP="000C4557">
      <w:pPr>
        <w:pStyle w:val="Heading2"/>
        <w:spacing w:before="0"/>
        <w:rPr>
          <w:rFonts w:ascii="Times New Roman" w:hAnsi="Times New Roman" w:cs="Times New Roman"/>
          <w:color w:val="31849B" w:themeColor="accent5" w:themeShade="BF"/>
        </w:rPr>
      </w:pPr>
      <w:bookmarkStart w:id="8" w:name="_Toc427646465"/>
      <w:bookmarkStart w:id="9" w:name="_Toc427646551"/>
      <w:bookmarkStart w:id="10" w:name="_Toc417324173"/>
      <w:r w:rsidRPr="003C1B12">
        <w:rPr>
          <w:rFonts w:ascii="Times New Roman" w:hAnsi="Times New Roman" w:cs="Times New Roman"/>
          <w:color w:val="31849B" w:themeColor="accent5" w:themeShade="BF"/>
        </w:rPr>
        <w:t>1.</w:t>
      </w:r>
      <w:r w:rsidR="003B4C7A" w:rsidRPr="003C1B12">
        <w:rPr>
          <w:rFonts w:ascii="Times New Roman" w:hAnsi="Times New Roman" w:cs="Times New Roman"/>
          <w:color w:val="31849B" w:themeColor="accent5" w:themeShade="BF"/>
        </w:rPr>
        <w:t>2</w:t>
      </w:r>
      <w:r w:rsidRPr="003C1B12">
        <w:rPr>
          <w:rFonts w:ascii="Times New Roman" w:hAnsi="Times New Roman" w:cs="Times New Roman"/>
          <w:color w:val="31849B" w:themeColor="accent5" w:themeShade="BF"/>
        </w:rPr>
        <w:t>. Inovācijas attīstība</w:t>
      </w:r>
      <w:bookmarkEnd w:id="8"/>
      <w:bookmarkEnd w:id="9"/>
      <w:r w:rsidRPr="003C1B12">
        <w:rPr>
          <w:rFonts w:ascii="Times New Roman" w:hAnsi="Times New Roman" w:cs="Times New Roman"/>
          <w:color w:val="31849B" w:themeColor="accent5" w:themeShade="BF"/>
        </w:rPr>
        <w:t xml:space="preserve"> </w:t>
      </w:r>
      <w:bookmarkEnd w:id="10"/>
    </w:p>
    <w:p w:rsidR="00E12EB3" w:rsidRPr="003C1B12" w:rsidRDefault="00E12EB3" w:rsidP="000C4557">
      <w:pPr>
        <w:spacing w:after="0" w:line="240" w:lineRule="auto"/>
        <w:ind w:firstLine="720"/>
        <w:jc w:val="both"/>
        <w:rPr>
          <w:rFonts w:ascii="Times New Roman" w:hAnsi="Times New Roman" w:cs="Times New Roman"/>
          <w:sz w:val="24"/>
          <w:szCs w:val="24"/>
        </w:rPr>
      </w:pPr>
    </w:p>
    <w:p w:rsidR="00273E02" w:rsidRPr="003C1B12" w:rsidRDefault="00640D08" w:rsidP="00273E02">
      <w:pPr>
        <w:spacing w:after="0" w:line="240" w:lineRule="auto"/>
        <w:ind w:firstLine="720"/>
        <w:jc w:val="both"/>
        <w:rPr>
          <w:rFonts w:ascii="Times New Roman" w:hAnsi="Times New Roman" w:cs="Times New Roman"/>
          <w:noProof/>
          <w:lang w:eastAsia="lv-LV"/>
        </w:rPr>
      </w:pPr>
      <w:r w:rsidRPr="003C1B12">
        <w:rPr>
          <w:rFonts w:ascii="Times New Roman" w:hAnsi="Times New Roman" w:cs="Times New Roman"/>
          <w:sz w:val="24"/>
          <w:szCs w:val="24"/>
        </w:rPr>
        <w:t>EK</w:t>
      </w:r>
      <w:r w:rsidR="00220B5B" w:rsidRPr="003C1B12">
        <w:rPr>
          <w:rFonts w:ascii="Times New Roman" w:hAnsi="Times New Roman" w:cs="Times New Roman"/>
          <w:sz w:val="24"/>
          <w:szCs w:val="24"/>
        </w:rPr>
        <w:t xml:space="preserve"> </w:t>
      </w:r>
      <w:r w:rsidR="003D5183" w:rsidRPr="003C1B12">
        <w:rPr>
          <w:rFonts w:ascii="Times New Roman" w:hAnsi="Times New Roman" w:cs="Times New Roman"/>
          <w:sz w:val="24"/>
          <w:szCs w:val="24"/>
        </w:rPr>
        <w:t xml:space="preserve">2015.gadā </w:t>
      </w:r>
      <w:r w:rsidR="00951700" w:rsidRPr="003C1B12">
        <w:rPr>
          <w:rFonts w:ascii="Times New Roman" w:hAnsi="Times New Roman" w:cs="Times New Roman"/>
          <w:sz w:val="24"/>
          <w:szCs w:val="24"/>
        </w:rPr>
        <w:t>publicētajā ES valstu inovācijas rezultātu pārskatā Innovation Union Scoreboard 201</w:t>
      </w:r>
      <w:r w:rsidR="001829B2" w:rsidRPr="003C1B12">
        <w:rPr>
          <w:rFonts w:ascii="Times New Roman" w:hAnsi="Times New Roman" w:cs="Times New Roman"/>
          <w:sz w:val="24"/>
          <w:szCs w:val="24"/>
        </w:rPr>
        <w:t>5</w:t>
      </w:r>
      <w:r w:rsidR="00392252" w:rsidRPr="003C1B12">
        <w:rPr>
          <w:rStyle w:val="FootnoteReference"/>
          <w:rFonts w:ascii="Times New Roman" w:hAnsi="Times New Roman" w:cs="Times New Roman"/>
          <w:sz w:val="24"/>
          <w:szCs w:val="24"/>
        </w:rPr>
        <w:footnoteReference w:id="2"/>
      </w:r>
      <w:r w:rsidR="00951700" w:rsidRPr="003C1B12">
        <w:rPr>
          <w:rFonts w:ascii="Times New Roman" w:hAnsi="Times New Roman" w:cs="Times New Roman"/>
          <w:sz w:val="24"/>
          <w:szCs w:val="24"/>
        </w:rPr>
        <w:t>, kurā kopumā tika apsekotas 2</w:t>
      </w:r>
      <w:r w:rsidR="001829B2" w:rsidRPr="003C1B12">
        <w:rPr>
          <w:rFonts w:ascii="Times New Roman" w:hAnsi="Times New Roman" w:cs="Times New Roman"/>
          <w:sz w:val="24"/>
          <w:szCs w:val="24"/>
        </w:rPr>
        <w:t>8</w:t>
      </w:r>
      <w:r w:rsidR="00951700" w:rsidRPr="003C1B12">
        <w:rPr>
          <w:rFonts w:ascii="Times New Roman" w:hAnsi="Times New Roman" w:cs="Times New Roman"/>
          <w:sz w:val="24"/>
          <w:szCs w:val="24"/>
        </w:rPr>
        <w:t xml:space="preserve"> ES dalī</w:t>
      </w:r>
      <w:r w:rsidR="002B4935" w:rsidRPr="003C1B12">
        <w:rPr>
          <w:rFonts w:ascii="Times New Roman" w:hAnsi="Times New Roman" w:cs="Times New Roman"/>
          <w:sz w:val="24"/>
          <w:szCs w:val="24"/>
        </w:rPr>
        <w:t>bvalstis, Latvija ierindota 26.</w:t>
      </w:r>
      <w:r w:rsidR="00951700" w:rsidRPr="003C1B12">
        <w:rPr>
          <w:rFonts w:ascii="Times New Roman" w:hAnsi="Times New Roman" w:cs="Times New Roman"/>
          <w:sz w:val="24"/>
          <w:szCs w:val="24"/>
        </w:rPr>
        <w:t xml:space="preserve">vietā (Igaunija – </w:t>
      </w:r>
      <w:r w:rsidR="001829B2" w:rsidRPr="003C1B12">
        <w:rPr>
          <w:rFonts w:ascii="Times New Roman" w:hAnsi="Times New Roman" w:cs="Times New Roman"/>
          <w:sz w:val="24"/>
          <w:szCs w:val="24"/>
        </w:rPr>
        <w:t>13</w:t>
      </w:r>
      <w:r w:rsidR="00951700" w:rsidRPr="003C1B12">
        <w:rPr>
          <w:rFonts w:ascii="Times New Roman" w:hAnsi="Times New Roman" w:cs="Times New Roman"/>
          <w:sz w:val="24"/>
          <w:szCs w:val="24"/>
        </w:rPr>
        <w:t xml:space="preserve">, Lietuva – </w:t>
      </w:r>
      <w:r w:rsidR="001829B2" w:rsidRPr="003C1B12">
        <w:rPr>
          <w:rFonts w:ascii="Times New Roman" w:hAnsi="Times New Roman" w:cs="Times New Roman"/>
          <w:sz w:val="24"/>
          <w:szCs w:val="24"/>
        </w:rPr>
        <w:t>25</w:t>
      </w:r>
      <w:r w:rsidR="00951700" w:rsidRPr="003C1B12">
        <w:rPr>
          <w:rFonts w:ascii="Times New Roman" w:hAnsi="Times New Roman" w:cs="Times New Roman"/>
          <w:sz w:val="24"/>
          <w:szCs w:val="24"/>
        </w:rPr>
        <w:t>). Latvija kopā ar Bulgāriju un Rumāniju ir ierindotas pieticīgo inovatoru (Modest innovators) grupā, jo šo valstu sniegums inovācijas jomā ir zemāks par 50% no vidējā ES līmeņa. Tajā pašā laikā Latvijai pārskatā ietverto rādītāju vidējais pieaugums veido 3,</w:t>
      </w:r>
      <w:r w:rsidR="001829B2" w:rsidRPr="003C1B12">
        <w:rPr>
          <w:rFonts w:ascii="Times New Roman" w:hAnsi="Times New Roman" w:cs="Times New Roman"/>
          <w:sz w:val="24"/>
          <w:szCs w:val="24"/>
        </w:rPr>
        <w:t xml:space="preserve">4%, kas ir </w:t>
      </w:r>
      <w:r w:rsidR="00951700" w:rsidRPr="003C1B12">
        <w:rPr>
          <w:rFonts w:ascii="Times New Roman" w:hAnsi="Times New Roman" w:cs="Times New Roman"/>
          <w:sz w:val="24"/>
          <w:szCs w:val="24"/>
        </w:rPr>
        <w:t>augstākais rādītājs un ir augstāks par vidēj</w:t>
      </w:r>
      <w:r w:rsidR="001829B2" w:rsidRPr="003C1B12">
        <w:rPr>
          <w:rFonts w:ascii="Times New Roman" w:hAnsi="Times New Roman" w:cs="Times New Roman"/>
          <w:sz w:val="24"/>
          <w:szCs w:val="24"/>
        </w:rPr>
        <w:t>o</w:t>
      </w:r>
      <w:r w:rsidR="00951700" w:rsidRPr="003C1B12">
        <w:rPr>
          <w:rFonts w:ascii="Times New Roman" w:hAnsi="Times New Roman" w:cs="Times New Roman"/>
          <w:sz w:val="24"/>
          <w:szCs w:val="24"/>
        </w:rPr>
        <w:t xml:space="preserve"> ES (1</w:t>
      </w:r>
      <w:r w:rsidR="001829B2" w:rsidRPr="003C1B12">
        <w:rPr>
          <w:rFonts w:ascii="Times New Roman" w:hAnsi="Times New Roman" w:cs="Times New Roman"/>
          <w:sz w:val="24"/>
          <w:szCs w:val="24"/>
        </w:rPr>
        <w:t>%)</w:t>
      </w:r>
      <w:r w:rsidR="00951700" w:rsidRPr="003C1B12">
        <w:rPr>
          <w:rFonts w:ascii="Times New Roman" w:hAnsi="Times New Roman" w:cs="Times New Roman"/>
          <w:sz w:val="24"/>
          <w:szCs w:val="24"/>
        </w:rPr>
        <w:t xml:space="preserve">. </w:t>
      </w:r>
      <w:r w:rsidR="00E47D84" w:rsidRPr="003C1B12">
        <w:rPr>
          <w:rFonts w:ascii="Times New Roman" w:hAnsi="Times New Roman" w:cs="Times New Roman"/>
          <w:sz w:val="24"/>
          <w:szCs w:val="24"/>
        </w:rPr>
        <w:t>I</w:t>
      </w:r>
      <w:r w:rsidR="005821E5" w:rsidRPr="003C1B12">
        <w:rPr>
          <w:rFonts w:ascii="Times New Roman" w:hAnsi="Times New Roman" w:cs="Times New Roman"/>
          <w:sz w:val="24"/>
          <w:szCs w:val="24"/>
        </w:rPr>
        <w:t>nnovation Union Scoreboard dati</w:t>
      </w:r>
      <w:r w:rsidR="001943B2" w:rsidRPr="003C1B12">
        <w:rPr>
          <w:rFonts w:ascii="Times New Roman" w:hAnsi="Times New Roman" w:cs="Times New Roman"/>
          <w:sz w:val="24"/>
          <w:szCs w:val="24"/>
        </w:rPr>
        <w:t xml:space="preserve"> </w:t>
      </w:r>
      <w:r w:rsidR="00E47D84" w:rsidRPr="003C1B12">
        <w:rPr>
          <w:rFonts w:ascii="Times New Roman" w:hAnsi="Times New Roman" w:cs="Times New Roman"/>
          <w:sz w:val="24"/>
          <w:szCs w:val="24"/>
        </w:rPr>
        <w:t xml:space="preserve">norāda, ka Latvijā īpaši vāji </w:t>
      </w:r>
      <w:r w:rsidR="00995BDA" w:rsidRPr="003C1B12">
        <w:rPr>
          <w:rFonts w:ascii="Times New Roman" w:hAnsi="Times New Roman" w:cs="Times New Roman"/>
          <w:sz w:val="24"/>
          <w:szCs w:val="24"/>
        </w:rPr>
        <w:t xml:space="preserve">attīstīti ir </w:t>
      </w:r>
      <w:r w:rsidR="00E47D84" w:rsidRPr="003C1B12">
        <w:rPr>
          <w:rFonts w:ascii="Times New Roman" w:hAnsi="Times New Roman" w:cs="Times New Roman"/>
          <w:sz w:val="24"/>
          <w:szCs w:val="24"/>
        </w:rPr>
        <w:t>tād</w:t>
      </w:r>
      <w:r w:rsidR="001D381F" w:rsidRPr="003C1B12">
        <w:rPr>
          <w:rFonts w:ascii="Times New Roman" w:hAnsi="Times New Roman" w:cs="Times New Roman"/>
          <w:sz w:val="24"/>
          <w:szCs w:val="24"/>
        </w:rPr>
        <w:t>i</w:t>
      </w:r>
      <w:r w:rsidR="00E47D84" w:rsidRPr="003C1B12">
        <w:rPr>
          <w:rFonts w:ascii="Times New Roman" w:hAnsi="Times New Roman" w:cs="Times New Roman"/>
          <w:sz w:val="24"/>
          <w:szCs w:val="24"/>
        </w:rPr>
        <w:t xml:space="preserve"> </w:t>
      </w:r>
      <w:r w:rsidR="001D381F" w:rsidRPr="003C1B12">
        <w:rPr>
          <w:rFonts w:ascii="Times New Roman" w:hAnsi="Times New Roman" w:cs="Times New Roman"/>
          <w:sz w:val="24"/>
          <w:szCs w:val="24"/>
        </w:rPr>
        <w:t>aspekti</w:t>
      </w:r>
      <w:r w:rsidR="00E47D84" w:rsidRPr="003C1B12">
        <w:rPr>
          <w:rFonts w:ascii="Times New Roman" w:hAnsi="Times New Roman" w:cs="Times New Roman"/>
          <w:sz w:val="24"/>
          <w:szCs w:val="24"/>
        </w:rPr>
        <w:t xml:space="preserve"> kā inovācijas </w:t>
      </w:r>
      <w:r w:rsidR="001829B2" w:rsidRPr="003C1B12">
        <w:rPr>
          <w:rFonts w:ascii="Times New Roman" w:hAnsi="Times New Roman" w:cs="Times New Roman"/>
          <w:sz w:val="24"/>
          <w:szCs w:val="24"/>
        </w:rPr>
        <w:t xml:space="preserve">jomā </w:t>
      </w:r>
      <w:r w:rsidR="00E47D84" w:rsidRPr="003C1B12">
        <w:rPr>
          <w:rFonts w:ascii="Times New Roman" w:hAnsi="Times New Roman" w:cs="Times New Roman"/>
          <w:sz w:val="24"/>
          <w:szCs w:val="24"/>
        </w:rPr>
        <w:t>akt</w:t>
      </w:r>
      <w:r w:rsidR="001829B2" w:rsidRPr="003C1B12">
        <w:rPr>
          <w:rFonts w:ascii="Times New Roman" w:hAnsi="Times New Roman" w:cs="Times New Roman"/>
          <w:sz w:val="24"/>
          <w:szCs w:val="24"/>
        </w:rPr>
        <w:t>ī</w:t>
      </w:r>
      <w:r w:rsidR="00E47D84" w:rsidRPr="003C1B12">
        <w:rPr>
          <w:rFonts w:ascii="Times New Roman" w:hAnsi="Times New Roman" w:cs="Times New Roman"/>
          <w:sz w:val="24"/>
          <w:szCs w:val="24"/>
        </w:rPr>
        <w:t>v</w:t>
      </w:r>
      <w:r w:rsidR="001829B2" w:rsidRPr="003C1B12">
        <w:rPr>
          <w:rFonts w:ascii="Times New Roman" w:hAnsi="Times New Roman" w:cs="Times New Roman"/>
          <w:sz w:val="24"/>
          <w:szCs w:val="24"/>
        </w:rPr>
        <w:t>o uzņēmumu īpatsvars</w:t>
      </w:r>
      <w:r w:rsidR="00E47D84" w:rsidRPr="003C1B12">
        <w:rPr>
          <w:rFonts w:ascii="Times New Roman" w:hAnsi="Times New Roman" w:cs="Times New Roman"/>
          <w:sz w:val="24"/>
          <w:szCs w:val="24"/>
        </w:rPr>
        <w:t>, sadarbība, pētniec</w:t>
      </w:r>
      <w:r w:rsidR="001829B2" w:rsidRPr="003C1B12">
        <w:rPr>
          <w:rFonts w:ascii="Times New Roman" w:hAnsi="Times New Roman" w:cs="Times New Roman"/>
          <w:sz w:val="24"/>
          <w:szCs w:val="24"/>
        </w:rPr>
        <w:t>ības vides atvērtība, ekselence</w:t>
      </w:r>
      <w:r w:rsidR="00E47D84" w:rsidRPr="003C1B12">
        <w:rPr>
          <w:rFonts w:ascii="Times New Roman" w:hAnsi="Times New Roman" w:cs="Times New Roman"/>
          <w:sz w:val="24"/>
          <w:szCs w:val="24"/>
        </w:rPr>
        <w:t xml:space="preserve"> </w:t>
      </w:r>
      <w:r w:rsidR="001829B2" w:rsidRPr="003C1B12">
        <w:rPr>
          <w:rFonts w:ascii="Times New Roman" w:hAnsi="Times New Roman" w:cs="Times New Roman"/>
          <w:sz w:val="24"/>
          <w:szCs w:val="24"/>
        </w:rPr>
        <w:t>un pievilcība</w:t>
      </w:r>
      <w:r w:rsidR="005821E5" w:rsidRPr="003C1B12">
        <w:rPr>
          <w:rFonts w:ascii="Times New Roman" w:hAnsi="Times New Roman" w:cs="Times New Roman"/>
          <w:sz w:val="24"/>
          <w:szCs w:val="24"/>
        </w:rPr>
        <w:t xml:space="preserve"> (sk. attēlu Nr.1)</w:t>
      </w:r>
      <w:r w:rsidR="001829B2" w:rsidRPr="003C1B12">
        <w:rPr>
          <w:rFonts w:ascii="Times New Roman" w:hAnsi="Times New Roman" w:cs="Times New Roman"/>
          <w:sz w:val="24"/>
          <w:szCs w:val="24"/>
        </w:rPr>
        <w:t>.</w:t>
      </w:r>
    </w:p>
    <w:p w:rsidR="001829B2" w:rsidRPr="003C1B12" w:rsidRDefault="00273E02" w:rsidP="00273E02">
      <w:pPr>
        <w:spacing w:after="0" w:line="240" w:lineRule="auto"/>
        <w:jc w:val="center"/>
        <w:rPr>
          <w:rFonts w:ascii="Times New Roman" w:hAnsi="Times New Roman" w:cs="Times New Roman"/>
          <w:sz w:val="24"/>
          <w:szCs w:val="24"/>
        </w:rPr>
      </w:pPr>
      <w:r w:rsidRPr="003C1B12">
        <w:rPr>
          <w:rFonts w:ascii="Times New Roman" w:hAnsi="Times New Roman" w:cs="Times New Roman"/>
          <w:noProof/>
          <w:lang w:eastAsia="lv-LV"/>
        </w:rPr>
        <w:drawing>
          <wp:inline distT="0" distB="0" distL="0" distR="0" wp14:anchorId="3CB9FAF8" wp14:editId="45DDDF60">
            <wp:extent cx="5105400" cy="29432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47D84" w:rsidRPr="003C1B12" w:rsidRDefault="00273E02" w:rsidP="00273E02">
      <w:pPr>
        <w:spacing w:after="0" w:line="240" w:lineRule="auto"/>
        <w:jc w:val="center"/>
        <w:rPr>
          <w:rFonts w:ascii="Times New Roman" w:hAnsi="Times New Roman" w:cs="Times New Roman"/>
          <w:sz w:val="24"/>
          <w:szCs w:val="24"/>
        </w:rPr>
      </w:pPr>
      <w:r w:rsidRPr="003C1B12">
        <w:rPr>
          <w:rFonts w:ascii="Times New Roman" w:hAnsi="Times New Roman" w:cs="Times New Roman"/>
          <w:sz w:val="24"/>
          <w:szCs w:val="24"/>
        </w:rPr>
        <w:t>Attēls Nr.</w:t>
      </w:r>
      <w:r w:rsidRPr="003C1B12">
        <w:rPr>
          <w:rFonts w:ascii="Times New Roman" w:hAnsi="Times New Roman" w:cs="Times New Roman"/>
          <w:sz w:val="24"/>
          <w:szCs w:val="24"/>
        </w:rPr>
        <w:fldChar w:fldCharType="begin"/>
      </w:r>
      <w:r w:rsidRPr="003C1B12">
        <w:rPr>
          <w:rFonts w:ascii="Times New Roman" w:hAnsi="Times New Roman" w:cs="Times New Roman"/>
          <w:sz w:val="24"/>
          <w:szCs w:val="24"/>
        </w:rPr>
        <w:instrText xml:space="preserve"> SEQ Attēls_Nr. \* ARABIC </w:instrText>
      </w:r>
      <w:r w:rsidRPr="003C1B12">
        <w:rPr>
          <w:rFonts w:ascii="Times New Roman" w:hAnsi="Times New Roman" w:cs="Times New Roman"/>
          <w:sz w:val="24"/>
          <w:szCs w:val="24"/>
        </w:rPr>
        <w:fldChar w:fldCharType="separate"/>
      </w:r>
      <w:r w:rsidR="00A379AF" w:rsidRPr="003C1B12">
        <w:rPr>
          <w:rFonts w:ascii="Times New Roman" w:hAnsi="Times New Roman" w:cs="Times New Roman"/>
          <w:noProof/>
          <w:sz w:val="24"/>
          <w:szCs w:val="24"/>
        </w:rPr>
        <w:t>1</w:t>
      </w:r>
      <w:r w:rsidRPr="003C1B12">
        <w:rPr>
          <w:rFonts w:ascii="Times New Roman" w:hAnsi="Times New Roman" w:cs="Times New Roman"/>
          <w:sz w:val="24"/>
          <w:szCs w:val="24"/>
        </w:rPr>
        <w:fldChar w:fldCharType="end"/>
      </w:r>
      <w:r w:rsidRPr="003C1B12">
        <w:rPr>
          <w:rFonts w:ascii="Times New Roman" w:hAnsi="Times New Roman" w:cs="Times New Roman"/>
          <w:sz w:val="24"/>
          <w:szCs w:val="24"/>
        </w:rPr>
        <w:t xml:space="preserve"> - </w:t>
      </w:r>
      <w:r w:rsidR="002B4935" w:rsidRPr="003C1B12">
        <w:rPr>
          <w:rFonts w:ascii="Times New Roman" w:hAnsi="Times New Roman" w:cs="Times New Roman"/>
          <w:sz w:val="24"/>
          <w:szCs w:val="24"/>
        </w:rPr>
        <w:t>Innovation Union Scoreboard 8 inovācijas rādītāju salīdzinājums</w:t>
      </w:r>
    </w:p>
    <w:p w:rsidR="00951700" w:rsidRPr="003C1B12" w:rsidRDefault="001829B2" w:rsidP="002B4935">
      <w:pPr>
        <w:spacing w:after="0" w:line="240" w:lineRule="auto"/>
        <w:ind w:firstLine="720"/>
        <w:jc w:val="both"/>
        <w:rPr>
          <w:rFonts w:ascii="Times New Roman" w:hAnsi="Times New Roman" w:cs="Times New Roman"/>
          <w:sz w:val="24"/>
          <w:szCs w:val="24"/>
        </w:rPr>
      </w:pPr>
      <w:r w:rsidRPr="003C1B12">
        <w:rPr>
          <w:rFonts w:ascii="Times New Roman" w:hAnsi="Times New Roman" w:cs="Times New Roman"/>
          <w:sz w:val="24"/>
          <w:szCs w:val="24"/>
        </w:rPr>
        <w:lastRenderedPageBreak/>
        <w:t>S</w:t>
      </w:r>
      <w:r w:rsidR="00951700" w:rsidRPr="003C1B12">
        <w:rPr>
          <w:rFonts w:ascii="Times New Roman" w:hAnsi="Times New Roman" w:cs="Times New Roman"/>
          <w:sz w:val="24"/>
          <w:szCs w:val="24"/>
        </w:rPr>
        <w:t>alīdzinoši labāki rādītāji Latvijai ir cilvēkresursu attīstības</w:t>
      </w:r>
      <w:r w:rsidR="006F5D95" w:rsidRPr="003C1B12">
        <w:rPr>
          <w:rFonts w:ascii="Times New Roman" w:hAnsi="Times New Roman" w:cs="Times New Roman"/>
          <w:sz w:val="24"/>
          <w:szCs w:val="24"/>
        </w:rPr>
        <w:t xml:space="preserve"> jomā</w:t>
      </w:r>
      <w:r w:rsidR="00951700" w:rsidRPr="003C1B12">
        <w:rPr>
          <w:rFonts w:ascii="Times New Roman" w:hAnsi="Times New Roman" w:cs="Times New Roman"/>
          <w:sz w:val="24"/>
          <w:szCs w:val="24"/>
        </w:rPr>
        <w:t xml:space="preserve"> (augstāko izglītību ieguvušo iedzīvotāju skaits un augstākā līmeņa vidējo izglītību ieguvušo jauniešu skaits)</w:t>
      </w:r>
      <w:r w:rsidR="006F5D95" w:rsidRPr="003C1B12">
        <w:rPr>
          <w:rFonts w:ascii="Times New Roman" w:hAnsi="Times New Roman" w:cs="Times New Roman"/>
          <w:sz w:val="24"/>
          <w:szCs w:val="24"/>
        </w:rPr>
        <w:t>. Būtisk</w:t>
      </w:r>
      <w:r w:rsidR="001D381F" w:rsidRPr="003C1B12">
        <w:rPr>
          <w:rFonts w:ascii="Times New Roman" w:hAnsi="Times New Roman" w:cs="Times New Roman"/>
          <w:sz w:val="24"/>
          <w:szCs w:val="24"/>
        </w:rPr>
        <w:t>i</w:t>
      </w:r>
      <w:r w:rsidR="006F5D95" w:rsidRPr="003C1B12">
        <w:rPr>
          <w:rFonts w:ascii="Times New Roman" w:hAnsi="Times New Roman" w:cs="Times New Roman"/>
          <w:sz w:val="24"/>
          <w:szCs w:val="24"/>
        </w:rPr>
        <w:t xml:space="preserve"> uzlabojies sniegums rādītājā uzņēmumu izdevumi inovācijai, izņemot izdevumus pētniecībai, jo šajā rādītājā novērojams vislielākais kritums. Neliels uzlabojums vērojams arī</w:t>
      </w:r>
      <w:r w:rsidR="00951700" w:rsidRPr="003C1B12">
        <w:rPr>
          <w:rFonts w:ascii="Times New Roman" w:hAnsi="Times New Roman" w:cs="Times New Roman"/>
          <w:sz w:val="24"/>
          <w:szCs w:val="24"/>
        </w:rPr>
        <w:t xml:space="preserve"> ekonomisko efektu un rezultātu rādītāja indikatoros, k</w:t>
      </w:r>
      <w:r w:rsidR="00220B5B" w:rsidRPr="003C1B12">
        <w:rPr>
          <w:rFonts w:ascii="Times New Roman" w:hAnsi="Times New Roman" w:cs="Times New Roman"/>
          <w:sz w:val="24"/>
          <w:szCs w:val="24"/>
        </w:rPr>
        <w:t>o</w:t>
      </w:r>
      <w:r w:rsidR="00951700" w:rsidRPr="003C1B12">
        <w:rPr>
          <w:rFonts w:ascii="Times New Roman" w:hAnsi="Times New Roman" w:cs="Times New Roman"/>
          <w:sz w:val="24"/>
          <w:szCs w:val="24"/>
        </w:rPr>
        <w:t xml:space="preserve"> raksturo nodarbinātīb</w:t>
      </w:r>
      <w:r w:rsidR="00220B5B" w:rsidRPr="003C1B12">
        <w:rPr>
          <w:rFonts w:ascii="Times New Roman" w:hAnsi="Times New Roman" w:cs="Times New Roman"/>
          <w:sz w:val="24"/>
          <w:szCs w:val="24"/>
        </w:rPr>
        <w:t>a</w:t>
      </w:r>
      <w:r w:rsidR="00951700" w:rsidRPr="003C1B12">
        <w:rPr>
          <w:rFonts w:ascii="Times New Roman" w:hAnsi="Times New Roman" w:cs="Times New Roman"/>
          <w:sz w:val="24"/>
          <w:szCs w:val="24"/>
        </w:rPr>
        <w:t xml:space="preserve"> zinātnes jomā un vidēji augsto un augsto tehnoloģiju produktu eksporta īpatsvar</w:t>
      </w:r>
      <w:r w:rsidR="00220B5B" w:rsidRPr="003C1B12">
        <w:rPr>
          <w:rFonts w:ascii="Times New Roman" w:hAnsi="Times New Roman" w:cs="Times New Roman"/>
          <w:sz w:val="24"/>
          <w:szCs w:val="24"/>
        </w:rPr>
        <w:t>s</w:t>
      </w:r>
      <w:r w:rsidR="002B4935" w:rsidRPr="003C1B12">
        <w:rPr>
          <w:rFonts w:ascii="Times New Roman" w:hAnsi="Times New Roman" w:cs="Times New Roman"/>
          <w:sz w:val="24"/>
          <w:szCs w:val="24"/>
        </w:rPr>
        <w:t>.</w:t>
      </w:r>
    </w:p>
    <w:p w:rsidR="00056018" w:rsidRPr="003C1B12" w:rsidRDefault="000C4557" w:rsidP="000C4557">
      <w:pPr>
        <w:spacing w:after="0" w:line="240" w:lineRule="auto"/>
        <w:ind w:firstLine="720"/>
        <w:jc w:val="both"/>
        <w:rPr>
          <w:rFonts w:ascii="Times New Roman" w:hAnsi="Times New Roman" w:cs="Times New Roman"/>
          <w:sz w:val="24"/>
          <w:szCs w:val="24"/>
        </w:rPr>
      </w:pPr>
      <w:r w:rsidRPr="003C1B12">
        <w:rPr>
          <w:rFonts w:ascii="Times New Roman" w:hAnsi="Times New Roman" w:cs="Times New Roman"/>
          <w:sz w:val="24"/>
          <w:szCs w:val="24"/>
        </w:rPr>
        <w:t xml:space="preserve">Latvijas uzņēmumi līdz šim galvenokārt ir izmantojuši tādas konkurences priekšrocības, kuru pamatā ir zemākas darbaspēka izmaksas nevis inovācija. Saskaņā ar CSP pēdējā veiktā inovācijas apsekojuma datiem, laika posmā no 2010. līdz 2012.gadam vidēji tikai 30,4% no Latvijas uzņēmumiem </w:t>
      </w:r>
      <w:r w:rsidR="002B4935" w:rsidRPr="003C1B12">
        <w:rPr>
          <w:rFonts w:ascii="Times New Roman" w:hAnsi="Times New Roman" w:cs="Times New Roman"/>
          <w:sz w:val="24"/>
          <w:szCs w:val="24"/>
        </w:rPr>
        <w:t>(ES vidēji 52%) bija inovatīvi.</w:t>
      </w:r>
    </w:p>
    <w:p w:rsidR="000C4557" w:rsidRPr="003C1B12" w:rsidRDefault="00C34D21" w:rsidP="000C4557">
      <w:pPr>
        <w:spacing w:after="0" w:line="240" w:lineRule="auto"/>
        <w:jc w:val="center"/>
        <w:rPr>
          <w:rFonts w:ascii="Times New Roman" w:hAnsi="Times New Roman" w:cs="Times New Roman"/>
          <w:sz w:val="24"/>
          <w:szCs w:val="24"/>
        </w:rPr>
      </w:pPr>
      <w:r w:rsidRPr="003C1B12">
        <w:rPr>
          <w:rFonts w:ascii="Times New Roman" w:hAnsi="Times New Roman" w:cs="Times New Roman"/>
          <w:noProof/>
          <w:lang w:eastAsia="lv-LV"/>
        </w:rPr>
        <w:drawing>
          <wp:inline distT="0" distB="0" distL="0" distR="0" wp14:anchorId="6BCF3333" wp14:editId="06EC16C1">
            <wp:extent cx="4508390" cy="2202511"/>
            <wp:effectExtent l="0" t="0" r="6985"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C4557" w:rsidRPr="003C1B12" w:rsidRDefault="002B4935" w:rsidP="00056018">
      <w:pPr>
        <w:spacing w:after="0" w:line="240" w:lineRule="auto"/>
        <w:jc w:val="center"/>
        <w:rPr>
          <w:rFonts w:ascii="Times New Roman" w:hAnsi="Times New Roman" w:cs="Times New Roman"/>
          <w:color w:val="000000" w:themeColor="text1"/>
          <w:sz w:val="24"/>
          <w:szCs w:val="24"/>
          <w:lang w:eastAsia="lv-LV"/>
        </w:rPr>
      </w:pPr>
      <w:r w:rsidRPr="003C1B12">
        <w:rPr>
          <w:rFonts w:ascii="Times New Roman" w:hAnsi="Times New Roman" w:cs="Times New Roman"/>
          <w:color w:val="000000" w:themeColor="text1"/>
          <w:sz w:val="24"/>
          <w:szCs w:val="24"/>
          <w:lang w:eastAsia="lv-LV"/>
        </w:rPr>
        <w:t>Attēls Nr.</w:t>
      </w:r>
      <w:r w:rsidRPr="003C1B12">
        <w:rPr>
          <w:rFonts w:ascii="Times New Roman" w:hAnsi="Times New Roman" w:cs="Times New Roman"/>
          <w:color w:val="000000" w:themeColor="text1"/>
          <w:sz w:val="24"/>
          <w:szCs w:val="24"/>
          <w:lang w:eastAsia="lv-LV"/>
        </w:rPr>
        <w:fldChar w:fldCharType="begin"/>
      </w:r>
      <w:r w:rsidRPr="003C1B12">
        <w:rPr>
          <w:rFonts w:ascii="Times New Roman" w:hAnsi="Times New Roman" w:cs="Times New Roman"/>
          <w:color w:val="000000" w:themeColor="text1"/>
          <w:sz w:val="24"/>
          <w:szCs w:val="24"/>
          <w:lang w:eastAsia="lv-LV"/>
        </w:rPr>
        <w:instrText xml:space="preserve"> SEQ Attēls_Nr. \* ARABIC </w:instrText>
      </w:r>
      <w:r w:rsidRPr="003C1B12">
        <w:rPr>
          <w:rFonts w:ascii="Times New Roman" w:hAnsi="Times New Roman" w:cs="Times New Roman"/>
          <w:color w:val="000000" w:themeColor="text1"/>
          <w:sz w:val="24"/>
          <w:szCs w:val="24"/>
          <w:lang w:eastAsia="lv-LV"/>
        </w:rPr>
        <w:fldChar w:fldCharType="separate"/>
      </w:r>
      <w:r w:rsidR="00A379AF" w:rsidRPr="003C1B12">
        <w:rPr>
          <w:rFonts w:ascii="Times New Roman" w:hAnsi="Times New Roman" w:cs="Times New Roman"/>
          <w:noProof/>
          <w:color w:val="000000" w:themeColor="text1"/>
          <w:sz w:val="24"/>
          <w:szCs w:val="24"/>
          <w:lang w:eastAsia="lv-LV"/>
        </w:rPr>
        <w:t>2</w:t>
      </w:r>
      <w:r w:rsidRPr="003C1B12">
        <w:rPr>
          <w:rFonts w:ascii="Times New Roman" w:hAnsi="Times New Roman" w:cs="Times New Roman"/>
          <w:color w:val="000000" w:themeColor="text1"/>
          <w:sz w:val="24"/>
          <w:szCs w:val="24"/>
          <w:lang w:eastAsia="lv-LV"/>
        </w:rPr>
        <w:fldChar w:fldCharType="end"/>
      </w:r>
      <w:r w:rsidRPr="003C1B12">
        <w:rPr>
          <w:rFonts w:ascii="Times New Roman" w:hAnsi="Times New Roman" w:cs="Times New Roman"/>
          <w:color w:val="000000" w:themeColor="text1"/>
          <w:sz w:val="24"/>
          <w:szCs w:val="24"/>
          <w:lang w:eastAsia="lv-LV"/>
        </w:rPr>
        <w:t xml:space="preserve"> – </w:t>
      </w:r>
      <w:r w:rsidR="005C1C31" w:rsidRPr="003C1B12">
        <w:rPr>
          <w:rFonts w:ascii="Times New Roman" w:hAnsi="Times New Roman" w:cs="Times New Roman"/>
          <w:color w:val="000000" w:themeColor="text1"/>
          <w:sz w:val="24"/>
          <w:szCs w:val="24"/>
          <w:lang w:eastAsia="lv-LV"/>
        </w:rPr>
        <w:t xml:space="preserve">Inovatīvo uzņēmumu īpatsvars Latvijā (% pret uzņēmumu kopskaitu apsekotajos sektoros) </w:t>
      </w:r>
      <w:r w:rsidRPr="003C1B12">
        <w:rPr>
          <w:rFonts w:ascii="Times New Roman" w:hAnsi="Times New Roman" w:cs="Times New Roman"/>
          <w:i/>
          <w:color w:val="000000" w:themeColor="text1"/>
          <w:sz w:val="24"/>
          <w:szCs w:val="24"/>
          <w:lang w:eastAsia="lv-LV"/>
        </w:rPr>
        <w:t>Avots: CSP</w:t>
      </w:r>
    </w:p>
    <w:p w:rsidR="000C4557" w:rsidRPr="003C1B12" w:rsidRDefault="000C4557" w:rsidP="000C4557">
      <w:pPr>
        <w:spacing w:after="0" w:line="240" w:lineRule="auto"/>
        <w:ind w:firstLine="720"/>
        <w:jc w:val="both"/>
        <w:rPr>
          <w:rFonts w:ascii="Times New Roman" w:hAnsi="Times New Roman" w:cs="Times New Roman"/>
          <w:sz w:val="24"/>
          <w:szCs w:val="24"/>
        </w:rPr>
      </w:pPr>
    </w:p>
    <w:p w:rsidR="00C928D2" w:rsidRPr="003C1B12" w:rsidRDefault="00033D9B" w:rsidP="00E12EB3">
      <w:pPr>
        <w:spacing w:after="0" w:line="240" w:lineRule="auto"/>
        <w:ind w:firstLine="720"/>
        <w:jc w:val="both"/>
        <w:rPr>
          <w:rFonts w:ascii="Times New Roman" w:hAnsi="Times New Roman" w:cs="Times New Roman"/>
          <w:color w:val="000000" w:themeColor="text1"/>
          <w:sz w:val="24"/>
          <w:szCs w:val="24"/>
          <w:lang w:eastAsia="lv-LV"/>
        </w:rPr>
      </w:pPr>
      <w:bookmarkStart w:id="11" w:name="_Toc375047029"/>
      <w:r w:rsidRPr="003C1B12">
        <w:rPr>
          <w:rFonts w:ascii="Times New Roman" w:hAnsi="Times New Roman" w:cs="Times New Roman"/>
          <w:color w:val="000000" w:themeColor="text1"/>
          <w:sz w:val="24"/>
          <w:szCs w:val="24"/>
          <w:lang w:eastAsia="lv-LV"/>
        </w:rPr>
        <w:t xml:space="preserve">Inovācijas apsekojuma dati liecina, ka inovatīvi aktīvo uzņēmumu īpatsvars pakalpojumu sektoros vidēji ir 31,4% no uzņēmumu kopskaita attiecīgajā grupā, bet apstrādes rūpniecībā 29,6% no uzņēmumu kopskaita attiecīgajā grupā. </w:t>
      </w:r>
      <w:r w:rsidR="00C928D2" w:rsidRPr="003C1B12">
        <w:rPr>
          <w:rFonts w:ascii="Times New Roman" w:hAnsi="Times New Roman" w:cs="Times New Roman"/>
          <w:color w:val="000000" w:themeColor="text1"/>
          <w:sz w:val="24"/>
          <w:szCs w:val="24"/>
          <w:lang w:eastAsia="lv-LV"/>
        </w:rPr>
        <w:t>Tomēr analizējot inovācijas sniegumu nozaru griezumā var secināt, ka Latvijā ir virkne nozaru, kur inovatīvo uzņēmumu īpatsvars pārsniedz vai ir tuvu ES vidējam rādītājam un inovatīvo uzņēmu īpatsvars ir lielāks par 50% no uzņ</w:t>
      </w:r>
      <w:r w:rsidR="002A5EF0" w:rsidRPr="003C1B12">
        <w:rPr>
          <w:rFonts w:ascii="Times New Roman" w:hAnsi="Times New Roman" w:cs="Times New Roman"/>
          <w:color w:val="000000" w:themeColor="text1"/>
          <w:sz w:val="24"/>
          <w:szCs w:val="24"/>
          <w:lang w:eastAsia="lv-LV"/>
        </w:rPr>
        <w:t>ēmumu kops</w:t>
      </w:r>
      <w:r w:rsidR="00C928D2" w:rsidRPr="003C1B12">
        <w:rPr>
          <w:rFonts w:ascii="Times New Roman" w:hAnsi="Times New Roman" w:cs="Times New Roman"/>
          <w:color w:val="000000" w:themeColor="text1"/>
          <w:sz w:val="24"/>
          <w:szCs w:val="24"/>
          <w:lang w:eastAsia="lv-LV"/>
        </w:rPr>
        <w:t>kait</w:t>
      </w:r>
      <w:r w:rsidR="002A5EF0" w:rsidRPr="003C1B12">
        <w:rPr>
          <w:rFonts w:ascii="Times New Roman" w:hAnsi="Times New Roman" w:cs="Times New Roman"/>
          <w:color w:val="000000" w:themeColor="text1"/>
          <w:sz w:val="24"/>
          <w:szCs w:val="24"/>
          <w:lang w:eastAsia="lv-LV"/>
        </w:rPr>
        <w:t>a</w:t>
      </w:r>
      <w:r w:rsidR="00C928D2" w:rsidRPr="003C1B12">
        <w:rPr>
          <w:rFonts w:ascii="Times New Roman" w:hAnsi="Times New Roman" w:cs="Times New Roman"/>
          <w:color w:val="000000" w:themeColor="text1"/>
          <w:sz w:val="24"/>
          <w:szCs w:val="24"/>
          <w:lang w:eastAsia="lv-LV"/>
        </w:rPr>
        <w:t>. Īpaši jāatzīmē tād</w:t>
      </w:r>
      <w:r w:rsidR="001D381F" w:rsidRPr="003C1B12">
        <w:rPr>
          <w:rFonts w:ascii="Times New Roman" w:hAnsi="Times New Roman" w:cs="Times New Roman"/>
          <w:color w:val="000000" w:themeColor="text1"/>
          <w:sz w:val="24"/>
          <w:szCs w:val="24"/>
          <w:lang w:eastAsia="lv-LV"/>
        </w:rPr>
        <w:t>a</w:t>
      </w:r>
      <w:r w:rsidR="00C928D2" w:rsidRPr="003C1B12">
        <w:rPr>
          <w:rFonts w:ascii="Times New Roman" w:hAnsi="Times New Roman" w:cs="Times New Roman"/>
          <w:color w:val="000000" w:themeColor="text1"/>
          <w:sz w:val="24"/>
          <w:szCs w:val="24"/>
          <w:lang w:eastAsia="lv-LV"/>
        </w:rPr>
        <w:t>s apstrādes rūpniecības nozares kā m</w:t>
      </w:r>
      <w:r w:rsidRPr="003C1B12">
        <w:rPr>
          <w:rFonts w:ascii="Times New Roman" w:hAnsi="Times New Roman" w:cs="Times New Roman"/>
          <w:color w:val="000000" w:themeColor="text1"/>
          <w:sz w:val="24"/>
          <w:szCs w:val="24"/>
          <w:lang w:eastAsia="lv-LV"/>
        </w:rPr>
        <w:t>aš</w:t>
      </w:r>
      <w:r w:rsidR="00C928D2" w:rsidRPr="003C1B12">
        <w:rPr>
          <w:rFonts w:ascii="Times New Roman" w:hAnsi="Times New Roman" w:cs="Times New Roman"/>
          <w:color w:val="000000" w:themeColor="text1"/>
          <w:sz w:val="24"/>
          <w:szCs w:val="24"/>
          <w:lang w:eastAsia="lv-LV"/>
        </w:rPr>
        <w:t>ī</w:t>
      </w:r>
      <w:r w:rsidRPr="003C1B12">
        <w:rPr>
          <w:rFonts w:ascii="Times New Roman" w:hAnsi="Times New Roman" w:cs="Times New Roman"/>
          <w:color w:val="000000" w:themeColor="text1"/>
          <w:sz w:val="24"/>
          <w:szCs w:val="24"/>
          <w:lang w:eastAsia="lv-LV"/>
        </w:rPr>
        <w:t>nu un iekārtu ražošana, elektrisko un</w:t>
      </w:r>
      <w:r w:rsidR="00C928D2" w:rsidRPr="003C1B12">
        <w:rPr>
          <w:rFonts w:ascii="Times New Roman" w:hAnsi="Times New Roman" w:cs="Times New Roman"/>
          <w:color w:val="000000" w:themeColor="text1"/>
          <w:sz w:val="24"/>
          <w:szCs w:val="24"/>
          <w:lang w:eastAsia="lv-LV"/>
        </w:rPr>
        <w:t xml:space="preserve"> </w:t>
      </w:r>
      <w:r w:rsidRPr="003C1B12">
        <w:rPr>
          <w:rFonts w:ascii="Times New Roman" w:hAnsi="Times New Roman" w:cs="Times New Roman"/>
          <w:color w:val="000000" w:themeColor="text1"/>
          <w:sz w:val="24"/>
          <w:szCs w:val="24"/>
          <w:lang w:eastAsia="lv-LV"/>
        </w:rPr>
        <w:t>opti</w:t>
      </w:r>
      <w:r w:rsidR="00C928D2" w:rsidRPr="003C1B12">
        <w:rPr>
          <w:rFonts w:ascii="Times New Roman" w:hAnsi="Times New Roman" w:cs="Times New Roman"/>
          <w:color w:val="000000" w:themeColor="text1"/>
          <w:sz w:val="24"/>
          <w:szCs w:val="24"/>
          <w:lang w:eastAsia="lv-LV"/>
        </w:rPr>
        <w:t>sk</w:t>
      </w:r>
      <w:r w:rsidRPr="003C1B12">
        <w:rPr>
          <w:rFonts w:ascii="Times New Roman" w:hAnsi="Times New Roman" w:cs="Times New Roman"/>
          <w:color w:val="000000" w:themeColor="text1"/>
          <w:sz w:val="24"/>
          <w:szCs w:val="24"/>
          <w:lang w:eastAsia="lv-LV"/>
        </w:rPr>
        <w:t>o iekārtu r</w:t>
      </w:r>
      <w:r w:rsidR="00C928D2" w:rsidRPr="003C1B12">
        <w:rPr>
          <w:rFonts w:ascii="Times New Roman" w:hAnsi="Times New Roman" w:cs="Times New Roman"/>
          <w:color w:val="000000" w:themeColor="text1"/>
          <w:sz w:val="24"/>
          <w:szCs w:val="24"/>
          <w:lang w:eastAsia="lv-LV"/>
        </w:rPr>
        <w:t>až</w:t>
      </w:r>
      <w:r w:rsidRPr="003C1B12">
        <w:rPr>
          <w:rFonts w:ascii="Times New Roman" w:hAnsi="Times New Roman" w:cs="Times New Roman"/>
          <w:color w:val="000000" w:themeColor="text1"/>
          <w:sz w:val="24"/>
          <w:szCs w:val="24"/>
          <w:lang w:eastAsia="lv-LV"/>
        </w:rPr>
        <w:t>oš</w:t>
      </w:r>
      <w:r w:rsidR="00C928D2" w:rsidRPr="003C1B12">
        <w:rPr>
          <w:rFonts w:ascii="Times New Roman" w:hAnsi="Times New Roman" w:cs="Times New Roman"/>
          <w:color w:val="000000" w:themeColor="text1"/>
          <w:sz w:val="24"/>
          <w:szCs w:val="24"/>
          <w:lang w:eastAsia="lv-LV"/>
        </w:rPr>
        <w:t>a</w:t>
      </w:r>
      <w:r w:rsidRPr="003C1B12">
        <w:rPr>
          <w:rFonts w:ascii="Times New Roman" w:hAnsi="Times New Roman" w:cs="Times New Roman"/>
          <w:color w:val="000000" w:themeColor="text1"/>
          <w:sz w:val="24"/>
          <w:szCs w:val="24"/>
          <w:lang w:eastAsia="lv-LV"/>
        </w:rPr>
        <w:t xml:space="preserve">na </w:t>
      </w:r>
      <w:r w:rsidR="00C928D2" w:rsidRPr="003C1B12">
        <w:rPr>
          <w:rFonts w:ascii="Times New Roman" w:hAnsi="Times New Roman" w:cs="Times New Roman"/>
          <w:color w:val="000000" w:themeColor="text1"/>
          <w:sz w:val="24"/>
          <w:szCs w:val="24"/>
          <w:lang w:eastAsia="lv-LV"/>
        </w:rPr>
        <w:t>un ķīmiskā</w:t>
      </w:r>
      <w:r w:rsidRPr="003C1B12">
        <w:rPr>
          <w:rFonts w:ascii="Times New Roman" w:hAnsi="Times New Roman" w:cs="Times New Roman"/>
          <w:color w:val="000000" w:themeColor="text1"/>
          <w:sz w:val="24"/>
          <w:szCs w:val="24"/>
          <w:lang w:eastAsia="lv-LV"/>
        </w:rPr>
        <w:t xml:space="preserve"> </w:t>
      </w:r>
      <w:r w:rsidR="00C928D2" w:rsidRPr="003C1B12">
        <w:rPr>
          <w:rFonts w:ascii="Times New Roman" w:hAnsi="Times New Roman" w:cs="Times New Roman"/>
          <w:color w:val="000000" w:themeColor="text1"/>
          <w:sz w:val="24"/>
          <w:szCs w:val="24"/>
          <w:lang w:eastAsia="lv-LV"/>
        </w:rPr>
        <w:t>rū</w:t>
      </w:r>
      <w:r w:rsidRPr="003C1B12">
        <w:rPr>
          <w:rFonts w:ascii="Times New Roman" w:hAnsi="Times New Roman" w:cs="Times New Roman"/>
          <w:color w:val="000000" w:themeColor="text1"/>
          <w:sz w:val="24"/>
          <w:szCs w:val="24"/>
          <w:lang w:eastAsia="lv-LV"/>
        </w:rPr>
        <w:t>pniecība un t</w:t>
      </w:r>
      <w:r w:rsidR="00C928D2" w:rsidRPr="003C1B12">
        <w:rPr>
          <w:rFonts w:ascii="Times New Roman" w:hAnsi="Times New Roman" w:cs="Times New Roman"/>
          <w:color w:val="000000" w:themeColor="text1"/>
          <w:sz w:val="24"/>
          <w:szCs w:val="24"/>
          <w:lang w:eastAsia="lv-LV"/>
        </w:rPr>
        <w:t>ā</w:t>
      </w:r>
      <w:r w:rsidRPr="003C1B12">
        <w:rPr>
          <w:rFonts w:ascii="Times New Roman" w:hAnsi="Times New Roman" w:cs="Times New Roman"/>
          <w:color w:val="000000" w:themeColor="text1"/>
          <w:sz w:val="24"/>
          <w:szCs w:val="24"/>
          <w:lang w:eastAsia="lv-LV"/>
        </w:rPr>
        <w:t>s</w:t>
      </w:r>
      <w:r w:rsidR="00C928D2" w:rsidRPr="003C1B12">
        <w:rPr>
          <w:rFonts w:ascii="Times New Roman" w:hAnsi="Times New Roman" w:cs="Times New Roman"/>
          <w:color w:val="000000" w:themeColor="text1"/>
          <w:sz w:val="24"/>
          <w:szCs w:val="24"/>
          <w:lang w:eastAsia="lv-LV"/>
        </w:rPr>
        <w:t xml:space="preserve"> </w:t>
      </w:r>
      <w:r w:rsidRPr="003C1B12">
        <w:rPr>
          <w:rFonts w:ascii="Times New Roman" w:hAnsi="Times New Roman" w:cs="Times New Roman"/>
          <w:color w:val="000000" w:themeColor="text1"/>
          <w:sz w:val="24"/>
          <w:szCs w:val="24"/>
          <w:lang w:eastAsia="lv-LV"/>
        </w:rPr>
        <w:t>sais</w:t>
      </w:r>
      <w:r w:rsidR="00C928D2" w:rsidRPr="003C1B12">
        <w:rPr>
          <w:rFonts w:ascii="Times New Roman" w:hAnsi="Times New Roman" w:cs="Times New Roman"/>
          <w:color w:val="000000" w:themeColor="text1"/>
          <w:sz w:val="24"/>
          <w:szCs w:val="24"/>
          <w:lang w:eastAsia="lv-LV"/>
        </w:rPr>
        <w:t>tī</w:t>
      </w:r>
      <w:r w:rsidRPr="003C1B12">
        <w:rPr>
          <w:rFonts w:ascii="Times New Roman" w:hAnsi="Times New Roman" w:cs="Times New Roman"/>
          <w:color w:val="000000" w:themeColor="text1"/>
          <w:sz w:val="24"/>
          <w:szCs w:val="24"/>
          <w:lang w:eastAsia="lv-LV"/>
        </w:rPr>
        <w:t>tas nozares</w:t>
      </w:r>
      <w:r w:rsidR="00C928D2" w:rsidRPr="003C1B12">
        <w:rPr>
          <w:rFonts w:ascii="Times New Roman" w:hAnsi="Times New Roman" w:cs="Times New Roman"/>
          <w:color w:val="000000" w:themeColor="text1"/>
          <w:sz w:val="24"/>
          <w:szCs w:val="24"/>
          <w:lang w:eastAsia="lv-LV"/>
        </w:rPr>
        <w:t>. Savukārt no pakalpojumu sektoriem jāizceļ informācijas pakalpojumi, telekomunikācijas, pasta un kurjera darbības un finanšu un apdrošināšanas darbības.</w:t>
      </w:r>
    </w:p>
    <w:p w:rsidR="00C34D21" w:rsidRPr="003C1B12" w:rsidRDefault="006F5D95" w:rsidP="002B4935">
      <w:pPr>
        <w:spacing w:after="0" w:line="240" w:lineRule="auto"/>
        <w:jc w:val="center"/>
        <w:rPr>
          <w:rFonts w:ascii="Times New Roman" w:hAnsi="Times New Roman" w:cs="Times New Roman"/>
          <w:sz w:val="24"/>
          <w:szCs w:val="24"/>
        </w:rPr>
      </w:pPr>
      <w:r w:rsidRPr="003C1B12">
        <w:rPr>
          <w:rFonts w:ascii="Times New Roman" w:hAnsi="Times New Roman" w:cs="Times New Roman"/>
          <w:noProof/>
          <w:sz w:val="24"/>
          <w:szCs w:val="24"/>
          <w:lang w:eastAsia="lv-LV"/>
        </w:rPr>
        <w:drawing>
          <wp:inline distT="0" distB="0" distL="0" distR="0" wp14:anchorId="2A319AE5" wp14:editId="4C10002F">
            <wp:extent cx="5748793" cy="2536466"/>
            <wp:effectExtent l="0" t="0" r="444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56018" w:rsidRPr="003C1B12" w:rsidRDefault="00056018" w:rsidP="00056018">
      <w:pPr>
        <w:spacing w:after="0" w:line="240" w:lineRule="auto"/>
        <w:jc w:val="center"/>
        <w:rPr>
          <w:rFonts w:ascii="Times New Roman" w:hAnsi="Times New Roman" w:cs="Times New Roman"/>
          <w:color w:val="000000" w:themeColor="text1"/>
          <w:sz w:val="24"/>
          <w:szCs w:val="24"/>
          <w:lang w:eastAsia="lv-LV"/>
        </w:rPr>
      </w:pPr>
      <w:r w:rsidRPr="003C1B12">
        <w:rPr>
          <w:rFonts w:ascii="Times New Roman" w:hAnsi="Times New Roman" w:cs="Times New Roman"/>
          <w:color w:val="000000" w:themeColor="text1"/>
          <w:sz w:val="24"/>
          <w:szCs w:val="24"/>
          <w:lang w:eastAsia="lv-LV"/>
        </w:rPr>
        <w:t>Attēls Nr.</w:t>
      </w:r>
      <w:r w:rsidRPr="003C1B12">
        <w:rPr>
          <w:rFonts w:ascii="Times New Roman" w:hAnsi="Times New Roman" w:cs="Times New Roman"/>
          <w:color w:val="000000" w:themeColor="text1"/>
          <w:sz w:val="24"/>
          <w:szCs w:val="24"/>
          <w:lang w:eastAsia="lv-LV"/>
        </w:rPr>
        <w:fldChar w:fldCharType="begin"/>
      </w:r>
      <w:r w:rsidRPr="003C1B12">
        <w:rPr>
          <w:rFonts w:ascii="Times New Roman" w:hAnsi="Times New Roman" w:cs="Times New Roman"/>
          <w:color w:val="000000" w:themeColor="text1"/>
          <w:sz w:val="24"/>
          <w:szCs w:val="24"/>
          <w:lang w:eastAsia="lv-LV"/>
        </w:rPr>
        <w:instrText xml:space="preserve"> SEQ Attēls_Nr. \* ARABIC </w:instrText>
      </w:r>
      <w:r w:rsidRPr="003C1B12">
        <w:rPr>
          <w:rFonts w:ascii="Times New Roman" w:hAnsi="Times New Roman" w:cs="Times New Roman"/>
          <w:color w:val="000000" w:themeColor="text1"/>
          <w:sz w:val="24"/>
          <w:szCs w:val="24"/>
          <w:lang w:eastAsia="lv-LV"/>
        </w:rPr>
        <w:fldChar w:fldCharType="separate"/>
      </w:r>
      <w:r w:rsidR="00A379AF" w:rsidRPr="003C1B12">
        <w:rPr>
          <w:rFonts w:ascii="Times New Roman" w:hAnsi="Times New Roman" w:cs="Times New Roman"/>
          <w:noProof/>
          <w:color w:val="000000" w:themeColor="text1"/>
          <w:sz w:val="24"/>
          <w:szCs w:val="24"/>
          <w:lang w:eastAsia="lv-LV"/>
        </w:rPr>
        <w:t>3</w:t>
      </w:r>
      <w:r w:rsidRPr="003C1B12">
        <w:rPr>
          <w:rFonts w:ascii="Times New Roman" w:hAnsi="Times New Roman" w:cs="Times New Roman"/>
          <w:color w:val="000000" w:themeColor="text1"/>
          <w:sz w:val="24"/>
          <w:szCs w:val="24"/>
          <w:lang w:eastAsia="lv-LV"/>
        </w:rPr>
        <w:fldChar w:fldCharType="end"/>
      </w:r>
      <w:r w:rsidRPr="003C1B12">
        <w:rPr>
          <w:rFonts w:ascii="Times New Roman" w:hAnsi="Times New Roman" w:cs="Times New Roman"/>
          <w:color w:val="000000" w:themeColor="text1"/>
          <w:sz w:val="24"/>
          <w:szCs w:val="24"/>
          <w:lang w:eastAsia="lv-LV"/>
        </w:rPr>
        <w:t xml:space="preserve"> – Inovācijas jomā aktīvo uzņēmumu īpatsvars apstrādes rūpniecības nozarēs 2010</w:t>
      </w:r>
      <w:r w:rsidR="007824AA" w:rsidRPr="003C1B12">
        <w:rPr>
          <w:rFonts w:ascii="Times New Roman" w:hAnsi="Times New Roman" w:cs="Times New Roman"/>
          <w:color w:val="000000" w:themeColor="text1"/>
          <w:sz w:val="24"/>
          <w:szCs w:val="24"/>
          <w:lang w:eastAsia="lv-LV"/>
        </w:rPr>
        <w:t>.</w:t>
      </w:r>
      <w:r w:rsidRPr="003C1B12">
        <w:rPr>
          <w:rFonts w:ascii="Times New Roman" w:hAnsi="Times New Roman" w:cs="Times New Roman"/>
          <w:color w:val="000000" w:themeColor="text1"/>
          <w:sz w:val="24"/>
          <w:szCs w:val="24"/>
          <w:lang w:eastAsia="lv-LV"/>
        </w:rPr>
        <w:t xml:space="preserve">-2012.gadā (%) </w:t>
      </w:r>
      <w:r w:rsidRPr="003C1B12">
        <w:rPr>
          <w:rFonts w:ascii="Times New Roman" w:hAnsi="Times New Roman" w:cs="Times New Roman"/>
          <w:i/>
          <w:color w:val="000000" w:themeColor="text1"/>
          <w:sz w:val="24"/>
          <w:szCs w:val="24"/>
          <w:lang w:eastAsia="lv-LV"/>
        </w:rPr>
        <w:t>Avots: CSP</w:t>
      </w:r>
    </w:p>
    <w:p w:rsidR="00C34D21" w:rsidRPr="003C1B12" w:rsidRDefault="00033D9B" w:rsidP="00E12EB3">
      <w:pPr>
        <w:spacing w:after="0" w:line="240" w:lineRule="auto"/>
        <w:ind w:firstLine="720"/>
        <w:jc w:val="both"/>
        <w:rPr>
          <w:rFonts w:ascii="Times New Roman" w:hAnsi="Times New Roman" w:cs="Times New Roman"/>
          <w:sz w:val="24"/>
          <w:szCs w:val="24"/>
        </w:rPr>
      </w:pPr>
      <w:r w:rsidRPr="003C1B12">
        <w:rPr>
          <w:rFonts w:ascii="Times New Roman" w:hAnsi="Times New Roman" w:cs="Times New Roman"/>
          <w:sz w:val="24"/>
          <w:szCs w:val="24"/>
        </w:rPr>
        <w:lastRenderedPageBreak/>
        <w:t>Jāatzīmē, ka no 30,4% inovācijas jomā aktīvajiem uzņēmumiem 64% uzņēmumu bija ieviesuši tehnoloģiskās inovācijas (produktu un procesu inovācijas), savukārt 36% no visiem inovatīvajiem uzņēmumiem ieviesuši netehnoloģiskās inovācijas (tirgdarbības vai organizatorisk</w:t>
      </w:r>
      <w:r w:rsidR="00833F46" w:rsidRPr="003C1B12">
        <w:rPr>
          <w:rFonts w:ascii="Times New Roman" w:hAnsi="Times New Roman" w:cs="Times New Roman"/>
          <w:sz w:val="24"/>
          <w:szCs w:val="24"/>
        </w:rPr>
        <w:t>ās</w:t>
      </w:r>
      <w:r w:rsidRPr="003C1B12">
        <w:rPr>
          <w:rFonts w:ascii="Times New Roman" w:hAnsi="Times New Roman" w:cs="Times New Roman"/>
          <w:sz w:val="24"/>
          <w:szCs w:val="24"/>
        </w:rPr>
        <w:t xml:space="preserve"> inovācija</w:t>
      </w:r>
      <w:r w:rsidR="00833F46" w:rsidRPr="003C1B12">
        <w:rPr>
          <w:rFonts w:ascii="Times New Roman" w:hAnsi="Times New Roman" w:cs="Times New Roman"/>
          <w:sz w:val="24"/>
          <w:szCs w:val="24"/>
        </w:rPr>
        <w:t>s</w:t>
      </w:r>
      <w:r w:rsidRPr="003C1B12">
        <w:rPr>
          <w:rFonts w:ascii="Times New Roman" w:hAnsi="Times New Roman" w:cs="Times New Roman"/>
          <w:sz w:val="24"/>
          <w:szCs w:val="24"/>
        </w:rPr>
        <w:t>).</w:t>
      </w:r>
      <w:r w:rsidR="002B6E07" w:rsidRPr="003C1B12">
        <w:rPr>
          <w:rFonts w:ascii="Times New Roman" w:hAnsi="Times New Roman" w:cs="Times New Roman"/>
          <w:sz w:val="24"/>
          <w:szCs w:val="24"/>
        </w:rPr>
        <w:t xml:space="preserve"> Inovācijas jomā aktīvo uzņēmu izdevumi tehnoloģiskām inovāc</w:t>
      </w:r>
      <w:r w:rsidR="00FD058F" w:rsidRPr="003C1B12">
        <w:rPr>
          <w:rFonts w:ascii="Times New Roman" w:hAnsi="Times New Roman" w:cs="Times New Roman"/>
          <w:sz w:val="24"/>
          <w:szCs w:val="24"/>
        </w:rPr>
        <w:t xml:space="preserve">ijām 2012.gadā bija 366 milj. </w:t>
      </w:r>
      <w:r w:rsidR="00FD058F" w:rsidRPr="003C1B12">
        <w:rPr>
          <w:rFonts w:ascii="Times New Roman" w:hAnsi="Times New Roman" w:cs="Times New Roman"/>
          <w:i/>
          <w:sz w:val="24"/>
          <w:szCs w:val="24"/>
        </w:rPr>
        <w:t>eu</w:t>
      </w:r>
      <w:r w:rsidR="002B6E07" w:rsidRPr="003C1B12">
        <w:rPr>
          <w:rFonts w:ascii="Times New Roman" w:hAnsi="Times New Roman" w:cs="Times New Roman"/>
          <w:i/>
          <w:sz w:val="24"/>
          <w:szCs w:val="24"/>
        </w:rPr>
        <w:t>ro</w:t>
      </w:r>
      <w:r w:rsidR="002B6E07" w:rsidRPr="003C1B12">
        <w:rPr>
          <w:rFonts w:ascii="Times New Roman" w:hAnsi="Times New Roman" w:cs="Times New Roman"/>
          <w:sz w:val="24"/>
          <w:szCs w:val="24"/>
        </w:rPr>
        <w:t>, no kuriem 94% veidoja izdevumi jaunu iekārtu, maš</w:t>
      </w:r>
      <w:r w:rsidR="00833F46" w:rsidRPr="003C1B12">
        <w:rPr>
          <w:rFonts w:ascii="Times New Roman" w:hAnsi="Times New Roman" w:cs="Times New Roman"/>
          <w:sz w:val="24"/>
          <w:szCs w:val="24"/>
        </w:rPr>
        <w:t>ī</w:t>
      </w:r>
      <w:r w:rsidR="002B6E07" w:rsidRPr="003C1B12">
        <w:rPr>
          <w:rFonts w:ascii="Times New Roman" w:hAnsi="Times New Roman" w:cs="Times New Roman"/>
          <w:sz w:val="24"/>
          <w:szCs w:val="24"/>
        </w:rPr>
        <w:t xml:space="preserve">nu, datortehnikas un programmatūras iegādei un tikai </w:t>
      </w:r>
      <w:r w:rsidR="00833F46" w:rsidRPr="003C1B12">
        <w:rPr>
          <w:rFonts w:ascii="Times New Roman" w:hAnsi="Times New Roman" w:cs="Times New Roman"/>
          <w:sz w:val="24"/>
          <w:szCs w:val="24"/>
        </w:rPr>
        <w:t>3</w:t>
      </w:r>
      <w:r w:rsidR="002B6E07" w:rsidRPr="003C1B12">
        <w:rPr>
          <w:rFonts w:ascii="Times New Roman" w:hAnsi="Times New Roman" w:cs="Times New Roman"/>
          <w:sz w:val="24"/>
          <w:szCs w:val="24"/>
        </w:rPr>
        <w:t>,3 % tika novir</w:t>
      </w:r>
      <w:r w:rsidR="00833F46" w:rsidRPr="003C1B12">
        <w:rPr>
          <w:rFonts w:ascii="Times New Roman" w:hAnsi="Times New Roman" w:cs="Times New Roman"/>
          <w:sz w:val="24"/>
          <w:szCs w:val="24"/>
        </w:rPr>
        <w:t>zī</w:t>
      </w:r>
      <w:r w:rsidR="002B6E07" w:rsidRPr="003C1B12">
        <w:rPr>
          <w:rFonts w:ascii="Times New Roman" w:hAnsi="Times New Roman" w:cs="Times New Roman"/>
          <w:sz w:val="24"/>
          <w:szCs w:val="24"/>
        </w:rPr>
        <w:t>ti</w:t>
      </w:r>
      <w:r w:rsidR="00833F46" w:rsidRPr="003C1B12">
        <w:rPr>
          <w:rFonts w:ascii="Times New Roman" w:hAnsi="Times New Roman" w:cs="Times New Roman"/>
          <w:sz w:val="24"/>
          <w:szCs w:val="24"/>
        </w:rPr>
        <w:t xml:space="preserve"> iekšējām pētniecības darbībām un 1% ārējo pētniecības pakalpojumu iegādei.</w:t>
      </w:r>
    </w:p>
    <w:p w:rsidR="00833F46" w:rsidRPr="003C1B12" w:rsidRDefault="00833F46" w:rsidP="00E12EB3">
      <w:pPr>
        <w:spacing w:after="0" w:line="240" w:lineRule="auto"/>
        <w:ind w:firstLine="720"/>
        <w:jc w:val="both"/>
        <w:rPr>
          <w:rFonts w:ascii="Times New Roman" w:hAnsi="Times New Roman" w:cs="Times New Roman"/>
          <w:sz w:val="24"/>
          <w:szCs w:val="24"/>
        </w:rPr>
      </w:pPr>
      <w:r w:rsidRPr="003C1B12">
        <w:rPr>
          <w:rFonts w:ascii="Times New Roman" w:hAnsi="Times New Roman" w:cs="Times New Roman"/>
          <w:sz w:val="24"/>
          <w:szCs w:val="24"/>
        </w:rPr>
        <w:t xml:space="preserve">Saskaņā ar CSP datiem izdevumi zinātniski pētnieciskajam darbam (P&amp;A) uzņēmējdarbības sektorā 2013.gadā bija 39,4 milj. EUR jeb </w:t>
      </w:r>
      <w:r w:rsidR="00F64A21" w:rsidRPr="003C1B12">
        <w:rPr>
          <w:rFonts w:ascii="Times New Roman" w:hAnsi="Times New Roman" w:cs="Times New Roman"/>
          <w:sz w:val="24"/>
          <w:szCs w:val="24"/>
        </w:rPr>
        <w:t>0,17%</w:t>
      </w:r>
      <w:r w:rsidRPr="003C1B12">
        <w:rPr>
          <w:rFonts w:ascii="Times New Roman" w:hAnsi="Times New Roman" w:cs="Times New Roman"/>
          <w:sz w:val="24"/>
          <w:szCs w:val="24"/>
        </w:rPr>
        <w:t xml:space="preserve"> no IKP</w:t>
      </w:r>
      <w:r w:rsidR="00F64A21" w:rsidRPr="003C1B12">
        <w:rPr>
          <w:rFonts w:ascii="Times New Roman" w:hAnsi="Times New Roman" w:cs="Times New Roman"/>
          <w:sz w:val="24"/>
          <w:szCs w:val="24"/>
        </w:rPr>
        <w:t xml:space="preserve">, kas būtiski atpaliek no ES </w:t>
      </w:r>
      <w:r w:rsidR="007824AA" w:rsidRPr="003C1B12">
        <w:rPr>
          <w:rFonts w:ascii="Times New Roman" w:hAnsi="Times New Roman" w:cs="Times New Roman"/>
          <w:sz w:val="24"/>
          <w:szCs w:val="24"/>
        </w:rPr>
        <w:t xml:space="preserve">vidējā rādītāja 1,28 % no IKP. </w:t>
      </w:r>
      <w:r w:rsidR="00F64A21" w:rsidRPr="003C1B12">
        <w:rPr>
          <w:rFonts w:ascii="Times New Roman" w:hAnsi="Times New Roman" w:cs="Times New Roman"/>
          <w:sz w:val="24"/>
          <w:szCs w:val="24"/>
        </w:rPr>
        <w:t>Analizējot P&amp;A ieguldījumu uzņēmējdarbībā, jāsecina, ka kopš 2007</w:t>
      </w:r>
      <w:r w:rsidR="008A43BE" w:rsidRPr="003C1B12">
        <w:rPr>
          <w:rFonts w:ascii="Times New Roman" w:hAnsi="Times New Roman" w:cs="Times New Roman"/>
          <w:sz w:val="24"/>
          <w:szCs w:val="24"/>
        </w:rPr>
        <w:t>.gada</w:t>
      </w:r>
      <w:r w:rsidR="00F64A21" w:rsidRPr="003C1B12">
        <w:rPr>
          <w:rFonts w:ascii="Times New Roman" w:hAnsi="Times New Roman" w:cs="Times New Roman"/>
          <w:sz w:val="24"/>
          <w:szCs w:val="24"/>
        </w:rPr>
        <w:t xml:space="preserve"> uzņēmumu pašu finansējums samazinās, bet pieaug pie</w:t>
      </w:r>
      <w:r w:rsidR="008A43BE" w:rsidRPr="003C1B12">
        <w:rPr>
          <w:rFonts w:ascii="Times New Roman" w:hAnsi="Times New Roman" w:cs="Times New Roman"/>
          <w:sz w:val="24"/>
          <w:szCs w:val="24"/>
        </w:rPr>
        <w:t>sa</w:t>
      </w:r>
      <w:r w:rsidR="00F64A21" w:rsidRPr="003C1B12">
        <w:rPr>
          <w:rFonts w:ascii="Times New Roman" w:hAnsi="Times New Roman" w:cs="Times New Roman"/>
          <w:sz w:val="24"/>
          <w:szCs w:val="24"/>
        </w:rPr>
        <w:t>i</w:t>
      </w:r>
      <w:r w:rsidR="008A43BE" w:rsidRPr="003C1B12">
        <w:rPr>
          <w:rFonts w:ascii="Times New Roman" w:hAnsi="Times New Roman" w:cs="Times New Roman"/>
          <w:sz w:val="24"/>
          <w:szCs w:val="24"/>
        </w:rPr>
        <w:t>s</w:t>
      </w:r>
      <w:r w:rsidR="00F64A21" w:rsidRPr="003C1B12">
        <w:rPr>
          <w:rFonts w:ascii="Times New Roman" w:hAnsi="Times New Roman" w:cs="Times New Roman"/>
          <w:sz w:val="24"/>
          <w:szCs w:val="24"/>
        </w:rPr>
        <w:t>tītais ārvalstu finansējums</w:t>
      </w:r>
      <w:r w:rsidR="008A43BE" w:rsidRPr="003C1B12">
        <w:rPr>
          <w:rFonts w:ascii="Times New Roman" w:hAnsi="Times New Roman" w:cs="Times New Roman"/>
          <w:sz w:val="24"/>
          <w:szCs w:val="24"/>
        </w:rPr>
        <w:t>. 2013.gadā</w:t>
      </w:r>
      <w:r w:rsidRPr="003C1B12">
        <w:rPr>
          <w:rFonts w:ascii="Times New Roman" w:hAnsi="Times New Roman" w:cs="Times New Roman"/>
          <w:sz w:val="24"/>
          <w:szCs w:val="24"/>
        </w:rPr>
        <w:t xml:space="preserve"> piesaistītais ārvalstu finansējum</w:t>
      </w:r>
      <w:r w:rsidR="0092759C" w:rsidRPr="003C1B12">
        <w:rPr>
          <w:rFonts w:ascii="Times New Roman" w:hAnsi="Times New Roman" w:cs="Times New Roman"/>
          <w:sz w:val="24"/>
          <w:szCs w:val="24"/>
        </w:rPr>
        <w:t>s</w:t>
      </w:r>
      <w:r w:rsidRPr="003C1B12">
        <w:rPr>
          <w:rFonts w:ascii="Times New Roman" w:hAnsi="Times New Roman" w:cs="Times New Roman"/>
          <w:sz w:val="24"/>
          <w:szCs w:val="24"/>
        </w:rPr>
        <w:t xml:space="preserve"> tajā skaitā ES struktūrfondu finansējums</w:t>
      </w:r>
      <w:r w:rsidR="008A43BE" w:rsidRPr="003C1B12">
        <w:rPr>
          <w:rFonts w:ascii="Times New Roman" w:hAnsi="Times New Roman" w:cs="Times New Roman"/>
          <w:sz w:val="24"/>
          <w:szCs w:val="24"/>
        </w:rPr>
        <w:t xml:space="preserve">, </w:t>
      </w:r>
      <w:r w:rsidRPr="003C1B12">
        <w:rPr>
          <w:rFonts w:ascii="Times New Roman" w:hAnsi="Times New Roman" w:cs="Times New Roman"/>
          <w:sz w:val="24"/>
          <w:szCs w:val="24"/>
        </w:rPr>
        <w:t>veidoja 45% no kopējiem</w:t>
      </w:r>
      <w:r w:rsidR="008A43BE" w:rsidRPr="003C1B12">
        <w:rPr>
          <w:rFonts w:ascii="Times New Roman" w:hAnsi="Times New Roman" w:cs="Times New Roman"/>
          <w:sz w:val="24"/>
          <w:szCs w:val="24"/>
        </w:rPr>
        <w:t xml:space="preserve"> P&amp;A ieguldījumiem uzņēmējdarbības sektorā.</w:t>
      </w:r>
    </w:p>
    <w:p w:rsidR="00C2598D" w:rsidRPr="003C1B12" w:rsidRDefault="00C2598D" w:rsidP="00C2598D">
      <w:pPr>
        <w:spacing w:after="0" w:line="240" w:lineRule="auto"/>
        <w:ind w:firstLine="720"/>
        <w:jc w:val="both"/>
        <w:rPr>
          <w:rFonts w:ascii="Times New Roman" w:hAnsi="Times New Roman" w:cs="Times New Roman"/>
          <w:sz w:val="24"/>
        </w:rPr>
      </w:pPr>
      <w:r w:rsidRPr="003C1B12">
        <w:rPr>
          <w:rFonts w:ascii="Times New Roman" w:hAnsi="Times New Roman" w:cs="Times New Roman"/>
          <w:sz w:val="24"/>
        </w:rPr>
        <w:t>Latvij</w:t>
      </w:r>
      <w:r w:rsidR="004F7F2A" w:rsidRPr="003C1B12">
        <w:rPr>
          <w:rFonts w:ascii="Times New Roman" w:hAnsi="Times New Roman" w:cs="Times New Roman"/>
          <w:sz w:val="24"/>
        </w:rPr>
        <w:t>ā</w:t>
      </w:r>
      <w:r w:rsidRPr="003C1B12">
        <w:rPr>
          <w:rFonts w:ascii="Times New Roman" w:hAnsi="Times New Roman" w:cs="Times New Roman"/>
          <w:sz w:val="24"/>
        </w:rPr>
        <w:t xml:space="preserve"> ir viens no zemākajiem zinātniski pētnieciskajā darbā strādājošo īpatsvariem, bet vismazāk zinātniski pētnieciskajā darbā strādājošie ir uzņēmējdarbības sektorā (981 normālā darba laika ekvivalenta strādājošais 2013.gadā). Tas rada papildu izaic</w:t>
      </w:r>
      <w:r w:rsidR="000643AC" w:rsidRPr="003C1B12">
        <w:rPr>
          <w:rFonts w:ascii="Times New Roman" w:hAnsi="Times New Roman" w:cs="Times New Roman"/>
          <w:sz w:val="24"/>
        </w:rPr>
        <w:t>i</w:t>
      </w:r>
      <w:r w:rsidR="00FD058F" w:rsidRPr="003C1B12">
        <w:rPr>
          <w:rFonts w:ascii="Times New Roman" w:hAnsi="Times New Roman" w:cs="Times New Roman"/>
          <w:sz w:val="24"/>
        </w:rPr>
        <w:t>nājumus industrijai</w:t>
      </w:r>
      <w:r w:rsidRPr="003C1B12">
        <w:rPr>
          <w:rFonts w:ascii="Times New Roman" w:hAnsi="Times New Roman" w:cs="Times New Roman"/>
          <w:sz w:val="24"/>
        </w:rPr>
        <w:t xml:space="preserve"> īstenot pētniecības un inovācijas darbības un nodrošināt  zināšanu un j</w:t>
      </w:r>
      <w:r w:rsidR="007824AA" w:rsidRPr="003C1B12">
        <w:rPr>
          <w:rFonts w:ascii="Times New Roman" w:hAnsi="Times New Roman" w:cs="Times New Roman"/>
          <w:sz w:val="24"/>
        </w:rPr>
        <w:t>aunāko tehnoloģiju absorbciju.</w:t>
      </w:r>
    </w:p>
    <w:p w:rsidR="00392252" w:rsidRPr="003C1B12" w:rsidRDefault="00957858" w:rsidP="007824AA">
      <w:pPr>
        <w:spacing w:after="0" w:line="240" w:lineRule="auto"/>
        <w:ind w:firstLine="720"/>
        <w:jc w:val="both"/>
        <w:rPr>
          <w:rFonts w:ascii="Times New Roman" w:hAnsi="Times New Roman" w:cs="Times New Roman"/>
          <w:sz w:val="24"/>
          <w:szCs w:val="24"/>
        </w:rPr>
      </w:pPr>
      <w:r w:rsidRPr="003C1B12">
        <w:rPr>
          <w:rFonts w:ascii="Times New Roman" w:hAnsi="Times New Roman" w:cs="Times New Roman"/>
          <w:sz w:val="24"/>
          <w:szCs w:val="24"/>
        </w:rPr>
        <w:t xml:space="preserve">Inovācijas un pētniecības datu analīze </w:t>
      </w:r>
      <w:r w:rsidR="00995BDA" w:rsidRPr="003C1B12">
        <w:rPr>
          <w:rFonts w:ascii="Times New Roman" w:hAnsi="Times New Roman" w:cs="Times New Roman"/>
          <w:sz w:val="24"/>
          <w:szCs w:val="24"/>
        </w:rPr>
        <w:t xml:space="preserve">liecina </w:t>
      </w:r>
      <w:r w:rsidRPr="003C1B12">
        <w:rPr>
          <w:rFonts w:ascii="Times New Roman" w:hAnsi="Times New Roman" w:cs="Times New Roman"/>
          <w:sz w:val="24"/>
          <w:szCs w:val="24"/>
        </w:rPr>
        <w:t>par to, ka Latvijas uzņ</w:t>
      </w:r>
      <w:r w:rsidR="00FD058F" w:rsidRPr="003C1B12">
        <w:rPr>
          <w:rFonts w:ascii="Times New Roman" w:hAnsi="Times New Roman" w:cs="Times New Roman"/>
          <w:sz w:val="24"/>
          <w:szCs w:val="24"/>
        </w:rPr>
        <w:t>ēmumu inovācijas un pētniecības</w:t>
      </w:r>
      <w:r w:rsidRPr="003C1B12">
        <w:rPr>
          <w:rFonts w:ascii="Times New Roman" w:hAnsi="Times New Roman" w:cs="Times New Roman"/>
          <w:sz w:val="24"/>
          <w:szCs w:val="24"/>
        </w:rPr>
        <w:t xml:space="preserve"> kapacitāte joprojām i</w:t>
      </w:r>
      <w:r w:rsidR="00FD058F" w:rsidRPr="003C1B12">
        <w:rPr>
          <w:rFonts w:ascii="Times New Roman" w:hAnsi="Times New Roman" w:cs="Times New Roman"/>
          <w:sz w:val="24"/>
          <w:szCs w:val="24"/>
        </w:rPr>
        <w:t>r nepietiekama, lai nodrošinātu</w:t>
      </w:r>
      <w:r w:rsidRPr="003C1B12">
        <w:rPr>
          <w:rFonts w:ascii="Times New Roman" w:hAnsi="Times New Roman" w:cs="Times New Roman"/>
          <w:sz w:val="24"/>
          <w:szCs w:val="24"/>
        </w:rPr>
        <w:t xml:space="preserve"> jaunu konkurences priekšrocību radīšanu un uzņēmumu izaugsmi ilgtermiņā. Izstrādājot valsts atbalsta instruments jāņem vērā, ka</w:t>
      </w:r>
      <w:r w:rsidR="00833F46" w:rsidRPr="003C1B12">
        <w:rPr>
          <w:rFonts w:ascii="Times New Roman" w:hAnsi="Times New Roman" w:cs="Times New Roman"/>
          <w:sz w:val="24"/>
          <w:szCs w:val="24"/>
        </w:rPr>
        <w:t xml:space="preserve"> </w:t>
      </w:r>
      <w:r w:rsidR="00C150C4" w:rsidRPr="003C1B12">
        <w:rPr>
          <w:rFonts w:ascii="Times New Roman" w:hAnsi="Times New Roman" w:cs="Times New Roman"/>
          <w:sz w:val="24"/>
          <w:szCs w:val="24"/>
        </w:rPr>
        <w:t xml:space="preserve">apstrādes rūpniecības nozaru struktūra, kur dominē zemo un vidēji zemo tehnoloģiju nozares, kā arī uzņēmumu tehnoloģiskās attīstības līmenis un loma produktu pievienotās vērtības ķēdē. Tāpat </w:t>
      </w:r>
      <w:r w:rsidR="00833F46" w:rsidRPr="003C1B12">
        <w:rPr>
          <w:rFonts w:ascii="Times New Roman" w:hAnsi="Times New Roman" w:cs="Times New Roman"/>
          <w:sz w:val="24"/>
          <w:szCs w:val="24"/>
        </w:rPr>
        <w:t>Latvijas tautsaimniecības struktūru galvenokārt veido mazie un vidējie uzņēmumi, kuriem ir ierobežoti gan cilvēkresursi, gan pašu finanšu resursi pētniecības un inovācijas attīstībai un ieviešanai, kā arī ierobežotas iespējas piesaistīt finansējumu augstā tehnoloģiskā un biznesa riska dēļ</w:t>
      </w:r>
      <w:r w:rsidRPr="003C1B12">
        <w:rPr>
          <w:rFonts w:ascii="Times New Roman" w:hAnsi="Times New Roman" w:cs="Times New Roman"/>
          <w:sz w:val="24"/>
          <w:szCs w:val="24"/>
        </w:rPr>
        <w:t>.</w:t>
      </w:r>
      <w:r w:rsidR="00C150C4" w:rsidRPr="003C1B12">
        <w:rPr>
          <w:rFonts w:ascii="Times New Roman" w:hAnsi="Times New Roman" w:cs="Times New Roman"/>
          <w:sz w:val="24"/>
          <w:szCs w:val="24"/>
        </w:rPr>
        <w:t xml:space="preserve"> </w:t>
      </w:r>
      <w:r w:rsidRPr="003C1B12">
        <w:rPr>
          <w:rFonts w:ascii="Times New Roman" w:hAnsi="Times New Roman" w:cs="Times New Roman"/>
          <w:sz w:val="24"/>
          <w:szCs w:val="24"/>
        </w:rPr>
        <w:t>Tāpat aizvien ir nepietiekami attīstītas uzņēmumu sadarbības prasmes gan nozares, gan starpnozaru griezumā, kā arī sadarbība ar pētniecības institūcijām Latvijā un ārvalstīs.</w:t>
      </w:r>
    </w:p>
    <w:bookmarkEnd w:id="11"/>
    <w:p w:rsidR="000C4557" w:rsidRPr="003C1B12" w:rsidRDefault="000C4557" w:rsidP="000C4557">
      <w:pPr>
        <w:spacing w:after="0" w:line="240" w:lineRule="auto"/>
        <w:ind w:firstLine="720"/>
        <w:jc w:val="both"/>
        <w:rPr>
          <w:rFonts w:ascii="Times New Roman" w:hAnsi="Times New Roman" w:cs="Times New Roman"/>
          <w:sz w:val="24"/>
          <w:szCs w:val="24"/>
        </w:rPr>
      </w:pPr>
    </w:p>
    <w:p w:rsidR="000C4557" w:rsidRPr="003C1B12" w:rsidRDefault="000C4557" w:rsidP="000C4557">
      <w:pPr>
        <w:pStyle w:val="Heading2"/>
        <w:spacing w:before="0"/>
        <w:rPr>
          <w:rFonts w:ascii="Times New Roman" w:hAnsi="Times New Roman" w:cs="Times New Roman"/>
          <w:color w:val="31849B" w:themeColor="accent5" w:themeShade="BF"/>
        </w:rPr>
      </w:pPr>
      <w:bookmarkStart w:id="12" w:name="_Toc417324174"/>
      <w:bookmarkStart w:id="13" w:name="_Toc427646466"/>
      <w:bookmarkStart w:id="14" w:name="_Toc427646552"/>
      <w:r w:rsidRPr="003C1B12">
        <w:rPr>
          <w:rFonts w:ascii="Times New Roman" w:hAnsi="Times New Roman" w:cs="Times New Roman"/>
          <w:color w:val="31849B" w:themeColor="accent5" w:themeShade="BF"/>
        </w:rPr>
        <w:t>1.</w:t>
      </w:r>
      <w:r w:rsidR="003B4C7A" w:rsidRPr="003C1B12">
        <w:rPr>
          <w:rFonts w:ascii="Times New Roman" w:hAnsi="Times New Roman" w:cs="Times New Roman"/>
          <w:color w:val="31849B" w:themeColor="accent5" w:themeShade="BF"/>
        </w:rPr>
        <w:t>3</w:t>
      </w:r>
      <w:r w:rsidRPr="003C1B12">
        <w:rPr>
          <w:rFonts w:ascii="Times New Roman" w:hAnsi="Times New Roman" w:cs="Times New Roman"/>
          <w:color w:val="31849B" w:themeColor="accent5" w:themeShade="BF"/>
        </w:rPr>
        <w:t xml:space="preserve">. </w:t>
      </w:r>
      <w:r w:rsidR="00220B5B" w:rsidRPr="003C1B12">
        <w:rPr>
          <w:rFonts w:ascii="Times New Roman" w:hAnsi="Times New Roman" w:cs="Times New Roman"/>
          <w:color w:val="31849B" w:themeColor="accent5" w:themeShade="BF"/>
        </w:rPr>
        <w:t>P</w:t>
      </w:r>
      <w:r w:rsidRPr="003C1B12">
        <w:rPr>
          <w:rFonts w:ascii="Times New Roman" w:hAnsi="Times New Roman" w:cs="Times New Roman"/>
          <w:color w:val="31849B" w:themeColor="accent5" w:themeShade="BF"/>
        </w:rPr>
        <w:t>olitikas plānošanas dokument</w:t>
      </w:r>
      <w:bookmarkEnd w:id="12"/>
      <w:r w:rsidR="00220B5B" w:rsidRPr="003C1B12">
        <w:rPr>
          <w:rFonts w:ascii="Times New Roman" w:hAnsi="Times New Roman" w:cs="Times New Roman"/>
          <w:color w:val="31849B" w:themeColor="accent5" w:themeShade="BF"/>
        </w:rPr>
        <w:t xml:space="preserve">os noteiktās rūpniecības un inovācijas  </w:t>
      </w:r>
      <w:r w:rsidR="009D7B7A" w:rsidRPr="003C1B12">
        <w:rPr>
          <w:rFonts w:ascii="Times New Roman" w:hAnsi="Times New Roman" w:cs="Times New Roman"/>
          <w:color w:val="31849B" w:themeColor="accent5" w:themeShade="BF"/>
        </w:rPr>
        <w:t>politikas</w:t>
      </w:r>
      <w:r w:rsidR="00220B5B" w:rsidRPr="003C1B12">
        <w:rPr>
          <w:rFonts w:ascii="Times New Roman" w:hAnsi="Times New Roman" w:cs="Times New Roman"/>
          <w:color w:val="31849B" w:themeColor="accent5" w:themeShade="BF"/>
        </w:rPr>
        <w:t xml:space="preserve"> prioritātes</w:t>
      </w:r>
      <w:bookmarkEnd w:id="13"/>
      <w:bookmarkEnd w:id="14"/>
    </w:p>
    <w:p w:rsidR="000C4557" w:rsidRPr="003C1B12" w:rsidRDefault="000C4557" w:rsidP="000C4557">
      <w:pPr>
        <w:spacing w:after="0" w:line="240" w:lineRule="auto"/>
        <w:ind w:firstLine="720"/>
        <w:jc w:val="both"/>
        <w:rPr>
          <w:rFonts w:ascii="Times New Roman" w:hAnsi="Times New Roman" w:cs="Times New Roman"/>
          <w:sz w:val="24"/>
        </w:rPr>
      </w:pPr>
      <w:r w:rsidRPr="003C1B12">
        <w:rPr>
          <w:rFonts w:ascii="Times New Roman" w:hAnsi="Times New Roman" w:cs="Times New Roman"/>
          <w:sz w:val="24"/>
        </w:rPr>
        <w:t>Latvijas tautsaimniecības struktūrpolitikas galvenie mērķi un virzieni līdz 2020.gadam ir noteikti vairākos politikas plānošanas dokumentos: Latvijas Nacionālajā attīstības plānā 2014.-2020.gadam, Nacionālās industriālās politikas pamatnostādnēs 2013.-2020.gadam</w:t>
      </w:r>
      <w:r w:rsidR="00750279" w:rsidRPr="003C1B12">
        <w:rPr>
          <w:rFonts w:ascii="Times New Roman" w:hAnsi="Times New Roman" w:cs="Times New Roman"/>
          <w:sz w:val="24"/>
        </w:rPr>
        <w:t xml:space="preserve"> un </w:t>
      </w:r>
      <w:r w:rsidR="00750279" w:rsidRPr="003C1B12">
        <w:rPr>
          <w:rFonts w:ascii="Times New Roman" w:eastAsia="Times New Roman" w:hAnsi="Times New Roman" w:cs="Times New Roman"/>
          <w:sz w:val="24"/>
          <w:szCs w:val="24"/>
          <w:lang w:eastAsia="zh-CN" w:bidi="lo-LA"/>
        </w:rPr>
        <w:t>Zinātnes, tehnoloģiju attīstī</w:t>
      </w:r>
      <w:r w:rsidR="007824AA" w:rsidRPr="003C1B12">
        <w:rPr>
          <w:rFonts w:ascii="Times New Roman" w:eastAsia="Times New Roman" w:hAnsi="Times New Roman" w:cs="Times New Roman"/>
          <w:sz w:val="24"/>
          <w:szCs w:val="24"/>
          <w:lang w:eastAsia="zh-CN" w:bidi="lo-LA"/>
        </w:rPr>
        <w:t>bas un inovācijas pamatnostādnēs</w:t>
      </w:r>
      <w:r w:rsidR="00750279" w:rsidRPr="003C1B12">
        <w:rPr>
          <w:rFonts w:ascii="Times New Roman" w:eastAsia="Times New Roman" w:hAnsi="Times New Roman" w:cs="Times New Roman"/>
          <w:sz w:val="24"/>
          <w:szCs w:val="24"/>
          <w:lang w:eastAsia="zh-CN" w:bidi="lo-LA"/>
        </w:rPr>
        <w:t xml:space="preserve"> 2014</w:t>
      </w:r>
      <w:r w:rsidR="005C2FDD" w:rsidRPr="003C1B12">
        <w:rPr>
          <w:rFonts w:ascii="Times New Roman" w:eastAsia="Times New Roman" w:hAnsi="Times New Roman" w:cs="Times New Roman"/>
          <w:sz w:val="24"/>
          <w:szCs w:val="24"/>
          <w:lang w:eastAsia="zh-CN" w:bidi="lo-LA"/>
        </w:rPr>
        <w:t>.</w:t>
      </w:r>
      <w:r w:rsidR="00750279" w:rsidRPr="003C1B12">
        <w:rPr>
          <w:rFonts w:ascii="Times New Roman" w:eastAsia="Times New Roman" w:hAnsi="Times New Roman" w:cs="Times New Roman"/>
          <w:sz w:val="24"/>
          <w:szCs w:val="24"/>
          <w:lang w:eastAsia="zh-CN" w:bidi="lo-LA"/>
        </w:rPr>
        <w:t>-2020.gadam</w:t>
      </w:r>
      <w:r w:rsidRPr="003C1B12">
        <w:rPr>
          <w:rFonts w:ascii="Times New Roman" w:hAnsi="Times New Roman" w:cs="Times New Roman"/>
          <w:sz w:val="24"/>
        </w:rPr>
        <w:t>. Iepriekš minētajos politikas plānošanas dokumentos izvirzīto mērķu sekmīga sasniegšana saistīta ar noteiktām strukturālām izmaiņām tautsaimniecības resursu izvietojumā par labu:</w:t>
      </w:r>
    </w:p>
    <w:p w:rsidR="000C4557" w:rsidRPr="003C1B12" w:rsidRDefault="000C4557" w:rsidP="00241368">
      <w:pPr>
        <w:pStyle w:val="ListParagraph"/>
        <w:numPr>
          <w:ilvl w:val="0"/>
          <w:numId w:val="1"/>
        </w:numPr>
        <w:spacing w:after="0" w:line="240" w:lineRule="auto"/>
        <w:jc w:val="both"/>
        <w:rPr>
          <w:rFonts w:ascii="Times New Roman" w:hAnsi="Times New Roman" w:cs="Times New Roman"/>
          <w:sz w:val="24"/>
        </w:rPr>
      </w:pPr>
      <w:r w:rsidRPr="003C1B12">
        <w:rPr>
          <w:rFonts w:ascii="Times New Roman" w:hAnsi="Times New Roman" w:cs="Times New Roman"/>
          <w:sz w:val="24"/>
        </w:rPr>
        <w:t>preču un pakalpojumu ar augstāku pievienoto vērtību ražošanai;</w:t>
      </w:r>
    </w:p>
    <w:p w:rsidR="000C4557" w:rsidRPr="003C1B12" w:rsidRDefault="000C4557" w:rsidP="00241368">
      <w:pPr>
        <w:pStyle w:val="ListParagraph"/>
        <w:numPr>
          <w:ilvl w:val="0"/>
          <w:numId w:val="1"/>
        </w:numPr>
        <w:spacing w:after="0" w:line="240" w:lineRule="auto"/>
        <w:jc w:val="both"/>
        <w:rPr>
          <w:rFonts w:ascii="Times New Roman" w:hAnsi="Times New Roman" w:cs="Times New Roman"/>
          <w:sz w:val="24"/>
        </w:rPr>
      </w:pPr>
      <w:r w:rsidRPr="003C1B12">
        <w:rPr>
          <w:rFonts w:ascii="Times New Roman" w:hAnsi="Times New Roman" w:cs="Times New Roman"/>
          <w:sz w:val="24"/>
        </w:rPr>
        <w:t>uz eksportu vērstām nozarēm;</w:t>
      </w:r>
    </w:p>
    <w:p w:rsidR="000C4557" w:rsidRPr="003C1B12" w:rsidRDefault="000C4557" w:rsidP="00241368">
      <w:pPr>
        <w:pStyle w:val="ListParagraph"/>
        <w:numPr>
          <w:ilvl w:val="0"/>
          <w:numId w:val="1"/>
        </w:numPr>
        <w:spacing w:after="0" w:line="240" w:lineRule="auto"/>
        <w:jc w:val="both"/>
        <w:rPr>
          <w:rFonts w:ascii="Times New Roman" w:hAnsi="Times New Roman" w:cs="Times New Roman"/>
          <w:sz w:val="24"/>
        </w:rPr>
      </w:pPr>
      <w:r w:rsidRPr="003C1B12">
        <w:rPr>
          <w:rFonts w:ascii="Times New Roman" w:hAnsi="Times New Roman" w:cs="Times New Roman"/>
          <w:sz w:val="24"/>
        </w:rPr>
        <w:t>lielākiem ieguldījumiem jaunās tehnoloģijās, inovācijā un IKT.</w:t>
      </w:r>
    </w:p>
    <w:p w:rsidR="00F533E7" w:rsidRPr="003C1B12" w:rsidRDefault="003B4C7A" w:rsidP="00392252">
      <w:pPr>
        <w:spacing w:after="0" w:line="240" w:lineRule="auto"/>
        <w:ind w:firstLine="720"/>
        <w:jc w:val="both"/>
        <w:rPr>
          <w:rFonts w:ascii="Times New Roman" w:hAnsi="Times New Roman" w:cs="Times New Roman"/>
          <w:sz w:val="24"/>
          <w:szCs w:val="24"/>
        </w:rPr>
      </w:pPr>
      <w:r w:rsidRPr="003C1B12">
        <w:rPr>
          <w:rFonts w:ascii="Times New Roman" w:hAnsi="Times New Roman" w:cs="Times New Roman"/>
          <w:sz w:val="24"/>
          <w:szCs w:val="24"/>
        </w:rPr>
        <w:t>Nacionāl</w:t>
      </w:r>
      <w:r w:rsidR="00AD451A" w:rsidRPr="003C1B12">
        <w:rPr>
          <w:rFonts w:ascii="Times New Roman" w:hAnsi="Times New Roman" w:cs="Times New Roman"/>
          <w:sz w:val="24"/>
          <w:szCs w:val="24"/>
        </w:rPr>
        <w:t>ā</w:t>
      </w:r>
      <w:r w:rsidRPr="003C1B12">
        <w:rPr>
          <w:rFonts w:ascii="Times New Roman" w:hAnsi="Times New Roman" w:cs="Times New Roman"/>
          <w:sz w:val="24"/>
          <w:szCs w:val="24"/>
        </w:rPr>
        <w:t xml:space="preserve"> attīstības plān</w:t>
      </w:r>
      <w:r w:rsidR="00AD451A" w:rsidRPr="003C1B12">
        <w:rPr>
          <w:rFonts w:ascii="Times New Roman" w:hAnsi="Times New Roman" w:cs="Times New Roman"/>
          <w:sz w:val="24"/>
          <w:szCs w:val="24"/>
        </w:rPr>
        <w:t>ā</w:t>
      </w:r>
      <w:r w:rsidR="007824AA" w:rsidRPr="003C1B12">
        <w:rPr>
          <w:rFonts w:ascii="Times New Roman" w:hAnsi="Times New Roman" w:cs="Times New Roman"/>
          <w:sz w:val="24"/>
          <w:szCs w:val="24"/>
        </w:rPr>
        <w:t xml:space="preserve"> 2014.-2020.gadam kā viena no</w:t>
      </w:r>
      <w:r w:rsidR="00AD451A" w:rsidRPr="003C1B12">
        <w:rPr>
          <w:rFonts w:ascii="Times New Roman" w:hAnsi="Times New Roman" w:cs="Times New Roman"/>
          <w:sz w:val="24"/>
          <w:szCs w:val="24"/>
        </w:rPr>
        <w:t xml:space="preserve"> prioritātē</w:t>
      </w:r>
      <w:r w:rsidR="00F533E7" w:rsidRPr="003C1B12">
        <w:rPr>
          <w:rFonts w:ascii="Times New Roman" w:hAnsi="Times New Roman" w:cs="Times New Roman"/>
          <w:sz w:val="24"/>
          <w:szCs w:val="24"/>
        </w:rPr>
        <w:t>m</w:t>
      </w:r>
      <w:r w:rsidR="00AD451A" w:rsidRPr="003C1B12">
        <w:rPr>
          <w:rFonts w:ascii="Times New Roman" w:hAnsi="Times New Roman" w:cs="Times New Roman"/>
          <w:sz w:val="24"/>
          <w:szCs w:val="24"/>
        </w:rPr>
        <w:t xml:space="preserve"> noteikta </w:t>
      </w:r>
      <w:r w:rsidR="006749E4" w:rsidRPr="003C1B12">
        <w:rPr>
          <w:rFonts w:ascii="Times New Roman" w:hAnsi="Times New Roman" w:cs="Times New Roman"/>
          <w:sz w:val="24"/>
        </w:rPr>
        <w:t>„</w:t>
      </w:r>
      <w:r w:rsidR="00AD451A" w:rsidRPr="003C1B12">
        <w:rPr>
          <w:rFonts w:ascii="Times New Roman" w:hAnsi="Times New Roman" w:cs="Times New Roman"/>
          <w:sz w:val="24"/>
          <w:szCs w:val="24"/>
        </w:rPr>
        <w:t>Tautas saimniecības izaugsme”, k</w:t>
      </w:r>
      <w:r w:rsidR="00F533E7" w:rsidRPr="003C1B12">
        <w:rPr>
          <w:rFonts w:ascii="Times New Roman" w:hAnsi="Times New Roman" w:cs="Times New Roman"/>
          <w:sz w:val="24"/>
          <w:szCs w:val="24"/>
        </w:rPr>
        <w:t>uras mērķis ir</w:t>
      </w:r>
      <w:r w:rsidR="00AD451A" w:rsidRPr="003C1B12">
        <w:rPr>
          <w:rFonts w:ascii="Times New Roman" w:hAnsi="Times New Roman" w:cs="Times New Roman"/>
          <w:sz w:val="24"/>
          <w:szCs w:val="24"/>
        </w:rPr>
        <w:t xml:space="preserve"> Latvijas tautas saimniecības struktūras sabalansēšan</w:t>
      </w:r>
      <w:r w:rsidR="00F533E7" w:rsidRPr="003C1B12">
        <w:rPr>
          <w:rFonts w:ascii="Times New Roman" w:hAnsi="Times New Roman" w:cs="Times New Roman"/>
          <w:sz w:val="24"/>
          <w:szCs w:val="24"/>
        </w:rPr>
        <w:t>a</w:t>
      </w:r>
      <w:r w:rsidR="00AD451A" w:rsidRPr="003C1B12">
        <w:rPr>
          <w:rFonts w:ascii="Times New Roman" w:hAnsi="Times New Roman" w:cs="Times New Roman"/>
          <w:sz w:val="24"/>
          <w:szCs w:val="24"/>
        </w:rPr>
        <w:t>, uz ārējiem tirgiem orientēto nozaru darbības paplašināšan</w:t>
      </w:r>
      <w:r w:rsidR="00F533E7" w:rsidRPr="003C1B12">
        <w:rPr>
          <w:rFonts w:ascii="Times New Roman" w:hAnsi="Times New Roman" w:cs="Times New Roman"/>
          <w:sz w:val="24"/>
          <w:szCs w:val="24"/>
        </w:rPr>
        <w:t>a</w:t>
      </w:r>
      <w:r w:rsidR="00AD451A" w:rsidRPr="003C1B12">
        <w:rPr>
          <w:rFonts w:ascii="Times New Roman" w:hAnsi="Times New Roman" w:cs="Times New Roman"/>
          <w:sz w:val="24"/>
          <w:szCs w:val="24"/>
        </w:rPr>
        <w:t>, mērķtiecīg</w:t>
      </w:r>
      <w:r w:rsidR="00F533E7" w:rsidRPr="003C1B12">
        <w:rPr>
          <w:rFonts w:ascii="Times New Roman" w:hAnsi="Times New Roman" w:cs="Times New Roman"/>
          <w:sz w:val="24"/>
          <w:szCs w:val="24"/>
        </w:rPr>
        <w:t>s</w:t>
      </w:r>
      <w:r w:rsidR="00AD451A" w:rsidRPr="003C1B12">
        <w:rPr>
          <w:rFonts w:ascii="Times New Roman" w:hAnsi="Times New Roman" w:cs="Times New Roman"/>
          <w:sz w:val="24"/>
          <w:szCs w:val="24"/>
        </w:rPr>
        <w:t xml:space="preserve"> atbalst</w:t>
      </w:r>
      <w:r w:rsidR="00C764F5" w:rsidRPr="003C1B12">
        <w:rPr>
          <w:rFonts w:ascii="Times New Roman" w:hAnsi="Times New Roman" w:cs="Times New Roman"/>
          <w:sz w:val="24"/>
          <w:szCs w:val="24"/>
        </w:rPr>
        <w:t>s</w:t>
      </w:r>
      <w:r w:rsidR="00AD451A" w:rsidRPr="003C1B12">
        <w:rPr>
          <w:rFonts w:ascii="Times New Roman" w:hAnsi="Times New Roman" w:cs="Times New Roman"/>
          <w:sz w:val="24"/>
          <w:szCs w:val="24"/>
        </w:rPr>
        <w:t xml:space="preserve"> ražošanas sektora uzņēmumiem un starptautiski konkurētspējīgu pakalpojumu sniedzējiem.</w:t>
      </w:r>
      <w:r w:rsidR="00F533E7" w:rsidRPr="003C1B12">
        <w:rPr>
          <w:rFonts w:ascii="Times New Roman" w:hAnsi="Times New Roman" w:cs="Times New Roman"/>
          <w:sz w:val="24"/>
          <w:szCs w:val="24"/>
        </w:rPr>
        <w:t xml:space="preserve"> Vienlaicīgi kā apakšmērķis tiek izvirzīts</w:t>
      </w:r>
      <w:r w:rsidR="00C764F5" w:rsidRPr="003C1B12">
        <w:rPr>
          <w:rFonts w:ascii="Times New Roman" w:hAnsi="Times New Roman" w:cs="Times New Roman"/>
          <w:sz w:val="24"/>
          <w:szCs w:val="24"/>
        </w:rPr>
        <w:t xml:space="preserve"> </w:t>
      </w:r>
      <w:r w:rsidR="00F533E7" w:rsidRPr="003C1B12">
        <w:rPr>
          <w:rFonts w:ascii="Times New Roman" w:hAnsi="Times New Roman" w:cs="Times New Roman"/>
          <w:sz w:val="24"/>
          <w:szCs w:val="24"/>
        </w:rPr>
        <w:t>ieguldījum</w:t>
      </w:r>
      <w:r w:rsidR="00C764F5" w:rsidRPr="003C1B12">
        <w:rPr>
          <w:rFonts w:ascii="Times New Roman" w:hAnsi="Times New Roman" w:cs="Times New Roman"/>
          <w:sz w:val="24"/>
          <w:szCs w:val="24"/>
        </w:rPr>
        <w:t>u</w:t>
      </w:r>
      <w:r w:rsidR="00F533E7" w:rsidRPr="003C1B12">
        <w:rPr>
          <w:rFonts w:ascii="Times New Roman" w:hAnsi="Times New Roman" w:cs="Times New Roman"/>
          <w:sz w:val="24"/>
          <w:szCs w:val="24"/>
        </w:rPr>
        <w:t xml:space="preserve"> </w:t>
      </w:r>
      <w:r w:rsidR="00F61EB2" w:rsidRPr="003C1B12">
        <w:rPr>
          <w:rFonts w:ascii="Times New Roman" w:hAnsi="Times New Roman" w:cs="Times New Roman"/>
          <w:sz w:val="24"/>
          <w:szCs w:val="24"/>
        </w:rPr>
        <w:t>P&amp;A</w:t>
      </w:r>
      <w:r w:rsidR="00F533E7" w:rsidRPr="003C1B12">
        <w:rPr>
          <w:rFonts w:ascii="Times New Roman" w:hAnsi="Times New Roman" w:cs="Times New Roman"/>
          <w:sz w:val="24"/>
          <w:szCs w:val="24"/>
        </w:rPr>
        <w:t xml:space="preserve"> palielināšana</w:t>
      </w:r>
      <w:r w:rsidR="00C764F5" w:rsidRPr="003C1B12">
        <w:rPr>
          <w:rFonts w:ascii="Times New Roman" w:hAnsi="Times New Roman" w:cs="Times New Roman"/>
          <w:sz w:val="24"/>
          <w:szCs w:val="24"/>
        </w:rPr>
        <w:t>,</w:t>
      </w:r>
      <w:r w:rsidR="00F533E7" w:rsidRPr="003C1B12">
        <w:rPr>
          <w:rFonts w:ascii="Times New Roman" w:hAnsi="Times New Roman" w:cs="Times New Roman"/>
          <w:sz w:val="24"/>
          <w:szCs w:val="24"/>
        </w:rPr>
        <w:t xml:space="preserve"> sasniedzot 1,5% no </w:t>
      </w:r>
      <w:r w:rsidR="00640D08" w:rsidRPr="003C1B12">
        <w:rPr>
          <w:rFonts w:ascii="Times New Roman" w:hAnsi="Times New Roman" w:cs="Times New Roman"/>
          <w:sz w:val="24"/>
          <w:szCs w:val="24"/>
        </w:rPr>
        <w:t>IKP</w:t>
      </w:r>
      <w:r w:rsidR="00F533E7" w:rsidRPr="003C1B12">
        <w:rPr>
          <w:rFonts w:ascii="Times New Roman" w:hAnsi="Times New Roman" w:cs="Times New Roman"/>
          <w:sz w:val="24"/>
          <w:szCs w:val="24"/>
        </w:rPr>
        <w:t xml:space="preserve"> 2020.gadā un</w:t>
      </w:r>
      <w:r w:rsidR="00C764F5" w:rsidRPr="003C1B12">
        <w:rPr>
          <w:rFonts w:ascii="Times New Roman" w:hAnsi="Times New Roman" w:cs="Times New Roman"/>
          <w:sz w:val="24"/>
          <w:szCs w:val="24"/>
        </w:rPr>
        <w:t xml:space="preserve"> paredzot, ka</w:t>
      </w:r>
      <w:r w:rsidR="00F533E7" w:rsidRPr="003C1B12">
        <w:rPr>
          <w:rFonts w:ascii="Times New Roman" w:hAnsi="Times New Roman" w:cs="Times New Roman"/>
          <w:sz w:val="24"/>
          <w:szCs w:val="24"/>
        </w:rPr>
        <w:t xml:space="preserve"> 48% no ieguldījumiem veido privātā sektora ieguldījumi. Noteikto mērķu </w:t>
      </w:r>
      <w:r w:rsidR="003266A5" w:rsidRPr="003C1B12">
        <w:rPr>
          <w:rFonts w:ascii="Times New Roman" w:hAnsi="Times New Roman" w:cs="Times New Roman"/>
          <w:sz w:val="24"/>
          <w:szCs w:val="24"/>
        </w:rPr>
        <w:t>sasniegšanai</w:t>
      </w:r>
      <w:r w:rsidR="00F533E7" w:rsidRPr="003C1B12">
        <w:rPr>
          <w:rFonts w:ascii="Times New Roman" w:hAnsi="Times New Roman" w:cs="Times New Roman"/>
          <w:sz w:val="24"/>
          <w:szCs w:val="24"/>
        </w:rPr>
        <w:t xml:space="preserve"> izvirzītie rīcības virzieni nosaka, ka nepieciešams sekmēt cilvēkresursu attīstību un piesaisti pētniecības un inovācijas darbībām, inovatīvu ideju izstrādi, pētnieciskās infrastruktūras pilnveidi, augstākās izglītības, zinātnes un privātā sektora sadarbību, kā arī veicināt inovatīvu, starptautiski konkurētspējīgu produktu </w:t>
      </w:r>
      <w:r w:rsidR="00F533E7" w:rsidRPr="003C1B12">
        <w:rPr>
          <w:rFonts w:ascii="Times New Roman" w:hAnsi="Times New Roman" w:cs="Times New Roman"/>
          <w:sz w:val="24"/>
          <w:szCs w:val="24"/>
        </w:rPr>
        <w:lastRenderedPageBreak/>
        <w:t>ar augstu pievienoto vērtību radīšanu un ieviešanu ražošanā, šādi paaugstinot minēto produktu</w:t>
      </w:r>
      <w:r w:rsidR="002E08C4" w:rsidRPr="003C1B12">
        <w:rPr>
          <w:rFonts w:ascii="Times New Roman" w:hAnsi="Times New Roman" w:cs="Times New Roman"/>
          <w:sz w:val="24"/>
          <w:szCs w:val="24"/>
        </w:rPr>
        <w:t xml:space="preserve"> izlaides apjoma īpatsvaru taut</w:t>
      </w:r>
      <w:r w:rsidR="00F533E7" w:rsidRPr="003C1B12">
        <w:rPr>
          <w:rFonts w:ascii="Times New Roman" w:hAnsi="Times New Roman" w:cs="Times New Roman"/>
          <w:sz w:val="24"/>
          <w:szCs w:val="24"/>
        </w:rPr>
        <w:t>saimniecībā</w:t>
      </w:r>
      <w:r w:rsidR="002E08C4" w:rsidRPr="003C1B12">
        <w:rPr>
          <w:rFonts w:ascii="Times New Roman" w:hAnsi="Times New Roman" w:cs="Times New Roman"/>
          <w:sz w:val="24"/>
          <w:szCs w:val="24"/>
        </w:rPr>
        <w:t>.</w:t>
      </w:r>
    </w:p>
    <w:p w:rsidR="009D7B7A" w:rsidRPr="003C1B12" w:rsidRDefault="000C4557" w:rsidP="00392252">
      <w:pPr>
        <w:spacing w:after="0" w:line="240" w:lineRule="auto"/>
        <w:ind w:firstLine="720"/>
        <w:jc w:val="both"/>
        <w:rPr>
          <w:rFonts w:ascii="Times New Roman" w:hAnsi="Times New Roman" w:cs="Times New Roman"/>
          <w:sz w:val="24"/>
          <w:szCs w:val="24"/>
        </w:rPr>
      </w:pPr>
      <w:r w:rsidRPr="003C1B12">
        <w:rPr>
          <w:rFonts w:ascii="Times New Roman" w:hAnsi="Times New Roman" w:cs="Times New Roman"/>
          <w:sz w:val="24"/>
          <w:szCs w:val="24"/>
        </w:rPr>
        <w:t>Latvijas Nacionālās industriālās politikas uzmanības centrā ir uz eksportu vērsto nozaru attīstība un tautsaimniecības struktūras maiņa par labu šīm nozarēm. Šai politikai jānodrošina uz ārējo pieprasījumu orientētu nozaru konkurētspējas un eksporta ienesīguma palielināšana, tādējādi veicinot valsts kopējo ienākumu pieaugumu.</w:t>
      </w:r>
      <w:r w:rsidR="009D7B7A" w:rsidRPr="003C1B12">
        <w:rPr>
          <w:rFonts w:ascii="Times New Roman" w:hAnsi="Times New Roman" w:cs="Times New Roman"/>
          <w:sz w:val="24"/>
          <w:szCs w:val="24"/>
        </w:rPr>
        <w:t xml:space="preserve"> </w:t>
      </w:r>
      <w:r w:rsidR="009D7B7A" w:rsidRPr="003C1B12">
        <w:rPr>
          <w:rFonts w:ascii="Times New Roman" w:hAnsi="Times New Roman" w:cs="Times New Roman"/>
          <w:sz w:val="24"/>
        </w:rPr>
        <w:t>Nacionālās industriālās politikas pamatnostādnēs 2013.-2020.gadam,</w:t>
      </w:r>
      <w:r w:rsidRPr="003C1B12">
        <w:rPr>
          <w:rFonts w:ascii="Times New Roman" w:hAnsi="Times New Roman" w:cs="Times New Roman"/>
          <w:sz w:val="24"/>
          <w:szCs w:val="24"/>
        </w:rPr>
        <w:t xml:space="preserve"> </w:t>
      </w:r>
      <w:r w:rsidR="009D7B7A" w:rsidRPr="003C1B12">
        <w:rPr>
          <w:rFonts w:ascii="Times New Roman" w:hAnsi="Times New Roman" w:cs="Times New Roman"/>
          <w:sz w:val="24"/>
          <w:szCs w:val="24"/>
        </w:rPr>
        <w:t>ņemot vērā Latvijas inovācijas sniegumu un, ka tautsaimniecībā aizvien dominē zemo un vidējo tehnoloģiju ražošanas un pakalpojumu nozares kā galvenos inovācijas politikas stratēģiskos rīcības virzienus nosaka:</w:t>
      </w:r>
    </w:p>
    <w:p w:rsidR="009D7B7A" w:rsidRPr="003C1B12" w:rsidRDefault="009D7B7A" w:rsidP="009D209C">
      <w:pPr>
        <w:numPr>
          <w:ilvl w:val="0"/>
          <w:numId w:val="15"/>
        </w:numPr>
        <w:spacing w:after="0" w:line="240" w:lineRule="auto"/>
        <w:contextualSpacing/>
        <w:jc w:val="both"/>
        <w:rPr>
          <w:rFonts w:ascii="Times New Roman" w:hAnsi="Times New Roman" w:cs="Times New Roman"/>
          <w:sz w:val="24"/>
          <w:szCs w:val="24"/>
        </w:rPr>
      </w:pPr>
      <w:r w:rsidRPr="003C1B12">
        <w:rPr>
          <w:rFonts w:ascii="Times New Roman" w:hAnsi="Times New Roman" w:cs="Times New Roman"/>
          <w:sz w:val="24"/>
          <w:szCs w:val="24"/>
        </w:rPr>
        <w:t>virzīt tehnoloģiju attīstību un ražošanu uz augstākas pievienotās vērtības jomām;</w:t>
      </w:r>
    </w:p>
    <w:p w:rsidR="009D7B7A" w:rsidRPr="003C1B12" w:rsidRDefault="009D7B7A" w:rsidP="009D209C">
      <w:pPr>
        <w:numPr>
          <w:ilvl w:val="0"/>
          <w:numId w:val="15"/>
        </w:numPr>
        <w:spacing w:after="0" w:line="240" w:lineRule="auto"/>
        <w:contextualSpacing/>
        <w:jc w:val="both"/>
        <w:rPr>
          <w:rFonts w:ascii="Times New Roman" w:hAnsi="Times New Roman" w:cs="Times New Roman"/>
          <w:sz w:val="24"/>
          <w:szCs w:val="24"/>
        </w:rPr>
      </w:pPr>
      <w:r w:rsidRPr="003C1B12">
        <w:rPr>
          <w:rFonts w:ascii="Times New Roman" w:hAnsi="Times New Roman" w:cs="Times New Roman"/>
          <w:sz w:val="24"/>
          <w:szCs w:val="24"/>
        </w:rPr>
        <w:t>sekmēt zināšanu absorbciju un d</w:t>
      </w:r>
      <w:r w:rsidR="007824AA" w:rsidRPr="003C1B12">
        <w:rPr>
          <w:rFonts w:ascii="Times New Roman" w:hAnsi="Times New Roman" w:cs="Times New Roman"/>
          <w:sz w:val="24"/>
          <w:szCs w:val="24"/>
        </w:rPr>
        <w:t>inamisku uzņēmējdarbību.</w:t>
      </w:r>
    </w:p>
    <w:p w:rsidR="009D7B7A" w:rsidRPr="003C1B12" w:rsidRDefault="009D7B7A" w:rsidP="00FD058F">
      <w:pPr>
        <w:spacing w:after="0" w:line="240" w:lineRule="auto"/>
        <w:ind w:firstLine="720"/>
        <w:jc w:val="both"/>
        <w:rPr>
          <w:rFonts w:ascii="Times New Roman" w:hAnsi="Times New Roman" w:cs="Times New Roman"/>
          <w:sz w:val="24"/>
          <w:szCs w:val="24"/>
        </w:rPr>
      </w:pPr>
      <w:r w:rsidRPr="003C1B12">
        <w:rPr>
          <w:rFonts w:ascii="Times New Roman" w:hAnsi="Times New Roman" w:cs="Times New Roman"/>
          <w:sz w:val="24"/>
          <w:szCs w:val="24"/>
        </w:rPr>
        <w:t xml:space="preserve">Vienlaicīgi </w:t>
      </w:r>
      <w:r w:rsidR="005C2FDD" w:rsidRPr="003C1B12">
        <w:rPr>
          <w:rFonts w:ascii="Times New Roman" w:hAnsi="Times New Roman" w:cs="Times New Roman"/>
          <w:sz w:val="24"/>
          <w:szCs w:val="24"/>
        </w:rPr>
        <w:t>tiek uzsvērta</w:t>
      </w:r>
      <w:r w:rsidRPr="003C1B12">
        <w:rPr>
          <w:rFonts w:ascii="Times New Roman" w:hAnsi="Times New Roman" w:cs="Times New Roman"/>
          <w:sz w:val="24"/>
          <w:szCs w:val="24"/>
        </w:rPr>
        <w:t xml:space="preserve"> </w:t>
      </w:r>
      <w:r w:rsidR="004F7F2A" w:rsidRPr="003C1B12">
        <w:rPr>
          <w:rFonts w:ascii="Times New Roman" w:hAnsi="Times New Roman" w:cs="Times New Roman"/>
          <w:sz w:val="24"/>
          <w:szCs w:val="24"/>
        </w:rPr>
        <w:t xml:space="preserve">nepieciešamība </w:t>
      </w:r>
      <w:r w:rsidRPr="003C1B12">
        <w:rPr>
          <w:rFonts w:ascii="Times New Roman" w:hAnsi="Times New Roman" w:cs="Times New Roman"/>
          <w:sz w:val="24"/>
          <w:szCs w:val="24"/>
        </w:rPr>
        <w:t>veidot sabalansētu un papildinošu a</w:t>
      </w:r>
      <w:r w:rsidR="007824AA" w:rsidRPr="003C1B12">
        <w:rPr>
          <w:rFonts w:ascii="Times New Roman" w:hAnsi="Times New Roman" w:cs="Times New Roman"/>
          <w:sz w:val="24"/>
          <w:szCs w:val="24"/>
        </w:rPr>
        <w:t>tbalsta instrumentu kopumu, kas</w:t>
      </w:r>
      <w:r w:rsidRPr="003C1B12">
        <w:rPr>
          <w:rFonts w:ascii="Times New Roman" w:hAnsi="Times New Roman" w:cs="Times New Roman"/>
          <w:sz w:val="24"/>
          <w:szCs w:val="24"/>
        </w:rPr>
        <w:t xml:space="preserve"> ir vērsts gan uz zināšanu radīšanu, izplatīšanu un izmantošanu, jo īpaši apstrādes rūpniecībā un zināšanu ietilpīgos pakalpojumu sektoros. Tāpat tiek </w:t>
      </w:r>
      <w:r w:rsidR="004F7F2A" w:rsidRPr="003C1B12">
        <w:rPr>
          <w:rFonts w:ascii="Times New Roman" w:hAnsi="Times New Roman" w:cs="Times New Roman"/>
          <w:sz w:val="24"/>
          <w:szCs w:val="24"/>
        </w:rPr>
        <w:t>uzsvērt</w:t>
      </w:r>
      <w:r w:rsidR="006E7E40" w:rsidRPr="003C1B12">
        <w:rPr>
          <w:rFonts w:ascii="Times New Roman" w:hAnsi="Times New Roman" w:cs="Times New Roman"/>
          <w:sz w:val="24"/>
          <w:szCs w:val="24"/>
        </w:rPr>
        <w:t>s</w:t>
      </w:r>
      <w:r w:rsidR="004F7F2A" w:rsidRPr="003C1B12">
        <w:rPr>
          <w:rFonts w:ascii="Times New Roman" w:hAnsi="Times New Roman" w:cs="Times New Roman"/>
          <w:sz w:val="24"/>
          <w:szCs w:val="24"/>
        </w:rPr>
        <w:t xml:space="preserve">, ka jāturpina pilnveidot </w:t>
      </w:r>
      <w:r w:rsidR="00750279" w:rsidRPr="003C1B12">
        <w:rPr>
          <w:rFonts w:ascii="Times New Roman" w:hAnsi="Times New Roman" w:cs="Times New Roman"/>
          <w:sz w:val="24"/>
          <w:szCs w:val="24"/>
        </w:rPr>
        <w:t>visus</w:t>
      </w:r>
      <w:r w:rsidRPr="003C1B12">
        <w:rPr>
          <w:rFonts w:ascii="Times New Roman" w:hAnsi="Times New Roman" w:cs="Times New Roman"/>
          <w:sz w:val="24"/>
          <w:szCs w:val="24"/>
        </w:rPr>
        <w:t xml:space="preserve"> inovācijas sistēmu veidojošos element</w:t>
      </w:r>
      <w:r w:rsidR="00750279" w:rsidRPr="003C1B12">
        <w:rPr>
          <w:rFonts w:ascii="Times New Roman" w:hAnsi="Times New Roman" w:cs="Times New Roman"/>
          <w:sz w:val="24"/>
          <w:szCs w:val="24"/>
        </w:rPr>
        <w:t>us</w:t>
      </w:r>
      <w:r w:rsidRPr="003C1B12">
        <w:rPr>
          <w:rFonts w:ascii="Times New Roman" w:hAnsi="Times New Roman" w:cs="Times New Roman"/>
          <w:sz w:val="24"/>
          <w:szCs w:val="24"/>
        </w:rPr>
        <w:t xml:space="preserve"> – zināšanu kapacitāte, inovāciju piedāvājums, inovāciju pieprasījums</w:t>
      </w:r>
      <w:r w:rsidR="00750279" w:rsidRPr="003C1B12">
        <w:rPr>
          <w:rFonts w:ascii="Times New Roman" w:hAnsi="Times New Roman" w:cs="Times New Roman"/>
          <w:sz w:val="24"/>
          <w:szCs w:val="24"/>
        </w:rPr>
        <w:t xml:space="preserve"> un</w:t>
      </w:r>
      <w:r w:rsidRPr="003C1B12">
        <w:rPr>
          <w:rFonts w:ascii="Times New Roman" w:hAnsi="Times New Roman" w:cs="Times New Roman"/>
          <w:sz w:val="24"/>
          <w:szCs w:val="24"/>
        </w:rPr>
        <w:t xml:space="preserve"> pārneses sistēma.</w:t>
      </w:r>
    </w:p>
    <w:p w:rsidR="003D549C" w:rsidRPr="003C1B12" w:rsidRDefault="000C4557" w:rsidP="007008E0">
      <w:pPr>
        <w:spacing w:after="0" w:line="240" w:lineRule="auto"/>
        <w:ind w:firstLine="720"/>
        <w:jc w:val="both"/>
        <w:rPr>
          <w:rFonts w:ascii="Times New Roman" w:hAnsi="Times New Roman" w:cs="Times New Roman"/>
          <w:sz w:val="24"/>
          <w:szCs w:val="24"/>
        </w:rPr>
      </w:pPr>
      <w:r w:rsidRPr="003C1B12">
        <w:rPr>
          <w:rFonts w:ascii="Times New Roman" w:hAnsi="Times New Roman" w:cs="Times New Roman"/>
          <w:sz w:val="24"/>
          <w:szCs w:val="24"/>
        </w:rPr>
        <w:t>Zinātnes, tehnoloģiju attīstības un inovācijas pamatnostādnē</w:t>
      </w:r>
      <w:r w:rsidR="00DE4CE0" w:rsidRPr="003C1B12">
        <w:rPr>
          <w:rFonts w:ascii="Times New Roman" w:hAnsi="Times New Roman" w:cs="Times New Roman"/>
          <w:sz w:val="24"/>
          <w:szCs w:val="24"/>
        </w:rPr>
        <w:t>s</w:t>
      </w:r>
      <w:r w:rsidRPr="003C1B12">
        <w:rPr>
          <w:rFonts w:ascii="Times New Roman" w:hAnsi="Times New Roman" w:cs="Times New Roman"/>
          <w:sz w:val="24"/>
          <w:szCs w:val="24"/>
        </w:rPr>
        <w:t xml:space="preserve"> 2014</w:t>
      </w:r>
      <w:r w:rsidR="005C2FDD" w:rsidRPr="003C1B12">
        <w:rPr>
          <w:rFonts w:ascii="Times New Roman" w:hAnsi="Times New Roman" w:cs="Times New Roman"/>
          <w:sz w:val="24"/>
          <w:szCs w:val="24"/>
        </w:rPr>
        <w:t>.</w:t>
      </w:r>
      <w:r w:rsidRPr="003C1B12">
        <w:rPr>
          <w:rFonts w:ascii="Times New Roman" w:hAnsi="Times New Roman" w:cs="Times New Roman"/>
          <w:sz w:val="24"/>
          <w:szCs w:val="24"/>
        </w:rPr>
        <w:t>-2020.gadam</w:t>
      </w:r>
      <w:r w:rsidR="00750279" w:rsidRPr="003C1B12">
        <w:rPr>
          <w:rFonts w:ascii="Times New Roman" w:hAnsi="Times New Roman" w:cs="Times New Roman"/>
          <w:sz w:val="24"/>
          <w:szCs w:val="24"/>
        </w:rPr>
        <w:t xml:space="preserve"> </w:t>
      </w:r>
      <w:r w:rsidR="00C115F9" w:rsidRPr="003C1B12">
        <w:rPr>
          <w:rFonts w:ascii="Times New Roman" w:hAnsi="Times New Roman" w:cs="Times New Roman"/>
          <w:sz w:val="24"/>
          <w:szCs w:val="24"/>
        </w:rPr>
        <w:t>tiek</w:t>
      </w:r>
      <w:r w:rsidR="00750279" w:rsidRPr="003C1B12">
        <w:rPr>
          <w:rFonts w:ascii="Times New Roman" w:hAnsi="Times New Roman" w:cs="Times New Roman"/>
          <w:sz w:val="24"/>
          <w:szCs w:val="24"/>
        </w:rPr>
        <w:t xml:space="preserve"> analizētas pastāvošas nepilnības pētniecības un inovācijas sistēmā</w:t>
      </w:r>
      <w:r w:rsidRPr="003C1B12">
        <w:rPr>
          <w:rFonts w:ascii="Times New Roman" w:hAnsi="Times New Roman" w:cs="Times New Roman"/>
          <w:sz w:val="24"/>
          <w:szCs w:val="24"/>
        </w:rPr>
        <w:t xml:space="preserve"> </w:t>
      </w:r>
      <w:r w:rsidR="00750279" w:rsidRPr="003C1B12">
        <w:rPr>
          <w:rFonts w:ascii="Times New Roman" w:hAnsi="Times New Roman" w:cs="Times New Roman"/>
          <w:sz w:val="24"/>
          <w:szCs w:val="24"/>
        </w:rPr>
        <w:t>un noteikti</w:t>
      </w:r>
      <w:r w:rsidR="00750279" w:rsidRPr="003C1B12">
        <w:rPr>
          <w:rFonts w:ascii="Times New Roman" w:eastAsia="Times New Roman" w:hAnsi="Times New Roman" w:cs="Times New Roman"/>
          <w:sz w:val="24"/>
          <w:szCs w:val="24"/>
          <w:lang w:eastAsia="zh-CN" w:bidi="lo-LA"/>
        </w:rPr>
        <w:t xml:space="preserve"> galvenie rīcības virzieni un uzdevumu šo nepilnību novēršanai. </w:t>
      </w:r>
      <w:r w:rsidR="00DE4CE0" w:rsidRPr="003C1B12">
        <w:rPr>
          <w:rFonts w:ascii="Times New Roman" w:eastAsia="Times New Roman" w:hAnsi="Times New Roman" w:cs="Times New Roman"/>
          <w:sz w:val="24"/>
          <w:szCs w:val="24"/>
          <w:lang w:eastAsia="zh-CN" w:bidi="lo-LA"/>
        </w:rPr>
        <w:t>Tāpat Zinātnes, tehnoloģiju attīstības un inovācijas pamatnostādnēs 2014.-2020.gadam ir ietverta</w:t>
      </w:r>
      <w:r w:rsidR="003D549C" w:rsidRPr="003C1B12">
        <w:rPr>
          <w:rFonts w:ascii="Times New Roman" w:eastAsia="Times New Roman" w:hAnsi="Times New Roman" w:cs="Times New Roman"/>
          <w:sz w:val="24"/>
          <w:szCs w:val="24"/>
          <w:lang w:eastAsia="zh-CN" w:bidi="lo-LA"/>
        </w:rPr>
        <w:t xml:space="preserve"> </w:t>
      </w:r>
      <w:r w:rsidR="003D549C" w:rsidRPr="003C1B12">
        <w:rPr>
          <w:rFonts w:ascii="Times New Roman" w:hAnsi="Times New Roman" w:cs="Times New Roman"/>
          <w:bCs/>
          <w:sz w:val="24"/>
          <w:szCs w:val="24"/>
        </w:rPr>
        <w:t xml:space="preserve">Latvijas </w:t>
      </w:r>
      <w:r w:rsidR="00DE4CE0" w:rsidRPr="003C1B12">
        <w:rPr>
          <w:rFonts w:ascii="Times New Roman" w:hAnsi="Times New Roman" w:cs="Times New Roman"/>
          <w:bCs/>
          <w:sz w:val="24"/>
          <w:szCs w:val="24"/>
        </w:rPr>
        <w:t>v</w:t>
      </w:r>
      <w:r w:rsidR="003D549C" w:rsidRPr="003C1B12">
        <w:rPr>
          <w:rFonts w:ascii="Times New Roman" w:hAnsi="Times New Roman" w:cs="Times New Roman"/>
          <w:bCs/>
          <w:sz w:val="24"/>
          <w:szCs w:val="24"/>
        </w:rPr>
        <w:t>iedās specializācijas stratēģija</w:t>
      </w:r>
      <w:r w:rsidR="00DE4CE0" w:rsidRPr="003C1B12">
        <w:rPr>
          <w:rFonts w:ascii="Times New Roman" w:hAnsi="Times New Roman" w:cs="Times New Roman"/>
          <w:bCs/>
          <w:sz w:val="24"/>
          <w:szCs w:val="24"/>
        </w:rPr>
        <w:t xml:space="preserve">, kuras </w:t>
      </w:r>
      <w:r w:rsidR="00DE4CE0" w:rsidRPr="003C1B12">
        <w:rPr>
          <w:rFonts w:ascii="Times New Roman" w:hAnsi="Times New Roman" w:cs="Times New Roman"/>
          <w:sz w:val="24"/>
          <w:szCs w:val="24"/>
        </w:rPr>
        <w:t xml:space="preserve">mērķis ir palielināt inovācijas kapacitāti, kā arī </w:t>
      </w:r>
      <w:r w:rsidR="00DE4CE0" w:rsidRPr="003C1B12">
        <w:rPr>
          <w:rFonts w:ascii="Times New Roman" w:hAnsi="Times New Roman" w:cs="Times New Roman"/>
          <w:bCs/>
          <w:sz w:val="24"/>
          <w:szCs w:val="24"/>
        </w:rPr>
        <w:t>veidot inovācijas</w:t>
      </w:r>
      <w:r w:rsidR="00DE4CE0" w:rsidRPr="003C1B12">
        <w:rPr>
          <w:rFonts w:ascii="Times New Roman" w:hAnsi="Times New Roman" w:cs="Times New Roman"/>
          <w:sz w:val="24"/>
          <w:szCs w:val="24"/>
        </w:rPr>
        <w:t xml:space="preserve"> sistēmu, kas veicina un atbalsta tehnoloģisko progresu tautsaimniecībā un tā </w:t>
      </w:r>
      <w:r w:rsidR="00DE4CE0" w:rsidRPr="003C1B12">
        <w:rPr>
          <w:rFonts w:ascii="Times New Roman" w:hAnsi="Times New Roman" w:cs="Times New Roman"/>
          <w:bCs/>
          <w:sz w:val="24"/>
          <w:szCs w:val="24"/>
        </w:rPr>
        <w:t xml:space="preserve">definē </w:t>
      </w:r>
      <w:r w:rsidR="00DE4CE0" w:rsidRPr="003C1B12">
        <w:rPr>
          <w:rFonts w:ascii="Times New Roman" w:eastAsia="SimSun" w:hAnsi="Times New Roman" w:cs="Times New Roman"/>
          <w:sz w:val="24"/>
          <w:szCs w:val="24"/>
        </w:rPr>
        <w:t>tautsaimniecības transformācijas virzienus, izaugsmes prioritātes un viedās specializācijas jomas.</w:t>
      </w:r>
      <w:r w:rsidR="00DE4CE0" w:rsidRPr="003C1B12">
        <w:rPr>
          <w:rFonts w:ascii="Times New Roman" w:hAnsi="Times New Roman" w:cs="Times New Roman"/>
          <w:bCs/>
          <w:sz w:val="24"/>
          <w:szCs w:val="24"/>
        </w:rPr>
        <w:t xml:space="preserve"> </w:t>
      </w:r>
      <w:r w:rsidR="007008E0" w:rsidRPr="003C1B12">
        <w:rPr>
          <w:rFonts w:ascii="Times New Roman" w:hAnsi="Times New Roman" w:cs="Times New Roman"/>
          <w:sz w:val="24"/>
          <w:szCs w:val="24"/>
        </w:rPr>
        <w:t xml:space="preserve">Viedās specializācijas stratēģijai ir trīs galvenie tautsaimniecības transformācijas virzieni - 1) ražošanas un eksporta struktūras maiņa tradicionālajās tautsaimniecības, 2) izaugsme nozarēs, kurās eksistē vai ir iespējams radīt produktus un pakalpojumus ar </w:t>
      </w:r>
      <w:r w:rsidR="007824AA" w:rsidRPr="003C1B12">
        <w:rPr>
          <w:rFonts w:ascii="Times New Roman" w:hAnsi="Times New Roman" w:cs="Times New Roman"/>
          <w:sz w:val="24"/>
          <w:szCs w:val="24"/>
        </w:rPr>
        <w:t>augstu pievienoto vērtību un 3)</w:t>
      </w:r>
      <w:r w:rsidR="007008E0" w:rsidRPr="003C1B12">
        <w:rPr>
          <w:rFonts w:ascii="Times New Roman" w:hAnsi="Times New Roman" w:cs="Times New Roman"/>
          <w:sz w:val="24"/>
          <w:szCs w:val="24"/>
        </w:rPr>
        <w:t xml:space="preserve"> nozaru ar nozīmīgu horizontālo ietekmi un ieguldījumu tautsaimniecības transformācijā prioritāra attīstība. Šiem darbības virzieniem ir pakārtotas sekojošas prioritātes: 1) augstas</w:t>
      </w:r>
      <w:r w:rsidR="00FD058F" w:rsidRPr="003C1B12">
        <w:rPr>
          <w:rFonts w:ascii="Times New Roman" w:hAnsi="Times New Roman" w:cs="Times New Roman"/>
          <w:sz w:val="24"/>
          <w:szCs w:val="24"/>
        </w:rPr>
        <w:t xml:space="preserve"> pievienotās vērtības produkti,</w:t>
      </w:r>
      <w:r w:rsidR="007008E0" w:rsidRPr="003C1B12">
        <w:rPr>
          <w:rFonts w:ascii="Times New Roman" w:hAnsi="Times New Roman" w:cs="Times New Roman"/>
          <w:sz w:val="24"/>
          <w:szCs w:val="24"/>
        </w:rPr>
        <w:t xml:space="preserve"> 2) produktīva inovāciju sistēma, 3) energoefektivitāte, 4) moderna IKT, 5) mode</w:t>
      </w:r>
      <w:r w:rsidR="007824AA" w:rsidRPr="003C1B12">
        <w:rPr>
          <w:rFonts w:ascii="Times New Roman" w:hAnsi="Times New Roman" w:cs="Times New Roman"/>
          <w:sz w:val="24"/>
          <w:szCs w:val="24"/>
        </w:rPr>
        <w:t>rna izglītība, 6) zināšanu bāze</w:t>
      </w:r>
      <w:r w:rsidR="007008E0" w:rsidRPr="003C1B12">
        <w:rPr>
          <w:rFonts w:ascii="Times New Roman" w:hAnsi="Times New Roman" w:cs="Times New Roman"/>
          <w:sz w:val="24"/>
          <w:szCs w:val="24"/>
        </w:rPr>
        <w:t xml:space="preserve"> un 7) policentriska attīstība. Viedās specializācijas stratēģijas darbības virzieni un prioritātes attiecas uz visām viedās specializācijas jomām un aktivitātēm šo jomu ietvaros. Savukārt kā </w:t>
      </w:r>
      <w:r w:rsidR="003D549C" w:rsidRPr="003C1B12">
        <w:rPr>
          <w:rFonts w:ascii="Times New Roman" w:eastAsia="SimSun" w:hAnsi="Times New Roman" w:cs="Times New Roman"/>
          <w:sz w:val="24"/>
          <w:szCs w:val="24"/>
          <w:lang w:eastAsia="zh-CN" w:bidi="lo-LA"/>
        </w:rPr>
        <w:t>viedās specializācijas jomā</w:t>
      </w:r>
      <w:r w:rsidR="004E4280" w:rsidRPr="003C1B12">
        <w:rPr>
          <w:rFonts w:ascii="Times New Roman" w:eastAsia="SimSun" w:hAnsi="Times New Roman" w:cs="Times New Roman"/>
          <w:sz w:val="24"/>
          <w:szCs w:val="24"/>
          <w:lang w:eastAsia="zh-CN" w:bidi="lo-LA"/>
        </w:rPr>
        <w:t>s</w:t>
      </w:r>
      <w:r w:rsidR="003D549C" w:rsidRPr="003C1B12">
        <w:rPr>
          <w:rFonts w:ascii="Times New Roman" w:eastAsia="SimSun" w:hAnsi="Times New Roman" w:cs="Times New Roman"/>
          <w:sz w:val="24"/>
          <w:szCs w:val="24"/>
          <w:lang w:eastAsia="zh-CN" w:bidi="lo-LA"/>
        </w:rPr>
        <w:t xml:space="preserve"> </w:t>
      </w:r>
      <w:r w:rsidR="007008E0" w:rsidRPr="003C1B12">
        <w:rPr>
          <w:rFonts w:ascii="Times New Roman" w:eastAsia="SimSun" w:hAnsi="Times New Roman" w:cs="Times New Roman"/>
          <w:sz w:val="24"/>
          <w:szCs w:val="24"/>
          <w:lang w:eastAsia="zh-CN" w:bidi="lo-LA"/>
        </w:rPr>
        <w:t>noteiktas – 1)</w:t>
      </w:r>
      <w:r w:rsidR="00FD058F" w:rsidRPr="003C1B12">
        <w:rPr>
          <w:rFonts w:ascii="Times New Roman" w:eastAsia="SimSun" w:hAnsi="Times New Roman" w:cs="Times New Roman"/>
          <w:sz w:val="24"/>
          <w:szCs w:val="24"/>
          <w:lang w:eastAsia="zh-CN" w:bidi="lo-LA"/>
        </w:rPr>
        <w:t xml:space="preserve"> </w:t>
      </w:r>
      <w:r w:rsidR="007008E0" w:rsidRPr="003C1B12">
        <w:rPr>
          <w:rFonts w:ascii="Times New Roman" w:eastAsia="SimSun" w:hAnsi="Times New Roman" w:cs="Times New Roman"/>
          <w:sz w:val="24"/>
          <w:szCs w:val="24"/>
          <w:lang w:eastAsia="zh-CN" w:bidi="lo-LA"/>
        </w:rPr>
        <w:t>z</w:t>
      </w:r>
      <w:r w:rsidR="003D549C" w:rsidRPr="003C1B12">
        <w:rPr>
          <w:rFonts w:ascii="Times New Roman" w:hAnsi="Times New Roman" w:cs="Times New Roman"/>
          <w:sz w:val="24"/>
          <w:szCs w:val="24"/>
        </w:rPr>
        <w:t>ināšanu ietilpīga bioekonomika,</w:t>
      </w:r>
      <w:r w:rsidR="007008E0" w:rsidRPr="003C1B12">
        <w:rPr>
          <w:rFonts w:ascii="Times New Roman" w:hAnsi="Times New Roman" w:cs="Times New Roman"/>
          <w:sz w:val="24"/>
          <w:szCs w:val="24"/>
        </w:rPr>
        <w:t xml:space="preserve"> 2)</w:t>
      </w:r>
      <w:r w:rsidR="00FD058F" w:rsidRPr="003C1B12">
        <w:rPr>
          <w:rFonts w:ascii="Times New Roman" w:hAnsi="Times New Roman" w:cs="Times New Roman"/>
          <w:sz w:val="24"/>
          <w:szCs w:val="24"/>
        </w:rPr>
        <w:t xml:space="preserve"> </w:t>
      </w:r>
      <w:r w:rsidR="007008E0" w:rsidRPr="003C1B12">
        <w:rPr>
          <w:rFonts w:ascii="Times New Roman" w:hAnsi="Times New Roman" w:cs="Times New Roman"/>
          <w:sz w:val="24"/>
          <w:szCs w:val="24"/>
        </w:rPr>
        <w:t>b</w:t>
      </w:r>
      <w:r w:rsidR="003D549C" w:rsidRPr="003C1B12">
        <w:rPr>
          <w:rFonts w:ascii="Times New Roman" w:hAnsi="Times New Roman" w:cs="Times New Roman"/>
          <w:sz w:val="24"/>
          <w:szCs w:val="24"/>
        </w:rPr>
        <w:t xml:space="preserve">iomedicīna, medicīnas tehnoloģijas, biofarmācija un biotehnoloģijas, </w:t>
      </w:r>
      <w:r w:rsidR="007008E0" w:rsidRPr="003C1B12">
        <w:rPr>
          <w:rFonts w:ascii="Times New Roman" w:hAnsi="Times New Roman" w:cs="Times New Roman"/>
          <w:sz w:val="24"/>
          <w:szCs w:val="24"/>
        </w:rPr>
        <w:t>3)</w:t>
      </w:r>
      <w:r w:rsidR="00FD058F" w:rsidRPr="003C1B12">
        <w:rPr>
          <w:rFonts w:ascii="Times New Roman" w:hAnsi="Times New Roman" w:cs="Times New Roman"/>
          <w:sz w:val="24"/>
          <w:szCs w:val="24"/>
        </w:rPr>
        <w:t xml:space="preserve"> </w:t>
      </w:r>
      <w:r w:rsidR="007008E0" w:rsidRPr="003C1B12">
        <w:rPr>
          <w:rFonts w:ascii="Times New Roman" w:hAnsi="Times New Roman" w:cs="Times New Roman"/>
          <w:sz w:val="24"/>
          <w:szCs w:val="24"/>
        </w:rPr>
        <w:t>v</w:t>
      </w:r>
      <w:r w:rsidR="003D549C" w:rsidRPr="003C1B12">
        <w:rPr>
          <w:rFonts w:ascii="Times New Roman" w:hAnsi="Times New Roman" w:cs="Times New Roman"/>
          <w:sz w:val="24"/>
          <w:szCs w:val="24"/>
        </w:rPr>
        <w:t xml:space="preserve">iedie materiāli, tehnoloģijas un inženiersistēmas, </w:t>
      </w:r>
      <w:r w:rsidR="007008E0" w:rsidRPr="003C1B12">
        <w:rPr>
          <w:rFonts w:ascii="Times New Roman" w:hAnsi="Times New Roman" w:cs="Times New Roman"/>
          <w:sz w:val="24"/>
          <w:szCs w:val="24"/>
        </w:rPr>
        <w:t>4)</w:t>
      </w:r>
      <w:r w:rsidR="00FD058F" w:rsidRPr="003C1B12">
        <w:rPr>
          <w:rFonts w:ascii="Times New Roman" w:hAnsi="Times New Roman" w:cs="Times New Roman"/>
          <w:sz w:val="24"/>
          <w:szCs w:val="24"/>
        </w:rPr>
        <w:t xml:space="preserve"> </w:t>
      </w:r>
      <w:r w:rsidR="007008E0" w:rsidRPr="003C1B12">
        <w:rPr>
          <w:rFonts w:ascii="Times New Roman" w:hAnsi="Times New Roman" w:cs="Times New Roman"/>
          <w:sz w:val="24"/>
          <w:szCs w:val="24"/>
        </w:rPr>
        <w:t>v</w:t>
      </w:r>
      <w:r w:rsidR="003D549C" w:rsidRPr="003C1B12">
        <w:rPr>
          <w:rFonts w:ascii="Times New Roman" w:hAnsi="Times New Roman" w:cs="Times New Roman"/>
          <w:sz w:val="24"/>
          <w:szCs w:val="24"/>
        </w:rPr>
        <w:t xml:space="preserve">iedā enerģētika, </w:t>
      </w:r>
      <w:r w:rsidR="007008E0" w:rsidRPr="003C1B12">
        <w:rPr>
          <w:rFonts w:ascii="Times New Roman" w:hAnsi="Times New Roman" w:cs="Times New Roman"/>
          <w:sz w:val="24"/>
          <w:szCs w:val="24"/>
        </w:rPr>
        <w:t>5)</w:t>
      </w:r>
      <w:r w:rsidR="00FD058F" w:rsidRPr="003C1B12">
        <w:rPr>
          <w:rFonts w:ascii="Times New Roman" w:hAnsi="Times New Roman" w:cs="Times New Roman"/>
          <w:sz w:val="24"/>
          <w:szCs w:val="24"/>
        </w:rPr>
        <w:t xml:space="preserve"> </w:t>
      </w:r>
      <w:r w:rsidR="00640D08" w:rsidRPr="003C1B12">
        <w:rPr>
          <w:rFonts w:ascii="Times New Roman" w:hAnsi="Times New Roman" w:cs="Times New Roman"/>
          <w:sz w:val="24"/>
          <w:szCs w:val="24"/>
        </w:rPr>
        <w:t>IKT</w:t>
      </w:r>
      <w:r w:rsidR="007824AA" w:rsidRPr="003C1B12">
        <w:rPr>
          <w:rFonts w:ascii="Times New Roman" w:hAnsi="Times New Roman" w:cs="Times New Roman"/>
          <w:sz w:val="24"/>
          <w:szCs w:val="24"/>
        </w:rPr>
        <w:t>.</w:t>
      </w:r>
    </w:p>
    <w:p w:rsidR="000C4557" w:rsidRPr="003C1B12" w:rsidRDefault="00DE4CE0" w:rsidP="00F15070">
      <w:pPr>
        <w:spacing w:after="0" w:line="240" w:lineRule="auto"/>
        <w:ind w:firstLine="720"/>
        <w:jc w:val="both"/>
        <w:rPr>
          <w:rFonts w:ascii="Times New Roman" w:eastAsia="Times New Roman" w:hAnsi="Times New Roman" w:cs="Times New Roman"/>
          <w:sz w:val="24"/>
          <w:szCs w:val="24"/>
          <w:lang w:eastAsia="zh-CN" w:bidi="lo-LA"/>
        </w:rPr>
      </w:pPr>
      <w:r w:rsidRPr="003C1B12">
        <w:rPr>
          <w:rFonts w:ascii="Times New Roman" w:eastAsia="Times New Roman" w:hAnsi="Times New Roman" w:cs="Times New Roman"/>
          <w:sz w:val="24"/>
          <w:szCs w:val="24"/>
          <w:lang w:eastAsia="zh-CN" w:bidi="lo-LA"/>
        </w:rPr>
        <w:t xml:space="preserve">Zinātnes, tehnoloģiju attīstības un inovācijas pamatnostādnēs 2014.-2020.gadam un </w:t>
      </w:r>
      <w:r w:rsidRPr="003C1B12">
        <w:rPr>
          <w:rFonts w:ascii="Times New Roman" w:hAnsi="Times New Roman" w:cs="Times New Roman"/>
          <w:bCs/>
          <w:sz w:val="24"/>
          <w:szCs w:val="24"/>
        </w:rPr>
        <w:t>viedās specializācijas noteikto prioritāšu un rīcības virzienu īstenošana</w:t>
      </w:r>
      <w:r w:rsidR="007824AA" w:rsidRPr="003C1B12">
        <w:rPr>
          <w:rFonts w:ascii="Times New Roman" w:hAnsi="Times New Roman" w:cs="Times New Roman"/>
          <w:bCs/>
          <w:sz w:val="24"/>
          <w:szCs w:val="24"/>
        </w:rPr>
        <w:t xml:space="preserve">i, piesaistos ES struktūrfondu </w:t>
      </w:r>
      <w:r w:rsidRPr="003C1B12">
        <w:rPr>
          <w:rFonts w:ascii="Times New Roman" w:hAnsi="Times New Roman" w:cs="Times New Roman"/>
          <w:bCs/>
          <w:sz w:val="24"/>
          <w:szCs w:val="24"/>
        </w:rPr>
        <w:t xml:space="preserve">un valsts budžeta finansējumu plānots </w:t>
      </w:r>
      <w:r w:rsidR="00877F0B" w:rsidRPr="003C1B12">
        <w:rPr>
          <w:rFonts w:ascii="Times New Roman" w:hAnsi="Times New Roman" w:cs="Times New Roman"/>
          <w:bCs/>
          <w:sz w:val="24"/>
          <w:szCs w:val="24"/>
        </w:rPr>
        <w:t>uzsākt</w:t>
      </w:r>
      <w:r w:rsidRPr="003C1B12">
        <w:rPr>
          <w:rFonts w:ascii="Times New Roman" w:hAnsi="Times New Roman" w:cs="Times New Roman"/>
          <w:bCs/>
          <w:sz w:val="24"/>
          <w:szCs w:val="24"/>
        </w:rPr>
        <w:t xml:space="preserve"> vai turpināt īst</w:t>
      </w:r>
      <w:r w:rsidR="00731725" w:rsidRPr="003C1B12">
        <w:rPr>
          <w:rFonts w:ascii="Times New Roman" w:hAnsi="Times New Roman" w:cs="Times New Roman"/>
          <w:bCs/>
          <w:sz w:val="24"/>
          <w:szCs w:val="24"/>
        </w:rPr>
        <w:t>enot virkni atbalsta pasākumus.</w:t>
      </w:r>
      <w:r w:rsidRPr="003C1B12">
        <w:rPr>
          <w:rFonts w:ascii="Times New Roman" w:eastAsia="Times New Roman" w:hAnsi="Times New Roman" w:cs="Times New Roman"/>
          <w:sz w:val="24"/>
          <w:szCs w:val="24"/>
          <w:lang w:eastAsia="zh-CN" w:bidi="lo-LA"/>
        </w:rPr>
        <w:t xml:space="preserve"> </w:t>
      </w:r>
      <w:r w:rsidR="00640D08" w:rsidRPr="003C1B12">
        <w:rPr>
          <w:rFonts w:ascii="Times New Roman" w:eastAsia="Times New Roman" w:hAnsi="Times New Roman" w:cs="Times New Roman"/>
          <w:sz w:val="24"/>
          <w:szCs w:val="24"/>
          <w:lang w:eastAsia="zh-CN" w:bidi="lo-LA"/>
        </w:rPr>
        <w:t>IZM</w:t>
      </w:r>
      <w:r w:rsidR="00DC7607" w:rsidRPr="003C1B12">
        <w:rPr>
          <w:rFonts w:ascii="Times New Roman" w:eastAsia="Times New Roman" w:hAnsi="Times New Roman" w:cs="Times New Roman"/>
          <w:sz w:val="24"/>
          <w:szCs w:val="24"/>
          <w:lang w:eastAsia="zh-CN" w:bidi="lo-LA"/>
        </w:rPr>
        <w:t xml:space="preserve"> īstenotie un plānotie atbalsta instrumenti un iniciatīvas galvenokārt vērstas uz zināšanu kapacitātes un inovācijas piedāvājuma puses attīstīšanu. </w:t>
      </w:r>
      <w:r w:rsidR="007824AA" w:rsidRPr="003C1B12">
        <w:rPr>
          <w:rFonts w:ascii="Times New Roman" w:eastAsia="Times New Roman" w:hAnsi="Times New Roman" w:cs="Times New Roman"/>
          <w:sz w:val="24"/>
          <w:szCs w:val="24"/>
          <w:lang w:eastAsia="zh-CN" w:bidi="lo-LA"/>
        </w:rPr>
        <w:t xml:space="preserve">Savukārt </w:t>
      </w:r>
      <w:r w:rsidR="00640D08" w:rsidRPr="003C1B12">
        <w:rPr>
          <w:rFonts w:ascii="Times New Roman" w:eastAsia="Times New Roman" w:hAnsi="Times New Roman" w:cs="Times New Roman"/>
          <w:sz w:val="24"/>
          <w:szCs w:val="24"/>
          <w:lang w:eastAsia="zh-CN" w:bidi="lo-LA"/>
        </w:rPr>
        <w:t>EM</w:t>
      </w:r>
      <w:r w:rsidR="00DC7607" w:rsidRPr="003C1B12">
        <w:rPr>
          <w:rFonts w:ascii="Times New Roman" w:eastAsia="Times New Roman" w:hAnsi="Times New Roman" w:cs="Times New Roman"/>
          <w:sz w:val="24"/>
          <w:szCs w:val="24"/>
          <w:lang w:eastAsia="zh-CN" w:bidi="lo-LA"/>
        </w:rPr>
        <w:t xml:space="preserve"> īstenotie un plānotie atbalsta instrumenti un iniciatīvas galvenokārt vērstas uz </w:t>
      </w:r>
      <w:r w:rsidR="00DC7607" w:rsidRPr="003C1B12">
        <w:rPr>
          <w:rFonts w:ascii="Times New Roman" w:hAnsi="Times New Roman" w:cs="Times New Roman"/>
          <w:sz w:val="24"/>
          <w:szCs w:val="24"/>
        </w:rPr>
        <w:t>pārneses sistēma</w:t>
      </w:r>
      <w:r w:rsidR="00DC7607" w:rsidRPr="003C1B12">
        <w:rPr>
          <w:rFonts w:ascii="Times New Roman" w:eastAsia="Times New Roman" w:hAnsi="Times New Roman" w:cs="Times New Roman"/>
          <w:sz w:val="24"/>
          <w:szCs w:val="24"/>
          <w:lang w:eastAsia="zh-CN" w:bidi="lo-LA"/>
        </w:rPr>
        <w:t>s pilnveidošanu un inovācijas pieprasījuma puses stiprināšanu. Inovācijas pi</w:t>
      </w:r>
      <w:bookmarkStart w:id="15" w:name="_Toc375047059"/>
      <w:r w:rsidR="00FB5D68" w:rsidRPr="003C1B12">
        <w:rPr>
          <w:rFonts w:ascii="Times New Roman" w:eastAsia="Times New Roman" w:hAnsi="Times New Roman" w:cs="Times New Roman"/>
          <w:sz w:val="24"/>
          <w:szCs w:val="24"/>
          <w:lang w:eastAsia="zh-CN" w:bidi="lo-LA"/>
        </w:rPr>
        <w:t xml:space="preserve">eprasījuma puses stiprināšanas </w:t>
      </w:r>
      <w:r w:rsidR="00DC7607" w:rsidRPr="003C1B12">
        <w:rPr>
          <w:rFonts w:ascii="Times New Roman" w:hAnsi="Times New Roman" w:cs="Times New Roman"/>
          <w:sz w:val="24"/>
          <w:szCs w:val="24"/>
        </w:rPr>
        <w:t>virziena mērķis ir palielināt uzņēmumu spēju attīstīt uz inovācijām balstītas konkurētspējas priekšrocības, novirzot papildu resursus gan uzņēmumu iekšējās pētniecības un inovācijas kapacitātes veidošanai, gan tehnoloģiju un zināšanu ieguvei ārpus uzņēmuma. Kā arī, sekmējot jaunu inovatīvu uzņēmumu ar strauju izaugsmes potenciālu veidošanos un sekmējot finansējumu piesaisti to agrīnās attīstības fāzē. Pārneses sistēma</w:t>
      </w:r>
      <w:r w:rsidR="00DC7607" w:rsidRPr="003C1B12">
        <w:rPr>
          <w:rFonts w:ascii="Times New Roman" w:eastAsia="Times New Roman" w:hAnsi="Times New Roman" w:cs="Times New Roman"/>
          <w:sz w:val="24"/>
          <w:szCs w:val="24"/>
          <w:lang w:eastAsia="zh-CN" w:bidi="lo-LA"/>
        </w:rPr>
        <w:t>s pilnveidošanas</w:t>
      </w:r>
      <w:r w:rsidR="00DC7607" w:rsidRPr="003C1B12">
        <w:rPr>
          <w:rFonts w:ascii="Times New Roman" w:hAnsi="Times New Roman" w:cs="Times New Roman"/>
          <w:sz w:val="24"/>
          <w:szCs w:val="24"/>
        </w:rPr>
        <w:t xml:space="preserve"> mērķis ir pētniecības un uzņēmējdarbības sektora sadarbības prasmju pilnveidošana, zinātniskās darbības virzīšana uz pielietojumu, atbilstoši industrijas pieprasījumam pēc pētniecības, jaunām tehnoloģijām un inovatīviem risinājumiem. </w:t>
      </w:r>
      <w:r w:rsidR="003D549C" w:rsidRPr="003C1B12">
        <w:rPr>
          <w:rFonts w:ascii="Times New Roman" w:hAnsi="Times New Roman" w:cs="Times New Roman"/>
          <w:sz w:val="24"/>
          <w:szCs w:val="24"/>
        </w:rPr>
        <w:t>Vienlaicīgi n</w:t>
      </w:r>
      <w:r w:rsidR="00DC7607" w:rsidRPr="003C1B12">
        <w:rPr>
          <w:rFonts w:ascii="Times New Roman" w:hAnsi="Times New Roman" w:cs="Times New Roman"/>
          <w:sz w:val="24"/>
          <w:szCs w:val="24"/>
        </w:rPr>
        <w:t>odrošināt no publiskiem resursiem finansēto pētniecības darbu rezultātu izmantošanu jaunu produktu un pakalpojumu radīšanai.</w:t>
      </w:r>
      <w:bookmarkEnd w:id="15"/>
      <w:r w:rsidR="000C4557" w:rsidRPr="003C1B12">
        <w:rPr>
          <w:rFonts w:ascii="Times New Roman" w:eastAsia="Times New Roman" w:hAnsi="Times New Roman" w:cs="Times New Roman"/>
          <w:sz w:val="24"/>
          <w:szCs w:val="24"/>
          <w:lang w:eastAsia="zh-CN" w:bidi="lo-LA"/>
        </w:rPr>
        <w:br w:type="page"/>
      </w:r>
    </w:p>
    <w:p w:rsidR="000C4557" w:rsidRPr="003C1B12" w:rsidRDefault="000C4557" w:rsidP="000C4557">
      <w:pPr>
        <w:pStyle w:val="Heading1"/>
        <w:spacing w:before="0" w:line="240" w:lineRule="auto"/>
        <w:rPr>
          <w:rFonts w:ascii="Times New Roman" w:hAnsi="Times New Roman" w:cs="Times New Roman"/>
          <w:color w:val="31849B" w:themeColor="accent5" w:themeShade="BF"/>
        </w:rPr>
      </w:pPr>
      <w:bookmarkStart w:id="16" w:name="_Toc427646467"/>
      <w:bookmarkStart w:id="17" w:name="_Toc427646553"/>
      <w:r w:rsidRPr="003C1B12">
        <w:rPr>
          <w:rFonts w:ascii="Times New Roman" w:hAnsi="Times New Roman" w:cs="Times New Roman"/>
          <w:color w:val="31849B" w:themeColor="accent5" w:themeShade="BF"/>
        </w:rPr>
        <w:lastRenderedPageBreak/>
        <w:t>2. 2007.-2013</w:t>
      </w:r>
      <w:r w:rsidR="00431663" w:rsidRPr="003C1B12">
        <w:rPr>
          <w:rFonts w:ascii="Times New Roman" w:hAnsi="Times New Roman" w:cs="Times New Roman"/>
          <w:color w:val="31849B" w:themeColor="accent5" w:themeShade="BF"/>
        </w:rPr>
        <w:t xml:space="preserve">.gada plānošanas perioda </w:t>
      </w:r>
      <w:r w:rsidR="00F61EB2" w:rsidRPr="003C1B12">
        <w:rPr>
          <w:rFonts w:ascii="Times New Roman" w:hAnsi="Times New Roman" w:cs="Times New Roman"/>
          <w:color w:val="31849B" w:themeColor="accent5" w:themeShade="BF"/>
        </w:rPr>
        <w:t>KC</w:t>
      </w:r>
      <w:r w:rsidR="00431663" w:rsidRPr="003C1B12">
        <w:rPr>
          <w:rFonts w:ascii="Times New Roman" w:hAnsi="Times New Roman" w:cs="Times New Roman"/>
          <w:color w:val="31849B" w:themeColor="accent5" w:themeShade="BF"/>
        </w:rPr>
        <w:t xml:space="preserve"> programmas</w:t>
      </w:r>
      <w:r w:rsidRPr="003C1B12">
        <w:rPr>
          <w:rFonts w:ascii="Times New Roman" w:hAnsi="Times New Roman" w:cs="Times New Roman"/>
          <w:color w:val="31849B" w:themeColor="accent5" w:themeShade="BF"/>
        </w:rPr>
        <w:t xml:space="preserve">  izvērtējums</w:t>
      </w:r>
      <w:bookmarkEnd w:id="16"/>
      <w:bookmarkEnd w:id="17"/>
    </w:p>
    <w:p w:rsidR="000C4557" w:rsidRPr="003C1B12" w:rsidRDefault="000C4557" w:rsidP="000C4557">
      <w:pPr>
        <w:spacing w:after="0" w:line="240" w:lineRule="auto"/>
        <w:jc w:val="both"/>
        <w:rPr>
          <w:rFonts w:ascii="Times New Roman" w:hAnsi="Times New Roman" w:cs="Times New Roman"/>
        </w:rPr>
      </w:pPr>
    </w:p>
    <w:p w:rsidR="003E49FD" w:rsidRPr="003C1B12" w:rsidRDefault="003E49FD" w:rsidP="003E49FD">
      <w:pPr>
        <w:spacing w:after="0" w:line="240" w:lineRule="auto"/>
        <w:ind w:firstLine="720"/>
        <w:jc w:val="both"/>
        <w:rPr>
          <w:rFonts w:ascii="Times New Roman" w:hAnsi="Times New Roman" w:cs="Times New Roman"/>
          <w:sz w:val="24"/>
          <w:szCs w:val="24"/>
        </w:rPr>
      </w:pPr>
      <w:r w:rsidRPr="003C1B12">
        <w:rPr>
          <w:rFonts w:ascii="Times New Roman" w:hAnsi="Times New Roman" w:cs="Times New Roman"/>
          <w:sz w:val="24"/>
          <w:szCs w:val="24"/>
        </w:rPr>
        <w:t xml:space="preserve">ES fondu 2007. – 2013.gada plānošanas periodā </w:t>
      </w:r>
      <w:r w:rsidR="00B1058C" w:rsidRPr="003C1B12">
        <w:rPr>
          <w:rFonts w:ascii="Times New Roman" w:hAnsi="Times New Roman" w:cs="Times New Roman"/>
          <w:sz w:val="24"/>
          <w:szCs w:val="24"/>
        </w:rPr>
        <w:t xml:space="preserve">atbalsts </w:t>
      </w:r>
      <w:r w:rsidR="00F61EB2" w:rsidRPr="003C1B12">
        <w:rPr>
          <w:rFonts w:ascii="Times New Roman" w:hAnsi="Times New Roman" w:cs="Times New Roman"/>
          <w:sz w:val="24"/>
          <w:szCs w:val="24"/>
        </w:rPr>
        <w:t>KC</w:t>
      </w:r>
      <w:r w:rsidRPr="003C1B12">
        <w:rPr>
          <w:rFonts w:ascii="Times New Roman" w:hAnsi="Times New Roman" w:cs="Times New Roman"/>
          <w:sz w:val="24"/>
          <w:szCs w:val="24"/>
        </w:rPr>
        <w:t xml:space="preserve"> </w:t>
      </w:r>
      <w:r w:rsidR="00B1058C" w:rsidRPr="003C1B12">
        <w:rPr>
          <w:rFonts w:ascii="Times New Roman" w:hAnsi="Times New Roman" w:cs="Times New Roman"/>
          <w:sz w:val="24"/>
          <w:szCs w:val="24"/>
        </w:rPr>
        <w:t xml:space="preserve">tika sniegts </w:t>
      </w:r>
      <w:r w:rsidRPr="003C1B12">
        <w:rPr>
          <w:rFonts w:ascii="Times New Roman" w:hAnsi="Times New Roman" w:cs="Times New Roman"/>
          <w:sz w:val="24"/>
          <w:szCs w:val="24"/>
        </w:rPr>
        <w:t>D</w:t>
      </w:r>
      <w:r w:rsidR="00B1058C" w:rsidRPr="003C1B12">
        <w:rPr>
          <w:rFonts w:ascii="Times New Roman" w:hAnsi="Times New Roman" w:cs="Times New Roman"/>
          <w:sz w:val="24"/>
          <w:szCs w:val="24"/>
        </w:rPr>
        <w:t>arbības programmas</w:t>
      </w:r>
      <w:r w:rsidRPr="003C1B12">
        <w:rPr>
          <w:rFonts w:ascii="Times New Roman" w:hAnsi="Times New Roman" w:cs="Times New Roman"/>
          <w:sz w:val="24"/>
          <w:szCs w:val="24"/>
        </w:rPr>
        <w:t xml:space="preserve"> „Uzņēmējdarbība un inovācijas”</w:t>
      </w:r>
      <w:r w:rsidR="00731725" w:rsidRPr="003C1B12">
        <w:rPr>
          <w:rFonts w:ascii="Times New Roman" w:hAnsi="Times New Roman" w:cs="Times New Roman"/>
          <w:sz w:val="24"/>
          <w:szCs w:val="24"/>
        </w:rPr>
        <w:t xml:space="preserve"> papildinājuma 2.1.prioritātes „Zinātne un inovācijas”</w:t>
      </w:r>
      <w:r w:rsidRPr="003C1B12">
        <w:rPr>
          <w:rFonts w:ascii="Times New Roman" w:hAnsi="Times New Roman" w:cs="Times New Roman"/>
          <w:sz w:val="24"/>
          <w:szCs w:val="24"/>
        </w:rPr>
        <w:t xml:space="preserve"> 2.1.2.pasākuma "I</w:t>
      </w:r>
      <w:r w:rsidR="00731725" w:rsidRPr="003C1B12">
        <w:rPr>
          <w:rFonts w:ascii="Times New Roman" w:hAnsi="Times New Roman" w:cs="Times New Roman"/>
          <w:sz w:val="24"/>
          <w:szCs w:val="24"/>
        </w:rPr>
        <w:t>novācijas" 2.1.2.1.aktivitātes „</w:t>
      </w:r>
      <w:r w:rsidRPr="003C1B12">
        <w:rPr>
          <w:rFonts w:ascii="Times New Roman" w:hAnsi="Times New Roman" w:cs="Times New Roman"/>
          <w:sz w:val="24"/>
          <w:szCs w:val="24"/>
        </w:rPr>
        <w:t>Zinātnes komercializācija un tehnoloģiju pārn</w:t>
      </w:r>
      <w:r w:rsidR="00731725" w:rsidRPr="003C1B12">
        <w:rPr>
          <w:rFonts w:ascii="Times New Roman" w:hAnsi="Times New Roman" w:cs="Times New Roman"/>
          <w:sz w:val="24"/>
          <w:szCs w:val="24"/>
        </w:rPr>
        <w:t>ese” 2.1.2.1.1.apakšaktivitāt</w:t>
      </w:r>
      <w:r w:rsidR="00B1058C" w:rsidRPr="003C1B12">
        <w:rPr>
          <w:rFonts w:ascii="Times New Roman" w:hAnsi="Times New Roman" w:cs="Times New Roman"/>
          <w:sz w:val="24"/>
          <w:szCs w:val="24"/>
        </w:rPr>
        <w:t>es</w:t>
      </w:r>
      <w:r w:rsidR="00731725" w:rsidRPr="003C1B12">
        <w:rPr>
          <w:rFonts w:ascii="Times New Roman" w:hAnsi="Times New Roman" w:cs="Times New Roman"/>
          <w:sz w:val="24"/>
          <w:szCs w:val="24"/>
        </w:rPr>
        <w:t xml:space="preserve"> „</w:t>
      </w:r>
      <w:r w:rsidRPr="003C1B12">
        <w:rPr>
          <w:rFonts w:ascii="Times New Roman" w:hAnsi="Times New Roman" w:cs="Times New Roman"/>
          <w:sz w:val="24"/>
          <w:szCs w:val="24"/>
        </w:rPr>
        <w:t xml:space="preserve">Kompetences centri” (turpmāk – </w:t>
      </w:r>
      <w:r w:rsidR="00864455" w:rsidRPr="003C1B12">
        <w:rPr>
          <w:rFonts w:ascii="Times New Roman" w:hAnsi="Times New Roman" w:cs="Times New Roman"/>
          <w:sz w:val="24"/>
          <w:szCs w:val="24"/>
        </w:rPr>
        <w:t>KC</w:t>
      </w:r>
      <w:r w:rsidRPr="003C1B12">
        <w:rPr>
          <w:rFonts w:ascii="Times New Roman" w:hAnsi="Times New Roman" w:cs="Times New Roman"/>
          <w:sz w:val="24"/>
          <w:szCs w:val="24"/>
        </w:rPr>
        <w:t xml:space="preserve"> programma) ietvaros. Programmas atbildīgā iestāde ir EM, bet sadarbības iestāde - LIAA. </w:t>
      </w:r>
      <w:r w:rsidR="00864455" w:rsidRPr="003C1B12">
        <w:rPr>
          <w:rFonts w:ascii="Times New Roman" w:hAnsi="Times New Roman" w:cs="Times New Roman"/>
          <w:sz w:val="24"/>
          <w:szCs w:val="24"/>
        </w:rPr>
        <w:t>KC</w:t>
      </w:r>
      <w:r w:rsidRPr="003C1B12">
        <w:rPr>
          <w:rFonts w:ascii="Times New Roman" w:hAnsi="Times New Roman" w:cs="Times New Roman"/>
          <w:sz w:val="24"/>
          <w:szCs w:val="24"/>
        </w:rPr>
        <w:t xml:space="preserve"> programmas mērķis ir komersantu konkurētspējas paaugstināšana, veicinot pētniecības un rūpniecības sektoru sadarbību rūpniecisko pētījumu, jaunu produktu un tehnoloģiju </w:t>
      </w:r>
      <w:r w:rsidR="00731725" w:rsidRPr="003C1B12">
        <w:rPr>
          <w:rFonts w:ascii="Times New Roman" w:hAnsi="Times New Roman" w:cs="Times New Roman"/>
          <w:sz w:val="24"/>
          <w:szCs w:val="24"/>
        </w:rPr>
        <w:t>attīstības projektu īstenošanā.</w:t>
      </w:r>
    </w:p>
    <w:p w:rsidR="003E49FD" w:rsidRPr="003C1B12" w:rsidRDefault="00864455" w:rsidP="003E49FD">
      <w:pPr>
        <w:spacing w:after="0" w:line="240" w:lineRule="auto"/>
        <w:ind w:firstLine="720"/>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KC</w:t>
      </w:r>
      <w:r w:rsidR="00FB5D68" w:rsidRPr="003C1B12">
        <w:rPr>
          <w:rFonts w:ascii="Times New Roman" w:hAnsi="Times New Roman" w:cs="Times New Roman"/>
          <w:color w:val="000000" w:themeColor="text1"/>
          <w:sz w:val="24"/>
          <w:szCs w:val="24"/>
        </w:rPr>
        <w:t xml:space="preserve"> ir</w:t>
      </w:r>
      <w:r w:rsidR="003E49FD" w:rsidRPr="003C1B12">
        <w:rPr>
          <w:rFonts w:ascii="Times New Roman" w:hAnsi="Times New Roman" w:cs="Times New Roman"/>
          <w:color w:val="000000" w:themeColor="text1"/>
          <w:sz w:val="24"/>
          <w:szCs w:val="24"/>
        </w:rPr>
        <w:t xml:space="preserve"> juridiska persona, kuras kapitāla daļu turētāji ir vismaz viens zinātniskais sadarbības partneris un vismaz trīs savstarpēji nesaistīti nozares sadarbības partneri. </w:t>
      </w:r>
      <w:r w:rsidRPr="003C1B12">
        <w:rPr>
          <w:rFonts w:ascii="Times New Roman" w:hAnsi="Times New Roman" w:cs="Times New Roman"/>
          <w:color w:val="000000" w:themeColor="text1"/>
          <w:sz w:val="24"/>
          <w:szCs w:val="24"/>
        </w:rPr>
        <w:t>KC</w:t>
      </w:r>
      <w:r w:rsidR="003E49FD" w:rsidRPr="003C1B12">
        <w:rPr>
          <w:rFonts w:ascii="Times New Roman" w:hAnsi="Times New Roman" w:cs="Times New Roman"/>
          <w:color w:val="000000" w:themeColor="text1"/>
          <w:sz w:val="24"/>
          <w:szCs w:val="24"/>
        </w:rPr>
        <w:t xml:space="preserve"> īsteno pētniecības programmu nozarei aktuālos pētniecības virzienos un pētījumu tēmas un saturu nosaka komersanti. Tā kā programmas uzdevums</w:t>
      </w:r>
      <w:r w:rsidR="00FB5D68" w:rsidRPr="003C1B12">
        <w:rPr>
          <w:rFonts w:ascii="Times New Roman" w:hAnsi="Times New Roman" w:cs="Times New Roman"/>
          <w:color w:val="000000" w:themeColor="text1"/>
          <w:sz w:val="24"/>
          <w:szCs w:val="24"/>
        </w:rPr>
        <w:t xml:space="preserve"> bija sekmēt gan komersantu</w:t>
      </w:r>
      <w:r w:rsidR="003E49FD" w:rsidRPr="003C1B12">
        <w:rPr>
          <w:rFonts w:ascii="Times New Roman" w:hAnsi="Times New Roman" w:cs="Times New Roman"/>
          <w:color w:val="000000" w:themeColor="text1"/>
          <w:sz w:val="24"/>
          <w:szCs w:val="24"/>
        </w:rPr>
        <w:t xml:space="preserve"> pētniecības kapacitātes paaugstināšanu, gan to sadarbības spējas</w:t>
      </w:r>
      <w:r w:rsidR="00FB5D68" w:rsidRPr="003C1B12">
        <w:rPr>
          <w:rFonts w:ascii="Times New Roman" w:hAnsi="Times New Roman" w:cs="Times New Roman"/>
          <w:color w:val="000000" w:themeColor="text1"/>
          <w:sz w:val="24"/>
          <w:szCs w:val="24"/>
        </w:rPr>
        <w:t>,</w:t>
      </w:r>
      <w:r w:rsidR="003E49FD" w:rsidRPr="003C1B12">
        <w:rPr>
          <w:rFonts w:ascii="Times New Roman" w:hAnsi="Times New Roman" w:cs="Times New Roman"/>
          <w:color w:val="000000" w:themeColor="text1"/>
          <w:sz w:val="24"/>
          <w:szCs w:val="24"/>
        </w:rPr>
        <w:t xml:space="preserve"> </w:t>
      </w:r>
      <w:r w:rsidRPr="003C1B12">
        <w:rPr>
          <w:rFonts w:ascii="Times New Roman" w:hAnsi="Times New Roman" w:cs="Times New Roman"/>
          <w:color w:val="000000" w:themeColor="text1"/>
          <w:sz w:val="24"/>
          <w:szCs w:val="24"/>
        </w:rPr>
        <w:t>KC</w:t>
      </w:r>
      <w:r w:rsidR="003E49FD" w:rsidRPr="003C1B12">
        <w:rPr>
          <w:rFonts w:ascii="Times New Roman" w:hAnsi="Times New Roman" w:cs="Times New Roman"/>
          <w:color w:val="000000" w:themeColor="text1"/>
          <w:sz w:val="24"/>
          <w:szCs w:val="24"/>
        </w:rPr>
        <w:t xml:space="preserve"> pētniecības programmu veido gan nozares pētīj</w:t>
      </w:r>
      <w:r w:rsidR="00731725" w:rsidRPr="003C1B12">
        <w:rPr>
          <w:rFonts w:ascii="Times New Roman" w:hAnsi="Times New Roman" w:cs="Times New Roman"/>
          <w:color w:val="000000" w:themeColor="text1"/>
          <w:sz w:val="24"/>
          <w:szCs w:val="24"/>
        </w:rPr>
        <w:t>umi, gan individuālie pētījumi.</w:t>
      </w:r>
      <w:r w:rsidR="003E49FD" w:rsidRPr="003C1B12">
        <w:rPr>
          <w:rFonts w:ascii="Times New Roman" w:hAnsi="Times New Roman" w:cs="Times New Roman"/>
          <w:color w:val="000000" w:themeColor="text1"/>
          <w:sz w:val="24"/>
          <w:szCs w:val="24"/>
        </w:rPr>
        <w:t xml:space="preserve"> </w:t>
      </w:r>
      <w:r w:rsidRPr="003C1B12">
        <w:rPr>
          <w:rFonts w:ascii="Times New Roman" w:hAnsi="Times New Roman" w:cs="Times New Roman"/>
          <w:color w:val="000000" w:themeColor="text1"/>
          <w:sz w:val="24"/>
          <w:szCs w:val="24"/>
        </w:rPr>
        <w:t>KC</w:t>
      </w:r>
      <w:r w:rsidR="003E49FD" w:rsidRPr="003C1B12">
        <w:rPr>
          <w:rFonts w:ascii="Times New Roman" w:hAnsi="Times New Roman" w:cs="Times New Roman"/>
          <w:sz w:val="24"/>
        </w:rPr>
        <w:t xml:space="preserve"> programmas galveno nosacījumu apraksts sniegts tabulā Nr.1.</w:t>
      </w:r>
    </w:p>
    <w:p w:rsidR="003E49FD" w:rsidRPr="003C1B12" w:rsidRDefault="003E49FD" w:rsidP="003E49FD">
      <w:pPr>
        <w:keepNext/>
        <w:spacing w:after="40" w:line="240" w:lineRule="auto"/>
        <w:jc w:val="right"/>
        <w:rPr>
          <w:rFonts w:ascii="Times New Roman" w:hAnsi="Times New Roman" w:cs="Times New Roman"/>
          <w:sz w:val="24"/>
        </w:rPr>
      </w:pPr>
    </w:p>
    <w:p w:rsidR="003E49FD" w:rsidRPr="003C1B12" w:rsidRDefault="003E49FD" w:rsidP="003E49FD">
      <w:pPr>
        <w:keepNext/>
        <w:spacing w:after="40" w:line="240" w:lineRule="auto"/>
        <w:jc w:val="right"/>
        <w:rPr>
          <w:rFonts w:ascii="Times New Roman" w:hAnsi="Times New Roman" w:cs="Times New Roman"/>
          <w:sz w:val="24"/>
        </w:rPr>
      </w:pPr>
      <w:r w:rsidRPr="003C1B12">
        <w:rPr>
          <w:rFonts w:ascii="Times New Roman" w:hAnsi="Times New Roman" w:cs="Times New Roman"/>
          <w:sz w:val="24"/>
        </w:rPr>
        <w:t>Tabula Nr.</w:t>
      </w:r>
      <w:r w:rsidRPr="003C1B12">
        <w:rPr>
          <w:rFonts w:ascii="Times New Roman" w:hAnsi="Times New Roman" w:cs="Times New Roman"/>
          <w:sz w:val="24"/>
        </w:rPr>
        <w:fldChar w:fldCharType="begin"/>
      </w:r>
      <w:r w:rsidRPr="003C1B12">
        <w:rPr>
          <w:rFonts w:ascii="Times New Roman" w:hAnsi="Times New Roman" w:cs="Times New Roman"/>
          <w:sz w:val="24"/>
        </w:rPr>
        <w:instrText xml:space="preserve"> SEQ Tabula_Nr. \* ARABIC </w:instrText>
      </w:r>
      <w:r w:rsidRPr="003C1B12">
        <w:rPr>
          <w:rFonts w:ascii="Times New Roman" w:hAnsi="Times New Roman" w:cs="Times New Roman"/>
          <w:sz w:val="24"/>
        </w:rPr>
        <w:fldChar w:fldCharType="separate"/>
      </w:r>
      <w:r w:rsidR="00A379AF" w:rsidRPr="003C1B12">
        <w:rPr>
          <w:rFonts w:ascii="Times New Roman" w:hAnsi="Times New Roman" w:cs="Times New Roman"/>
          <w:noProof/>
          <w:sz w:val="24"/>
        </w:rPr>
        <w:t>1</w:t>
      </w:r>
      <w:r w:rsidRPr="003C1B12">
        <w:rPr>
          <w:rFonts w:ascii="Times New Roman" w:hAnsi="Times New Roman" w:cs="Times New Roman"/>
          <w:sz w:val="24"/>
        </w:rPr>
        <w:fldChar w:fldCharType="end"/>
      </w:r>
    </w:p>
    <w:p w:rsidR="003E49FD" w:rsidRPr="003C1B12" w:rsidRDefault="00864455" w:rsidP="003E49FD">
      <w:pPr>
        <w:spacing w:after="120" w:line="240" w:lineRule="auto"/>
        <w:jc w:val="center"/>
        <w:rPr>
          <w:rFonts w:ascii="Times New Roman" w:hAnsi="Times New Roman" w:cs="Times New Roman"/>
          <w:sz w:val="24"/>
        </w:rPr>
      </w:pPr>
      <w:r w:rsidRPr="003C1B12">
        <w:rPr>
          <w:rFonts w:ascii="Times New Roman" w:hAnsi="Times New Roman" w:cs="Times New Roman"/>
          <w:sz w:val="24"/>
        </w:rPr>
        <w:t>KC</w:t>
      </w:r>
      <w:r w:rsidR="003E49FD" w:rsidRPr="003C1B12">
        <w:rPr>
          <w:rFonts w:ascii="Times New Roman" w:hAnsi="Times New Roman" w:cs="Times New Roman"/>
          <w:sz w:val="24"/>
        </w:rPr>
        <w:t xml:space="preserve"> programmas </w:t>
      </w:r>
      <w:r w:rsidR="003E49FD" w:rsidRPr="003C1B12">
        <w:rPr>
          <w:rFonts w:ascii="Times New Roman" w:hAnsi="Times New Roman" w:cs="Times New Roman"/>
          <w:sz w:val="24"/>
          <w:szCs w:val="24"/>
        </w:rPr>
        <w:t>pamatnosacījumi</w:t>
      </w:r>
    </w:p>
    <w:tbl>
      <w:tblPr>
        <w:tblStyle w:val="TableGrid"/>
        <w:tblW w:w="9039" w:type="dxa"/>
        <w:jc w:val="center"/>
        <w:tblLook w:val="04A0" w:firstRow="1" w:lastRow="0" w:firstColumn="1" w:lastColumn="0" w:noHBand="0" w:noVBand="1"/>
      </w:tblPr>
      <w:tblGrid>
        <w:gridCol w:w="2093"/>
        <w:gridCol w:w="6946"/>
      </w:tblGrid>
      <w:tr w:rsidR="003E49FD" w:rsidRPr="003C1B12" w:rsidTr="00731725">
        <w:trPr>
          <w:jc w:val="center"/>
        </w:trPr>
        <w:tc>
          <w:tcPr>
            <w:tcW w:w="2093" w:type="dxa"/>
          </w:tcPr>
          <w:p w:rsidR="003E49FD" w:rsidRPr="003C1B12" w:rsidRDefault="003E49FD" w:rsidP="003E49FD">
            <w:pPr>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rPr>
              <w:t>Projekta iesniedzējs un finansējuma saņēmējs</w:t>
            </w:r>
          </w:p>
        </w:tc>
        <w:tc>
          <w:tcPr>
            <w:tcW w:w="6946" w:type="dxa"/>
          </w:tcPr>
          <w:p w:rsidR="003E49FD" w:rsidRPr="003C1B12" w:rsidRDefault="00864455" w:rsidP="003E49FD">
            <w:pPr>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rPr>
              <w:t>KC</w:t>
            </w:r>
            <w:r w:rsidR="003E49FD" w:rsidRPr="003C1B12">
              <w:rPr>
                <w:rFonts w:ascii="Times New Roman" w:hAnsi="Times New Roman" w:cs="Times New Roman"/>
                <w:color w:val="000000" w:themeColor="text1"/>
                <w:sz w:val="20"/>
                <w:szCs w:val="20"/>
              </w:rPr>
              <w:t xml:space="preserve"> - juridiska persona, kuras kapitāla daļu turētāji ir vismaz viens zinātniskais sadarbības partneris un vismaz trīs savstarpēji nesaistīti nozares sadarbības partneri. </w:t>
            </w:r>
          </w:p>
        </w:tc>
      </w:tr>
      <w:tr w:rsidR="003E49FD" w:rsidRPr="003C1B12" w:rsidTr="00731725">
        <w:trPr>
          <w:jc w:val="center"/>
        </w:trPr>
        <w:tc>
          <w:tcPr>
            <w:tcW w:w="2093" w:type="dxa"/>
          </w:tcPr>
          <w:p w:rsidR="003E49FD" w:rsidRPr="003C1B12" w:rsidRDefault="003E49FD" w:rsidP="003E49FD">
            <w:pPr>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rPr>
              <w:t>Atbalsta gala saņēmēji</w:t>
            </w:r>
          </w:p>
        </w:tc>
        <w:tc>
          <w:tcPr>
            <w:tcW w:w="6946" w:type="dxa"/>
          </w:tcPr>
          <w:p w:rsidR="003E49FD" w:rsidRPr="003C1B12" w:rsidRDefault="00864455" w:rsidP="003E49FD">
            <w:pPr>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rPr>
              <w:t>KC</w:t>
            </w:r>
            <w:r w:rsidR="003E49FD" w:rsidRPr="003C1B12">
              <w:rPr>
                <w:rFonts w:ascii="Times New Roman" w:hAnsi="Times New Roman" w:cs="Times New Roman"/>
                <w:color w:val="000000" w:themeColor="text1"/>
                <w:sz w:val="20"/>
                <w:szCs w:val="20"/>
              </w:rPr>
              <w:t>, sadarbības partneri – komersanti</w:t>
            </w:r>
          </w:p>
        </w:tc>
      </w:tr>
      <w:tr w:rsidR="003E49FD" w:rsidRPr="003C1B12" w:rsidTr="00731725">
        <w:trPr>
          <w:jc w:val="center"/>
        </w:trPr>
        <w:tc>
          <w:tcPr>
            <w:tcW w:w="2093" w:type="dxa"/>
          </w:tcPr>
          <w:p w:rsidR="003E49FD" w:rsidRPr="003C1B12" w:rsidRDefault="003E49FD" w:rsidP="003E49FD">
            <w:pPr>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rPr>
              <w:t>Atbalstāmās darbības</w:t>
            </w:r>
          </w:p>
        </w:tc>
        <w:tc>
          <w:tcPr>
            <w:tcW w:w="6946" w:type="dxa"/>
          </w:tcPr>
          <w:p w:rsidR="003E49FD" w:rsidRPr="003C1B12" w:rsidRDefault="003E49FD" w:rsidP="009D209C">
            <w:pPr>
              <w:pStyle w:val="tv213"/>
              <w:numPr>
                <w:ilvl w:val="0"/>
                <w:numId w:val="4"/>
              </w:numPr>
              <w:shd w:val="clear" w:color="auto" w:fill="FFFFFF"/>
              <w:spacing w:before="0" w:beforeAutospacing="0" w:after="0" w:afterAutospacing="0"/>
              <w:jc w:val="both"/>
              <w:rPr>
                <w:color w:val="000000" w:themeColor="text1"/>
                <w:sz w:val="20"/>
                <w:szCs w:val="20"/>
              </w:rPr>
            </w:pPr>
            <w:r w:rsidRPr="003C1B12">
              <w:rPr>
                <w:color w:val="000000" w:themeColor="text1"/>
                <w:sz w:val="20"/>
                <w:szCs w:val="20"/>
              </w:rPr>
              <w:t>Individuālo pētījumu īstenotājam:</w:t>
            </w:r>
          </w:p>
          <w:p w:rsidR="003E49FD" w:rsidRPr="003C1B12" w:rsidRDefault="003E49FD" w:rsidP="009D209C">
            <w:pPr>
              <w:pStyle w:val="tv213"/>
              <w:numPr>
                <w:ilvl w:val="1"/>
                <w:numId w:val="4"/>
              </w:numPr>
              <w:shd w:val="clear" w:color="auto" w:fill="FFFFFF"/>
              <w:spacing w:before="0" w:beforeAutospacing="0" w:after="0" w:afterAutospacing="0"/>
              <w:jc w:val="both"/>
              <w:rPr>
                <w:color w:val="000000" w:themeColor="text1"/>
                <w:sz w:val="20"/>
                <w:szCs w:val="20"/>
              </w:rPr>
            </w:pPr>
            <w:r w:rsidRPr="003C1B12">
              <w:rPr>
                <w:color w:val="000000" w:themeColor="text1"/>
                <w:sz w:val="20"/>
                <w:szCs w:val="20"/>
              </w:rPr>
              <w:t xml:space="preserve">individuāliem rūpnieciskiem pētījumiem </w:t>
            </w:r>
          </w:p>
          <w:p w:rsidR="003E49FD" w:rsidRPr="003C1B12" w:rsidRDefault="003E49FD" w:rsidP="009D209C">
            <w:pPr>
              <w:pStyle w:val="tv213"/>
              <w:numPr>
                <w:ilvl w:val="1"/>
                <w:numId w:val="4"/>
              </w:numPr>
              <w:shd w:val="clear" w:color="auto" w:fill="FFFFFF"/>
              <w:spacing w:before="0" w:beforeAutospacing="0" w:after="0" w:afterAutospacing="0"/>
              <w:jc w:val="both"/>
              <w:rPr>
                <w:color w:val="000000" w:themeColor="text1"/>
                <w:sz w:val="20"/>
                <w:szCs w:val="20"/>
              </w:rPr>
            </w:pPr>
            <w:r w:rsidRPr="003C1B12">
              <w:rPr>
                <w:color w:val="000000" w:themeColor="text1"/>
                <w:sz w:val="20"/>
                <w:szCs w:val="20"/>
              </w:rPr>
              <w:t>individuāliem eksperimentālai izstrādnei;</w:t>
            </w:r>
          </w:p>
          <w:p w:rsidR="003E49FD" w:rsidRPr="003C1B12" w:rsidRDefault="00864455" w:rsidP="009D209C">
            <w:pPr>
              <w:pStyle w:val="tv213"/>
              <w:numPr>
                <w:ilvl w:val="0"/>
                <w:numId w:val="4"/>
              </w:numPr>
              <w:shd w:val="clear" w:color="auto" w:fill="FFFFFF"/>
              <w:spacing w:before="0" w:beforeAutospacing="0" w:after="0" w:afterAutospacing="0"/>
              <w:jc w:val="both"/>
              <w:rPr>
                <w:color w:val="000000" w:themeColor="text1"/>
                <w:sz w:val="20"/>
                <w:szCs w:val="20"/>
              </w:rPr>
            </w:pPr>
            <w:r w:rsidRPr="003C1B12">
              <w:rPr>
                <w:color w:val="000000" w:themeColor="text1"/>
                <w:sz w:val="20"/>
                <w:szCs w:val="20"/>
              </w:rPr>
              <w:t>KC</w:t>
            </w:r>
            <w:r w:rsidR="003E49FD" w:rsidRPr="003C1B12">
              <w:rPr>
                <w:color w:val="000000" w:themeColor="text1"/>
                <w:sz w:val="20"/>
                <w:szCs w:val="20"/>
              </w:rPr>
              <w:t>:</w:t>
            </w:r>
          </w:p>
          <w:p w:rsidR="003E49FD" w:rsidRPr="003C1B12" w:rsidRDefault="003E49FD" w:rsidP="009D209C">
            <w:pPr>
              <w:pStyle w:val="tv213"/>
              <w:numPr>
                <w:ilvl w:val="1"/>
                <w:numId w:val="4"/>
              </w:numPr>
              <w:shd w:val="clear" w:color="auto" w:fill="FFFFFF"/>
              <w:spacing w:before="0" w:beforeAutospacing="0" w:after="0" w:afterAutospacing="0"/>
              <w:jc w:val="both"/>
              <w:rPr>
                <w:color w:val="000000" w:themeColor="text1"/>
                <w:sz w:val="20"/>
                <w:szCs w:val="20"/>
              </w:rPr>
            </w:pPr>
            <w:r w:rsidRPr="003C1B12">
              <w:rPr>
                <w:color w:val="000000" w:themeColor="text1"/>
                <w:sz w:val="20"/>
                <w:szCs w:val="20"/>
              </w:rPr>
              <w:t xml:space="preserve">nozares rūpnieciskiem pētījumiem </w:t>
            </w:r>
          </w:p>
          <w:p w:rsidR="003E49FD" w:rsidRPr="003C1B12" w:rsidRDefault="003E49FD" w:rsidP="009D209C">
            <w:pPr>
              <w:pStyle w:val="tv213"/>
              <w:numPr>
                <w:ilvl w:val="1"/>
                <w:numId w:val="4"/>
              </w:numPr>
              <w:shd w:val="clear" w:color="auto" w:fill="FFFFFF"/>
              <w:spacing w:before="0" w:beforeAutospacing="0" w:after="0" w:afterAutospacing="0"/>
              <w:jc w:val="both"/>
              <w:rPr>
                <w:color w:val="000000" w:themeColor="text1"/>
                <w:sz w:val="20"/>
                <w:szCs w:val="20"/>
              </w:rPr>
            </w:pPr>
            <w:r w:rsidRPr="003C1B12">
              <w:rPr>
                <w:color w:val="000000" w:themeColor="text1"/>
                <w:sz w:val="20"/>
                <w:szCs w:val="20"/>
              </w:rPr>
              <w:t xml:space="preserve">nozares eksperimentālai izstrādnei </w:t>
            </w:r>
          </w:p>
          <w:p w:rsidR="003E49FD" w:rsidRPr="003C1B12" w:rsidRDefault="00864455" w:rsidP="009D209C">
            <w:pPr>
              <w:pStyle w:val="tv213"/>
              <w:numPr>
                <w:ilvl w:val="0"/>
                <w:numId w:val="4"/>
              </w:numPr>
              <w:shd w:val="clear" w:color="auto" w:fill="FFFFFF"/>
              <w:spacing w:before="0" w:beforeAutospacing="0" w:after="0" w:afterAutospacing="0"/>
              <w:jc w:val="both"/>
              <w:rPr>
                <w:color w:val="000000" w:themeColor="text1"/>
                <w:sz w:val="20"/>
                <w:szCs w:val="20"/>
              </w:rPr>
            </w:pPr>
            <w:r w:rsidRPr="003C1B12">
              <w:rPr>
                <w:color w:val="000000" w:themeColor="text1"/>
                <w:sz w:val="20"/>
                <w:szCs w:val="20"/>
              </w:rPr>
              <w:t>KC</w:t>
            </w:r>
            <w:r w:rsidR="003E49FD" w:rsidRPr="003C1B12">
              <w:rPr>
                <w:color w:val="000000" w:themeColor="text1"/>
                <w:sz w:val="20"/>
                <w:szCs w:val="20"/>
              </w:rPr>
              <w:t xml:space="preserve"> projekta vadības izmaksu segšanai.</w:t>
            </w:r>
          </w:p>
        </w:tc>
      </w:tr>
      <w:tr w:rsidR="003E49FD" w:rsidRPr="003C1B12" w:rsidTr="00731725">
        <w:trPr>
          <w:jc w:val="center"/>
        </w:trPr>
        <w:tc>
          <w:tcPr>
            <w:tcW w:w="2093" w:type="dxa"/>
          </w:tcPr>
          <w:p w:rsidR="003E49FD" w:rsidRPr="003C1B12" w:rsidRDefault="003E49FD" w:rsidP="003E49FD">
            <w:pPr>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rPr>
              <w:t>Atbalsta intensitāte</w:t>
            </w:r>
          </w:p>
        </w:tc>
        <w:tc>
          <w:tcPr>
            <w:tcW w:w="6946" w:type="dxa"/>
          </w:tcPr>
          <w:p w:rsidR="003E49FD" w:rsidRPr="003C1B12" w:rsidRDefault="003E49FD" w:rsidP="009D209C">
            <w:pPr>
              <w:pStyle w:val="tv213"/>
              <w:numPr>
                <w:ilvl w:val="0"/>
                <w:numId w:val="5"/>
              </w:numPr>
              <w:spacing w:before="0" w:beforeAutospacing="0" w:after="0" w:afterAutospacing="0"/>
              <w:jc w:val="both"/>
              <w:rPr>
                <w:color w:val="000000" w:themeColor="text1"/>
                <w:sz w:val="20"/>
                <w:szCs w:val="20"/>
              </w:rPr>
            </w:pPr>
            <w:r w:rsidRPr="003C1B12">
              <w:rPr>
                <w:color w:val="000000" w:themeColor="text1"/>
                <w:sz w:val="20"/>
                <w:szCs w:val="20"/>
              </w:rPr>
              <w:t>rūpnieciskiem pētījumiem 50-70%;</w:t>
            </w:r>
          </w:p>
          <w:p w:rsidR="003E49FD" w:rsidRPr="003C1B12" w:rsidRDefault="003E49FD" w:rsidP="009D209C">
            <w:pPr>
              <w:pStyle w:val="tv213"/>
              <w:numPr>
                <w:ilvl w:val="0"/>
                <w:numId w:val="5"/>
              </w:numPr>
              <w:spacing w:before="0" w:beforeAutospacing="0" w:after="0" w:afterAutospacing="0"/>
              <w:jc w:val="both"/>
              <w:rPr>
                <w:color w:val="000000" w:themeColor="text1"/>
                <w:sz w:val="20"/>
                <w:szCs w:val="20"/>
              </w:rPr>
            </w:pPr>
            <w:r w:rsidRPr="003C1B12">
              <w:rPr>
                <w:color w:val="000000" w:themeColor="text1"/>
                <w:sz w:val="20"/>
                <w:szCs w:val="20"/>
              </w:rPr>
              <w:t>eksperimentālām izstrādnēm 25-45%;</w:t>
            </w:r>
          </w:p>
          <w:p w:rsidR="00300F4C" w:rsidRPr="003C1B12" w:rsidRDefault="00300F4C" w:rsidP="00300F4C">
            <w:pPr>
              <w:pStyle w:val="tv213"/>
              <w:numPr>
                <w:ilvl w:val="0"/>
                <w:numId w:val="5"/>
              </w:numPr>
              <w:spacing w:before="0" w:beforeAutospacing="0" w:after="0" w:afterAutospacing="0"/>
              <w:jc w:val="both"/>
              <w:rPr>
                <w:color w:val="000000" w:themeColor="text1"/>
                <w:sz w:val="20"/>
                <w:szCs w:val="20"/>
              </w:rPr>
            </w:pPr>
            <w:r w:rsidRPr="003C1B12">
              <w:rPr>
                <w:color w:val="000000" w:themeColor="text1"/>
                <w:sz w:val="20"/>
                <w:szCs w:val="20"/>
              </w:rPr>
              <w:t>projekta vadības izmaksām 50%.</w:t>
            </w:r>
          </w:p>
        </w:tc>
      </w:tr>
      <w:tr w:rsidR="003E49FD" w:rsidRPr="003C1B12" w:rsidTr="00731725">
        <w:trPr>
          <w:jc w:val="center"/>
        </w:trPr>
        <w:tc>
          <w:tcPr>
            <w:tcW w:w="2093" w:type="dxa"/>
          </w:tcPr>
          <w:p w:rsidR="003E49FD" w:rsidRPr="003C1B12" w:rsidRDefault="003E49FD" w:rsidP="003E49FD">
            <w:pPr>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rPr>
              <w:t>Finansējuma apmērs</w:t>
            </w:r>
          </w:p>
        </w:tc>
        <w:tc>
          <w:tcPr>
            <w:tcW w:w="6946" w:type="dxa"/>
          </w:tcPr>
          <w:p w:rsidR="003E49FD" w:rsidRPr="003C1B12" w:rsidRDefault="003E49FD" w:rsidP="009D209C">
            <w:pPr>
              <w:pStyle w:val="ListParagraph"/>
              <w:numPr>
                <w:ilvl w:val="0"/>
                <w:numId w:val="6"/>
              </w:numPr>
              <w:rPr>
                <w:rFonts w:ascii="Times New Roman" w:hAnsi="Times New Roman" w:cs="Times New Roman"/>
                <w:color w:val="000000" w:themeColor="text1"/>
                <w:sz w:val="20"/>
                <w:szCs w:val="20"/>
                <w:shd w:val="clear" w:color="auto" w:fill="FFFFFF"/>
              </w:rPr>
            </w:pPr>
            <w:r w:rsidRPr="003C1B12">
              <w:rPr>
                <w:rFonts w:ascii="Times New Roman" w:hAnsi="Times New Roman" w:cs="Times New Roman"/>
                <w:color w:val="000000" w:themeColor="text1"/>
                <w:sz w:val="20"/>
                <w:szCs w:val="20"/>
                <w:shd w:val="clear" w:color="auto" w:fill="FFFFFF"/>
              </w:rPr>
              <w:t>Maksimāli pieļaujamais publiskā finansējuma apmērs vienam KC projekta iesniegumam ir 11 738 693</w:t>
            </w:r>
            <w:r w:rsidRPr="003C1B12">
              <w:rPr>
                <w:rStyle w:val="apple-converted-space"/>
                <w:rFonts w:ascii="Times New Roman" w:hAnsi="Times New Roman" w:cs="Times New Roman"/>
                <w:color w:val="000000" w:themeColor="text1"/>
                <w:sz w:val="20"/>
                <w:szCs w:val="20"/>
                <w:shd w:val="clear" w:color="auto" w:fill="FFFFFF"/>
              </w:rPr>
              <w:t> </w:t>
            </w:r>
            <w:r w:rsidRPr="003C1B12">
              <w:rPr>
                <w:rFonts w:ascii="Times New Roman" w:hAnsi="Times New Roman" w:cs="Times New Roman"/>
                <w:i/>
                <w:iCs/>
                <w:color w:val="000000" w:themeColor="text1"/>
                <w:sz w:val="20"/>
                <w:szCs w:val="20"/>
                <w:shd w:val="clear" w:color="auto" w:fill="FFFFFF"/>
              </w:rPr>
              <w:t>euro</w:t>
            </w:r>
            <w:r w:rsidRPr="003C1B12">
              <w:rPr>
                <w:rFonts w:ascii="Times New Roman" w:hAnsi="Times New Roman" w:cs="Times New Roman"/>
                <w:color w:val="000000" w:themeColor="text1"/>
                <w:sz w:val="20"/>
                <w:szCs w:val="20"/>
                <w:shd w:val="clear" w:color="auto" w:fill="FFFFFF"/>
              </w:rPr>
              <w:t xml:space="preserve">; </w:t>
            </w:r>
          </w:p>
          <w:p w:rsidR="003E49FD" w:rsidRPr="003C1B12" w:rsidRDefault="003E49FD" w:rsidP="009D209C">
            <w:pPr>
              <w:pStyle w:val="ListParagraph"/>
              <w:numPr>
                <w:ilvl w:val="0"/>
                <w:numId w:val="6"/>
              </w:numPr>
              <w:rPr>
                <w:rFonts w:ascii="Times New Roman" w:hAnsi="Times New Roman" w:cs="Times New Roman"/>
                <w:color w:val="000000" w:themeColor="text1"/>
                <w:sz w:val="20"/>
                <w:szCs w:val="20"/>
                <w:shd w:val="clear" w:color="auto" w:fill="FFFFFF"/>
              </w:rPr>
            </w:pPr>
            <w:r w:rsidRPr="003C1B12">
              <w:rPr>
                <w:rFonts w:ascii="Times New Roman" w:hAnsi="Times New Roman" w:cs="Times New Roman"/>
                <w:color w:val="000000" w:themeColor="text1"/>
                <w:sz w:val="20"/>
                <w:szCs w:val="20"/>
                <w:shd w:val="clear" w:color="auto" w:fill="FFFFFF"/>
              </w:rPr>
              <w:t xml:space="preserve">Maksimāli pieļaujamais publiskā finansējuma apmērs vienam pētījumam nav noteikts; </w:t>
            </w:r>
          </w:p>
          <w:p w:rsidR="003E49FD" w:rsidRPr="003C1B12" w:rsidRDefault="003E49FD" w:rsidP="00864455">
            <w:pPr>
              <w:pStyle w:val="ListParagraph"/>
              <w:numPr>
                <w:ilvl w:val="0"/>
                <w:numId w:val="6"/>
              </w:numPr>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shd w:val="clear" w:color="auto" w:fill="FFFFFF"/>
              </w:rPr>
              <w:t xml:space="preserve">Maksimāli pieļaujamais publiskā finansējuma apmērs </w:t>
            </w:r>
            <w:r w:rsidR="00300F4C" w:rsidRPr="003C1B12">
              <w:rPr>
                <w:rFonts w:ascii="Times New Roman" w:hAnsi="Times New Roman" w:cs="Times New Roman"/>
                <w:color w:val="000000" w:themeColor="text1"/>
                <w:sz w:val="20"/>
                <w:szCs w:val="20"/>
                <w:shd w:val="clear" w:color="auto" w:fill="FFFFFF"/>
              </w:rPr>
              <w:t xml:space="preserve">vienas saistīto personu grupas </w:t>
            </w:r>
            <w:r w:rsidRPr="003C1B12">
              <w:rPr>
                <w:rFonts w:ascii="Times New Roman" w:hAnsi="Times New Roman" w:cs="Times New Roman"/>
                <w:color w:val="000000" w:themeColor="text1"/>
                <w:sz w:val="20"/>
                <w:szCs w:val="20"/>
                <w:shd w:val="clear" w:color="auto" w:fill="FFFFFF"/>
              </w:rPr>
              <w:t>visiem individuālajiem pētījumiem ir 2 223 238</w:t>
            </w:r>
            <w:r w:rsidRPr="003C1B12">
              <w:rPr>
                <w:rStyle w:val="apple-converted-space"/>
                <w:rFonts w:ascii="Times New Roman" w:hAnsi="Times New Roman" w:cs="Times New Roman"/>
                <w:color w:val="000000" w:themeColor="text1"/>
                <w:sz w:val="20"/>
                <w:szCs w:val="20"/>
                <w:shd w:val="clear" w:color="auto" w:fill="FFFFFF"/>
              </w:rPr>
              <w:t> </w:t>
            </w:r>
            <w:r w:rsidRPr="003C1B12">
              <w:rPr>
                <w:rFonts w:ascii="Times New Roman" w:hAnsi="Times New Roman" w:cs="Times New Roman"/>
                <w:i/>
                <w:iCs/>
                <w:color w:val="000000" w:themeColor="text1"/>
                <w:sz w:val="20"/>
                <w:szCs w:val="20"/>
                <w:shd w:val="clear" w:color="auto" w:fill="FFFFFF"/>
              </w:rPr>
              <w:t>euro</w:t>
            </w:r>
            <w:r w:rsidRPr="003C1B12">
              <w:rPr>
                <w:rFonts w:ascii="Times New Roman" w:hAnsi="Times New Roman" w:cs="Times New Roman"/>
                <w:color w:val="000000" w:themeColor="text1"/>
                <w:sz w:val="20"/>
                <w:szCs w:val="20"/>
                <w:shd w:val="clear" w:color="auto" w:fill="FFFFFF"/>
              </w:rPr>
              <w:t xml:space="preserve">, bet ne vairāk kā 25 % no </w:t>
            </w:r>
            <w:r w:rsidR="00864455" w:rsidRPr="003C1B12">
              <w:rPr>
                <w:rFonts w:ascii="Times New Roman" w:hAnsi="Times New Roman" w:cs="Times New Roman"/>
                <w:color w:val="000000" w:themeColor="text1"/>
                <w:sz w:val="20"/>
                <w:szCs w:val="20"/>
                <w:shd w:val="clear" w:color="auto" w:fill="FFFFFF"/>
              </w:rPr>
              <w:t>KC</w:t>
            </w:r>
            <w:r w:rsidR="00300F4C" w:rsidRPr="003C1B12">
              <w:rPr>
                <w:rFonts w:ascii="Times New Roman" w:hAnsi="Times New Roman" w:cs="Times New Roman"/>
                <w:color w:val="000000" w:themeColor="text1"/>
                <w:sz w:val="20"/>
                <w:szCs w:val="20"/>
                <w:shd w:val="clear" w:color="auto" w:fill="FFFFFF"/>
              </w:rPr>
              <w:t xml:space="preserve"> piešķirtā </w:t>
            </w:r>
            <w:r w:rsidRPr="003C1B12">
              <w:rPr>
                <w:rFonts w:ascii="Times New Roman" w:hAnsi="Times New Roman" w:cs="Times New Roman"/>
                <w:color w:val="000000" w:themeColor="text1"/>
                <w:sz w:val="20"/>
                <w:szCs w:val="20"/>
                <w:shd w:val="clear" w:color="auto" w:fill="FFFFFF"/>
              </w:rPr>
              <w:t>publiskā finansējuma apmēra.</w:t>
            </w:r>
          </w:p>
        </w:tc>
      </w:tr>
      <w:tr w:rsidR="003E49FD" w:rsidRPr="003C1B12" w:rsidTr="00731725">
        <w:trPr>
          <w:jc w:val="center"/>
        </w:trPr>
        <w:tc>
          <w:tcPr>
            <w:tcW w:w="2093" w:type="dxa"/>
          </w:tcPr>
          <w:p w:rsidR="003E49FD" w:rsidRPr="003C1B12" w:rsidRDefault="003E49FD" w:rsidP="003E49FD">
            <w:pPr>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rPr>
              <w:t>Pētniecības projektu veidi</w:t>
            </w:r>
          </w:p>
        </w:tc>
        <w:tc>
          <w:tcPr>
            <w:tcW w:w="6946" w:type="dxa"/>
          </w:tcPr>
          <w:p w:rsidR="003E49FD" w:rsidRPr="003C1B12" w:rsidRDefault="003E49FD" w:rsidP="009D209C">
            <w:pPr>
              <w:pStyle w:val="tv213"/>
              <w:numPr>
                <w:ilvl w:val="0"/>
                <w:numId w:val="7"/>
              </w:numPr>
              <w:shd w:val="clear" w:color="auto" w:fill="FFFFFF"/>
              <w:spacing w:before="0" w:beforeAutospacing="0" w:after="0" w:afterAutospacing="0"/>
              <w:jc w:val="both"/>
              <w:rPr>
                <w:color w:val="000000" w:themeColor="text1"/>
                <w:sz w:val="20"/>
                <w:szCs w:val="20"/>
              </w:rPr>
            </w:pPr>
            <w:r w:rsidRPr="003C1B12">
              <w:rPr>
                <w:color w:val="000000" w:themeColor="text1"/>
                <w:sz w:val="20"/>
                <w:szCs w:val="20"/>
              </w:rPr>
              <w:t xml:space="preserve">Nozares rūpnieciskie pētījumi – pētījumi, kuri nodrošina </w:t>
            </w:r>
            <w:r w:rsidR="000968EB" w:rsidRPr="003C1B12">
              <w:rPr>
                <w:color w:val="000000" w:themeColor="text1"/>
                <w:sz w:val="20"/>
                <w:szCs w:val="20"/>
              </w:rPr>
              <w:t>KC</w:t>
            </w:r>
            <w:r w:rsidRPr="003C1B12">
              <w:rPr>
                <w:color w:val="000000" w:themeColor="text1"/>
                <w:sz w:val="20"/>
                <w:szCs w:val="20"/>
              </w:rPr>
              <w:t xml:space="preserve"> definēto nozaru problēmu risināšanu, atbilst vienam no </w:t>
            </w:r>
            <w:r w:rsidR="000968EB" w:rsidRPr="003C1B12">
              <w:rPr>
                <w:color w:val="000000" w:themeColor="text1"/>
                <w:sz w:val="20"/>
                <w:szCs w:val="20"/>
              </w:rPr>
              <w:t>KC</w:t>
            </w:r>
            <w:r w:rsidRPr="003C1B12">
              <w:rPr>
                <w:color w:val="000000" w:themeColor="text1"/>
                <w:sz w:val="20"/>
                <w:szCs w:val="20"/>
              </w:rPr>
              <w:t xml:space="preserve"> pētniecības virzieniem un kurus īsteno </w:t>
            </w:r>
            <w:r w:rsidR="000968EB" w:rsidRPr="003C1B12">
              <w:rPr>
                <w:color w:val="000000" w:themeColor="text1"/>
                <w:sz w:val="20"/>
                <w:szCs w:val="20"/>
              </w:rPr>
              <w:t>KC</w:t>
            </w:r>
            <w:r w:rsidRPr="003C1B12">
              <w:rPr>
                <w:color w:val="000000" w:themeColor="text1"/>
                <w:sz w:val="20"/>
                <w:szCs w:val="20"/>
              </w:rPr>
              <w:t xml:space="preserve">. Nozares pētījumu rezultāti pieder </w:t>
            </w:r>
            <w:r w:rsidR="000968EB" w:rsidRPr="003C1B12">
              <w:rPr>
                <w:color w:val="000000" w:themeColor="text1"/>
                <w:sz w:val="20"/>
                <w:szCs w:val="20"/>
              </w:rPr>
              <w:t>KC</w:t>
            </w:r>
            <w:r w:rsidRPr="003C1B12">
              <w:rPr>
                <w:color w:val="000000" w:themeColor="text1"/>
                <w:sz w:val="20"/>
                <w:szCs w:val="20"/>
              </w:rPr>
              <w:t xml:space="preserve">. Nozares pētījuma pasūtītāji un pētījuma rezultātu izmantotāji ir vismaz divi nesaistīti komersanti. </w:t>
            </w:r>
            <w:r w:rsidR="000968EB" w:rsidRPr="003C1B12">
              <w:rPr>
                <w:color w:val="000000" w:themeColor="text1"/>
                <w:sz w:val="20"/>
                <w:szCs w:val="20"/>
              </w:rPr>
              <w:t>KC</w:t>
            </w:r>
            <w:r w:rsidR="00300F4C" w:rsidRPr="003C1B12">
              <w:rPr>
                <w:color w:val="000000" w:themeColor="text1"/>
                <w:sz w:val="20"/>
                <w:szCs w:val="20"/>
              </w:rPr>
              <w:t xml:space="preserve"> jāveic pētniecības darbības, neizmantojot ārpakalpojumus, vismaz 25% apmērā no katra nozares pētījuma attiecināmo izmaksu summas</w:t>
            </w:r>
            <w:r w:rsidRPr="003C1B12">
              <w:rPr>
                <w:color w:val="000000" w:themeColor="text1"/>
                <w:sz w:val="20"/>
                <w:szCs w:val="20"/>
              </w:rPr>
              <w:t>;</w:t>
            </w:r>
          </w:p>
          <w:p w:rsidR="003E49FD" w:rsidRPr="003C1B12" w:rsidRDefault="003E49FD" w:rsidP="000968EB">
            <w:pPr>
              <w:pStyle w:val="ListParagraph"/>
              <w:numPr>
                <w:ilvl w:val="0"/>
                <w:numId w:val="7"/>
              </w:numPr>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rPr>
              <w:t xml:space="preserve">Individuālie pētījumi - </w:t>
            </w:r>
            <w:r w:rsidRPr="003C1B12">
              <w:rPr>
                <w:rStyle w:val="apple-converted-space"/>
                <w:rFonts w:ascii="Times New Roman" w:hAnsi="Times New Roman" w:cs="Times New Roman"/>
                <w:color w:val="000000" w:themeColor="text1"/>
                <w:sz w:val="20"/>
                <w:szCs w:val="20"/>
                <w:shd w:val="clear" w:color="auto" w:fill="FFFFFF"/>
              </w:rPr>
              <w:t> </w:t>
            </w:r>
            <w:r w:rsidRPr="003C1B12">
              <w:rPr>
                <w:rFonts w:ascii="Times New Roman" w:hAnsi="Times New Roman" w:cs="Times New Roman"/>
                <w:color w:val="000000" w:themeColor="text1"/>
                <w:sz w:val="20"/>
                <w:szCs w:val="20"/>
                <w:shd w:val="clear" w:color="auto" w:fill="FFFFFF"/>
              </w:rPr>
              <w:t xml:space="preserve">pētījumi, kuri atbilst vienam no </w:t>
            </w:r>
            <w:r w:rsidR="000968EB" w:rsidRPr="003C1B12">
              <w:rPr>
                <w:rFonts w:ascii="Times New Roman" w:hAnsi="Times New Roman" w:cs="Times New Roman"/>
                <w:color w:val="000000" w:themeColor="text1"/>
                <w:sz w:val="20"/>
                <w:szCs w:val="20"/>
                <w:shd w:val="clear" w:color="auto" w:fill="FFFFFF"/>
              </w:rPr>
              <w:t>KC</w:t>
            </w:r>
            <w:r w:rsidRPr="003C1B12">
              <w:rPr>
                <w:rFonts w:ascii="Times New Roman" w:hAnsi="Times New Roman" w:cs="Times New Roman"/>
                <w:color w:val="000000" w:themeColor="text1"/>
                <w:sz w:val="20"/>
                <w:szCs w:val="20"/>
                <w:shd w:val="clear" w:color="auto" w:fill="FFFFFF"/>
              </w:rPr>
              <w:t xml:space="preserve"> pētniecības virzieniem un kurus īsteno  viens komersants ar mērķi rezultātus ieviest savā saimnieciskajā darbībā. </w:t>
            </w:r>
          </w:p>
        </w:tc>
      </w:tr>
      <w:tr w:rsidR="003E49FD" w:rsidRPr="003C1B12" w:rsidTr="00731725">
        <w:trPr>
          <w:jc w:val="center"/>
        </w:trPr>
        <w:tc>
          <w:tcPr>
            <w:tcW w:w="2093" w:type="dxa"/>
          </w:tcPr>
          <w:p w:rsidR="003E49FD" w:rsidRPr="003C1B12" w:rsidRDefault="003E49FD" w:rsidP="003E49FD">
            <w:pPr>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rPr>
              <w:t>Intelektuālā īpašuma tiesības</w:t>
            </w:r>
          </w:p>
        </w:tc>
        <w:tc>
          <w:tcPr>
            <w:tcW w:w="6946" w:type="dxa"/>
          </w:tcPr>
          <w:p w:rsidR="003E49FD" w:rsidRPr="003C1B12" w:rsidRDefault="003E49FD" w:rsidP="00D85D74">
            <w:pPr>
              <w:pStyle w:val="tv213"/>
              <w:numPr>
                <w:ilvl w:val="0"/>
                <w:numId w:val="7"/>
              </w:numPr>
              <w:shd w:val="clear" w:color="auto" w:fill="FFFFFF"/>
              <w:spacing w:before="0" w:beforeAutospacing="0" w:after="0" w:afterAutospacing="0"/>
              <w:jc w:val="both"/>
              <w:rPr>
                <w:color w:val="000000" w:themeColor="text1"/>
                <w:sz w:val="20"/>
                <w:szCs w:val="20"/>
              </w:rPr>
            </w:pPr>
            <w:r w:rsidRPr="003C1B12">
              <w:rPr>
                <w:color w:val="000000" w:themeColor="text1"/>
                <w:sz w:val="20"/>
                <w:szCs w:val="20"/>
              </w:rPr>
              <w:t>Intelektuālā īpašuma tiesības, kuras rodas, īstenojot individuālo pētījumu pieder individuālā pētījuma īstenotājam.</w:t>
            </w:r>
          </w:p>
          <w:p w:rsidR="003E49FD" w:rsidRPr="003C1B12" w:rsidRDefault="003E49FD" w:rsidP="00D85D74">
            <w:pPr>
              <w:pStyle w:val="tv213"/>
              <w:numPr>
                <w:ilvl w:val="0"/>
                <w:numId w:val="7"/>
              </w:numPr>
              <w:shd w:val="clear" w:color="auto" w:fill="FFFFFF"/>
              <w:spacing w:before="0" w:beforeAutospacing="0" w:after="0" w:afterAutospacing="0"/>
              <w:jc w:val="both"/>
              <w:rPr>
                <w:color w:val="000000" w:themeColor="text1"/>
                <w:sz w:val="20"/>
                <w:szCs w:val="20"/>
              </w:rPr>
            </w:pPr>
            <w:r w:rsidRPr="003C1B12">
              <w:rPr>
                <w:color w:val="000000" w:themeColor="text1"/>
                <w:sz w:val="20"/>
                <w:szCs w:val="20"/>
              </w:rPr>
              <w:t xml:space="preserve">Intelektuālā īpašuma tiesības, kuras rodas, īstenojot nozares pētījumus pieder </w:t>
            </w:r>
            <w:r w:rsidR="000968EB" w:rsidRPr="003C1B12">
              <w:rPr>
                <w:color w:val="000000" w:themeColor="text1"/>
                <w:sz w:val="20"/>
                <w:szCs w:val="20"/>
              </w:rPr>
              <w:t>KC</w:t>
            </w:r>
            <w:r w:rsidRPr="003C1B12">
              <w:rPr>
                <w:color w:val="000000" w:themeColor="text1"/>
                <w:sz w:val="20"/>
                <w:szCs w:val="20"/>
              </w:rPr>
              <w:t>.</w:t>
            </w:r>
          </w:p>
          <w:p w:rsidR="003E49FD" w:rsidRPr="003C1B12" w:rsidRDefault="003E49FD" w:rsidP="00D85D74">
            <w:pPr>
              <w:pStyle w:val="tv213"/>
              <w:numPr>
                <w:ilvl w:val="0"/>
                <w:numId w:val="7"/>
              </w:numPr>
              <w:shd w:val="clear" w:color="auto" w:fill="FFFFFF"/>
              <w:spacing w:before="0" w:beforeAutospacing="0" w:after="0" w:afterAutospacing="0"/>
              <w:jc w:val="both"/>
              <w:rPr>
                <w:color w:val="000000" w:themeColor="text1"/>
                <w:sz w:val="20"/>
                <w:szCs w:val="20"/>
              </w:rPr>
            </w:pPr>
            <w:r w:rsidRPr="003C1B12">
              <w:rPr>
                <w:color w:val="000000" w:themeColor="text1"/>
                <w:sz w:val="20"/>
                <w:szCs w:val="20"/>
              </w:rPr>
              <w:t xml:space="preserve">Nozares pētījumu rezultāti ir plaši jāizplata, piemēram, tehniskās un zinātniskās konferencēs vai publicējot zinātnes un tehnikas žurnālos vai brīvi pieejamās krātuvēs. </w:t>
            </w:r>
          </w:p>
          <w:p w:rsidR="003E49FD" w:rsidRPr="003C1B12" w:rsidRDefault="003266A5" w:rsidP="000968EB">
            <w:pPr>
              <w:pStyle w:val="tv213"/>
              <w:numPr>
                <w:ilvl w:val="0"/>
                <w:numId w:val="7"/>
              </w:numPr>
              <w:shd w:val="clear" w:color="auto" w:fill="FFFFFF"/>
              <w:spacing w:before="0" w:beforeAutospacing="0" w:after="0" w:afterAutospacing="0"/>
              <w:jc w:val="both"/>
              <w:rPr>
                <w:color w:val="000000" w:themeColor="text1"/>
                <w:sz w:val="20"/>
                <w:szCs w:val="20"/>
              </w:rPr>
            </w:pPr>
            <w:r w:rsidRPr="003C1B12">
              <w:rPr>
                <w:color w:val="000000" w:themeColor="text1"/>
                <w:sz w:val="20"/>
                <w:szCs w:val="20"/>
              </w:rPr>
              <w:lastRenderedPageBreak/>
              <w:t xml:space="preserve">Gadījumos, kad nozares pētījumu ietvaros tiek radīts aizsargājams rūpniecisks īpašums vai zinātnība, </w:t>
            </w:r>
            <w:r w:rsidR="000968EB" w:rsidRPr="003C1B12">
              <w:rPr>
                <w:color w:val="000000" w:themeColor="text1"/>
                <w:sz w:val="20"/>
                <w:szCs w:val="20"/>
              </w:rPr>
              <w:t>KC</w:t>
            </w:r>
            <w:r w:rsidRPr="003C1B12">
              <w:rPr>
                <w:color w:val="000000" w:themeColor="text1"/>
                <w:sz w:val="20"/>
                <w:szCs w:val="20"/>
              </w:rPr>
              <w:t xml:space="preserve"> ir atļauts nozares pētījuma ietvaros radītās intelektuālā īpašuma tiesības atsavināt, piešķirt izņēmuma, izmantošanas vai lietošanas tiesības, par darījumu saņemot tirgus cenu.</w:t>
            </w:r>
          </w:p>
        </w:tc>
      </w:tr>
    </w:tbl>
    <w:p w:rsidR="003E49FD" w:rsidRPr="003C1B12" w:rsidRDefault="003E49FD" w:rsidP="003E49FD">
      <w:pPr>
        <w:spacing w:after="40" w:line="240" w:lineRule="auto"/>
        <w:jc w:val="both"/>
        <w:rPr>
          <w:rFonts w:ascii="Times New Roman" w:hAnsi="Times New Roman" w:cs="Times New Roman"/>
          <w:sz w:val="24"/>
        </w:rPr>
      </w:pPr>
    </w:p>
    <w:p w:rsidR="003E49FD" w:rsidRPr="003C1B12" w:rsidRDefault="000968EB" w:rsidP="003E49FD">
      <w:pPr>
        <w:spacing w:after="0" w:line="240" w:lineRule="auto"/>
        <w:ind w:firstLine="720"/>
        <w:jc w:val="both"/>
        <w:rPr>
          <w:rFonts w:ascii="Times New Roman" w:hAnsi="Times New Roman" w:cs="Times New Roman"/>
          <w:sz w:val="24"/>
          <w:szCs w:val="24"/>
        </w:rPr>
      </w:pPr>
      <w:r w:rsidRPr="003C1B12">
        <w:rPr>
          <w:rFonts w:ascii="Times New Roman" w:hAnsi="Times New Roman" w:cs="Times New Roman"/>
          <w:sz w:val="24"/>
          <w:szCs w:val="24"/>
        </w:rPr>
        <w:t>KC</w:t>
      </w:r>
      <w:r w:rsidR="003E49FD" w:rsidRPr="003C1B12">
        <w:rPr>
          <w:rFonts w:ascii="Times New Roman" w:hAnsi="Times New Roman" w:cs="Times New Roman"/>
          <w:sz w:val="24"/>
          <w:szCs w:val="24"/>
        </w:rPr>
        <w:t xml:space="preserve"> līgumus par finansējuma piešķiršanu ar </w:t>
      </w:r>
      <w:r w:rsidR="00F61EB2" w:rsidRPr="003C1B12">
        <w:rPr>
          <w:rFonts w:ascii="Times New Roman" w:hAnsi="Times New Roman" w:cs="Times New Roman"/>
          <w:sz w:val="24"/>
          <w:szCs w:val="24"/>
        </w:rPr>
        <w:t xml:space="preserve">LIAA </w:t>
      </w:r>
      <w:r w:rsidR="003E49FD" w:rsidRPr="003C1B12">
        <w:rPr>
          <w:rFonts w:ascii="Times New Roman" w:hAnsi="Times New Roman" w:cs="Times New Roman"/>
          <w:sz w:val="24"/>
          <w:szCs w:val="24"/>
        </w:rPr>
        <w:t xml:space="preserve">noslēdza 2011.gada aprīlī, bet pētījumu projektu īstenošanu uzsāka 2011.gada 2.pusgadā. Tomēr jāuzsver, ka no 2011.gada decembra līdz 2012.gadam maijam programmas īstenošana tika apturēta, atļaujot turpināt tikai tos </w:t>
      </w:r>
      <w:r w:rsidR="00290417" w:rsidRPr="003C1B12">
        <w:rPr>
          <w:rFonts w:ascii="Times New Roman" w:hAnsi="Times New Roman" w:cs="Times New Roman"/>
          <w:sz w:val="24"/>
          <w:szCs w:val="24"/>
        </w:rPr>
        <w:t xml:space="preserve">pētniecības </w:t>
      </w:r>
      <w:r w:rsidR="003E49FD" w:rsidRPr="003C1B12">
        <w:rPr>
          <w:rFonts w:ascii="Times New Roman" w:hAnsi="Times New Roman" w:cs="Times New Roman"/>
          <w:sz w:val="24"/>
          <w:szCs w:val="24"/>
        </w:rPr>
        <w:t xml:space="preserve">projektus, kuri bija uzsākti uz apturēšanas brīdi (šādu projektu skaits bija neliels). 2012.gada oktobrī tika apstiprināti Ministru kabineta 2010.gada 13.aprīļa noteikumu Nr.361 </w:t>
      </w:r>
      <w:hyperlink r:id="rId12" w:tgtFrame="_blank" w:history="1">
        <w:r w:rsidR="00D85D74" w:rsidRPr="003C1B12">
          <w:rPr>
            <w:rFonts w:ascii="Times New Roman" w:hAnsi="Times New Roman" w:cs="Times New Roman"/>
            <w:sz w:val="24"/>
            <w:szCs w:val="24"/>
          </w:rPr>
          <w:t>„</w:t>
        </w:r>
        <w:r w:rsidR="003E49FD" w:rsidRPr="003C1B12">
          <w:rPr>
            <w:rFonts w:ascii="Times New Roman" w:hAnsi="Times New Roman" w:cs="Times New Roman"/>
            <w:sz w:val="24"/>
            <w:szCs w:val="24"/>
          </w:rPr>
          <w:t>Not</w:t>
        </w:r>
        <w:r w:rsidR="00D85D74" w:rsidRPr="003C1B12">
          <w:rPr>
            <w:rFonts w:ascii="Times New Roman" w:hAnsi="Times New Roman" w:cs="Times New Roman"/>
            <w:sz w:val="24"/>
            <w:szCs w:val="24"/>
          </w:rPr>
          <w:t>eikumi par darbības programmas „</w:t>
        </w:r>
        <w:r w:rsidR="003E49FD" w:rsidRPr="003C1B12">
          <w:rPr>
            <w:rFonts w:ascii="Times New Roman" w:hAnsi="Times New Roman" w:cs="Times New Roman"/>
            <w:sz w:val="24"/>
            <w:szCs w:val="24"/>
          </w:rPr>
          <w:t>Uzņēmējdarbība un inovācijas</w:t>
        </w:r>
        <w:r w:rsidR="00D85D74" w:rsidRPr="003C1B12">
          <w:rPr>
            <w:rFonts w:ascii="Times New Roman" w:hAnsi="Times New Roman" w:cs="Times New Roman"/>
            <w:sz w:val="24"/>
            <w:szCs w:val="24"/>
          </w:rPr>
          <w:t>”</w:t>
        </w:r>
        <w:r w:rsidR="003E49FD" w:rsidRPr="003C1B12">
          <w:rPr>
            <w:rFonts w:ascii="Times New Roman" w:hAnsi="Times New Roman" w:cs="Times New Roman"/>
            <w:sz w:val="24"/>
            <w:szCs w:val="24"/>
          </w:rPr>
          <w:t xml:space="preserve"> papildinā</w:t>
        </w:r>
        <w:r w:rsidR="00D85D74" w:rsidRPr="003C1B12">
          <w:rPr>
            <w:rFonts w:ascii="Times New Roman" w:hAnsi="Times New Roman" w:cs="Times New Roman"/>
            <w:sz w:val="24"/>
            <w:szCs w:val="24"/>
          </w:rPr>
          <w:t>juma 2.1.2.1.1.apakšaktivitāti „Kompetences centri””</w:t>
        </w:r>
      </w:hyperlink>
      <w:r w:rsidR="003E49FD" w:rsidRPr="003C1B12">
        <w:rPr>
          <w:rFonts w:ascii="Times New Roman" w:hAnsi="Times New Roman" w:cs="Times New Roman"/>
          <w:sz w:val="24"/>
          <w:szCs w:val="24"/>
        </w:rPr>
        <w:t xml:space="preserve"> grozījumi, kas noteica, ka līdz gada beigām </w:t>
      </w:r>
      <w:r w:rsidR="0029150F" w:rsidRPr="003C1B12">
        <w:rPr>
          <w:rFonts w:ascii="Times New Roman" w:hAnsi="Times New Roman" w:cs="Times New Roman"/>
          <w:sz w:val="24"/>
          <w:szCs w:val="24"/>
        </w:rPr>
        <w:t xml:space="preserve">jāaktualizē un jāpapildina </w:t>
      </w:r>
      <w:r w:rsidR="003E49FD" w:rsidRPr="003C1B12">
        <w:rPr>
          <w:rFonts w:ascii="Times New Roman" w:hAnsi="Times New Roman" w:cs="Times New Roman"/>
          <w:sz w:val="24"/>
          <w:szCs w:val="24"/>
        </w:rPr>
        <w:t xml:space="preserve">visi pētījumu projekti, un pēc tam drīkst uzsākt to īstenošanu. Līdz ar to </w:t>
      </w:r>
      <w:r w:rsidRPr="003C1B12">
        <w:rPr>
          <w:rFonts w:ascii="Times New Roman" w:hAnsi="Times New Roman" w:cs="Times New Roman"/>
          <w:sz w:val="24"/>
          <w:szCs w:val="24"/>
        </w:rPr>
        <w:t>KC</w:t>
      </w:r>
      <w:r w:rsidR="003E49FD" w:rsidRPr="003C1B12">
        <w:rPr>
          <w:rFonts w:ascii="Times New Roman" w:hAnsi="Times New Roman" w:cs="Times New Roman"/>
          <w:sz w:val="24"/>
          <w:szCs w:val="24"/>
        </w:rPr>
        <w:t xml:space="preserve"> savu darbību pilnvērtīgi uzsāka tikai 2013.gadā. </w:t>
      </w:r>
      <w:r w:rsidRPr="003C1B12">
        <w:rPr>
          <w:rFonts w:ascii="Times New Roman" w:hAnsi="Times New Roman" w:cs="Times New Roman"/>
          <w:sz w:val="24"/>
          <w:szCs w:val="24"/>
        </w:rPr>
        <w:t>KC</w:t>
      </w:r>
      <w:r w:rsidR="003E49FD" w:rsidRPr="003C1B12">
        <w:rPr>
          <w:rFonts w:ascii="Times New Roman" w:hAnsi="Times New Roman" w:cs="Times New Roman"/>
          <w:sz w:val="24"/>
          <w:szCs w:val="24"/>
        </w:rPr>
        <w:t xml:space="preserve"> projekti tiks īstenoti līdz 2015.gada 31.decembrim.</w:t>
      </w:r>
    </w:p>
    <w:p w:rsidR="003E49FD" w:rsidRPr="003C1B12" w:rsidRDefault="003E49FD" w:rsidP="003E49FD">
      <w:pPr>
        <w:spacing w:after="0" w:line="240" w:lineRule="auto"/>
        <w:ind w:firstLine="709"/>
        <w:jc w:val="both"/>
        <w:rPr>
          <w:rFonts w:ascii="Times New Roman" w:hAnsi="Times New Roman" w:cs="Times New Roman"/>
          <w:sz w:val="24"/>
        </w:rPr>
      </w:pPr>
    </w:p>
    <w:p w:rsidR="003E49FD" w:rsidRPr="003C1B12" w:rsidRDefault="003E49FD" w:rsidP="003E49FD">
      <w:pPr>
        <w:pStyle w:val="Heading2"/>
        <w:spacing w:before="0" w:after="120"/>
        <w:rPr>
          <w:rFonts w:ascii="Times New Roman" w:hAnsi="Times New Roman" w:cs="Times New Roman"/>
          <w:color w:val="31849B" w:themeColor="accent5" w:themeShade="BF"/>
        </w:rPr>
      </w:pPr>
      <w:bookmarkStart w:id="18" w:name="_Toc427646468"/>
      <w:bookmarkStart w:id="19" w:name="_Toc427646554"/>
      <w:r w:rsidRPr="003C1B12">
        <w:rPr>
          <w:rFonts w:ascii="Times New Roman" w:hAnsi="Times New Roman" w:cs="Times New Roman"/>
          <w:color w:val="31849B" w:themeColor="accent5" w:themeShade="BF"/>
        </w:rPr>
        <w:t>2.</w:t>
      </w:r>
      <w:r w:rsidR="00285DBF" w:rsidRPr="003C1B12">
        <w:rPr>
          <w:rFonts w:ascii="Times New Roman" w:hAnsi="Times New Roman" w:cs="Times New Roman"/>
          <w:color w:val="31849B" w:themeColor="accent5" w:themeShade="BF"/>
        </w:rPr>
        <w:t>1</w:t>
      </w:r>
      <w:r w:rsidRPr="003C1B12">
        <w:rPr>
          <w:rFonts w:ascii="Times New Roman" w:hAnsi="Times New Roman" w:cs="Times New Roman"/>
          <w:color w:val="31849B" w:themeColor="accent5" w:themeShade="BF"/>
        </w:rPr>
        <w:t xml:space="preserve">. </w:t>
      </w:r>
      <w:r w:rsidR="000968EB" w:rsidRPr="003C1B12">
        <w:rPr>
          <w:rFonts w:ascii="Times New Roman" w:hAnsi="Times New Roman" w:cs="Times New Roman"/>
          <w:color w:val="31849B" w:themeColor="accent5" w:themeShade="BF"/>
        </w:rPr>
        <w:t>KC</w:t>
      </w:r>
      <w:r w:rsidRPr="003C1B12">
        <w:rPr>
          <w:rFonts w:ascii="Times New Roman" w:hAnsi="Times New Roman" w:cs="Times New Roman"/>
          <w:color w:val="31849B" w:themeColor="accent5" w:themeShade="BF"/>
        </w:rPr>
        <w:t xml:space="preserve"> programmas rezultāt</w:t>
      </w:r>
      <w:r w:rsidR="000643AC" w:rsidRPr="003C1B12">
        <w:rPr>
          <w:rFonts w:ascii="Times New Roman" w:hAnsi="Times New Roman" w:cs="Times New Roman"/>
          <w:color w:val="31849B" w:themeColor="accent5" w:themeShade="BF"/>
        </w:rPr>
        <w:t>u</w:t>
      </w:r>
      <w:r w:rsidRPr="003C1B12">
        <w:rPr>
          <w:rFonts w:ascii="Times New Roman" w:hAnsi="Times New Roman" w:cs="Times New Roman"/>
          <w:color w:val="31849B" w:themeColor="accent5" w:themeShade="BF"/>
        </w:rPr>
        <w:t xml:space="preserve"> izvērtējums</w:t>
      </w:r>
      <w:bookmarkEnd w:id="18"/>
      <w:bookmarkEnd w:id="19"/>
      <w:r w:rsidRPr="003C1B12">
        <w:rPr>
          <w:rFonts w:ascii="Times New Roman" w:hAnsi="Times New Roman" w:cs="Times New Roman"/>
          <w:color w:val="31849B" w:themeColor="accent5" w:themeShade="BF"/>
        </w:rPr>
        <w:t xml:space="preserve"> </w:t>
      </w:r>
    </w:p>
    <w:p w:rsidR="003E49FD" w:rsidRPr="003C1B12" w:rsidRDefault="003E49FD" w:rsidP="003E49FD">
      <w:pPr>
        <w:spacing w:after="0" w:line="240" w:lineRule="auto"/>
        <w:ind w:firstLine="720"/>
        <w:jc w:val="both"/>
        <w:rPr>
          <w:rFonts w:ascii="Times New Roman" w:hAnsi="Times New Roman" w:cs="Times New Roman"/>
          <w:sz w:val="24"/>
          <w:szCs w:val="24"/>
        </w:rPr>
      </w:pPr>
      <w:r w:rsidRPr="003C1B12">
        <w:rPr>
          <w:rFonts w:ascii="Times New Roman" w:hAnsi="Times New Roman" w:cs="Times New Roman"/>
          <w:sz w:val="24"/>
          <w:szCs w:val="24"/>
        </w:rPr>
        <w:t>Kompete</w:t>
      </w:r>
      <w:r w:rsidR="00D85D74" w:rsidRPr="003C1B12">
        <w:rPr>
          <w:rFonts w:ascii="Times New Roman" w:hAnsi="Times New Roman" w:cs="Times New Roman"/>
          <w:sz w:val="24"/>
          <w:szCs w:val="24"/>
        </w:rPr>
        <w:t>nces centru programmas ietvaros</w:t>
      </w:r>
      <w:r w:rsidRPr="003C1B12">
        <w:rPr>
          <w:rFonts w:ascii="Times New Roman" w:hAnsi="Times New Roman" w:cs="Times New Roman"/>
          <w:sz w:val="24"/>
          <w:szCs w:val="24"/>
        </w:rPr>
        <w:t xml:space="preserve"> apstiprināti un tiek īstenoti seši kompetences centru projekti:</w:t>
      </w:r>
    </w:p>
    <w:p w:rsidR="003E49FD" w:rsidRPr="003C1B12" w:rsidRDefault="003E49FD" w:rsidP="009D209C">
      <w:pPr>
        <w:pStyle w:val="ListParagraph"/>
        <w:numPr>
          <w:ilvl w:val="0"/>
          <w:numId w:val="8"/>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Informācijas un komunikāciju tehnoloģiju kompetences centrs (ITKC);</w:t>
      </w:r>
    </w:p>
    <w:p w:rsidR="003E49FD" w:rsidRPr="003C1B12" w:rsidRDefault="003E49FD" w:rsidP="009D209C">
      <w:pPr>
        <w:pStyle w:val="ListParagraph"/>
        <w:numPr>
          <w:ilvl w:val="0"/>
          <w:numId w:val="8"/>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Meža nozares kompetences centrs (MNKC);</w:t>
      </w:r>
    </w:p>
    <w:p w:rsidR="003E49FD" w:rsidRPr="003C1B12" w:rsidRDefault="003E49FD" w:rsidP="009D209C">
      <w:pPr>
        <w:pStyle w:val="ListParagraph"/>
        <w:numPr>
          <w:ilvl w:val="0"/>
          <w:numId w:val="8"/>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Pharma and Chemestry Competence Centre of Latvia (PCCCL);</w:t>
      </w:r>
    </w:p>
    <w:p w:rsidR="003E49FD" w:rsidRPr="003C1B12" w:rsidRDefault="003E49FD" w:rsidP="009D209C">
      <w:pPr>
        <w:pStyle w:val="ListParagraph"/>
        <w:numPr>
          <w:ilvl w:val="0"/>
          <w:numId w:val="8"/>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 xml:space="preserve">Latvijas elektrisko un optisko iekārtu ražošanas nozares </w:t>
      </w:r>
      <w:r w:rsidR="005E216A" w:rsidRPr="003C1B12">
        <w:rPr>
          <w:rFonts w:ascii="Times New Roman" w:hAnsi="Times New Roman" w:cs="Times New Roman"/>
          <w:sz w:val="24"/>
          <w:szCs w:val="24"/>
        </w:rPr>
        <w:t xml:space="preserve">kompetences centrs </w:t>
      </w:r>
      <w:r w:rsidRPr="003C1B12">
        <w:rPr>
          <w:rFonts w:ascii="Times New Roman" w:hAnsi="Times New Roman" w:cs="Times New Roman"/>
          <w:sz w:val="24"/>
          <w:szCs w:val="24"/>
        </w:rPr>
        <w:t>(LEO KC);</w:t>
      </w:r>
    </w:p>
    <w:p w:rsidR="003E49FD" w:rsidRPr="003C1B12" w:rsidRDefault="003E49FD" w:rsidP="009D209C">
      <w:pPr>
        <w:pStyle w:val="ListParagraph"/>
        <w:numPr>
          <w:ilvl w:val="0"/>
          <w:numId w:val="8"/>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Vides, bioenerģētikas un biotehnoloģijas kompetences centrs (VBBKC);</w:t>
      </w:r>
    </w:p>
    <w:p w:rsidR="003E49FD" w:rsidRPr="003C1B12" w:rsidRDefault="003E49FD" w:rsidP="009D209C">
      <w:pPr>
        <w:pStyle w:val="ListParagraph"/>
        <w:numPr>
          <w:ilvl w:val="0"/>
          <w:numId w:val="8"/>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Transporta mašīnbūves kompetences centrs (TMKC).</w:t>
      </w:r>
    </w:p>
    <w:p w:rsidR="003E49FD" w:rsidRPr="003C1B12" w:rsidRDefault="003E49FD" w:rsidP="003E49FD">
      <w:pPr>
        <w:spacing w:after="0" w:line="240" w:lineRule="auto"/>
        <w:ind w:firstLine="720"/>
        <w:jc w:val="both"/>
        <w:rPr>
          <w:rFonts w:ascii="Times New Roman" w:hAnsi="Times New Roman" w:cs="Times New Roman"/>
          <w:sz w:val="24"/>
          <w:szCs w:val="24"/>
        </w:rPr>
      </w:pPr>
      <w:r w:rsidRPr="003C1B12">
        <w:rPr>
          <w:rFonts w:ascii="Times New Roman" w:hAnsi="Times New Roman" w:cs="Times New Roman"/>
          <w:sz w:val="24"/>
          <w:szCs w:val="24"/>
        </w:rPr>
        <w:t xml:space="preserve">Kopējais atbalsta finansējums </w:t>
      </w:r>
      <w:r w:rsidR="00FB5D68" w:rsidRPr="003C1B12">
        <w:rPr>
          <w:rFonts w:ascii="Times New Roman" w:hAnsi="Times New Roman" w:cs="Times New Roman"/>
          <w:sz w:val="24"/>
          <w:szCs w:val="24"/>
        </w:rPr>
        <w:t xml:space="preserve">programmas ietvaros ir </w:t>
      </w:r>
      <w:r w:rsidRPr="003C1B12">
        <w:rPr>
          <w:rFonts w:ascii="Times New Roman" w:hAnsi="Times New Roman" w:cs="Times New Roman"/>
          <w:sz w:val="24"/>
          <w:szCs w:val="24"/>
        </w:rPr>
        <w:t xml:space="preserve">53,2 milj. </w:t>
      </w:r>
      <w:r w:rsidRPr="003C1B12">
        <w:rPr>
          <w:rFonts w:ascii="Times New Roman" w:hAnsi="Times New Roman" w:cs="Times New Roman"/>
          <w:i/>
          <w:sz w:val="24"/>
          <w:szCs w:val="24"/>
        </w:rPr>
        <w:t>euro</w:t>
      </w:r>
      <w:r w:rsidRPr="003C1B12">
        <w:rPr>
          <w:rFonts w:ascii="Times New Roman" w:hAnsi="Times New Roman" w:cs="Times New Roman"/>
          <w:sz w:val="24"/>
          <w:szCs w:val="24"/>
        </w:rPr>
        <w:t>, no kuriem līdz 2014.gada beigām LIAA bija iesniegti maksājumi par 56% no pieejamā finansējuma.</w:t>
      </w:r>
    </w:p>
    <w:p w:rsidR="003E49FD" w:rsidRPr="003C1B12" w:rsidRDefault="003E49FD" w:rsidP="003E49FD">
      <w:pPr>
        <w:spacing w:after="0" w:line="240" w:lineRule="auto"/>
        <w:jc w:val="both"/>
        <w:rPr>
          <w:rFonts w:ascii="Times New Roman" w:hAnsi="Times New Roman" w:cs="Times New Roman"/>
          <w:sz w:val="24"/>
          <w:szCs w:val="24"/>
        </w:rPr>
      </w:pPr>
    </w:p>
    <w:p w:rsidR="009C3DC3" w:rsidRPr="003C1B12" w:rsidRDefault="009C3DC3" w:rsidP="009C3DC3">
      <w:pPr>
        <w:spacing w:after="0" w:line="240" w:lineRule="auto"/>
        <w:jc w:val="right"/>
        <w:rPr>
          <w:rFonts w:ascii="Times New Roman" w:hAnsi="Times New Roman" w:cs="Times New Roman"/>
          <w:sz w:val="24"/>
          <w:szCs w:val="24"/>
        </w:rPr>
      </w:pPr>
      <w:r w:rsidRPr="003C1B12">
        <w:rPr>
          <w:rFonts w:ascii="Times New Roman" w:hAnsi="Times New Roman" w:cs="Times New Roman"/>
          <w:sz w:val="24"/>
          <w:szCs w:val="24"/>
        </w:rPr>
        <w:t>Tabula Nr.</w:t>
      </w:r>
      <w:r w:rsidRPr="003C1B12">
        <w:rPr>
          <w:rFonts w:ascii="Times New Roman" w:hAnsi="Times New Roman" w:cs="Times New Roman"/>
          <w:sz w:val="24"/>
          <w:szCs w:val="24"/>
        </w:rPr>
        <w:fldChar w:fldCharType="begin"/>
      </w:r>
      <w:r w:rsidRPr="003C1B12">
        <w:rPr>
          <w:rFonts w:ascii="Times New Roman" w:hAnsi="Times New Roman" w:cs="Times New Roman"/>
          <w:sz w:val="24"/>
          <w:szCs w:val="24"/>
        </w:rPr>
        <w:instrText xml:space="preserve"> SEQ Tabula_Nr. \* ARABIC </w:instrText>
      </w:r>
      <w:r w:rsidRPr="003C1B12">
        <w:rPr>
          <w:rFonts w:ascii="Times New Roman" w:hAnsi="Times New Roman" w:cs="Times New Roman"/>
          <w:sz w:val="24"/>
          <w:szCs w:val="24"/>
        </w:rPr>
        <w:fldChar w:fldCharType="separate"/>
      </w:r>
      <w:r w:rsidR="00A379AF" w:rsidRPr="003C1B12">
        <w:rPr>
          <w:rFonts w:ascii="Times New Roman" w:hAnsi="Times New Roman" w:cs="Times New Roman"/>
          <w:noProof/>
          <w:sz w:val="24"/>
          <w:szCs w:val="24"/>
        </w:rPr>
        <w:t>2</w:t>
      </w:r>
      <w:r w:rsidRPr="003C1B12">
        <w:rPr>
          <w:rFonts w:ascii="Times New Roman" w:hAnsi="Times New Roman" w:cs="Times New Roman"/>
          <w:sz w:val="24"/>
          <w:szCs w:val="24"/>
        </w:rPr>
        <w:fldChar w:fldCharType="end"/>
      </w:r>
    </w:p>
    <w:p w:rsidR="009C3DC3" w:rsidRPr="003C1B12" w:rsidRDefault="000968EB" w:rsidP="009C3DC3">
      <w:pPr>
        <w:spacing w:after="120" w:line="240" w:lineRule="auto"/>
        <w:jc w:val="center"/>
        <w:rPr>
          <w:rFonts w:ascii="Times New Roman" w:hAnsi="Times New Roman" w:cs="Times New Roman"/>
          <w:sz w:val="24"/>
          <w:szCs w:val="24"/>
        </w:rPr>
      </w:pPr>
      <w:r w:rsidRPr="003C1B12">
        <w:rPr>
          <w:rFonts w:ascii="Times New Roman" w:hAnsi="Times New Roman" w:cs="Times New Roman"/>
          <w:sz w:val="24"/>
          <w:szCs w:val="24"/>
        </w:rPr>
        <w:t>KC</w:t>
      </w:r>
      <w:r w:rsidR="009C3DC3" w:rsidRPr="003C1B12">
        <w:rPr>
          <w:rFonts w:ascii="Times New Roman" w:hAnsi="Times New Roman" w:cs="Times New Roman"/>
          <w:sz w:val="24"/>
          <w:szCs w:val="24"/>
        </w:rPr>
        <w:t xml:space="preserve"> programmas finansējuma izlietojums</w:t>
      </w:r>
    </w:p>
    <w:tbl>
      <w:tblPr>
        <w:tblStyle w:val="TableGrid"/>
        <w:tblW w:w="0" w:type="auto"/>
        <w:jc w:val="center"/>
        <w:tblLook w:val="04A0" w:firstRow="1" w:lastRow="0" w:firstColumn="1" w:lastColumn="0" w:noHBand="0" w:noVBand="1"/>
      </w:tblPr>
      <w:tblGrid>
        <w:gridCol w:w="2031"/>
        <w:gridCol w:w="2057"/>
        <w:gridCol w:w="2095"/>
        <w:gridCol w:w="2024"/>
      </w:tblGrid>
      <w:tr w:rsidR="003E49FD" w:rsidRPr="003C1B12" w:rsidTr="003E49FD">
        <w:trPr>
          <w:jc w:val="center"/>
        </w:trPr>
        <w:tc>
          <w:tcPr>
            <w:tcW w:w="2031" w:type="dxa"/>
          </w:tcPr>
          <w:p w:rsidR="003E49FD" w:rsidRPr="003C1B12" w:rsidRDefault="003E49FD" w:rsidP="003E49FD">
            <w:pPr>
              <w:pStyle w:val="ListParagraph"/>
              <w:ind w:left="0"/>
              <w:jc w:val="center"/>
              <w:rPr>
                <w:rFonts w:ascii="Times New Roman" w:hAnsi="Times New Roman" w:cs="Times New Roman"/>
                <w:b/>
                <w:sz w:val="20"/>
                <w:szCs w:val="20"/>
              </w:rPr>
            </w:pPr>
            <w:r w:rsidRPr="003C1B12">
              <w:rPr>
                <w:rFonts w:ascii="Times New Roman" w:hAnsi="Times New Roman" w:cs="Times New Roman"/>
                <w:b/>
                <w:sz w:val="20"/>
                <w:szCs w:val="20"/>
              </w:rPr>
              <w:t>KC nosaukums</w:t>
            </w:r>
          </w:p>
        </w:tc>
        <w:tc>
          <w:tcPr>
            <w:tcW w:w="2057" w:type="dxa"/>
          </w:tcPr>
          <w:p w:rsidR="003E49FD" w:rsidRPr="003C1B12" w:rsidRDefault="003E49FD" w:rsidP="003E49FD">
            <w:pPr>
              <w:jc w:val="center"/>
              <w:rPr>
                <w:rFonts w:ascii="Times New Roman" w:hAnsi="Times New Roman" w:cs="Times New Roman"/>
                <w:b/>
                <w:sz w:val="20"/>
                <w:szCs w:val="20"/>
              </w:rPr>
            </w:pPr>
            <w:r w:rsidRPr="003C1B12">
              <w:rPr>
                <w:rFonts w:ascii="Times New Roman" w:hAnsi="Times New Roman" w:cs="Times New Roman"/>
                <w:b/>
                <w:sz w:val="20"/>
                <w:szCs w:val="20"/>
              </w:rPr>
              <w:t>Piešķirtais ERAF finansējums</w:t>
            </w:r>
            <w:r w:rsidR="00D735A6" w:rsidRPr="003C1B12">
              <w:rPr>
                <w:rFonts w:ascii="Times New Roman" w:hAnsi="Times New Roman" w:cs="Times New Roman"/>
                <w:b/>
                <w:sz w:val="20"/>
                <w:szCs w:val="20"/>
              </w:rPr>
              <w:t>,</w:t>
            </w:r>
          </w:p>
          <w:p w:rsidR="003E49FD" w:rsidRPr="003C1B12" w:rsidRDefault="003E49FD" w:rsidP="003E49FD">
            <w:pPr>
              <w:pStyle w:val="ListParagraph"/>
              <w:ind w:left="0"/>
              <w:jc w:val="center"/>
              <w:rPr>
                <w:rFonts w:ascii="Times New Roman" w:hAnsi="Times New Roman" w:cs="Times New Roman"/>
                <w:b/>
                <w:i/>
                <w:sz w:val="20"/>
                <w:szCs w:val="20"/>
              </w:rPr>
            </w:pPr>
            <w:r w:rsidRPr="003C1B12">
              <w:rPr>
                <w:rFonts w:ascii="Times New Roman" w:hAnsi="Times New Roman" w:cs="Times New Roman"/>
                <w:b/>
                <w:i/>
                <w:sz w:val="20"/>
                <w:szCs w:val="20"/>
              </w:rPr>
              <w:t>euro</w:t>
            </w:r>
          </w:p>
        </w:tc>
        <w:tc>
          <w:tcPr>
            <w:tcW w:w="2095" w:type="dxa"/>
          </w:tcPr>
          <w:p w:rsidR="003E49FD" w:rsidRPr="003C1B12" w:rsidRDefault="003E49FD" w:rsidP="003E49FD">
            <w:pPr>
              <w:pStyle w:val="ListParagraph"/>
              <w:ind w:left="0"/>
              <w:jc w:val="center"/>
              <w:rPr>
                <w:rFonts w:ascii="Times New Roman" w:hAnsi="Times New Roman" w:cs="Times New Roman"/>
                <w:b/>
                <w:sz w:val="20"/>
                <w:szCs w:val="20"/>
              </w:rPr>
            </w:pPr>
            <w:r w:rsidRPr="003C1B12">
              <w:rPr>
                <w:rFonts w:ascii="Times New Roman" w:hAnsi="Times New Roman" w:cs="Times New Roman"/>
                <w:b/>
                <w:sz w:val="20"/>
                <w:szCs w:val="20"/>
              </w:rPr>
              <w:t>Iesniegti maksājumu pieprasījumi 31.12.2014., EUR</w:t>
            </w:r>
          </w:p>
        </w:tc>
        <w:tc>
          <w:tcPr>
            <w:tcW w:w="2024" w:type="dxa"/>
          </w:tcPr>
          <w:p w:rsidR="003E49FD" w:rsidRPr="003C1B12" w:rsidRDefault="003E49FD" w:rsidP="003E49FD">
            <w:pPr>
              <w:pStyle w:val="ListParagraph"/>
              <w:ind w:left="0"/>
              <w:jc w:val="center"/>
              <w:rPr>
                <w:rFonts w:ascii="Times New Roman" w:hAnsi="Times New Roman" w:cs="Times New Roman"/>
                <w:b/>
                <w:sz w:val="20"/>
                <w:szCs w:val="20"/>
              </w:rPr>
            </w:pPr>
            <w:r w:rsidRPr="003C1B12">
              <w:rPr>
                <w:rFonts w:ascii="Times New Roman" w:hAnsi="Times New Roman" w:cs="Times New Roman"/>
                <w:b/>
                <w:sz w:val="20"/>
                <w:szCs w:val="20"/>
              </w:rPr>
              <w:t>Iesniegtie maksājumu % no piešķirtā finansējuma</w:t>
            </w:r>
          </w:p>
        </w:tc>
      </w:tr>
      <w:tr w:rsidR="003E49FD" w:rsidRPr="003C1B12" w:rsidTr="003E49FD">
        <w:trPr>
          <w:jc w:val="center"/>
        </w:trPr>
        <w:tc>
          <w:tcPr>
            <w:tcW w:w="2031" w:type="dxa"/>
          </w:tcPr>
          <w:p w:rsidR="003E49FD" w:rsidRPr="003C1B12" w:rsidRDefault="003E49FD" w:rsidP="003E49FD">
            <w:pPr>
              <w:pStyle w:val="ListParagraph"/>
              <w:ind w:left="0"/>
              <w:rPr>
                <w:rFonts w:ascii="Times New Roman" w:hAnsi="Times New Roman" w:cs="Times New Roman"/>
                <w:sz w:val="20"/>
                <w:szCs w:val="20"/>
              </w:rPr>
            </w:pPr>
            <w:r w:rsidRPr="003C1B12">
              <w:rPr>
                <w:rFonts w:ascii="Times New Roman" w:hAnsi="Times New Roman" w:cs="Times New Roman"/>
                <w:color w:val="000000" w:themeColor="text1"/>
                <w:sz w:val="20"/>
                <w:szCs w:val="20"/>
              </w:rPr>
              <w:t>ITKC</w:t>
            </w:r>
          </w:p>
        </w:tc>
        <w:tc>
          <w:tcPr>
            <w:tcW w:w="2057" w:type="dxa"/>
          </w:tcPr>
          <w:p w:rsidR="003E49FD" w:rsidRPr="003C1B12" w:rsidRDefault="003E49FD" w:rsidP="003E49FD">
            <w:pPr>
              <w:pStyle w:val="ListParagraph"/>
              <w:ind w:left="0"/>
              <w:jc w:val="right"/>
              <w:rPr>
                <w:rFonts w:ascii="Times New Roman" w:hAnsi="Times New Roman" w:cs="Times New Roman"/>
                <w:sz w:val="20"/>
                <w:szCs w:val="20"/>
              </w:rPr>
            </w:pPr>
            <w:r w:rsidRPr="003C1B12">
              <w:rPr>
                <w:rFonts w:ascii="Times New Roman" w:hAnsi="Times New Roman" w:cs="Times New Roman"/>
                <w:bCs/>
                <w:sz w:val="20"/>
                <w:szCs w:val="20"/>
              </w:rPr>
              <w:t>9 214 684</w:t>
            </w:r>
          </w:p>
        </w:tc>
        <w:tc>
          <w:tcPr>
            <w:tcW w:w="2095" w:type="dxa"/>
          </w:tcPr>
          <w:p w:rsidR="003E49FD" w:rsidRPr="003C1B12" w:rsidRDefault="003E49FD" w:rsidP="003E49FD">
            <w:pPr>
              <w:pStyle w:val="ListParagraph"/>
              <w:ind w:left="0"/>
              <w:jc w:val="right"/>
              <w:rPr>
                <w:rFonts w:ascii="Times New Roman" w:hAnsi="Times New Roman" w:cs="Times New Roman"/>
                <w:sz w:val="20"/>
                <w:szCs w:val="20"/>
              </w:rPr>
            </w:pPr>
            <w:r w:rsidRPr="003C1B12">
              <w:rPr>
                <w:rFonts w:ascii="Times New Roman" w:eastAsia="Times New Roman" w:hAnsi="Times New Roman" w:cs="Times New Roman"/>
                <w:color w:val="000000"/>
                <w:sz w:val="20"/>
                <w:szCs w:val="20"/>
                <w:lang w:eastAsia="lv-LV"/>
              </w:rPr>
              <w:t>6 343 465</w:t>
            </w:r>
          </w:p>
        </w:tc>
        <w:tc>
          <w:tcPr>
            <w:tcW w:w="2024" w:type="dxa"/>
          </w:tcPr>
          <w:p w:rsidR="003E49FD" w:rsidRPr="003C1B12" w:rsidRDefault="003E49FD" w:rsidP="003E49FD">
            <w:pPr>
              <w:pStyle w:val="ListParagraph"/>
              <w:ind w:left="0"/>
              <w:jc w:val="center"/>
              <w:rPr>
                <w:rFonts w:ascii="Times New Roman" w:hAnsi="Times New Roman" w:cs="Times New Roman"/>
                <w:sz w:val="20"/>
                <w:szCs w:val="20"/>
              </w:rPr>
            </w:pPr>
            <w:r w:rsidRPr="003C1B12">
              <w:rPr>
                <w:rFonts w:ascii="Times New Roman" w:eastAsia="Times New Roman" w:hAnsi="Times New Roman" w:cs="Times New Roman"/>
                <w:color w:val="000000"/>
                <w:sz w:val="20"/>
                <w:szCs w:val="20"/>
                <w:lang w:eastAsia="lv-LV"/>
              </w:rPr>
              <w:t>69%</w:t>
            </w:r>
          </w:p>
        </w:tc>
      </w:tr>
      <w:tr w:rsidR="003E49FD" w:rsidRPr="003C1B12" w:rsidTr="003E49FD">
        <w:trPr>
          <w:jc w:val="center"/>
        </w:trPr>
        <w:tc>
          <w:tcPr>
            <w:tcW w:w="2031" w:type="dxa"/>
          </w:tcPr>
          <w:p w:rsidR="003E49FD" w:rsidRPr="003C1B12" w:rsidRDefault="003E49FD" w:rsidP="003E49FD">
            <w:pPr>
              <w:pStyle w:val="ListParagraph"/>
              <w:ind w:left="0"/>
              <w:rPr>
                <w:rFonts w:ascii="Times New Roman" w:hAnsi="Times New Roman" w:cs="Times New Roman"/>
                <w:sz w:val="20"/>
                <w:szCs w:val="20"/>
              </w:rPr>
            </w:pPr>
            <w:r w:rsidRPr="003C1B12">
              <w:rPr>
                <w:rFonts w:ascii="Times New Roman" w:hAnsi="Times New Roman" w:cs="Times New Roman"/>
                <w:color w:val="000000" w:themeColor="text1"/>
                <w:sz w:val="20"/>
                <w:szCs w:val="20"/>
              </w:rPr>
              <w:t>MNKC</w:t>
            </w:r>
          </w:p>
        </w:tc>
        <w:tc>
          <w:tcPr>
            <w:tcW w:w="2057" w:type="dxa"/>
          </w:tcPr>
          <w:p w:rsidR="003E49FD" w:rsidRPr="003C1B12" w:rsidRDefault="003E49FD" w:rsidP="003E49FD">
            <w:pPr>
              <w:pStyle w:val="ListParagraph"/>
              <w:ind w:left="0"/>
              <w:jc w:val="right"/>
              <w:rPr>
                <w:rFonts w:ascii="Times New Roman" w:hAnsi="Times New Roman" w:cs="Times New Roman"/>
                <w:sz w:val="20"/>
                <w:szCs w:val="20"/>
              </w:rPr>
            </w:pPr>
            <w:r w:rsidRPr="003C1B12">
              <w:rPr>
                <w:rFonts w:ascii="Times New Roman" w:hAnsi="Times New Roman" w:cs="Times New Roman"/>
                <w:bCs/>
                <w:sz w:val="20"/>
                <w:szCs w:val="20"/>
              </w:rPr>
              <w:t>8 892 848</w:t>
            </w:r>
          </w:p>
        </w:tc>
        <w:tc>
          <w:tcPr>
            <w:tcW w:w="2095" w:type="dxa"/>
          </w:tcPr>
          <w:p w:rsidR="003E49FD" w:rsidRPr="003C1B12" w:rsidRDefault="003E49FD" w:rsidP="003E49FD">
            <w:pPr>
              <w:pStyle w:val="ListParagraph"/>
              <w:ind w:left="0"/>
              <w:jc w:val="right"/>
              <w:rPr>
                <w:rFonts w:ascii="Times New Roman" w:hAnsi="Times New Roman" w:cs="Times New Roman"/>
                <w:sz w:val="20"/>
                <w:szCs w:val="20"/>
              </w:rPr>
            </w:pPr>
            <w:r w:rsidRPr="003C1B12">
              <w:rPr>
                <w:rFonts w:ascii="Times New Roman" w:eastAsia="Times New Roman" w:hAnsi="Times New Roman" w:cs="Times New Roman"/>
                <w:color w:val="000000"/>
                <w:sz w:val="20"/>
                <w:szCs w:val="20"/>
                <w:lang w:eastAsia="lv-LV"/>
              </w:rPr>
              <w:t>5 513 449</w:t>
            </w:r>
          </w:p>
        </w:tc>
        <w:tc>
          <w:tcPr>
            <w:tcW w:w="2024" w:type="dxa"/>
          </w:tcPr>
          <w:p w:rsidR="003E49FD" w:rsidRPr="003C1B12" w:rsidRDefault="003E49FD" w:rsidP="003E49FD">
            <w:pPr>
              <w:pStyle w:val="ListParagraph"/>
              <w:ind w:left="0"/>
              <w:jc w:val="center"/>
              <w:rPr>
                <w:rFonts w:ascii="Times New Roman" w:hAnsi="Times New Roman" w:cs="Times New Roman"/>
                <w:sz w:val="20"/>
                <w:szCs w:val="20"/>
              </w:rPr>
            </w:pPr>
            <w:r w:rsidRPr="003C1B12">
              <w:rPr>
                <w:rFonts w:ascii="Times New Roman" w:eastAsia="Times New Roman" w:hAnsi="Times New Roman" w:cs="Times New Roman"/>
                <w:color w:val="000000"/>
                <w:sz w:val="20"/>
                <w:szCs w:val="20"/>
                <w:lang w:eastAsia="lv-LV"/>
              </w:rPr>
              <w:t>62%</w:t>
            </w:r>
          </w:p>
        </w:tc>
      </w:tr>
      <w:tr w:rsidR="003E49FD" w:rsidRPr="003C1B12" w:rsidTr="003E49FD">
        <w:trPr>
          <w:jc w:val="center"/>
        </w:trPr>
        <w:tc>
          <w:tcPr>
            <w:tcW w:w="2031" w:type="dxa"/>
          </w:tcPr>
          <w:p w:rsidR="003E49FD" w:rsidRPr="003C1B12" w:rsidRDefault="003E49FD" w:rsidP="003E49FD">
            <w:pPr>
              <w:pStyle w:val="ListParagraph"/>
              <w:ind w:left="0"/>
              <w:rPr>
                <w:rFonts w:ascii="Times New Roman" w:hAnsi="Times New Roman" w:cs="Times New Roman"/>
                <w:sz w:val="20"/>
                <w:szCs w:val="20"/>
              </w:rPr>
            </w:pPr>
            <w:r w:rsidRPr="003C1B12">
              <w:rPr>
                <w:rFonts w:ascii="Times New Roman" w:hAnsi="Times New Roman" w:cs="Times New Roman"/>
                <w:color w:val="000000" w:themeColor="text1"/>
                <w:sz w:val="20"/>
                <w:szCs w:val="20"/>
              </w:rPr>
              <w:t>PCCCL</w:t>
            </w:r>
          </w:p>
        </w:tc>
        <w:tc>
          <w:tcPr>
            <w:tcW w:w="2057" w:type="dxa"/>
          </w:tcPr>
          <w:p w:rsidR="003E49FD" w:rsidRPr="003C1B12" w:rsidRDefault="003E49FD" w:rsidP="003E49FD">
            <w:pPr>
              <w:pStyle w:val="ListParagraph"/>
              <w:ind w:left="0"/>
              <w:jc w:val="right"/>
              <w:rPr>
                <w:rFonts w:ascii="Times New Roman" w:hAnsi="Times New Roman" w:cs="Times New Roman"/>
                <w:sz w:val="20"/>
                <w:szCs w:val="20"/>
              </w:rPr>
            </w:pPr>
            <w:r w:rsidRPr="003C1B12">
              <w:rPr>
                <w:rFonts w:ascii="Times New Roman" w:hAnsi="Times New Roman" w:cs="Times New Roman"/>
                <w:bCs/>
                <w:sz w:val="20"/>
                <w:szCs w:val="20"/>
              </w:rPr>
              <w:t>8 892 821</w:t>
            </w:r>
          </w:p>
        </w:tc>
        <w:tc>
          <w:tcPr>
            <w:tcW w:w="2095" w:type="dxa"/>
          </w:tcPr>
          <w:p w:rsidR="003E49FD" w:rsidRPr="003C1B12" w:rsidRDefault="003E49FD" w:rsidP="003E49FD">
            <w:pPr>
              <w:pStyle w:val="ListParagraph"/>
              <w:ind w:left="0"/>
              <w:jc w:val="right"/>
              <w:rPr>
                <w:rFonts w:ascii="Times New Roman" w:hAnsi="Times New Roman" w:cs="Times New Roman"/>
                <w:sz w:val="20"/>
                <w:szCs w:val="20"/>
              </w:rPr>
            </w:pPr>
            <w:r w:rsidRPr="003C1B12">
              <w:rPr>
                <w:rFonts w:ascii="Times New Roman" w:eastAsia="Times New Roman" w:hAnsi="Times New Roman" w:cs="Times New Roman"/>
                <w:color w:val="000000"/>
                <w:sz w:val="20"/>
                <w:szCs w:val="20"/>
                <w:lang w:eastAsia="lv-LV"/>
              </w:rPr>
              <w:t>4 358 952</w:t>
            </w:r>
          </w:p>
        </w:tc>
        <w:tc>
          <w:tcPr>
            <w:tcW w:w="2024" w:type="dxa"/>
          </w:tcPr>
          <w:p w:rsidR="003E49FD" w:rsidRPr="003C1B12" w:rsidRDefault="003E49FD" w:rsidP="003E49FD">
            <w:pPr>
              <w:pStyle w:val="ListParagraph"/>
              <w:ind w:left="0"/>
              <w:jc w:val="center"/>
              <w:rPr>
                <w:rFonts w:ascii="Times New Roman" w:hAnsi="Times New Roman" w:cs="Times New Roman"/>
                <w:sz w:val="20"/>
                <w:szCs w:val="20"/>
              </w:rPr>
            </w:pPr>
            <w:r w:rsidRPr="003C1B12">
              <w:rPr>
                <w:rFonts w:ascii="Times New Roman" w:eastAsia="Times New Roman" w:hAnsi="Times New Roman" w:cs="Times New Roman"/>
                <w:color w:val="000000"/>
                <w:sz w:val="20"/>
                <w:szCs w:val="20"/>
                <w:lang w:eastAsia="lv-LV"/>
              </w:rPr>
              <w:t>49%</w:t>
            </w:r>
          </w:p>
        </w:tc>
      </w:tr>
      <w:tr w:rsidR="003E49FD" w:rsidRPr="003C1B12" w:rsidTr="003E49FD">
        <w:trPr>
          <w:jc w:val="center"/>
        </w:trPr>
        <w:tc>
          <w:tcPr>
            <w:tcW w:w="2031" w:type="dxa"/>
          </w:tcPr>
          <w:p w:rsidR="003E49FD" w:rsidRPr="003C1B12" w:rsidRDefault="003E49FD" w:rsidP="003E49FD">
            <w:pPr>
              <w:pStyle w:val="ListParagraph"/>
              <w:ind w:left="0"/>
              <w:rPr>
                <w:rFonts w:ascii="Times New Roman" w:hAnsi="Times New Roman" w:cs="Times New Roman"/>
                <w:sz w:val="20"/>
                <w:szCs w:val="20"/>
              </w:rPr>
            </w:pPr>
            <w:r w:rsidRPr="003C1B12">
              <w:rPr>
                <w:rFonts w:ascii="Times New Roman" w:hAnsi="Times New Roman" w:cs="Times New Roman"/>
                <w:color w:val="000000" w:themeColor="text1"/>
                <w:sz w:val="20"/>
                <w:szCs w:val="20"/>
              </w:rPr>
              <w:t>LEO KC</w:t>
            </w:r>
          </w:p>
        </w:tc>
        <w:tc>
          <w:tcPr>
            <w:tcW w:w="2057" w:type="dxa"/>
          </w:tcPr>
          <w:p w:rsidR="003E49FD" w:rsidRPr="003C1B12" w:rsidRDefault="003E49FD" w:rsidP="003E49FD">
            <w:pPr>
              <w:pStyle w:val="ListParagraph"/>
              <w:ind w:left="0"/>
              <w:jc w:val="right"/>
              <w:rPr>
                <w:rFonts w:ascii="Times New Roman" w:hAnsi="Times New Roman" w:cs="Times New Roman"/>
                <w:sz w:val="20"/>
                <w:szCs w:val="20"/>
              </w:rPr>
            </w:pPr>
            <w:r w:rsidRPr="003C1B12">
              <w:rPr>
                <w:rFonts w:ascii="Times New Roman" w:hAnsi="Times New Roman" w:cs="Times New Roman"/>
                <w:bCs/>
                <w:sz w:val="20"/>
                <w:szCs w:val="20"/>
              </w:rPr>
              <w:t>8 377 994</w:t>
            </w:r>
          </w:p>
        </w:tc>
        <w:tc>
          <w:tcPr>
            <w:tcW w:w="2095" w:type="dxa"/>
          </w:tcPr>
          <w:p w:rsidR="003E49FD" w:rsidRPr="003C1B12" w:rsidRDefault="003E49FD" w:rsidP="003E49FD">
            <w:pPr>
              <w:pStyle w:val="ListParagraph"/>
              <w:ind w:left="0"/>
              <w:jc w:val="right"/>
              <w:rPr>
                <w:rFonts w:ascii="Times New Roman" w:hAnsi="Times New Roman" w:cs="Times New Roman"/>
                <w:sz w:val="20"/>
                <w:szCs w:val="20"/>
              </w:rPr>
            </w:pPr>
            <w:r w:rsidRPr="003C1B12">
              <w:rPr>
                <w:rFonts w:ascii="Times New Roman" w:eastAsia="Times New Roman" w:hAnsi="Times New Roman" w:cs="Times New Roman"/>
                <w:color w:val="000000"/>
                <w:sz w:val="20"/>
                <w:szCs w:val="20"/>
                <w:lang w:eastAsia="lv-LV"/>
              </w:rPr>
              <w:t>4 627 796</w:t>
            </w:r>
          </w:p>
        </w:tc>
        <w:tc>
          <w:tcPr>
            <w:tcW w:w="2024" w:type="dxa"/>
          </w:tcPr>
          <w:p w:rsidR="003E49FD" w:rsidRPr="003C1B12" w:rsidRDefault="003E49FD" w:rsidP="003E49FD">
            <w:pPr>
              <w:pStyle w:val="ListParagraph"/>
              <w:ind w:left="0"/>
              <w:jc w:val="center"/>
              <w:rPr>
                <w:rFonts w:ascii="Times New Roman" w:hAnsi="Times New Roman" w:cs="Times New Roman"/>
                <w:sz w:val="20"/>
                <w:szCs w:val="20"/>
              </w:rPr>
            </w:pPr>
            <w:r w:rsidRPr="003C1B12">
              <w:rPr>
                <w:rFonts w:ascii="Times New Roman" w:eastAsia="Times New Roman" w:hAnsi="Times New Roman" w:cs="Times New Roman"/>
                <w:color w:val="000000"/>
                <w:sz w:val="20"/>
                <w:szCs w:val="20"/>
                <w:lang w:eastAsia="lv-LV"/>
              </w:rPr>
              <w:t>55%</w:t>
            </w:r>
          </w:p>
        </w:tc>
      </w:tr>
      <w:tr w:rsidR="003E49FD" w:rsidRPr="003C1B12" w:rsidTr="003E49FD">
        <w:trPr>
          <w:jc w:val="center"/>
        </w:trPr>
        <w:tc>
          <w:tcPr>
            <w:tcW w:w="2031" w:type="dxa"/>
          </w:tcPr>
          <w:p w:rsidR="003E49FD" w:rsidRPr="003C1B12" w:rsidRDefault="003E49FD" w:rsidP="003E49FD">
            <w:pPr>
              <w:pStyle w:val="ListParagraph"/>
              <w:ind w:left="0"/>
              <w:rPr>
                <w:rFonts w:ascii="Times New Roman" w:hAnsi="Times New Roman" w:cs="Times New Roman"/>
                <w:sz w:val="20"/>
                <w:szCs w:val="20"/>
              </w:rPr>
            </w:pPr>
            <w:r w:rsidRPr="003C1B12">
              <w:rPr>
                <w:rFonts w:ascii="Times New Roman" w:hAnsi="Times New Roman" w:cs="Times New Roman"/>
                <w:color w:val="000000" w:themeColor="text1"/>
                <w:sz w:val="20"/>
                <w:szCs w:val="20"/>
              </w:rPr>
              <w:t>VBBKC</w:t>
            </w:r>
          </w:p>
        </w:tc>
        <w:tc>
          <w:tcPr>
            <w:tcW w:w="2057" w:type="dxa"/>
          </w:tcPr>
          <w:p w:rsidR="003E49FD" w:rsidRPr="003C1B12" w:rsidRDefault="003E49FD" w:rsidP="003E49FD">
            <w:pPr>
              <w:pStyle w:val="ListParagraph"/>
              <w:ind w:left="0"/>
              <w:jc w:val="right"/>
              <w:rPr>
                <w:rFonts w:ascii="Times New Roman" w:hAnsi="Times New Roman" w:cs="Times New Roman"/>
                <w:sz w:val="20"/>
                <w:szCs w:val="20"/>
              </w:rPr>
            </w:pPr>
            <w:r w:rsidRPr="003C1B12">
              <w:rPr>
                <w:rFonts w:ascii="Times New Roman" w:hAnsi="Times New Roman" w:cs="Times New Roman"/>
                <w:bCs/>
                <w:sz w:val="20"/>
                <w:szCs w:val="20"/>
              </w:rPr>
              <w:t>8 991 667</w:t>
            </w:r>
          </w:p>
        </w:tc>
        <w:tc>
          <w:tcPr>
            <w:tcW w:w="2095" w:type="dxa"/>
          </w:tcPr>
          <w:p w:rsidR="003E49FD" w:rsidRPr="003C1B12" w:rsidRDefault="003E49FD" w:rsidP="003E49FD">
            <w:pPr>
              <w:pStyle w:val="ListParagraph"/>
              <w:ind w:left="0"/>
              <w:jc w:val="right"/>
              <w:rPr>
                <w:rFonts w:ascii="Times New Roman" w:hAnsi="Times New Roman" w:cs="Times New Roman"/>
                <w:sz w:val="20"/>
                <w:szCs w:val="20"/>
              </w:rPr>
            </w:pPr>
            <w:r w:rsidRPr="003C1B12">
              <w:rPr>
                <w:rFonts w:ascii="Times New Roman" w:eastAsia="Times New Roman" w:hAnsi="Times New Roman" w:cs="Times New Roman"/>
                <w:color w:val="000000"/>
                <w:sz w:val="20"/>
                <w:szCs w:val="20"/>
                <w:lang w:eastAsia="lv-LV"/>
              </w:rPr>
              <w:t>5 876 521</w:t>
            </w:r>
          </w:p>
        </w:tc>
        <w:tc>
          <w:tcPr>
            <w:tcW w:w="2024" w:type="dxa"/>
          </w:tcPr>
          <w:p w:rsidR="003E49FD" w:rsidRPr="003C1B12" w:rsidRDefault="003E49FD" w:rsidP="003E49FD">
            <w:pPr>
              <w:pStyle w:val="ListParagraph"/>
              <w:ind w:left="0"/>
              <w:jc w:val="center"/>
              <w:rPr>
                <w:rFonts w:ascii="Times New Roman" w:hAnsi="Times New Roman" w:cs="Times New Roman"/>
                <w:sz w:val="20"/>
                <w:szCs w:val="20"/>
              </w:rPr>
            </w:pPr>
            <w:r w:rsidRPr="003C1B12">
              <w:rPr>
                <w:rFonts w:ascii="Times New Roman" w:eastAsia="Times New Roman" w:hAnsi="Times New Roman" w:cs="Times New Roman"/>
                <w:color w:val="000000"/>
                <w:sz w:val="20"/>
                <w:szCs w:val="20"/>
                <w:lang w:eastAsia="lv-LV"/>
              </w:rPr>
              <w:t>65%</w:t>
            </w:r>
          </w:p>
        </w:tc>
      </w:tr>
      <w:tr w:rsidR="003E49FD" w:rsidRPr="003C1B12" w:rsidTr="003E49FD">
        <w:trPr>
          <w:jc w:val="center"/>
        </w:trPr>
        <w:tc>
          <w:tcPr>
            <w:tcW w:w="2031" w:type="dxa"/>
          </w:tcPr>
          <w:p w:rsidR="003E49FD" w:rsidRPr="003C1B12" w:rsidRDefault="003E49FD" w:rsidP="003E49FD">
            <w:pPr>
              <w:pStyle w:val="ListParagraph"/>
              <w:ind w:left="0"/>
              <w:rPr>
                <w:rFonts w:ascii="Times New Roman" w:hAnsi="Times New Roman" w:cs="Times New Roman"/>
                <w:sz w:val="20"/>
                <w:szCs w:val="20"/>
              </w:rPr>
            </w:pPr>
            <w:r w:rsidRPr="003C1B12">
              <w:rPr>
                <w:rFonts w:ascii="Times New Roman" w:hAnsi="Times New Roman" w:cs="Times New Roman"/>
                <w:color w:val="000000" w:themeColor="text1"/>
                <w:sz w:val="20"/>
                <w:szCs w:val="20"/>
              </w:rPr>
              <w:t>TMKC</w:t>
            </w:r>
          </w:p>
        </w:tc>
        <w:tc>
          <w:tcPr>
            <w:tcW w:w="2057" w:type="dxa"/>
          </w:tcPr>
          <w:p w:rsidR="003E49FD" w:rsidRPr="003C1B12" w:rsidRDefault="003E49FD" w:rsidP="003E49FD">
            <w:pPr>
              <w:pStyle w:val="ListParagraph"/>
              <w:ind w:left="0"/>
              <w:jc w:val="right"/>
              <w:rPr>
                <w:rFonts w:ascii="Times New Roman" w:hAnsi="Times New Roman" w:cs="Times New Roman"/>
                <w:sz w:val="20"/>
                <w:szCs w:val="20"/>
              </w:rPr>
            </w:pPr>
            <w:r w:rsidRPr="003C1B12">
              <w:rPr>
                <w:rFonts w:ascii="Times New Roman" w:hAnsi="Times New Roman" w:cs="Times New Roman"/>
                <w:bCs/>
                <w:sz w:val="20"/>
                <w:szCs w:val="20"/>
              </w:rPr>
              <w:t>8 806 501</w:t>
            </w:r>
          </w:p>
        </w:tc>
        <w:tc>
          <w:tcPr>
            <w:tcW w:w="2095" w:type="dxa"/>
          </w:tcPr>
          <w:p w:rsidR="003E49FD" w:rsidRPr="003C1B12" w:rsidRDefault="003E49FD" w:rsidP="003E49FD">
            <w:pPr>
              <w:pStyle w:val="ListParagraph"/>
              <w:ind w:left="0"/>
              <w:jc w:val="right"/>
              <w:rPr>
                <w:rFonts w:ascii="Times New Roman" w:hAnsi="Times New Roman" w:cs="Times New Roman"/>
                <w:sz w:val="20"/>
                <w:szCs w:val="20"/>
              </w:rPr>
            </w:pPr>
            <w:r w:rsidRPr="003C1B12">
              <w:rPr>
                <w:rFonts w:ascii="Times New Roman" w:eastAsia="Times New Roman" w:hAnsi="Times New Roman" w:cs="Times New Roman"/>
                <w:color w:val="000000"/>
                <w:sz w:val="20"/>
                <w:szCs w:val="20"/>
                <w:lang w:eastAsia="lv-LV"/>
              </w:rPr>
              <w:t>2 961 643</w:t>
            </w:r>
          </w:p>
        </w:tc>
        <w:tc>
          <w:tcPr>
            <w:tcW w:w="2024" w:type="dxa"/>
          </w:tcPr>
          <w:p w:rsidR="003E49FD" w:rsidRPr="003C1B12" w:rsidRDefault="003E49FD" w:rsidP="003E49FD">
            <w:pPr>
              <w:pStyle w:val="ListParagraph"/>
              <w:ind w:left="0"/>
              <w:jc w:val="center"/>
              <w:rPr>
                <w:rFonts w:ascii="Times New Roman" w:hAnsi="Times New Roman" w:cs="Times New Roman"/>
                <w:sz w:val="20"/>
                <w:szCs w:val="20"/>
              </w:rPr>
            </w:pPr>
            <w:r w:rsidRPr="003C1B12">
              <w:rPr>
                <w:rFonts w:ascii="Times New Roman" w:eastAsia="Times New Roman" w:hAnsi="Times New Roman" w:cs="Times New Roman"/>
                <w:color w:val="000000"/>
                <w:sz w:val="20"/>
                <w:szCs w:val="20"/>
                <w:lang w:eastAsia="lv-LV"/>
              </w:rPr>
              <w:t>34%</w:t>
            </w:r>
          </w:p>
        </w:tc>
      </w:tr>
      <w:tr w:rsidR="003E49FD" w:rsidRPr="003C1B12" w:rsidTr="003E49FD">
        <w:trPr>
          <w:jc w:val="center"/>
        </w:trPr>
        <w:tc>
          <w:tcPr>
            <w:tcW w:w="2031" w:type="dxa"/>
          </w:tcPr>
          <w:p w:rsidR="003E49FD" w:rsidRPr="003C1B12" w:rsidRDefault="003E49FD" w:rsidP="003E49FD">
            <w:pPr>
              <w:pStyle w:val="ListParagraph"/>
              <w:ind w:left="0"/>
              <w:jc w:val="center"/>
              <w:rPr>
                <w:rFonts w:ascii="Times New Roman" w:hAnsi="Times New Roman" w:cs="Times New Roman"/>
                <w:color w:val="000000" w:themeColor="text1"/>
                <w:sz w:val="20"/>
                <w:szCs w:val="20"/>
              </w:rPr>
            </w:pPr>
            <w:r w:rsidRPr="003C1B12">
              <w:rPr>
                <w:rFonts w:ascii="Times New Roman" w:hAnsi="Times New Roman" w:cs="Times New Roman"/>
                <w:b/>
                <w:color w:val="000000" w:themeColor="text1"/>
                <w:sz w:val="20"/>
                <w:szCs w:val="20"/>
              </w:rPr>
              <w:t>Kopā</w:t>
            </w:r>
          </w:p>
        </w:tc>
        <w:tc>
          <w:tcPr>
            <w:tcW w:w="2057" w:type="dxa"/>
          </w:tcPr>
          <w:p w:rsidR="003E49FD" w:rsidRPr="003C1B12" w:rsidRDefault="003E49FD" w:rsidP="003E49FD">
            <w:pPr>
              <w:pStyle w:val="ListParagraph"/>
              <w:ind w:left="0"/>
              <w:jc w:val="right"/>
              <w:rPr>
                <w:rFonts w:ascii="Times New Roman" w:hAnsi="Times New Roman" w:cs="Times New Roman"/>
                <w:sz w:val="20"/>
                <w:szCs w:val="20"/>
              </w:rPr>
            </w:pPr>
            <w:r w:rsidRPr="003C1B12">
              <w:rPr>
                <w:rFonts w:ascii="Times New Roman" w:hAnsi="Times New Roman" w:cs="Times New Roman"/>
                <w:b/>
                <w:bCs/>
                <w:sz w:val="20"/>
                <w:szCs w:val="20"/>
              </w:rPr>
              <w:t>53 176 425</w:t>
            </w:r>
          </w:p>
        </w:tc>
        <w:tc>
          <w:tcPr>
            <w:tcW w:w="2095" w:type="dxa"/>
          </w:tcPr>
          <w:p w:rsidR="003E49FD" w:rsidRPr="003C1B12" w:rsidRDefault="003E49FD" w:rsidP="003E49FD">
            <w:pPr>
              <w:pStyle w:val="ListParagraph"/>
              <w:ind w:left="0"/>
              <w:jc w:val="right"/>
              <w:rPr>
                <w:rFonts w:ascii="Times New Roman" w:hAnsi="Times New Roman" w:cs="Times New Roman"/>
                <w:sz w:val="20"/>
                <w:szCs w:val="20"/>
              </w:rPr>
            </w:pPr>
            <w:r w:rsidRPr="003C1B12">
              <w:rPr>
                <w:rFonts w:ascii="Times New Roman" w:hAnsi="Times New Roman" w:cs="Times New Roman"/>
                <w:b/>
                <w:bCs/>
                <w:sz w:val="20"/>
                <w:szCs w:val="20"/>
              </w:rPr>
              <w:t>29 681 826</w:t>
            </w:r>
          </w:p>
        </w:tc>
        <w:tc>
          <w:tcPr>
            <w:tcW w:w="2024" w:type="dxa"/>
          </w:tcPr>
          <w:p w:rsidR="003E49FD" w:rsidRPr="003C1B12" w:rsidRDefault="003E49FD" w:rsidP="003E49FD">
            <w:pPr>
              <w:pStyle w:val="ListParagraph"/>
              <w:ind w:left="0"/>
              <w:jc w:val="center"/>
              <w:rPr>
                <w:rFonts w:ascii="Times New Roman" w:hAnsi="Times New Roman" w:cs="Times New Roman"/>
                <w:sz w:val="20"/>
                <w:szCs w:val="20"/>
              </w:rPr>
            </w:pPr>
            <w:r w:rsidRPr="003C1B12">
              <w:rPr>
                <w:rFonts w:ascii="Times New Roman" w:hAnsi="Times New Roman" w:cs="Times New Roman"/>
                <w:b/>
                <w:bCs/>
                <w:sz w:val="20"/>
                <w:szCs w:val="20"/>
              </w:rPr>
              <w:t>56%</w:t>
            </w:r>
          </w:p>
        </w:tc>
      </w:tr>
    </w:tbl>
    <w:p w:rsidR="00D85D74" w:rsidRPr="003C1B12" w:rsidRDefault="00D85D74" w:rsidP="003E49FD">
      <w:pPr>
        <w:pStyle w:val="ListParagraph"/>
        <w:spacing w:after="0" w:line="240" w:lineRule="auto"/>
        <w:ind w:left="1080"/>
        <w:jc w:val="both"/>
        <w:rPr>
          <w:rFonts w:ascii="Times New Roman" w:hAnsi="Times New Roman" w:cs="Times New Roman"/>
          <w:sz w:val="24"/>
          <w:szCs w:val="24"/>
        </w:rPr>
      </w:pPr>
    </w:p>
    <w:p w:rsidR="003D5183" w:rsidRPr="003C1B12" w:rsidRDefault="003D5183" w:rsidP="003D5183">
      <w:pPr>
        <w:spacing w:after="0" w:line="240" w:lineRule="auto"/>
        <w:ind w:firstLine="720"/>
        <w:jc w:val="both"/>
        <w:rPr>
          <w:rFonts w:ascii="Times New Roman" w:hAnsi="Times New Roman" w:cs="Times New Roman"/>
          <w:sz w:val="24"/>
          <w:szCs w:val="24"/>
        </w:rPr>
      </w:pPr>
      <w:r w:rsidRPr="003C1B12">
        <w:rPr>
          <w:rFonts w:ascii="Times New Roman" w:hAnsi="Times New Roman" w:cs="Times New Roman"/>
          <w:sz w:val="24"/>
          <w:szCs w:val="24"/>
        </w:rPr>
        <w:t xml:space="preserve">Līdz 2014.gada beigām 6 </w:t>
      </w:r>
      <w:r w:rsidR="000968EB" w:rsidRPr="003C1B12">
        <w:rPr>
          <w:rFonts w:ascii="Times New Roman" w:hAnsi="Times New Roman" w:cs="Times New Roman"/>
          <w:sz w:val="24"/>
          <w:szCs w:val="24"/>
        </w:rPr>
        <w:t>KC</w:t>
      </w:r>
      <w:r w:rsidR="009C3DC3" w:rsidRPr="003C1B12">
        <w:rPr>
          <w:rFonts w:ascii="Times New Roman" w:hAnsi="Times New Roman" w:cs="Times New Roman"/>
          <w:sz w:val="24"/>
          <w:szCs w:val="24"/>
        </w:rPr>
        <w:t xml:space="preserve"> bija iesaistījušies</w:t>
      </w:r>
      <w:r w:rsidR="00FB5D68" w:rsidRPr="003C1B12">
        <w:rPr>
          <w:rFonts w:ascii="Times New Roman" w:hAnsi="Times New Roman" w:cs="Times New Roman"/>
          <w:sz w:val="24"/>
          <w:szCs w:val="24"/>
        </w:rPr>
        <w:t xml:space="preserve"> </w:t>
      </w:r>
      <w:r w:rsidR="0039709F" w:rsidRPr="003C1B12">
        <w:rPr>
          <w:rFonts w:ascii="Times New Roman" w:hAnsi="Times New Roman" w:cs="Times New Roman"/>
          <w:sz w:val="24"/>
          <w:szCs w:val="24"/>
        </w:rPr>
        <w:t xml:space="preserve">164 </w:t>
      </w:r>
      <w:r w:rsidR="00FB5D68" w:rsidRPr="003C1B12">
        <w:rPr>
          <w:rFonts w:ascii="Times New Roman" w:hAnsi="Times New Roman" w:cs="Times New Roman"/>
          <w:sz w:val="24"/>
          <w:szCs w:val="24"/>
        </w:rPr>
        <w:t>komersanti un tika</w:t>
      </w:r>
      <w:r w:rsidRPr="003C1B12">
        <w:rPr>
          <w:rFonts w:ascii="Times New Roman" w:hAnsi="Times New Roman" w:cs="Times New Roman"/>
          <w:sz w:val="24"/>
          <w:szCs w:val="24"/>
        </w:rPr>
        <w:t xml:space="preserve"> atb</w:t>
      </w:r>
      <w:r w:rsidR="00FB5D68" w:rsidRPr="003C1B12">
        <w:rPr>
          <w:rFonts w:ascii="Times New Roman" w:hAnsi="Times New Roman" w:cs="Times New Roman"/>
          <w:sz w:val="24"/>
          <w:szCs w:val="24"/>
        </w:rPr>
        <w:t xml:space="preserve">alstīti 231 pētniecības projekti, no kuriem </w:t>
      </w:r>
      <w:r w:rsidRPr="003C1B12">
        <w:rPr>
          <w:rFonts w:ascii="Times New Roman" w:hAnsi="Times New Roman" w:cs="Times New Roman"/>
          <w:sz w:val="24"/>
          <w:szCs w:val="24"/>
        </w:rPr>
        <w:t xml:space="preserve">pabeigti </w:t>
      </w:r>
      <w:r w:rsidR="00FB5D68" w:rsidRPr="003C1B12">
        <w:rPr>
          <w:rFonts w:ascii="Times New Roman" w:hAnsi="Times New Roman" w:cs="Times New Roman"/>
          <w:sz w:val="24"/>
          <w:szCs w:val="24"/>
        </w:rPr>
        <w:t xml:space="preserve">bija </w:t>
      </w:r>
      <w:r w:rsidRPr="003C1B12">
        <w:rPr>
          <w:rFonts w:ascii="Times New Roman" w:hAnsi="Times New Roman" w:cs="Times New Roman"/>
          <w:sz w:val="24"/>
          <w:szCs w:val="24"/>
        </w:rPr>
        <w:t xml:space="preserve">78 jeb 34% </w:t>
      </w:r>
      <w:r w:rsidR="00FB5D68" w:rsidRPr="003C1B12">
        <w:rPr>
          <w:rFonts w:ascii="Times New Roman" w:hAnsi="Times New Roman" w:cs="Times New Roman"/>
          <w:sz w:val="24"/>
          <w:szCs w:val="24"/>
        </w:rPr>
        <w:t>projekti</w:t>
      </w:r>
      <w:r w:rsidRPr="003C1B12">
        <w:rPr>
          <w:rFonts w:ascii="Times New Roman" w:hAnsi="Times New Roman" w:cs="Times New Roman"/>
          <w:sz w:val="24"/>
          <w:szCs w:val="24"/>
        </w:rPr>
        <w:t>.</w:t>
      </w:r>
    </w:p>
    <w:p w:rsidR="003D5183" w:rsidRPr="003C1B12" w:rsidRDefault="003D5183" w:rsidP="009C3DC3">
      <w:pPr>
        <w:rPr>
          <w:rFonts w:ascii="Times New Roman" w:hAnsi="Times New Roman" w:cs="Times New Roman"/>
          <w:color w:val="000000" w:themeColor="text1"/>
          <w:sz w:val="24"/>
          <w:szCs w:val="24"/>
          <w:u w:val="single"/>
        </w:rPr>
      </w:pPr>
    </w:p>
    <w:p w:rsidR="002D4287" w:rsidRPr="003C1B12" w:rsidRDefault="002D4287" w:rsidP="009C3DC3">
      <w:pPr>
        <w:rPr>
          <w:rFonts w:ascii="Times New Roman" w:hAnsi="Times New Roman" w:cs="Times New Roman"/>
          <w:color w:val="000000" w:themeColor="text1"/>
          <w:sz w:val="24"/>
          <w:szCs w:val="24"/>
          <w:u w:val="single"/>
        </w:rPr>
      </w:pPr>
    </w:p>
    <w:p w:rsidR="002D4287" w:rsidRPr="003C1B12" w:rsidRDefault="002D4287" w:rsidP="002D4287">
      <w:pPr>
        <w:spacing w:after="0" w:line="240" w:lineRule="auto"/>
        <w:jc w:val="right"/>
        <w:rPr>
          <w:rFonts w:ascii="Times New Roman" w:hAnsi="Times New Roman" w:cs="Times New Roman"/>
          <w:sz w:val="24"/>
          <w:szCs w:val="24"/>
        </w:rPr>
      </w:pPr>
      <w:r w:rsidRPr="003C1B12">
        <w:rPr>
          <w:rFonts w:ascii="Times New Roman" w:hAnsi="Times New Roman" w:cs="Times New Roman"/>
          <w:sz w:val="24"/>
          <w:szCs w:val="24"/>
        </w:rPr>
        <w:t>Tabula Nr.</w:t>
      </w:r>
      <w:r w:rsidRPr="003C1B12">
        <w:rPr>
          <w:rFonts w:ascii="Times New Roman" w:hAnsi="Times New Roman" w:cs="Times New Roman"/>
          <w:sz w:val="24"/>
          <w:szCs w:val="24"/>
        </w:rPr>
        <w:fldChar w:fldCharType="begin"/>
      </w:r>
      <w:r w:rsidRPr="003C1B12">
        <w:rPr>
          <w:rFonts w:ascii="Times New Roman" w:hAnsi="Times New Roman" w:cs="Times New Roman"/>
          <w:sz w:val="24"/>
          <w:szCs w:val="24"/>
        </w:rPr>
        <w:instrText xml:space="preserve"> SEQ Tabula_Nr. \* ARABIC </w:instrText>
      </w:r>
      <w:r w:rsidRPr="003C1B12">
        <w:rPr>
          <w:rFonts w:ascii="Times New Roman" w:hAnsi="Times New Roman" w:cs="Times New Roman"/>
          <w:sz w:val="24"/>
          <w:szCs w:val="24"/>
        </w:rPr>
        <w:fldChar w:fldCharType="separate"/>
      </w:r>
      <w:r w:rsidR="00A379AF" w:rsidRPr="003C1B12">
        <w:rPr>
          <w:rFonts w:ascii="Times New Roman" w:hAnsi="Times New Roman" w:cs="Times New Roman"/>
          <w:noProof/>
          <w:sz w:val="24"/>
          <w:szCs w:val="24"/>
        </w:rPr>
        <w:t>3</w:t>
      </w:r>
      <w:r w:rsidRPr="003C1B12">
        <w:rPr>
          <w:rFonts w:ascii="Times New Roman" w:hAnsi="Times New Roman" w:cs="Times New Roman"/>
          <w:sz w:val="24"/>
          <w:szCs w:val="24"/>
        </w:rPr>
        <w:fldChar w:fldCharType="end"/>
      </w:r>
    </w:p>
    <w:p w:rsidR="007B5F3F" w:rsidRPr="003C1B12" w:rsidRDefault="000968EB" w:rsidP="007B5F3F">
      <w:pPr>
        <w:spacing w:after="0"/>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KC</w:t>
      </w:r>
      <w:r w:rsidR="007B5F3F" w:rsidRPr="003C1B12">
        <w:rPr>
          <w:rFonts w:ascii="Times New Roman" w:hAnsi="Times New Roman" w:cs="Times New Roman"/>
          <w:color w:val="000000" w:themeColor="text1"/>
          <w:sz w:val="24"/>
          <w:szCs w:val="24"/>
        </w:rPr>
        <w:t xml:space="preserve"> nozares partneru skaits un pētījumu projektu skaits</w:t>
      </w:r>
    </w:p>
    <w:p w:rsidR="002D4287" w:rsidRPr="003C1B12" w:rsidRDefault="00E272A1" w:rsidP="002D4287">
      <w:pPr>
        <w:spacing w:after="120"/>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uz 2014.gada 31.decembri</w:t>
      </w:r>
    </w:p>
    <w:tbl>
      <w:tblPr>
        <w:tblStyle w:val="TableGrid"/>
        <w:tblW w:w="4285" w:type="pct"/>
        <w:jc w:val="center"/>
        <w:tblLayout w:type="fixed"/>
        <w:tblLook w:val="04A0" w:firstRow="1" w:lastRow="0" w:firstColumn="1" w:lastColumn="0" w:noHBand="0" w:noVBand="1"/>
      </w:tblPr>
      <w:tblGrid>
        <w:gridCol w:w="1327"/>
        <w:gridCol w:w="1326"/>
        <w:gridCol w:w="1328"/>
        <w:gridCol w:w="1326"/>
        <w:gridCol w:w="1326"/>
        <w:gridCol w:w="1326"/>
      </w:tblGrid>
      <w:tr w:rsidR="003E49FD" w:rsidRPr="003C1B12" w:rsidTr="003E49FD">
        <w:trPr>
          <w:jc w:val="center"/>
        </w:trPr>
        <w:tc>
          <w:tcPr>
            <w:tcW w:w="834" w:type="pct"/>
          </w:tcPr>
          <w:p w:rsidR="003E49FD" w:rsidRPr="003C1B12" w:rsidRDefault="003E49FD" w:rsidP="002D4287">
            <w:pPr>
              <w:jc w:val="center"/>
              <w:rPr>
                <w:rFonts w:ascii="Times New Roman" w:hAnsi="Times New Roman" w:cs="Times New Roman"/>
                <w:b/>
                <w:color w:val="000000" w:themeColor="text1"/>
                <w:sz w:val="20"/>
                <w:szCs w:val="20"/>
              </w:rPr>
            </w:pPr>
            <w:r w:rsidRPr="003C1B12">
              <w:rPr>
                <w:rFonts w:ascii="Times New Roman" w:hAnsi="Times New Roman" w:cs="Times New Roman"/>
                <w:b/>
                <w:color w:val="000000" w:themeColor="text1"/>
                <w:sz w:val="20"/>
                <w:szCs w:val="20"/>
              </w:rPr>
              <w:lastRenderedPageBreak/>
              <w:t>KC nosaukums</w:t>
            </w:r>
          </w:p>
        </w:tc>
        <w:tc>
          <w:tcPr>
            <w:tcW w:w="833" w:type="pct"/>
          </w:tcPr>
          <w:p w:rsidR="003E49FD" w:rsidRPr="003C1B12" w:rsidRDefault="003E49FD" w:rsidP="002D4287">
            <w:pPr>
              <w:jc w:val="center"/>
              <w:rPr>
                <w:rFonts w:ascii="Times New Roman" w:hAnsi="Times New Roman" w:cs="Times New Roman"/>
                <w:b/>
                <w:color w:val="000000" w:themeColor="text1"/>
                <w:sz w:val="20"/>
                <w:szCs w:val="20"/>
              </w:rPr>
            </w:pPr>
            <w:r w:rsidRPr="003C1B12">
              <w:rPr>
                <w:rFonts w:ascii="Times New Roman" w:hAnsi="Times New Roman" w:cs="Times New Roman"/>
                <w:b/>
                <w:color w:val="000000" w:themeColor="text1"/>
                <w:sz w:val="20"/>
                <w:szCs w:val="20"/>
              </w:rPr>
              <w:t>Pētniecības projektu skaits</w:t>
            </w:r>
          </w:p>
        </w:tc>
        <w:tc>
          <w:tcPr>
            <w:tcW w:w="834" w:type="pct"/>
          </w:tcPr>
          <w:p w:rsidR="003E49FD" w:rsidRPr="003C1B12" w:rsidRDefault="003E49FD" w:rsidP="002D4287">
            <w:pPr>
              <w:jc w:val="center"/>
              <w:rPr>
                <w:rFonts w:ascii="Times New Roman" w:hAnsi="Times New Roman" w:cs="Times New Roman"/>
                <w:b/>
                <w:color w:val="000000" w:themeColor="text1"/>
                <w:sz w:val="20"/>
                <w:szCs w:val="20"/>
              </w:rPr>
            </w:pPr>
            <w:r w:rsidRPr="003C1B12">
              <w:rPr>
                <w:rFonts w:ascii="Times New Roman" w:hAnsi="Times New Roman" w:cs="Times New Roman"/>
                <w:b/>
                <w:color w:val="000000" w:themeColor="text1"/>
                <w:sz w:val="20"/>
                <w:szCs w:val="20"/>
              </w:rPr>
              <w:t xml:space="preserve">Pabeigtie pētniecības projekti </w:t>
            </w:r>
          </w:p>
        </w:tc>
        <w:tc>
          <w:tcPr>
            <w:tcW w:w="833" w:type="pct"/>
          </w:tcPr>
          <w:p w:rsidR="003E49FD" w:rsidRPr="003C1B12" w:rsidRDefault="003E49FD" w:rsidP="002D4287">
            <w:pPr>
              <w:jc w:val="center"/>
              <w:rPr>
                <w:rFonts w:ascii="Times New Roman" w:hAnsi="Times New Roman" w:cs="Times New Roman"/>
                <w:b/>
                <w:color w:val="000000" w:themeColor="text1"/>
                <w:sz w:val="20"/>
                <w:szCs w:val="20"/>
              </w:rPr>
            </w:pPr>
            <w:r w:rsidRPr="003C1B12">
              <w:rPr>
                <w:rFonts w:ascii="Times New Roman" w:hAnsi="Times New Roman" w:cs="Times New Roman"/>
                <w:b/>
                <w:color w:val="000000" w:themeColor="text1"/>
                <w:sz w:val="20"/>
                <w:szCs w:val="20"/>
              </w:rPr>
              <w:t xml:space="preserve">Iesaistītie </w:t>
            </w:r>
            <w:r w:rsidR="003266A5" w:rsidRPr="003C1B12">
              <w:rPr>
                <w:rFonts w:ascii="Times New Roman" w:hAnsi="Times New Roman" w:cs="Times New Roman"/>
                <w:b/>
                <w:color w:val="000000" w:themeColor="text1"/>
                <w:sz w:val="20"/>
                <w:szCs w:val="20"/>
              </w:rPr>
              <w:t>zinātn</w:t>
            </w:r>
            <w:r w:rsidR="00D735A6" w:rsidRPr="003C1B12">
              <w:rPr>
                <w:rFonts w:ascii="Times New Roman" w:hAnsi="Times New Roman" w:cs="Times New Roman"/>
                <w:b/>
                <w:color w:val="000000" w:themeColor="text1"/>
                <w:sz w:val="20"/>
                <w:szCs w:val="20"/>
              </w:rPr>
              <w:t>iskie</w:t>
            </w:r>
            <w:r w:rsidRPr="003C1B12">
              <w:rPr>
                <w:rFonts w:ascii="Times New Roman" w:hAnsi="Times New Roman" w:cs="Times New Roman"/>
                <w:b/>
                <w:color w:val="000000" w:themeColor="text1"/>
                <w:sz w:val="20"/>
                <w:szCs w:val="20"/>
              </w:rPr>
              <w:t xml:space="preserve"> darbinieki</w:t>
            </w:r>
            <w:r w:rsidRPr="003C1B12">
              <w:rPr>
                <w:rStyle w:val="FootnoteReference"/>
                <w:rFonts w:ascii="Times New Roman" w:hAnsi="Times New Roman" w:cs="Times New Roman"/>
                <w:b/>
                <w:color w:val="000000" w:themeColor="text1"/>
                <w:sz w:val="20"/>
                <w:szCs w:val="20"/>
              </w:rPr>
              <w:footnoteReference w:id="3"/>
            </w:r>
            <w:r w:rsidRPr="003C1B12">
              <w:rPr>
                <w:rFonts w:ascii="Times New Roman" w:hAnsi="Times New Roman" w:cs="Times New Roman"/>
                <w:b/>
                <w:color w:val="000000" w:themeColor="text1"/>
                <w:sz w:val="20"/>
                <w:szCs w:val="20"/>
              </w:rPr>
              <w:t xml:space="preserve"> </w:t>
            </w:r>
          </w:p>
        </w:tc>
        <w:tc>
          <w:tcPr>
            <w:tcW w:w="833" w:type="pct"/>
          </w:tcPr>
          <w:p w:rsidR="003E49FD" w:rsidRPr="003C1B12" w:rsidRDefault="003E49FD" w:rsidP="002D4287">
            <w:pPr>
              <w:jc w:val="center"/>
              <w:rPr>
                <w:rFonts w:ascii="Times New Roman" w:hAnsi="Times New Roman" w:cs="Times New Roman"/>
                <w:b/>
                <w:color w:val="000000" w:themeColor="text1"/>
                <w:sz w:val="20"/>
                <w:szCs w:val="20"/>
              </w:rPr>
            </w:pPr>
            <w:r w:rsidRPr="003C1B12">
              <w:rPr>
                <w:rFonts w:ascii="Times New Roman" w:hAnsi="Times New Roman" w:cs="Times New Roman"/>
                <w:b/>
                <w:color w:val="000000" w:themeColor="text1"/>
                <w:sz w:val="20"/>
                <w:szCs w:val="20"/>
              </w:rPr>
              <w:t>Nozares partneru skaits</w:t>
            </w:r>
            <w:r w:rsidR="00C115F9" w:rsidRPr="003C1B12">
              <w:rPr>
                <w:rStyle w:val="FootnoteReference"/>
                <w:rFonts w:ascii="Times New Roman" w:hAnsi="Times New Roman" w:cs="Times New Roman"/>
                <w:b/>
                <w:color w:val="000000" w:themeColor="text1"/>
                <w:sz w:val="20"/>
                <w:szCs w:val="20"/>
              </w:rPr>
              <w:footnoteReference w:id="4"/>
            </w:r>
            <w:r w:rsidRPr="003C1B12">
              <w:rPr>
                <w:rFonts w:ascii="Times New Roman" w:hAnsi="Times New Roman" w:cs="Times New Roman"/>
                <w:b/>
                <w:color w:val="000000" w:themeColor="text1"/>
                <w:sz w:val="20"/>
                <w:szCs w:val="20"/>
              </w:rPr>
              <w:t xml:space="preserve"> </w:t>
            </w:r>
          </w:p>
        </w:tc>
        <w:tc>
          <w:tcPr>
            <w:tcW w:w="833" w:type="pct"/>
          </w:tcPr>
          <w:p w:rsidR="003E49FD" w:rsidRPr="003C1B12" w:rsidRDefault="003266A5" w:rsidP="002D4287">
            <w:pPr>
              <w:jc w:val="center"/>
              <w:rPr>
                <w:rFonts w:ascii="Times New Roman" w:hAnsi="Times New Roman" w:cs="Times New Roman"/>
                <w:b/>
                <w:color w:val="000000" w:themeColor="text1"/>
                <w:sz w:val="20"/>
                <w:szCs w:val="20"/>
              </w:rPr>
            </w:pPr>
            <w:r w:rsidRPr="003C1B12">
              <w:rPr>
                <w:rFonts w:ascii="Times New Roman" w:hAnsi="Times New Roman" w:cs="Times New Roman"/>
                <w:b/>
                <w:color w:val="000000" w:themeColor="text1"/>
                <w:sz w:val="20"/>
                <w:szCs w:val="20"/>
              </w:rPr>
              <w:t>Zinātn</w:t>
            </w:r>
            <w:r w:rsidR="00D735A6" w:rsidRPr="003C1B12">
              <w:rPr>
                <w:rFonts w:ascii="Times New Roman" w:hAnsi="Times New Roman" w:cs="Times New Roman"/>
                <w:b/>
                <w:color w:val="000000" w:themeColor="text1"/>
                <w:sz w:val="20"/>
                <w:szCs w:val="20"/>
              </w:rPr>
              <w:t>isko</w:t>
            </w:r>
            <w:r w:rsidR="003E49FD" w:rsidRPr="003C1B12">
              <w:rPr>
                <w:rFonts w:ascii="Times New Roman" w:hAnsi="Times New Roman" w:cs="Times New Roman"/>
                <w:b/>
                <w:color w:val="000000" w:themeColor="text1"/>
                <w:sz w:val="20"/>
                <w:szCs w:val="20"/>
              </w:rPr>
              <w:t xml:space="preserve"> partneru skaits</w:t>
            </w:r>
            <w:r w:rsidR="00C115F9" w:rsidRPr="003C1B12">
              <w:rPr>
                <w:rStyle w:val="FootnoteReference"/>
                <w:rFonts w:ascii="Times New Roman" w:hAnsi="Times New Roman" w:cs="Times New Roman"/>
                <w:b/>
                <w:color w:val="000000" w:themeColor="text1"/>
                <w:sz w:val="20"/>
                <w:szCs w:val="20"/>
              </w:rPr>
              <w:footnoteReference w:id="5"/>
            </w:r>
          </w:p>
        </w:tc>
      </w:tr>
      <w:tr w:rsidR="004C0FB9" w:rsidRPr="003C1B12" w:rsidTr="003E49FD">
        <w:trPr>
          <w:jc w:val="center"/>
        </w:trPr>
        <w:tc>
          <w:tcPr>
            <w:tcW w:w="834" w:type="pct"/>
          </w:tcPr>
          <w:p w:rsidR="004C0FB9" w:rsidRPr="003C1B12" w:rsidRDefault="004C0FB9" w:rsidP="002D4287">
            <w:pP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ITKC</w:t>
            </w:r>
          </w:p>
        </w:tc>
        <w:tc>
          <w:tcPr>
            <w:tcW w:w="833" w:type="pct"/>
          </w:tcPr>
          <w:p w:rsidR="004C0FB9" w:rsidRPr="003C1B12" w:rsidRDefault="004C0FB9" w:rsidP="002D4287">
            <w:pPr>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35</w:t>
            </w:r>
          </w:p>
        </w:tc>
        <w:tc>
          <w:tcPr>
            <w:tcW w:w="834" w:type="pct"/>
          </w:tcPr>
          <w:p w:rsidR="004C0FB9" w:rsidRPr="003C1B12" w:rsidRDefault="004C0FB9" w:rsidP="002D4287">
            <w:pPr>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15</w:t>
            </w:r>
          </w:p>
        </w:tc>
        <w:tc>
          <w:tcPr>
            <w:tcW w:w="833" w:type="pct"/>
          </w:tcPr>
          <w:p w:rsidR="004C0FB9" w:rsidRPr="003C1B12" w:rsidRDefault="00A912F2" w:rsidP="002D4287">
            <w:pPr>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146</w:t>
            </w:r>
          </w:p>
        </w:tc>
        <w:tc>
          <w:tcPr>
            <w:tcW w:w="833" w:type="pct"/>
          </w:tcPr>
          <w:p w:rsidR="004C0FB9" w:rsidRPr="003C1B12" w:rsidRDefault="004C0FB9">
            <w:pPr>
              <w:jc w:val="center"/>
              <w:rPr>
                <w:rFonts w:ascii="Times New Roman" w:eastAsiaTheme="minorHAnsi" w:hAnsi="Times New Roman"/>
                <w:color w:val="000000"/>
                <w:sz w:val="24"/>
                <w:szCs w:val="24"/>
                <w:lang w:eastAsia="en-US"/>
              </w:rPr>
            </w:pPr>
            <w:r w:rsidRPr="003C1B12">
              <w:rPr>
                <w:rFonts w:ascii="Times New Roman" w:hAnsi="Times New Roman"/>
                <w:color w:val="000000"/>
                <w:sz w:val="24"/>
                <w:szCs w:val="24"/>
              </w:rPr>
              <w:t>21</w:t>
            </w:r>
          </w:p>
        </w:tc>
        <w:tc>
          <w:tcPr>
            <w:tcW w:w="833" w:type="pct"/>
          </w:tcPr>
          <w:p w:rsidR="004C0FB9" w:rsidRPr="003C1B12" w:rsidRDefault="004C0FB9" w:rsidP="002D4287">
            <w:pPr>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8</w:t>
            </w:r>
          </w:p>
        </w:tc>
      </w:tr>
      <w:tr w:rsidR="004C0FB9" w:rsidRPr="003C1B12" w:rsidTr="003E49FD">
        <w:trPr>
          <w:jc w:val="center"/>
        </w:trPr>
        <w:tc>
          <w:tcPr>
            <w:tcW w:w="834" w:type="pct"/>
          </w:tcPr>
          <w:p w:rsidR="004C0FB9" w:rsidRPr="003C1B12" w:rsidRDefault="004C0FB9" w:rsidP="002D4287">
            <w:pP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MNKC</w:t>
            </w:r>
          </w:p>
        </w:tc>
        <w:tc>
          <w:tcPr>
            <w:tcW w:w="833" w:type="pct"/>
          </w:tcPr>
          <w:p w:rsidR="004C0FB9" w:rsidRPr="003C1B12" w:rsidRDefault="004C0FB9" w:rsidP="002D4287">
            <w:pPr>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19</w:t>
            </w:r>
          </w:p>
        </w:tc>
        <w:tc>
          <w:tcPr>
            <w:tcW w:w="834" w:type="pct"/>
          </w:tcPr>
          <w:p w:rsidR="004C0FB9" w:rsidRPr="003C1B12" w:rsidRDefault="004C0FB9" w:rsidP="002D4287">
            <w:pPr>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4</w:t>
            </w:r>
          </w:p>
        </w:tc>
        <w:tc>
          <w:tcPr>
            <w:tcW w:w="833" w:type="pct"/>
          </w:tcPr>
          <w:p w:rsidR="004C0FB9" w:rsidRPr="003C1B12" w:rsidRDefault="00A912F2" w:rsidP="002D4287">
            <w:pPr>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110</w:t>
            </w:r>
          </w:p>
        </w:tc>
        <w:tc>
          <w:tcPr>
            <w:tcW w:w="833" w:type="pct"/>
          </w:tcPr>
          <w:p w:rsidR="004C0FB9" w:rsidRPr="003C1B12" w:rsidRDefault="004C0FB9">
            <w:pPr>
              <w:jc w:val="center"/>
              <w:rPr>
                <w:rFonts w:ascii="Times New Roman" w:eastAsiaTheme="minorHAnsi" w:hAnsi="Times New Roman"/>
                <w:color w:val="000000"/>
                <w:sz w:val="24"/>
                <w:szCs w:val="24"/>
                <w:lang w:eastAsia="en-US"/>
              </w:rPr>
            </w:pPr>
            <w:r w:rsidRPr="003C1B12">
              <w:rPr>
                <w:rFonts w:ascii="Times New Roman" w:hAnsi="Times New Roman"/>
                <w:color w:val="000000"/>
                <w:sz w:val="24"/>
                <w:szCs w:val="24"/>
              </w:rPr>
              <w:t>26</w:t>
            </w:r>
          </w:p>
        </w:tc>
        <w:tc>
          <w:tcPr>
            <w:tcW w:w="833" w:type="pct"/>
          </w:tcPr>
          <w:p w:rsidR="004C0FB9" w:rsidRPr="003C1B12" w:rsidRDefault="004C0FB9" w:rsidP="002D4287">
            <w:pPr>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5</w:t>
            </w:r>
          </w:p>
        </w:tc>
      </w:tr>
      <w:tr w:rsidR="004C0FB9" w:rsidRPr="003C1B12" w:rsidTr="003E49FD">
        <w:trPr>
          <w:jc w:val="center"/>
        </w:trPr>
        <w:tc>
          <w:tcPr>
            <w:tcW w:w="834" w:type="pct"/>
          </w:tcPr>
          <w:p w:rsidR="004C0FB9" w:rsidRPr="003C1B12" w:rsidRDefault="004C0FB9" w:rsidP="002D4287">
            <w:pP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PCCCL</w:t>
            </w:r>
          </w:p>
        </w:tc>
        <w:tc>
          <w:tcPr>
            <w:tcW w:w="833" w:type="pct"/>
          </w:tcPr>
          <w:p w:rsidR="004C0FB9" w:rsidRPr="003C1B12" w:rsidRDefault="004C0FB9" w:rsidP="002D4287">
            <w:pPr>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41</w:t>
            </w:r>
          </w:p>
        </w:tc>
        <w:tc>
          <w:tcPr>
            <w:tcW w:w="834" w:type="pct"/>
          </w:tcPr>
          <w:p w:rsidR="004C0FB9" w:rsidRPr="003C1B12" w:rsidRDefault="004C0FB9" w:rsidP="002D4287">
            <w:pPr>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13</w:t>
            </w:r>
          </w:p>
        </w:tc>
        <w:tc>
          <w:tcPr>
            <w:tcW w:w="833" w:type="pct"/>
          </w:tcPr>
          <w:p w:rsidR="004C0FB9" w:rsidRPr="003C1B12" w:rsidRDefault="00A912F2" w:rsidP="002D4287">
            <w:pPr>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84</w:t>
            </w:r>
          </w:p>
        </w:tc>
        <w:tc>
          <w:tcPr>
            <w:tcW w:w="833" w:type="pct"/>
          </w:tcPr>
          <w:p w:rsidR="004C0FB9" w:rsidRPr="003C1B12" w:rsidRDefault="004C0FB9">
            <w:pPr>
              <w:jc w:val="center"/>
              <w:rPr>
                <w:rFonts w:ascii="Times New Roman" w:eastAsiaTheme="minorHAnsi" w:hAnsi="Times New Roman"/>
                <w:color w:val="000000"/>
                <w:sz w:val="24"/>
                <w:szCs w:val="24"/>
                <w:lang w:eastAsia="en-US"/>
              </w:rPr>
            </w:pPr>
            <w:r w:rsidRPr="003C1B12">
              <w:rPr>
                <w:rFonts w:ascii="Times New Roman" w:hAnsi="Times New Roman"/>
                <w:color w:val="000000"/>
                <w:sz w:val="24"/>
                <w:szCs w:val="24"/>
              </w:rPr>
              <w:t>19</w:t>
            </w:r>
          </w:p>
        </w:tc>
        <w:tc>
          <w:tcPr>
            <w:tcW w:w="833" w:type="pct"/>
          </w:tcPr>
          <w:p w:rsidR="004C0FB9" w:rsidRPr="003C1B12" w:rsidRDefault="004C0FB9" w:rsidP="002D4287">
            <w:pPr>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6</w:t>
            </w:r>
          </w:p>
        </w:tc>
      </w:tr>
      <w:tr w:rsidR="004C0FB9" w:rsidRPr="003C1B12" w:rsidTr="003E49FD">
        <w:trPr>
          <w:jc w:val="center"/>
        </w:trPr>
        <w:tc>
          <w:tcPr>
            <w:tcW w:w="834" w:type="pct"/>
          </w:tcPr>
          <w:p w:rsidR="004C0FB9" w:rsidRPr="003C1B12" w:rsidRDefault="004C0FB9" w:rsidP="002D4287">
            <w:pP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LEO KC</w:t>
            </w:r>
          </w:p>
        </w:tc>
        <w:tc>
          <w:tcPr>
            <w:tcW w:w="833" w:type="pct"/>
          </w:tcPr>
          <w:p w:rsidR="004C0FB9" w:rsidRPr="003C1B12" w:rsidRDefault="004C0FB9" w:rsidP="002D4287">
            <w:pPr>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38</w:t>
            </w:r>
          </w:p>
        </w:tc>
        <w:tc>
          <w:tcPr>
            <w:tcW w:w="834" w:type="pct"/>
          </w:tcPr>
          <w:p w:rsidR="004C0FB9" w:rsidRPr="003C1B12" w:rsidRDefault="004C0FB9" w:rsidP="002D4287">
            <w:pPr>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4</w:t>
            </w:r>
          </w:p>
        </w:tc>
        <w:tc>
          <w:tcPr>
            <w:tcW w:w="833" w:type="pct"/>
          </w:tcPr>
          <w:p w:rsidR="004C0FB9" w:rsidRPr="003C1B12" w:rsidRDefault="004C0FB9" w:rsidP="002D4287">
            <w:pPr>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42</w:t>
            </w:r>
          </w:p>
        </w:tc>
        <w:tc>
          <w:tcPr>
            <w:tcW w:w="833" w:type="pct"/>
          </w:tcPr>
          <w:p w:rsidR="004C0FB9" w:rsidRPr="003C1B12" w:rsidRDefault="004C0FB9">
            <w:pPr>
              <w:jc w:val="center"/>
              <w:rPr>
                <w:rFonts w:ascii="Times New Roman" w:eastAsiaTheme="minorHAnsi" w:hAnsi="Times New Roman"/>
                <w:color w:val="000000"/>
                <w:sz w:val="24"/>
                <w:szCs w:val="24"/>
                <w:lang w:eastAsia="en-US"/>
              </w:rPr>
            </w:pPr>
            <w:r w:rsidRPr="003C1B12">
              <w:rPr>
                <w:rFonts w:ascii="Times New Roman" w:hAnsi="Times New Roman"/>
                <w:color w:val="000000"/>
                <w:sz w:val="24"/>
                <w:szCs w:val="24"/>
              </w:rPr>
              <w:t>33</w:t>
            </w:r>
          </w:p>
        </w:tc>
        <w:tc>
          <w:tcPr>
            <w:tcW w:w="833" w:type="pct"/>
          </w:tcPr>
          <w:p w:rsidR="004C0FB9" w:rsidRPr="003C1B12" w:rsidRDefault="004C0FB9" w:rsidP="002D4287">
            <w:pPr>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5</w:t>
            </w:r>
          </w:p>
        </w:tc>
      </w:tr>
      <w:tr w:rsidR="004C0FB9" w:rsidRPr="003C1B12" w:rsidTr="003E49FD">
        <w:trPr>
          <w:jc w:val="center"/>
        </w:trPr>
        <w:tc>
          <w:tcPr>
            <w:tcW w:w="834" w:type="pct"/>
          </w:tcPr>
          <w:p w:rsidR="004C0FB9" w:rsidRPr="003C1B12" w:rsidRDefault="004C0FB9" w:rsidP="002D4287">
            <w:pP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VBBKC</w:t>
            </w:r>
          </w:p>
        </w:tc>
        <w:tc>
          <w:tcPr>
            <w:tcW w:w="833" w:type="pct"/>
          </w:tcPr>
          <w:p w:rsidR="004C0FB9" w:rsidRPr="003C1B12" w:rsidRDefault="004C0FB9" w:rsidP="002D4287">
            <w:pPr>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68</w:t>
            </w:r>
          </w:p>
        </w:tc>
        <w:tc>
          <w:tcPr>
            <w:tcW w:w="834" w:type="pct"/>
          </w:tcPr>
          <w:p w:rsidR="004C0FB9" w:rsidRPr="003C1B12" w:rsidRDefault="004C0FB9" w:rsidP="002D4287">
            <w:pPr>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37</w:t>
            </w:r>
          </w:p>
        </w:tc>
        <w:tc>
          <w:tcPr>
            <w:tcW w:w="833" w:type="pct"/>
          </w:tcPr>
          <w:p w:rsidR="004C0FB9" w:rsidRPr="003C1B12" w:rsidRDefault="00773A1F" w:rsidP="002D4287">
            <w:pPr>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150</w:t>
            </w:r>
          </w:p>
        </w:tc>
        <w:tc>
          <w:tcPr>
            <w:tcW w:w="833" w:type="pct"/>
          </w:tcPr>
          <w:p w:rsidR="004C0FB9" w:rsidRPr="003C1B12" w:rsidRDefault="00D2747A" w:rsidP="00D2747A">
            <w:pPr>
              <w:jc w:val="center"/>
              <w:rPr>
                <w:rFonts w:ascii="Times New Roman" w:eastAsiaTheme="minorHAnsi" w:hAnsi="Times New Roman"/>
                <w:color w:val="000000"/>
                <w:sz w:val="24"/>
                <w:szCs w:val="24"/>
                <w:lang w:eastAsia="en-US"/>
              </w:rPr>
            </w:pPr>
            <w:r w:rsidRPr="003C1B12">
              <w:rPr>
                <w:rFonts w:ascii="Times New Roman" w:hAnsi="Times New Roman"/>
                <w:color w:val="000000"/>
                <w:sz w:val="24"/>
                <w:szCs w:val="24"/>
              </w:rPr>
              <w:t>41</w:t>
            </w:r>
          </w:p>
        </w:tc>
        <w:tc>
          <w:tcPr>
            <w:tcW w:w="833" w:type="pct"/>
          </w:tcPr>
          <w:p w:rsidR="004C0FB9" w:rsidRPr="003C1B12" w:rsidRDefault="004C0FB9" w:rsidP="002D4287">
            <w:pPr>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7</w:t>
            </w:r>
          </w:p>
        </w:tc>
      </w:tr>
      <w:tr w:rsidR="004C0FB9" w:rsidRPr="003C1B12" w:rsidTr="003E49FD">
        <w:trPr>
          <w:jc w:val="center"/>
        </w:trPr>
        <w:tc>
          <w:tcPr>
            <w:tcW w:w="834" w:type="pct"/>
          </w:tcPr>
          <w:p w:rsidR="004C0FB9" w:rsidRPr="003C1B12" w:rsidRDefault="004C0FB9" w:rsidP="002D4287">
            <w:pP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TMKC</w:t>
            </w:r>
          </w:p>
        </w:tc>
        <w:tc>
          <w:tcPr>
            <w:tcW w:w="833" w:type="pct"/>
          </w:tcPr>
          <w:p w:rsidR="004C0FB9" w:rsidRPr="003C1B12" w:rsidRDefault="004C0FB9" w:rsidP="002D4287">
            <w:pPr>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30</w:t>
            </w:r>
          </w:p>
        </w:tc>
        <w:tc>
          <w:tcPr>
            <w:tcW w:w="834" w:type="pct"/>
          </w:tcPr>
          <w:p w:rsidR="004C0FB9" w:rsidRPr="003C1B12" w:rsidRDefault="004C0FB9" w:rsidP="002D4287">
            <w:pPr>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2</w:t>
            </w:r>
          </w:p>
        </w:tc>
        <w:tc>
          <w:tcPr>
            <w:tcW w:w="833" w:type="pct"/>
          </w:tcPr>
          <w:p w:rsidR="004C0FB9" w:rsidRPr="003C1B12" w:rsidRDefault="00A912F2" w:rsidP="00A912F2">
            <w:pPr>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185</w:t>
            </w:r>
          </w:p>
        </w:tc>
        <w:tc>
          <w:tcPr>
            <w:tcW w:w="833" w:type="pct"/>
          </w:tcPr>
          <w:p w:rsidR="004C0FB9" w:rsidRPr="003C1B12" w:rsidRDefault="004C0FB9">
            <w:pPr>
              <w:jc w:val="center"/>
              <w:rPr>
                <w:rFonts w:ascii="Times New Roman" w:eastAsiaTheme="minorHAnsi" w:hAnsi="Times New Roman"/>
                <w:color w:val="000000"/>
                <w:sz w:val="24"/>
                <w:szCs w:val="24"/>
                <w:lang w:eastAsia="en-US"/>
              </w:rPr>
            </w:pPr>
            <w:r w:rsidRPr="003C1B12">
              <w:rPr>
                <w:rFonts w:ascii="Times New Roman" w:hAnsi="Times New Roman"/>
                <w:color w:val="000000"/>
                <w:sz w:val="24"/>
                <w:szCs w:val="24"/>
              </w:rPr>
              <w:t>24</w:t>
            </w:r>
          </w:p>
        </w:tc>
        <w:tc>
          <w:tcPr>
            <w:tcW w:w="833" w:type="pct"/>
          </w:tcPr>
          <w:p w:rsidR="004C0FB9" w:rsidRPr="003C1B12" w:rsidRDefault="004C0FB9" w:rsidP="002D4287">
            <w:pPr>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2</w:t>
            </w:r>
          </w:p>
        </w:tc>
      </w:tr>
      <w:tr w:rsidR="004C0FB9" w:rsidRPr="003C1B12" w:rsidTr="003E49FD">
        <w:trPr>
          <w:jc w:val="center"/>
        </w:trPr>
        <w:tc>
          <w:tcPr>
            <w:tcW w:w="834" w:type="pct"/>
          </w:tcPr>
          <w:p w:rsidR="004C0FB9" w:rsidRPr="003C1B12" w:rsidRDefault="004C0FB9" w:rsidP="002D4287">
            <w:pPr>
              <w:rPr>
                <w:rFonts w:ascii="Times New Roman" w:hAnsi="Times New Roman" w:cs="Times New Roman"/>
                <w:b/>
                <w:color w:val="000000" w:themeColor="text1"/>
                <w:sz w:val="24"/>
                <w:szCs w:val="24"/>
              </w:rPr>
            </w:pPr>
            <w:r w:rsidRPr="003C1B12">
              <w:rPr>
                <w:rFonts w:ascii="Times New Roman" w:hAnsi="Times New Roman" w:cs="Times New Roman"/>
                <w:b/>
                <w:color w:val="000000" w:themeColor="text1"/>
                <w:sz w:val="24"/>
                <w:szCs w:val="24"/>
              </w:rPr>
              <w:t>KOPĀ</w:t>
            </w:r>
          </w:p>
        </w:tc>
        <w:tc>
          <w:tcPr>
            <w:tcW w:w="833" w:type="pct"/>
          </w:tcPr>
          <w:p w:rsidR="004C0FB9" w:rsidRPr="003C1B12" w:rsidRDefault="004C0FB9" w:rsidP="002D4287">
            <w:pPr>
              <w:jc w:val="center"/>
              <w:rPr>
                <w:rFonts w:ascii="Times New Roman" w:hAnsi="Times New Roman" w:cs="Times New Roman"/>
                <w:b/>
                <w:color w:val="000000" w:themeColor="text1"/>
                <w:sz w:val="24"/>
                <w:szCs w:val="24"/>
              </w:rPr>
            </w:pPr>
            <w:r w:rsidRPr="003C1B12">
              <w:rPr>
                <w:rFonts w:ascii="Times New Roman" w:hAnsi="Times New Roman" w:cs="Times New Roman"/>
                <w:b/>
                <w:color w:val="000000" w:themeColor="text1"/>
                <w:sz w:val="24"/>
                <w:szCs w:val="24"/>
              </w:rPr>
              <w:t>231</w:t>
            </w:r>
          </w:p>
        </w:tc>
        <w:tc>
          <w:tcPr>
            <w:tcW w:w="834" w:type="pct"/>
          </w:tcPr>
          <w:p w:rsidR="004C0FB9" w:rsidRPr="003C1B12" w:rsidRDefault="004C0FB9" w:rsidP="002D4287">
            <w:pPr>
              <w:jc w:val="center"/>
              <w:rPr>
                <w:rFonts w:ascii="Times New Roman" w:hAnsi="Times New Roman" w:cs="Times New Roman"/>
                <w:b/>
                <w:color w:val="000000" w:themeColor="text1"/>
                <w:sz w:val="24"/>
                <w:szCs w:val="24"/>
              </w:rPr>
            </w:pPr>
            <w:r w:rsidRPr="003C1B12">
              <w:rPr>
                <w:rFonts w:ascii="Times New Roman" w:hAnsi="Times New Roman" w:cs="Times New Roman"/>
                <w:b/>
                <w:color w:val="000000" w:themeColor="text1"/>
                <w:sz w:val="24"/>
                <w:szCs w:val="24"/>
              </w:rPr>
              <w:t>78</w:t>
            </w:r>
          </w:p>
        </w:tc>
        <w:tc>
          <w:tcPr>
            <w:tcW w:w="833" w:type="pct"/>
          </w:tcPr>
          <w:p w:rsidR="004C0FB9" w:rsidRPr="003C1B12" w:rsidRDefault="00844519" w:rsidP="002D4287">
            <w:pPr>
              <w:jc w:val="center"/>
              <w:rPr>
                <w:rFonts w:ascii="Times New Roman" w:hAnsi="Times New Roman" w:cs="Times New Roman"/>
                <w:b/>
                <w:color w:val="000000" w:themeColor="text1"/>
                <w:sz w:val="24"/>
                <w:szCs w:val="24"/>
              </w:rPr>
            </w:pPr>
            <w:r w:rsidRPr="003C1B12">
              <w:rPr>
                <w:rFonts w:ascii="Times New Roman" w:hAnsi="Times New Roman" w:cs="Times New Roman"/>
                <w:b/>
                <w:color w:val="000000" w:themeColor="text1"/>
                <w:sz w:val="24"/>
                <w:szCs w:val="24"/>
              </w:rPr>
              <w:t>717</w:t>
            </w:r>
          </w:p>
        </w:tc>
        <w:tc>
          <w:tcPr>
            <w:tcW w:w="833" w:type="pct"/>
          </w:tcPr>
          <w:p w:rsidR="004C0FB9" w:rsidRPr="003C1B12" w:rsidRDefault="00D2747A" w:rsidP="00D2747A">
            <w:pPr>
              <w:jc w:val="center"/>
              <w:rPr>
                <w:rFonts w:ascii="Times New Roman" w:eastAsiaTheme="minorHAnsi" w:hAnsi="Times New Roman"/>
                <w:b/>
                <w:bCs/>
                <w:color w:val="000000"/>
                <w:sz w:val="24"/>
                <w:szCs w:val="24"/>
                <w:lang w:eastAsia="en-US"/>
              </w:rPr>
            </w:pPr>
            <w:r w:rsidRPr="003C1B12">
              <w:rPr>
                <w:rFonts w:ascii="Times New Roman" w:hAnsi="Times New Roman"/>
                <w:b/>
                <w:bCs/>
                <w:color w:val="000000"/>
                <w:sz w:val="24"/>
                <w:szCs w:val="24"/>
              </w:rPr>
              <w:t>164</w:t>
            </w:r>
          </w:p>
        </w:tc>
        <w:tc>
          <w:tcPr>
            <w:tcW w:w="833" w:type="pct"/>
          </w:tcPr>
          <w:p w:rsidR="004C0FB9" w:rsidRPr="003C1B12" w:rsidRDefault="004C0FB9" w:rsidP="002D4287">
            <w:pPr>
              <w:jc w:val="center"/>
              <w:rPr>
                <w:rFonts w:ascii="Times New Roman" w:hAnsi="Times New Roman" w:cs="Times New Roman"/>
                <w:b/>
                <w:color w:val="000000" w:themeColor="text1"/>
                <w:sz w:val="24"/>
                <w:szCs w:val="24"/>
              </w:rPr>
            </w:pPr>
            <w:r w:rsidRPr="003C1B12">
              <w:rPr>
                <w:rFonts w:ascii="Times New Roman" w:hAnsi="Times New Roman" w:cs="Times New Roman"/>
                <w:b/>
                <w:color w:val="000000" w:themeColor="text1"/>
                <w:sz w:val="24"/>
                <w:szCs w:val="24"/>
              </w:rPr>
              <w:t>33</w:t>
            </w:r>
          </w:p>
        </w:tc>
      </w:tr>
    </w:tbl>
    <w:p w:rsidR="003E49FD" w:rsidRPr="003C1B12" w:rsidRDefault="003E49FD" w:rsidP="003E49FD">
      <w:pPr>
        <w:spacing w:after="0" w:line="240" w:lineRule="auto"/>
        <w:ind w:firstLine="709"/>
        <w:jc w:val="both"/>
        <w:rPr>
          <w:rFonts w:ascii="Times New Roman" w:hAnsi="Times New Roman" w:cs="Times New Roman"/>
          <w:sz w:val="24"/>
        </w:rPr>
      </w:pPr>
    </w:p>
    <w:p w:rsidR="003E49FD" w:rsidRPr="003C1B12" w:rsidRDefault="003E49FD" w:rsidP="003E49FD">
      <w:pPr>
        <w:shd w:val="clear" w:color="auto" w:fill="FFFFFF"/>
        <w:spacing w:after="0" w:line="240" w:lineRule="auto"/>
        <w:ind w:firstLine="720"/>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 xml:space="preserve">Darbības programmas papildinājumā un </w:t>
      </w:r>
      <w:r w:rsidRPr="003C1B12">
        <w:rPr>
          <w:rFonts w:ascii="Times New Roman" w:eastAsia="Times New Roman" w:hAnsi="Times New Roman" w:cs="Times New Roman"/>
          <w:bCs/>
          <w:color w:val="000000" w:themeColor="text1"/>
          <w:sz w:val="24"/>
          <w:szCs w:val="24"/>
          <w:lang w:eastAsia="lv-LV"/>
        </w:rPr>
        <w:t xml:space="preserve">Ministru kabineta </w:t>
      </w:r>
      <w:r w:rsidRPr="003C1B12">
        <w:rPr>
          <w:rFonts w:ascii="Times New Roman" w:eastAsia="Times New Roman" w:hAnsi="Times New Roman" w:cs="Times New Roman"/>
          <w:color w:val="000000" w:themeColor="text1"/>
          <w:sz w:val="24"/>
          <w:szCs w:val="24"/>
          <w:lang w:eastAsia="lv-LV"/>
        </w:rPr>
        <w:t xml:space="preserve">2010.gada 13.aprīļa </w:t>
      </w:r>
      <w:r w:rsidRPr="003C1B12">
        <w:rPr>
          <w:rFonts w:ascii="Times New Roman" w:eastAsia="Times New Roman" w:hAnsi="Times New Roman" w:cs="Times New Roman"/>
          <w:bCs/>
          <w:color w:val="000000" w:themeColor="text1"/>
          <w:sz w:val="24"/>
          <w:szCs w:val="24"/>
          <w:lang w:eastAsia="lv-LV"/>
        </w:rPr>
        <w:t>n</w:t>
      </w:r>
      <w:r w:rsidR="003B0A62" w:rsidRPr="003C1B12">
        <w:rPr>
          <w:rFonts w:ascii="Times New Roman" w:eastAsia="Times New Roman" w:hAnsi="Times New Roman" w:cs="Times New Roman"/>
          <w:bCs/>
          <w:color w:val="000000" w:themeColor="text1"/>
          <w:sz w:val="24"/>
          <w:szCs w:val="24"/>
          <w:lang w:eastAsia="lv-LV"/>
        </w:rPr>
        <w:t>oteikumos</w:t>
      </w:r>
      <w:r w:rsidRPr="003C1B12">
        <w:rPr>
          <w:rFonts w:ascii="Times New Roman" w:eastAsia="Times New Roman" w:hAnsi="Times New Roman" w:cs="Times New Roman"/>
          <w:bCs/>
          <w:color w:val="000000" w:themeColor="text1"/>
          <w:sz w:val="24"/>
          <w:szCs w:val="24"/>
          <w:lang w:eastAsia="lv-LV"/>
        </w:rPr>
        <w:t xml:space="preserve"> Nr.361</w:t>
      </w:r>
      <w:r w:rsidR="00E272A1" w:rsidRPr="003C1B12">
        <w:rPr>
          <w:rFonts w:ascii="Times New Roman" w:eastAsia="Times New Roman" w:hAnsi="Times New Roman" w:cs="Times New Roman"/>
          <w:color w:val="000000" w:themeColor="text1"/>
          <w:sz w:val="24"/>
          <w:szCs w:val="24"/>
          <w:lang w:eastAsia="lv-LV"/>
        </w:rPr>
        <w:t xml:space="preserve"> </w:t>
      </w:r>
      <w:r w:rsidR="003B0A62" w:rsidRPr="003C1B12">
        <w:rPr>
          <w:rFonts w:ascii="Times New Roman" w:eastAsia="Times New Roman" w:hAnsi="Times New Roman" w:cs="Times New Roman"/>
          <w:color w:val="000000" w:themeColor="text1"/>
          <w:sz w:val="24"/>
          <w:szCs w:val="24"/>
          <w:lang w:eastAsia="lv-LV"/>
        </w:rPr>
        <w:t>„</w:t>
      </w:r>
      <w:r w:rsidRPr="003C1B12">
        <w:rPr>
          <w:rFonts w:ascii="Times New Roman" w:eastAsia="Times New Roman" w:hAnsi="Times New Roman" w:cs="Times New Roman"/>
          <w:bCs/>
          <w:color w:val="000000" w:themeColor="text1"/>
          <w:sz w:val="24"/>
          <w:szCs w:val="24"/>
          <w:lang w:eastAsia="lv-LV"/>
        </w:rPr>
        <w:t>Not</w:t>
      </w:r>
      <w:r w:rsidR="003B0A62" w:rsidRPr="003C1B12">
        <w:rPr>
          <w:rFonts w:ascii="Times New Roman" w:eastAsia="Times New Roman" w:hAnsi="Times New Roman" w:cs="Times New Roman"/>
          <w:bCs/>
          <w:color w:val="000000" w:themeColor="text1"/>
          <w:sz w:val="24"/>
          <w:szCs w:val="24"/>
          <w:lang w:eastAsia="lv-LV"/>
        </w:rPr>
        <w:t>eikumi par darbības programmas „Uzņēmējdarbība un inovācijas”</w:t>
      </w:r>
      <w:r w:rsidRPr="003C1B12">
        <w:rPr>
          <w:rFonts w:ascii="Times New Roman" w:eastAsia="Times New Roman" w:hAnsi="Times New Roman" w:cs="Times New Roman"/>
          <w:bCs/>
          <w:color w:val="000000" w:themeColor="text1"/>
          <w:sz w:val="24"/>
          <w:szCs w:val="24"/>
          <w:lang w:eastAsia="lv-LV"/>
        </w:rPr>
        <w:t xml:space="preserve"> papildinā</w:t>
      </w:r>
      <w:r w:rsidR="003B0A62" w:rsidRPr="003C1B12">
        <w:rPr>
          <w:rFonts w:ascii="Times New Roman" w:eastAsia="Times New Roman" w:hAnsi="Times New Roman" w:cs="Times New Roman"/>
          <w:bCs/>
          <w:color w:val="000000" w:themeColor="text1"/>
          <w:sz w:val="24"/>
          <w:szCs w:val="24"/>
          <w:lang w:eastAsia="lv-LV"/>
        </w:rPr>
        <w:t>juma 2.1.2.1.1.apakšaktivitāti „Kompetences centri””</w:t>
      </w:r>
      <w:r w:rsidRPr="003C1B12">
        <w:rPr>
          <w:rFonts w:ascii="Times New Roman" w:hAnsi="Times New Roman" w:cs="Times New Roman"/>
          <w:color w:val="000000" w:themeColor="text1"/>
          <w:sz w:val="24"/>
          <w:szCs w:val="24"/>
        </w:rPr>
        <w:t xml:space="preserve"> noteikti sekojoši </w:t>
      </w:r>
      <w:r w:rsidR="000968EB" w:rsidRPr="003C1B12">
        <w:rPr>
          <w:rFonts w:ascii="Times New Roman" w:hAnsi="Times New Roman" w:cs="Times New Roman"/>
          <w:color w:val="000000" w:themeColor="text1"/>
          <w:sz w:val="24"/>
          <w:szCs w:val="24"/>
        </w:rPr>
        <w:t>KC</w:t>
      </w:r>
      <w:r w:rsidRPr="003C1B12">
        <w:rPr>
          <w:rFonts w:ascii="Times New Roman" w:hAnsi="Times New Roman" w:cs="Times New Roman"/>
          <w:color w:val="000000" w:themeColor="text1"/>
          <w:sz w:val="24"/>
          <w:szCs w:val="24"/>
        </w:rPr>
        <w:t xml:space="preserve"> programmas </w:t>
      </w:r>
      <w:r w:rsidR="00D0217D" w:rsidRPr="003C1B12">
        <w:rPr>
          <w:rFonts w:ascii="Times New Roman" w:hAnsi="Times New Roman" w:cs="Times New Roman"/>
          <w:color w:val="000000" w:themeColor="text1"/>
          <w:sz w:val="24"/>
          <w:szCs w:val="24"/>
        </w:rPr>
        <w:t>iznākuma un ietekmes rādītāji</w:t>
      </w:r>
      <w:r w:rsidR="00ED086F" w:rsidRPr="003C1B12">
        <w:rPr>
          <w:rFonts w:ascii="Times New Roman" w:hAnsi="Times New Roman" w:cs="Times New Roman"/>
          <w:color w:val="000000" w:themeColor="text1"/>
          <w:sz w:val="24"/>
          <w:szCs w:val="24"/>
        </w:rPr>
        <w:t xml:space="preserve"> (sk. tabulā Nr.4).</w:t>
      </w:r>
    </w:p>
    <w:p w:rsidR="00ED086F" w:rsidRPr="003C1B12" w:rsidRDefault="00ED086F" w:rsidP="00ED086F">
      <w:pPr>
        <w:spacing w:after="0" w:line="240" w:lineRule="auto"/>
        <w:jc w:val="right"/>
        <w:rPr>
          <w:rFonts w:ascii="Times New Roman" w:hAnsi="Times New Roman" w:cs="Times New Roman"/>
          <w:sz w:val="24"/>
          <w:szCs w:val="24"/>
        </w:rPr>
      </w:pPr>
      <w:r w:rsidRPr="003C1B12">
        <w:rPr>
          <w:rFonts w:ascii="Times New Roman" w:hAnsi="Times New Roman" w:cs="Times New Roman"/>
          <w:sz w:val="24"/>
          <w:szCs w:val="24"/>
        </w:rPr>
        <w:t>Tabula Nr.</w:t>
      </w:r>
      <w:r w:rsidRPr="003C1B12">
        <w:rPr>
          <w:rFonts w:ascii="Times New Roman" w:hAnsi="Times New Roman" w:cs="Times New Roman"/>
          <w:sz w:val="24"/>
          <w:szCs w:val="24"/>
        </w:rPr>
        <w:fldChar w:fldCharType="begin"/>
      </w:r>
      <w:r w:rsidRPr="003C1B12">
        <w:rPr>
          <w:rFonts w:ascii="Times New Roman" w:hAnsi="Times New Roman" w:cs="Times New Roman"/>
          <w:sz w:val="24"/>
          <w:szCs w:val="24"/>
        </w:rPr>
        <w:instrText xml:space="preserve"> SEQ Tabula_Nr. \* ARABIC </w:instrText>
      </w:r>
      <w:r w:rsidRPr="003C1B12">
        <w:rPr>
          <w:rFonts w:ascii="Times New Roman" w:hAnsi="Times New Roman" w:cs="Times New Roman"/>
          <w:sz w:val="24"/>
          <w:szCs w:val="24"/>
        </w:rPr>
        <w:fldChar w:fldCharType="separate"/>
      </w:r>
      <w:r w:rsidR="00A379AF" w:rsidRPr="003C1B12">
        <w:rPr>
          <w:rFonts w:ascii="Times New Roman" w:hAnsi="Times New Roman" w:cs="Times New Roman"/>
          <w:noProof/>
          <w:sz w:val="24"/>
          <w:szCs w:val="24"/>
        </w:rPr>
        <w:t>4</w:t>
      </w:r>
      <w:r w:rsidRPr="003C1B12">
        <w:rPr>
          <w:rFonts w:ascii="Times New Roman" w:hAnsi="Times New Roman" w:cs="Times New Roman"/>
          <w:sz w:val="24"/>
          <w:szCs w:val="24"/>
        </w:rPr>
        <w:fldChar w:fldCharType="end"/>
      </w:r>
    </w:p>
    <w:p w:rsidR="00ED086F" w:rsidRPr="003C1B12" w:rsidRDefault="000968EB" w:rsidP="00ED086F">
      <w:pPr>
        <w:spacing w:after="120" w:line="240" w:lineRule="auto"/>
        <w:jc w:val="center"/>
        <w:rPr>
          <w:rFonts w:ascii="Times New Roman" w:hAnsi="Times New Roman" w:cs="Times New Roman"/>
          <w:sz w:val="24"/>
          <w:szCs w:val="24"/>
        </w:rPr>
      </w:pPr>
      <w:r w:rsidRPr="003C1B12">
        <w:rPr>
          <w:rFonts w:ascii="Times New Roman" w:hAnsi="Times New Roman" w:cs="Times New Roman"/>
          <w:color w:val="000000" w:themeColor="text1"/>
          <w:sz w:val="24"/>
          <w:szCs w:val="24"/>
        </w:rPr>
        <w:t>KC</w:t>
      </w:r>
      <w:r w:rsidR="00ED086F" w:rsidRPr="003C1B12">
        <w:rPr>
          <w:rFonts w:ascii="Times New Roman" w:hAnsi="Times New Roman" w:cs="Times New Roman"/>
          <w:color w:val="000000" w:themeColor="text1"/>
          <w:sz w:val="24"/>
          <w:szCs w:val="24"/>
        </w:rPr>
        <w:t xml:space="preserve"> programmas iznākuma un ietekmes rādītāji</w:t>
      </w:r>
    </w:p>
    <w:tbl>
      <w:tblPr>
        <w:tblStyle w:val="TableGrid"/>
        <w:tblW w:w="0" w:type="auto"/>
        <w:jc w:val="center"/>
        <w:tblLook w:val="04A0" w:firstRow="1" w:lastRow="0" w:firstColumn="1" w:lastColumn="0" w:noHBand="0" w:noVBand="1"/>
      </w:tblPr>
      <w:tblGrid>
        <w:gridCol w:w="4077"/>
        <w:gridCol w:w="1741"/>
        <w:gridCol w:w="1296"/>
      </w:tblGrid>
      <w:tr w:rsidR="00D0217D" w:rsidRPr="003C1B12" w:rsidTr="00E272A1">
        <w:trPr>
          <w:jc w:val="center"/>
        </w:trPr>
        <w:tc>
          <w:tcPr>
            <w:tcW w:w="4077" w:type="dxa"/>
          </w:tcPr>
          <w:p w:rsidR="00D0217D" w:rsidRPr="003C1B12" w:rsidRDefault="00D0217D" w:rsidP="00D0217D">
            <w:pPr>
              <w:jc w:val="center"/>
              <w:rPr>
                <w:rFonts w:ascii="Times New Roman" w:hAnsi="Times New Roman" w:cs="Times New Roman"/>
                <w:color w:val="000000" w:themeColor="text1"/>
                <w:sz w:val="24"/>
                <w:szCs w:val="20"/>
              </w:rPr>
            </w:pPr>
            <w:r w:rsidRPr="003C1B12">
              <w:rPr>
                <w:rFonts w:ascii="Times New Roman" w:hAnsi="Times New Roman" w:cs="Times New Roman"/>
                <w:color w:val="000000" w:themeColor="text1"/>
                <w:sz w:val="24"/>
                <w:szCs w:val="20"/>
              </w:rPr>
              <w:t>Rādītājs</w:t>
            </w:r>
          </w:p>
        </w:tc>
        <w:tc>
          <w:tcPr>
            <w:tcW w:w="1741" w:type="dxa"/>
          </w:tcPr>
          <w:p w:rsidR="00D0217D" w:rsidRPr="003C1B12" w:rsidRDefault="00D0217D" w:rsidP="00D0217D">
            <w:pPr>
              <w:jc w:val="center"/>
              <w:rPr>
                <w:rFonts w:ascii="Times New Roman" w:hAnsi="Times New Roman" w:cs="Times New Roman"/>
                <w:color w:val="000000" w:themeColor="text1"/>
                <w:sz w:val="24"/>
                <w:szCs w:val="20"/>
              </w:rPr>
            </w:pPr>
            <w:r w:rsidRPr="003C1B12">
              <w:rPr>
                <w:rFonts w:ascii="Times New Roman" w:hAnsi="Times New Roman" w:cs="Times New Roman"/>
                <w:color w:val="000000" w:themeColor="text1"/>
                <w:sz w:val="24"/>
                <w:szCs w:val="20"/>
              </w:rPr>
              <w:t>Noteiktās mērķa vērtības</w:t>
            </w:r>
          </w:p>
        </w:tc>
        <w:tc>
          <w:tcPr>
            <w:tcW w:w="1296" w:type="dxa"/>
          </w:tcPr>
          <w:p w:rsidR="00D0217D" w:rsidRPr="003C1B12" w:rsidRDefault="00D0217D" w:rsidP="00D0217D">
            <w:pPr>
              <w:jc w:val="center"/>
              <w:rPr>
                <w:rFonts w:ascii="Times New Roman" w:hAnsi="Times New Roman" w:cs="Times New Roman"/>
                <w:color w:val="000000" w:themeColor="text1"/>
                <w:sz w:val="24"/>
                <w:szCs w:val="20"/>
              </w:rPr>
            </w:pPr>
            <w:r w:rsidRPr="003C1B12">
              <w:rPr>
                <w:rFonts w:ascii="Times New Roman" w:hAnsi="Times New Roman" w:cs="Times New Roman"/>
                <w:color w:val="000000" w:themeColor="text1"/>
                <w:sz w:val="24"/>
                <w:szCs w:val="20"/>
              </w:rPr>
              <w:t>Izpilde</w:t>
            </w:r>
          </w:p>
          <w:p w:rsidR="00D0217D" w:rsidRPr="003C1B12" w:rsidRDefault="00D0217D" w:rsidP="00D0217D">
            <w:pPr>
              <w:jc w:val="center"/>
              <w:rPr>
                <w:rFonts w:ascii="Times New Roman" w:hAnsi="Times New Roman" w:cs="Times New Roman"/>
                <w:color w:val="000000" w:themeColor="text1"/>
                <w:sz w:val="24"/>
                <w:szCs w:val="20"/>
              </w:rPr>
            </w:pPr>
            <w:r w:rsidRPr="003C1B12">
              <w:rPr>
                <w:rFonts w:ascii="Times New Roman" w:hAnsi="Times New Roman" w:cs="Times New Roman"/>
                <w:color w:val="000000" w:themeColor="text1"/>
                <w:sz w:val="24"/>
                <w:szCs w:val="20"/>
              </w:rPr>
              <w:t>31.12.2014</w:t>
            </w:r>
          </w:p>
        </w:tc>
      </w:tr>
      <w:tr w:rsidR="00D0217D" w:rsidRPr="003C1B12" w:rsidTr="00E272A1">
        <w:trPr>
          <w:jc w:val="center"/>
        </w:trPr>
        <w:tc>
          <w:tcPr>
            <w:tcW w:w="4077" w:type="dxa"/>
          </w:tcPr>
          <w:p w:rsidR="00D0217D" w:rsidRPr="003C1B12" w:rsidRDefault="00D0217D" w:rsidP="000968EB">
            <w:pPr>
              <w:jc w:val="both"/>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rPr>
              <w:t xml:space="preserve">Atbalstīto </w:t>
            </w:r>
            <w:r w:rsidR="000968EB" w:rsidRPr="003C1B12">
              <w:rPr>
                <w:rFonts w:ascii="Times New Roman" w:hAnsi="Times New Roman" w:cs="Times New Roman"/>
                <w:color w:val="000000" w:themeColor="text1"/>
                <w:sz w:val="20"/>
                <w:szCs w:val="20"/>
              </w:rPr>
              <w:t>KC</w:t>
            </w:r>
            <w:r w:rsidRPr="003C1B12">
              <w:rPr>
                <w:rFonts w:ascii="Times New Roman" w:hAnsi="Times New Roman" w:cs="Times New Roman"/>
                <w:color w:val="000000" w:themeColor="text1"/>
                <w:sz w:val="20"/>
                <w:szCs w:val="20"/>
              </w:rPr>
              <w:t xml:space="preserve"> skaits</w:t>
            </w:r>
          </w:p>
        </w:tc>
        <w:tc>
          <w:tcPr>
            <w:tcW w:w="1741" w:type="dxa"/>
          </w:tcPr>
          <w:p w:rsidR="00D0217D" w:rsidRPr="003C1B12" w:rsidRDefault="00D0217D" w:rsidP="00E272A1">
            <w:pPr>
              <w:jc w:val="center"/>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rPr>
              <w:t>6</w:t>
            </w:r>
          </w:p>
        </w:tc>
        <w:tc>
          <w:tcPr>
            <w:tcW w:w="1296" w:type="dxa"/>
          </w:tcPr>
          <w:p w:rsidR="00D0217D" w:rsidRPr="003C1B12" w:rsidRDefault="00D0217D" w:rsidP="00E272A1">
            <w:pPr>
              <w:jc w:val="center"/>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rPr>
              <w:t>6</w:t>
            </w:r>
          </w:p>
        </w:tc>
      </w:tr>
      <w:tr w:rsidR="00D0217D" w:rsidRPr="003C1B12" w:rsidTr="00E272A1">
        <w:trPr>
          <w:jc w:val="center"/>
        </w:trPr>
        <w:tc>
          <w:tcPr>
            <w:tcW w:w="4077" w:type="dxa"/>
          </w:tcPr>
          <w:p w:rsidR="00D0217D" w:rsidRPr="003C1B12" w:rsidRDefault="00D0217D" w:rsidP="003E49FD">
            <w:pPr>
              <w:jc w:val="both"/>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rPr>
              <w:t>Pētījumu skaits, kas ietver sadarbību starp komersantiem un zinātniskajām institūcijām</w:t>
            </w:r>
          </w:p>
        </w:tc>
        <w:tc>
          <w:tcPr>
            <w:tcW w:w="1741" w:type="dxa"/>
          </w:tcPr>
          <w:p w:rsidR="00D0217D" w:rsidRPr="003C1B12" w:rsidRDefault="00D0217D" w:rsidP="00E272A1">
            <w:pPr>
              <w:jc w:val="center"/>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rPr>
              <w:t>50</w:t>
            </w:r>
          </w:p>
        </w:tc>
        <w:tc>
          <w:tcPr>
            <w:tcW w:w="1296" w:type="dxa"/>
          </w:tcPr>
          <w:p w:rsidR="00D0217D" w:rsidRPr="003C1B12" w:rsidRDefault="003D5183" w:rsidP="00E272A1">
            <w:pPr>
              <w:jc w:val="center"/>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rPr>
              <w:t>102</w:t>
            </w:r>
          </w:p>
        </w:tc>
      </w:tr>
      <w:tr w:rsidR="00D0217D" w:rsidRPr="003C1B12" w:rsidTr="00E272A1">
        <w:trPr>
          <w:jc w:val="center"/>
        </w:trPr>
        <w:tc>
          <w:tcPr>
            <w:tcW w:w="4077" w:type="dxa"/>
          </w:tcPr>
          <w:p w:rsidR="00D0217D" w:rsidRPr="003C1B12" w:rsidRDefault="00D0217D" w:rsidP="002E7A09">
            <w:pPr>
              <w:jc w:val="both"/>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rPr>
              <w:t xml:space="preserve">Radīto </w:t>
            </w:r>
            <w:r w:rsidR="00F61EB2" w:rsidRPr="003C1B12">
              <w:rPr>
                <w:rFonts w:ascii="Times New Roman" w:hAnsi="Times New Roman" w:cs="Times New Roman"/>
                <w:color w:val="000000" w:themeColor="text1"/>
                <w:sz w:val="20"/>
                <w:szCs w:val="20"/>
              </w:rPr>
              <w:t>P&amp;A</w:t>
            </w:r>
            <w:r w:rsidRPr="003C1B12">
              <w:rPr>
                <w:rFonts w:ascii="Times New Roman" w:hAnsi="Times New Roman" w:cs="Times New Roman"/>
                <w:color w:val="000000" w:themeColor="text1"/>
                <w:sz w:val="20"/>
                <w:szCs w:val="20"/>
              </w:rPr>
              <w:t xml:space="preserve"> darba vietu skaits </w:t>
            </w:r>
            <w:r w:rsidR="000968EB" w:rsidRPr="003C1B12">
              <w:rPr>
                <w:rFonts w:ascii="Times New Roman" w:hAnsi="Times New Roman" w:cs="Times New Roman"/>
                <w:color w:val="000000" w:themeColor="text1"/>
                <w:sz w:val="20"/>
                <w:szCs w:val="20"/>
              </w:rPr>
              <w:t>KC</w:t>
            </w:r>
            <w:r w:rsidR="002E7A09" w:rsidRPr="003C1B12">
              <w:rPr>
                <w:rStyle w:val="FootnoteReference"/>
                <w:rFonts w:ascii="Times New Roman" w:hAnsi="Times New Roman" w:cs="Times New Roman"/>
                <w:color w:val="000000" w:themeColor="text1"/>
                <w:sz w:val="20"/>
                <w:szCs w:val="20"/>
              </w:rPr>
              <w:footnoteReference w:id="6"/>
            </w:r>
          </w:p>
        </w:tc>
        <w:tc>
          <w:tcPr>
            <w:tcW w:w="1741" w:type="dxa"/>
          </w:tcPr>
          <w:p w:rsidR="00D0217D" w:rsidRPr="003C1B12" w:rsidRDefault="00D0217D" w:rsidP="00E272A1">
            <w:pPr>
              <w:jc w:val="center"/>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rPr>
              <w:t>50</w:t>
            </w:r>
          </w:p>
        </w:tc>
        <w:tc>
          <w:tcPr>
            <w:tcW w:w="1296" w:type="dxa"/>
          </w:tcPr>
          <w:p w:rsidR="00D0217D" w:rsidRPr="003C1B12" w:rsidRDefault="002E7A09" w:rsidP="002E7A09">
            <w:pPr>
              <w:jc w:val="center"/>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rPr>
              <w:t>455</w:t>
            </w:r>
          </w:p>
        </w:tc>
      </w:tr>
      <w:tr w:rsidR="00D0217D" w:rsidRPr="003C1B12" w:rsidTr="00E272A1">
        <w:trPr>
          <w:jc w:val="center"/>
        </w:trPr>
        <w:tc>
          <w:tcPr>
            <w:tcW w:w="4077" w:type="dxa"/>
          </w:tcPr>
          <w:p w:rsidR="00D0217D" w:rsidRPr="003C1B12" w:rsidRDefault="00D0217D" w:rsidP="00F61EB2">
            <w:pPr>
              <w:jc w:val="both"/>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rPr>
              <w:t>P</w:t>
            </w:r>
            <w:r w:rsidR="00A20996" w:rsidRPr="003C1B12">
              <w:rPr>
                <w:rFonts w:ascii="Times New Roman" w:hAnsi="Times New Roman" w:cs="Times New Roman"/>
                <w:color w:val="000000" w:themeColor="text1"/>
                <w:sz w:val="20"/>
                <w:szCs w:val="20"/>
              </w:rPr>
              <w:t xml:space="preserve">iesaistītais </w:t>
            </w:r>
            <w:r w:rsidRPr="003C1B12">
              <w:rPr>
                <w:rFonts w:ascii="Times New Roman" w:hAnsi="Times New Roman" w:cs="Times New Roman"/>
                <w:color w:val="000000" w:themeColor="text1"/>
                <w:sz w:val="20"/>
                <w:szCs w:val="20"/>
              </w:rPr>
              <w:t xml:space="preserve">uzņēmējdarbības sektora finansējums </w:t>
            </w:r>
            <w:r w:rsidR="00F61EB2" w:rsidRPr="003C1B12">
              <w:rPr>
                <w:rFonts w:ascii="Times New Roman" w:hAnsi="Times New Roman" w:cs="Times New Roman"/>
                <w:color w:val="000000" w:themeColor="text1"/>
                <w:sz w:val="20"/>
                <w:szCs w:val="20"/>
              </w:rPr>
              <w:t>P&amp;A</w:t>
            </w:r>
            <w:r w:rsidRPr="003C1B12">
              <w:rPr>
                <w:rFonts w:ascii="Times New Roman" w:hAnsi="Times New Roman" w:cs="Times New Roman"/>
                <w:color w:val="000000" w:themeColor="text1"/>
                <w:sz w:val="20"/>
                <w:szCs w:val="20"/>
              </w:rPr>
              <w:t xml:space="preserve"> (</w:t>
            </w:r>
            <w:r w:rsidRPr="003C1B12">
              <w:rPr>
                <w:rFonts w:ascii="Times New Roman" w:hAnsi="Times New Roman" w:cs="Times New Roman"/>
                <w:i/>
                <w:color w:val="000000" w:themeColor="text1"/>
                <w:sz w:val="20"/>
                <w:szCs w:val="20"/>
              </w:rPr>
              <w:t>euro</w:t>
            </w:r>
            <w:r w:rsidRPr="003C1B12">
              <w:rPr>
                <w:rFonts w:ascii="Times New Roman" w:hAnsi="Times New Roman" w:cs="Times New Roman"/>
                <w:color w:val="000000" w:themeColor="text1"/>
                <w:sz w:val="20"/>
                <w:szCs w:val="20"/>
              </w:rPr>
              <w:t>)</w:t>
            </w:r>
          </w:p>
        </w:tc>
        <w:tc>
          <w:tcPr>
            <w:tcW w:w="1741" w:type="dxa"/>
          </w:tcPr>
          <w:p w:rsidR="00D0217D" w:rsidRPr="003C1B12" w:rsidRDefault="00D0217D" w:rsidP="00E272A1">
            <w:pPr>
              <w:jc w:val="center"/>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rPr>
              <w:t>23 408 000</w:t>
            </w:r>
          </w:p>
        </w:tc>
        <w:tc>
          <w:tcPr>
            <w:tcW w:w="1296" w:type="dxa"/>
          </w:tcPr>
          <w:p w:rsidR="00D0217D" w:rsidRPr="003C1B12" w:rsidRDefault="00D0217D" w:rsidP="00E272A1">
            <w:pPr>
              <w:jc w:val="center"/>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rPr>
              <w:t>21 698 848</w:t>
            </w:r>
          </w:p>
        </w:tc>
      </w:tr>
    </w:tbl>
    <w:p w:rsidR="00E868C4" w:rsidRPr="003C1B12" w:rsidRDefault="007F536B" w:rsidP="00E272A1">
      <w:pPr>
        <w:shd w:val="clear" w:color="auto" w:fill="FFFFFF"/>
        <w:spacing w:before="120" w:after="0" w:line="240" w:lineRule="auto"/>
        <w:ind w:firstLine="720"/>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 xml:space="preserve">Būtiski pārsniegta rādītāja “Radīto P&amp;A darba vietu skaits KC” mērķa vērtība. Tas skaidrojams ar to, ka sākotnēji, kad tika noteiktas rādītāju vērtības, bija plānots KC programmas ietvaros iegādāties iekārtas un laboratorijas KC veidojot kā fiziskus pētniecības centrus. </w:t>
      </w:r>
      <w:r w:rsidR="00E868C4" w:rsidRPr="003C1B12">
        <w:rPr>
          <w:rFonts w:ascii="Times New Roman" w:hAnsi="Times New Roman" w:cs="Times New Roman"/>
          <w:color w:val="000000" w:themeColor="text1"/>
          <w:sz w:val="24"/>
          <w:szCs w:val="24"/>
        </w:rPr>
        <w:t>Pēc programmas apturēšanas un grozījumiem plānotās lielās investīcijas iekārtās un laboratorijās tika pārvirzītas pētniecības projektu īstenošanai, kur galvenās izmaksas ir personāla izmaksas, līdz ar to, bija iespējams radīt daudz vairāk P&amp;A darba vietas KC ietvaros.</w:t>
      </w:r>
    </w:p>
    <w:p w:rsidR="003E49FD" w:rsidRPr="003C1B12" w:rsidRDefault="00D0217D" w:rsidP="00E272A1">
      <w:pPr>
        <w:shd w:val="clear" w:color="auto" w:fill="FFFFFF"/>
        <w:spacing w:before="120" w:after="0" w:line="240" w:lineRule="auto"/>
        <w:ind w:firstLine="720"/>
        <w:jc w:val="both"/>
        <w:rPr>
          <w:rFonts w:ascii="Times New Roman" w:hAnsi="Times New Roman" w:cs="Times New Roman"/>
          <w:color w:val="000000" w:themeColor="text1"/>
        </w:rPr>
      </w:pPr>
      <w:r w:rsidRPr="003C1B12">
        <w:rPr>
          <w:rFonts w:ascii="Times New Roman" w:hAnsi="Times New Roman" w:cs="Times New Roman"/>
          <w:color w:val="000000" w:themeColor="text1"/>
          <w:sz w:val="24"/>
          <w:szCs w:val="24"/>
        </w:rPr>
        <w:t xml:space="preserve">Kopumā visi </w:t>
      </w:r>
      <w:r w:rsidR="00A20996" w:rsidRPr="003C1B12">
        <w:rPr>
          <w:rFonts w:ascii="Times New Roman" w:hAnsi="Times New Roman" w:cs="Times New Roman"/>
          <w:color w:val="000000" w:themeColor="text1"/>
          <w:sz w:val="24"/>
          <w:szCs w:val="24"/>
        </w:rPr>
        <w:t xml:space="preserve">programmas līmeņa </w:t>
      </w:r>
      <w:r w:rsidRPr="003C1B12">
        <w:rPr>
          <w:rFonts w:ascii="Times New Roman" w:hAnsi="Times New Roman" w:cs="Times New Roman"/>
          <w:color w:val="000000" w:themeColor="text1"/>
          <w:sz w:val="24"/>
          <w:szCs w:val="24"/>
        </w:rPr>
        <w:t xml:space="preserve">rādītāji </w:t>
      </w:r>
      <w:r w:rsidR="00A20996" w:rsidRPr="003C1B12">
        <w:rPr>
          <w:rFonts w:ascii="Times New Roman" w:hAnsi="Times New Roman" w:cs="Times New Roman"/>
          <w:color w:val="000000" w:themeColor="text1"/>
          <w:sz w:val="24"/>
          <w:szCs w:val="24"/>
        </w:rPr>
        <w:t>2014.gada 31.decembri bija</w:t>
      </w:r>
      <w:r w:rsidRPr="003C1B12">
        <w:rPr>
          <w:rFonts w:ascii="Times New Roman" w:hAnsi="Times New Roman" w:cs="Times New Roman"/>
          <w:color w:val="000000" w:themeColor="text1"/>
          <w:sz w:val="24"/>
          <w:szCs w:val="24"/>
        </w:rPr>
        <w:t xml:space="preserve"> sasniegti</w:t>
      </w:r>
      <w:r w:rsidR="00A20996" w:rsidRPr="003C1B12">
        <w:rPr>
          <w:rFonts w:ascii="Times New Roman" w:hAnsi="Times New Roman" w:cs="Times New Roman"/>
          <w:color w:val="000000" w:themeColor="text1"/>
          <w:sz w:val="24"/>
          <w:szCs w:val="24"/>
        </w:rPr>
        <w:t xml:space="preserve">, izņemot piesaistītā uzņēmējdarbības sektora finansējums. Vērtējot īstenošanā esošos projektus un to finansēšanas struktūru tiek plānots, ka iesākto projektu </w:t>
      </w:r>
      <w:r w:rsidR="007022F7" w:rsidRPr="003C1B12">
        <w:rPr>
          <w:rFonts w:ascii="Times New Roman" w:hAnsi="Times New Roman" w:cs="Times New Roman"/>
          <w:color w:val="000000" w:themeColor="text1"/>
          <w:sz w:val="24"/>
          <w:szCs w:val="24"/>
        </w:rPr>
        <w:t>īstenošanai un pabeigšanai 2015.gadā</w:t>
      </w:r>
      <w:r w:rsidR="00A20996" w:rsidRPr="003C1B12">
        <w:rPr>
          <w:rFonts w:ascii="Times New Roman" w:hAnsi="Times New Roman" w:cs="Times New Roman"/>
          <w:color w:val="000000" w:themeColor="text1"/>
          <w:sz w:val="24"/>
          <w:szCs w:val="24"/>
        </w:rPr>
        <w:t xml:space="preserve"> tiks piesaistīti vēl vismaz </w:t>
      </w:r>
      <w:r w:rsidR="00300F4C" w:rsidRPr="003C1B12">
        <w:rPr>
          <w:rFonts w:ascii="Times New Roman" w:hAnsi="Times New Roman" w:cs="Times New Roman"/>
          <w:color w:val="000000" w:themeColor="text1"/>
          <w:sz w:val="24"/>
          <w:szCs w:val="24"/>
        </w:rPr>
        <w:t>15-</w:t>
      </w:r>
      <w:r w:rsidR="00A20996" w:rsidRPr="003C1B12">
        <w:rPr>
          <w:rFonts w:ascii="Times New Roman" w:hAnsi="Times New Roman" w:cs="Times New Roman"/>
          <w:color w:val="000000" w:themeColor="text1"/>
          <w:sz w:val="24"/>
          <w:szCs w:val="24"/>
        </w:rPr>
        <w:t xml:space="preserve">20 milj. </w:t>
      </w:r>
      <w:r w:rsidR="00A20996" w:rsidRPr="003C1B12">
        <w:rPr>
          <w:rFonts w:ascii="Times New Roman" w:hAnsi="Times New Roman" w:cs="Times New Roman"/>
          <w:i/>
          <w:color w:val="000000" w:themeColor="text1"/>
          <w:sz w:val="24"/>
          <w:szCs w:val="24"/>
        </w:rPr>
        <w:t>euro</w:t>
      </w:r>
      <w:r w:rsidR="00A20996" w:rsidRPr="003C1B12">
        <w:rPr>
          <w:rFonts w:ascii="Times New Roman" w:hAnsi="Times New Roman" w:cs="Times New Roman"/>
          <w:color w:val="000000" w:themeColor="text1"/>
          <w:sz w:val="24"/>
          <w:szCs w:val="24"/>
        </w:rPr>
        <w:t xml:space="preserve"> uzņēmējdarbības sektora finansējums, tādejādi nodrošinot arī šī rādītāja izpildi</w:t>
      </w:r>
      <w:r w:rsidR="001D47A0" w:rsidRPr="003C1B12">
        <w:rPr>
          <w:rFonts w:ascii="Times New Roman" w:hAnsi="Times New Roman" w:cs="Times New Roman"/>
          <w:color w:val="000000" w:themeColor="text1"/>
          <w:sz w:val="24"/>
          <w:szCs w:val="24"/>
        </w:rPr>
        <w:t xml:space="preserve"> (sk. attēlu Nr.4)</w:t>
      </w:r>
      <w:r w:rsidR="00A20996" w:rsidRPr="003C1B12">
        <w:rPr>
          <w:rFonts w:ascii="Times New Roman" w:hAnsi="Times New Roman" w:cs="Times New Roman"/>
          <w:color w:val="000000" w:themeColor="text1"/>
          <w:sz w:val="24"/>
          <w:szCs w:val="24"/>
        </w:rPr>
        <w:t xml:space="preserve">. </w:t>
      </w:r>
    </w:p>
    <w:p w:rsidR="00A20996" w:rsidRPr="003C1B12" w:rsidRDefault="005E216A" w:rsidP="00A20996">
      <w:pPr>
        <w:pStyle w:val="tv213"/>
        <w:shd w:val="clear" w:color="auto" w:fill="FFFFFF"/>
        <w:spacing w:before="0" w:beforeAutospacing="0" w:after="0" w:afterAutospacing="0"/>
        <w:ind w:left="1080"/>
        <w:jc w:val="both"/>
        <w:rPr>
          <w:color w:val="000000" w:themeColor="text1"/>
        </w:rPr>
      </w:pPr>
      <w:r w:rsidRPr="003C1B12">
        <w:rPr>
          <w:noProof/>
          <w:color w:val="000000" w:themeColor="text1"/>
        </w:rPr>
        <w:lastRenderedPageBreak/>
        <w:drawing>
          <wp:inline distT="0" distB="0" distL="0" distR="0" wp14:anchorId="1CE3DF5F" wp14:editId="6CFD003F">
            <wp:extent cx="4309607" cy="2019631"/>
            <wp:effectExtent l="0" t="0" r="15240" b="1905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B0A62" w:rsidRPr="003C1B12" w:rsidRDefault="003B0A62" w:rsidP="003B0A62">
      <w:pPr>
        <w:shd w:val="clear" w:color="auto" w:fill="FFFFFF"/>
        <w:spacing w:after="0" w:line="240" w:lineRule="auto"/>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Attēls Nr.</w:t>
      </w:r>
      <w:r w:rsidRPr="003C1B12">
        <w:rPr>
          <w:rFonts w:ascii="Times New Roman" w:hAnsi="Times New Roman" w:cs="Times New Roman"/>
          <w:color w:val="000000" w:themeColor="text1"/>
          <w:sz w:val="24"/>
          <w:szCs w:val="24"/>
        </w:rPr>
        <w:fldChar w:fldCharType="begin"/>
      </w:r>
      <w:r w:rsidRPr="003C1B12">
        <w:rPr>
          <w:rFonts w:ascii="Times New Roman" w:hAnsi="Times New Roman" w:cs="Times New Roman"/>
          <w:color w:val="000000" w:themeColor="text1"/>
          <w:sz w:val="24"/>
          <w:szCs w:val="24"/>
        </w:rPr>
        <w:instrText xml:space="preserve"> SEQ Attēls_Nr. \* ARABIC </w:instrText>
      </w:r>
      <w:r w:rsidRPr="003C1B12">
        <w:rPr>
          <w:rFonts w:ascii="Times New Roman" w:hAnsi="Times New Roman" w:cs="Times New Roman"/>
          <w:color w:val="000000" w:themeColor="text1"/>
          <w:sz w:val="24"/>
          <w:szCs w:val="24"/>
        </w:rPr>
        <w:fldChar w:fldCharType="separate"/>
      </w:r>
      <w:r w:rsidR="00A379AF" w:rsidRPr="003C1B12">
        <w:rPr>
          <w:rFonts w:ascii="Times New Roman" w:hAnsi="Times New Roman" w:cs="Times New Roman"/>
          <w:noProof/>
          <w:color w:val="000000" w:themeColor="text1"/>
          <w:sz w:val="24"/>
          <w:szCs w:val="24"/>
        </w:rPr>
        <w:t>4</w:t>
      </w:r>
      <w:r w:rsidRPr="003C1B12">
        <w:rPr>
          <w:rFonts w:ascii="Times New Roman" w:hAnsi="Times New Roman" w:cs="Times New Roman"/>
          <w:color w:val="000000" w:themeColor="text1"/>
          <w:sz w:val="24"/>
          <w:szCs w:val="24"/>
        </w:rPr>
        <w:fldChar w:fldCharType="end"/>
      </w:r>
      <w:r w:rsidRPr="003C1B12">
        <w:rPr>
          <w:rFonts w:ascii="Times New Roman" w:hAnsi="Times New Roman" w:cs="Times New Roman"/>
          <w:color w:val="000000" w:themeColor="text1"/>
          <w:sz w:val="24"/>
          <w:szCs w:val="24"/>
        </w:rPr>
        <w:t xml:space="preserve"> - </w:t>
      </w:r>
      <w:r w:rsidR="000968EB" w:rsidRPr="003C1B12">
        <w:rPr>
          <w:rFonts w:ascii="Times New Roman" w:hAnsi="Times New Roman" w:cs="Times New Roman"/>
          <w:color w:val="000000" w:themeColor="text1"/>
          <w:sz w:val="24"/>
          <w:szCs w:val="24"/>
        </w:rPr>
        <w:t>KC</w:t>
      </w:r>
      <w:r w:rsidRPr="003C1B12">
        <w:rPr>
          <w:rFonts w:ascii="Times New Roman" w:hAnsi="Times New Roman" w:cs="Times New Roman"/>
          <w:color w:val="000000" w:themeColor="text1"/>
          <w:sz w:val="24"/>
          <w:szCs w:val="24"/>
        </w:rPr>
        <w:t xml:space="preserve"> piesaistīt</w:t>
      </w:r>
      <w:r w:rsidR="00022CC6" w:rsidRPr="003C1B12">
        <w:rPr>
          <w:rFonts w:ascii="Times New Roman" w:hAnsi="Times New Roman" w:cs="Times New Roman"/>
          <w:color w:val="000000" w:themeColor="text1"/>
          <w:sz w:val="24"/>
          <w:szCs w:val="24"/>
        </w:rPr>
        <w:t xml:space="preserve">ais uzņēmējdarbības sektora P&amp;A finansējums </w:t>
      </w:r>
      <w:r w:rsidRPr="003C1B12">
        <w:rPr>
          <w:rFonts w:ascii="Times New Roman" w:hAnsi="Times New Roman" w:cs="Times New Roman"/>
          <w:color w:val="000000" w:themeColor="text1"/>
          <w:sz w:val="24"/>
          <w:szCs w:val="24"/>
        </w:rPr>
        <w:t>(%)</w:t>
      </w:r>
    </w:p>
    <w:p w:rsidR="00F61238" w:rsidRPr="003C1B12" w:rsidRDefault="003E49FD" w:rsidP="00060BE2">
      <w:pPr>
        <w:spacing w:after="0" w:line="240" w:lineRule="auto"/>
        <w:ind w:firstLine="720"/>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 xml:space="preserve">Saskaņā ar </w:t>
      </w:r>
      <w:r w:rsidR="000968EB" w:rsidRPr="003C1B12">
        <w:rPr>
          <w:rFonts w:ascii="Times New Roman" w:hAnsi="Times New Roman" w:cs="Times New Roman"/>
          <w:sz w:val="24"/>
          <w:szCs w:val="24"/>
        </w:rPr>
        <w:t>KC</w:t>
      </w:r>
      <w:r w:rsidRPr="003C1B12">
        <w:rPr>
          <w:rFonts w:ascii="Times New Roman" w:hAnsi="Times New Roman" w:cs="Times New Roman"/>
          <w:sz w:val="24"/>
          <w:szCs w:val="24"/>
        </w:rPr>
        <w:t xml:space="preserve"> programmas projektu vērtēšanas k</w:t>
      </w:r>
      <w:r w:rsidRPr="003C1B12">
        <w:rPr>
          <w:rFonts w:ascii="Times New Roman" w:hAnsi="Times New Roman" w:cs="Times New Roman"/>
          <w:color w:val="000000" w:themeColor="text1"/>
          <w:sz w:val="24"/>
          <w:szCs w:val="24"/>
        </w:rPr>
        <w:t xml:space="preserve">valitātes kritērijiem projektiem noteikti papildus uzraudzības rādītāji – iesaistītais doktorantu skaits, </w:t>
      </w:r>
      <w:r w:rsidRPr="003C1B12">
        <w:rPr>
          <w:rFonts w:ascii="Times New Roman" w:hAnsi="Times New Roman" w:cs="Times New Roman"/>
          <w:bCs/>
          <w:color w:val="000000" w:themeColor="text1"/>
          <w:sz w:val="24"/>
          <w:szCs w:val="24"/>
          <w:bdr w:val="none" w:sz="0" w:space="0" w:color="auto" w:frame="1"/>
          <w:shd w:val="clear" w:color="auto" w:fill="FFFFFF"/>
        </w:rPr>
        <w:t xml:space="preserve">radīto autonomi licencējamo vienību, patentu un dizainparaugu skaits, </w:t>
      </w:r>
      <w:r w:rsidRPr="003C1B12">
        <w:rPr>
          <w:rFonts w:ascii="Times New Roman" w:hAnsi="Times New Roman" w:cs="Times New Roman"/>
          <w:color w:val="000000" w:themeColor="text1"/>
          <w:sz w:val="24"/>
          <w:szCs w:val="24"/>
          <w:shd w:val="clear" w:color="auto" w:fill="FFFFFF"/>
        </w:rPr>
        <w:t>radīto jaunu produktu un tehnoloģiju skaits.</w:t>
      </w:r>
      <w:r w:rsidR="00921EB7" w:rsidRPr="003C1B12">
        <w:rPr>
          <w:rFonts w:ascii="Times New Roman" w:hAnsi="Times New Roman" w:cs="Times New Roman"/>
          <w:color w:val="000000" w:themeColor="text1"/>
          <w:sz w:val="24"/>
          <w:szCs w:val="24"/>
        </w:rPr>
        <w:t xml:space="preserve"> Plānotie papildus rādītāji līdz 2014.gada 31.decembrim kopumā bija sasniegti par 5</w:t>
      </w:r>
      <w:r w:rsidR="00393C59" w:rsidRPr="003C1B12">
        <w:rPr>
          <w:rFonts w:ascii="Times New Roman" w:hAnsi="Times New Roman" w:cs="Times New Roman"/>
          <w:color w:val="000000" w:themeColor="text1"/>
          <w:sz w:val="24"/>
          <w:szCs w:val="24"/>
        </w:rPr>
        <w:t>8</w:t>
      </w:r>
      <w:r w:rsidR="00921EB7" w:rsidRPr="003C1B12">
        <w:rPr>
          <w:rFonts w:ascii="Times New Roman" w:hAnsi="Times New Roman" w:cs="Times New Roman"/>
          <w:color w:val="000000" w:themeColor="text1"/>
          <w:sz w:val="24"/>
          <w:szCs w:val="24"/>
        </w:rPr>
        <w:t>% (</w:t>
      </w:r>
      <w:r w:rsidR="00ED086F" w:rsidRPr="003C1B12">
        <w:rPr>
          <w:rFonts w:ascii="Times New Roman" w:hAnsi="Times New Roman" w:cs="Times New Roman"/>
          <w:color w:val="000000" w:themeColor="text1"/>
          <w:sz w:val="24"/>
          <w:szCs w:val="24"/>
        </w:rPr>
        <w:t>skatīt tabulā</w:t>
      </w:r>
      <w:r w:rsidR="00921EB7" w:rsidRPr="003C1B12">
        <w:rPr>
          <w:rFonts w:ascii="Times New Roman" w:hAnsi="Times New Roman" w:cs="Times New Roman"/>
          <w:color w:val="000000" w:themeColor="text1"/>
          <w:sz w:val="24"/>
          <w:szCs w:val="24"/>
        </w:rPr>
        <w:t xml:space="preserve"> Nr.</w:t>
      </w:r>
      <w:r w:rsidR="00ED086F" w:rsidRPr="003C1B12">
        <w:rPr>
          <w:rFonts w:ascii="Times New Roman" w:hAnsi="Times New Roman" w:cs="Times New Roman"/>
          <w:color w:val="000000" w:themeColor="text1"/>
          <w:sz w:val="24"/>
          <w:szCs w:val="24"/>
        </w:rPr>
        <w:t>5</w:t>
      </w:r>
      <w:r w:rsidR="00921EB7" w:rsidRPr="003C1B12">
        <w:rPr>
          <w:rFonts w:ascii="Times New Roman" w:hAnsi="Times New Roman" w:cs="Times New Roman"/>
          <w:color w:val="000000" w:themeColor="text1"/>
          <w:sz w:val="24"/>
          <w:szCs w:val="24"/>
        </w:rPr>
        <w:t>).</w:t>
      </w:r>
      <w:r w:rsidR="00F046A6" w:rsidRPr="003C1B12">
        <w:rPr>
          <w:rFonts w:ascii="Times New Roman" w:hAnsi="Times New Roman" w:cs="Times New Roman"/>
          <w:color w:val="000000" w:themeColor="text1"/>
          <w:sz w:val="24"/>
          <w:szCs w:val="24"/>
        </w:rPr>
        <w:t xml:space="preserve"> </w:t>
      </w:r>
      <w:r w:rsidR="00060BE2" w:rsidRPr="003C1B12">
        <w:rPr>
          <w:rFonts w:ascii="Times New Roman" w:hAnsi="Times New Roman" w:cs="Times New Roman"/>
          <w:color w:val="000000" w:themeColor="text1"/>
          <w:sz w:val="24"/>
          <w:szCs w:val="24"/>
        </w:rPr>
        <w:t>R</w:t>
      </w:r>
      <w:r w:rsidR="00F046A6" w:rsidRPr="003C1B12">
        <w:rPr>
          <w:rFonts w:ascii="Times New Roman" w:hAnsi="Times New Roman" w:cs="Times New Roman"/>
          <w:color w:val="000000" w:themeColor="text1"/>
          <w:sz w:val="24"/>
          <w:szCs w:val="24"/>
        </w:rPr>
        <w:t>ād</w:t>
      </w:r>
      <w:r w:rsidR="00060BE2" w:rsidRPr="003C1B12">
        <w:rPr>
          <w:rFonts w:ascii="Times New Roman" w:hAnsi="Times New Roman" w:cs="Times New Roman"/>
          <w:color w:val="000000" w:themeColor="text1"/>
          <w:sz w:val="24"/>
          <w:szCs w:val="24"/>
        </w:rPr>
        <w:t>ī</w:t>
      </w:r>
      <w:r w:rsidR="00F046A6" w:rsidRPr="003C1B12">
        <w:rPr>
          <w:rFonts w:ascii="Times New Roman" w:hAnsi="Times New Roman" w:cs="Times New Roman"/>
          <w:color w:val="000000" w:themeColor="text1"/>
          <w:sz w:val="24"/>
          <w:szCs w:val="24"/>
        </w:rPr>
        <w:t xml:space="preserve">tāju izpilde starp </w:t>
      </w:r>
      <w:r w:rsidR="000968EB" w:rsidRPr="003C1B12">
        <w:rPr>
          <w:rFonts w:ascii="Times New Roman" w:hAnsi="Times New Roman" w:cs="Times New Roman"/>
          <w:color w:val="000000" w:themeColor="text1"/>
          <w:sz w:val="24"/>
          <w:szCs w:val="24"/>
        </w:rPr>
        <w:t>KC</w:t>
      </w:r>
      <w:r w:rsidR="00F046A6" w:rsidRPr="003C1B12">
        <w:rPr>
          <w:rFonts w:ascii="Times New Roman" w:hAnsi="Times New Roman" w:cs="Times New Roman"/>
          <w:color w:val="000000" w:themeColor="text1"/>
          <w:sz w:val="24"/>
          <w:szCs w:val="24"/>
        </w:rPr>
        <w:t xml:space="preserve"> būtiski </w:t>
      </w:r>
      <w:r w:rsidR="00060BE2" w:rsidRPr="003C1B12">
        <w:rPr>
          <w:rFonts w:ascii="Times New Roman" w:hAnsi="Times New Roman" w:cs="Times New Roman"/>
          <w:color w:val="000000" w:themeColor="text1"/>
          <w:sz w:val="24"/>
          <w:szCs w:val="24"/>
        </w:rPr>
        <w:t>atšķiras.</w:t>
      </w:r>
      <w:r w:rsidR="00F046A6" w:rsidRPr="003C1B12">
        <w:rPr>
          <w:rFonts w:ascii="Times New Roman" w:hAnsi="Times New Roman" w:cs="Times New Roman"/>
          <w:color w:val="000000" w:themeColor="text1"/>
          <w:sz w:val="24"/>
          <w:szCs w:val="24"/>
        </w:rPr>
        <w:t xml:space="preserve"> </w:t>
      </w:r>
      <w:r w:rsidR="00060BE2" w:rsidRPr="003C1B12">
        <w:rPr>
          <w:rFonts w:ascii="Times New Roman" w:hAnsi="Times New Roman" w:cs="Times New Roman"/>
          <w:color w:val="000000" w:themeColor="text1"/>
          <w:sz w:val="24"/>
          <w:szCs w:val="24"/>
        </w:rPr>
        <w:t>Tikai</w:t>
      </w:r>
      <w:r w:rsidR="00022CC6" w:rsidRPr="003C1B12">
        <w:rPr>
          <w:rFonts w:ascii="Times New Roman" w:hAnsi="Times New Roman" w:cs="Times New Roman"/>
          <w:color w:val="000000" w:themeColor="text1"/>
          <w:sz w:val="24"/>
          <w:szCs w:val="24"/>
        </w:rPr>
        <w:t xml:space="preserve"> divu </w:t>
      </w:r>
      <w:r w:rsidR="000968EB" w:rsidRPr="003C1B12">
        <w:rPr>
          <w:rFonts w:ascii="Times New Roman" w:hAnsi="Times New Roman" w:cs="Times New Roman"/>
          <w:color w:val="000000" w:themeColor="text1"/>
          <w:sz w:val="24"/>
          <w:szCs w:val="24"/>
        </w:rPr>
        <w:t>KC</w:t>
      </w:r>
      <w:r w:rsidR="00F046A6" w:rsidRPr="003C1B12">
        <w:rPr>
          <w:rFonts w:ascii="Times New Roman" w:hAnsi="Times New Roman" w:cs="Times New Roman"/>
          <w:color w:val="000000" w:themeColor="text1"/>
          <w:sz w:val="24"/>
          <w:szCs w:val="24"/>
        </w:rPr>
        <w:t xml:space="preserve"> (IT KC un LEO KC) </w:t>
      </w:r>
      <w:r w:rsidR="00022CC6" w:rsidRPr="003C1B12">
        <w:rPr>
          <w:rFonts w:ascii="Times New Roman" w:hAnsi="Times New Roman" w:cs="Times New Roman"/>
          <w:color w:val="000000" w:themeColor="text1"/>
          <w:sz w:val="24"/>
          <w:szCs w:val="24"/>
        </w:rPr>
        <w:t>mērķa rādītāja</w:t>
      </w:r>
      <w:r w:rsidR="00060BE2" w:rsidRPr="003C1B12">
        <w:rPr>
          <w:rFonts w:ascii="Times New Roman" w:hAnsi="Times New Roman" w:cs="Times New Roman"/>
          <w:color w:val="000000" w:themeColor="text1"/>
          <w:sz w:val="24"/>
          <w:szCs w:val="24"/>
        </w:rPr>
        <w:t xml:space="preserve"> izpilde pārsniedz</w:t>
      </w:r>
      <w:r w:rsidR="00F046A6" w:rsidRPr="003C1B12">
        <w:rPr>
          <w:rFonts w:ascii="Times New Roman" w:hAnsi="Times New Roman" w:cs="Times New Roman"/>
          <w:color w:val="000000" w:themeColor="text1"/>
          <w:sz w:val="24"/>
          <w:szCs w:val="24"/>
        </w:rPr>
        <w:t xml:space="preserve"> 60%</w:t>
      </w:r>
      <w:r w:rsidR="00060BE2" w:rsidRPr="003C1B12">
        <w:rPr>
          <w:rFonts w:ascii="Times New Roman" w:hAnsi="Times New Roman" w:cs="Times New Roman"/>
          <w:color w:val="000000" w:themeColor="text1"/>
          <w:sz w:val="24"/>
          <w:szCs w:val="24"/>
        </w:rPr>
        <w:t>. Salīdzinoši zema rādītāju izpilde novērojam PC</w:t>
      </w:r>
      <w:r w:rsidR="00ED08A4" w:rsidRPr="003C1B12">
        <w:rPr>
          <w:rFonts w:ascii="Times New Roman" w:hAnsi="Times New Roman" w:cs="Times New Roman"/>
          <w:color w:val="000000" w:themeColor="text1"/>
          <w:sz w:val="24"/>
          <w:szCs w:val="24"/>
        </w:rPr>
        <w:t>C</w:t>
      </w:r>
      <w:r w:rsidR="00060BE2" w:rsidRPr="003C1B12">
        <w:rPr>
          <w:rFonts w:ascii="Times New Roman" w:hAnsi="Times New Roman" w:cs="Times New Roman"/>
          <w:color w:val="000000" w:themeColor="text1"/>
          <w:sz w:val="24"/>
          <w:szCs w:val="24"/>
        </w:rPr>
        <w:t>CL un TMKC. Tomēr jāņem</w:t>
      </w:r>
      <w:r w:rsidR="00022CC6" w:rsidRPr="003C1B12">
        <w:rPr>
          <w:rFonts w:ascii="Times New Roman" w:hAnsi="Times New Roman" w:cs="Times New Roman"/>
          <w:color w:val="000000" w:themeColor="text1"/>
          <w:sz w:val="24"/>
          <w:szCs w:val="24"/>
        </w:rPr>
        <w:t xml:space="preserve"> vērā, ka </w:t>
      </w:r>
      <w:r w:rsidR="00F046A6" w:rsidRPr="003C1B12">
        <w:rPr>
          <w:rFonts w:ascii="Times New Roman" w:hAnsi="Times New Roman" w:cs="Times New Roman"/>
          <w:color w:val="000000" w:themeColor="text1"/>
          <w:sz w:val="24"/>
          <w:szCs w:val="24"/>
        </w:rPr>
        <w:t>papildus uzraudzības rādītājiem ir tieša korelācija ar ieguldīto finansējumu un pabeigto projektu skaitu</w:t>
      </w:r>
      <w:r w:rsidR="00022CC6" w:rsidRPr="003C1B12">
        <w:rPr>
          <w:rFonts w:ascii="Times New Roman" w:hAnsi="Times New Roman" w:cs="Times New Roman"/>
          <w:color w:val="000000" w:themeColor="text1"/>
          <w:sz w:val="24"/>
          <w:szCs w:val="24"/>
        </w:rPr>
        <w:t>,</w:t>
      </w:r>
      <w:r w:rsidR="00060BE2" w:rsidRPr="003C1B12">
        <w:rPr>
          <w:rFonts w:ascii="Times New Roman" w:hAnsi="Times New Roman" w:cs="Times New Roman"/>
          <w:color w:val="000000" w:themeColor="text1"/>
          <w:sz w:val="24"/>
          <w:szCs w:val="24"/>
        </w:rPr>
        <w:t xml:space="preserve"> tādēļ to</w:t>
      </w:r>
      <w:r w:rsidR="00F61238" w:rsidRPr="003C1B12">
        <w:rPr>
          <w:rFonts w:ascii="Times New Roman" w:hAnsi="Times New Roman" w:cs="Times New Roman"/>
          <w:color w:val="000000" w:themeColor="text1"/>
          <w:sz w:val="24"/>
          <w:szCs w:val="24"/>
        </w:rPr>
        <w:t xml:space="preserve"> izpilde kopumā atbilst pabeigto projektu īpatsvaram un tiek sagaidīts, ka </w:t>
      </w:r>
      <w:r w:rsidR="007022F7" w:rsidRPr="003C1B12">
        <w:rPr>
          <w:rFonts w:ascii="Times New Roman" w:hAnsi="Times New Roman" w:cs="Times New Roman"/>
          <w:color w:val="000000" w:themeColor="text1"/>
          <w:sz w:val="24"/>
          <w:szCs w:val="24"/>
        </w:rPr>
        <w:t>rā</w:t>
      </w:r>
      <w:r w:rsidR="00F61238" w:rsidRPr="003C1B12">
        <w:rPr>
          <w:rFonts w:ascii="Times New Roman" w:hAnsi="Times New Roman" w:cs="Times New Roman"/>
          <w:color w:val="000000" w:themeColor="text1"/>
          <w:sz w:val="24"/>
          <w:szCs w:val="24"/>
        </w:rPr>
        <w:t xml:space="preserve">dītāju izpilde tiks nodrošināta 2015.gadā </w:t>
      </w:r>
      <w:r w:rsidR="000968EB" w:rsidRPr="003C1B12">
        <w:rPr>
          <w:rFonts w:ascii="Times New Roman" w:hAnsi="Times New Roman" w:cs="Times New Roman"/>
          <w:color w:val="000000" w:themeColor="text1"/>
          <w:sz w:val="24"/>
          <w:szCs w:val="24"/>
        </w:rPr>
        <w:t>KC</w:t>
      </w:r>
      <w:r w:rsidR="00F61238" w:rsidRPr="003C1B12">
        <w:rPr>
          <w:rFonts w:ascii="Times New Roman" w:hAnsi="Times New Roman" w:cs="Times New Roman"/>
          <w:color w:val="000000" w:themeColor="text1"/>
          <w:sz w:val="24"/>
          <w:szCs w:val="24"/>
        </w:rPr>
        <w:t xml:space="preserve"> un komersantiem pabeidzot iesāktos pētniecības projektus.</w:t>
      </w:r>
      <w:r w:rsidR="00022CC6" w:rsidRPr="003C1B12">
        <w:rPr>
          <w:rFonts w:ascii="Times New Roman" w:hAnsi="Times New Roman" w:cs="Times New Roman"/>
          <w:color w:val="000000" w:themeColor="text1"/>
          <w:sz w:val="24"/>
          <w:szCs w:val="24"/>
        </w:rPr>
        <w:t xml:space="preserve"> Jāuzsver, </w:t>
      </w:r>
      <w:r w:rsidR="00F046A6" w:rsidRPr="003C1B12">
        <w:rPr>
          <w:rFonts w:ascii="Times New Roman" w:hAnsi="Times New Roman" w:cs="Times New Roman"/>
          <w:color w:val="000000" w:themeColor="text1"/>
          <w:sz w:val="24"/>
          <w:szCs w:val="24"/>
        </w:rPr>
        <w:t>ka</w:t>
      </w:r>
      <w:r w:rsidR="00F61238" w:rsidRPr="003C1B12">
        <w:rPr>
          <w:rFonts w:ascii="Times New Roman" w:hAnsi="Times New Roman" w:cs="Times New Roman"/>
          <w:color w:val="000000" w:themeColor="text1"/>
          <w:sz w:val="24"/>
          <w:szCs w:val="24"/>
        </w:rPr>
        <w:t xml:space="preserve"> </w:t>
      </w:r>
      <w:r w:rsidR="00F046A6" w:rsidRPr="003C1B12">
        <w:rPr>
          <w:rFonts w:ascii="Times New Roman" w:hAnsi="Times New Roman" w:cs="Times New Roman"/>
          <w:color w:val="000000" w:themeColor="text1"/>
          <w:sz w:val="24"/>
          <w:szCs w:val="24"/>
        </w:rPr>
        <w:t>v</w:t>
      </w:r>
      <w:r w:rsidR="00921EB7" w:rsidRPr="003C1B12">
        <w:rPr>
          <w:rFonts w:ascii="Times New Roman" w:hAnsi="Times New Roman" w:cs="Times New Roman"/>
          <w:color w:val="000000" w:themeColor="text1"/>
          <w:sz w:val="24"/>
          <w:szCs w:val="24"/>
        </w:rPr>
        <w:t>iens no rādītājiem</w:t>
      </w:r>
      <w:r w:rsidR="00F61238" w:rsidRPr="003C1B12">
        <w:rPr>
          <w:rFonts w:ascii="Times New Roman" w:hAnsi="Times New Roman" w:cs="Times New Roman"/>
          <w:color w:val="000000" w:themeColor="text1"/>
          <w:sz w:val="24"/>
          <w:szCs w:val="24"/>
        </w:rPr>
        <w:t>, kura plānotās mērķa vienība</w:t>
      </w:r>
      <w:r w:rsidR="00F046A6" w:rsidRPr="003C1B12">
        <w:rPr>
          <w:rFonts w:ascii="Times New Roman" w:hAnsi="Times New Roman" w:cs="Times New Roman"/>
          <w:color w:val="000000" w:themeColor="text1"/>
          <w:sz w:val="24"/>
          <w:szCs w:val="24"/>
        </w:rPr>
        <w:t>s</w:t>
      </w:r>
      <w:r w:rsidR="00F61238" w:rsidRPr="003C1B12">
        <w:rPr>
          <w:rFonts w:ascii="Times New Roman" w:hAnsi="Times New Roman" w:cs="Times New Roman"/>
          <w:color w:val="000000" w:themeColor="text1"/>
          <w:sz w:val="24"/>
          <w:szCs w:val="24"/>
        </w:rPr>
        <w:t xml:space="preserve"> ir pārsnieguši gandrīz visi </w:t>
      </w:r>
      <w:r w:rsidR="000968EB" w:rsidRPr="003C1B12">
        <w:rPr>
          <w:rFonts w:ascii="Times New Roman" w:hAnsi="Times New Roman" w:cs="Times New Roman"/>
          <w:color w:val="000000" w:themeColor="text1"/>
          <w:sz w:val="24"/>
          <w:szCs w:val="24"/>
        </w:rPr>
        <w:t>KC</w:t>
      </w:r>
      <w:r w:rsidR="00F61238" w:rsidRPr="003C1B12">
        <w:rPr>
          <w:rFonts w:ascii="Times New Roman" w:hAnsi="Times New Roman" w:cs="Times New Roman"/>
          <w:color w:val="000000" w:themeColor="text1"/>
          <w:sz w:val="24"/>
          <w:szCs w:val="24"/>
        </w:rPr>
        <w:t>, izņemot PC</w:t>
      </w:r>
      <w:r w:rsidR="00ED08A4" w:rsidRPr="003C1B12">
        <w:rPr>
          <w:rFonts w:ascii="Times New Roman" w:hAnsi="Times New Roman" w:cs="Times New Roman"/>
          <w:color w:val="000000" w:themeColor="text1"/>
          <w:sz w:val="24"/>
          <w:szCs w:val="24"/>
        </w:rPr>
        <w:t>C</w:t>
      </w:r>
      <w:r w:rsidR="00F61238" w:rsidRPr="003C1B12">
        <w:rPr>
          <w:rFonts w:ascii="Times New Roman" w:hAnsi="Times New Roman" w:cs="Times New Roman"/>
          <w:color w:val="000000" w:themeColor="text1"/>
          <w:sz w:val="24"/>
          <w:szCs w:val="24"/>
        </w:rPr>
        <w:t>CL un TMKC</w:t>
      </w:r>
      <w:r w:rsidR="007022F7" w:rsidRPr="003C1B12">
        <w:rPr>
          <w:rFonts w:ascii="Times New Roman" w:hAnsi="Times New Roman" w:cs="Times New Roman"/>
          <w:color w:val="000000" w:themeColor="text1"/>
          <w:sz w:val="24"/>
          <w:szCs w:val="24"/>
        </w:rPr>
        <w:t>,</w:t>
      </w:r>
      <w:r w:rsidR="00F61238" w:rsidRPr="003C1B12">
        <w:rPr>
          <w:rFonts w:ascii="Times New Roman" w:hAnsi="Times New Roman" w:cs="Times New Roman"/>
          <w:color w:val="000000" w:themeColor="text1"/>
          <w:sz w:val="24"/>
          <w:szCs w:val="24"/>
        </w:rPr>
        <w:t xml:space="preserve"> ir iesaistīto doktorantu skaits.</w:t>
      </w:r>
    </w:p>
    <w:p w:rsidR="00ED086F" w:rsidRPr="003C1B12" w:rsidRDefault="00ED086F" w:rsidP="00ED086F">
      <w:pPr>
        <w:spacing w:after="0" w:line="240" w:lineRule="auto"/>
        <w:jc w:val="right"/>
        <w:rPr>
          <w:rFonts w:ascii="Times New Roman" w:hAnsi="Times New Roman" w:cs="Times New Roman"/>
          <w:sz w:val="24"/>
          <w:szCs w:val="24"/>
        </w:rPr>
      </w:pPr>
      <w:r w:rsidRPr="003C1B12">
        <w:rPr>
          <w:rFonts w:ascii="Times New Roman" w:hAnsi="Times New Roman" w:cs="Times New Roman"/>
          <w:sz w:val="24"/>
          <w:szCs w:val="24"/>
        </w:rPr>
        <w:t>Tabula Nr.</w:t>
      </w:r>
      <w:r w:rsidRPr="003C1B12">
        <w:rPr>
          <w:rFonts w:ascii="Times New Roman" w:hAnsi="Times New Roman" w:cs="Times New Roman"/>
          <w:sz w:val="24"/>
          <w:szCs w:val="24"/>
        </w:rPr>
        <w:fldChar w:fldCharType="begin"/>
      </w:r>
      <w:r w:rsidRPr="003C1B12">
        <w:rPr>
          <w:rFonts w:ascii="Times New Roman" w:hAnsi="Times New Roman" w:cs="Times New Roman"/>
          <w:sz w:val="24"/>
          <w:szCs w:val="24"/>
        </w:rPr>
        <w:instrText xml:space="preserve"> SEQ Tabula_Nr. \* ARABIC </w:instrText>
      </w:r>
      <w:r w:rsidRPr="003C1B12">
        <w:rPr>
          <w:rFonts w:ascii="Times New Roman" w:hAnsi="Times New Roman" w:cs="Times New Roman"/>
          <w:sz w:val="24"/>
          <w:szCs w:val="24"/>
        </w:rPr>
        <w:fldChar w:fldCharType="separate"/>
      </w:r>
      <w:r w:rsidR="00A379AF" w:rsidRPr="003C1B12">
        <w:rPr>
          <w:rFonts w:ascii="Times New Roman" w:hAnsi="Times New Roman" w:cs="Times New Roman"/>
          <w:noProof/>
          <w:sz w:val="24"/>
          <w:szCs w:val="24"/>
        </w:rPr>
        <w:t>5</w:t>
      </w:r>
      <w:r w:rsidRPr="003C1B12">
        <w:rPr>
          <w:rFonts w:ascii="Times New Roman" w:hAnsi="Times New Roman" w:cs="Times New Roman"/>
          <w:sz w:val="24"/>
          <w:szCs w:val="24"/>
        </w:rPr>
        <w:fldChar w:fldCharType="end"/>
      </w:r>
    </w:p>
    <w:p w:rsidR="00F15070" w:rsidRPr="003C1B12" w:rsidRDefault="003E49FD" w:rsidP="00F15070">
      <w:pPr>
        <w:spacing w:after="0" w:line="240" w:lineRule="auto"/>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 xml:space="preserve">Informācija par </w:t>
      </w:r>
      <w:r w:rsidR="000968EB" w:rsidRPr="003C1B12">
        <w:rPr>
          <w:rFonts w:ascii="Times New Roman" w:hAnsi="Times New Roman" w:cs="Times New Roman"/>
          <w:color w:val="000000" w:themeColor="text1"/>
          <w:sz w:val="24"/>
          <w:szCs w:val="24"/>
        </w:rPr>
        <w:t>KC</w:t>
      </w:r>
      <w:r w:rsidRPr="003C1B12">
        <w:rPr>
          <w:rFonts w:ascii="Times New Roman" w:hAnsi="Times New Roman" w:cs="Times New Roman"/>
          <w:color w:val="000000" w:themeColor="text1"/>
          <w:sz w:val="24"/>
          <w:szCs w:val="24"/>
        </w:rPr>
        <w:t xml:space="preserve"> </w:t>
      </w:r>
      <w:r w:rsidR="00921EB7" w:rsidRPr="003C1B12">
        <w:rPr>
          <w:rFonts w:ascii="Times New Roman" w:hAnsi="Times New Roman" w:cs="Times New Roman"/>
          <w:color w:val="000000" w:themeColor="text1"/>
          <w:sz w:val="24"/>
          <w:szCs w:val="24"/>
        </w:rPr>
        <w:t xml:space="preserve">papildu </w:t>
      </w:r>
      <w:r w:rsidR="00F15070" w:rsidRPr="003C1B12">
        <w:rPr>
          <w:rFonts w:ascii="Times New Roman" w:hAnsi="Times New Roman" w:cs="Times New Roman"/>
          <w:color w:val="000000" w:themeColor="text1"/>
          <w:sz w:val="24"/>
          <w:szCs w:val="24"/>
        </w:rPr>
        <w:t>uzraudzības rādītāju</w:t>
      </w:r>
    </w:p>
    <w:p w:rsidR="003E49FD" w:rsidRPr="003C1B12" w:rsidRDefault="003E49FD" w:rsidP="00B10CCB">
      <w:pPr>
        <w:spacing w:after="120" w:line="240" w:lineRule="auto"/>
        <w:jc w:val="cente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izpildi līdz 2014.gada 31.decembri</w:t>
      </w:r>
      <w:r w:rsidR="00ED086F" w:rsidRPr="003C1B12">
        <w:rPr>
          <w:rFonts w:ascii="Times New Roman" w:hAnsi="Times New Roman" w:cs="Times New Roman"/>
          <w:color w:val="000000" w:themeColor="text1"/>
          <w:sz w:val="24"/>
          <w:szCs w:val="24"/>
        </w:rPr>
        <w:t>m</w:t>
      </w:r>
    </w:p>
    <w:tbl>
      <w:tblPr>
        <w:tblStyle w:val="TableGrid"/>
        <w:tblW w:w="8401" w:type="dxa"/>
        <w:jc w:val="center"/>
        <w:tblLayout w:type="fixed"/>
        <w:tblLook w:val="04A0" w:firstRow="1" w:lastRow="0" w:firstColumn="1" w:lastColumn="0" w:noHBand="0" w:noVBand="1"/>
      </w:tblPr>
      <w:tblGrid>
        <w:gridCol w:w="1586"/>
        <w:gridCol w:w="874"/>
        <w:gridCol w:w="874"/>
        <w:gridCol w:w="874"/>
        <w:gridCol w:w="874"/>
        <w:gridCol w:w="874"/>
        <w:gridCol w:w="874"/>
        <w:gridCol w:w="1571"/>
      </w:tblGrid>
      <w:tr w:rsidR="00393C59" w:rsidRPr="003C1B12" w:rsidTr="00393C59">
        <w:trPr>
          <w:jc w:val="center"/>
        </w:trPr>
        <w:tc>
          <w:tcPr>
            <w:tcW w:w="1586" w:type="dxa"/>
          </w:tcPr>
          <w:p w:rsidR="00393C59" w:rsidRPr="003C1B12" w:rsidRDefault="00393C59" w:rsidP="003E49FD">
            <w:pPr>
              <w:jc w:val="center"/>
              <w:rPr>
                <w:rFonts w:ascii="Times New Roman" w:hAnsi="Times New Roman" w:cs="Times New Roman"/>
                <w:b/>
                <w:color w:val="000000" w:themeColor="text1"/>
                <w:sz w:val="20"/>
                <w:szCs w:val="20"/>
              </w:rPr>
            </w:pPr>
            <w:r w:rsidRPr="003C1B12">
              <w:rPr>
                <w:rFonts w:ascii="Times New Roman" w:hAnsi="Times New Roman" w:cs="Times New Roman"/>
                <w:b/>
                <w:color w:val="000000" w:themeColor="text1"/>
                <w:sz w:val="20"/>
                <w:szCs w:val="20"/>
              </w:rPr>
              <w:t>KC nosaukums</w:t>
            </w:r>
          </w:p>
        </w:tc>
        <w:tc>
          <w:tcPr>
            <w:tcW w:w="1748" w:type="dxa"/>
            <w:gridSpan w:val="2"/>
          </w:tcPr>
          <w:p w:rsidR="00393C59" w:rsidRPr="003C1B12" w:rsidRDefault="00393C59" w:rsidP="003E49FD">
            <w:pPr>
              <w:jc w:val="center"/>
              <w:rPr>
                <w:rFonts w:ascii="Times New Roman" w:hAnsi="Times New Roman" w:cs="Times New Roman"/>
                <w:b/>
                <w:color w:val="000000" w:themeColor="text1"/>
                <w:sz w:val="20"/>
                <w:szCs w:val="20"/>
              </w:rPr>
            </w:pPr>
            <w:r w:rsidRPr="003C1B12">
              <w:rPr>
                <w:rFonts w:ascii="Times New Roman" w:hAnsi="Times New Roman" w:cs="Times New Roman"/>
                <w:b/>
                <w:color w:val="000000" w:themeColor="text1"/>
                <w:sz w:val="20"/>
                <w:szCs w:val="20"/>
              </w:rPr>
              <w:t>Doktorantu skaits</w:t>
            </w:r>
            <w:r w:rsidRPr="003C1B12">
              <w:rPr>
                <w:rStyle w:val="FootnoteReference"/>
                <w:rFonts w:ascii="Times New Roman" w:hAnsi="Times New Roman" w:cs="Times New Roman"/>
                <w:b/>
                <w:color w:val="000000" w:themeColor="text1"/>
                <w:sz w:val="20"/>
                <w:szCs w:val="20"/>
              </w:rPr>
              <w:footnoteReference w:id="7"/>
            </w:r>
          </w:p>
        </w:tc>
        <w:tc>
          <w:tcPr>
            <w:tcW w:w="1748" w:type="dxa"/>
            <w:gridSpan w:val="2"/>
          </w:tcPr>
          <w:p w:rsidR="00393C59" w:rsidRPr="003C1B12" w:rsidRDefault="00393C59" w:rsidP="003E49FD">
            <w:pPr>
              <w:jc w:val="center"/>
              <w:rPr>
                <w:rFonts w:ascii="Times New Roman" w:hAnsi="Times New Roman" w:cs="Times New Roman"/>
                <w:b/>
                <w:color w:val="000000" w:themeColor="text1"/>
                <w:sz w:val="20"/>
                <w:szCs w:val="20"/>
              </w:rPr>
            </w:pPr>
            <w:r w:rsidRPr="003C1B12">
              <w:rPr>
                <w:rFonts w:ascii="Times New Roman" w:hAnsi="Times New Roman" w:cs="Times New Roman"/>
                <w:b/>
                <w:color w:val="000000" w:themeColor="text1"/>
                <w:sz w:val="20"/>
                <w:szCs w:val="20"/>
              </w:rPr>
              <w:t>Rūpnieciskā īpašuma objektu skaits</w:t>
            </w:r>
          </w:p>
        </w:tc>
        <w:tc>
          <w:tcPr>
            <w:tcW w:w="1748" w:type="dxa"/>
            <w:gridSpan w:val="2"/>
          </w:tcPr>
          <w:p w:rsidR="00393C59" w:rsidRPr="003C1B12" w:rsidRDefault="00393C59" w:rsidP="003E49FD">
            <w:pPr>
              <w:jc w:val="center"/>
              <w:rPr>
                <w:rFonts w:ascii="Times New Roman" w:hAnsi="Times New Roman" w:cs="Times New Roman"/>
                <w:b/>
                <w:color w:val="000000" w:themeColor="text1"/>
                <w:sz w:val="20"/>
                <w:szCs w:val="20"/>
              </w:rPr>
            </w:pPr>
            <w:r w:rsidRPr="003C1B12">
              <w:rPr>
                <w:rFonts w:ascii="Times New Roman" w:hAnsi="Times New Roman" w:cs="Times New Roman"/>
                <w:b/>
                <w:color w:val="000000" w:themeColor="text1"/>
                <w:sz w:val="20"/>
                <w:szCs w:val="20"/>
                <w:shd w:val="clear" w:color="auto" w:fill="FFFFFF"/>
              </w:rPr>
              <w:t>Jaunu produktu un tehnoloģiju skaits</w:t>
            </w:r>
          </w:p>
        </w:tc>
        <w:tc>
          <w:tcPr>
            <w:tcW w:w="1571" w:type="dxa"/>
            <w:vMerge w:val="restart"/>
            <w:vAlign w:val="center"/>
          </w:tcPr>
          <w:p w:rsidR="00393C59" w:rsidRPr="003C1B12" w:rsidRDefault="00393C59" w:rsidP="00393C59">
            <w:pPr>
              <w:jc w:val="center"/>
              <w:rPr>
                <w:rFonts w:ascii="Times New Roman" w:hAnsi="Times New Roman" w:cs="Times New Roman"/>
                <w:b/>
                <w:color w:val="000000" w:themeColor="text1"/>
                <w:sz w:val="20"/>
                <w:szCs w:val="20"/>
                <w:shd w:val="clear" w:color="auto" w:fill="FFFFFF"/>
              </w:rPr>
            </w:pPr>
            <w:r w:rsidRPr="003C1B12">
              <w:rPr>
                <w:rFonts w:ascii="Times New Roman" w:hAnsi="Times New Roman" w:cs="Times New Roman"/>
                <w:b/>
                <w:color w:val="000000" w:themeColor="text1"/>
                <w:sz w:val="20"/>
                <w:szCs w:val="20"/>
                <w:shd w:val="clear" w:color="auto" w:fill="FFFFFF"/>
              </w:rPr>
              <w:t>Rādītāju vidējā izpilde %</w:t>
            </w:r>
          </w:p>
        </w:tc>
      </w:tr>
      <w:tr w:rsidR="00393C59" w:rsidRPr="003C1B12" w:rsidTr="00393C59">
        <w:trPr>
          <w:jc w:val="center"/>
        </w:trPr>
        <w:tc>
          <w:tcPr>
            <w:tcW w:w="1586" w:type="dxa"/>
          </w:tcPr>
          <w:p w:rsidR="00393C59" w:rsidRPr="003C1B12" w:rsidRDefault="00393C59" w:rsidP="003E49FD">
            <w:pPr>
              <w:jc w:val="both"/>
              <w:rPr>
                <w:rFonts w:ascii="Times New Roman" w:hAnsi="Times New Roman" w:cs="Times New Roman"/>
                <w:b/>
                <w:color w:val="000000" w:themeColor="text1"/>
                <w:sz w:val="20"/>
                <w:szCs w:val="20"/>
              </w:rPr>
            </w:pPr>
          </w:p>
        </w:tc>
        <w:tc>
          <w:tcPr>
            <w:tcW w:w="874" w:type="dxa"/>
          </w:tcPr>
          <w:p w:rsidR="00393C59" w:rsidRPr="003C1B12" w:rsidRDefault="00393C59" w:rsidP="00B10CCB">
            <w:pPr>
              <w:jc w:val="center"/>
              <w:rPr>
                <w:rFonts w:ascii="Times New Roman" w:hAnsi="Times New Roman" w:cs="Times New Roman"/>
                <w:sz w:val="20"/>
                <w:szCs w:val="20"/>
              </w:rPr>
            </w:pPr>
            <w:r w:rsidRPr="003C1B12">
              <w:rPr>
                <w:rFonts w:ascii="Times New Roman" w:hAnsi="Times New Roman" w:cs="Times New Roman"/>
                <w:color w:val="000000" w:themeColor="text1"/>
                <w:sz w:val="20"/>
                <w:szCs w:val="20"/>
              </w:rPr>
              <w:t>Plāns</w:t>
            </w:r>
          </w:p>
        </w:tc>
        <w:tc>
          <w:tcPr>
            <w:tcW w:w="874" w:type="dxa"/>
          </w:tcPr>
          <w:p w:rsidR="00393C59" w:rsidRPr="003C1B12" w:rsidRDefault="00393C59" w:rsidP="00B10CCB">
            <w:pPr>
              <w:jc w:val="center"/>
              <w:rPr>
                <w:rFonts w:ascii="Times New Roman" w:hAnsi="Times New Roman" w:cs="Times New Roman"/>
                <w:sz w:val="20"/>
                <w:szCs w:val="20"/>
              </w:rPr>
            </w:pPr>
            <w:r w:rsidRPr="003C1B12">
              <w:rPr>
                <w:rFonts w:ascii="Times New Roman" w:hAnsi="Times New Roman" w:cs="Times New Roman"/>
                <w:color w:val="000000" w:themeColor="text1"/>
                <w:sz w:val="20"/>
                <w:szCs w:val="20"/>
              </w:rPr>
              <w:t>Izpilde</w:t>
            </w:r>
          </w:p>
        </w:tc>
        <w:tc>
          <w:tcPr>
            <w:tcW w:w="874" w:type="dxa"/>
          </w:tcPr>
          <w:p w:rsidR="00393C59" w:rsidRPr="003C1B12" w:rsidRDefault="00393C59" w:rsidP="00B10CCB">
            <w:pPr>
              <w:jc w:val="center"/>
              <w:rPr>
                <w:rFonts w:ascii="Times New Roman" w:hAnsi="Times New Roman" w:cs="Times New Roman"/>
                <w:sz w:val="20"/>
                <w:szCs w:val="20"/>
              </w:rPr>
            </w:pPr>
            <w:r w:rsidRPr="003C1B12">
              <w:rPr>
                <w:rFonts w:ascii="Times New Roman" w:hAnsi="Times New Roman" w:cs="Times New Roman"/>
                <w:color w:val="000000" w:themeColor="text1"/>
                <w:sz w:val="20"/>
                <w:szCs w:val="20"/>
              </w:rPr>
              <w:t>Plāns</w:t>
            </w:r>
          </w:p>
        </w:tc>
        <w:tc>
          <w:tcPr>
            <w:tcW w:w="874" w:type="dxa"/>
          </w:tcPr>
          <w:p w:rsidR="00393C59" w:rsidRPr="003C1B12" w:rsidRDefault="00393C59" w:rsidP="00B10CCB">
            <w:pPr>
              <w:jc w:val="center"/>
              <w:rPr>
                <w:rFonts w:ascii="Times New Roman" w:hAnsi="Times New Roman" w:cs="Times New Roman"/>
                <w:sz w:val="20"/>
                <w:szCs w:val="20"/>
              </w:rPr>
            </w:pPr>
            <w:r w:rsidRPr="003C1B12">
              <w:rPr>
                <w:rFonts w:ascii="Times New Roman" w:hAnsi="Times New Roman" w:cs="Times New Roman"/>
                <w:color w:val="000000" w:themeColor="text1"/>
                <w:sz w:val="20"/>
                <w:szCs w:val="20"/>
              </w:rPr>
              <w:t>Izpilde</w:t>
            </w:r>
          </w:p>
        </w:tc>
        <w:tc>
          <w:tcPr>
            <w:tcW w:w="874" w:type="dxa"/>
          </w:tcPr>
          <w:p w:rsidR="00393C59" w:rsidRPr="003C1B12" w:rsidRDefault="00393C59" w:rsidP="00B10CCB">
            <w:pPr>
              <w:jc w:val="center"/>
              <w:rPr>
                <w:rFonts w:ascii="Times New Roman" w:hAnsi="Times New Roman" w:cs="Times New Roman"/>
                <w:sz w:val="20"/>
                <w:szCs w:val="20"/>
              </w:rPr>
            </w:pPr>
            <w:r w:rsidRPr="003C1B12">
              <w:rPr>
                <w:rFonts w:ascii="Times New Roman" w:hAnsi="Times New Roman" w:cs="Times New Roman"/>
                <w:color w:val="000000" w:themeColor="text1"/>
                <w:sz w:val="20"/>
                <w:szCs w:val="20"/>
              </w:rPr>
              <w:t>Plāns</w:t>
            </w:r>
          </w:p>
        </w:tc>
        <w:tc>
          <w:tcPr>
            <w:tcW w:w="874" w:type="dxa"/>
          </w:tcPr>
          <w:p w:rsidR="00393C59" w:rsidRPr="003C1B12" w:rsidRDefault="00393C59" w:rsidP="00B10CCB">
            <w:pPr>
              <w:jc w:val="center"/>
              <w:rPr>
                <w:rFonts w:ascii="Times New Roman" w:hAnsi="Times New Roman" w:cs="Times New Roman"/>
                <w:sz w:val="20"/>
                <w:szCs w:val="20"/>
              </w:rPr>
            </w:pPr>
            <w:r w:rsidRPr="003C1B12">
              <w:rPr>
                <w:rFonts w:ascii="Times New Roman" w:hAnsi="Times New Roman" w:cs="Times New Roman"/>
                <w:color w:val="000000" w:themeColor="text1"/>
                <w:sz w:val="20"/>
                <w:szCs w:val="20"/>
              </w:rPr>
              <w:t>Izpilde</w:t>
            </w:r>
          </w:p>
        </w:tc>
        <w:tc>
          <w:tcPr>
            <w:tcW w:w="1571" w:type="dxa"/>
            <w:vMerge/>
            <w:vAlign w:val="center"/>
          </w:tcPr>
          <w:p w:rsidR="00393C59" w:rsidRPr="003C1B12" w:rsidRDefault="00393C59" w:rsidP="003E49FD">
            <w:pPr>
              <w:jc w:val="both"/>
              <w:rPr>
                <w:rFonts w:ascii="Times New Roman" w:hAnsi="Times New Roman" w:cs="Times New Roman"/>
                <w:b/>
                <w:color w:val="000000" w:themeColor="text1"/>
                <w:sz w:val="20"/>
                <w:szCs w:val="20"/>
              </w:rPr>
            </w:pPr>
          </w:p>
        </w:tc>
      </w:tr>
      <w:tr w:rsidR="00393C59" w:rsidRPr="003C1B12" w:rsidTr="00393C59">
        <w:trPr>
          <w:jc w:val="center"/>
        </w:trPr>
        <w:tc>
          <w:tcPr>
            <w:tcW w:w="1586" w:type="dxa"/>
          </w:tcPr>
          <w:p w:rsidR="00393C59" w:rsidRPr="003C1B12" w:rsidRDefault="00393C59" w:rsidP="003E49FD">
            <w:pPr>
              <w:jc w:val="both"/>
              <w:rPr>
                <w:rFonts w:ascii="Times New Roman" w:hAnsi="Times New Roman" w:cs="Times New Roman"/>
                <w:b/>
                <w:sz w:val="20"/>
                <w:szCs w:val="20"/>
              </w:rPr>
            </w:pPr>
            <w:r w:rsidRPr="003C1B12">
              <w:rPr>
                <w:rFonts w:ascii="Times New Roman" w:hAnsi="Times New Roman" w:cs="Times New Roman"/>
                <w:b/>
                <w:color w:val="000000" w:themeColor="text1"/>
                <w:sz w:val="20"/>
                <w:szCs w:val="20"/>
              </w:rPr>
              <w:t>ITKC</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29</w:t>
            </w:r>
          </w:p>
        </w:tc>
        <w:tc>
          <w:tcPr>
            <w:tcW w:w="874" w:type="dxa"/>
          </w:tcPr>
          <w:p w:rsidR="00393C59" w:rsidRPr="003C1B12" w:rsidRDefault="004D61AD" w:rsidP="00921EB7">
            <w:pPr>
              <w:jc w:val="center"/>
              <w:rPr>
                <w:rFonts w:ascii="Times New Roman" w:hAnsi="Times New Roman" w:cs="Times New Roman"/>
                <w:sz w:val="20"/>
                <w:szCs w:val="20"/>
              </w:rPr>
            </w:pPr>
            <w:r w:rsidRPr="003C1B12">
              <w:rPr>
                <w:rFonts w:ascii="Times New Roman" w:hAnsi="Times New Roman" w:cs="Times New Roman"/>
                <w:color w:val="000000" w:themeColor="text1"/>
                <w:sz w:val="20"/>
                <w:szCs w:val="20"/>
              </w:rPr>
              <w:t>34</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51</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26</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43</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23</w:t>
            </w:r>
          </w:p>
        </w:tc>
        <w:tc>
          <w:tcPr>
            <w:tcW w:w="1571" w:type="dxa"/>
            <w:vAlign w:val="center"/>
          </w:tcPr>
          <w:p w:rsidR="00393C59" w:rsidRPr="003C1B12" w:rsidRDefault="00393C59" w:rsidP="00921EB7">
            <w:pPr>
              <w:jc w:val="center"/>
              <w:rPr>
                <w:rFonts w:ascii="Times New Roman" w:hAnsi="Times New Roman" w:cs="Times New Roman"/>
                <w:b/>
                <w:color w:val="000000" w:themeColor="text1"/>
                <w:sz w:val="20"/>
                <w:szCs w:val="20"/>
              </w:rPr>
            </w:pPr>
            <w:r w:rsidRPr="003C1B12">
              <w:rPr>
                <w:rFonts w:ascii="Times New Roman" w:hAnsi="Times New Roman" w:cs="Times New Roman"/>
                <w:b/>
                <w:bCs/>
                <w:color w:val="000000" w:themeColor="text1"/>
                <w:sz w:val="20"/>
                <w:szCs w:val="20"/>
              </w:rPr>
              <w:t>80,8</w:t>
            </w:r>
          </w:p>
        </w:tc>
      </w:tr>
      <w:tr w:rsidR="00393C59" w:rsidRPr="003C1B12" w:rsidTr="00393C59">
        <w:trPr>
          <w:jc w:val="center"/>
        </w:trPr>
        <w:tc>
          <w:tcPr>
            <w:tcW w:w="1586" w:type="dxa"/>
          </w:tcPr>
          <w:p w:rsidR="00393C59" w:rsidRPr="003C1B12" w:rsidRDefault="00393C59" w:rsidP="003E49FD">
            <w:pPr>
              <w:jc w:val="both"/>
              <w:rPr>
                <w:rFonts w:ascii="Times New Roman" w:hAnsi="Times New Roman" w:cs="Times New Roman"/>
                <w:b/>
                <w:sz w:val="20"/>
                <w:szCs w:val="20"/>
              </w:rPr>
            </w:pPr>
            <w:r w:rsidRPr="003C1B12">
              <w:rPr>
                <w:rFonts w:ascii="Times New Roman" w:hAnsi="Times New Roman" w:cs="Times New Roman"/>
                <w:b/>
                <w:color w:val="000000" w:themeColor="text1"/>
                <w:sz w:val="20"/>
                <w:szCs w:val="20"/>
              </w:rPr>
              <w:t>MNKC</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17</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color w:val="000000" w:themeColor="text1"/>
                <w:sz w:val="20"/>
                <w:szCs w:val="20"/>
              </w:rPr>
              <w:t>15</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33</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8</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21</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3</w:t>
            </w:r>
          </w:p>
        </w:tc>
        <w:tc>
          <w:tcPr>
            <w:tcW w:w="1571" w:type="dxa"/>
            <w:vAlign w:val="center"/>
          </w:tcPr>
          <w:p w:rsidR="00393C59" w:rsidRPr="003C1B12" w:rsidRDefault="00F046A6" w:rsidP="00921EB7">
            <w:pPr>
              <w:jc w:val="center"/>
              <w:rPr>
                <w:rFonts w:ascii="Times New Roman" w:hAnsi="Times New Roman" w:cs="Times New Roman"/>
                <w:b/>
                <w:color w:val="000000" w:themeColor="text1"/>
                <w:sz w:val="20"/>
                <w:szCs w:val="20"/>
              </w:rPr>
            </w:pPr>
            <w:r w:rsidRPr="003C1B12">
              <w:rPr>
                <w:rFonts w:ascii="Times New Roman" w:hAnsi="Times New Roman" w:cs="Times New Roman"/>
                <w:b/>
                <w:bCs/>
                <w:color w:val="000000" w:themeColor="text1"/>
                <w:sz w:val="20"/>
                <w:szCs w:val="20"/>
              </w:rPr>
              <w:t>58,3</w:t>
            </w:r>
          </w:p>
        </w:tc>
      </w:tr>
      <w:tr w:rsidR="00393C59" w:rsidRPr="003C1B12" w:rsidTr="00393C59">
        <w:trPr>
          <w:jc w:val="center"/>
        </w:trPr>
        <w:tc>
          <w:tcPr>
            <w:tcW w:w="1586" w:type="dxa"/>
          </w:tcPr>
          <w:p w:rsidR="00393C59" w:rsidRPr="003C1B12" w:rsidRDefault="00393C59" w:rsidP="003E49FD">
            <w:pPr>
              <w:jc w:val="both"/>
              <w:rPr>
                <w:rFonts w:ascii="Times New Roman" w:hAnsi="Times New Roman" w:cs="Times New Roman"/>
                <w:b/>
                <w:sz w:val="20"/>
                <w:szCs w:val="20"/>
              </w:rPr>
            </w:pPr>
            <w:r w:rsidRPr="003C1B12">
              <w:rPr>
                <w:rFonts w:ascii="Times New Roman" w:hAnsi="Times New Roman" w:cs="Times New Roman"/>
                <w:b/>
                <w:color w:val="000000" w:themeColor="text1"/>
                <w:sz w:val="20"/>
                <w:szCs w:val="20"/>
              </w:rPr>
              <w:t>PCCCL</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11</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color w:val="000000" w:themeColor="text1"/>
                <w:sz w:val="20"/>
                <w:szCs w:val="20"/>
              </w:rPr>
              <w:t>3</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20</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0</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32</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6</w:t>
            </w:r>
          </w:p>
        </w:tc>
        <w:tc>
          <w:tcPr>
            <w:tcW w:w="1571" w:type="dxa"/>
            <w:vAlign w:val="center"/>
          </w:tcPr>
          <w:p w:rsidR="00393C59" w:rsidRPr="003C1B12" w:rsidRDefault="00F046A6" w:rsidP="00921EB7">
            <w:pPr>
              <w:jc w:val="center"/>
              <w:rPr>
                <w:rFonts w:ascii="Times New Roman" w:hAnsi="Times New Roman" w:cs="Times New Roman"/>
                <w:b/>
                <w:color w:val="000000" w:themeColor="text1"/>
                <w:sz w:val="20"/>
                <w:szCs w:val="20"/>
              </w:rPr>
            </w:pPr>
            <w:r w:rsidRPr="003C1B12">
              <w:rPr>
                <w:rFonts w:ascii="Times New Roman" w:hAnsi="Times New Roman" w:cs="Times New Roman"/>
                <w:b/>
                <w:bCs/>
                <w:color w:val="000000" w:themeColor="text1"/>
                <w:sz w:val="20"/>
                <w:szCs w:val="20"/>
              </w:rPr>
              <w:t>23,9</w:t>
            </w:r>
          </w:p>
        </w:tc>
      </w:tr>
      <w:tr w:rsidR="00393C59" w:rsidRPr="003C1B12" w:rsidTr="00393C59">
        <w:trPr>
          <w:jc w:val="center"/>
        </w:trPr>
        <w:tc>
          <w:tcPr>
            <w:tcW w:w="1586" w:type="dxa"/>
          </w:tcPr>
          <w:p w:rsidR="00393C59" w:rsidRPr="003C1B12" w:rsidRDefault="00393C59" w:rsidP="003E49FD">
            <w:pPr>
              <w:jc w:val="both"/>
              <w:rPr>
                <w:rFonts w:ascii="Times New Roman" w:hAnsi="Times New Roman" w:cs="Times New Roman"/>
                <w:b/>
                <w:sz w:val="20"/>
                <w:szCs w:val="20"/>
              </w:rPr>
            </w:pPr>
            <w:r w:rsidRPr="003C1B12">
              <w:rPr>
                <w:rFonts w:ascii="Times New Roman" w:hAnsi="Times New Roman" w:cs="Times New Roman"/>
                <w:b/>
                <w:color w:val="000000" w:themeColor="text1"/>
                <w:sz w:val="20"/>
                <w:szCs w:val="20"/>
              </w:rPr>
              <w:t>LEO KC</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12</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color w:val="000000" w:themeColor="text1"/>
                <w:sz w:val="20"/>
                <w:szCs w:val="20"/>
              </w:rPr>
              <w:t>28</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10</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1</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10</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4</w:t>
            </w:r>
          </w:p>
        </w:tc>
        <w:tc>
          <w:tcPr>
            <w:tcW w:w="1571" w:type="dxa"/>
            <w:vAlign w:val="center"/>
          </w:tcPr>
          <w:p w:rsidR="00393C59" w:rsidRPr="003C1B12" w:rsidRDefault="00F046A6" w:rsidP="00921EB7">
            <w:pPr>
              <w:jc w:val="center"/>
              <w:rPr>
                <w:rFonts w:ascii="Times New Roman" w:hAnsi="Times New Roman" w:cs="Times New Roman"/>
                <w:b/>
                <w:color w:val="000000" w:themeColor="text1"/>
                <w:sz w:val="20"/>
                <w:szCs w:val="20"/>
              </w:rPr>
            </w:pPr>
            <w:r w:rsidRPr="003C1B12">
              <w:rPr>
                <w:rFonts w:ascii="Times New Roman" w:hAnsi="Times New Roman" w:cs="Times New Roman"/>
                <w:b/>
                <w:bCs/>
                <w:color w:val="000000" w:themeColor="text1"/>
                <w:sz w:val="20"/>
                <w:szCs w:val="20"/>
              </w:rPr>
              <w:t>67,7</w:t>
            </w:r>
          </w:p>
        </w:tc>
      </w:tr>
      <w:tr w:rsidR="00393C59" w:rsidRPr="003C1B12" w:rsidTr="00393C59">
        <w:trPr>
          <w:jc w:val="center"/>
        </w:trPr>
        <w:tc>
          <w:tcPr>
            <w:tcW w:w="1586" w:type="dxa"/>
          </w:tcPr>
          <w:p w:rsidR="00393C59" w:rsidRPr="003C1B12" w:rsidRDefault="00393C59" w:rsidP="003E49FD">
            <w:pPr>
              <w:jc w:val="both"/>
              <w:rPr>
                <w:rFonts w:ascii="Times New Roman" w:hAnsi="Times New Roman" w:cs="Times New Roman"/>
                <w:b/>
                <w:sz w:val="20"/>
                <w:szCs w:val="20"/>
              </w:rPr>
            </w:pPr>
            <w:r w:rsidRPr="003C1B12">
              <w:rPr>
                <w:rFonts w:ascii="Times New Roman" w:hAnsi="Times New Roman" w:cs="Times New Roman"/>
                <w:b/>
                <w:color w:val="000000" w:themeColor="text1"/>
                <w:sz w:val="20"/>
                <w:szCs w:val="20"/>
              </w:rPr>
              <w:t>VBBKC</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11</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color w:val="000000" w:themeColor="text1"/>
                <w:sz w:val="20"/>
                <w:szCs w:val="20"/>
              </w:rPr>
              <w:t>24</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22</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3</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26</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8</w:t>
            </w:r>
          </w:p>
        </w:tc>
        <w:tc>
          <w:tcPr>
            <w:tcW w:w="1571" w:type="dxa"/>
            <w:vAlign w:val="center"/>
          </w:tcPr>
          <w:p w:rsidR="00393C59" w:rsidRPr="003C1B12" w:rsidRDefault="00F046A6" w:rsidP="00921EB7">
            <w:pPr>
              <w:jc w:val="center"/>
              <w:rPr>
                <w:rFonts w:ascii="Times New Roman" w:hAnsi="Times New Roman" w:cs="Times New Roman"/>
                <w:b/>
                <w:color w:val="000000" w:themeColor="text1"/>
                <w:sz w:val="20"/>
                <w:szCs w:val="20"/>
              </w:rPr>
            </w:pPr>
            <w:r w:rsidRPr="003C1B12">
              <w:rPr>
                <w:rFonts w:ascii="Times New Roman" w:hAnsi="Times New Roman" w:cs="Times New Roman"/>
                <w:b/>
                <w:bCs/>
                <w:color w:val="000000" w:themeColor="text1"/>
                <w:sz w:val="20"/>
                <w:szCs w:val="20"/>
              </w:rPr>
              <w:t>54,8</w:t>
            </w:r>
          </w:p>
        </w:tc>
      </w:tr>
      <w:tr w:rsidR="00393C59" w:rsidRPr="003C1B12" w:rsidTr="00393C59">
        <w:trPr>
          <w:jc w:val="center"/>
        </w:trPr>
        <w:tc>
          <w:tcPr>
            <w:tcW w:w="1586" w:type="dxa"/>
          </w:tcPr>
          <w:p w:rsidR="00393C59" w:rsidRPr="003C1B12" w:rsidRDefault="00393C59" w:rsidP="003E49FD">
            <w:pPr>
              <w:jc w:val="both"/>
              <w:rPr>
                <w:rFonts w:ascii="Times New Roman" w:hAnsi="Times New Roman" w:cs="Times New Roman"/>
                <w:b/>
                <w:color w:val="000000" w:themeColor="text1"/>
                <w:sz w:val="20"/>
                <w:szCs w:val="20"/>
              </w:rPr>
            </w:pPr>
            <w:r w:rsidRPr="003C1B12">
              <w:rPr>
                <w:rFonts w:ascii="Times New Roman" w:hAnsi="Times New Roman" w:cs="Times New Roman"/>
                <w:b/>
                <w:color w:val="000000" w:themeColor="text1"/>
                <w:sz w:val="20"/>
                <w:szCs w:val="20"/>
              </w:rPr>
              <w:t>TMKC</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24</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color w:val="000000" w:themeColor="text1"/>
                <w:sz w:val="20"/>
                <w:szCs w:val="20"/>
              </w:rPr>
              <w:t>6</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7</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1</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18</w:t>
            </w:r>
          </w:p>
        </w:tc>
        <w:tc>
          <w:tcPr>
            <w:tcW w:w="874" w:type="dxa"/>
          </w:tcPr>
          <w:p w:rsidR="00393C59" w:rsidRPr="003C1B12" w:rsidRDefault="00393C59" w:rsidP="00921EB7">
            <w:pPr>
              <w:jc w:val="center"/>
              <w:rPr>
                <w:rFonts w:ascii="Times New Roman" w:hAnsi="Times New Roman" w:cs="Times New Roman"/>
                <w:sz w:val="20"/>
                <w:szCs w:val="20"/>
              </w:rPr>
            </w:pPr>
            <w:r w:rsidRPr="003C1B12">
              <w:rPr>
                <w:rFonts w:ascii="Times New Roman" w:hAnsi="Times New Roman" w:cs="Times New Roman"/>
                <w:sz w:val="20"/>
                <w:szCs w:val="20"/>
              </w:rPr>
              <w:t>9</w:t>
            </w:r>
          </w:p>
        </w:tc>
        <w:tc>
          <w:tcPr>
            <w:tcW w:w="1571" w:type="dxa"/>
            <w:vAlign w:val="center"/>
          </w:tcPr>
          <w:p w:rsidR="00393C59" w:rsidRPr="003C1B12" w:rsidRDefault="00F046A6" w:rsidP="00921EB7">
            <w:pPr>
              <w:jc w:val="center"/>
              <w:rPr>
                <w:rFonts w:ascii="Times New Roman" w:hAnsi="Times New Roman" w:cs="Times New Roman"/>
                <w:b/>
                <w:color w:val="000000" w:themeColor="text1"/>
                <w:sz w:val="20"/>
                <w:szCs w:val="20"/>
              </w:rPr>
            </w:pPr>
            <w:r w:rsidRPr="003C1B12">
              <w:rPr>
                <w:rFonts w:ascii="Times New Roman" w:hAnsi="Times New Roman" w:cs="Times New Roman"/>
                <w:b/>
                <w:bCs/>
                <w:color w:val="000000" w:themeColor="text1"/>
                <w:sz w:val="20"/>
                <w:szCs w:val="20"/>
              </w:rPr>
              <w:t>24,4</w:t>
            </w:r>
          </w:p>
        </w:tc>
      </w:tr>
      <w:tr w:rsidR="00393C59" w:rsidRPr="003C1B12" w:rsidTr="00393C59">
        <w:trPr>
          <w:jc w:val="center"/>
        </w:trPr>
        <w:tc>
          <w:tcPr>
            <w:tcW w:w="1586" w:type="dxa"/>
          </w:tcPr>
          <w:p w:rsidR="00393C59" w:rsidRPr="003C1B12" w:rsidRDefault="00393C59" w:rsidP="003E49FD">
            <w:pPr>
              <w:jc w:val="right"/>
              <w:rPr>
                <w:rFonts w:ascii="Times New Roman" w:hAnsi="Times New Roman" w:cs="Times New Roman"/>
                <w:b/>
                <w:color w:val="000000" w:themeColor="text1"/>
                <w:sz w:val="20"/>
                <w:szCs w:val="20"/>
              </w:rPr>
            </w:pPr>
            <w:r w:rsidRPr="003C1B12">
              <w:rPr>
                <w:rFonts w:ascii="Times New Roman" w:hAnsi="Times New Roman" w:cs="Times New Roman"/>
                <w:b/>
                <w:color w:val="000000" w:themeColor="text1"/>
                <w:sz w:val="20"/>
                <w:szCs w:val="20"/>
              </w:rPr>
              <w:t>KOPĀ</w:t>
            </w:r>
          </w:p>
        </w:tc>
        <w:tc>
          <w:tcPr>
            <w:tcW w:w="874" w:type="dxa"/>
          </w:tcPr>
          <w:p w:rsidR="00393C59" w:rsidRPr="003C1B12" w:rsidRDefault="00393C59" w:rsidP="00921EB7">
            <w:pPr>
              <w:jc w:val="center"/>
              <w:rPr>
                <w:rFonts w:ascii="Times New Roman" w:hAnsi="Times New Roman" w:cs="Times New Roman"/>
                <w:b/>
                <w:sz w:val="20"/>
                <w:szCs w:val="20"/>
              </w:rPr>
            </w:pPr>
            <w:r w:rsidRPr="003C1B12">
              <w:rPr>
                <w:rFonts w:ascii="Times New Roman" w:hAnsi="Times New Roman" w:cs="Times New Roman"/>
                <w:b/>
                <w:sz w:val="20"/>
                <w:szCs w:val="20"/>
              </w:rPr>
              <w:t>104</w:t>
            </w:r>
          </w:p>
        </w:tc>
        <w:tc>
          <w:tcPr>
            <w:tcW w:w="874" w:type="dxa"/>
          </w:tcPr>
          <w:p w:rsidR="00393C59" w:rsidRPr="003C1B12" w:rsidRDefault="00393C59" w:rsidP="00921EB7">
            <w:pPr>
              <w:jc w:val="center"/>
              <w:rPr>
                <w:rFonts w:ascii="Times New Roman" w:hAnsi="Times New Roman" w:cs="Times New Roman"/>
                <w:b/>
                <w:sz w:val="20"/>
                <w:szCs w:val="20"/>
              </w:rPr>
            </w:pPr>
            <w:r w:rsidRPr="003C1B12">
              <w:rPr>
                <w:rFonts w:ascii="Times New Roman" w:hAnsi="Times New Roman" w:cs="Times New Roman"/>
                <w:b/>
                <w:color w:val="000000" w:themeColor="text1"/>
                <w:sz w:val="20"/>
                <w:szCs w:val="20"/>
              </w:rPr>
              <w:t>11</w:t>
            </w:r>
            <w:r w:rsidR="004D61AD" w:rsidRPr="003C1B12">
              <w:rPr>
                <w:rFonts w:ascii="Times New Roman" w:hAnsi="Times New Roman" w:cs="Times New Roman"/>
                <w:b/>
                <w:color w:val="000000" w:themeColor="text1"/>
                <w:sz w:val="20"/>
                <w:szCs w:val="20"/>
              </w:rPr>
              <w:t>0</w:t>
            </w:r>
          </w:p>
        </w:tc>
        <w:tc>
          <w:tcPr>
            <w:tcW w:w="874" w:type="dxa"/>
          </w:tcPr>
          <w:p w:rsidR="00393C59" w:rsidRPr="003C1B12" w:rsidRDefault="00393C59" w:rsidP="00921EB7">
            <w:pPr>
              <w:jc w:val="center"/>
              <w:rPr>
                <w:rFonts w:ascii="Times New Roman" w:hAnsi="Times New Roman" w:cs="Times New Roman"/>
                <w:b/>
                <w:sz w:val="20"/>
                <w:szCs w:val="20"/>
              </w:rPr>
            </w:pPr>
            <w:r w:rsidRPr="003C1B12">
              <w:rPr>
                <w:rFonts w:ascii="Times New Roman" w:hAnsi="Times New Roman" w:cs="Times New Roman"/>
                <w:b/>
                <w:sz w:val="20"/>
                <w:szCs w:val="20"/>
              </w:rPr>
              <w:t>143</w:t>
            </w:r>
          </w:p>
        </w:tc>
        <w:tc>
          <w:tcPr>
            <w:tcW w:w="874" w:type="dxa"/>
          </w:tcPr>
          <w:p w:rsidR="00393C59" w:rsidRPr="003C1B12" w:rsidRDefault="00393C59" w:rsidP="00921EB7">
            <w:pPr>
              <w:jc w:val="center"/>
              <w:rPr>
                <w:rFonts w:ascii="Times New Roman" w:hAnsi="Times New Roman" w:cs="Times New Roman"/>
                <w:b/>
                <w:sz w:val="20"/>
                <w:szCs w:val="20"/>
              </w:rPr>
            </w:pPr>
            <w:r w:rsidRPr="003C1B12">
              <w:rPr>
                <w:rFonts w:ascii="Times New Roman" w:hAnsi="Times New Roman" w:cs="Times New Roman"/>
                <w:b/>
                <w:sz w:val="20"/>
                <w:szCs w:val="20"/>
              </w:rPr>
              <w:t>39</w:t>
            </w:r>
          </w:p>
        </w:tc>
        <w:tc>
          <w:tcPr>
            <w:tcW w:w="874" w:type="dxa"/>
          </w:tcPr>
          <w:p w:rsidR="00393C59" w:rsidRPr="003C1B12" w:rsidRDefault="00393C59" w:rsidP="00921EB7">
            <w:pPr>
              <w:jc w:val="center"/>
              <w:rPr>
                <w:rFonts w:ascii="Times New Roman" w:hAnsi="Times New Roman" w:cs="Times New Roman"/>
                <w:b/>
                <w:sz w:val="20"/>
                <w:szCs w:val="20"/>
              </w:rPr>
            </w:pPr>
            <w:r w:rsidRPr="003C1B12">
              <w:rPr>
                <w:rFonts w:ascii="Times New Roman" w:hAnsi="Times New Roman" w:cs="Times New Roman"/>
                <w:b/>
                <w:sz w:val="20"/>
                <w:szCs w:val="20"/>
              </w:rPr>
              <w:t>150</w:t>
            </w:r>
          </w:p>
        </w:tc>
        <w:tc>
          <w:tcPr>
            <w:tcW w:w="874" w:type="dxa"/>
          </w:tcPr>
          <w:p w:rsidR="00393C59" w:rsidRPr="003C1B12" w:rsidRDefault="00393C59" w:rsidP="00921EB7">
            <w:pPr>
              <w:jc w:val="center"/>
              <w:rPr>
                <w:rFonts w:ascii="Times New Roman" w:hAnsi="Times New Roman" w:cs="Times New Roman"/>
                <w:b/>
                <w:sz w:val="20"/>
                <w:szCs w:val="20"/>
              </w:rPr>
            </w:pPr>
            <w:r w:rsidRPr="003C1B12">
              <w:rPr>
                <w:rFonts w:ascii="Times New Roman" w:hAnsi="Times New Roman" w:cs="Times New Roman"/>
                <w:b/>
                <w:sz w:val="20"/>
                <w:szCs w:val="20"/>
              </w:rPr>
              <w:t>53</w:t>
            </w:r>
          </w:p>
        </w:tc>
        <w:tc>
          <w:tcPr>
            <w:tcW w:w="1571" w:type="dxa"/>
            <w:vAlign w:val="center"/>
          </w:tcPr>
          <w:p w:rsidR="00393C59" w:rsidRPr="003C1B12" w:rsidRDefault="00393C59" w:rsidP="00921EB7">
            <w:pPr>
              <w:jc w:val="center"/>
              <w:rPr>
                <w:rFonts w:ascii="Times New Roman" w:hAnsi="Times New Roman" w:cs="Times New Roman"/>
                <w:b/>
                <w:color w:val="000000" w:themeColor="text1"/>
                <w:sz w:val="20"/>
                <w:szCs w:val="20"/>
              </w:rPr>
            </w:pPr>
            <w:r w:rsidRPr="003C1B12">
              <w:rPr>
                <w:rFonts w:ascii="Times New Roman" w:hAnsi="Times New Roman" w:cs="Times New Roman"/>
                <w:b/>
                <w:bCs/>
                <w:color w:val="000000" w:themeColor="text1"/>
                <w:sz w:val="20"/>
                <w:szCs w:val="20"/>
              </w:rPr>
              <w:t>58,0</w:t>
            </w:r>
          </w:p>
        </w:tc>
      </w:tr>
    </w:tbl>
    <w:p w:rsidR="00393C59" w:rsidRPr="003C1B12" w:rsidRDefault="00393C59" w:rsidP="003E49FD">
      <w:pPr>
        <w:spacing w:after="0" w:line="240" w:lineRule="auto"/>
        <w:ind w:firstLine="720"/>
        <w:jc w:val="both"/>
        <w:rPr>
          <w:rFonts w:ascii="Times New Roman" w:hAnsi="Times New Roman" w:cs="Times New Roman"/>
          <w:color w:val="000000" w:themeColor="text1"/>
          <w:sz w:val="24"/>
          <w:szCs w:val="24"/>
        </w:rPr>
      </w:pPr>
    </w:p>
    <w:p w:rsidR="003E49FD" w:rsidRPr="003C1B12" w:rsidRDefault="00F61238" w:rsidP="003E49FD">
      <w:pPr>
        <w:spacing w:after="0" w:line="240" w:lineRule="auto"/>
        <w:ind w:firstLine="720"/>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Programmas nosacījumi paredzēja, ka efektīvas darbības gadījumā pētniecības projektiem var palielināt atbalsta inte</w:t>
      </w:r>
      <w:r w:rsidR="00F046A6" w:rsidRPr="003C1B12">
        <w:rPr>
          <w:rFonts w:ascii="Times New Roman" w:hAnsi="Times New Roman" w:cs="Times New Roman"/>
          <w:color w:val="000000" w:themeColor="text1"/>
          <w:sz w:val="24"/>
          <w:szCs w:val="24"/>
        </w:rPr>
        <w:t>n</w:t>
      </w:r>
      <w:r w:rsidRPr="003C1B12">
        <w:rPr>
          <w:rFonts w:ascii="Times New Roman" w:hAnsi="Times New Roman" w:cs="Times New Roman"/>
          <w:color w:val="000000" w:themeColor="text1"/>
          <w:sz w:val="24"/>
          <w:szCs w:val="24"/>
        </w:rPr>
        <w:t>sitāti</w:t>
      </w:r>
      <w:r w:rsidR="00060BE2" w:rsidRPr="003C1B12">
        <w:rPr>
          <w:rFonts w:ascii="Times New Roman" w:hAnsi="Times New Roman" w:cs="Times New Roman"/>
          <w:color w:val="000000" w:themeColor="text1"/>
          <w:sz w:val="24"/>
          <w:szCs w:val="24"/>
        </w:rPr>
        <w:t xml:space="preserve"> ja</w:t>
      </w:r>
      <w:r w:rsidR="00022CC6" w:rsidRPr="003C1B12">
        <w:rPr>
          <w:rStyle w:val="apple-converted-space"/>
          <w:rFonts w:ascii="Times New Roman" w:hAnsi="Times New Roman" w:cs="Times New Roman"/>
          <w:color w:val="000000" w:themeColor="text1"/>
          <w:sz w:val="24"/>
          <w:szCs w:val="24"/>
          <w:shd w:val="clear" w:color="auto" w:fill="FFFFFF"/>
        </w:rPr>
        <w:t xml:space="preserve"> </w:t>
      </w:r>
      <w:r w:rsidR="00F046A6" w:rsidRPr="003C1B12">
        <w:rPr>
          <w:rFonts w:ascii="Times New Roman" w:hAnsi="Times New Roman" w:cs="Times New Roman"/>
          <w:color w:val="000000" w:themeColor="text1"/>
          <w:sz w:val="24"/>
          <w:szCs w:val="24"/>
          <w:shd w:val="clear" w:color="auto" w:fill="FFFFFF"/>
        </w:rPr>
        <w:t>pētījuma rezultāti publicēti vismaz divos zinātniskos rakstos, kas indeksēti</w:t>
      </w:r>
      <w:r w:rsidR="00022CC6" w:rsidRPr="003C1B12">
        <w:rPr>
          <w:rStyle w:val="apple-converted-space"/>
          <w:rFonts w:ascii="Times New Roman" w:hAnsi="Times New Roman" w:cs="Times New Roman"/>
          <w:color w:val="000000" w:themeColor="text1"/>
          <w:sz w:val="24"/>
          <w:szCs w:val="24"/>
          <w:shd w:val="clear" w:color="auto" w:fill="FFFFFF"/>
        </w:rPr>
        <w:t xml:space="preserve"> </w:t>
      </w:r>
      <w:r w:rsidR="00F046A6" w:rsidRPr="003C1B12">
        <w:rPr>
          <w:rFonts w:ascii="Times New Roman" w:hAnsi="Times New Roman" w:cs="Times New Roman"/>
          <w:iCs/>
          <w:color w:val="000000" w:themeColor="text1"/>
          <w:sz w:val="24"/>
          <w:szCs w:val="24"/>
          <w:shd w:val="clear" w:color="auto" w:fill="FFFFFF"/>
        </w:rPr>
        <w:t>Web of Science, SCOPUS</w:t>
      </w:r>
      <w:r w:rsidR="00022CC6" w:rsidRPr="003C1B12">
        <w:rPr>
          <w:rStyle w:val="apple-converted-space"/>
          <w:rFonts w:ascii="Times New Roman" w:hAnsi="Times New Roman" w:cs="Times New Roman"/>
          <w:color w:val="000000" w:themeColor="text1"/>
          <w:sz w:val="24"/>
          <w:szCs w:val="24"/>
          <w:shd w:val="clear" w:color="auto" w:fill="FFFFFF"/>
        </w:rPr>
        <w:t xml:space="preserve"> </w:t>
      </w:r>
      <w:r w:rsidR="00F046A6" w:rsidRPr="003C1B12">
        <w:rPr>
          <w:rFonts w:ascii="Times New Roman" w:hAnsi="Times New Roman" w:cs="Times New Roman"/>
          <w:color w:val="000000" w:themeColor="text1"/>
          <w:sz w:val="24"/>
          <w:szCs w:val="24"/>
          <w:shd w:val="clear" w:color="auto" w:fill="FFFFFF"/>
        </w:rPr>
        <w:t>vai</w:t>
      </w:r>
      <w:r w:rsidR="00022CC6" w:rsidRPr="003C1B12">
        <w:rPr>
          <w:rStyle w:val="apple-converted-space"/>
          <w:rFonts w:ascii="Times New Roman" w:hAnsi="Times New Roman" w:cs="Times New Roman"/>
          <w:color w:val="000000" w:themeColor="text1"/>
          <w:sz w:val="24"/>
          <w:szCs w:val="24"/>
          <w:shd w:val="clear" w:color="auto" w:fill="FFFFFF"/>
        </w:rPr>
        <w:t xml:space="preserve"> </w:t>
      </w:r>
      <w:r w:rsidR="00F046A6" w:rsidRPr="003C1B12">
        <w:rPr>
          <w:rFonts w:ascii="Times New Roman" w:hAnsi="Times New Roman" w:cs="Times New Roman"/>
          <w:iCs/>
          <w:color w:val="000000" w:themeColor="text1"/>
          <w:sz w:val="24"/>
          <w:szCs w:val="24"/>
          <w:shd w:val="clear" w:color="auto" w:fill="FFFFFF"/>
        </w:rPr>
        <w:t>ERIH</w:t>
      </w:r>
      <w:r w:rsidR="00022CC6" w:rsidRPr="003C1B12">
        <w:rPr>
          <w:rStyle w:val="apple-converted-space"/>
          <w:rFonts w:ascii="Times New Roman" w:hAnsi="Times New Roman" w:cs="Times New Roman"/>
          <w:color w:val="000000" w:themeColor="text1"/>
          <w:sz w:val="24"/>
          <w:szCs w:val="24"/>
          <w:shd w:val="clear" w:color="auto" w:fill="FFFFFF"/>
        </w:rPr>
        <w:t xml:space="preserve"> </w:t>
      </w:r>
      <w:r w:rsidR="00F046A6" w:rsidRPr="003C1B12">
        <w:rPr>
          <w:rFonts w:ascii="Times New Roman" w:hAnsi="Times New Roman" w:cs="Times New Roman"/>
          <w:color w:val="000000" w:themeColor="text1"/>
          <w:sz w:val="24"/>
          <w:szCs w:val="24"/>
          <w:shd w:val="clear" w:color="auto" w:fill="FFFFFF"/>
        </w:rPr>
        <w:t>(A vai B) datubāzēs vai plaši izplatīti tādā tehniskā vai zinātniskā konferencē, kuras konferenču rakstu krājums indeksēts</w:t>
      </w:r>
      <w:r w:rsidR="00022CC6" w:rsidRPr="003C1B12">
        <w:rPr>
          <w:rStyle w:val="apple-converted-space"/>
          <w:rFonts w:ascii="Times New Roman" w:hAnsi="Times New Roman" w:cs="Times New Roman"/>
          <w:color w:val="000000" w:themeColor="text1"/>
          <w:sz w:val="24"/>
          <w:szCs w:val="24"/>
          <w:shd w:val="clear" w:color="auto" w:fill="FFFFFF"/>
        </w:rPr>
        <w:t xml:space="preserve"> </w:t>
      </w:r>
      <w:r w:rsidR="007022F7" w:rsidRPr="003C1B12">
        <w:rPr>
          <w:rFonts w:ascii="Times New Roman" w:hAnsi="Times New Roman" w:cs="Times New Roman"/>
          <w:iCs/>
          <w:color w:val="000000" w:themeColor="text1"/>
          <w:sz w:val="24"/>
          <w:szCs w:val="24"/>
          <w:shd w:val="clear" w:color="auto" w:fill="FFFFFF"/>
        </w:rPr>
        <w:t xml:space="preserve">Web of </w:t>
      </w:r>
      <w:r w:rsidR="00F046A6" w:rsidRPr="003C1B12">
        <w:rPr>
          <w:rFonts w:ascii="Times New Roman" w:hAnsi="Times New Roman" w:cs="Times New Roman"/>
          <w:iCs/>
          <w:color w:val="000000" w:themeColor="text1"/>
          <w:sz w:val="24"/>
          <w:szCs w:val="24"/>
          <w:shd w:val="clear" w:color="auto" w:fill="FFFFFF"/>
        </w:rPr>
        <w:t>Science</w:t>
      </w:r>
      <w:r w:rsidR="00022CC6" w:rsidRPr="003C1B12">
        <w:rPr>
          <w:rStyle w:val="apple-converted-space"/>
          <w:rFonts w:ascii="Times New Roman" w:hAnsi="Times New Roman" w:cs="Times New Roman"/>
          <w:color w:val="000000" w:themeColor="text1"/>
          <w:sz w:val="24"/>
          <w:szCs w:val="24"/>
          <w:shd w:val="clear" w:color="auto" w:fill="FFFFFF"/>
        </w:rPr>
        <w:t xml:space="preserve"> </w:t>
      </w:r>
      <w:r w:rsidR="00F046A6" w:rsidRPr="003C1B12">
        <w:rPr>
          <w:rFonts w:ascii="Times New Roman" w:hAnsi="Times New Roman" w:cs="Times New Roman"/>
          <w:color w:val="000000" w:themeColor="text1"/>
          <w:sz w:val="24"/>
          <w:szCs w:val="24"/>
          <w:shd w:val="clear" w:color="auto" w:fill="FFFFFF"/>
        </w:rPr>
        <w:t>vai</w:t>
      </w:r>
      <w:r w:rsidR="00022CC6" w:rsidRPr="003C1B12">
        <w:rPr>
          <w:rStyle w:val="apple-converted-space"/>
          <w:rFonts w:ascii="Times New Roman" w:hAnsi="Times New Roman" w:cs="Times New Roman"/>
          <w:color w:val="000000" w:themeColor="text1"/>
          <w:sz w:val="24"/>
          <w:szCs w:val="24"/>
          <w:shd w:val="clear" w:color="auto" w:fill="FFFFFF"/>
        </w:rPr>
        <w:t xml:space="preserve"> </w:t>
      </w:r>
      <w:r w:rsidR="00F046A6" w:rsidRPr="003C1B12">
        <w:rPr>
          <w:rFonts w:ascii="Times New Roman" w:hAnsi="Times New Roman" w:cs="Times New Roman"/>
          <w:iCs/>
          <w:color w:val="000000" w:themeColor="text1"/>
          <w:sz w:val="24"/>
          <w:szCs w:val="24"/>
          <w:shd w:val="clear" w:color="auto" w:fill="FFFFFF"/>
        </w:rPr>
        <w:t>SCOPUS</w:t>
      </w:r>
      <w:r w:rsidR="00022CC6" w:rsidRPr="003C1B12">
        <w:rPr>
          <w:rStyle w:val="apple-converted-space"/>
          <w:rFonts w:ascii="Times New Roman" w:hAnsi="Times New Roman" w:cs="Times New Roman"/>
          <w:color w:val="000000" w:themeColor="text1"/>
          <w:sz w:val="24"/>
          <w:szCs w:val="24"/>
          <w:shd w:val="clear" w:color="auto" w:fill="FFFFFF"/>
        </w:rPr>
        <w:t xml:space="preserve"> </w:t>
      </w:r>
      <w:r w:rsidR="00F046A6" w:rsidRPr="003C1B12">
        <w:rPr>
          <w:rFonts w:ascii="Times New Roman" w:hAnsi="Times New Roman" w:cs="Times New Roman"/>
          <w:color w:val="000000" w:themeColor="text1"/>
          <w:sz w:val="24"/>
          <w:szCs w:val="24"/>
          <w:shd w:val="clear" w:color="auto" w:fill="FFFFFF"/>
        </w:rPr>
        <w:t xml:space="preserve">datubāzēs. Kopumā </w:t>
      </w:r>
      <w:r w:rsidR="000968EB" w:rsidRPr="003C1B12">
        <w:rPr>
          <w:rFonts w:ascii="Times New Roman" w:hAnsi="Times New Roman" w:cs="Times New Roman"/>
          <w:color w:val="000000" w:themeColor="text1"/>
          <w:sz w:val="24"/>
          <w:szCs w:val="24"/>
          <w:shd w:val="clear" w:color="auto" w:fill="FFFFFF"/>
        </w:rPr>
        <w:t>KC</w:t>
      </w:r>
      <w:r w:rsidR="00F046A6" w:rsidRPr="003C1B12">
        <w:rPr>
          <w:rFonts w:ascii="Times New Roman" w:hAnsi="Times New Roman" w:cs="Times New Roman"/>
          <w:color w:val="000000" w:themeColor="text1"/>
          <w:sz w:val="24"/>
          <w:szCs w:val="24"/>
          <w:shd w:val="clear" w:color="auto" w:fill="FFFFFF"/>
        </w:rPr>
        <w:t xml:space="preserve"> bija paredzējuši 107 šāda v</w:t>
      </w:r>
      <w:r w:rsidR="00C115F9" w:rsidRPr="003C1B12">
        <w:rPr>
          <w:rFonts w:ascii="Times New Roman" w:hAnsi="Times New Roman" w:cs="Times New Roman"/>
          <w:color w:val="000000" w:themeColor="text1"/>
          <w:sz w:val="24"/>
          <w:szCs w:val="24"/>
          <w:shd w:val="clear" w:color="auto" w:fill="FFFFFF"/>
        </w:rPr>
        <w:t>ei</w:t>
      </w:r>
      <w:r w:rsidR="00F046A6" w:rsidRPr="003C1B12">
        <w:rPr>
          <w:rFonts w:ascii="Times New Roman" w:hAnsi="Times New Roman" w:cs="Times New Roman"/>
          <w:color w:val="000000" w:themeColor="text1"/>
          <w:sz w:val="24"/>
          <w:szCs w:val="24"/>
          <w:shd w:val="clear" w:color="auto" w:fill="FFFFFF"/>
        </w:rPr>
        <w:t>da publikācijas, bet šobrīd publicētas tikai 30 publikācijas.</w:t>
      </w:r>
    </w:p>
    <w:p w:rsidR="0049282A" w:rsidRPr="003C1B12" w:rsidRDefault="0049282A" w:rsidP="0049282A">
      <w:pPr>
        <w:spacing w:after="0" w:line="240" w:lineRule="auto"/>
        <w:ind w:firstLine="720"/>
        <w:jc w:val="both"/>
        <w:rPr>
          <w:rFonts w:ascii="Times New Roman" w:hAnsi="Times New Roman" w:cs="Times New Roman"/>
          <w:sz w:val="24"/>
          <w:szCs w:val="24"/>
        </w:rPr>
      </w:pPr>
      <w:r w:rsidRPr="003C1B12">
        <w:rPr>
          <w:rFonts w:ascii="Times New Roman" w:hAnsi="Times New Roman" w:cs="Times New Roman"/>
          <w:sz w:val="24"/>
          <w:szCs w:val="24"/>
        </w:rPr>
        <w:t>Komersantu individuāl</w:t>
      </w:r>
      <w:r w:rsidR="00863B23" w:rsidRPr="003C1B12">
        <w:rPr>
          <w:rFonts w:ascii="Times New Roman" w:hAnsi="Times New Roman" w:cs="Times New Roman"/>
          <w:sz w:val="24"/>
          <w:szCs w:val="24"/>
        </w:rPr>
        <w:t>o</w:t>
      </w:r>
      <w:r w:rsidRPr="003C1B12">
        <w:rPr>
          <w:rFonts w:ascii="Times New Roman" w:hAnsi="Times New Roman" w:cs="Times New Roman"/>
          <w:sz w:val="24"/>
          <w:szCs w:val="24"/>
        </w:rPr>
        <w:t xml:space="preserve"> pētījum</w:t>
      </w:r>
      <w:r w:rsidR="00863B23" w:rsidRPr="003C1B12">
        <w:rPr>
          <w:rFonts w:ascii="Times New Roman" w:hAnsi="Times New Roman" w:cs="Times New Roman"/>
          <w:sz w:val="24"/>
          <w:szCs w:val="24"/>
        </w:rPr>
        <w:t>u rezultāti</w:t>
      </w:r>
      <w:r w:rsidRPr="003C1B12">
        <w:rPr>
          <w:rFonts w:ascii="Times New Roman" w:hAnsi="Times New Roman" w:cs="Times New Roman"/>
          <w:sz w:val="24"/>
          <w:szCs w:val="24"/>
        </w:rPr>
        <w:t xml:space="preserve"> parasti tiek ieviesti komersantā, kas tos ir īstenojis vai pasūtījis. Tabulā Nr.6 var ap</w:t>
      </w:r>
      <w:r w:rsidR="00863B23" w:rsidRPr="003C1B12">
        <w:rPr>
          <w:rFonts w:ascii="Times New Roman" w:hAnsi="Times New Roman" w:cs="Times New Roman"/>
          <w:sz w:val="24"/>
          <w:szCs w:val="24"/>
        </w:rPr>
        <w:t>kopoti</w:t>
      </w:r>
      <w:r w:rsidRPr="003C1B12">
        <w:rPr>
          <w:rFonts w:ascii="Times New Roman" w:hAnsi="Times New Roman" w:cs="Times New Roman"/>
          <w:sz w:val="24"/>
          <w:szCs w:val="24"/>
        </w:rPr>
        <w:t xml:space="preserve"> </w:t>
      </w:r>
      <w:r w:rsidR="00863B23" w:rsidRPr="003C1B12">
        <w:rPr>
          <w:rFonts w:ascii="Times New Roman" w:hAnsi="Times New Roman" w:cs="Times New Roman"/>
          <w:sz w:val="24"/>
          <w:szCs w:val="24"/>
        </w:rPr>
        <w:t xml:space="preserve"> </w:t>
      </w:r>
      <w:r w:rsidRPr="003C1B12">
        <w:rPr>
          <w:rFonts w:ascii="Times New Roman" w:hAnsi="Times New Roman" w:cs="Times New Roman"/>
          <w:sz w:val="24"/>
          <w:szCs w:val="24"/>
        </w:rPr>
        <w:t>katr</w:t>
      </w:r>
      <w:r w:rsidR="00863B23" w:rsidRPr="003C1B12">
        <w:rPr>
          <w:rFonts w:ascii="Times New Roman" w:hAnsi="Times New Roman" w:cs="Times New Roman"/>
          <w:sz w:val="24"/>
          <w:szCs w:val="24"/>
        </w:rPr>
        <w:t>a</w:t>
      </w:r>
      <w:r w:rsidRPr="003C1B12">
        <w:rPr>
          <w:rFonts w:ascii="Times New Roman" w:hAnsi="Times New Roman" w:cs="Times New Roman"/>
          <w:sz w:val="24"/>
          <w:szCs w:val="24"/>
        </w:rPr>
        <w:t xml:space="preserve"> kompetences centr</w:t>
      </w:r>
      <w:r w:rsidR="00863B23" w:rsidRPr="003C1B12">
        <w:rPr>
          <w:rFonts w:ascii="Times New Roman" w:hAnsi="Times New Roman" w:cs="Times New Roman"/>
          <w:sz w:val="24"/>
          <w:szCs w:val="24"/>
        </w:rPr>
        <w:t>a pabeigto</w:t>
      </w:r>
      <w:r w:rsidRPr="003C1B12">
        <w:rPr>
          <w:rFonts w:ascii="Times New Roman" w:hAnsi="Times New Roman" w:cs="Times New Roman"/>
          <w:sz w:val="24"/>
          <w:szCs w:val="24"/>
        </w:rPr>
        <w:t xml:space="preserve"> individuāl</w:t>
      </w:r>
      <w:r w:rsidR="00863B23" w:rsidRPr="003C1B12">
        <w:rPr>
          <w:rFonts w:ascii="Times New Roman" w:hAnsi="Times New Roman" w:cs="Times New Roman"/>
          <w:sz w:val="24"/>
          <w:szCs w:val="24"/>
        </w:rPr>
        <w:t>o</w:t>
      </w:r>
      <w:r w:rsidRPr="003C1B12">
        <w:rPr>
          <w:rFonts w:ascii="Times New Roman" w:hAnsi="Times New Roman" w:cs="Times New Roman"/>
          <w:sz w:val="24"/>
          <w:szCs w:val="24"/>
        </w:rPr>
        <w:t xml:space="preserve"> pētījum</w:t>
      </w:r>
      <w:r w:rsidR="00863B23" w:rsidRPr="003C1B12">
        <w:rPr>
          <w:rFonts w:ascii="Times New Roman" w:hAnsi="Times New Roman" w:cs="Times New Roman"/>
          <w:sz w:val="24"/>
          <w:szCs w:val="24"/>
        </w:rPr>
        <w:t>u rezultātia</w:t>
      </w:r>
      <w:r w:rsidRPr="003C1B12">
        <w:rPr>
          <w:rFonts w:ascii="Times New Roman" w:hAnsi="Times New Roman" w:cs="Times New Roman"/>
          <w:sz w:val="24"/>
          <w:szCs w:val="24"/>
        </w:rPr>
        <w:t>.</w:t>
      </w:r>
    </w:p>
    <w:p w:rsidR="0049282A" w:rsidRPr="003C1B12" w:rsidRDefault="0049282A" w:rsidP="00BA318B">
      <w:pPr>
        <w:spacing w:after="0" w:line="240" w:lineRule="auto"/>
        <w:ind w:firstLine="720"/>
        <w:jc w:val="right"/>
        <w:rPr>
          <w:rFonts w:ascii="Times New Roman" w:hAnsi="Times New Roman" w:cs="Times New Roman"/>
          <w:sz w:val="24"/>
          <w:szCs w:val="24"/>
        </w:rPr>
      </w:pPr>
      <w:r w:rsidRPr="003C1B12">
        <w:rPr>
          <w:rFonts w:ascii="Times New Roman" w:hAnsi="Times New Roman" w:cs="Times New Roman"/>
          <w:sz w:val="24"/>
          <w:szCs w:val="24"/>
        </w:rPr>
        <w:t>Tabula Nr.6</w:t>
      </w:r>
    </w:p>
    <w:p w:rsidR="0049282A" w:rsidRPr="003C1B12" w:rsidRDefault="0049282A" w:rsidP="00BA318B">
      <w:pPr>
        <w:spacing w:after="0" w:line="240" w:lineRule="auto"/>
        <w:ind w:firstLine="720"/>
        <w:jc w:val="center"/>
        <w:rPr>
          <w:rFonts w:ascii="Times New Roman" w:hAnsi="Times New Roman" w:cs="Times New Roman"/>
          <w:sz w:val="24"/>
          <w:szCs w:val="24"/>
        </w:rPr>
      </w:pPr>
      <w:r w:rsidRPr="003C1B12">
        <w:rPr>
          <w:rFonts w:ascii="Times New Roman" w:hAnsi="Times New Roman" w:cs="Times New Roman"/>
          <w:sz w:val="24"/>
          <w:szCs w:val="24"/>
        </w:rPr>
        <w:lastRenderedPageBreak/>
        <w:t>Informācija par patentiem, publikācijām un pētījumu rezultātu iekšēju izmanto</w:t>
      </w:r>
      <w:r w:rsidR="00FD11A8" w:rsidRPr="003C1B12">
        <w:rPr>
          <w:rFonts w:ascii="Times New Roman" w:hAnsi="Times New Roman" w:cs="Times New Roman"/>
          <w:sz w:val="24"/>
          <w:szCs w:val="24"/>
        </w:rPr>
        <w:t>šanu</w:t>
      </w:r>
      <w:r w:rsidR="00863B23" w:rsidRPr="003C1B12">
        <w:rPr>
          <w:rStyle w:val="FootnoteReference"/>
          <w:rFonts w:ascii="Times New Roman" w:hAnsi="Times New Roman" w:cs="Times New Roman"/>
          <w:sz w:val="24"/>
          <w:szCs w:val="24"/>
        </w:rPr>
        <w:footnoteReference w:id="8"/>
      </w:r>
      <w:r w:rsidR="00FD11A8" w:rsidRPr="003C1B12">
        <w:rPr>
          <w:rFonts w:ascii="Times New Roman" w:hAnsi="Times New Roman" w:cs="Times New Roman"/>
          <w:sz w:val="24"/>
          <w:szCs w:val="24"/>
        </w:rPr>
        <w:t xml:space="preserve"> uz 2015.gada 24</w:t>
      </w:r>
      <w:r w:rsidRPr="003C1B12">
        <w:rPr>
          <w:rFonts w:ascii="Times New Roman" w:hAnsi="Times New Roman" w:cs="Times New Roman"/>
          <w:sz w:val="24"/>
          <w:szCs w:val="24"/>
        </w:rPr>
        <w:t>.jūliju</w:t>
      </w:r>
      <w:r w:rsidR="00EF27E1" w:rsidRPr="003C1B12">
        <w:rPr>
          <w:rFonts w:ascii="Times New Roman" w:hAnsi="Times New Roman" w:cs="Times New Roman"/>
          <w:sz w:val="24"/>
          <w:szCs w:val="24"/>
        </w:rPr>
        <w:t xml:space="preserve"> pabeigtajos projektos</w:t>
      </w:r>
    </w:p>
    <w:tbl>
      <w:tblPr>
        <w:tblStyle w:val="TableGrid"/>
        <w:tblW w:w="0" w:type="auto"/>
        <w:tblLook w:val="04A0" w:firstRow="1" w:lastRow="0" w:firstColumn="1" w:lastColumn="0" w:noHBand="0" w:noVBand="1"/>
      </w:tblPr>
      <w:tblGrid>
        <w:gridCol w:w="2265"/>
        <w:gridCol w:w="2265"/>
        <w:gridCol w:w="2265"/>
        <w:gridCol w:w="2266"/>
      </w:tblGrid>
      <w:tr w:rsidR="0049282A" w:rsidRPr="003C1B12" w:rsidTr="0049282A">
        <w:tc>
          <w:tcPr>
            <w:tcW w:w="2265" w:type="dxa"/>
          </w:tcPr>
          <w:p w:rsidR="0049282A" w:rsidRPr="003C1B12" w:rsidRDefault="0049282A" w:rsidP="003D5183">
            <w:pPr>
              <w:jc w:val="both"/>
              <w:rPr>
                <w:rFonts w:ascii="Times New Roman" w:hAnsi="Times New Roman" w:cs="Times New Roman"/>
                <w:sz w:val="24"/>
                <w:szCs w:val="24"/>
              </w:rPr>
            </w:pPr>
            <w:r w:rsidRPr="003C1B12">
              <w:rPr>
                <w:rFonts w:ascii="Times New Roman" w:hAnsi="Times New Roman" w:cs="Times New Roman"/>
                <w:sz w:val="24"/>
                <w:szCs w:val="24"/>
              </w:rPr>
              <w:t>KC</w:t>
            </w:r>
          </w:p>
        </w:tc>
        <w:tc>
          <w:tcPr>
            <w:tcW w:w="2265" w:type="dxa"/>
          </w:tcPr>
          <w:p w:rsidR="0049282A" w:rsidRPr="003C1B12" w:rsidRDefault="0049282A" w:rsidP="003D5183">
            <w:pPr>
              <w:jc w:val="both"/>
              <w:rPr>
                <w:rFonts w:ascii="Times New Roman" w:hAnsi="Times New Roman" w:cs="Times New Roman"/>
                <w:sz w:val="24"/>
                <w:szCs w:val="24"/>
              </w:rPr>
            </w:pPr>
            <w:r w:rsidRPr="003C1B12">
              <w:rPr>
                <w:rFonts w:ascii="Times New Roman" w:hAnsi="Times New Roman" w:cs="Times New Roman"/>
                <w:sz w:val="24"/>
                <w:szCs w:val="24"/>
              </w:rPr>
              <w:t>Patenti</w:t>
            </w:r>
          </w:p>
        </w:tc>
        <w:tc>
          <w:tcPr>
            <w:tcW w:w="2265" w:type="dxa"/>
          </w:tcPr>
          <w:p w:rsidR="0049282A" w:rsidRPr="003C1B12" w:rsidRDefault="0049282A" w:rsidP="003D5183">
            <w:pPr>
              <w:jc w:val="both"/>
              <w:rPr>
                <w:rFonts w:ascii="Times New Roman" w:hAnsi="Times New Roman" w:cs="Times New Roman"/>
                <w:sz w:val="24"/>
                <w:szCs w:val="24"/>
              </w:rPr>
            </w:pPr>
            <w:r w:rsidRPr="003C1B12">
              <w:rPr>
                <w:rFonts w:ascii="Times New Roman" w:hAnsi="Times New Roman" w:cs="Times New Roman"/>
                <w:sz w:val="24"/>
                <w:szCs w:val="24"/>
              </w:rPr>
              <w:t xml:space="preserve">Publikācijas </w:t>
            </w:r>
          </w:p>
        </w:tc>
        <w:tc>
          <w:tcPr>
            <w:tcW w:w="2266" w:type="dxa"/>
          </w:tcPr>
          <w:p w:rsidR="0049282A" w:rsidRPr="003C1B12" w:rsidRDefault="00863B23" w:rsidP="00863B23">
            <w:pPr>
              <w:jc w:val="both"/>
              <w:rPr>
                <w:rFonts w:ascii="Times New Roman" w:hAnsi="Times New Roman" w:cs="Times New Roman"/>
                <w:sz w:val="24"/>
                <w:szCs w:val="24"/>
              </w:rPr>
            </w:pPr>
            <w:r w:rsidRPr="003C1B12">
              <w:rPr>
                <w:rFonts w:ascii="Times New Roman" w:hAnsi="Times New Roman" w:cs="Times New Roman"/>
                <w:sz w:val="24"/>
                <w:szCs w:val="24"/>
              </w:rPr>
              <w:t>Pētījumu rezultātu i</w:t>
            </w:r>
            <w:r w:rsidR="0049282A" w:rsidRPr="003C1B12">
              <w:rPr>
                <w:rFonts w:ascii="Times New Roman" w:hAnsi="Times New Roman" w:cs="Times New Roman"/>
                <w:sz w:val="24"/>
                <w:szCs w:val="24"/>
              </w:rPr>
              <w:t>ekšēja izmantošana</w:t>
            </w:r>
          </w:p>
        </w:tc>
      </w:tr>
      <w:tr w:rsidR="0049282A" w:rsidRPr="003C1B12" w:rsidTr="0049282A">
        <w:tc>
          <w:tcPr>
            <w:tcW w:w="2265" w:type="dxa"/>
          </w:tcPr>
          <w:p w:rsidR="0049282A" w:rsidRPr="003C1B12" w:rsidRDefault="0049282A" w:rsidP="003D5183">
            <w:pPr>
              <w:jc w:val="both"/>
              <w:rPr>
                <w:rFonts w:ascii="Times New Roman" w:hAnsi="Times New Roman" w:cs="Times New Roman"/>
                <w:sz w:val="24"/>
                <w:szCs w:val="24"/>
              </w:rPr>
            </w:pPr>
            <w:r w:rsidRPr="003C1B12">
              <w:rPr>
                <w:rFonts w:ascii="Times New Roman" w:hAnsi="Times New Roman" w:cs="Times New Roman"/>
                <w:sz w:val="24"/>
                <w:szCs w:val="24"/>
              </w:rPr>
              <w:t>ITKC</w:t>
            </w:r>
          </w:p>
        </w:tc>
        <w:tc>
          <w:tcPr>
            <w:tcW w:w="2265" w:type="dxa"/>
          </w:tcPr>
          <w:p w:rsidR="0049282A" w:rsidRPr="003C1B12" w:rsidRDefault="0049282A" w:rsidP="003D5183">
            <w:pPr>
              <w:jc w:val="both"/>
              <w:rPr>
                <w:rFonts w:ascii="Times New Roman" w:hAnsi="Times New Roman" w:cs="Times New Roman"/>
                <w:sz w:val="24"/>
                <w:szCs w:val="24"/>
              </w:rPr>
            </w:pPr>
            <w:r w:rsidRPr="003C1B12">
              <w:rPr>
                <w:rFonts w:ascii="Times New Roman" w:hAnsi="Times New Roman" w:cs="Times New Roman"/>
                <w:sz w:val="24"/>
                <w:szCs w:val="24"/>
              </w:rPr>
              <w:t>2</w:t>
            </w:r>
          </w:p>
        </w:tc>
        <w:tc>
          <w:tcPr>
            <w:tcW w:w="2265" w:type="dxa"/>
          </w:tcPr>
          <w:p w:rsidR="0049282A" w:rsidRPr="003C1B12" w:rsidRDefault="0049282A" w:rsidP="003D5183">
            <w:pPr>
              <w:jc w:val="both"/>
              <w:rPr>
                <w:rFonts w:ascii="Times New Roman" w:hAnsi="Times New Roman" w:cs="Times New Roman"/>
                <w:sz w:val="24"/>
                <w:szCs w:val="24"/>
              </w:rPr>
            </w:pPr>
            <w:r w:rsidRPr="003C1B12">
              <w:rPr>
                <w:rFonts w:ascii="Times New Roman" w:hAnsi="Times New Roman" w:cs="Times New Roman"/>
                <w:sz w:val="24"/>
                <w:szCs w:val="24"/>
              </w:rPr>
              <w:t>6</w:t>
            </w:r>
          </w:p>
        </w:tc>
        <w:tc>
          <w:tcPr>
            <w:tcW w:w="2266" w:type="dxa"/>
          </w:tcPr>
          <w:p w:rsidR="0049282A" w:rsidRPr="003C1B12" w:rsidRDefault="0049282A" w:rsidP="003D5183">
            <w:pPr>
              <w:jc w:val="both"/>
              <w:rPr>
                <w:rFonts w:ascii="Times New Roman" w:hAnsi="Times New Roman" w:cs="Times New Roman"/>
                <w:sz w:val="24"/>
                <w:szCs w:val="24"/>
              </w:rPr>
            </w:pPr>
            <w:r w:rsidRPr="003C1B12">
              <w:rPr>
                <w:rFonts w:ascii="Times New Roman" w:hAnsi="Times New Roman" w:cs="Times New Roman"/>
                <w:sz w:val="24"/>
                <w:szCs w:val="24"/>
              </w:rPr>
              <w:t>19</w:t>
            </w:r>
          </w:p>
        </w:tc>
      </w:tr>
      <w:tr w:rsidR="0049282A" w:rsidRPr="003C1B12" w:rsidTr="0049282A">
        <w:tc>
          <w:tcPr>
            <w:tcW w:w="2265" w:type="dxa"/>
          </w:tcPr>
          <w:p w:rsidR="0049282A" w:rsidRPr="003C1B12" w:rsidRDefault="0049282A" w:rsidP="003D5183">
            <w:pPr>
              <w:jc w:val="both"/>
              <w:rPr>
                <w:rFonts w:ascii="Times New Roman" w:hAnsi="Times New Roman" w:cs="Times New Roman"/>
                <w:sz w:val="24"/>
                <w:szCs w:val="24"/>
              </w:rPr>
            </w:pPr>
            <w:r w:rsidRPr="003C1B12">
              <w:rPr>
                <w:rFonts w:ascii="Times New Roman" w:hAnsi="Times New Roman" w:cs="Times New Roman"/>
                <w:sz w:val="24"/>
                <w:szCs w:val="24"/>
              </w:rPr>
              <w:t>MNKC</w:t>
            </w:r>
            <w:r w:rsidR="00D3496C" w:rsidRPr="003C1B12">
              <w:rPr>
                <w:rStyle w:val="FootnoteReference"/>
                <w:rFonts w:ascii="Times New Roman" w:hAnsi="Times New Roman" w:cs="Times New Roman"/>
                <w:sz w:val="24"/>
                <w:szCs w:val="24"/>
              </w:rPr>
              <w:footnoteReference w:id="9"/>
            </w:r>
          </w:p>
        </w:tc>
        <w:tc>
          <w:tcPr>
            <w:tcW w:w="2265" w:type="dxa"/>
          </w:tcPr>
          <w:p w:rsidR="0049282A" w:rsidRPr="003C1B12" w:rsidRDefault="00F97258" w:rsidP="003D5183">
            <w:pPr>
              <w:jc w:val="both"/>
              <w:rPr>
                <w:rFonts w:ascii="Times New Roman" w:hAnsi="Times New Roman" w:cs="Times New Roman"/>
                <w:sz w:val="24"/>
                <w:szCs w:val="24"/>
              </w:rPr>
            </w:pPr>
            <w:r w:rsidRPr="003C1B12">
              <w:rPr>
                <w:rFonts w:ascii="Times New Roman" w:hAnsi="Times New Roman" w:cs="Times New Roman"/>
                <w:sz w:val="24"/>
                <w:szCs w:val="24"/>
              </w:rPr>
              <w:t>-</w:t>
            </w:r>
          </w:p>
        </w:tc>
        <w:tc>
          <w:tcPr>
            <w:tcW w:w="2265" w:type="dxa"/>
          </w:tcPr>
          <w:p w:rsidR="0049282A" w:rsidRPr="003C1B12" w:rsidRDefault="00F97258" w:rsidP="003D5183">
            <w:pPr>
              <w:jc w:val="both"/>
              <w:rPr>
                <w:rFonts w:ascii="Times New Roman" w:hAnsi="Times New Roman" w:cs="Times New Roman"/>
                <w:sz w:val="24"/>
                <w:szCs w:val="24"/>
              </w:rPr>
            </w:pPr>
            <w:r w:rsidRPr="003C1B12">
              <w:rPr>
                <w:rFonts w:ascii="Times New Roman" w:hAnsi="Times New Roman" w:cs="Times New Roman"/>
                <w:sz w:val="24"/>
                <w:szCs w:val="24"/>
              </w:rPr>
              <w:t>-</w:t>
            </w:r>
          </w:p>
        </w:tc>
        <w:tc>
          <w:tcPr>
            <w:tcW w:w="2266" w:type="dxa"/>
          </w:tcPr>
          <w:p w:rsidR="0049282A" w:rsidRPr="003C1B12" w:rsidRDefault="00EF27E1" w:rsidP="003D5183">
            <w:pPr>
              <w:jc w:val="both"/>
              <w:rPr>
                <w:rFonts w:ascii="Times New Roman" w:hAnsi="Times New Roman" w:cs="Times New Roman"/>
                <w:sz w:val="24"/>
                <w:szCs w:val="24"/>
              </w:rPr>
            </w:pPr>
            <w:r w:rsidRPr="003C1B12">
              <w:rPr>
                <w:rFonts w:ascii="Times New Roman" w:hAnsi="Times New Roman" w:cs="Times New Roman"/>
                <w:sz w:val="24"/>
                <w:szCs w:val="24"/>
              </w:rPr>
              <w:t>-</w:t>
            </w:r>
          </w:p>
        </w:tc>
      </w:tr>
      <w:tr w:rsidR="0049282A" w:rsidRPr="003C1B12" w:rsidTr="0049282A">
        <w:tc>
          <w:tcPr>
            <w:tcW w:w="2265" w:type="dxa"/>
          </w:tcPr>
          <w:p w:rsidR="0049282A" w:rsidRPr="003C1B12" w:rsidRDefault="0049282A" w:rsidP="003D5183">
            <w:pPr>
              <w:jc w:val="both"/>
              <w:rPr>
                <w:rFonts w:ascii="Times New Roman" w:hAnsi="Times New Roman" w:cs="Times New Roman"/>
                <w:sz w:val="24"/>
                <w:szCs w:val="24"/>
              </w:rPr>
            </w:pPr>
            <w:r w:rsidRPr="003C1B12">
              <w:rPr>
                <w:rFonts w:ascii="Times New Roman" w:hAnsi="Times New Roman" w:cs="Times New Roman"/>
                <w:sz w:val="24"/>
                <w:szCs w:val="24"/>
              </w:rPr>
              <w:t>PCCCL</w:t>
            </w:r>
          </w:p>
        </w:tc>
        <w:tc>
          <w:tcPr>
            <w:tcW w:w="2265" w:type="dxa"/>
          </w:tcPr>
          <w:p w:rsidR="0049282A" w:rsidRPr="003C1B12" w:rsidRDefault="00F97258" w:rsidP="003D5183">
            <w:pPr>
              <w:jc w:val="both"/>
              <w:rPr>
                <w:rFonts w:ascii="Times New Roman" w:hAnsi="Times New Roman" w:cs="Times New Roman"/>
                <w:sz w:val="24"/>
                <w:szCs w:val="24"/>
              </w:rPr>
            </w:pPr>
            <w:r w:rsidRPr="003C1B12">
              <w:rPr>
                <w:rFonts w:ascii="Times New Roman" w:hAnsi="Times New Roman" w:cs="Times New Roman"/>
                <w:sz w:val="24"/>
                <w:szCs w:val="24"/>
              </w:rPr>
              <w:t>-</w:t>
            </w:r>
          </w:p>
        </w:tc>
        <w:tc>
          <w:tcPr>
            <w:tcW w:w="2265" w:type="dxa"/>
          </w:tcPr>
          <w:p w:rsidR="0049282A" w:rsidRPr="003C1B12" w:rsidRDefault="00F97258" w:rsidP="003D5183">
            <w:pPr>
              <w:jc w:val="both"/>
              <w:rPr>
                <w:rFonts w:ascii="Times New Roman" w:hAnsi="Times New Roman" w:cs="Times New Roman"/>
                <w:sz w:val="24"/>
                <w:szCs w:val="24"/>
              </w:rPr>
            </w:pPr>
            <w:r w:rsidRPr="003C1B12">
              <w:rPr>
                <w:rFonts w:ascii="Times New Roman" w:hAnsi="Times New Roman" w:cs="Times New Roman"/>
                <w:sz w:val="24"/>
                <w:szCs w:val="24"/>
              </w:rPr>
              <w:t>1</w:t>
            </w:r>
          </w:p>
        </w:tc>
        <w:tc>
          <w:tcPr>
            <w:tcW w:w="2266" w:type="dxa"/>
          </w:tcPr>
          <w:p w:rsidR="0049282A" w:rsidRPr="003C1B12" w:rsidRDefault="00F97258" w:rsidP="003D5183">
            <w:pPr>
              <w:jc w:val="both"/>
              <w:rPr>
                <w:rFonts w:ascii="Times New Roman" w:hAnsi="Times New Roman" w:cs="Times New Roman"/>
                <w:sz w:val="24"/>
                <w:szCs w:val="24"/>
              </w:rPr>
            </w:pPr>
            <w:r w:rsidRPr="003C1B12">
              <w:rPr>
                <w:rFonts w:ascii="Times New Roman" w:hAnsi="Times New Roman" w:cs="Times New Roman"/>
                <w:sz w:val="24"/>
                <w:szCs w:val="24"/>
              </w:rPr>
              <w:t>10</w:t>
            </w:r>
          </w:p>
        </w:tc>
      </w:tr>
      <w:tr w:rsidR="0049282A" w:rsidRPr="003C1B12" w:rsidTr="0049282A">
        <w:tc>
          <w:tcPr>
            <w:tcW w:w="2265" w:type="dxa"/>
          </w:tcPr>
          <w:p w:rsidR="0049282A" w:rsidRPr="003C1B12" w:rsidRDefault="0049282A" w:rsidP="003D5183">
            <w:pPr>
              <w:jc w:val="both"/>
              <w:rPr>
                <w:rFonts w:ascii="Times New Roman" w:hAnsi="Times New Roman" w:cs="Times New Roman"/>
                <w:sz w:val="24"/>
                <w:szCs w:val="24"/>
              </w:rPr>
            </w:pPr>
            <w:r w:rsidRPr="003C1B12">
              <w:rPr>
                <w:rFonts w:ascii="Times New Roman" w:hAnsi="Times New Roman" w:cs="Times New Roman"/>
                <w:sz w:val="24"/>
                <w:szCs w:val="24"/>
              </w:rPr>
              <w:t>LEO KC</w:t>
            </w:r>
          </w:p>
        </w:tc>
        <w:tc>
          <w:tcPr>
            <w:tcW w:w="2265" w:type="dxa"/>
          </w:tcPr>
          <w:p w:rsidR="0049282A" w:rsidRPr="003C1B12" w:rsidRDefault="00F97258" w:rsidP="003D5183">
            <w:pPr>
              <w:jc w:val="both"/>
              <w:rPr>
                <w:rFonts w:ascii="Times New Roman" w:hAnsi="Times New Roman" w:cs="Times New Roman"/>
                <w:sz w:val="24"/>
                <w:szCs w:val="24"/>
              </w:rPr>
            </w:pPr>
            <w:r w:rsidRPr="003C1B12">
              <w:rPr>
                <w:rFonts w:ascii="Times New Roman" w:hAnsi="Times New Roman" w:cs="Times New Roman"/>
                <w:sz w:val="24"/>
                <w:szCs w:val="24"/>
              </w:rPr>
              <w:t>-</w:t>
            </w:r>
          </w:p>
        </w:tc>
        <w:tc>
          <w:tcPr>
            <w:tcW w:w="2265" w:type="dxa"/>
          </w:tcPr>
          <w:p w:rsidR="0049282A" w:rsidRPr="003C1B12" w:rsidRDefault="00F97258" w:rsidP="003D5183">
            <w:pPr>
              <w:jc w:val="both"/>
              <w:rPr>
                <w:rFonts w:ascii="Times New Roman" w:hAnsi="Times New Roman" w:cs="Times New Roman"/>
                <w:sz w:val="24"/>
                <w:szCs w:val="24"/>
              </w:rPr>
            </w:pPr>
            <w:r w:rsidRPr="003C1B12">
              <w:rPr>
                <w:rFonts w:ascii="Times New Roman" w:hAnsi="Times New Roman" w:cs="Times New Roman"/>
                <w:sz w:val="24"/>
                <w:szCs w:val="24"/>
              </w:rPr>
              <w:t>16</w:t>
            </w:r>
          </w:p>
        </w:tc>
        <w:tc>
          <w:tcPr>
            <w:tcW w:w="2266" w:type="dxa"/>
          </w:tcPr>
          <w:p w:rsidR="0049282A" w:rsidRPr="003C1B12" w:rsidRDefault="00F97258" w:rsidP="003D5183">
            <w:pPr>
              <w:jc w:val="both"/>
              <w:rPr>
                <w:rFonts w:ascii="Times New Roman" w:hAnsi="Times New Roman" w:cs="Times New Roman"/>
                <w:sz w:val="24"/>
                <w:szCs w:val="24"/>
              </w:rPr>
            </w:pPr>
            <w:r w:rsidRPr="003C1B12">
              <w:rPr>
                <w:rFonts w:ascii="Times New Roman" w:hAnsi="Times New Roman" w:cs="Times New Roman"/>
                <w:sz w:val="24"/>
                <w:szCs w:val="24"/>
              </w:rPr>
              <w:t>20</w:t>
            </w:r>
          </w:p>
        </w:tc>
      </w:tr>
      <w:tr w:rsidR="0049282A" w:rsidRPr="003C1B12" w:rsidTr="0049282A">
        <w:tc>
          <w:tcPr>
            <w:tcW w:w="2265" w:type="dxa"/>
          </w:tcPr>
          <w:p w:rsidR="0049282A" w:rsidRPr="003C1B12" w:rsidRDefault="0049282A" w:rsidP="003D5183">
            <w:pPr>
              <w:jc w:val="both"/>
              <w:rPr>
                <w:rFonts w:ascii="Times New Roman" w:hAnsi="Times New Roman" w:cs="Times New Roman"/>
                <w:sz w:val="24"/>
                <w:szCs w:val="24"/>
              </w:rPr>
            </w:pPr>
            <w:r w:rsidRPr="003C1B12">
              <w:rPr>
                <w:rFonts w:ascii="Times New Roman" w:hAnsi="Times New Roman" w:cs="Times New Roman"/>
                <w:sz w:val="24"/>
                <w:szCs w:val="24"/>
              </w:rPr>
              <w:t>VBBKC</w:t>
            </w:r>
          </w:p>
        </w:tc>
        <w:tc>
          <w:tcPr>
            <w:tcW w:w="2265" w:type="dxa"/>
          </w:tcPr>
          <w:p w:rsidR="0049282A" w:rsidRPr="003C1B12" w:rsidRDefault="00F97258" w:rsidP="003D5183">
            <w:pPr>
              <w:jc w:val="both"/>
              <w:rPr>
                <w:rFonts w:ascii="Times New Roman" w:hAnsi="Times New Roman" w:cs="Times New Roman"/>
                <w:sz w:val="24"/>
                <w:szCs w:val="24"/>
              </w:rPr>
            </w:pPr>
            <w:r w:rsidRPr="003C1B12">
              <w:rPr>
                <w:rFonts w:ascii="Times New Roman" w:hAnsi="Times New Roman" w:cs="Times New Roman"/>
                <w:sz w:val="24"/>
                <w:szCs w:val="24"/>
              </w:rPr>
              <w:t>1</w:t>
            </w:r>
          </w:p>
        </w:tc>
        <w:tc>
          <w:tcPr>
            <w:tcW w:w="2265" w:type="dxa"/>
          </w:tcPr>
          <w:p w:rsidR="0049282A" w:rsidRPr="003C1B12" w:rsidRDefault="00F97258" w:rsidP="003D5183">
            <w:pPr>
              <w:jc w:val="both"/>
              <w:rPr>
                <w:rFonts w:ascii="Times New Roman" w:hAnsi="Times New Roman" w:cs="Times New Roman"/>
                <w:sz w:val="24"/>
                <w:szCs w:val="24"/>
              </w:rPr>
            </w:pPr>
            <w:r w:rsidRPr="003C1B12">
              <w:rPr>
                <w:rFonts w:ascii="Times New Roman" w:hAnsi="Times New Roman" w:cs="Times New Roman"/>
                <w:sz w:val="24"/>
                <w:szCs w:val="24"/>
              </w:rPr>
              <w:t>2</w:t>
            </w:r>
          </w:p>
        </w:tc>
        <w:tc>
          <w:tcPr>
            <w:tcW w:w="2266" w:type="dxa"/>
          </w:tcPr>
          <w:p w:rsidR="0049282A" w:rsidRPr="003C1B12" w:rsidRDefault="00F97258" w:rsidP="003D5183">
            <w:pPr>
              <w:jc w:val="both"/>
              <w:rPr>
                <w:rFonts w:ascii="Times New Roman" w:hAnsi="Times New Roman" w:cs="Times New Roman"/>
                <w:sz w:val="24"/>
                <w:szCs w:val="24"/>
              </w:rPr>
            </w:pPr>
            <w:r w:rsidRPr="003C1B12">
              <w:rPr>
                <w:rFonts w:ascii="Times New Roman" w:hAnsi="Times New Roman" w:cs="Times New Roman"/>
                <w:sz w:val="24"/>
                <w:szCs w:val="24"/>
              </w:rPr>
              <w:t>9</w:t>
            </w:r>
          </w:p>
        </w:tc>
      </w:tr>
      <w:tr w:rsidR="0049282A" w:rsidRPr="003C1B12" w:rsidTr="0049282A">
        <w:tc>
          <w:tcPr>
            <w:tcW w:w="2265" w:type="dxa"/>
          </w:tcPr>
          <w:p w:rsidR="0049282A" w:rsidRPr="003C1B12" w:rsidRDefault="0049282A" w:rsidP="003D5183">
            <w:pPr>
              <w:jc w:val="both"/>
              <w:rPr>
                <w:rFonts w:ascii="Times New Roman" w:hAnsi="Times New Roman" w:cs="Times New Roman"/>
                <w:sz w:val="24"/>
                <w:szCs w:val="24"/>
              </w:rPr>
            </w:pPr>
            <w:r w:rsidRPr="003C1B12">
              <w:rPr>
                <w:rFonts w:ascii="Times New Roman" w:hAnsi="Times New Roman" w:cs="Times New Roman"/>
                <w:sz w:val="24"/>
                <w:szCs w:val="24"/>
              </w:rPr>
              <w:t>TMKC</w:t>
            </w:r>
          </w:p>
        </w:tc>
        <w:tc>
          <w:tcPr>
            <w:tcW w:w="2265" w:type="dxa"/>
          </w:tcPr>
          <w:p w:rsidR="0049282A" w:rsidRPr="003C1B12" w:rsidRDefault="00F97258" w:rsidP="003D5183">
            <w:pPr>
              <w:jc w:val="both"/>
              <w:rPr>
                <w:rFonts w:ascii="Times New Roman" w:hAnsi="Times New Roman" w:cs="Times New Roman"/>
                <w:sz w:val="24"/>
                <w:szCs w:val="24"/>
              </w:rPr>
            </w:pPr>
            <w:r w:rsidRPr="003C1B12">
              <w:rPr>
                <w:rFonts w:ascii="Times New Roman" w:hAnsi="Times New Roman" w:cs="Times New Roman"/>
                <w:sz w:val="24"/>
                <w:szCs w:val="24"/>
              </w:rPr>
              <w:t>-</w:t>
            </w:r>
          </w:p>
        </w:tc>
        <w:tc>
          <w:tcPr>
            <w:tcW w:w="2265" w:type="dxa"/>
          </w:tcPr>
          <w:p w:rsidR="0049282A" w:rsidRPr="003C1B12" w:rsidRDefault="00F97258" w:rsidP="003D5183">
            <w:pPr>
              <w:jc w:val="both"/>
              <w:rPr>
                <w:rFonts w:ascii="Times New Roman" w:hAnsi="Times New Roman" w:cs="Times New Roman"/>
                <w:sz w:val="24"/>
                <w:szCs w:val="24"/>
              </w:rPr>
            </w:pPr>
            <w:r w:rsidRPr="003C1B12">
              <w:rPr>
                <w:rFonts w:ascii="Times New Roman" w:hAnsi="Times New Roman" w:cs="Times New Roman"/>
                <w:sz w:val="24"/>
                <w:szCs w:val="24"/>
              </w:rPr>
              <w:t>-</w:t>
            </w:r>
          </w:p>
        </w:tc>
        <w:tc>
          <w:tcPr>
            <w:tcW w:w="2266" w:type="dxa"/>
          </w:tcPr>
          <w:p w:rsidR="0049282A" w:rsidRPr="003C1B12" w:rsidRDefault="00FD11A8" w:rsidP="003D5183">
            <w:pPr>
              <w:jc w:val="both"/>
              <w:rPr>
                <w:rFonts w:ascii="Times New Roman" w:hAnsi="Times New Roman" w:cs="Times New Roman"/>
                <w:sz w:val="24"/>
                <w:szCs w:val="24"/>
              </w:rPr>
            </w:pPr>
            <w:r w:rsidRPr="003C1B12">
              <w:rPr>
                <w:rFonts w:ascii="Times New Roman" w:hAnsi="Times New Roman" w:cs="Times New Roman"/>
                <w:sz w:val="24"/>
                <w:szCs w:val="24"/>
              </w:rPr>
              <w:t>3</w:t>
            </w:r>
          </w:p>
        </w:tc>
      </w:tr>
      <w:tr w:rsidR="0049282A" w:rsidRPr="003C1B12" w:rsidTr="0049282A">
        <w:tc>
          <w:tcPr>
            <w:tcW w:w="2265" w:type="dxa"/>
          </w:tcPr>
          <w:p w:rsidR="0049282A" w:rsidRPr="003C1B12" w:rsidRDefault="0049282A" w:rsidP="003D5183">
            <w:pPr>
              <w:jc w:val="both"/>
              <w:rPr>
                <w:rFonts w:ascii="Times New Roman" w:hAnsi="Times New Roman" w:cs="Times New Roman"/>
                <w:sz w:val="24"/>
                <w:szCs w:val="24"/>
              </w:rPr>
            </w:pPr>
            <w:r w:rsidRPr="003C1B12">
              <w:rPr>
                <w:rFonts w:ascii="Times New Roman" w:hAnsi="Times New Roman" w:cs="Times New Roman"/>
                <w:sz w:val="24"/>
                <w:szCs w:val="24"/>
              </w:rPr>
              <w:t>Kopā</w:t>
            </w:r>
          </w:p>
        </w:tc>
        <w:tc>
          <w:tcPr>
            <w:tcW w:w="2265" w:type="dxa"/>
          </w:tcPr>
          <w:p w:rsidR="0049282A" w:rsidRPr="003C1B12" w:rsidRDefault="00F97258" w:rsidP="003D5183">
            <w:pPr>
              <w:jc w:val="both"/>
              <w:rPr>
                <w:rFonts w:ascii="Times New Roman" w:hAnsi="Times New Roman" w:cs="Times New Roman"/>
                <w:sz w:val="24"/>
                <w:szCs w:val="24"/>
              </w:rPr>
            </w:pPr>
            <w:r w:rsidRPr="003C1B12">
              <w:rPr>
                <w:rFonts w:ascii="Times New Roman" w:hAnsi="Times New Roman" w:cs="Times New Roman"/>
                <w:sz w:val="24"/>
                <w:szCs w:val="24"/>
              </w:rPr>
              <w:t>3</w:t>
            </w:r>
          </w:p>
        </w:tc>
        <w:tc>
          <w:tcPr>
            <w:tcW w:w="2265" w:type="dxa"/>
          </w:tcPr>
          <w:p w:rsidR="0049282A" w:rsidRPr="003C1B12" w:rsidRDefault="00F97258" w:rsidP="003D5183">
            <w:pPr>
              <w:jc w:val="both"/>
              <w:rPr>
                <w:rFonts w:ascii="Times New Roman" w:hAnsi="Times New Roman" w:cs="Times New Roman"/>
                <w:sz w:val="24"/>
                <w:szCs w:val="24"/>
              </w:rPr>
            </w:pPr>
            <w:r w:rsidRPr="003C1B12">
              <w:rPr>
                <w:rFonts w:ascii="Times New Roman" w:hAnsi="Times New Roman" w:cs="Times New Roman"/>
                <w:sz w:val="24"/>
                <w:szCs w:val="24"/>
              </w:rPr>
              <w:t>25</w:t>
            </w:r>
          </w:p>
        </w:tc>
        <w:tc>
          <w:tcPr>
            <w:tcW w:w="2266" w:type="dxa"/>
          </w:tcPr>
          <w:p w:rsidR="0049282A" w:rsidRPr="003C1B12" w:rsidRDefault="00FD11A8" w:rsidP="003D5183">
            <w:pPr>
              <w:jc w:val="both"/>
              <w:rPr>
                <w:rFonts w:ascii="Times New Roman" w:hAnsi="Times New Roman" w:cs="Times New Roman"/>
                <w:sz w:val="24"/>
                <w:szCs w:val="24"/>
              </w:rPr>
            </w:pPr>
            <w:r w:rsidRPr="003C1B12">
              <w:rPr>
                <w:rFonts w:ascii="Times New Roman" w:hAnsi="Times New Roman" w:cs="Times New Roman"/>
                <w:sz w:val="24"/>
                <w:szCs w:val="24"/>
              </w:rPr>
              <w:t>62</w:t>
            </w:r>
          </w:p>
        </w:tc>
      </w:tr>
    </w:tbl>
    <w:p w:rsidR="0049282A" w:rsidRPr="003C1B12" w:rsidRDefault="0049282A" w:rsidP="003D5183">
      <w:pPr>
        <w:spacing w:after="0" w:line="240" w:lineRule="auto"/>
        <w:ind w:firstLine="720"/>
        <w:jc w:val="both"/>
        <w:rPr>
          <w:rFonts w:ascii="Times New Roman" w:hAnsi="Times New Roman" w:cs="Times New Roman"/>
          <w:sz w:val="24"/>
          <w:szCs w:val="24"/>
        </w:rPr>
      </w:pPr>
    </w:p>
    <w:p w:rsidR="0049282A" w:rsidRPr="003C1B12" w:rsidRDefault="0049282A" w:rsidP="003D5183">
      <w:pPr>
        <w:spacing w:after="0" w:line="240" w:lineRule="auto"/>
        <w:ind w:firstLine="720"/>
        <w:jc w:val="both"/>
        <w:rPr>
          <w:rFonts w:ascii="Times New Roman" w:hAnsi="Times New Roman" w:cs="Times New Roman"/>
          <w:sz w:val="24"/>
          <w:szCs w:val="24"/>
        </w:rPr>
      </w:pPr>
    </w:p>
    <w:p w:rsidR="003D5183" w:rsidRPr="003C1B12" w:rsidRDefault="00022CC6" w:rsidP="003D5183">
      <w:pPr>
        <w:spacing w:after="0" w:line="240" w:lineRule="auto"/>
        <w:ind w:firstLine="720"/>
        <w:jc w:val="both"/>
        <w:rPr>
          <w:rFonts w:ascii="Times New Roman" w:hAnsi="Times New Roman" w:cs="Times New Roman"/>
          <w:sz w:val="24"/>
          <w:szCs w:val="24"/>
        </w:rPr>
      </w:pPr>
      <w:r w:rsidRPr="003C1B12">
        <w:rPr>
          <w:rFonts w:ascii="Times New Roman" w:hAnsi="Times New Roman" w:cs="Times New Roman"/>
          <w:sz w:val="24"/>
          <w:szCs w:val="24"/>
        </w:rPr>
        <w:t>EM sadarbībā ar LIAA veica</w:t>
      </w:r>
      <w:r w:rsidR="003D5183" w:rsidRPr="003C1B12">
        <w:rPr>
          <w:rFonts w:ascii="Times New Roman" w:hAnsi="Times New Roman" w:cs="Times New Roman"/>
          <w:sz w:val="24"/>
          <w:szCs w:val="24"/>
        </w:rPr>
        <w:t xml:space="preserve"> atbalstīto </w:t>
      </w:r>
      <w:r w:rsidR="000968EB" w:rsidRPr="003C1B12">
        <w:rPr>
          <w:rFonts w:ascii="Times New Roman" w:hAnsi="Times New Roman" w:cs="Times New Roman"/>
          <w:sz w:val="24"/>
          <w:szCs w:val="24"/>
        </w:rPr>
        <w:t>KC</w:t>
      </w:r>
      <w:r w:rsidR="003D5183" w:rsidRPr="003C1B12">
        <w:rPr>
          <w:rFonts w:ascii="Times New Roman" w:hAnsi="Times New Roman" w:cs="Times New Roman"/>
          <w:sz w:val="24"/>
          <w:szCs w:val="24"/>
        </w:rPr>
        <w:t xml:space="preserve"> vidusposma izvērtējumu, kurā tika apkopota informācija par </w:t>
      </w:r>
      <w:r w:rsidRPr="003C1B12">
        <w:rPr>
          <w:rFonts w:ascii="Times New Roman" w:hAnsi="Times New Roman" w:cs="Times New Roman"/>
          <w:sz w:val="24"/>
          <w:szCs w:val="24"/>
        </w:rPr>
        <w:t xml:space="preserve">pabeigtajiem projektiem </w:t>
      </w:r>
      <w:r w:rsidR="003D5183" w:rsidRPr="003C1B12">
        <w:rPr>
          <w:rFonts w:ascii="Times New Roman" w:hAnsi="Times New Roman" w:cs="Times New Roman"/>
          <w:sz w:val="24"/>
          <w:szCs w:val="24"/>
        </w:rPr>
        <w:t>līdz 2014.gada 30.</w:t>
      </w:r>
      <w:r w:rsidR="00ED08A4" w:rsidRPr="003C1B12">
        <w:rPr>
          <w:rFonts w:ascii="Times New Roman" w:hAnsi="Times New Roman" w:cs="Times New Roman"/>
          <w:sz w:val="24"/>
          <w:szCs w:val="24"/>
        </w:rPr>
        <w:t>jūnijam</w:t>
      </w:r>
      <w:r w:rsidR="003D5183" w:rsidRPr="003C1B12">
        <w:rPr>
          <w:rFonts w:ascii="Times New Roman" w:hAnsi="Times New Roman" w:cs="Times New Roman"/>
          <w:sz w:val="24"/>
          <w:szCs w:val="24"/>
        </w:rPr>
        <w:t xml:space="preserve"> un 2015.gadā dati tika aktualizēti ar pabeigtajiem projektiem līdz 2014.gada beigām. Vidusposma izvērtējuma ietvaros tika organizētas arī in</w:t>
      </w:r>
      <w:r w:rsidRPr="003C1B12">
        <w:rPr>
          <w:rFonts w:ascii="Times New Roman" w:hAnsi="Times New Roman" w:cs="Times New Roman"/>
          <w:sz w:val="24"/>
          <w:szCs w:val="24"/>
        </w:rPr>
        <w:t xml:space="preserve">tervijas ar </w:t>
      </w:r>
      <w:r w:rsidR="000968EB" w:rsidRPr="003C1B12">
        <w:rPr>
          <w:rFonts w:ascii="Times New Roman" w:hAnsi="Times New Roman" w:cs="Times New Roman"/>
          <w:sz w:val="24"/>
          <w:szCs w:val="24"/>
        </w:rPr>
        <w:t>KC</w:t>
      </w:r>
      <w:r w:rsidRPr="003C1B12">
        <w:rPr>
          <w:rFonts w:ascii="Times New Roman" w:hAnsi="Times New Roman" w:cs="Times New Roman"/>
          <w:sz w:val="24"/>
          <w:szCs w:val="24"/>
        </w:rPr>
        <w:t xml:space="preserve"> vadītājiem</w:t>
      </w:r>
      <w:r w:rsidR="003D5183" w:rsidRPr="003C1B12">
        <w:rPr>
          <w:rFonts w:ascii="Times New Roman" w:hAnsi="Times New Roman" w:cs="Times New Roman"/>
          <w:sz w:val="24"/>
          <w:szCs w:val="24"/>
        </w:rPr>
        <w:t xml:space="preserve"> un p</w:t>
      </w:r>
      <w:r w:rsidR="001A3EC3" w:rsidRPr="003C1B12">
        <w:rPr>
          <w:rFonts w:ascii="Times New Roman" w:hAnsi="Times New Roman" w:cs="Times New Roman"/>
          <w:sz w:val="24"/>
          <w:szCs w:val="24"/>
        </w:rPr>
        <w:t>abeigto projektu īstenotājiem.</w:t>
      </w:r>
    </w:p>
    <w:p w:rsidR="003D5183" w:rsidRPr="003C1B12" w:rsidRDefault="003D5183" w:rsidP="003D5183">
      <w:pPr>
        <w:spacing w:after="0" w:line="240" w:lineRule="auto"/>
        <w:ind w:firstLine="720"/>
        <w:jc w:val="both"/>
        <w:rPr>
          <w:rFonts w:ascii="Times New Roman" w:hAnsi="Times New Roman" w:cs="Times New Roman"/>
          <w:sz w:val="24"/>
          <w:szCs w:val="24"/>
        </w:rPr>
      </w:pPr>
      <w:r w:rsidRPr="003C1B12">
        <w:rPr>
          <w:rFonts w:ascii="Times New Roman" w:hAnsi="Times New Roman" w:cs="Times New Roman"/>
          <w:sz w:val="24"/>
          <w:szCs w:val="24"/>
        </w:rPr>
        <w:t xml:space="preserve">Pabeigto projektu novērtējumā tika apzināta šo projektu iespējamā ietekme uz komersantu saimniecisko darbību pēc sekmīgi izstrādāto risinājumu ieviešanas ražošanā. Līdz 2014.gada 31.decembrim bija pabeigti 78 pētījumu visi no tiem </w:t>
      </w:r>
      <w:r w:rsidR="00ED08A4" w:rsidRPr="003C1B12">
        <w:rPr>
          <w:rFonts w:ascii="Times New Roman" w:hAnsi="Times New Roman" w:cs="Times New Roman"/>
          <w:sz w:val="24"/>
          <w:szCs w:val="24"/>
        </w:rPr>
        <w:t>pabeigti</w:t>
      </w:r>
      <w:r w:rsidRPr="003C1B12">
        <w:rPr>
          <w:rFonts w:ascii="Times New Roman" w:hAnsi="Times New Roman" w:cs="Times New Roman"/>
          <w:sz w:val="24"/>
          <w:szCs w:val="24"/>
        </w:rPr>
        <w:t xml:space="preserve"> </w:t>
      </w:r>
      <w:r w:rsidR="00ED08A4" w:rsidRPr="003C1B12">
        <w:rPr>
          <w:rFonts w:ascii="Times New Roman" w:hAnsi="Times New Roman" w:cs="Times New Roman"/>
          <w:sz w:val="24"/>
          <w:szCs w:val="24"/>
        </w:rPr>
        <w:t>sekmīgi</w:t>
      </w:r>
      <w:r w:rsidRPr="003C1B12">
        <w:rPr>
          <w:rFonts w:ascii="Times New Roman" w:hAnsi="Times New Roman" w:cs="Times New Roman"/>
          <w:sz w:val="24"/>
          <w:szCs w:val="24"/>
        </w:rPr>
        <w:t xml:space="preserve">, </w:t>
      </w:r>
      <w:r w:rsidR="00ED08A4" w:rsidRPr="003C1B12">
        <w:rPr>
          <w:rFonts w:ascii="Times New Roman" w:hAnsi="Times New Roman" w:cs="Times New Roman"/>
          <w:sz w:val="24"/>
          <w:szCs w:val="24"/>
        </w:rPr>
        <w:t>pilnībā vai daļēji sasniedzot komersanta sākotnēji noteiktos mērķus</w:t>
      </w:r>
      <w:r w:rsidR="00022CC6" w:rsidRPr="003C1B12">
        <w:rPr>
          <w:rFonts w:ascii="Times New Roman" w:hAnsi="Times New Roman" w:cs="Times New Roman"/>
          <w:sz w:val="24"/>
          <w:szCs w:val="24"/>
        </w:rPr>
        <w:t xml:space="preserve">. </w:t>
      </w:r>
      <w:r w:rsidRPr="003C1B12">
        <w:rPr>
          <w:rFonts w:ascii="Times New Roman" w:hAnsi="Times New Roman" w:cs="Times New Roman"/>
          <w:sz w:val="24"/>
          <w:szCs w:val="24"/>
        </w:rPr>
        <w:t xml:space="preserve">Pabeigtajiem pētījumiem izmaksātais finansējums bija 10,8 milj. </w:t>
      </w:r>
      <w:r w:rsidRPr="003C1B12">
        <w:rPr>
          <w:rFonts w:ascii="Times New Roman" w:hAnsi="Times New Roman" w:cs="Times New Roman"/>
          <w:i/>
          <w:sz w:val="24"/>
          <w:szCs w:val="24"/>
        </w:rPr>
        <w:t>euro</w:t>
      </w:r>
      <w:r w:rsidRPr="003C1B12">
        <w:rPr>
          <w:rFonts w:ascii="Times New Roman" w:hAnsi="Times New Roman" w:cs="Times New Roman"/>
          <w:sz w:val="24"/>
          <w:szCs w:val="24"/>
        </w:rPr>
        <w:t>. Jāņem vērā, ka pabeigtie un padziļināti vērtētie projekti veidoja tika</w:t>
      </w:r>
      <w:r w:rsidR="00022CC6" w:rsidRPr="003C1B12">
        <w:rPr>
          <w:rFonts w:ascii="Times New Roman" w:hAnsi="Times New Roman" w:cs="Times New Roman"/>
          <w:sz w:val="24"/>
          <w:szCs w:val="24"/>
        </w:rPr>
        <w:t>i 34% no kopējā projektu skaita</w:t>
      </w:r>
      <w:r w:rsidRPr="003C1B12">
        <w:rPr>
          <w:rFonts w:ascii="Times New Roman" w:hAnsi="Times New Roman" w:cs="Times New Roman"/>
          <w:sz w:val="24"/>
          <w:szCs w:val="24"/>
        </w:rPr>
        <w:t xml:space="preserve"> un 20% no piešķirtā publis</w:t>
      </w:r>
      <w:r w:rsidR="00022CC6" w:rsidRPr="003C1B12">
        <w:rPr>
          <w:rFonts w:ascii="Times New Roman" w:hAnsi="Times New Roman" w:cs="Times New Roman"/>
          <w:sz w:val="24"/>
          <w:szCs w:val="24"/>
        </w:rPr>
        <w:t>kā finansējuma. Pēc komersantu</w:t>
      </w:r>
      <w:r w:rsidRPr="003C1B12">
        <w:rPr>
          <w:rFonts w:ascii="Times New Roman" w:hAnsi="Times New Roman" w:cs="Times New Roman"/>
          <w:sz w:val="24"/>
          <w:szCs w:val="24"/>
        </w:rPr>
        <w:t xml:space="preserve"> pašnovērtējuma tiek plānots, ka pabeigto projektu ietvaros izstrādāto jauno produktu vai pakalpojumu apgrozījums varētu veidot vidēji 38,3 milj. </w:t>
      </w:r>
      <w:r w:rsidRPr="003C1B12">
        <w:rPr>
          <w:rFonts w:ascii="Times New Roman" w:hAnsi="Times New Roman" w:cs="Times New Roman"/>
          <w:i/>
          <w:sz w:val="24"/>
          <w:szCs w:val="24"/>
        </w:rPr>
        <w:t>euro</w:t>
      </w:r>
      <w:r w:rsidRPr="003C1B12">
        <w:rPr>
          <w:rFonts w:ascii="Times New Roman" w:hAnsi="Times New Roman" w:cs="Times New Roman"/>
          <w:sz w:val="24"/>
          <w:szCs w:val="24"/>
        </w:rPr>
        <w:t xml:space="preserve"> gadā. Vienlaicīgi jāuzsver, ka </w:t>
      </w:r>
      <w:r w:rsidR="006977C0" w:rsidRPr="003C1B12">
        <w:rPr>
          <w:rFonts w:ascii="Times New Roman" w:hAnsi="Times New Roman" w:cs="Times New Roman"/>
          <w:sz w:val="24"/>
          <w:szCs w:val="24"/>
        </w:rPr>
        <w:t>lielāko daļu</w:t>
      </w:r>
      <w:r w:rsidRPr="003C1B12">
        <w:rPr>
          <w:rFonts w:ascii="Times New Roman" w:hAnsi="Times New Roman" w:cs="Times New Roman"/>
          <w:sz w:val="24"/>
          <w:szCs w:val="24"/>
        </w:rPr>
        <w:t xml:space="preserve"> no izstrādātajiem produktiem plānots ekspor</w:t>
      </w:r>
      <w:r w:rsidR="006977C0" w:rsidRPr="003C1B12">
        <w:rPr>
          <w:rFonts w:ascii="Times New Roman" w:hAnsi="Times New Roman" w:cs="Times New Roman"/>
          <w:sz w:val="24"/>
          <w:szCs w:val="24"/>
        </w:rPr>
        <w:t xml:space="preserve">tēt un vidējais jauno produktu </w:t>
      </w:r>
      <w:r w:rsidRPr="003C1B12">
        <w:rPr>
          <w:rFonts w:ascii="Times New Roman" w:hAnsi="Times New Roman" w:cs="Times New Roman"/>
          <w:sz w:val="24"/>
          <w:szCs w:val="24"/>
        </w:rPr>
        <w:t xml:space="preserve">eksporta apjoms tiek prognozēts 70% apmērā. Tāpat tiek prognozēts, ka jauno produktu ražošanas nodrošināšanai tiks </w:t>
      </w:r>
      <w:r w:rsidR="00ED08A4" w:rsidRPr="003C1B12">
        <w:rPr>
          <w:rFonts w:ascii="Times New Roman" w:hAnsi="Times New Roman" w:cs="Times New Roman"/>
          <w:sz w:val="24"/>
          <w:szCs w:val="24"/>
        </w:rPr>
        <w:t xml:space="preserve">saglabātas vai </w:t>
      </w:r>
      <w:r w:rsidRPr="003C1B12">
        <w:rPr>
          <w:rFonts w:ascii="Times New Roman" w:hAnsi="Times New Roman" w:cs="Times New Roman"/>
          <w:sz w:val="24"/>
          <w:szCs w:val="24"/>
        </w:rPr>
        <w:t>radītas 243 darba vietas.</w:t>
      </w:r>
    </w:p>
    <w:p w:rsidR="000F654B" w:rsidRPr="003C1B12" w:rsidRDefault="003D5183" w:rsidP="003D5183">
      <w:pPr>
        <w:spacing w:after="0" w:line="240" w:lineRule="auto"/>
        <w:ind w:firstLine="709"/>
        <w:jc w:val="both"/>
        <w:rPr>
          <w:rFonts w:ascii="Times New Roman" w:hAnsi="Times New Roman" w:cs="Times New Roman"/>
          <w:sz w:val="24"/>
        </w:rPr>
      </w:pPr>
      <w:r w:rsidRPr="003C1B12">
        <w:rPr>
          <w:rFonts w:ascii="Times New Roman" w:eastAsia="Calibri" w:hAnsi="Times New Roman" w:cs="Times New Roman"/>
          <w:sz w:val="24"/>
          <w:szCs w:val="24"/>
        </w:rPr>
        <w:t>Vērtējot pabeigto projektu ietekmi jāņem vērā arī pētījumu rezultātu komercializācija</w:t>
      </w:r>
      <w:r w:rsidR="006977C0" w:rsidRPr="003C1B12">
        <w:rPr>
          <w:rFonts w:ascii="Times New Roman" w:eastAsia="Calibri" w:hAnsi="Times New Roman" w:cs="Times New Roman"/>
          <w:sz w:val="24"/>
          <w:szCs w:val="24"/>
        </w:rPr>
        <w:t xml:space="preserve">i nepieciešamais laika periods, </w:t>
      </w:r>
      <w:r w:rsidRPr="003C1B12">
        <w:rPr>
          <w:rFonts w:ascii="Times New Roman" w:eastAsia="Calibri" w:hAnsi="Times New Roman" w:cs="Times New Roman"/>
          <w:sz w:val="24"/>
          <w:szCs w:val="24"/>
        </w:rPr>
        <w:t>kas nozīmē, ka sekmīgo pētījumu rezultātā izstrādāto jauno produktu un tehnoloģiju iev</w:t>
      </w:r>
      <w:r w:rsidR="006977C0" w:rsidRPr="003C1B12">
        <w:rPr>
          <w:rFonts w:ascii="Times New Roman" w:eastAsia="Calibri" w:hAnsi="Times New Roman" w:cs="Times New Roman"/>
          <w:sz w:val="24"/>
          <w:szCs w:val="24"/>
        </w:rPr>
        <w:t xml:space="preserve">iešana ražošanā varētu notikt 1 līdz </w:t>
      </w:r>
      <w:r w:rsidRPr="003C1B12">
        <w:rPr>
          <w:rFonts w:ascii="Times New Roman" w:eastAsia="Calibri" w:hAnsi="Times New Roman" w:cs="Times New Roman"/>
          <w:sz w:val="24"/>
          <w:szCs w:val="24"/>
        </w:rPr>
        <w:t>3 gadu laikā pēc rūpniec</w:t>
      </w:r>
      <w:r w:rsidR="006977C0" w:rsidRPr="003C1B12">
        <w:rPr>
          <w:rFonts w:ascii="Times New Roman" w:eastAsia="Calibri" w:hAnsi="Times New Roman" w:cs="Times New Roman"/>
          <w:sz w:val="24"/>
          <w:szCs w:val="24"/>
        </w:rPr>
        <w:t xml:space="preserve">isko pētījumu pabeigšanas, </w:t>
      </w:r>
      <w:r w:rsidRPr="003C1B12">
        <w:rPr>
          <w:rFonts w:ascii="Times New Roman" w:hAnsi="Times New Roman" w:cs="Times New Roman"/>
          <w:sz w:val="24"/>
          <w:szCs w:val="24"/>
        </w:rPr>
        <w:t>bet atsevišķās nozarēs, kurās ir ilgāks produktu ieviešanas tirgū cikls, piemē</w:t>
      </w:r>
      <w:r w:rsidR="006977C0" w:rsidRPr="003C1B12">
        <w:rPr>
          <w:rFonts w:ascii="Times New Roman" w:hAnsi="Times New Roman" w:cs="Times New Roman"/>
          <w:sz w:val="24"/>
          <w:szCs w:val="24"/>
        </w:rPr>
        <w:t>ram farmācijas nozarē, tikai</w:t>
      </w:r>
      <w:r w:rsidRPr="003C1B12">
        <w:rPr>
          <w:rFonts w:ascii="Times New Roman" w:hAnsi="Times New Roman" w:cs="Times New Roman"/>
          <w:sz w:val="24"/>
          <w:szCs w:val="24"/>
        </w:rPr>
        <w:t xml:space="preserve"> pēc 5-7 gadiem. Tādēļ faktisko pētījumu rezultātu ietekmi uz atbalstīto komersantu saimniecisko darbību varēs sākt novērtēt tikai 2-3 gadus pēc projektu pabeigšanas.</w:t>
      </w:r>
    </w:p>
    <w:p w:rsidR="00F0176E" w:rsidRPr="003C1B12" w:rsidRDefault="00F0176E" w:rsidP="000C4557">
      <w:pPr>
        <w:spacing w:after="0" w:line="240" w:lineRule="auto"/>
        <w:ind w:firstLine="709"/>
        <w:jc w:val="both"/>
        <w:rPr>
          <w:rFonts w:ascii="Times New Roman" w:hAnsi="Times New Roman" w:cs="Times New Roman"/>
          <w:sz w:val="24"/>
        </w:rPr>
      </w:pPr>
    </w:p>
    <w:p w:rsidR="000C4557" w:rsidRPr="003C1B12" w:rsidRDefault="000C4557" w:rsidP="000C4557">
      <w:pPr>
        <w:pStyle w:val="Heading2"/>
        <w:spacing w:before="0" w:after="120"/>
        <w:rPr>
          <w:rFonts w:ascii="Times New Roman" w:hAnsi="Times New Roman" w:cs="Times New Roman"/>
          <w:color w:val="31849B" w:themeColor="accent5" w:themeShade="BF"/>
        </w:rPr>
      </w:pPr>
      <w:bookmarkStart w:id="20" w:name="_Toc427646469"/>
      <w:bookmarkStart w:id="21" w:name="_Toc427646555"/>
      <w:r w:rsidRPr="003C1B12">
        <w:rPr>
          <w:rFonts w:ascii="Times New Roman" w:hAnsi="Times New Roman" w:cs="Times New Roman"/>
          <w:color w:val="31849B" w:themeColor="accent5" w:themeShade="BF"/>
        </w:rPr>
        <w:t>2.</w:t>
      </w:r>
      <w:r w:rsidR="00285DBF" w:rsidRPr="003C1B12">
        <w:rPr>
          <w:rFonts w:ascii="Times New Roman" w:hAnsi="Times New Roman" w:cs="Times New Roman"/>
          <w:color w:val="31849B" w:themeColor="accent5" w:themeShade="BF"/>
        </w:rPr>
        <w:t>2</w:t>
      </w:r>
      <w:r w:rsidRPr="003C1B12">
        <w:rPr>
          <w:rFonts w:ascii="Times New Roman" w:hAnsi="Times New Roman" w:cs="Times New Roman"/>
          <w:color w:val="31849B" w:themeColor="accent5" w:themeShade="BF"/>
        </w:rPr>
        <w:t xml:space="preserve">. </w:t>
      </w:r>
      <w:r w:rsidR="000968EB" w:rsidRPr="003C1B12">
        <w:rPr>
          <w:rFonts w:ascii="Times New Roman" w:hAnsi="Times New Roman" w:cs="Times New Roman"/>
          <w:color w:val="31849B" w:themeColor="accent5" w:themeShade="BF"/>
        </w:rPr>
        <w:t>KC</w:t>
      </w:r>
      <w:r w:rsidR="00672DC2" w:rsidRPr="003C1B12">
        <w:rPr>
          <w:rFonts w:ascii="Times New Roman" w:hAnsi="Times New Roman" w:cs="Times New Roman"/>
          <w:color w:val="31849B" w:themeColor="accent5" w:themeShade="BF"/>
        </w:rPr>
        <w:t xml:space="preserve"> programmas ieviešanas modeļa izvērtējums</w:t>
      </w:r>
      <w:r w:rsidR="00F0176E" w:rsidRPr="003C1B12">
        <w:rPr>
          <w:rFonts w:ascii="Times New Roman" w:hAnsi="Times New Roman" w:cs="Times New Roman"/>
          <w:color w:val="31849B" w:themeColor="accent5" w:themeShade="BF"/>
        </w:rPr>
        <w:t xml:space="preserve"> un secinājumi</w:t>
      </w:r>
      <w:bookmarkEnd w:id="20"/>
      <w:bookmarkEnd w:id="21"/>
    </w:p>
    <w:p w:rsidR="00A37D33" w:rsidRPr="003C1B12" w:rsidRDefault="00A37D33" w:rsidP="00A37D33">
      <w:pPr>
        <w:pStyle w:val="Heading2"/>
        <w:spacing w:before="0" w:after="120"/>
        <w:rPr>
          <w:rFonts w:ascii="Times New Roman" w:hAnsi="Times New Roman" w:cs="Times New Roman"/>
          <w:color w:val="31849B" w:themeColor="accent5" w:themeShade="BF"/>
          <w:sz w:val="24"/>
        </w:rPr>
      </w:pPr>
      <w:bookmarkStart w:id="22" w:name="_Toc427646470"/>
      <w:bookmarkStart w:id="23" w:name="_Toc427646556"/>
      <w:r w:rsidRPr="003C1B12">
        <w:rPr>
          <w:rFonts w:ascii="Times New Roman" w:hAnsi="Times New Roman" w:cs="Times New Roman"/>
          <w:color w:val="31849B" w:themeColor="accent5" w:themeShade="BF"/>
          <w:sz w:val="24"/>
        </w:rPr>
        <w:t>2.</w:t>
      </w:r>
      <w:r w:rsidR="00285DBF" w:rsidRPr="003C1B12">
        <w:rPr>
          <w:rFonts w:ascii="Times New Roman" w:hAnsi="Times New Roman" w:cs="Times New Roman"/>
          <w:color w:val="31849B" w:themeColor="accent5" w:themeShade="BF"/>
          <w:sz w:val="24"/>
        </w:rPr>
        <w:t>2</w:t>
      </w:r>
      <w:r w:rsidRPr="003C1B12">
        <w:rPr>
          <w:rFonts w:ascii="Times New Roman" w:hAnsi="Times New Roman" w:cs="Times New Roman"/>
          <w:color w:val="31849B" w:themeColor="accent5" w:themeShade="BF"/>
          <w:sz w:val="24"/>
        </w:rPr>
        <w:t xml:space="preserve">.1. </w:t>
      </w:r>
      <w:r w:rsidR="000968EB" w:rsidRPr="003C1B12">
        <w:rPr>
          <w:rFonts w:ascii="Times New Roman" w:hAnsi="Times New Roman" w:cs="Times New Roman"/>
          <w:color w:val="31849B" w:themeColor="accent5" w:themeShade="BF"/>
          <w:sz w:val="24"/>
        </w:rPr>
        <w:t>KC</w:t>
      </w:r>
      <w:r w:rsidR="00F0176E" w:rsidRPr="003C1B12">
        <w:rPr>
          <w:rFonts w:ascii="Times New Roman" w:hAnsi="Times New Roman" w:cs="Times New Roman"/>
          <w:color w:val="31849B" w:themeColor="accent5" w:themeShade="BF"/>
          <w:sz w:val="24"/>
        </w:rPr>
        <w:t xml:space="preserve"> projektu</w:t>
      </w:r>
      <w:r w:rsidR="000E3BBF" w:rsidRPr="003C1B12">
        <w:rPr>
          <w:rFonts w:ascii="Times New Roman" w:hAnsi="Times New Roman" w:cs="Times New Roman"/>
          <w:color w:val="31849B" w:themeColor="accent5" w:themeShade="BF"/>
          <w:sz w:val="24"/>
        </w:rPr>
        <w:t xml:space="preserve"> ieviešanas modelis</w:t>
      </w:r>
      <w:bookmarkEnd w:id="22"/>
      <w:bookmarkEnd w:id="23"/>
      <w:r w:rsidR="000E3BBF" w:rsidRPr="003C1B12">
        <w:rPr>
          <w:rFonts w:ascii="Times New Roman" w:hAnsi="Times New Roman" w:cs="Times New Roman"/>
          <w:color w:val="31849B" w:themeColor="accent5" w:themeShade="BF"/>
          <w:sz w:val="24"/>
        </w:rPr>
        <w:t xml:space="preserve">  </w:t>
      </w:r>
    </w:p>
    <w:p w:rsidR="00A35BE7" w:rsidRPr="003C1B12" w:rsidRDefault="00380216" w:rsidP="003B18FF">
      <w:pPr>
        <w:spacing w:after="0" w:line="240" w:lineRule="auto"/>
        <w:ind w:firstLine="720"/>
        <w:jc w:val="both"/>
        <w:rPr>
          <w:rFonts w:ascii="Times New Roman" w:hAnsi="Times New Roman" w:cs="Times New Roman"/>
          <w:sz w:val="24"/>
        </w:rPr>
      </w:pPr>
      <w:r w:rsidRPr="003C1B12">
        <w:rPr>
          <w:rFonts w:ascii="Times New Roman" w:hAnsi="Times New Roman" w:cs="Times New Roman"/>
          <w:sz w:val="24"/>
        </w:rPr>
        <w:t xml:space="preserve">Intervijās un diskusijās ar </w:t>
      </w:r>
      <w:r w:rsidR="000968EB" w:rsidRPr="003C1B12">
        <w:rPr>
          <w:rFonts w:ascii="Times New Roman" w:hAnsi="Times New Roman" w:cs="Times New Roman"/>
          <w:sz w:val="24"/>
        </w:rPr>
        <w:t>KC</w:t>
      </w:r>
      <w:r w:rsidRPr="003C1B12">
        <w:rPr>
          <w:rFonts w:ascii="Times New Roman" w:hAnsi="Times New Roman" w:cs="Times New Roman"/>
          <w:sz w:val="24"/>
        </w:rPr>
        <w:t xml:space="preserve"> un komersantu pārstāvjiem tika secināts, ka komersanti pozitīvi novērtē izvēlēto ieviešanas m</w:t>
      </w:r>
      <w:r w:rsidR="003B18FF" w:rsidRPr="003C1B12">
        <w:rPr>
          <w:rFonts w:ascii="Times New Roman" w:hAnsi="Times New Roman" w:cs="Times New Roman"/>
          <w:sz w:val="24"/>
        </w:rPr>
        <w:t xml:space="preserve">odeli, kurā </w:t>
      </w:r>
      <w:r w:rsidR="000968EB" w:rsidRPr="003C1B12">
        <w:rPr>
          <w:rFonts w:ascii="Times New Roman" w:hAnsi="Times New Roman" w:cs="Times New Roman"/>
          <w:sz w:val="24"/>
        </w:rPr>
        <w:t>KC</w:t>
      </w:r>
      <w:r w:rsidR="003B18FF" w:rsidRPr="003C1B12">
        <w:rPr>
          <w:rFonts w:ascii="Times New Roman" w:hAnsi="Times New Roman" w:cs="Times New Roman"/>
          <w:sz w:val="24"/>
        </w:rPr>
        <w:t xml:space="preserve"> </w:t>
      </w:r>
      <w:r w:rsidRPr="003C1B12">
        <w:rPr>
          <w:rFonts w:ascii="Times New Roman" w:hAnsi="Times New Roman" w:cs="Times New Roman"/>
          <w:sz w:val="24"/>
        </w:rPr>
        <w:t>uzņemas pētniecības programmu un projekta administrēšanas funkcijas. Kā galvenais pozitīvais iemesls tiek minēts pētniecības programmas elastība, jo mainoties situācijai, salīdzinoši ātri var nomainīt plānotos pētījumus to a</w:t>
      </w:r>
      <w:r w:rsidR="003B18FF" w:rsidRPr="003C1B12">
        <w:rPr>
          <w:rFonts w:ascii="Times New Roman" w:hAnsi="Times New Roman" w:cs="Times New Roman"/>
          <w:sz w:val="24"/>
        </w:rPr>
        <w:t xml:space="preserve">pjomu un sadarbības partnerus. </w:t>
      </w:r>
      <w:r w:rsidRPr="003C1B12">
        <w:rPr>
          <w:rFonts w:ascii="Times New Roman" w:hAnsi="Times New Roman" w:cs="Times New Roman"/>
          <w:sz w:val="24"/>
        </w:rPr>
        <w:t xml:space="preserve">Tāpat </w:t>
      </w:r>
      <w:r w:rsidR="00914087" w:rsidRPr="003C1B12">
        <w:rPr>
          <w:rFonts w:ascii="Times New Roman" w:hAnsi="Times New Roman" w:cs="Times New Roman"/>
          <w:sz w:val="24"/>
        </w:rPr>
        <w:t>gadījumos, kad</w:t>
      </w:r>
      <w:r w:rsidRPr="003C1B12">
        <w:rPr>
          <w:rFonts w:ascii="Times New Roman" w:hAnsi="Times New Roman" w:cs="Times New Roman"/>
          <w:sz w:val="24"/>
        </w:rPr>
        <w:t xml:space="preserve"> tiek identificēts, ka tehnoloģisku vai </w:t>
      </w:r>
      <w:r w:rsidRPr="003C1B12">
        <w:rPr>
          <w:rFonts w:ascii="Times New Roman" w:hAnsi="Times New Roman" w:cs="Times New Roman"/>
          <w:sz w:val="24"/>
        </w:rPr>
        <w:lastRenderedPageBreak/>
        <w:t>citu iem</w:t>
      </w:r>
      <w:r w:rsidR="006B0D4C" w:rsidRPr="003C1B12">
        <w:rPr>
          <w:rFonts w:ascii="Times New Roman" w:hAnsi="Times New Roman" w:cs="Times New Roman"/>
          <w:sz w:val="24"/>
        </w:rPr>
        <w:t>eslu</w:t>
      </w:r>
      <w:r w:rsidRPr="003C1B12">
        <w:rPr>
          <w:rFonts w:ascii="Times New Roman" w:hAnsi="Times New Roman" w:cs="Times New Roman"/>
          <w:sz w:val="24"/>
        </w:rPr>
        <w:t xml:space="preserve"> </w:t>
      </w:r>
      <w:r w:rsidR="006B0D4C" w:rsidRPr="003C1B12">
        <w:rPr>
          <w:rFonts w:ascii="Times New Roman" w:hAnsi="Times New Roman" w:cs="Times New Roman"/>
          <w:sz w:val="24"/>
        </w:rPr>
        <w:t xml:space="preserve">dēļ </w:t>
      </w:r>
      <w:r w:rsidRPr="003C1B12">
        <w:rPr>
          <w:rFonts w:ascii="Times New Roman" w:hAnsi="Times New Roman" w:cs="Times New Roman"/>
          <w:sz w:val="24"/>
        </w:rPr>
        <w:t>nav</w:t>
      </w:r>
      <w:r w:rsidR="006B0D4C" w:rsidRPr="003C1B12">
        <w:rPr>
          <w:rFonts w:ascii="Times New Roman" w:hAnsi="Times New Roman" w:cs="Times New Roman"/>
          <w:sz w:val="24"/>
        </w:rPr>
        <w:t xml:space="preserve"> </w:t>
      </w:r>
      <w:r w:rsidRPr="003C1B12">
        <w:rPr>
          <w:rFonts w:ascii="Times New Roman" w:hAnsi="Times New Roman" w:cs="Times New Roman"/>
          <w:sz w:val="24"/>
        </w:rPr>
        <w:t>ie</w:t>
      </w:r>
      <w:r w:rsidR="006B0D4C" w:rsidRPr="003C1B12">
        <w:rPr>
          <w:rFonts w:ascii="Times New Roman" w:hAnsi="Times New Roman" w:cs="Times New Roman"/>
          <w:sz w:val="24"/>
        </w:rPr>
        <w:t>spē</w:t>
      </w:r>
      <w:r w:rsidRPr="003C1B12">
        <w:rPr>
          <w:rFonts w:ascii="Times New Roman" w:hAnsi="Times New Roman" w:cs="Times New Roman"/>
          <w:sz w:val="24"/>
        </w:rPr>
        <w:t>jams</w:t>
      </w:r>
      <w:r w:rsidR="006B0D4C" w:rsidRPr="003C1B12">
        <w:rPr>
          <w:rFonts w:ascii="Times New Roman" w:hAnsi="Times New Roman" w:cs="Times New Roman"/>
          <w:sz w:val="24"/>
        </w:rPr>
        <w:t xml:space="preserve"> </w:t>
      </w:r>
      <w:r w:rsidRPr="003C1B12">
        <w:rPr>
          <w:rFonts w:ascii="Times New Roman" w:hAnsi="Times New Roman" w:cs="Times New Roman"/>
          <w:sz w:val="24"/>
        </w:rPr>
        <w:t>sasn</w:t>
      </w:r>
      <w:r w:rsidR="006B0D4C" w:rsidRPr="003C1B12">
        <w:rPr>
          <w:rFonts w:ascii="Times New Roman" w:hAnsi="Times New Roman" w:cs="Times New Roman"/>
          <w:sz w:val="24"/>
        </w:rPr>
        <w:t>i</w:t>
      </w:r>
      <w:r w:rsidRPr="003C1B12">
        <w:rPr>
          <w:rFonts w:ascii="Times New Roman" w:hAnsi="Times New Roman" w:cs="Times New Roman"/>
          <w:sz w:val="24"/>
        </w:rPr>
        <w:t>egt rezultātu</w:t>
      </w:r>
      <w:r w:rsidR="00914087" w:rsidRPr="003C1B12">
        <w:rPr>
          <w:rFonts w:ascii="Times New Roman" w:hAnsi="Times New Roman" w:cs="Times New Roman"/>
          <w:sz w:val="24"/>
        </w:rPr>
        <w:t xml:space="preserve"> </w:t>
      </w:r>
      <w:r w:rsidRPr="003C1B12">
        <w:rPr>
          <w:rFonts w:ascii="Times New Roman" w:hAnsi="Times New Roman" w:cs="Times New Roman"/>
          <w:sz w:val="24"/>
        </w:rPr>
        <w:t>proj</w:t>
      </w:r>
      <w:r w:rsidR="006B0D4C" w:rsidRPr="003C1B12">
        <w:rPr>
          <w:rFonts w:ascii="Times New Roman" w:hAnsi="Times New Roman" w:cs="Times New Roman"/>
          <w:sz w:val="24"/>
        </w:rPr>
        <w:t>ek</w:t>
      </w:r>
      <w:r w:rsidRPr="003C1B12">
        <w:rPr>
          <w:rFonts w:ascii="Times New Roman" w:hAnsi="Times New Roman" w:cs="Times New Roman"/>
          <w:sz w:val="24"/>
        </w:rPr>
        <w:t>tus var ātri aizstāt ar jauniem</w:t>
      </w:r>
      <w:r w:rsidR="00914087" w:rsidRPr="003C1B12">
        <w:rPr>
          <w:rFonts w:ascii="Times New Roman" w:hAnsi="Times New Roman" w:cs="Times New Roman"/>
          <w:sz w:val="24"/>
        </w:rPr>
        <w:t xml:space="preserve"> vai mainīt atbalstāmās darbības projektu ietvaros</w:t>
      </w:r>
      <w:r w:rsidR="006B0D4C" w:rsidRPr="003C1B12">
        <w:rPr>
          <w:rFonts w:ascii="Times New Roman" w:hAnsi="Times New Roman" w:cs="Times New Roman"/>
          <w:sz w:val="24"/>
        </w:rPr>
        <w:t>.</w:t>
      </w:r>
      <w:r w:rsidR="00314B75" w:rsidRPr="003C1B12">
        <w:rPr>
          <w:rFonts w:ascii="Times New Roman" w:hAnsi="Times New Roman" w:cs="Times New Roman"/>
          <w:sz w:val="24"/>
        </w:rPr>
        <w:t xml:space="preserve"> </w:t>
      </w:r>
    </w:p>
    <w:p w:rsidR="00ED08A4" w:rsidRPr="003C1B12" w:rsidRDefault="00ED08A4" w:rsidP="003B18FF">
      <w:pPr>
        <w:spacing w:after="0" w:line="240" w:lineRule="auto"/>
        <w:ind w:firstLine="720"/>
        <w:jc w:val="both"/>
        <w:rPr>
          <w:rFonts w:ascii="Times New Roman" w:hAnsi="Times New Roman" w:cs="Times New Roman"/>
          <w:sz w:val="24"/>
        </w:rPr>
      </w:pPr>
      <w:r w:rsidRPr="003C1B12">
        <w:rPr>
          <w:rFonts w:ascii="Times New Roman" w:hAnsi="Times New Roman" w:cs="Times New Roman"/>
          <w:sz w:val="24"/>
        </w:rPr>
        <w:t xml:space="preserve">Atzinīgi tiek vērtēts arī modeļa ilgtermiņa aspekts, kas nodrošina komersantiem iespēju nepārtraukti pieteikt </w:t>
      </w:r>
      <w:r w:rsidR="00A35BE7" w:rsidRPr="003C1B12">
        <w:rPr>
          <w:rFonts w:ascii="Times New Roman" w:hAnsi="Times New Roman" w:cs="Times New Roman"/>
          <w:sz w:val="24"/>
        </w:rPr>
        <w:t xml:space="preserve">un saņemt atbalstu </w:t>
      </w:r>
      <w:r w:rsidRPr="003C1B12">
        <w:rPr>
          <w:rFonts w:ascii="Times New Roman" w:hAnsi="Times New Roman" w:cs="Times New Roman"/>
          <w:sz w:val="24"/>
        </w:rPr>
        <w:t>jaun</w:t>
      </w:r>
      <w:r w:rsidR="00A35BE7" w:rsidRPr="003C1B12">
        <w:rPr>
          <w:rFonts w:ascii="Times New Roman" w:hAnsi="Times New Roman" w:cs="Times New Roman"/>
          <w:sz w:val="24"/>
        </w:rPr>
        <w:t>ām</w:t>
      </w:r>
      <w:r w:rsidRPr="003C1B12">
        <w:rPr>
          <w:rFonts w:ascii="Times New Roman" w:hAnsi="Times New Roman" w:cs="Times New Roman"/>
          <w:sz w:val="24"/>
        </w:rPr>
        <w:t xml:space="preserve"> pētniecības un produktu izstrādes iniciatīv</w:t>
      </w:r>
      <w:r w:rsidR="00A35BE7" w:rsidRPr="003C1B12">
        <w:rPr>
          <w:rFonts w:ascii="Times New Roman" w:hAnsi="Times New Roman" w:cs="Times New Roman"/>
          <w:sz w:val="24"/>
        </w:rPr>
        <w:t>ām</w:t>
      </w:r>
      <w:r w:rsidRPr="003C1B12">
        <w:rPr>
          <w:rFonts w:ascii="Times New Roman" w:hAnsi="Times New Roman" w:cs="Times New Roman"/>
          <w:sz w:val="24"/>
        </w:rPr>
        <w:t>, atbils</w:t>
      </w:r>
      <w:r w:rsidR="00A35BE7" w:rsidRPr="003C1B12">
        <w:rPr>
          <w:rFonts w:ascii="Times New Roman" w:hAnsi="Times New Roman" w:cs="Times New Roman"/>
          <w:sz w:val="24"/>
        </w:rPr>
        <w:t>t</w:t>
      </w:r>
      <w:r w:rsidRPr="003C1B12">
        <w:rPr>
          <w:rFonts w:ascii="Times New Roman" w:hAnsi="Times New Roman" w:cs="Times New Roman"/>
          <w:sz w:val="24"/>
        </w:rPr>
        <w:t>o</w:t>
      </w:r>
      <w:r w:rsidR="00A35BE7" w:rsidRPr="003C1B12">
        <w:rPr>
          <w:rFonts w:ascii="Times New Roman" w:hAnsi="Times New Roman" w:cs="Times New Roman"/>
          <w:sz w:val="24"/>
        </w:rPr>
        <w:t>š</w:t>
      </w:r>
      <w:r w:rsidRPr="003C1B12">
        <w:rPr>
          <w:rFonts w:ascii="Times New Roman" w:hAnsi="Times New Roman" w:cs="Times New Roman"/>
          <w:sz w:val="24"/>
        </w:rPr>
        <w:t>i to vaj</w:t>
      </w:r>
      <w:r w:rsidR="00A35BE7" w:rsidRPr="003C1B12">
        <w:rPr>
          <w:rFonts w:ascii="Times New Roman" w:hAnsi="Times New Roman" w:cs="Times New Roman"/>
          <w:sz w:val="24"/>
        </w:rPr>
        <w:t>a</w:t>
      </w:r>
      <w:r w:rsidRPr="003C1B12">
        <w:rPr>
          <w:rFonts w:ascii="Times New Roman" w:hAnsi="Times New Roman" w:cs="Times New Roman"/>
          <w:sz w:val="24"/>
        </w:rPr>
        <w:t>d</w:t>
      </w:r>
      <w:r w:rsidR="00A35BE7" w:rsidRPr="003C1B12">
        <w:rPr>
          <w:rFonts w:ascii="Times New Roman" w:hAnsi="Times New Roman" w:cs="Times New Roman"/>
          <w:sz w:val="24"/>
        </w:rPr>
        <w:t>zī</w:t>
      </w:r>
      <w:r w:rsidRPr="003C1B12">
        <w:rPr>
          <w:rFonts w:ascii="Times New Roman" w:hAnsi="Times New Roman" w:cs="Times New Roman"/>
          <w:sz w:val="24"/>
        </w:rPr>
        <w:t xml:space="preserve">bām un negaidot uz  </w:t>
      </w:r>
      <w:r w:rsidR="00A35BE7" w:rsidRPr="003C1B12">
        <w:rPr>
          <w:rFonts w:ascii="Times New Roman" w:hAnsi="Times New Roman" w:cs="Times New Roman"/>
          <w:sz w:val="24"/>
        </w:rPr>
        <w:t xml:space="preserve">atsevišķu atbalsta programmu konkursu izsludināšanu, bieži vien neprognozējamos laika periodos. </w:t>
      </w:r>
    </w:p>
    <w:p w:rsidR="003B18FF" w:rsidRPr="003C1B12" w:rsidRDefault="00314B75" w:rsidP="003B18FF">
      <w:pPr>
        <w:spacing w:after="0" w:line="240" w:lineRule="auto"/>
        <w:ind w:firstLine="720"/>
        <w:jc w:val="both"/>
        <w:rPr>
          <w:rFonts w:ascii="Times New Roman" w:hAnsi="Times New Roman" w:cs="Times New Roman"/>
          <w:sz w:val="24"/>
        </w:rPr>
      </w:pPr>
      <w:r w:rsidRPr="003C1B12">
        <w:rPr>
          <w:rFonts w:ascii="Times New Roman" w:hAnsi="Times New Roman" w:cs="Times New Roman"/>
          <w:sz w:val="24"/>
        </w:rPr>
        <w:t>Modelis ir ve</w:t>
      </w:r>
      <w:r w:rsidR="00C115F9" w:rsidRPr="003C1B12">
        <w:rPr>
          <w:rFonts w:ascii="Times New Roman" w:hAnsi="Times New Roman" w:cs="Times New Roman"/>
          <w:sz w:val="24"/>
        </w:rPr>
        <w:t>i</w:t>
      </w:r>
      <w:r w:rsidRPr="003C1B12">
        <w:rPr>
          <w:rFonts w:ascii="Times New Roman" w:hAnsi="Times New Roman" w:cs="Times New Roman"/>
          <w:sz w:val="24"/>
        </w:rPr>
        <w:t>cinājis komersantu savstarpējo sadarbību un dialogu par vajadzībām pētniecībā un tehnoloģiju tālākā attīstībā.</w:t>
      </w:r>
    </w:p>
    <w:p w:rsidR="00C2598D" w:rsidRPr="003C1B12" w:rsidRDefault="003B18FF" w:rsidP="003B18FF">
      <w:pPr>
        <w:spacing w:after="0" w:line="240" w:lineRule="auto"/>
        <w:ind w:firstLine="720"/>
        <w:jc w:val="both"/>
        <w:rPr>
          <w:rFonts w:ascii="Times New Roman" w:hAnsi="Times New Roman" w:cs="Times New Roman"/>
          <w:sz w:val="24"/>
        </w:rPr>
      </w:pPr>
      <w:r w:rsidRPr="003C1B12">
        <w:rPr>
          <w:rFonts w:ascii="Times New Roman" w:hAnsi="Times New Roman" w:cs="Times New Roman"/>
          <w:sz w:val="24"/>
        </w:rPr>
        <w:t xml:space="preserve">Visi </w:t>
      </w:r>
      <w:r w:rsidR="000968EB" w:rsidRPr="003C1B12">
        <w:rPr>
          <w:rFonts w:ascii="Times New Roman" w:hAnsi="Times New Roman" w:cs="Times New Roman"/>
          <w:sz w:val="24"/>
        </w:rPr>
        <w:t>KC</w:t>
      </w:r>
      <w:r w:rsidR="00C2598D" w:rsidRPr="003C1B12">
        <w:rPr>
          <w:rFonts w:ascii="Times New Roman" w:hAnsi="Times New Roman" w:cs="Times New Roman"/>
          <w:sz w:val="24"/>
        </w:rPr>
        <w:t xml:space="preserve"> ir izveidojuši atbilstošas pārvaldības institūcijas ar iespējām dalībniekiem un partneriem iesaistīties pētniecības programmu pārvaldības procesā. Jāuzsver, ka </w:t>
      </w:r>
      <w:r w:rsidR="000968EB" w:rsidRPr="003C1B12">
        <w:rPr>
          <w:rFonts w:ascii="Times New Roman" w:hAnsi="Times New Roman" w:cs="Times New Roman"/>
          <w:sz w:val="24"/>
        </w:rPr>
        <w:t>KC</w:t>
      </w:r>
      <w:r w:rsidR="00C2598D" w:rsidRPr="003C1B12">
        <w:rPr>
          <w:rFonts w:ascii="Times New Roman" w:hAnsi="Times New Roman" w:cs="Times New Roman"/>
          <w:sz w:val="24"/>
        </w:rPr>
        <w:t xml:space="preserve"> ir atvērti jauniem sadarbības partneriem un turpina strādāt pie jaunu pētnie</w:t>
      </w:r>
      <w:r w:rsidR="001A3EC3" w:rsidRPr="003C1B12">
        <w:rPr>
          <w:rFonts w:ascii="Times New Roman" w:hAnsi="Times New Roman" w:cs="Times New Roman"/>
          <w:sz w:val="24"/>
        </w:rPr>
        <w:t>cības projektu identificēšanas.</w:t>
      </w:r>
    </w:p>
    <w:p w:rsidR="00BD33E1" w:rsidRPr="003C1B12" w:rsidRDefault="00BD33E1" w:rsidP="00BD33E1">
      <w:pPr>
        <w:spacing w:after="0" w:line="240" w:lineRule="auto"/>
        <w:ind w:firstLine="720"/>
        <w:jc w:val="both"/>
        <w:rPr>
          <w:rFonts w:ascii="Times New Roman" w:eastAsia="Calibri" w:hAnsi="Times New Roman" w:cs="Times New Roman"/>
          <w:sz w:val="24"/>
          <w:szCs w:val="24"/>
        </w:rPr>
      </w:pPr>
      <w:r w:rsidRPr="003C1B12">
        <w:rPr>
          <w:rFonts w:ascii="Times New Roman" w:eastAsia="Calibri" w:hAnsi="Times New Roman" w:cs="Times New Roman"/>
          <w:sz w:val="24"/>
          <w:szCs w:val="24"/>
        </w:rPr>
        <w:t>Saskaņā ar programmas nosacījumiem,</w:t>
      </w:r>
      <w:r w:rsidR="003B18FF" w:rsidRPr="003C1B12">
        <w:rPr>
          <w:rFonts w:ascii="Times New Roman" w:eastAsia="Calibri" w:hAnsi="Times New Roman" w:cs="Times New Roman"/>
          <w:sz w:val="24"/>
          <w:szCs w:val="24"/>
        </w:rPr>
        <w:t xml:space="preserve"> finansējums tiek piešķirts arī</w:t>
      </w:r>
      <w:r w:rsidRPr="003C1B12">
        <w:rPr>
          <w:rFonts w:ascii="Times New Roman" w:eastAsia="Calibri" w:hAnsi="Times New Roman" w:cs="Times New Roman"/>
          <w:sz w:val="24"/>
          <w:szCs w:val="24"/>
        </w:rPr>
        <w:t xml:space="preserve"> </w:t>
      </w:r>
      <w:r w:rsidR="007B5BD9" w:rsidRPr="003C1B12">
        <w:rPr>
          <w:rFonts w:ascii="Times New Roman" w:eastAsia="Calibri" w:hAnsi="Times New Roman" w:cs="Times New Roman"/>
          <w:sz w:val="24"/>
          <w:szCs w:val="24"/>
        </w:rPr>
        <w:t>KC</w:t>
      </w:r>
      <w:r w:rsidRPr="003C1B12">
        <w:rPr>
          <w:rFonts w:ascii="Times New Roman" w:eastAsia="Calibri" w:hAnsi="Times New Roman" w:cs="Times New Roman"/>
          <w:sz w:val="24"/>
          <w:szCs w:val="24"/>
        </w:rPr>
        <w:t xml:space="preserve"> projektu vadībai. Projektu vadības izmaksas veido ārpakalpojumu iegāde – juridiskie, grāmatvedības, lietvedības un tulkošanas pakalpojumi, kā arī izmaksas, kas saistītas ar avansiem nepieciešamajām bankas garantijām un darījumu kontiem. Atbilstoši programmas nosacījumiem, projekta vadības izmaksas nevar pārsniegt 5% no pētniecības izmaksām. Faktiski tiek plānots, ka tās būs vēl zemākas - no sešiem </w:t>
      </w:r>
      <w:r w:rsidR="007B5BD9" w:rsidRPr="003C1B12">
        <w:rPr>
          <w:rFonts w:ascii="Times New Roman" w:eastAsia="Calibri" w:hAnsi="Times New Roman" w:cs="Times New Roman"/>
          <w:sz w:val="24"/>
          <w:szCs w:val="24"/>
        </w:rPr>
        <w:t>KC</w:t>
      </w:r>
      <w:r w:rsidRPr="003C1B12">
        <w:rPr>
          <w:rFonts w:ascii="Times New Roman" w:eastAsia="Calibri" w:hAnsi="Times New Roman" w:cs="Times New Roman"/>
          <w:sz w:val="24"/>
          <w:szCs w:val="24"/>
        </w:rPr>
        <w:t xml:space="preserve"> trīs </w:t>
      </w:r>
      <w:r w:rsidR="007B5BD9" w:rsidRPr="003C1B12">
        <w:rPr>
          <w:rFonts w:ascii="Times New Roman" w:eastAsia="Calibri" w:hAnsi="Times New Roman" w:cs="Times New Roman"/>
          <w:sz w:val="24"/>
          <w:szCs w:val="24"/>
        </w:rPr>
        <w:t>KC</w:t>
      </w:r>
      <w:r w:rsidRPr="003C1B12">
        <w:rPr>
          <w:rFonts w:ascii="Times New Roman" w:eastAsia="Calibri" w:hAnsi="Times New Roman" w:cs="Times New Roman"/>
          <w:sz w:val="24"/>
          <w:szCs w:val="24"/>
        </w:rPr>
        <w:t xml:space="preserve"> jau šobrīd faktiski paši nodrošina administratīvo izmaksu segšanu un projekta vadību, finansējumu novirzot tikai pētījumu īstenošanai:</w:t>
      </w:r>
    </w:p>
    <w:p w:rsidR="001A3EC3" w:rsidRPr="003C1B12" w:rsidRDefault="001A3EC3" w:rsidP="001A3EC3">
      <w:pPr>
        <w:spacing w:after="0" w:line="240" w:lineRule="auto"/>
        <w:jc w:val="right"/>
        <w:rPr>
          <w:rFonts w:ascii="Times New Roman" w:hAnsi="Times New Roman" w:cs="Times New Roman"/>
          <w:sz w:val="24"/>
          <w:szCs w:val="24"/>
        </w:rPr>
      </w:pPr>
      <w:r w:rsidRPr="003C1B12">
        <w:rPr>
          <w:rFonts w:ascii="Times New Roman" w:hAnsi="Times New Roman" w:cs="Times New Roman"/>
          <w:sz w:val="24"/>
          <w:szCs w:val="24"/>
        </w:rPr>
        <w:t>Tabula Nr.</w:t>
      </w:r>
      <w:r w:rsidR="00AC195F" w:rsidRPr="003C1B12">
        <w:rPr>
          <w:rFonts w:ascii="Times New Roman" w:hAnsi="Times New Roman" w:cs="Times New Roman"/>
          <w:sz w:val="24"/>
          <w:szCs w:val="24"/>
        </w:rPr>
        <w:t>7</w:t>
      </w:r>
    </w:p>
    <w:p w:rsidR="001A3EC3" w:rsidRPr="003C1B12" w:rsidRDefault="007B5BD9" w:rsidP="00AD5239">
      <w:pPr>
        <w:spacing w:after="120" w:line="240" w:lineRule="auto"/>
        <w:jc w:val="center"/>
        <w:rPr>
          <w:rFonts w:ascii="Times New Roman" w:eastAsia="Calibri" w:hAnsi="Times New Roman" w:cs="Times New Roman"/>
          <w:sz w:val="24"/>
          <w:szCs w:val="24"/>
        </w:rPr>
      </w:pPr>
      <w:r w:rsidRPr="003C1B12">
        <w:rPr>
          <w:rFonts w:ascii="Times New Roman" w:hAnsi="Times New Roman" w:cs="Times New Roman"/>
          <w:color w:val="000000" w:themeColor="text1"/>
          <w:sz w:val="24"/>
          <w:szCs w:val="24"/>
        </w:rPr>
        <w:t>KC</w:t>
      </w:r>
      <w:r w:rsidR="001A3EC3" w:rsidRPr="003C1B12">
        <w:rPr>
          <w:rFonts w:ascii="Times New Roman" w:hAnsi="Times New Roman" w:cs="Times New Roman"/>
          <w:color w:val="000000" w:themeColor="text1"/>
          <w:sz w:val="24"/>
          <w:szCs w:val="24"/>
        </w:rPr>
        <w:t xml:space="preserve"> projektu vad</w:t>
      </w:r>
      <w:r w:rsidR="00FE474C" w:rsidRPr="003C1B12">
        <w:rPr>
          <w:rFonts w:ascii="Times New Roman" w:hAnsi="Times New Roman" w:cs="Times New Roman"/>
          <w:color w:val="000000" w:themeColor="text1"/>
          <w:sz w:val="24"/>
          <w:szCs w:val="24"/>
        </w:rPr>
        <w:t>ības izmaksas</w:t>
      </w:r>
    </w:p>
    <w:tbl>
      <w:tblPr>
        <w:tblStyle w:val="TableGrid1"/>
        <w:tblW w:w="7118" w:type="dxa"/>
        <w:jc w:val="center"/>
        <w:tblLook w:val="04A0" w:firstRow="1" w:lastRow="0" w:firstColumn="1" w:lastColumn="0" w:noHBand="0" w:noVBand="1"/>
      </w:tblPr>
      <w:tblGrid>
        <w:gridCol w:w="1511"/>
        <w:gridCol w:w="1970"/>
        <w:gridCol w:w="1970"/>
        <w:gridCol w:w="1667"/>
      </w:tblGrid>
      <w:tr w:rsidR="00BD33E1" w:rsidRPr="003C1B12" w:rsidTr="001A3EC3">
        <w:trPr>
          <w:trHeight w:val="977"/>
          <w:jc w:val="center"/>
        </w:trPr>
        <w:tc>
          <w:tcPr>
            <w:tcW w:w="1511" w:type="dxa"/>
            <w:tcBorders>
              <w:top w:val="single" w:sz="4" w:space="0" w:color="auto"/>
              <w:left w:val="single" w:sz="4" w:space="0" w:color="auto"/>
              <w:bottom w:val="single" w:sz="4" w:space="0" w:color="auto"/>
              <w:right w:val="single" w:sz="4" w:space="0" w:color="auto"/>
            </w:tcBorders>
            <w:vAlign w:val="center"/>
            <w:hideMark/>
          </w:tcPr>
          <w:p w:rsidR="00BD33E1" w:rsidRPr="003C1B12" w:rsidRDefault="007B5BD9" w:rsidP="009D499E">
            <w:pPr>
              <w:jc w:val="center"/>
              <w:rPr>
                <w:rFonts w:cs="Times New Roman"/>
                <w:b/>
                <w:sz w:val="20"/>
                <w:szCs w:val="20"/>
              </w:rPr>
            </w:pPr>
            <w:r w:rsidRPr="003C1B12">
              <w:rPr>
                <w:rFonts w:cs="Times New Roman"/>
                <w:b/>
                <w:sz w:val="20"/>
                <w:szCs w:val="20"/>
              </w:rPr>
              <w:t>KC</w:t>
            </w:r>
          </w:p>
        </w:tc>
        <w:tc>
          <w:tcPr>
            <w:tcW w:w="1970" w:type="dxa"/>
            <w:tcBorders>
              <w:top w:val="single" w:sz="4" w:space="0" w:color="auto"/>
              <w:left w:val="single" w:sz="4" w:space="0" w:color="auto"/>
              <w:bottom w:val="single" w:sz="4" w:space="0" w:color="auto"/>
              <w:right w:val="single" w:sz="4" w:space="0" w:color="auto"/>
            </w:tcBorders>
            <w:vAlign w:val="center"/>
            <w:hideMark/>
          </w:tcPr>
          <w:p w:rsidR="00BD33E1" w:rsidRPr="003C1B12" w:rsidRDefault="00BD33E1" w:rsidP="00BD33E1">
            <w:pPr>
              <w:jc w:val="center"/>
              <w:rPr>
                <w:rFonts w:cs="Times New Roman"/>
                <w:b/>
                <w:sz w:val="20"/>
                <w:szCs w:val="20"/>
              </w:rPr>
            </w:pPr>
            <w:r w:rsidRPr="003C1B12">
              <w:rPr>
                <w:rFonts w:cs="Times New Roman"/>
                <w:b/>
                <w:sz w:val="20"/>
                <w:szCs w:val="20"/>
              </w:rPr>
              <w:t>Plānotās kopējās pētniecības izmaksas (EUR)</w:t>
            </w:r>
          </w:p>
        </w:tc>
        <w:tc>
          <w:tcPr>
            <w:tcW w:w="1970" w:type="dxa"/>
            <w:tcBorders>
              <w:top w:val="single" w:sz="4" w:space="0" w:color="auto"/>
              <w:left w:val="single" w:sz="4" w:space="0" w:color="auto"/>
              <w:bottom w:val="single" w:sz="4" w:space="0" w:color="auto"/>
              <w:right w:val="single" w:sz="4" w:space="0" w:color="auto"/>
            </w:tcBorders>
            <w:vAlign w:val="center"/>
            <w:hideMark/>
          </w:tcPr>
          <w:p w:rsidR="00BD33E1" w:rsidRPr="003C1B12" w:rsidRDefault="00BD33E1" w:rsidP="00BD33E1">
            <w:pPr>
              <w:jc w:val="center"/>
              <w:rPr>
                <w:rFonts w:cs="Times New Roman"/>
                <w:b/>
                <w:sz w:val="20"/>
                <w:szCs w:val="20"/>
              </w:rPr>
            </w:pPr>
            <w:r w:rsidRPr="003C1B12">
              <w:rPr>
                <w:rFonts w:cs="Times New Roman"/>
                <w:b/>
                <w:sz w:val="20"/>
                <w:szCs w:val="20"/>
              </w:rPr>
              <w:t>Plānotās kopējās projekta vadības izmaksas (EUR)</w:t>
            </w:r>
          </w:p>
        </w:tc>
        <w:tc>
          <w:tcPr>
            <w:tcW w:w="1667" w:type="dxa"/>
            <w:tcBorders>
              <w:top w:val="single" w:sz="4" w:space="0" w:color="auto"/>
              <w:left w:val="single" w:sz="4" w:space="0" w:color="auto"/>
              <w:bottom w:val="single" w:sz="4" w:space="0" w:color="auto"/>
              <w:right w:val="single" w:sz="4" w:space="0" w:color="auto"/>
            </w:tcBorders>
            <w:vAlign w:val="center"/>
            <w:hideMark/>
          </w:tcPr>
          <w:p w:rsidR="00BD33E1" w:rsidRPr="003C1B12" w:rsidRDefault="00BD33E1" w:rsidP="009D499E">
            <w:pPr>
              <w:jc w:val="center"/>
              <w:rPr>
                <w:rFonts w:cs="Times New Roman"/>
                <w:b/>
                <w:sz w:val="20"/>
                <w:szCs w:val="20"/>
              </w:rPr>
            </w:pPr>
            <w:r w:rsidRPr="003C1B12">
              <w:rPr>
                <w:rFonts w:cs="Times New Roman"/>
                <w:b/>
                <w:sz w:val="20"/>
                <w:szCs w:val="20"/>
              </w:rPr>
              <w:t>Projekta vadības izmaksu īpatsvars (%)</w:t>
            </w:r>
          </w:p>
        </w:tc>
      </w:tr>
      <w:tr w:rsidR="00BD33E1" w:rsidRPr="003C1B12" w:rsidTr="001A3EC3">
        <w:trPr>
          <w:trHeight w:val="232"/>
          <w:jc w:val="center"/>
        </w:trPr>
        <w:tc>
          <w:tcPr>
            <w:tcW w:w="1511" w:type="dxa"/>
            <w:tcBorders>
              <w:top w:val="single" w:sz="4" w:space="0" w:color="auto"/>
              <w:left w:val="single" w:sz="4" w:space="0" w:color="auto"/>
              <w:bottom w:val="single" w:sz="4" w:space="0" w:color="auto"/>
              <w:right w:val="single" w:sz="4" w:space="0" w:color="auto"/>
            </w:tcBorders>
            <w:hideMark/>
          </w:tcPr>
          <w:p w:rsidR="00BD33E1" w:rsidRPr="003C1B12" w:rsidRDefault="00BD33E1" w:rsidP="009D499E">
            <w:pPr>
              <w:rPr>
                <w:rFonts w:cs="Times New Roman"/>
                <w:sz w:val="20"/>
                <w:szCs w:val="20"/>
              </w:rPr>
            </w:pPr>
            <w:r w:rsidRPr="003C1B12">
              <w:rPr>
                <w:rFonts w:cs="Times New Roman"/>
                <w:szCs w:val="24"/>
              </w:rPr>
              <w:t>ITKC</w:t>
            </w:r>
          </w:p>
        </w:tc>
        <w:tc>
          <w:tcPr>
            <w:tcW w:w="1970" w:type="dxa"/>
            <w:tcBorders>
              <w:top w:val="single" w:sz="4" w:space="0" w:color="auto"/>
              <w:left w:val="single" w:sz="4" w:space="0" w:color="auto"/>
              <w:bottom w:val="single" w:sz="4" w:space="0" w:color="auto"/>
              <w:right w:val="single" w:sz="4" w:space="0" w:color="auto"/>
            </w:tcBorders>
            <w:hideMark/>
          </w:tcPr>
          <w:p w:rsidR="00BD33E1" w:rsidRPr="003C1B12" w:rsidRDefault="003B18FF" w:rsidP="003B18FF">
            <w:pPr>
              <w:jc w:val="center"/>
              <w:rPr>
                <w:rFonts w:cs="Times New Roman"/>
                <w:sz w:val="20"/>
                <w:szCs w:val="20"/>
              </w:rPr>
            </w:pPr>
            <w:r w:rsidRPr="003C1B12">
              <w:rPr>
                <w:rFonts w:cs="Times New Roman"/>
                <w:sz w:val="20"/>
                <w:szCs w:val="20"/>
              </w:rPr>
              <w:t xml:space="preserve">13 939 </w:t>
            </w:r>
            <w:r w:rsidR="00BD33E1" w:rsidRPr="003C1B12">
              <w:rPr>
                <w:rFonts w:cs="Times New Roman"/>
                <w:sz w:val="20"/>
                <w:szCs w:val="20"/>
              </w:rPr>
              <w:t>878.49</w:t>
            </w:r>
          </w:p>
        </w:tc>
        <w:tc>
          <w:tcPr>
            <w:tcW w:w="1970" w:type="dxa"/>
            <w:tcBorders>
              <w:top w:val="single" w:sz="4" w:space="0" w:color="auto"/>
              <w:left w:val="single" w:sz="4" w:space="0" w:color="auto"/>
              <w:bottom w:val="single" w:sz="4" w:space="0" w:color="auto"/>
              <w:right w:val="single" w:sz="4" w:space="0" w:color="auto"/>
            </w:tcBorders>
            <w:hideMark/>
          </w:tcPr>
          <w:p w:rsidR="00BD33E1" w:rsidRPr="003C1B12" w:rsidRDefault="003B18FF" w:rsidP="003B18FF">
            <w:pPr>
              <w:jc w:val="center"/>
              <w:rPr>
                <w:rFonts w:cs="Times New Roman"/>
                <w:sz w:val="20"/>
                <w:szCs w:val="20"/>
              </w:rPr>
            </w:pPr>
            <w:r w:rsidRPr="003C1B12">
              <w:rPr>
                <w:rFonts w:cs="Times New Roman"/>
                <w:sz w:val="20"/>
                <w:szCs w:val="20"/>
              </w:rPr>
              <w:t xml:space="preserve">346 </w:t>
            </w:r>
            <w:r w:rsidR="00BD33E1" w:rsidRPr="003C1B12">
              <w:rPr>
                <w:rFonts w:cs="Times New Roman"/>
                <w:sz w:val="20"/>
                <w:szCs w:val="20"/>
              </w:rPr>
              <w:t>926.50</w:t>
            </w:r>
          </w:p>
        </w:tc>
        <w:tc>
          <w:tcPr>
            <w:tcW w:w="1667" w:type="dxa"/>
            <w:tcBorders>
              <w:top w:val="single" w:sz="4" w:space="0" w:color="auto"/>
              <w:left w:val="single" w:sz="4" w:space="0" w:color="auto"/>
              <w:bottom w:val="single" w:sz="4" w:space="0" w:color="auto"/>
              <w:right w:val="single" w:sz="4" w:space="0" w:color="auto"/>
            </w:tcBorders>
            <w:hideMark/>
          </w:tcPr>
          <w:p w:rsidR="00BD33E1" w:rsidRPr="003C1B12" w:rsidRDefault="00BD33E1" w:rsidP="003B18FF">
            <w:pPr>
              <w:jc w:val="center"/>
              <w:rPr>
                <w:rFonts w:cs="Times New Roman"/>
                <w:sz w:val="20"/>
                <w:szCs w:val="20"/>
              </w:rPr>
            </w:pPr>
            <w:r w:rsidRPr="003C1B12">
              <w:rPr>
                <w:rFonts w:cs="Times New Roman"/>
                <w:sz w:val="20"/>
                <w:szCs w:val="20"/>
              </w:rPr>
              <w:t>2.49%</w:t>
            </w:r>
          </w:p>
        </w:tc>
      </w:tr>
      <w:tr w:rsidR="00BD33E1" w:rsidRPr="003C1B12" w:rsidTr="001A3EC3">
        <w:trPr>
          <w:trHeight w:val="232"/>
          <w:jc w:val="center"/>
        </w:trPr>
        <w:tc>
          <w:tcPr>
            <w:tcW w:w="1511" w:type="dxa"/>
            <w:tcBorders>
              <w:top w:val="single" w:sz="4" w:space="0" w:color="auto"/>
              <w:left w:val="single" w:sz="4" w:space="0" w:color="auto"/>
              <w:bottom w:val="single" w:sz="4" w:space="0" w:color="auto"/>
              <w:right w:val="single" w:sz="4" w:space="0" w:color="auto"/>
            </w:tcBorders>
            <w:hideMark/>
          </w:tcPr>
          <w:p w:rsidR="00BD33E1" w:rsidRPr="003C1B12" w:rsidRDefault="00BD33E1" w:rsidP="009D499E">
            <w:pPr>
              <w:rPr>
                <w:rFonts w:cs="Times New Roman"/>
                <w:sz w:val="20"/>
                <w:szCs w:val="20"/>
              </w:rPr>
            </w:pPr>
            <w:r w:rsidRPr="003C1B12">
              <w:rPr>
                <w:rFonts w:cs="Times New Roman"/>
                <w:szCs w:val="24"/>
              </w:rPr>
              <w:t>MNKC</w:t>
            </w:r>
          </w:p>
        </w:tc>
        <w:tc>
          <w:tcPr>
            <w:tcW w:w="1970" w:type="dxa"/>
            <w:tcBorders>
              <w:top w:val="single" w:sz="4" w:space="0" w:color="auto"/>
              <w:left w:val="single" w:sz="4" w:space="0" w:color="auto"/>
              <w:bottom w:val="single" w:sz="4" w:space="0" w:color="auto"/>
              <w:right w:val="single" w:sz="4" w:space="0" w:color="auto"/>
            </w:tcBorders>
            <w:hideMark/>
          </w:tcPr>
          <w:p w:rsidR="00BD33E1" w:rsidRPr="003C1B12" w:rsidRDefault="003B18FF" w:rsidP="003B18FF">
            <w:pPr>
              <w:jc w:val="center"/>
              <w:rPr>
                <w:rFonts w:cs="Times New Roman"/>
                <w:sz w:val="20"/>
                <w:szCs w:val="20"/>
              </w:rPr>
            </w:pPr>
            <w:r w:rsidRPr="003C1B12">
              <w:rPr>
                <w:rFonts w:cs="Times New Roman"/>
                <w:sz w:val="20"/>
                <w:szCs w:val="20"/>
              </w:rPr>
              <w:t xml:space="preserve">11 423 </w:t>
            </w:r>
            <w:r w:rsidR="00BD33E1" w:rsidRPr="003C1B12">
              <w:rPr>
                <w:rFonts w:cs="Times New Roman"/>
                <w:sz w:val="20"/>
                <w:szCs w:val="20"/>
              </w:rPr>
              <w:t>598.00</w:t>
            </w:r>
          </w:p>
        </w:tc>
        <w:tc>
          <w:tcPr>
            <w:tcW w:w="1970" w:type="dxa"/>
            <w:tcBorders>
              <w:top w:val="single" w:sz="4" w:space="0" w:color="auto"/>
              <w:left w:val="single" w:sz="4" w:space="0" w:color="auto"/>
              <w:bottom w:val="single" w:sz="4" w:space="0" w:color="auto"/>
              <w:right w:val="single" w:sz="4" w:space="0" w:color="auto"/>
            </w:tcBorders>
            <w:hideMark/>
          </w:tcPr>
          <w:p w:rsidR="00BD33E1" w:rsidRPr="003C1B12" w:rsidRDefault="00BD33E1" w:rsidP="003B18FF">
            <w:pPr>
              <w:jc w:val="center"/>
              <w:rPr>
                <w:rFonts w:cs="Times New Roman"/>
                <w:sz w:val="20"/>
                <w:szCs w:val="20"/>
              </w:rPr>
            </w:pPr>
            <w:r w:rsidRPr="003C1B12">
              <w:rPr>
                <w:rFonts w:cs="Times New Roman"/>
                <w:sz w:val="20"/>
                <w:szCs w:val="20"/>
              </w:rPr>
              <w:t>0.00</w:t>
            </w:r>
          </w:p>
        </w:tc>
        <w:tc>
          <w:tcPr>
            <w:tcW w:w="1667" w:type="dxa"/>
            <w:tcBorders>
              <w:top w:val="single" w:sz="4" w:space="0" w:color="auto"/>
              <w:left w:val="single" w:sz="4" w:space="0" w:color="auto"/>
              <w:bottom w:val="single" w:sz="4" w:space="0" w:color="auto"/>
              <w:right w:val="single" w:sz="4" w:space="0" w:color="auto"/>
            </w:tcBorders>
            <w:hideMark/>
          </w:tcPr>
          <w:p w:rsidR="00BD33E1" w:rsidRPr="003C1B12" w:rsidRDefault="00BD33E1" w:rsidP="003B18FF">
            <w:pPr>
              <w:jc w:val="center"/>
              <w:rPr>
                <w:rFonts w:cs="Times New Roman"/>
                <w:sz w:val="20"/>
                <w:szCs w:val="20"/>
              </w:rPr>
            </w:pPr>
            <w:r w:rsidRPr="003C1B12">
              <w:rPr>
                <w:rFonts w:cs="Times New Roman"/>
                <w:sz w:val="20"/>
                <w:szCs w:val="20"/>
              </w:rPr>
              <w:t>0.00%</w:t>
            </w:r>
          </w:p>
        </w:tc>
      </w:tr>
      <w:tr w:rsidR="00BD33E1" w:rsidRPr="003C1B12" w:rsidTr="001A3EC3">
        <w:trPr>
          <w:trHeight w:val="338"/>
          <w:jc w:val="center"/>
        </w:trPr>
        <w:tc>
          <w:tcPr>
            <w:tcW w:w="1511" w:type="dxa"/>
            <w:tcBorders>
              <w:top w:val="single" w:sz="4" w:space="0" w:color="auto"/>
              <w:left w:val="single" w:sz="4" w:space="0" w:color="auto"/>
              <w:bottom w:val="single" w:sz="4" w:space="0" w:color="auto"/>
              <w:right w:val="single" w:sz="4" w:space="0" w:color="auto"/>
            </w:tcBorders>
            <w:hideMark/>
          </w:tcPr>
          <w:p w:rsidR="00BD33E1" w:rsidRPr="003C1B12" w:rsidRDefault="00BD33E1" w:rsidP="009D499E">
            <w:pPr>
              <w:rPr>
                <w:rFonts w:cs="Times New Roman"/>
                <w:sz w:val="20"/>
                <w:szCs w:val="20"/>
              </w:rPr>
            </w:pPr>
            <w:r w:rsidRPr="003C1B12">
              <w:rPr>
                <w:rFonts w:cs="Times New Roman"/>
                <w:szCs w:val="24"/>
              </w:rPr>
              <w:t>PCCCL</w:t>
            </w:r>
          </w:p>
        </w:tc>
        <w:tc>
          <w:tcPr>
            <w:tcW w:w="1970" w:type="dxa"/>
            <w:tcBorders>
              <w:top w:val="single" w:sz="4" w:space="0" w:color="auto"/>
              <w:left w:val="single" w:sz="4" w:space="0" w:color="auto"/>
              <w:bottom w:val="single" w:sz="4" w:space="0" w:color="auto"/>
              <w:right w:val="single" w:sz="4" w:space="0" w:color="auto"/>
            </w:tcBorders>
            <w:hideMark/>
          </w:tcPr>
          <w:p w:rsidR="00BD33E1" w:rsidRPr="003C1B12" w:rsidRDefault="003B18FF" w:rsidP="003B18FF">
            <w:pPr>
              <w:jc w:val="center"/>
              <w:rPr>
                <w:rFonts w:cs="Times New Roman"/>
                <w:sz w:val="20"/>
                <w:szCs w:val="20"/>
              </w:rPr>
            </w:pPr>
            <w:r w:rsidRPr="003C1B12">
              <w:rPr>
                <w:rFonts w:cs="Times New Roman"/>
                <w:sz w:val="20"/>
                <w:szCs w:val="20"/>
              </w:rPr>
              <w:t xml:space="preserve">13 721 </w:t>
            </w:r>
            <w:r w:rsidR="00BD33E1" w:rsidRPr="003C1B12">
              <w:rPr>
                <w:rFonts w:cs="Times New Roman"/>
                <w:sz w:val="20"/>
                <w:szCs w:val="20"/>
              </w:rPr>
              <w:t>525.00</w:t>
            </w:r>
          </w:p>
        </w:tc>
        <w:tc>
          <w:tcPr>
            <w:tcW w:w="1970" w:type="dxa"/>
            <w:tcBorders>
              <w:top w:val="single" w:sz="4" w:space="0" w:color="auto"/>
              <w:left w:val="single" w:sz="4" w:space="0" w:color="auto"/>
              <w:bottom w:val="single" w:sz="4" w:space="0" w:color="auto"/>
              <w:right w:val="single" w:sz="4" w:space="0" w:color="auto"/>
            </w:tcBorders>
            <w:hideMark/>
          </w:tcPr>
          <w:p w:rsidR="00BD33E1" w:rsidRPr="003C1B12" w:rsidRDefault="00BD33E1" w:rsidP="003B18FF">
            <w:pPr>
              <w:jc w:val="center"/>
              <w:rPr>
                <w:rFonts w:cs="Times New Roman"/>
                <w:sz w:val="20"/>
                <w:szCs w:val="20"/>
              </w:rPr>
            </w:pPr>
            <w:r w:rsidRPr="003C1B12">
              <w:rPr>
                <w:rFonts w:cs="Times New Roman"/>
                <w:sz w:val="20"/>
                <w:szCs w:val="20"/>
              </w:rPr>
              <w:t>0.00</w:t>
            </w:r>
          </w:p>
        </w:tc>
        <w:tc>
          <w:tcPr>
            <w:tcW w:w="1667" w:type="dxa"/>
            <w:tcBorders>
              <w:top w:val="single" w:sz="4" w:space="0" w:color="auto"/>
              <w:left w:val="single" w:sz="4" w:space="0" w:color="auto"/>
              <w:bottom w:val="single" w:sz="4" w:space="0" w:color="auto"/>
              <w:right w:val="single" w:sz="4" w:space="0" w:color="auto"/>
            </w:tcBorders>
            <w:hideMark/>
          </w:tcPr>
          <w:p w:rsidR="00BD33E1" w:rsidRPr="003C1B12" w:rsidRDefault="00BD33E1" w:rsidP="003B18FF">
            <w:pPr>
              <w:jc w:val="center"/>
              <w:rPr>
                <w:rFonts w:cs="Times New Roman"/>
                <w:sz w:val="20"/>
                <w:szCs w:val="20"/>
              </w:rPr>
            </w:pPr>
            <w:r w:rsidRPr="003C1B12">
              <w:rPr>
                <w:rFonts w:cs="Times New Roman"/>
                <w:sz w:val="20"/>
                <w:szCs w:val="20"/>
              </w:rPr>
              <w:t>0.00%</w:t>
            </w:r>
          </w:p>
        </w:tc>
      </w:tr>
      <w:tr w:rsidR="00BD33E1" w:rsidRPr="003C1B12" w:rsidTr="001A3EC3">
        <w:trPr>
          <w:trHeight w:val="274"/>
          <w:jc w:val="center"/>
        </w:trPr>
        <w:tc>
          <w:tcPr>
            <w:tcW w:w="1511" w:type="dxa"/>
            <w:tcBorders>
              <w:top w:val="single" w:sz="4" w:space="0" w:color="auto"/>
              <w:left w:val="single" w:sz="4" w:space="0" w:color="auto"/>
              <w:bottom w:val="single" w:sz="4" w:space="0" w:color="auto"/>
              <w:right w:val="single" w:sz="4" w:space="0" w:color="auto"/>
            </w:tcBorders>
            <w:hideMark/>
          </w:tcPr>
          <w:p w:rsidR="00BD33E1" w:rsidRPr="003C1B12" w:rsidRDefault="00BD33E1" w:rsidP="009D499E">
            <w:pPr>
              <w:rPr>
                <w:rFonts w:cs="Times New Roman"/>
                <w:sz w:val="20"/>
                <w:szCs w:val="20"/>
              </w:rPr>
            </w:pPr>
            <w:r w:rsidRPr="003C1B12">
              <w:rPr>
                <w:rFonts w:cs="Times New Roman"/>
                <w:szCs w:val="24"/>
              </w:rPr>
              <w:t>LEO KC</w:t>
            </w:r>
          </w:p>
        </w:tc>
        <w:tc>
          <w:tcPr>
            <w:tcW w:w="1970" w:type="dxa"/>
            <w:tcBorders>
              <w:top w:val="single" w:sz="4" w:space="0" w:color="auto"/>
              <w:left w:val="single" w:sz="4" w:space="0" w:color="auto"/>
              <w:bottom w:val="single" w:sz="4" w:space="0" w:color="auto"/>
              <w:right w:val="single" w:sz="4" w:space="0" w:color="auto"/>
            </w:tcBorders>
            <w:hideMark/>
          </w:tcPr>
          <w:p w:rsidR="00BD33E1" w:rsidRPr="003C1B12" w:rsidRDefault="003B18FF" w:rsidP="003B18FF">
            <w:pPr>
              <w:jc w:val="center"/>
              <w:rPr>
                <w:rFonts w:cs="Times New Roman"/>
                <w:sz w:val="20"/>
                <w:szCs w:val="20"/>
              </w:rPr>
            </w:pPr>
            <w:r w:rsidRPr="003C1B12">
              <w:rPr>
                <w:rFonts w:cs="Times New Roman"/>
                <w:sz w:val="20"/>
                <w:szCs w:val="20"/>
              </w:rPr>
              <w:t xml:space="preserve">12 901 </w:t>
            </w:r>
            <w:r w:rsidR="00BD33E1" w:rsidRPr="003C1B12">
              <w:rPr>
                <w:rFonts w:cs="Times New Roman"/>
                <w:sz w:val="20"/>
                <w:szCs w:val="20"/>
              </w:rPr>
              <w:t>215.85</w:t>
            </w:r>
          </w:p>
        </w:tc>
        <w:tc>
          <w:tcPr>
            <w:tcW w:w="1970" w:type="dxa"/>
            <w:tcBorders>
              <w:top w:val="single" w:sz="4" w:space="0" w:color="auto"/>
              <w:left w:val="single" w:sz="4" w:space="0" w:color="auto"/>
              <w:bottom w:val="single" w:sz="4" w:space="0" w:color="auto"/>
              <w:right w:val="single" w:sz="4" w:space="0" w:color="auto"/>
            </w:tcBorders>
            <w:hideMark/>
          </w:tcPr>
          <w:p w:rsidR="00BD33E1" w:rsidRPr="003C1B12" w:rsidRDefault="003B18FF" w:rsidP="003B18FF">
            <w:pPr>
              <w:jc w:val="center"/>
              <w:rPr>
                <w:rFonts w:cs="Times New Roman"/>
                <w:sz w:val="20"/>
                <w:szCs w:val="20"/>
              </w:rPr>
            </w:pPr>
            <w:r w:rsidRPr="003C1B12">
              <w:rPr>
                <w:rFonts w:cs="Times New Roman"/>
                <w:sz w:val="20"/>
                <w:szCs w:val="20"/>
              </w:rPr>
              <w:t xml:space="preserve">266 </w:t>
            </w:r>
            <w:r w:rsidR="00BD33E1" w:rsidRPr="003C1B12">
              <w:rPr>
                <w:rFonts w:cs="Times New Roman"/>
                <w:sz w:val="20"/>
                <w:szCs w:val="20"/>
              </w:rPr>
              <w:t>787.67</w:t>
            </w:r>
          </w:p>
        </w:tc>
        <w:tc>
          <w:tcPr>
            <w:tcW w:w="1667" w:type="dxa"/>
            <w:tcBorders>
              <w:top w:val="single" w:sz="4" w:space="0" w:color="auto"/>
              <w:left w:val="single" w:sz="4" w:space="0" w:color="auto"/>
              <w:bottom w:val="single" w:sz="4" w:space="0" w:color="auto"/>
              <w:right w:val="single" w:sz="4" w:space="0" w:color="auto"/>
            </w:tcBorders>
            <w:hideMark/>
          </w:tcPr>
          <w:p w:rsidR="00BD33E1" w:rsidRPr="003C1B12" w:rsidRDefault="00BD33E1" w:rsidP="003B18FF">
            <w:pPr>
              <w:jc w:val="center"/>
              <w:rPr>
                <w:rFonts w:cs="Times New Roman"/>
                <w:sz w:val="20"/>
                <w:szCs w:val="20"/>
              </w:rPr>
            </w:pPr>
            <w:r w:rsidRPr="003C1B12">
              <w:rPr>
                <w:rFonts w:cs="Times New Roman"/>
                <w:sz w:val="20"/>
                <w:szCs w:val="20"/>
              </w:rPr>
              <w:t>2.07%</w:t>
            </w:r>
          </w:p>
        </w:tc>
      </w:tr>
      <w:tr w:rsidR="00BD33E1" w:rsidRPr="003C1B12" w:rsidTr="001A3EC3">
        <w:trPr>
          <w:trHeight w:val="263"/>
          <w:jc w:val="center"/>
        </w:trPr>
        <w:tc>
          <w:tcPr>
            <w:tcW w:w="1511" w:type="dxa"/>
            <w:tcBorders>
              <w:top w:val="single" w:sz="4" w:space="0" w:color="auto"/>
              <w:left w:val="single" w:sz="4" w:space="0" w:color="auto"/>
              <w:bottom w:val="single" w:sz="4" w:space="0" w:color="auto"/>
              <w:right w:val="single" w:sz="4" w:space="0" w:color="auto"/>
            </w:tcBorders>
            <w:hideMark/>
          </w:tcPr>
          <w:p w:rsidR="00BD33E1" w:rsidRPr="003C1B12" w:rsidRDefault="00BD33E1" w:rsidP="009D499E">
            <w:pPr>
              <w:rPr>
                <w:rFonts w:cs="Times New Roman"/>
                <w:sz w:val="20"/>
                <w:szCs w:val="20"/>
              </w:rPr>
            </w:pPr>
            <w:r w:rsidRPr="003C1B12">
              <w:rPr>
                <w:rFonts w:cs="Times New Roman"/>
                <w:szCs w:val="24"/>
              </w:rPr>
              <w:t>VBBKC</w:t>
            </w:r>
          </w:p>
        </w:tc>
        <w:tc>
          <w:tcPr>
            <w:tcW w:w="1970" w:type="dxa"/>
            <w:tcBorders>
              <w:top w:val="single" w:sz="4" w:space="0" w:color="auto"/>
              <w:left w:val="single" w:sz="4" w:space="0" w:color="auto"/>
              <w:bottom w:val="single" w:sz="4" w:space="0" w:color="auto"/>
              <w:right w:val="single" w:sz="4" w:space="0" w:color="auto"/>
            </w:tcBorders>
            <w:hideMark/>
          </w:tcPr>
          <w:p w:rsidR="00BD33E1" w:rsidRPr="003C1B12" w:rsidRDefault="00BD33E1" w:rsidP="003B18FF">
            <w:pPr>
              <w:jc w:val="center"/>
              <w:rPr>
                <w:rFonts w:cs="Times New Roman"/>
                <w:sz w:val="20"/>
                <w:szCs w:val="20"/>
              </w:rPr>
            </w:pPr>
            <w:r w:rsidRPr="003C1B12">
              <w:rPr>
                <w:rFonts w:cs="Times New Roman"/>
                <w:sz w:val="20"/>
                <w:szCs w:val="20"/>
              </w:rPr>
              <w:t>12</w:t>
            </w:r>
            <w:r w:rsidR="003B18FF" w:rsidRPr="003C1B12">
              <w:rPr>
                <w:rFonts w:cs="Times New Roman"/>
                <w:sz w:val="20"/>
                <w:szCs w:val="20"/>
              </w:rPr>
              <w:t xml:space="preserve"> 595 </w:t>
            </w:r>
            <w:r w:rsidRPr="003C1B12">
              <w:rPr>
                <w:rFonts w:cs="Times New Roman"/>
                <w:sz w:val="20"/>
                <w:szCs w:val="20"/>
              </w:rPr>
              <w:t>404.00</w:t>
            </w:r>
          </w:p>
        </w:tc>
        <w:tc>
          <w:tcPr>
            <w:tcW w:w="1970" w:type="dxa"/>
            <w:tcBorders>
              <w:top w:val="single" w:sz="4" w:space="0" w:color="auto"/>
              <w:left w:val="single" w:sz="4" w:space="0" w:color="auto"/>
              <w:bottom w:val="single" w:sz="4" w:space="0" w:color="auto"/>
              <w:right w:val="single" w:sz="4" w:space="0" w:color="auto"/>
            </w:tcBorders>
            <w:hideMark/>
          </w:tcPr>
          <w:p w:rsidR="00BD33E1" w:rsidRPr="003C1B12" w:rsidRDefault="003B18FF" w:rsidP="003B18FF">
            <w:pPr>
              <w:jc w:val="center"/>
              <w:rPr>
                <w:rFonts w:cs="Times New Roman"/>
                <w:sz w:val="20"/>
                <w:szCs w:val="20"/>
              </w:rPr>
            </w:pPr>
            <w:r w:rsidRPr="003C1B12">
              <w:rPr>
                <w:rFonts w:cs="Times New Roman"/>
                <w:sz w:val="20"/>
                <w:szCs w:val="20"/>
              </w:rPr>
              <w:t xml:space="preserve">8 </w:t>
            </w:r>
            <w:r w:rsidR="00BD33E1" w:rsidRPr="003C1B12">
              <w:rPr>
                <w:rFonts w:cs="Times New Roman"/>
                <w:sz w:val="20"/>
                <w:szCs w:val="20"/>
              </w:rPr>
              <w:t>529.00</w:t>
            </w:r>
          </w:p>
        </w:tc>
        <w:tc>
          <w:tcPr>
            <w:tcW w:w="1667" w:type="dxa"/>
            <w:tcBorders>
              <w:top w:val="single" w:sz="4" w:space="0" w:color="auto"/>
              <w:left w:val="single" w:sz="4" w:space="0" w:color="auto"/>
              <w:bottom w:val="single" w:sz="4" w:space="0" w:color="auto"/>
              <w:right w:val="single" w:sz="4" w:space="0" w:color="auto"/>
            </w:tcBorders>
            <w:hideMark/>
          </w:tcPr>
          <w:p w:rsidR="00BD33E1" w:rsidRPr="003C1B12" w:rsidRDefault="00BD33E1" w:rsidP="003B18FF">
            <w:pPr>
              <w:jc w:val="center"/>
              <w:rPr>
                <w:rFonts w:cs="Times New Roman"/>
                <w:sz w:val="20"/>
                <w:szCs w:val="20"/>
              </w:rPr>
            </w:pPr>
            <w:r w:rsidRPr="003C1B12">
              <w:rPr>
                <w:rFonts w:cs="Times New Roman"/>
                <w:sz w:val="20"/>
                <w:szCs w:val="20"/>
              </w:rPr>
              <w:t>0.07%</w:t>
            </w:r>
          </w:p>
        </w:tc>
      </w:tr>
      <w:tr w:rsidR="00BD33E1" w:rsidRPr="003C1B12" w:rsidTr="001A3EC3">
        <w:trPr>
          <w:trHeight w:val="252"/>
          <w:jc w:val="center"/>
        </w:trPr>
        <w:tc>
          <w:tcPr>
            <w:tcW w:w="1511" w:type="dxa"/>
            <w:tcBorders>
              <w:top w:val="single" w:sz="4" w:space="0" w:color="auto"/>
              <w:left w:val="single" w:sz="4" w:space="0" w:color="auto"/>
              <w:bottom w:val="single" w:sz="4" w:space="0" w:color="auto"/>
              <w:right w:val="single" w:sz="4" w:space="0" w:color="auto"/>
            </w:tcBorders>
            <w:hideMark/>
          </w:tcPr>
          <w:p w:rsidR="00BD33E1" w:rsidRPr="003C1B12" w:rsidRDefault="00BD33E1" w:rsidP="009D499E">
            <w:pPr>
              <w:rPr>
                <w:rFonts w:cs="Times New Roman"/>
                <w:sz w:val="20"/>
                <w:szCs w:val="20"/>
              </w:rPr>
            </w:pPr>
            <w:r w:rsidRPr="003C1B12">
              <w:rPr>
                <w:rFonts w:cs="Times New Roman"/>
                <w:szCs w:val="24"/>
              </w:rPr>
              <w:t>TMKC</w:t>
            </w:r>
          </w:p>
        </w:tc>
        <w:tc>
          <w:tcPr>
            <w:tcW w:w="1970" w:type="dxa"/>
            <w:tcBorders>
              <w:top w:val="single" w:sz="4" w:space="0" w:color="auto"/>
              <w:left w:val="single" w:sz="4" w:space="0" w:color="auto"/>
              <w:bottom w:val="single" w:sz="4" w:space="0" w:color="auto"/>
              <w:right w:val="single" w:sz="4" w:space="0" w:color="auto"/>
            </w:tcBorders>
            <w:hideMark/>
          </w:tcPr>
          <w:p w:rsidR="00BD33E1" w:rsidRPr="003C1B12" w:rsidRDefault="003B18FF" w:rsidP="003B18FF">
            <w:pPr>
              <w:jc w:val="center"/>
              <w:rPr>
                <w:rFonts w:cs="Times New Roman"/>
                <w:sz w:val="20"/>
                <w:szCs w:val="20"/>
              </w:rPr>
            </w:pPr>
            <w:r w:rsidRPr="003C1B12">
              <w:rPr>
                <w:rFonts w:cs="Times New Roman"/>
                <w:sz w:val="20"/>
                <w:szCs w:val="20"/>
              </w:rPr>
              <w:t xml:space="preserve">18 360 </w:t>
            </w:r>
            <w:r w:rsidR="00BD33E1" w:rsidRPr="003C1B12">
              <w:rPr>
                <w:rFonts w:cs="Times New Roman"/>
                <w:sz w:val="20"/>
                <w:szCs w:val="20"/>
              </w:rPr>
              <w:t>659.11</w:t>
            </w:r>
          </w:p>
        </w:tc>
        <w:tc>
          <w:tcPr>
            <w:tcW w:w="1970" w:type="dxa"/>
            <w:tcBorders>
              <w:top w:val="single" w:sz="4" w:space="0" w:color="auto"/>
              <w:left w:val="single" w:sz="4" w:space="0" w:color="auto"/>
              <w:bottom w:val="single" w:sz="4" w:space="0" w:color="auto"/>
              <w:right w:val="single" w:sz="4" w:space="0" w:color="auto"/>
            </w:tcBorders>
            <w:hideMark/>
          </w:tcPr>
          <w:p w:rsidR="00BD33E1" w:rsidRPr="003C1B12" w:rsidRDefault="003B18FF" w:rsidP="003B18FF">
            <w:pPr>
              <w:jc w:val="center"/>
              <w:rPr>
                <w:rFonts w:cs="Times New Roman"/>
                <w:sz w:val="20"/>
                <w:szCs w:val="20"/>
              </w:rPr>
            </w:pPr>
            <w:r w:rsidRPr="003C1B12">
              <w:rPr>
                <w:rFonts w:cs="Times New Roman"/>
                <w:sz w:val="20"/>
                <w:szCs w:val="20"/>
              </w:rPr>
              <w:t xml:space="preserve">402 </w:t>
            </w:r>
            <w:r w:rsidR="00BD33E1" w:rsidRPr="003C1B12">
              <w:rPr>
                <w:rFonts w:cs="Times New Roman"/>
                <w:sz w:val="20"/>
                <w:szCs w:val="20"/>
              </w:rPr>
              <w:t>964.91</w:t>
            </w:r>
          </w:p>
        </w:tc>
        <w:tc>
          <w:tcPr>
            <w:tcW w:w="1667" w:type="dxa"/>
            <w:tcBorders>
              <w:top w:val="single" w:sz="4" w:space="0" w:color="auto"/>
              <w:left w:val="single" w:sz="4" w:space="0" w:color="auto"/>
              <w:bottom w:val="single" w:sz="4" w:space="0" w:color="auto"/>
              <w:right w:val="single" w:sz="4" w:space="0" w:color="auto"/>
            </w:tcBorders>
            <w:hideMark/>
          </w:tcPr>
          <w:p w:rsidR="00BD33E1" w:rsidRPr="003C1B12" w:rsidRDefault="00BD33E1" w:rsidP="003B18FF">
            <w:pPr>
              <w:jc w:val="center"/>
              <w:rPr>
                <w:rFonts w:cs="Times New Roman"/>
                <w:sz w:val="20"/>
                <w:szCs w:val="20"/>
              </w:rPr>
            </w:pPr>
            <w:r w:rsidRPr="003C1B12">
              <w:rPr>
                <w:rFonts w:cs="Times New Roman"/>
                <w:sz w:val="20"/>
                <w:szCs w:val="20"/>
              </w:rPr>
              <w:t>2.19%</w:t>
            </w:r>
          </w:p>
        </w:tc>
      </w:tr>
      <w:tr w:rsidR="00BD33E1" w:rsidRPr="003C1B12" w:rsidTr="001A3EC3">
        <w:trPr>
          <w:trHeight w:val="232"/>
          <w:jc w:val="center"/>
        </w:trPr>
        <w:tc>
          <w:tcPr>
            <w:tcW w:w="1511" w:type="dxa"/>
            <w:tcBorders>
              <w:top w:val="single" w:sz="4" w:space="0" w:color="auto"/>
              <w:left w:val="single" w:sz="4" w:space="0" w:color="auto"/>
              <w:bottom w:val="single" w:sz="4" w:space="0" w:color="auto"/>
              <w:right w:val="single" w:sz="4" w:space="0" w:color="auto"/>
            </w:tcBorders>
          </w:tcPr>
          <w:p w:rsidR="00BD33E1" w:rsidRPr="003C1B12" w:rsidRDefault="00BD33E1" w:rsidP="009D499E">
            <w:pPr>
              <w:rPr>
                <w:rFonts w:cs="Times New Roman"/>
                <w:b/>
                <w:sz w:val="20"/>
                <w:szCs w:val="20"/>
              </w:rPr>
            </w:pPr>
            <w:r w:rsidRPr="003C1B12">
              <w:rPr>
                <w:rFonts w:cs="Times New Roman"/>
                <w:b/>
                <w:sz w:val="20"/>
                <w:szCs w:val="20"/>
              </w:rPr>
              <w:t>Kopā:</w:t>
            </w:r>
          </w:p>
        </w:tc>
        <w:tc>
          <w:tcPr>
            <w:tcW w:w="1970" w:type="dxa"/>
            <w:tcBorders>
              <w:top w:val="single" w:sz="4" w:space="0" w:color="auto"/>
              <w:left w:val="single" w:sz="4" w:space="0" w:color="auto"/>
              <w:bottom w:val="single" w:sz="4" w:space="0" w:color="auto"/>
              <w:right w:val="single" w:sz="4" w:space="0" w:color="auto"/>
            </w:tcBorders>
          </w:tcPr>
          <w:p w:rsidR="00BD33E1" w:rsidRPr="003C1B12" w:rsidRDefault="00BD33E1" w:rsidP="003B18FF">
            <w:pPr>
              <w:jc w:val="center"/>
              <w:rPr>
                <w:rFonts w:cs="Times New Roman"/>
                <w:b/>
                <w:sz w:val="20"/>
                <w:szCs w:val="20"/>
              </w:rPr>
            </w:pPr>
            <w:r w:rsidRPr="003C1B12">
              <w:rPr>
                <w:rFonts w:cs="Times New Roman"/>
                <w:b/>
                <w:sz w:val="20"/>
                <w:szCs w:val="20"/>
              </w:rPr>
              <w:t>82 942 280.45</w:t>
            </w:r>
          </w:p>
        </w:tc>
        <w:tc>
          <w:tcPr>
            <w:tcW w:w="1970" w:type="dxa"/>
            <w:tcBorders>
              <w:top w:val="single" w:sz="4" w:space="0" w:color="auto"/>
              <w:left w:val="single" w:sz="4" w:space="0" w:color="auto"/>
              <w:bottom w:val="single" w:sz="4" w:space="0" w:color="auto"/>
              <w:right w:val="single" w:sz="4" w:space="0" w:color="auto"/>
            </w:tcBorders>
          </w:tcPr>
          <w:p w:rsidR="00BD33E1" w:rsidRPr="003C1B12" w:rsidRDefault="00BD33E1" w:rsidP="003B18FF">
            <w:pPr>
              <w:jc w:val="center"/>
              <w:rPr>
                <w:rFonts w:cs="Times New Roman"/>
                <w:b/>
                <w:sz w:val="20"/>
                <w:szCs w:val="20"/>
              </w:rPr>
            </w:pPr>
            <w:r w:rsidRPr="003C1B12">
              <w:rPr>
                <w:rFonts w:cs="Times New Roman"/>
                <w:b/>
                <w:sz w:val="20"/>
                <w:szCs w:val="20"/>
              </w:rPr>
              <w:t>1</w:t>
            </w:r>
            <w:r w:rsidR="003B18FF" w:rsidRPr="003C1B12">
              <w:rPr>
                <w:rFonts w:cs="Times New Roman"/>
                <w:b/>
                <w:sz w:val="20"/>
                <w:szCs w:val="20"/>
              </w:rPr>
              <w:t xml:space="preserve"> </w:t>
            </w:r>
            <w:r w:rsidRPr="003C1B12">
              <w:rPr>
                <w:rFonts w:cs="Times New Roman"/>
                <w:b/>
                <w:sz w:val="20"/>
                <w:szCs w:val="20"/>
              </w:rPr>
              <w:t>025 208.08</w:t>
            </w:r>
          </w:p>
        </w:tc>
        <w:tc>
          <w:tcPr>
            <w:tcW w:w="1667" w:type="dxa"/>
            <w:tcBorders>
              <w:top w:val="single" w:sz="4" w:space="0" w:color="auto"/>
              <w:left w:val="single" w:sz="4" w:space="0" w:color="auto"/>
              <w:bottom w:val="single" w:sz="4" w:space="0" w:color="auto"/>
              <w:right w:val="single" w:sz="4" w:space="0" w:color="auto"/>
            </w:tcBorders>
          </w:tcPr>
          <w:p w:rsidR="00BD33E1" w:rsidRPr="003C1B12" w:rsidRDefault="00BD33E1" w:rsidP="003B18FF">
            <w:pPr>
              <w:jc w:val="center"/>
              <w:rPr>
                <w:rFonts w:cs="Times New Roman"/>
                <w:b/>
                <w:sz w:val="20"/>
                <w:szCs w:val="20"/>
              </w:rPr>
            </w:pPr>
            <w:r w:rsidRPr="003C1B12">
              <w:rPr>
                <w:rFonts w:cs="Times New Roman"/>
                <w:b/>
                <w:sz w:val="20"/>
                <w:szCs w:val="20"/>
              </w:rPr>
              <w:t>1.24%</w:t>
            </w:r>
          </w:p>
        </w:tc>
      </w:tr>
    </w:tbl>
    <w:p w:rsidR="00BD33E1" w:rsidRPr="003C1B12" w:rsidRDefault="00BD33E1" w:rsidP="001C5765">
      <w:pPr>
        <w:spacing w:after="0" w:line="240" w:lineRule="auto"/>
        <w:ind w:firstLine="720"/>
        <w:jc w:val="both"/>
        <w:rPr>
          <w:rFonts w:ascii="Times New Roman" w:hAnsi="Times New Roman" w:cs="Times New Roman"/>
          <w:sz w:val="24"/>
        </w:rPr>
      </w:pPr>
    </w:p>
    <w:p w:rsidR="00FE40AB" w:rsidRPr="003C1B12" w:rsidRDefault="001C5765" w:rsidP="003234A2">
      <w:pPr>
        <w:spacing w:after="0" w:line="240" w:lineRule="auto"/>
        <w:ind w:firstLine="720"/>
        <w:jc w:val="both"/>
        <w:rPr>
          <w:rFonts w:ascii="Times New Roman" w:hAnsi="Times New Roman"/>
          <w:sz w:val="24"/>
          <w:szCs w:val="24"/>
        </w:rPr>
      </w:pPr>
      <w:r w:rsidRPr="003C1B12">
        <w:rPr>
          <w:rFonts w:ascii="Times New Roman" w:eastAsia="Calibri" w:hAnsi="Times New Roman" w:cs="Times New Roman"/>
          <w:sz w:val="24"/>
          <w:szCs w:val="24"/>
        </w:rPr>
        <w:t>S</w:t>
      </w:r>
      <w:r w:rsidR="00623637" w:rsidRPr="003C1B12">
        <w:rPr>
          <w:rFonts w:ascii="Times New Roman" w:eastAsia="Calibri" w:hAnsi="Times New Roman" w:cs="Times New Roman"/>
          <w:sz w:val="24"/>
          <w:szCs w:val="24"/>
        </w:rPr>
        <w:t xml:space="preserve">ākotnējie programmas nosacījumi paredzēja iespēju veidot </w:t>
      </w:r>
      <w:r w:rsidR="007B5BD9" w:rsidRPr="003C1B12">
        <w:rPr>
          <w:rFonts w:ascii="Times New Roman" w:eastAsia="Calibri" w:hAnsi="Times New Roman" w:cs="Times New Roman"/>
          <w:sz w:val="24"/>
          <w:szCs w:val="24"/>
        </w:rPr>
        <w:t>KC</w:t>
      </w:r>
      <w:r w:rsidR="00623637" w:rsidRPr="003C1B12">
        <w:rPr>
          <w:rFonts w:ascii="Times New Roman" w:eastAsia="Calibri" w:hAnsi="Times New Roman" w:cs="Times New Roman"/>
          <w:sz w:val="24"/>
          <w:szCs w:val="24"/>
        </w:rPr>
        <w:t xml:space="preserve"> infrastruktūru (pētniecības laboratorijas iekārtas un aprīkojums, telpu pielā</w:t>
      </w:r>
      <w:r w:rsidRPr="003C1B12">
        <w:rPr>
          <w:rFonts w:ascii="Times New Roman" w:eastAsia="Calibri" w:hAnsi="Times New Roman" w:cs="Times New Roman"/>
          <w:sz w:val="24"/>
          <w:szCs w:val="24"/>
        </w:rPr>
        <w:t>gošana laboratoriju vajadzībām)</w:t>
      </w:r>
      <w:r w:rsidR="00623637" w:rsidRPr="003C1B12">
        <w:rPr>
          <w:rFonts w:ascii="Times New Roman" w:eastAsia="Calibri" w:hAnsi="Times New Roman" w:cs="Times New Roman"/>
          <w:sz w:val="24"/>
          <w:szCs w:val="24"/>
        </w:rPr>
        <w:t xml:space="preserve">, bet </w:t>
      </w:r>
      <w:r w:rsidR="007B5BD9" w:rsidRPr="003C1B12">
        <w:rPr>
          <w:rFonts w:ascii="Times New Roman" w:eastAsia="Calibri" w:hAnsi="Times New Roman" w:cs="Times New Roman"/>
          <w:sz w:val="24"/>
          <w:szCs w:val="24"/>
        </w:rPr>
        <w:t>KC</w:t>
      </w:r>
      <w:r w:rsidR="00623637" w:rsidRPr="003C1B12">
        <w:rPr>
          <w:rFonts w:ascii="Times New Roman" w:eastAsia="Calibri" w:hAnsi="Times New Roman" w:cs="Times New Roman"/>
          <w:sz w:val="24"/>
          <w:szCs w:val="24"/>
        </w:rPr>
        <w:t xml:space="preserve"> izvēlēj</w:t>
      </w:r>
      <w:r w:rsidRPr="003C1B12">
        <w:rPr>
          <w:rFonts w:ascii="Times New Roman" w:eastAsia="Calibri" w:hAnsi="Times New Roman" w:cs="Times New Roman"/>
          <w:sz w:val="24"/>
          <w:szCs w:val="24"/>
        </w:rPr>
        <w:t>ās</w:t>
      </w:r>
      <w:r w:rsidR="00623637" w:rsidRPr="003C1B12">
        <w:rPr>
          <w:rFonts w:ascii="Times New Roman" w:eastAsia="Calibri" w:hAnsi="Times New Roman" w:cs="Times New Roman"/>
          <w:sz w:val="24"/>
          <w:szCs w:val="24"/>
        </w:rPr>
        <w:t xml:space="preserve"> pieejamo finansējumu novirzīt pētnieciskajām aktivitātēm, izmantojot jau </w:t>
      </w:r>
      <w:r w:rsidR="0018059D" w:rsidRPr="003C1B12">
        <w:rPr>
          <w:rFonts w:ascii="Times New Roman" w:hAnsi="Times New Roman" w:cs="Times New Roman"/>
          <w:sz w:val="24"/>
        </w:rPr>
        <w:t>komersantu vai zinātnisko institūciju rī</w:t>
      </w:r>
      <w:r w:rsidR="00314B75" w:rsidRPr="003C1B12">
        <w:rPr>
          <w:rFonts w:ascii="Times New Roman" w:hAnsi="Times New Roman" w:cs="Times New Roman"/>
          <w:sz w:val="24"/>
        </w:rPr>
        <w:t>c</w:t>
      </w:r>
      <w:r w:rsidR="0018059D" w:rsidRPr="003C1B12">
        <w:rPr>
          <w:rFonts w:ascii="Times New Roman" w:hAnsi="Times New Roman" w:cs="Times New Roman"/>
          <w:sz w:val="24"/>
        </w:rPr>
        <w:t>īb</w:t>
      </w:r>
      <w:r w:rsidR="00314B75" w:rsidRPr="003C1B12">
        <w:rPr>
          <w:rFonts w:ascii="Times New Roman" w:hAnsi="Times New Roman" w:cs="Times New Roman"/>
          <w:sz w:val="24"/>
        </w:rPr>
        <w:t xml:space="preserve">ā </w:t>
      </w:r>
      <w:r w:rsidR="0018059D" w:rsidRPr="003C1B12">
        <w:rPr>
          <w:rFonts w:ascii="Times New Roman" w:hAnsi="Times New Roman" w:cs="Times New Roman"/>
          <w:sz w:val="24"/>
        </w:rPr>
        <w:t xml:space="preserve">esošo </w:t>
      </w:r>
      <w:r w:rsidR="00314B75" w:rsidRPr="003C1B12">
        <w:rPr>
          <w:rFonts w:ascii="Times New Roman" w:hAnsi="Times New Roman" w:cs="Times New Roman"/>
          <w:sz w:val="24"/>
        </w:rPr>
        <w:t xml:space="preserve">pētniecības un eksperimentālās ražošanas </w:t>
      </w:r>
      <w:r w:rsidR="0018059D" w:rsidRPr="003C1B12">
        <w:rPr>
          <w:rFonts w:ascii="Times New Roman" w:hAnsi="Times New Roman" w:cs="Times New Roman"/>
          <w:sz w:val="24"/>
        </w:rPr>
        <w:t>infrastruktūru</w:t>
      </w:r>
      <w:r w:rsidR="00314B75" w:rsidRPr="003C1B12">
        <w:rPr>
          <w:rFonts w:ascii="Times New Roman" w:hAnsi="Times New Roman" w:cs="Times New Roman"/>
          <w:sz w:val="24"/>
        </w:rPr>
        <w:t xml:space="preserve">, jo </w:t>
      </w:r>
      <w:r w:rsidR="007B5BD9" w:rsidRPr="003C1B12">
        <w:rPr>
          <w:rFonts w:ascii="Times New Roman" w:hAnsi="Times New Roman" w:cs="Times New Roman"/>
          <w:sz w:val="24"/>
        </w:rPr>
        <w:t>KC</w:t>
      </w:r>
      <w:r w:rsidR="00314B75" w:rsidRPr="003C1B12">
        <w:rPr>
          <w:rFonts w:ascii="Times New Roman" w:hAnsi="Times New Roman" w:cs="Times New Roman"/>
          <w:sz w:val="24"/>
        </w:rPr>
        <w:t xml:space="preserve"> izveides procesā nebija identificēta pietiekam</w:t>
      </w:r>
      <w:r w:rsidR="00F0176E" w:rsidRPr="003C1B12">
        <w:rPr>
          <w:rFonts w:ascii="Times New Roman" w:hAnsi="Times New Roman" w:cs="Times New Roman"/>
          <w:sz w:val="24"/>
        </w:rPr>
        <w:t>a</w:t>
      </w:r>
      <w:r w:rsidR="00314B75" w:rsidRPr="003C1B12">
        <w:rPr>
          <w:rFonts w:ascii="Times New Roman" w:hAnsi="Times New Roman" w:cs="Times New Roman"/>
          <w:sz w:val="24"/>
        </w:rPr>
        <w:t xml:space="preserve"> kritiskā masa un pieprasījums, lai būtu ekonomiski pamatoti veidot</w:t>
      </w:r>
      <w:r w:rsidR="00914087" w:rsidRPr="003C1B12">
        <w:rPr>
          <w:rFonts w:ascii="Times New Roman" w:hAnsi="Times New Roman" w:cs="Times New Roman"/>
          <w:sz w:val="24"/>
        </w:rPr>
        <w:t xml:space="preserve"> pašiem savu</w:t>
      </w:r>
      <w:r w:rsidR="00314B75" w:rsidRPr="003C1B12">
        <w:rPr>
          <w:rFonts w:ascii="Times New Roman" w:hAnsi="Times New Roman" w:cs="Times New Roman"/>
          <w:sz w:val="24"/>
        </w:rPr>
        <w:t>.</w:t>
      </w:r>
      <w:r w:rsidR="00FE40AB" w:rsidRPr="003C1B12">
        <w:rPr>
          <w:rFonts w:ascii="Times New Roman" w:hAnsi="Times New Roman" w:cs="Times New Roman"/>
          <w:sz w:val="24"/>
        </w:rPr>
        <w:t xml:space="preserve"> Tajā pašā laikā </w:t>
      </w:r>
      <w:r w:rsidR="00FE40AB" w:rsidRPr="003C1B12">
        <w:rPr>
          <w:rFonts w:ascii="Times New Roman" w:hAnsi="Times New Roman" w:cs="Times New Roman"/>
          <w:bCs/>
          <w:sz w:val="24"/>
          <w:szCs w:val="24"/>
        </w:rPr>
        <w:t xml:space="preserve">viedās specializācijas stratēģijas 2014.gadā notikušo publisko diskusiju ietvaros </w:t>
      </w:r>
      <w:r w:rsidR="00FE40AB" w:rsidRPr="003C1B12">
        <w:rPr>
          <w:rFonts w:ascii="Times New Roman" w:hAnsi="Times New Roman" w:cs="Times New Roman"/>
          <w:sz w:val="24"/>
          <w:szCs w:val="24"/>
        </w:rPr>
        <w:t>v</w:t>
      </w:r>
      <w:r w:rsidR="00FE40AB" w:rsidRPr="003C1B12">
        <w:rPr>
          <w:rFonts w:ascii="Times New Roman" w:hAnsi="Times New Roman"/>
          <w:sz w:val="24"/>
          <w:szCs w:val="24"/>
        </w:rPr>
        <w:t xml:space="preserve">airāku nozaru pārstāvji uzsvēra pētniecības, produktu izstrādes un </w:t>
      </w:r>
      <w:r w:rsidR="00D735A6" w:rsidRPr="003C1B12">
        <w:rPr>
          <w:rFonts w:ascii="Times New Roman" w:hAnsi="Times New Roman"/>
          <w:sz w:val="24"/>
          <w:szCs w:val="24"/>
        </w:rPr>
        <w:t>eksperimentālās</w:t>
      </w:r>
      <w:r w:rsidR="00FE40AB" w:rsidRPr="003C1B12">
        <w:rPr>
          <w:rFonts w:ascii="Times New Roman" w:hAnsi="Times New Roman"/>
          <w:sz w:val="24"/>
          <w:szCs w:val="24"/>
        </w:rPr>
        <w:t xml:space="preserve"> ražošanas infrastruktūras trūkumu kā šķērsli inovācijas attīstībai. Dažādas nozares norāda uz atšķirīgām infrastruktūras attīstības vajadzībām (piemērotas industriālās teritorijas, koplietošanas laboratorijas pētniecībai, mērogošanai vai testēšanai), bet</w:t>
      </w:r>
      <w:r w:rsidR="00FE40AB" w:rsidRPr="003C1B12">
        <w:rPr>
          <w:rStyle w:val="FootnoteReference"/>
          <w:rFonts w:ascii="Times New Roman" w:hAnsi="Times New Roman"/>
          <w:sz w:val="24"/>
          <w:szCs w:val="24"/>
        </w:rPr>
        <w:t xml:space="preserve"> </w:t>
      </w:r>
      <w:r w:rsidR="00FE40AB" w:rsidRPr="003C1B12">
        <w:rPr>
          <w:rFonts w:ascii="Times New Roman" w:hAnsi="Times New Roman"/>
          <w:sz w:val="24"/>
          <w:szCs w:val="24"/>
        </w:rPr>
        <w:t>atzina, ka īpaši šāda koplietošanas infrastruktūra nepieciešama maziem un vidējiem uzņēmumiem, kuri katrs atsevišķi nevar šādu infrastruktūru noslogot.</w:t>
      </w:r>
      <w:r w:rsidR="00FE40AB" w:rsidRPr="003C1B12">
        <w:rPr>
          <w:rStyle w:val="FootnoteReference"/>
          <w:rFonts w:ascii="Times New Roman" w:hAnsi="Times New Roman"/>
          <w:sz w:val="24"/>
          <w:szCs w:val="24"/>
        </w:rPr>
        <w:footnoteReference w:id="10"/>
      </w:r>
      <w:r w:rsidR="00FE40AB" w:rsidRPr="003C1B12">
        <w:rPr>
          <w:rFonts w:ascii="Times New Roman" w:hAnsi="Times New Roman"/>
          <w:sz w:val="24"/>
          <w:szCs w:val="24"/>
        </w:rPr>
        <w:t xml:space="preserve"> </w:t>
      </w:r>
      <w:r w:rsidR="003234A2" w:rsidRPr="003C1B12">
        <w:rPr>
          <w:rFonts w:ascii="Times New Roman" w:hAnsi="Times New Roman"/>
          <w:sz w:val="24"/>
          <w:szCs w:val="24"/>
        </w:rPr>
        <w:t>Balstoties</w:t>
      </w:r>
      <w:r w:rsidR="00FE40AB" w:rsidRPr="003C1B12">
        <w:rPr>
          <w:rFonts w:ascii="Times New Roman" w:hAnsi="Times New Roman"/>
          <w:sz w:val="24"/>
          <w:szCs w:val="24"/>
        </w:rPr>
        <w:t xml:space="preserve"> </w:t>
      </w:r>
      <w:r w:rsidR="00B53010" w:rsidRPr="003C1B12">
        <w:rPr>
          <w:rFonts w:ascii="Times New Roman" w:hAnsi="Times New Roman"/>
          <w:sz w:val="24"/>
          <w:szCs w:val="24"/>
        </w:rPr>
        <w:t xml:space="preserve">uz </w:t>
      </w:r>
      <w:r w:rsidR="00FE40AB" w:rsidRPr="003C1B12">
        <w:rPr>
          <w:rFonts w:ascii="Times New Roman" w:hAnsi="Times New Roman"/>
          <w:sz w:val="24"/>
          <w:szCs w:val="24"/>
        </w:rPr>
        <w:t>e</w:t>
      </w:r>
      <w:r w:rsidR="003234A2" w:rsidRPr="003C1B12">
        <w:rPr>
          <w:rFonts w:ascii="Times New Roman" w:hAnsi="Times New Roman"/>
          <w:sz w:val="24"/>
          <w:szCs w:val="24"/>
        </w:rPr>
        <w:t>so</w:t>
      </w:r>
      <w:r w:rsidR="00FE40AB" w:rsidRPr="003C1B12">
        <w:rPr>
          <w:rFonts w:ascii="Times New Roman" w:hAnsi="Times New Roman"/>
          <w:sz w:val="24"/>
          <w:szCs w:val="24"/>
        </w:rPr>
        <w:t xml:space="preserve">šo pieredzi un identificētās </w:t>
      </w:r>
      <w:r w:rsidR="003234A2" w:rsidRPr="003C1B12">
        <w:rPr>
          <w:rFonts w:ascii="Times New Roman" w:hAnsi="Times New Roman"/>
          <w:sz w:val="24"/>
          <w:szCs w:val="24"/>
        </w:rPr>
        <w:t xml:space="preserve">nozaru attīstības </w:t>
      </w:r>
      <w:r w:rsidR="00FE40AB" w:rsidRPr="003C1B12">
        <w:rPr>
          <w:rFonts w:ascii="Times New Roman" w:hAnsi="Times New Roman"/>
          <w:sz w:val="24"/>
          <w:szCs w:val="24"/>
        </w:rPr>
        <w:t>vajadzības</w:t>
      </w:r>
      <w:r w:rsidR="003234A2" w:rsidRPr="003C1B12">
        <w:rPr>
          <w:rFonts w:ascii="Times New Roman" w:hAnsi="Times New Roman"/>
          <w:sz w:val="24"/>
          <w:szCs w:val="24"/>
        </w:rPr>
        <w:t>,</w:t>
      </w:r>
      <w:r w:rsidR="00FE40AB" w:rsidRPr="003C1B12">
        <w:rPr>
          <w:rFonts w:ascii="Times New Roman" w:hAnsi="Times New Roman"/>
          <w:sz w:val="24"/>
          <w:szCs w:val="24"/>
        </w:rPr>
        <w:t xml:space="preserve"> pilnveidojot a</w:t>
      </w:r>
      <w:r w:rsidR="003234A2" w:rsidRPr="003C1B12">
        <w:rPr>
          <w:rFonts w:ascii="Times New Roman" w:hAnsi="Times New Roman"/>
          <w:sz w:val="24"/>
          <w:szCs w:val="24"/>
        </w:rPr>
        <w:t>tba</w:t>
      </w:r>
      <w:r w:rsidR="00FE40AB" w:rsidRPr="003C1B12">
        <w:rPr>
          <w:rFonts w:ascii="Times New Roman" w:hAnsi="Times New Roman"/>
          <w:sz w:val="24"/>
          <w:szCs w:val="24"/>
        </w:rPr>
        <w:t>lstu p</w:t>
      </w:r>
      <w:r w:rsidR="003234A2" w:rsidRPr="003C1B12">
        <w:rPr>
          <w:rFonts w:ascii="Times New Roman" w:hAnsi="Times New Roman"/>
          <w:sz w:val="24"/>
          <w:szCs w:val="24"/>
        </w:rPr>
        <w:t>ē</w:t>
      </w:r>
      <w:r w:rsidR="00FE40AB" w:rsidRPr="003C1B12">
        <w:rPr>
          <w:rFonts w:ascii="Times New Roman" w:hAnsi="Times New Roman"/>
          <w:sz w:val="24"/>
          <w:szCs w:val="24"/>
        </w:rPr>
        <w:t>tn</w:t>
      </w:r>
      <w:r w:rsidR="003234A2" w:rsidRPr="003C1B12">
        <w:rPr>
          <w:rFonts w:ascii="Times New Roman" w:hAnsi="Times New Roman"/>
          <w:sz w:val="24"/>
          <w:szCs w:val="24"/>
        </w:rPr>
        <w:t>ie</w:t>
      </w:r>
      <w:r w:rsidR="00FE40AB" w:rsidRPr="003C1B12">
        <w:rPr>
          <w:rFonts w:ascii="Times New Roman" w:hAnsi="Times New Roman"/>
          <w:sz w:val="24"/>
          <w:szCs w:val="24"/>
        </w:rPr>
        <w:t>cībai</w:t>
      </w:r>
      <w:r w:rsidR="003234A2" w:rsidRPr="003C1B12">
        <w:rPr>
          <w:rFonts w:ascii="Times New Roman" w:hAnsi="Times New Roman"/>
          <w:sz w:val="24"/>
          <w:szCs w:val="24"/>
        </w:rPr>
        <w:t xml:space="preserve">, nepieciešams paredzēt atsevišķa atbalsta </w:t>
      </w:r>
      <w:r w:rsidR="003234A2" w:rsidRPr="003C1B12">
        <w:rPr>
          <w:rFonts w:ascii="Times New Roman" w:hAnsi="Times New Roman"/>
          <w:sz w:val="24"/>
          <w:szCs w:val="24"/>
        </w:rPr>
        <w:lastRenderedPageBreak/>
        <w:t xml:space="preserve">pasākuma izstrādi un īstenošanu </w:t>
      </w:r>
      <w:r w:rsidR="003234A2" w:rsidRPr="003C1B12">
        <w:rPr>
          <w:rFonts w:ascii="Times New Roman" w:eastAsia="Times New Roman" w:hAnsi="Times New Roman" w:cs="Times New Roman"/>
          <w:color w:val="000000" w:themeColor="dark1"/>
          <w:kern w:val="24"/>
          <w:sz w:val="24"/>
          <w:szCs w:val="24"/>
          <w:lang w:eastAsia="lv-LV"/>
        </w:rPr>
        <w:t>pētniecībai un produktu izstrādei nepieciešamās infrastruktūras izveidei.</w:t>
      </w:r>
    </w:p>
    <w:p w:rsidR="00333FFC" w:rsidRPr="003C1B12" w:rsidRDefault="001C5765" w:rsidP="003234A2">
      <w:pPr>
        <w:spacing w:after="0" w:line="240" w:lineRule="auto"/>
        <w:ind w:firstLine="720"/>
        <w:jc w:val="both"/>
        <w:rPr>
          <w:rFonts w:ascii="Times New Roman" w:hAnsi="Times New Roman" w:cs="Times New Roman"/>
          <w:sz w:val="24"/>
        </w:rPr>
      </w:pPr>
      <w:r w:rsidRPr="003C1B12">
        <w:rPr>
          <w:rFonts w:ascii="Times New Roman" w:eastAsia="Calibri" w:hAnsi="Times New Roman" w:cs="Times New Roman"/>
          <w:sz w:val="24"/>
          <w:szCs w:val="24"/>
        </w:rPr>
        <w:t xml:space="preserve">Ņemot vērā iepriekš minēto, jāuzsver, ka </w:t>
      </w:r>
      <w:r w:rsidR="007B5BD9" w:rsidRPr="003C1B12">
        <w:rPr>
          <w:rFonts w:ascii="Times New Roman" w:eastAsia="Calibri" w:hAnsi="Times New Roman" w:cs="Times New Roman"/>
          <w:sz w:val="24"/>
          <w:szCs w:val="24"/>
        </w:rPr>
        <w:t>KC</w:t>
      </w:r>
      <w:r w:rsidR="003B18FF" w:rsidRPr="003C1B12">
        <w:rPr>
          <w:rFonts w:ascii="Times New Roman" w:eastAsia="Calibri" w:hAnsi="Times New Roman" w:cs="Times New Roman"/>
          <w:sz w:val="24"/>
          <w:szCs w:val="24"/>
        </w:rPr>
        <w:t xml:space="preserve"> savā būtībā nav zinātnisks </w:t>
      </w:r>
      <w:r w:rsidRPr="003C1B12">
        <w:rPr>
          <w:rFonts w:ascii="Times New Roman" w:eastAsia="Calibri" w:hAnsi="Times New Roman" w:cs="Times New Roman"/>
          <w:sz w:val="24"/>
          <w:szCs w:val="24"/>
        </w:rPr>
        <w:t>institūts, bet komersantu un zinātnieku sadarbības platformas, kuru ietvaros tiek sniegts atbalsts nozaru komersantu rosināt</w:t>
      </w:r>
      <w:r w:rsidR="00EC2B0D" w:rsidRPr="003C1B12">
        <w:rPr>
          <w:rFonts w:ascii="Times New Roman" w:eastAsia="Calibri" w:hAnsi="Times New Roman" w:cs="Times New Roman"/>
          <w:sz w:val="24"/>
          <w:szCs w:val="24"/>
        </w:rPr>
        <w:t>u</w:t>
      </w:r>
      <w:r w:rsidRPr="003C1B12">
        <w:rPr>
          <w:rFonts w:ascii="Times New Roman" w:eastAsia="Calibri" w:hAnsi="Times New Roman" w:cs="Times New Roman"/>
          <w:sz w:val="24"/>
          <w:szCs w:val="24"/>
        </w:rPr>
        <w:t xml:space="preserve"> pētījumu programmu īstenošanai. </w:t>
      </w:r>
      <w:r w:rsidR="0018059D" w:rsidRPr="003C1B12">
        <w:rPr>
          <w:rFonts w:ascii="Times New Roman" w:hAnsi="Times New Roman" w:cs="Times New Roman"/>
          <w:sz w:val="24"/>
        </w:rPr>
        <w:t xml:space="preserve">Pilnveidojot programmu </w:t>
      </w:r>
      <w:r w:rsidR="007B5BD9" w:rsidRPr="003C1B12">
        <w:rPr>
          <w:rFonts w:ascii="Times New Roman" w:hAnsi="Times New Roman" w:cs="Times New Roman"/>
          <w:sz w:val="24"/>
        </w:rPr>
        <w:t>KC</w:t>
      </w:r>
      <w:r w:rsidR="0018059D" w:rsidRPr="003C1B12">
        <w:rPr>
          <w:rFonts w:ascii="Times New Roman" w:hAnsi="Times New Roman" w:cs="Times New Roman"/>
          <w:sz w:val="24"/>
        </w:rPr>
        <w:t xml:space="preserve"> būtu jā</w:t>
      </w:r>
      <w:r w:rsidRPr="003C1B12">
        <w:rPr>
          <w:rFonts w:ascii="Times New Roman" w:hAnsi="Times New Roman" w:cs="Times New Roman"/>
          <w:sz w:val="24"/>
        </w:rPr>
        <w:t>turpina attīstīt</w:t>
      </w:r>
      <w:r w:rsidR="0018059D" w:rsidRPr="003C1B12">
        <w:rPr>
          <w:rFonts w:ascii="Times New Roman" w:hAnsi="Times New Roman" w:cs="Times New Roman"/>
          <w:sz w:val="24"/>
        </w:rPr>
        <w:t xml:space="preserve"> kā </w:t>
      </w:r>
      <w:r w:rsidR="00791522" w:rsidRPr="003C1B12">
        <w:rPr>
          <w:rFonts w:ascii="Times New Roman" w:hAnsi="Times New Roman" w:cs="Times New Roman"/>
          <w:bCs/>
          <w:sz w:val="24"/>
        </w:rPr>
        <w:t>sadarbības platform</w:t>
      </w:r>
      <w:r w:rsidRPr="003C1B12">
        <w:rPr>
          <w:rFonts w:ascii="Times New Roman" w:hAnsi="Times New Roman" w:cs="Times New Roman"/>
          <w:bCs/>
          <w:sz w:val="24"/>
        </w:rPr>
        <w:t>u</w:t>
      </w:r>
      <w:r w:rsidR="00791522" w:rsidRPr="003C1B12">
        <w:rPr>
          <w:rFonts w:ascii="Times New Roman" w:hAnsi="Times New Roman" w:cs="Times New Roman"/>
          <w:bCs/>
          <w:sz w:val="24"/>
        </w:rPr>
        <w:t xml:space="preserve"> un ekspertu paneli</w:t>
      </w:r>
      <w:r w:rsidR="00675138" w:rsidRPr="003C1B12">
        <w:rPr>
          <w:rFonts w:ascii="Times New Roman" w:hAnsi="Times New Roman" w:cs="Times New Roman"/>
          <w:bCs/>
          <w:sz w:val="24"/>
        </w:rPr>
        <w:t xml:space="preserve"> jeb inovācijas kopu</w:t>
      </w:r>
      <w:r w:rsidR="0018059D" w:rsidRPr="003C1B12">
        <w:rPr>
          <w:rFonts w:ascii="Times New Roman" w:hAnsi="Times New Roman" w:cs="Times New Roman"/>
          <w:bCs/>
          <w:sz w:val="24"/>
        </w:rPr>
        <w:t>,</w:t>
      </w:r>
      <w:r w:rsidR="00791522" w:rsidRPr="003C1B12">
        <w:rPr>
          <w:rFonts w:ascii="Times New Roman" w:hAnsi="Times New Roman" w:cs="Times New Roman"/>
          <w:sz w:val="24"/>
        </w:rPr>
        <w:t xml:space="preserve"> </w:t>
      </w:r>
      <w:r w:rsidR="0018059D" w:rsidRPr="003C1B12">
        <w:rPr>
          <w:rFonts w:ascii="Times New Roman" w:hAnsi="Times New Roman" w:cs="Times New Roman"/>
          <w:sz w:val="24"/>
        </w:rPr>
        <w:t xml:space="preserve">neizvirzot obligātas prasības pašam </w:t>
      </w:r>
      <w:r w:rsidR="007B5BD9" w:rsidRPr="003C1B12">
        <w:rPr>
          <w:rFonts w:ascii="Times New Roman" w:hAnsi="Times New Roman" w:cs="Times New Roman"/>
          <w:sz w:val="24"/>
        </w:rPr>
        <w:t>KC</w:t>
      </w:r>
      <w:r w:rsidR="0018059D" w:rsidRPr="003C1B12">
        <w:rPr>
          <w:rFonts w:ascii="Times New Roman" w:hAnsi="Times New Roman" w:cs="Times New Roman"/>
          <w:sz w:val="24"/>
        </w:rPr>
        <w:t xml:space="preserve"> īstenot pētniecības </w:t>
      </w:r>
      <w:r w:rsidR="00914087" w:rsidRPr="003C1B12">
        <w:rPr>
          <w:rFonts w:ascii="Times New Roman" w:hAnsi="Times New Roman" w:cs="Times New Roman"/>
          <w:sz w:val="24"/>
        </w:rPr>
        <w:t>darbības</w:t>
      </w:r>
      <w:r w:rsidR="0018059D" w:rsidRPr="003C1B12">
        <w:rPr>
          <w:rFonts w:ascii="Times New Roman" w:hAnsi="Times New Roman" w:cs="Times New Roman"/>
          <w:sz w:val="24"/>
        </w:rPr>
        <w:t xml:space="preserve">. </w:t>
      </w:r>
      <w:r w:rsidR="00C2598D" w:rsidRPr="003C1B12">
        <w:rPr>
          <w:rFonts w:ascii="Times New Roman" w:hAnsi="Times New Roman" w:cs="Times New Roman"/>
          <w:sz w:val="24"/>
        </w:rPr>
        <w:t xml:space="preserve">Vienlaicīgi būtu jāstiprina </w:t>
      </w:r>
      <w:r w:rsidR="007B5BD9" w:rsidRPr="003C1B12">
        <w:rPr>
          <w:rFonts w:ascii="Times New Roman" w:hAnsi="Times New Roman" w:cs="Times New Roman"/>
          <w:sz w:val="24"/>
        </w:rPr>
        <w:t>KC</w:t>
      </w:r>
      <w:r w:rsidR="00C2598D" w:rsidRPr="003C1B12">
        <w:rPr>
          <w:rFonts w:ascii="Times New Roman" w:hAnsi="Times New Roman" w:cs="Times New Roman"/>
          <w:sz w:val="24"/>
        </w:rPr>
        <w:t xml:space="preserve"> kapacitāte projektu atlasē un uzraudzīb</w:t>
      </w:r>
      <w:r w:rsidRPr="003C1B12">
        <w:rPr>
          <w:rFonts w:ascii="Times New Roman" w:hAnsi="Times New Roman" w:cs="Times New Roman"/>
          <w:sz w:val="24"/>
        </w:rPr>
        <w:t>ā</w:t>
      </w:r>
      <w:r w:rsidR="00C2598D" w:rsidRPr="003C1B12">
        <w:rPr>
          <w:rFonts w:ascii="Times New Roman" w:hAnsi="Times New Roman" w:cs="Times New Roman"/>
          <w:sz w:val="24"/>
        </w:rPr>
        <w:t xml:space="preserve">, pētniecības rezultātu popularizēšanā, kā arī komersantu  iesaistei starptautiskās pētniecības programmās, piemēram </w:t>
      </w:r>
      <w:r w:rsidR="00B14BBF" w:rsidRPr="003C1B12">
        <w:rPr>
          <w:rFonts w:ascii="Times New Roman" w:hAnsi="Times New Roman" w:cs="Times New Roman"/>
          <w:sz w:val="24"/>
        </w:rPr>
        <w:t>A</w:t>
      </w:r>
      <w:r w:rsidR="000B071A" w:rsidRPr="003C1B12">
        <w:rPr>
          <w:rFonts w:ascii="Times New Roman" w:hAnsi="Times New Roman" w:cs="Times New Roman"/>
          <w:sz w:val="24"/>
        </w:rPr>
        <w:t>p</w:t>
      </w:r>
      <w:r w:rsidR="00B14BBF" w:rsidRPr="003C1B12">
        <w:rPr>
          <w:rFonts w:ascii="Times New Roman" w:hAnsi="Times New Roman" w:cs="Times New Roman"/>
          <w:sz w:val="24"/>
        </w:rPr>
        <w:t>vārsnis</w:t>
      </w:r>
      <w:r w:rsidR="003B18FF" w:rsidRPr="003C1B12">
        <w:rPr>
          <w:rFonts w:ascii="Times New Roman" w:hAnsi="Times New Roman" w:cs="Times New Roman"/>
          <w:sz w:val="24"/>
        </w:rPr>
        <w:t xml:space="preserve"> 2020, BJR Bonus, </w:t>
      </w:r>
      <w:r w:rsidR="00C2598D" w:rsidRPr="003C1B12">
        <w:rPr>
          <w:rFonts w:ascii="Times New Roman" w:hAnsi="Times New Roman" w:cs="Times New Roman"/>
          <w:sz w:val="24"/>
        </w:rPr>
        <w:t>Eurostar.</w:t>
      </w:r>
    </w:p>
    <w:p w:rsidR="00380216" w:rsidRPr="003C1B12" w:rsidRDefault="00380216" w:rsidP="00380216">
      <w:pPr>
        <w:spacing w:after="0" w:line="240" w:lineRule="auto"/>
        <w:ind w:firstLine="720"/>
        <w:jc w:val="both"/>
        <w:rPr>
          <w:rFonts w:ascii="Times New Roman" w:hAnsi="Times New Roman" w:cs="Times New Roman"/>
          <w:sz w:val="24"/>
        </w:rPr>
      </w:pPr>
    </w:p>
    <w:p w:rsidR="00A37D33" w:rsidRPr="003C1B12" w:rsidRDefault="00A37D33" w:rsidP="00A37D33">
      <w:pPr>
        <w:pStyle w:val="Heading2"/>
        <w:spacing w:before="0" w:after="120"/>
        <w:rPr>
          <w:rFonts w:ascii="Times New Roman" w:hAnsi="Times New Roman" w:cs="Times New Roman"/>
          <w:color w:val="31849B" w:themeColor="accent5" w:themeShade="BF"/>
          <w:sz w:val="24"/>
        </w:rPr>
      </w:pPr>
      <w:bookmarkStart w:id="24" w:name="_Toc427646471"/>
      <w:bookmarkStart w:id="25" w:name="_Toc427646557"/>
      <w:r w:rsidRPr="003C1B12">
        <w:rPr>
          <w:rFonts w:ascii="Times New Roman" w:hAnsi="Times New Roman" w:cs="Times New Roman"/>
          <w:color w:val="31849B" w:themeColor="accent5" w:themeShade="BF"/>
          <w:sz w:val="24"/>
        </w:rPr>
        <w:t>2.</w:t>
      </w:r>
      <w:r w:rsidR="00285DBF" w:rsidRPr="003C1B12">
        <w:rPr>
          <w:rFonts w:ascii="Times New Roman" w:hAnsi="Times New Roman" w:cs="Times New Roman"/>
          <w:color w:val="31849B" w:themeColor="accent5" w:themeShade="BF"/>
          <w:sz w:val="24"/>
        </w:rPr>
        <w:t>2</w:t>
      </w:r>
      <w:r w:rsidRPr="003C1B12">
        <w:rPr>
          <w:rFonts w:ascii="Times New Roman" w:hAnsi="Times New Roman" w:cs="Times New Roman"/>
          <w:color w:val="31849B" w:themeColor="accent5" w:themeShade="BF"/>
          <w:sz w:val="24"/>
        </w:rPr>
        <w:t>.</w:t>
      </w:r>
      <w:r w:rsidR="00672DC2" w:rsidRPr="003C1B12">
        <w:rPr>
          <w:rFonts w:ascii="Times New Roman" w:hAnsi="Times New Roman" w:cs="Times New Roman"/>
          <w:color w:val="31849B" w:themeColor="accent5" w:themeShade="BF"/>
          <w:sz w:val="24"/>
        </w:rPr>
        <w:t>2</w:t>
      </w:r>
      <w:r w:rsidRPr="003C1B12">
        <w:rPr>
          <w:rFonts w:ascii="Times New Roman" w:hAnsi="Times New Roman" w:cs="Times New Roman"/>
          <w:color w:val="31849B" w:themeColor="accent5" w:themeShade="BF"/>
          <w:sz w:val="24"/>
        </w:rPr>
        <w:t>. Komersantu un zinātnisko institūciju sadarbība</w:t>
      </w:r>
      <w:bookmarkEnd w:id="24"/>
      <w:bookmarkEnd w:id="25"/>
      <w:r w:rsidRPr="003C1B12">
        <w:rPr>
          <w:rFonts w:ascii="Times New Roman" w:hAnsi="Times New Roman" w:cs="Times New Roman"/>
          <w:color w:val="31849B" w:themeColor="accent5" w:themeShade="BF"/>
          <w:sz w:val="24"/>
        </w:rPr>
        <w:t xml:space="preserve"> </w:t>
      </w:r>
    </w:p>
    <w:p w:rsidR="00630D3D" w:rsidRPr="003C1B12" w:rsidRDefault="00A37D33" w:rsidP="003B18FF">
      <w:pPr>
        <w:spacing w:after="0" w:line="240" w:lineRule="auto"/>
        <w:ind w:firstLine="720"/>
        <w:jc w:val="both"/>
        <w:rPr>
          <w:rFonts w:ascii="Times New Roman" w:eastAsia="Calibri" w:hAnsi="Times New Roman" w:cs="Times New Roman"/>
          <w:sz w:val="24"/>
          <w:szCs w:val="24"/>
        </w:rPr>
      </w:pPr>
      <w:r w:rsidRPr="003C1B12">
        <w:rPr>
          <w:rFonts w:ascii="Times New Roman" w:eastAsia="Calibri" w:hAnsi="Times New Roman" w:cs="Times New Roman"/>
          <w:sz w:val="24"/>
          <w:szCs w:val="24"/>
        </w:rPr>
        <w:t>Sadarbību raksturojošie re</w:t>
      </w:r>
      <w:r w:rsidR="00672DC2" w:rsidRPr="003C1B12">
        <w:rPr>
          <w:rFonts w:ascii="Times New Roman" w:eastAsia="Calibri" w:hAnsi="Times New Roman" w:cs="Times New Roman"/>
          <w:sz w:val="24"/>
          <w:szCs w:val="24"/>
        </w:rPr>
        <w:t>zu</w:t>
      </w:r>
      <w:r w:rsidRPr="003C1B12">
        <w:rPr>
          <w:rFonts w:ascii="Times New Roman" w:eastAsia="Calibri" w:hAnsi="Times New Roman" w:cs="Times New Roman"/>
          <w:sz w:val="24"/>
          <w:szCs w:val="24"/>
        </w:rPr>
        <w:t>lt</w:t>
      </w:r>
      <w:r w:rsidR="00672DC2" w:rsidRPr="003C1B12">
        <w:rPr>
          <w:rFonts w:ascii="Times New Roman" w:eastAsia="Calibri" w:hAnsi="Times New Roman" w:cs="Times New Roman"/>
          <w:sz w:val="24"/>
          <w:szCs w:val="24"/>
        </w:rPr>
        <w:t>atī</w:t>
      </w:r>
      <w:r w:rsidRPr="003C1B12">
        <w:rPr>
          <w:rFonts w:ascii="Times New Roman" w:eastAsia="Calibri" w:hAnsi="Times New Roman" w:cs="Times New Roman"/>
          <w:sz w:val="24"/>
          <w:szCs w:val="24"/>
        </w:rPr>
        <w:t>vie rā</w:t>
      </w:r>
      <w:r w:rsidR="00672DC2" w:rsidRPr="003C1B12">
        <w:rPr>
          <w:rFonts w:ascii="Times New Roman" w:eastAsia="Calibri" w:hAnsi="Times New Roman" w:cs="Times New Roman"/>
          <w:sz w:val="24"/>
          <w:szCs w:val="24"/>
        </w:rPr>
        <w:t>dī</w:t>
      </w:r>
      <w:r w:rsidRPr="003C1B12">
        <w:rPr>
          <w:rFonts w:ascii="Times New Roman" w:eastAsia="Calibri" w:hAnsi="Times New Roman" w:cs="Times New Roman"/>
          <w:sz w:val="24"/>
          <w:szCs w:val="24"/>
        </w:rPr>
        <w:t>tāji progr</w:t>
      </w:r>
      <w:r w:rsidR="00672DC2" w:rsidRPr="003C1B12">
        <w:rPr>
          <w:rFonts w:ascii="Times New Roman" w:eastAsia="Calibri" w:hAnsi="Times New Roman" w:cs="Times New Roman"/>
          <w:sz w:val="24"/>
          <w:szCs w:val="24"/>
        </w:rPr>
        <w:t>am</w:t>
      </w:r>
      <w:r w:rsidRPr="003C1B12">
        <w:rPr>
          <w:rFonts w:ascii="Times New Roman" w:eastAsia="Calibri" w:hAnsi="Times New Roman" w:cs="Times New Roman"/>
          <w:sz w:val="24"/>
          <w:szCs w:val="24"/>
        </w:rPr>
        <w:t>mā</w:t>
      </w:r>
      <w:r w:rsidR="00672DC2" w:rsidRPr="003C1B12">
        <w:rPr>
          <w:rFonts w:ascii="Times New Roman" w:eastAsia="Calibri" w:hAnsi="Times New Roman" w:cs="Times New Roman"/>
          <w:sz w:val="24"/>
          <w:szCs w:val="24"/>
        </w:rPr>
        <w:t>, kas sasniegti līdz 2014.gada beigām jau</w:t>
      </w:r>
      <w:r w:rsidRPr="003C1B12">
        <w:rPr>
          <w:rFonts w:ascii="Times New Roman" w:eastAsia="Calibri" w:hAnsi="Times New Roman" w:cs="Times New Roman"/>
          <w:sz w:val="24"/>
          <w:szCs w:val="24"/>
        </w:rPr>
        <w:t xml:space="preserve"> p</w:t>
      </w:r>
      <w:r w:rsidR="00672DC2" w:rsidRPr="003C1B12">
        <w:rPr>
          <w:rFonts w:ascii="Times New Roman" w:eastAsia="Calibri" w:hAnsi="Times New Roman" w:cs="Times New Roman"/>
          <w:sz w:val="24"/>
          <w:szCs w:val="24"/>
        </w:rPr>
        <w:t>ār</w:t>
      </w:r>
      <w:r w:rsidRPr="003C1B12">
        <w:rPr>
          <w:rFonts w:ascii="Times New Roman" w:eastAsia="Calibri" w:hAnsi="Times New Roman" w:cs="Times New Roman"/>
          <w:sz w:val="24"/>
          <w:szCs w:val="24"/>
        </w:rPr>
        <w:t>sniedz s</w:t>
      </w:r>
      <w:r w:rsidR="00672DC2" w:rsidRPr="003C1B12">
        <w:rPr>
          <w:rFonts w:ascii="Times New Roman" w:eastAsia="Calibri" w:hAnsi="Times New Roman" w:cs="Times New Roman"/>
          <w:sz w:val="24"/>
          <w:szCs w:val="24"/>
        </w:rPr>
        <w:t>ā</w:t>
      </w:r>
      <w:r w:rsidRPr="003C1B12">
        <w:rPr>
          <w:rFonts w:ascii="Times New Roman" w:eastAsia="Calibri" w:hAnsi="Times New Roman" w:cs="Times New Roman"/>
          <w:sz w:val="24"/>
          <w:szCs w:val="24"/>
        </w:rPr>
        <w:t>kotnēji plānotos</w:t>
      </w:r>
      <w:r w:rsidR="00672DC2" w:rsidRPr="003C1B12">
        <w:rPr>
          <w:rFonts w:ascii="Times New Roman" w:eastAsia="Calibri" w:hAnsi="Times New Roman" w:cs="Times New Roman"/>
          <w:sz w:val="24"/>
          <w:szCs w:val="24"/>
        </w:rPr>
        <w:t xml:space="preserve"> un </w:t>
      </w:r>
      <w:r w:rsidR="004232E5" w:rsidRPr="003C1B12">
        <w:rPr>
          <w:rFonts w:ascii="Times New Roman" w:eastAsia="Calibri" w:hAnsi="Times New Roman" w:cs="Times New Roman"/>
          <w:sz w:val="24"/>
          <w:szCs w:val="24"/>
        </w:rPr>
        <w:t>44</w:t>
      </w:r>
      <w:r w:rsidR="00672DC2" w:rsidRPr="003C1B12">
        <w:rPr>
          <w:rFonts w:ascii="Times New Roman" w:eastAsia="Calibri" w:hAnsi="Times New Roman" w:cs="Times New Roman"/>
          <w:sz w:val="24"/>
          <w:szCs w:val="24"/>
        </w:rPr>
        <w:t xml:space="preserve">% no visiem projektiem </w:t>
      </w:r>
      <w:r w:rsidRPr="003C1B12">
        <w:rPr>
          <w:rFonts w:ascii="Times New Roman" w:eastAsia="Calibri" w:hAnsi="Times New Roman" w:cs="Times New Roman"/>
          <w:sz w:val="24"/>
          <w:szCs w:val="24"/>
        </w:rPr>
        <w:t>ietvēra sadarbību</w:t>
      </w:r>
      <w:r w:rsidR="00672DC2" w:rsidRPr="003C1B12">
        <w:rPr>
          <w:rFonts w:ascii="Times New Roman" w:eastAsia="Calibri" w:hAnsi="Times New Roman" w:cs="Times New Roman"/>
          <w:sz w:val="24"/>
          <w:szCs w:val="24"/>
        </w:rPr>
        <w:t xml:space="preserve"> ar privāt</w:t>
      </w:r>
      <w:r w:rsidR="004C10B9" w:rsidRPr="003C1B12">
        <w:rPr>
          <w:rFonts w:ascii="Times New Roman" w:eastAsia="Calibri" w:hAnsi="Times New Roman" w:cs="Times New Roman"/>
          <w:sz w:val="24"/>
          <w:szCs w:val="24"/>
        </w:rPr>
        <w:t>ā</w:t>
      </w:r>
      <w:r w:rsidR="00672DC2" w:rsidRPr="003C1B12">
        <w:rPr>
          <w:rFonts w:ascii="Times New Roman" w:eastAsia="Calibri" w:hAnsi="Times New Roman" w:cs="Times New Roman"/>
          <w:sz w:val="24"/>
          <w:szCs w:val="24"/>
        </w:rPr>
        <w:t>m vai publisk</w:t>
      </w:r>
      <w:r w:rsidR="004C10B9" w:rsidRPr="003C1B12">
        <w:rPr>
          <w:rFonts w:ascii="Times New Roman" w:eastAsia="Calibri" w:hAnsi="Times New Roman" w:cs="Times New Roman"/>
          <w:sz w:val="24"/>
          <w:szCs w:val="24"/>
        </w:rPr>
        <w:t>ā</w:t>
      </w:r>
      <w:r w:rsidR="00672DC2" w:rsidRPr="003C1B12">
        <w:rPr>
          <w:rFonts w:ascii="Times New Roman" w:eastAsia="Calibri" w:hAnsi="Times New Roman" w:cs="Times New Roman"/>
          <w:sz w:val="24"/>
          <w:szCs w:val="24"/>
        </w:rPr>
        <w:t>m zinātnisk</w:t>
      </w:r>
      <w:r w:rsidR="004C10B9" w:rsidRPr="003C1B12">
        <w:rPr>
          <w:rFonts w:ascii="Times New Roman" w:eastAsia="Calibri" w:hAnsi="Times New Roman" w:cs="Times New Roman"/>
          <w:sz w:val="24"/>
          <w:szCs w:val="24"/>
        </w:rPr>
        <w:t>ām</w:t>
      </w:r>
      <w:r w:rsidR="00672DC2" w:rsidRPr="003C1B12">
        <w:rPr>
          <w:rFonts w:ascii="Times New Roman" w:eastAsia="Calibri" w:hAnsi="Times New Roman" w:cs="Times New Roman"/>
          <w:sz w:val="24"/>
          <w:szCs w:val="24"/>
        </w:rPr>
        <w:t xml:space="preserve"> institū</w:t>
      </w:r>
      <w:r w:rsidR="004C10B9" w:rsidRPr="003C1B12">
        <w:rPr>
          <w:rFonts w:ascii="Times New Roman" w:eastAsia="Calibri" w:hAnsi="Times New Roman" w:cs="Times New Roman"/>
          <w:sz w:val="24"/>
          <w:szCs w:val="24"/>
        </w:rPr>
        <w:t>cijām</w:t>
      </w:r>
      <w:r w:rsidR="00672DC2" w:rsidRPr="003C1B12">
        <w:rPr>
          <w:rFonts w:ascii="Times New Roman" w:eastAsia="Calibri" w:hAnsi="Times New Roman" w:cs="Times New Roman"/>
          <w:sz w:val="24"/>
          <w:szCs w:val="24"/>
        </w:rPr>
        <w:t xml:space="preserve"> </w:t>
      </w:r>
      <w:r w:rsidR="004232E5" w:rsidRPr="003C1B12">
        <w:rPr>
          <w:rFonts w:ascii="Times New Roman" w:eastAsia="Calibri" w:hAnsi="Times New Roman" w:cs="Times New Roman"/>
          <w:sz w:val="24"/>
          <w:szCs w:val="24"/>
        </w:rPr>
        <w:t>vai to pētniekiem</w:t>
      </w:r>
      <w:r w:rsidRPr="003C1B12">
        <w:rPr>
          <w:rFonts w:ascii="Times New Roman" w:eastAsia="Calibri" w:hAnsi="Times New Roman" w:cs="Times New Roman"/>
          <w:sz w:val="24"/>
          <w:szCs w:val="24"/>
        </w:rPr>
        <w:t xml:space="preserve">. </w:t>
      </w:r>
      <w:r w:rsidR="005B6342" w:rsidRPr="003C1B12">
        <w:rPr>
          <w:rFonts w:ascii="Times New Roman" w:eastAsia="Calibri" w:hAnsi="Times New Roman" w:cs="Times New Roman"/>
          <w:sz w:val="24"/>
          <w:szCs w:val="24"/>
        </w:rPr>
        <w:t xml:space="preserve">Sadarbība noris ar </w:t>
      </w:r>
      <w:r w:rsidR="00A35BE7" w:rsidRPr="003C1B12">
        <w:rPr>
          <w:rFonts w:ascii="Times New Roman" w:eastAsia="Calibri" w:hAnsi="Times New Roman" w:cs="Times New Roman"/>
          <w:sz w:val="24"/>
          <w:szCs w:val="24"/>
        </w:rPr>
        <w:t>24</w:t>
      </w:r>
      <w:r w:rsidR="005B6342" w:rsidRPr="003C1B12">
        <w:rPr>
          <w:rFonts w:ascii="Times New Roman" w:eastAsia="Calibri" w:hAnsi="Times New Roman" w:cs="Times New Roman"/>
          <w:sz w:val="24"/>
          <w:szCs w:val="24"/>
        </w:rPr>
        <w:t xml:space="preserve"> Latvijas zinātnisko </w:t>
      </w:r>
      <w:r w:rsidR="00AD5239" w:rsidRPr="003C1B12">
        <w:rPr>
          <w:rFonts w:ascii="Times New Roman" w:eastAsia="Calibri" w:hAnsi="Times New Roman" w:cs="Times New Roman"/>
          <w:sz w:val="24"/>
          <w:szCs w:val="24"/>
        </w:rPr>
        <w:t>institūciju reģistrā reģistrēt</w:t>
      </w:r>
      <w:r w:rsidR="007937F8" w:rsidRPr="003C1B12">
        <w:rPr>
          <w:rFonts w:ascii="Times New Roman" w:eastAsia="Calibri" w:hAnsi="Times New Roman" w:cs="Times New Roman"/>
          <w:sz w:val="24"/>
          <w:szCs w:val="24"/>
        </w:rPr>
        <w:t>ām</w:t>
      </w:r>
      <w:r w:rsidR="005B6342" w:rsidRPr="003C1B12">
        <w:rPr>
          <w:rFonts w:ascii="Times New Roman" w:eastAsia="Calibri" w:hAnsi="Times New Roman" w:cs="Times New Roman"/>
          <w:sz w:val="24"/>
          <w:szCs w:val="24"/>
        </w:rPr>
        <w:t xml:space="preserve"> zinātnisk</w:t>
      </w:r>
      <w:r w:rsidR="007937F8" w:rsidRPr="003C1B12">
        <w:rPr>
          <w:rFonts w:ascii="Times New Roman" w:eastAsia="Calibri" w:hAnsi="Times New Roman" w:cs="Times New Roman"/>
          <w:sz w:val="24"/>
          <w:szCs w:val="24"/>
        </w:rPr>
        <w:t>ajām</w:t>
      </w:r>
      <w:r w:rsidR="005B6342" w:rsidRPr="003C1B12">
        <w:rPr>
          <w:rFonts w:ascii="Times New Roman" w:eastAsia="Calibri" w:hAnsi="Times New Roman" w:cs="Times New Roman"/>
          <w:sz w:val="24"/>
          <w:szCs w:val="24"/>
        </w:rPr>
        <w:t xml:space="preserve"> institūcij</w:t>
      </w:r>
      <w:r w:rsidR="007937F8" w:rsidRPr="003C1B12">
        <w:rPr>
          <w:rFonts w:ascii="Times New Roman" w:eastAsia="Calibri" w:hAnsi="Times New Roman" w:cs="Times New Roman"/>
          <w:sz w:val="24"/>
          <w:szCs w:val="24"/>
        </w:rPr>
        <w:t>ām</w:t>
      </w:r>
      <w:r w:rsidR="005B6342" w:rsidRPr="003C1B12">
        <w:rPr>
          <w:rFonts w:ascii="Times New Roman" w:eastAsia="Calibri" w:hAnsi="Times New Roman" w:cs="Times New Roman"/>
          <w:sz w:val="24"/>
          <w:szCs w:val="24"/>
        </w:rPr>
        <w:t xml:space="preserve"> vai to struktūrvienīb</w:t>
      </w:r>
      <w:r w:rsidR="007937F8" w:rsidRPr="003C1B12">
        <w:rPr>
          <w:rFonts w:ascii="Times New Roman" w:eastAsia="Calibri" w:hAnsi="Times New Roman" w:cs="Times New Roman"/>
          <w:sz w:val="24"/>
          <w:szCs w:val="24"/>
        </w:rPr>
        <w:t>ām</w:t>
      </w:r>
      <w:r w:rsidR="005B6342" w:rsidRPr="003C1B12">
        <w:rPr>
          <w:rFonts w:ascii="Times New Roman" w:eastAsia="Calibri" w:hAnsi="Times New Roman" w:cs="Times New Roman"/>
          <w:sz w:val="24"/>
          <w:szCs w:val="24"/>
        </w:rPr>
        <w:t>. Kā visaktīvākie sadarbības partneru piesaist</w:t>
      </w:r>
      <w:r w:rsidR="00B14BBF" w:rsidRPr="003C1B12">
        <w:rPr>
          <w:rFonts w:ascii="Times New Roman" w:eastAsia="Calibri" w:hAnsi="Times New Roman" w:cs="Times New Roman"/>
          <w:sz w:val="24"/>
          <w:szCs w:val="24"/>
        </w:rPr>
        <w:t>ē</w:t>
      </w:r>
      <w:r w:rsidR="005B6342" w:rsidRPr="003C1B12">
        <w:rPr>
          <w:rFonts w:ascii="Times New Roman" w:eastAsia="Calibri" w:hAnsi="Times New Roman" w:cs="Times New Roman"/>
          <w:sz w:val="24"/>
          <w:szCs w:val="24"/>
        </w:rPr>
        <w:t xml:space="preserve"> jāmin ITKC un </w:t>
      </w:r>
      <w:r w:rsidR="00C53126" w:rsidRPr="003C1B12">
        <w:rPr>
          <w:rFonts w:ascii="Times New Roman" w:eastAsia="Calibri" w:hAnsi="Times New Roman" w:cs="Times New Roman"/>
          <w:sz w:val="24"/>
          <w:szCs w:val="24"/>
        </w:rPr>
        <w:t>VBB</w:t>
      </w:r>
      <w:r w:rsidR="005B6342" w:rsidRPr="003C1B12">
        <w:rPr>
          <w:rFonts w:ascii="Times New Roman" w:eastAsia="Calibri" w:hAnsi="Times New Roman" w:cs="Times New Roman"/>
          <w:sz w:val="24"/>
          <w:szCs w:val="24"/>
        </w:rPr>
        <w:t>KC</w:t>
      </w:r>
      <w:r w:rsidR="001D47A0" w:rsidRPr="003C1B12">
        <w:rPr>
          <w:rFonts w:ascii="Times New Roman" w:eastAsia="Calibri" w:hAnsi="Times New Roman" w:cs="Times New Roman"/>
          <w:sz w:val="24"/>
          <w:szCs w:val="24"/>
        </w:rPr>
        <w:t xml:space="preserve"> (sk. attēlus Nr.5)</w:t>
      </w:r>
      <w:r w:rsidR="005B6342" w:rsidRPr="003C1B12">
        <w:rPr>
          <w:rFonts w:ascii="Times New Roman" w:eastAsia="Calibri" w:hAnsi="Times New Roman" w:cs="Times New Roman"/>
          <w:sz w:val="24"/>
          <w:szCs w:val="24"/>
        </w:rPr>
        <w:t xml:space="preserve">. </w:t>
      </w:r>
      <w:r w:rsidR="00C2598D" w:rsidRPr="003C1B12">
        <w:rPr>
          <w:rFonts w:ascii="Times New Roman" w:eastAsia="Calibri" w:hAnsi="Times New Roman" w:cs="Times New Roman"/>
          <w:sz w:val="24"/>
          <w:szCs w:val="24"/>
        </w:rPr>
        <w:t xml:space="preserve">Visbiežāk projektos tiek piesaistīti Latvijas </w:t>
      </w:r>
      <w:r w:rsidR="00914087" w:rsidRPr="003C1B12">
        <w:rPr>
          <w:rFonts w:ascii="Times New Roman" w:eastAsia="Calibri" w:hAnsi="Times New Roman" w:cs="Times New Roman"/>
          <w:sz w:val="24"/>
          <w:szCs w:val="24"/>
        </w:rPr>
        <w:t>u</w:t>
      </w:r>
      <w:r w:rsidR="00C2598D" w:rsidRPr="003C1B12">
        <w:rPr>
          <w:rFonts w:ascii="Times New Roman" w:eastAsia="Calibri" w:hAnsi="Times New Roman" w:cs="Times New Roman"/>
          <w:sz w:val="24"/>
          <w:szCs w:val="24"/>
        </w:rPr>
        <w:t>niversitāte un tās</w:t>
      </w:r>
      <w:r w:rsidR="00914087" w:rsidRPr="003C1B12">
        <w:rPr>
          <w:rFonts w:ascii="Times New Roman" w:eastAsia="Calibri" w:hAnsi="Times New Roman" w:cs="Times New Roman"/>
          <w:sz w:val="24"/>
          <w:szCs w:val="24"/>
        </w:rPr>
        <w:t xml:space="preserve"> aģentūras, Rīgas T</w:t>
      </w:r>
      <w:r w:rsidR="00C2598D" w:rsidRPr="003C1B12">
        <w:rPr>
          <w:rFonts w:ascii="Times New Roman" w:eastAsia="Calibri" w:hAnsi="Times New Roman" w:cs="Times New Roman"/>
          <w:sz w:val="24"/>
          <w:szCs w:val="24"/>
        </w:rPr>
        <w:t xml:space="preserve">ehniskā universitāte un Latvijas </w:t>
      </w:r>
      <w:r w:rsidR="00A35BE7" w:rsidRPr="003C1B12">
        <w:rPr>
          <w:rFonts w:ascii="Times New Roman" w:eastAsia="Calibri" w:hAnsi="Times New Roman" w:cs="Times New Roman"/>
          <w:sz w:val="24"/>
          <w:szCs w:val="24"/>
        </w:rPr>
        <w:t>L</w:t>
      </w:r>
      <w:r w:rsidR="00C2598D" w:rsidRPr="003C1B12">
        <w:rPr>
          <w:rFonts w:ascii="Times New Roman" w:eastAsia="Calibri" w:hAnsi="Times New Roman" w:cs="Times New Roman"/>
          <w:sz w:val="24"/>
          <w:szCs w:val="24"/>
        </w:rPr>
        <w:t>auksaimniecības universitāte.</w:t>
      </w:r>
    </w:p>
    <w:p w:rsidR="00C2598D" w:rsidRPr="003C1B12" w:rsidRDefault="00C2598D" w:rsidP="00672DC2">
      <w:pPr>
        <w:spacing w:after="0" w:line="240" w:lineRule="auto"/>
        <w:jc w:val="both"/>
        <w:rPr>
          <w:rFonts w:ascii="Times New Roman" w:hAnsi="Times New Roman" w:cs="Times New Roman"/>
          <w:sz w:val="24"/>
          <w:szCs w:val="24"/>
        </w:rPr>
      </w:pPr>
    </w:p>
    <w:p w:rsidR="005B6342" w:rsidRPr="003C1B12" w:rsidRDefault="00AD5239" w:rsidP="00672DC2">
      <w:pPr>
        <w:spacing w:after="0" w:line="240" w:lineRule="auto"/>
        <w:jc w:val="both"/>
        <w:rPr>
          <w:rFonts w:ascii="Times New Roman" w:hAnsi="Times New Roman" w:cs="Times New Roman"/>
          <w:sz w:val="24"/>
          <w:szCs w:val="24"/>
        </w:rPr>
      </w:pPr>
      <w:r w:rsidRPr="003C1B12">
        <w:rPr>
          <w:rFonts w:ascii="Times New Roman" w:hAnsi="Times New Roman" w:cs="Times New Roman"/>
          <w:noProof/>
          <w:lang w:eastAsia="lv-LV"/>
        </w:rPr>
        <mc:AlternateContent>
          <mc:Choice Requires="wpg">
            <w:drawing>
              <wp:anchor distT="0" distB="0" distL="114300" distR="114300" simplePos="0" relativeHeight="251661312" behindDoc="0" locked="0" layoutInCell="1" allowOverlap="1" wp14:anchorId="40FF6EB1" wp14:editId="2246553E">
                <wp:simplePos x="0" y="0"/>
                <wp:positionH relativeFrom="column">
                  <wp:posOffset>-198120</wp:posOffset>
                </wp:positionH>
                <wp:positionV relativeFrom="paragraph">
                  <wp:posOffset>1907540</wp:posOffset>
                </wp:positionV>
                <wp:extent cx="5835015" cy="632460"/>
                <wp:effectExtent l="0" t="0" r="13335" b="15240"/>
                <wp:wrapTopAndBottom/>
                <wp:docPr id="3" name="Group 3"/>
                <wp:cNvGraphicFramePr/>
                <a:graphic xmlns:a="http://schemas.openxmlformats.org/drawingml/2006/main">
                  <a:graphicData uri="http://schemas.microsoft.com/office/word/2010/wordprocessingGroup">
                    <wpg:wgp>
                      <wpg:cNvGrpSpPr/>
                      <wpg:grpSpPr>
                        <a:xfrm>
                          <a:off x="0" y="0"/>
                          <a:ext cx="5835015" cy="632460"/>
                          <a:chOff x="0" y="1"/>
                          <a:chExt cx="5835402" cy="457581"/>
                        </a:xfrm>
                      </wpg:grpSpPr>
                      <wps:wsp>
                        <wps:cNvPr id="8" name="Text Box 8"/>
                        <wps:cNvSpPr txBox="1"/>
                        <wps:spPr>
                          <a:xfrm>
                            <a:off x="0" y="1"/>
                            <a:ext cx="2782570" cy="33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D128F" w:rsidRDefault="00FD128F" w:rsidP="0090589F">
                              <w:pPr>
                                <w:spacing w:after="0" w:line="240" w:lineRule="auto"/>
                                <w:jc w:val="center"/>
                                <w:rPr>
                                  <w:rFonts w:ascii="Times New Roman" w:hAnsi="Times New Roman" w:cs="Times New Roman"/>
                                </w:rPr>
                              </w:pPr>
                              <w:r>
                                <w:rPr>
                                  <w:rFonts w:ascii="Times New Roman" w:hAnsi="Times New Roman" w:cs="Times New Roman"/>
                                </w:rPr>
                                <w:t>Attēls Nr.</w:t>
                              </w:r>
                              <w:r w:rsidRPr="0090589F">
                                <w:rPr>
                                  <w:rFonts w:ascii="Times New Roman" w:hAnsi="Times New Roman" w:cs="Times New Roman"/>
                                </w:rPr>
                                <w:fldChar w:fldCharType="begin"/>
                              </w:r>
                              <w:r w:rsidRPr="0090589F">
                                <w:rPr>
                                  <w:rFonts w:ascii="Times New Roman" w:hAnsi="Times New Roman" w:cs="Times New Roman"/>
                                </w:rPr>
                                <w:instrText xml:space="preserve"> SEQ Attēls_Nr. \* ARABIC </w:instrText>
                              </w:r>
                              <w:r w:rsidRPr="0090589F">
                                <w:rPr>
                                  <w:rFonts w:ascii="Times New Roman" w:hAnsi="Times New Roman" w:cs="Times New Roman"/>
                                </w:rPr>
                                <w:fldChar w:fldCharType="separate"/>
                              </w:r>
                              <w:r>
                                <w:rPr>
                                  <w:rFonts w:ascii="Times New Roman" w:hAnsi="Times New Roman" w:cs="Times New Roman"/>
                                  <w:noProof/>
                                </w:rPr>
                                <w:t>6</w:t>
                              </w:r>
                              <w:r w:rsidRPr="0090589F">
                                <w:rPr>
                                  <w:rFonts w:ascii="Times New Roman" w:hAnsi="Times New Roman" w:cs="Times New Roman"/>
                                </w:rPr>
                                <w:fldChar w:fldCharType="end"/>
                              </w:r>
                              <w:r w:rsidRPr="0090589F">
                                <w:rPr>
                                  <w:rFonts w:ascii="Times New Roman" w:hAnsi="Times New Roman" w:cs="Times New Roman"/>
                                </w:rPr>
                                <w:t xml:space="preserve"> </w:t>
                              </w:r>
                              <w:r>
                                <w:rPr>
                                  <w:rFonts w:ascii="Times New Roman" w:hAnsi="Times New Roman" w:cs="Times New Roman"/>
                                </w:rPr>
                                <w:t xml:space="preserve"> </w:t>
                              </w:r>
                              <w:r w:rsidRPr="00AD5239">
                                <w:rPr>
                                  <w:rFonts w:ascii="Times New Roman" w:hAnsi="Times New Roman" w:cs="Times New Roman"/>
                                </w:rPr>
                                <w:t>- Sadarbības projektu īpatsvars</w:t>
                              </w:r>
                            </w:p>
                            <w:p w:rsidR="00FD128F" w:rsidRPr="00AD5239" w:rsidRDefault="00FD128F" w:rsidP="00AD5239">
                              <w:pPr>
                                <w:spacing w:after="0" w:line="240" w:lineRule="auto"/>
                                <w:jc w:val="center"/>
                                <w:rPr>
                                  <w:rFonts w:ascii="Times New Roman" w:hAnsi="Times New Roman" w:cs="Times New Roman"/>
                                </w:rPr>
                              </w:pPr>
                              <w:r>
                                <w:rPr>
                                  <w:rFonts w:ascii="Times New Roman" w:hAnsi="Times New Roman" w:cs="Times New Roman"/>
                                </w:rPr>
                                <w:t>(</w:t>
                              </w:r>
                              <w:r w:rsidRPr="00AD5239">
                                <w:rPr>
                                  <w:rFonts w:ascii="Times New Roman" w:hAnsi="Times New Roman" w:cs="Times New Roman"/>
                                </w:rPr>
                                <w:t>% no kopējā sadarbības projektu skaita)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2782957" y="7951"/>
                            <a:ext cx="3052445" cy="44963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D128F" w:rsidRDefault="00FD128F" w:rsidP="00AD5239">
                              <w:pPr>
                                <w:spacing w:after="0" w:line="240" w:lineRule="auto"/>
                                <w:jc w:val="center"/>
                                <w:rPr>
                                  <w:rFonts w:ascii="Times New Roman" w:hAnsi="Times New Roman" w:cs="Times New Roman"/>
                                </w:rPr>
                              </w:pPr>
                              <w:r w:rsidRPr="00AD5239">
                                <w:rPr>
                                  <w:rFonts w:ascii="Times New Roman" w:hAnsi="Times New Roman" w:cs="Times New Roman"/>
                                </w:rPr>
                                <w:t>Attēls Nr.</w:t>
                              </w:r>
                              <w:r w:rsidRPr="00AD5239">
                                <w:rPr>
                                  <w:rFonts w:ascii="Times New Roman" w:hAnsi="Times New Roman" w:cs="Times New Roman"/>
                                </w:rPr>
                                <w:fldChar w:fldCharType="begin"/>
                              </w:r>
                              <w:r w:rsidRPr="00AD5239">
                                <w:rPr>
                                  <w:rFonts w:ascii="Times New Roman" w:hAnsi="Times New Roman" w:cs="Times New Roman"/>
                                </w:rPr>
                                <w:instrText xml:space="preserve"> SEQ Attēls_Nr. \* ARABIC </w:instrText>
                              </w:r>
                              <w:r w:rsidRPr="00AD5239">
                                <w:rPr>
                                  <w:rFonts w:ascii="Times New Roman" w:hAnsi="Times New Roman" w:cs="Times New Roman"/>
                                </w:rPr>
                                <w:fldChar w:fldCharType="separate"/>
                              </w:r>
                              <w:r>
                                <w:rPr>
                                  <w:rFonts w:ascii="Times New Roman" w:hAnsi="Times New Roman" w:cs="Times New Roman"/>
                                  <w:noProof/>
                                </w:rPr>
                                <w:t>6</w:t>
                              </w:r>
                              <w:r w:rsidRPr="00AD5239">
                                <w:rPr>
                                  <w:rFonts w:ascii="Times New Roman" w:hAnsi="Times New Roman" w:cs="Times New Roman"/>
                                </w:rPr>
                                <w:fldChar w:fldCharType="end"/>
                              </w:r>
                              <w:r w:rsidRPr="00AD5239">
                                <w:rPr>
                                  <w:rFonts w:ascii="Times New Roman" w:hAnsi="Times New Roman" w:cs="Times New Roman"/>
                                </w:rPr>
                                <w:t xml:space="preserve"> - Plānotais sadarbības projektu</w:t>
                              </w:r>
                            </w:p>
                            <w:p w:rsidR="00FD128F" w:rsidRDefault="00FD128F" w:rsidP="00AD5239">
                              <w:pPr>
                                <w:spacing w:after="0" w:line="240" w:lineRule="auto"/>
                                <w:jc w:val="center"/>
                                <w:rPr>
                                  <w:rFonts w:ascii="Times New Roman" w:hAnsi="Times New Roman" w:cs="Times New Roman"/>
                                </w:rPr>
                              </w:pPr>
                              <w:r w:rsidRPr="00AD5239">
                                <w:rPr>
                                  <w:rFonts w:ascii="Times New Roman" w:hAnsi="Times New Roman" w:cs="Times New Roman"/>
                                </w:rPr>
                                <w:t>apjoms sadalījumā pa KC</w:t>
                              </w:r>
                            </w:p>
                            <w:p w:rsidR="00FD128F" w:rsidRPr="00AD5239" w:rsidRDefault="00FD128F" w:rsidP="00AD5239">
                              <w:pPr>
                                <w:spacing w:after="0" w:line="240" w:lineRule="auto"/>
                                <w:jc w:val="center"/>
                                <w:rPr>
                                  <w:rFonts w:ascii="Times New Roman" w:hAnsi="Times New Roman" w:cs="Times New Roman"/>
                                </w:rPr>
                              </w:pPr>
                              <w:r w:rsidRPr="00AD5239">
                                <w:rPr>
                                  <w:rFonts w:ascii="Times New Roman" w:hAnsi="Times New Roman" w:cs="Times New Roman"/>
                                </w:rPr>
                                <w:t>(% no kopējā</w:t>
                              </w:r>
                              <w:r>
                                <w:rPr>
                                  <w:rFonts w:ascii="Times New Roman" w:hAnsi="Times New Roman" w:cs="Times New Roman"/>
                                </w:rPr>
                                <w:t xml:space="preserve"> plānotā</w:t>
                              </w:r>
                              <w:r w:rsidRPr="00AD5239">
                                <w:rPr>
                                  <w:rFonts w:ascii="Times New Roman" w:hAnsi="Times New Roman" w:cs="Times New Roman"/>
                                </w:rPr>
                                <w:t xml:space="preserve"> sadarbības </w:t>
                              </w:r>
                              <w:r>
                                <w:rPr>
                                  <w:rFonts w:ascii="Times New Roman" w:hAnsi="Times New Roman" w:cs="Times New Roman"/>
                                </w:rPr>
                                <w:t>apjoma)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w15="http://schemas.microsoft.com/office/word/2012/wordml">
            <w:pict>
              <v:group w14:anchorId="433FA96E" id="Group 3" o:spid="_x0000_s1026" style="position:absolute;left:0;text-align:left;margin-left:-15.6pt;margin-top:150.2pt;width:459.45pt;height:49.8pt;z-index:251661312;mso-height-relative:margin" coordorigin="" coordsize="58354,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">
                <v:shapetype id="_x0000_t202" coordsize="21600,21600" o:spt="202" path="m,l,21600r21600,l21600,xe">
                  <v:stroke joinstyle="miter"/>
                  <v:path gradientshapeok="t" o:connecttype="rect"/>
                </v:shapetype>
                <v:shape id="Text Box 8" o:spid="_x0000_s1027" type="#_x0000_t202" style="position:absolute;width:27825;height:3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Wf8AA&#10;AADaAAAADwAAAGRycy9kb3ducmV2LnhtbERPTWvCQBC9C/0PyxS86aZVSojZSFCKYgtS20tvQ3ZM&#10;QrOzITtq/PfdQ6HHx/vO16Pr1JWG0Ho28DRPQBFX3rZcG/j6fJ2loIIgW+w8k4E7BVgXD5McM+tv&#10;/EHXk9QqhnDI0EAj0mdah6ohh2Hue+LInf3gUCIcam0HvMVw1+nnJHnRDluODQ32tGmo+jldnIHD&#10;8hu3C3mju/B4LMtd2i/DuzHTx7FcgRIa5V/8595bA3FrvBJvg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JWf8AAAADaAAAADwAAAAAAAAAAAAAAAACYAgAAZHJzL2Rvd25y&#10;ZXYueG1sUEsFBgAAAAAEAAQA9QAAAIUDAAAAAA==&#10;" fillcolor="white [3201]" strokecolor="white [3212]" strokeweight=".5pt">
                  <v:textbox>
                    <w:txbxContent>
                      <w:p w:rsidR="00FD128F" w:rsidRDefault="00FD128F" w:rsidP="0090589F">
                        <w:pPr>
                          <w:spacing w:after="0" w:line="240" w:lineRule="auto"/>
                          <w:jc w:val="center"/>
                          <w:rPr>
                            <w:rFonts w:ascii="Times New Roman" w:hAnsi="Times New Roman" w:cs="Times New Roman"/>
                          </w:rPr>
                        </w:pPr>
                        <w:r>
                          <w:rPr>
                            <w:rFonts w:ascii="Times New Roman" w:hAnsi="Times New Roman" w:cs="Times New Roman"/>
                          </w:rPr>
                          <w:t>Attēls Nr.</w:t>
                        </w:r>
                        <w:r w:rsidRPr="0090589F">
                          <w:rPr>
                            <w:rFonts w:ascii="Times New Roman" w:hAnsi="Times New Roman" w:cs="Times New Roman"/>
                          </w:rPr>
                          <w:fldChar w:fldCharType="begin"/>
                        </w:r>
                        <w:r w:rsidRPr="0090589F">
                          <w:rPr>
                            <w:rFonts w:ascii="Times New Roman" w:hAnsi="Times New Roman" w:cs="Times New Roman"/>
                          </w:rPr>
                          <w:instrText xml:space="preserve"> SEQ Attēls_Nr. \* ARABIC </w:instrText>
                        </w:r>
                        <w:r w:rsidRPr="0090589F">
                          <w:rPr>
                            <w:rFonts w:ascii="Times New Roman" w:hAnsi="Times New Roman" w:cs="Times New Roman"/>
                          </w:rPr>
                          <w:fldChar w:fldCharType="separate"/>
                        </w:r>
                        <w:r>
                          <w:rPr>
                            <w:rFonts w:ascii="Times New Roman" w:hAnsi="Times New Roman" w:cs="Times New Roman"/>
                            <w:noProof/>
                          </w:rPr>
                          <w:t>6</w:t>
                        </w:r>
                        <w:r w:rsidRPr="0090589F">
                          <w:rPr>
                            <w:rFonts w:ascii="Times New Roman" w:hAnsi="Times New Roman" w:cs="Times New Roman"/>
                          </w:rPr>
                          <w:fldChar w:fldCharType="end"/>
                        </w:r>
                        <w:r w:rsidRPr="0090589F">
                          <w:rPr>
                            <w:rFonts w:ascii="Times New Roman" w:hAnsi="Times New Roman" w:cs="Times New Roman"/>
                          </w:rPr>
                          <w:t xml:space="preserve"> </w:t>
                        </w:r>
                        <w:r>
                          <w:rPr>
                            <w:rFonts w:ascii="Times New Roman" w:hAnsi="Times New Roman" w:cs="Times New Roman"/>
                          </w:rPr>
                          <w:t xml:space="preserve"> </w:t>
                        </w:r>
                        <w:r w:rsidRPr="00AD5239">
                          <w:rPr>
                            <w:rFonts w:ascii="Times New Roman" w:hAnsi="Times New Roman" w:cs="Times New Roman"/>
                          </w:rPr>
                          <w:t>- Sadarbības projektu īpatsvars</w:t>
                        </w:r>
                      </w:p>
                      <w:p w:rsidR="00FD128F" w:rsidRPr="00AD5239" w:rsidRDefault="00FD128F" w:rsidP="00AD5239">
                        <w:pPr>
                          <w:spacing w:after="0" w:line="240" w:lineRule="auto"/>
                          <w:jc w:val="center"/>
                          <w:rPr>
                            <w:rFonts w:ascii="Times New Roman" w:hAnsi="Times New Roman" w:cs="Times New Roman"/>
                          </w:rPr>
                        </w:pPr>
                        <w:r>
                          <w:rPr>
                            <w:rFonts w:ascii="Times New Roman" w:hAnsi="Times New Roman" w:cs="Times New Roman"/>
                          </w:rPr>
                          <w:t>(</w:t>
                        </w:r>
                        <w:r w:rsidRPr="00AD5239">
                          <w:rPr>
                            <w:rFonts w:ascii="Times New Roman" w:hAnsi="Times New Roman" w:cs="Times New Roman"/>
                          </w:rPr>
                          <w:t>% no kopējā sadarbības projektu skaita)</w:t>
                        </w:r>
                      </w:p>
                    </w:txbxContent>
                  </v:textbox>
                </v:shape>
                <v:shape id="Text Box 9" o:spid="_x0000_s1028" type="#_x0000_t202" style="position:absolute;left:27829;top:79;width:30525;height:4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7z5MMA&#10;AADaAAAADwAAAGRycy9kb3ducmV2LnhtbESPX2vCQBDE3wv9DscWfKuXVikx9ZRQkYoVxD8vvi25&#10;bRKa2wu5rcZv7wmFPg4z8xtmOu9do87UhdqzgZdhAoq48Lbm0sDxsHxOQQVBtth4JgNXCjCfPT5M&#10;MbP+wjs676VUEcIhQwOVSJtpHYqKHIahb4mj9+07hxJlV2rb4SXCXaNfk+RNO6w5LlTY0kdFxc/+&#10;1xlYj0+4GMkXXYX7bZ5/pu04bIwZPPX5OyihXv7Df+2VNTCB+5V4A/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7z5MMAAADaAAAADwAAAAAAAAAAAAAAAACYAgAAZHJzL2Rv&#10;d25yZXYueG1sUEsFBgAAAAAEAAQA9QAAAIgDAAAAAA==&#10;" fillcolor="white [3201]" strokecolor="white [3212]" strokeweight=".5pt">
                  <v:textbox>
                    <w:txbxContent>
                      <w:p w:rsidR="00FD128F" w:rsidRDefault="00FD128F" w:rsidP="00AD5239">
                        <w:pPr>
                          <w:spacing w:after="0" w:line="240" w:lineRule="auto"/>
                          <w:jc w:val="center"/>
                          <w:rPr>
                            <w:rFonts w:ascii="Times New Roman" w:hAnsi="Times New Roman" w:cs="Times New Roman"/>
                          </w:rPr>
                        </w:pPr>
                        <w:r w:rsidRPr="00AD5239">
                          <w:rPr>
                            <w:rFonts w:ascii="Times New Roman" w:hAnsi="Times New Roman" w:cs="Times New Roman"/>
                          </w:rPr>
                          <w:t>Attēls Nr.</w:t>
                        </w:r>
                        <w:r w:rsidRPr="00AD5239">
                          <w:rPr>
                            <w:rFonts w:ascii="Times New Roman" w:hAnsi="Times New Roman" w:cs="Times New Roman"/>
                          </w:rPr>
                          <w:fldChar w:fldCharType="begin"/>
                        </w:r>
                        <w:r w:rsidRPr="00AD5239">
                          <w:rPr>
                            <w:rFonts w:ascii="Times New Roman" w:hAnsi="Times New Roman" w:cs="Times New Roman"/>
                          </w:rPr>
                          <w:instrText xml:space="preserve"> SEQ Attēls_Nr. \* ARABIC </w:instrText>
                        </w:r>
                        <w:r w:rsidRPr="00AD5239">
                          <w:rPr>
                            <w:rFonts w:ascii="Times New Roman" w:hAnsi="Times New Roman" w:cs="Times New Roman"/>
                          </w:rPr>
                          <w:fldChar w:fldCharType="separate"/>
                        </w:r>
                        <w:r>
                          <w:rPr>
                            <w:rFonts w:ascii="Times New Roman" w:hAnsi="Times New Roman" w:cs="Times New Roman"/>
                            <w:noProof/>
                          </w:rPr>
                          <w:t>6</w:t>
                        </w:r>
                        <w:r w:rsidRPr="00AD5239">
                          <w:rPr>
                            <w:rFonts w:ascii="Times New Roman" w:hAnsi="Times New Roman" w:cs="Times New Roman"/>
                          </w:rPr>
                          <w:fldChar w:fldCharType="end"/>
                        </w:r>
                        <w:r w:rsidRPr="00AD5239">
                          <w:rPr>
                            <w:rFonts w:ascii="Times New Roman" w:hAnsi="Times New Roman" w:cs="Times New Roman"/>
                          </w:rPr>
                          <w:t xml:space="preserve"> - Plānotais sadarbības projektu</w:t>
                        </w:r>
                      </w:p>
                      <w:p w:rsidR="00FD128F" w:rsidRDefault="00FD128F" w:rsidP="00AD5239">
                        <w:pPr>
                          <w:spacing w:after="0" w:line="240" w:lineRule="auto"/>
                          <w:jc w:val="center"/>
                          <w:rPr>
                            <w:rFonts w:ascii="Times New Roman" w:hAnsi="Times New Roman" w:cs="Times New Roman"/>
                          </w:rPr>
                        </w:pPr>
                        <w:r w:rsidRPr="00AD5239">
                          <w:rPr>
                            <w:rFonts w:ascii="Times New Roman" w:hAnsi="Times New Roman" w:cs="Times New Roman"/>
                          </w:rPr>
                          <w:t>apjoms sadalījumā pa KC</w:t>
                        </w:r>
                      </w:p>
                      <w:p w:rsidR="00FD128F" w:rsidRPr="00AD5239" w:rsidRDefault="00FD128F" w:rsidP="00AD5239">
                        <w:pPr>
                          <w:spacing w:after="0" w:line="240" w:lineRule="auto"/>
                          <w:jc w:val="center"/>
                          <w:rPr>
                            <w:rFonts w:ascii="Times New Roman" w:hAnsi="Times New Roman" w:cs="Times New Roman"/>
                          </w:rPr>
                        </w:pPr>
                        <w:r w:rsidRPr="00AD5239">
                          <w:rPr>
                            <w:rFonts w:ascii="Times New Roman" w:hAnsi="Times New Roman" w:cs="Times New Roman"/>
                          </w:rPr>
                          <w:t>(% no kopējā</w:t>
                        </w:r>
                        <w:r>
                          <w:rPr>
                            <w:rFonts w:ascii="Times New Roman" w:hAnsi="Times New Roman" w:cs="Times New Roman"/>
                          </w:rPr>
                          <w:t xml:space="preserve"> plānotā</w:t>
                        </w:r>
                        <w:r w:rsidRPr="00AD5239">
                          <w:rPr>
                            <w:rFonts w:ascii="Times New Roman" w:hAnsi="Times New Roman" w:cs="Times New Roman"/>
                          </w:rPr>
                          <w:t xml:space="preserve"> sadarbības </w:t>
                        </w:r>
                        <w:r>
                          <w:rPr>
                            <w:rFonts w:ascii="Times New Roman" w:hAnsi="Times New Roman" w:cs="Times New Roman"/>
                          </w:rPr>
                          <w:t>apjoma)</w:t>
                        </w:r>
                      </w:p>
                    </w:txbxContent>
                  </v:textbox>
                </v:shape>
                <w10:wrap type="topAndBottom"/>
              </v:group>
            </w:pict>
          </mc:Fallback>
        </mc:AlternateContent>
      </w:r>
      <w:r w:rsidR="005B6342" w:rsidRPr="003C1B12">
        <w:rPr>
          <w:rFonts w:ascii="Times New Roman" w:hAnsi="Times New Roman" w:cs="Times New Roman"/>
          <w:noProof/>
          <w:lang w:eastAsia="lv-LV"/>
        </w:rPr>
        <w:drawing>
          <wp:inline distT="0" distB="0" distL="0" distR="0" wp14:anchorId="7F40F64C" wp14:editId="7A35CC73">
            <wp:extent cx="2782957" cy="1804946"/>
            <wp:effectExtent l="0" t="0" r="17780" b="241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5B6342" w:rsidRPr="003C1B12">
        <w:rPr>
          <w:rFonts w:ascii="Times New Roman" w:hAnsi="Times New Roman" w:cs="Times New Roman"/>
          <w:sz w:val="24"/>
          <w:szCs w:val="24"/>
        </w:rPr>
        <w:t>.</w:t>
      </w:r>
      <w:r w:rsidR="005B6342" w:rsidRPr="003C1B12">
        <w:rPr>
          <w:rFonts w:ascii="Times New Roman" w:hAnsi="Times New Roman" w:cs="Times New Roman"/>
          <w:noProof/>
          <w:lang w:eastAsia="lv-LV"/>
        </w:rPr>
        <w:drawing>
          <wp:inline distT="0" distB="0" distL="0" distR="0" wp14:anchorId="7CF147F1" wp14:editId="4F61E59B">
            <wp:extent cx="2782956" cy="1804946"/>
            <wp:effectExtent l="0" t="0" r="17780" b="241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5B6342" w:rsidRPr="003C1B12">
        <w:rPr>
          <w:rFonts w:ascii="Times New Roman" w:hAnsi="Times New Roman" w:cs="Times New Roman"/>
          <w:sz w:val="24"/>
          <w:szCs w:val="24"/>
        </w:rPr>
        <w:t xml:space="preserve"> </w:t>
      </w:r>
    </w:p>
    <w:p w:rsidR="00AD5239" w:rsidRPr="003C1B12" w:rsidRDefault="005B6342" w:rsidP="00AD5239">
      <w:pPr>
        <w:spacing w:after="0" w:line="240" w:lineRule="auto"/>
        <w:ind w:firstLine="709"/>
        <w:jc w:val="both"/>
        <w:rPr>
          <w:rFonts w:ascii="Times New Roman" w:hAnsi="Times New Roman" w:cs="Times New Roman"/>
          <w:sz w:val="24"/>
          <w:szCs w:val="24"/>
        </w:rPr>
      </w:pPr>
      <w:r w:rsidRPr="003C1B12">
        <w:rPr>
          <w:rFonts w:ascii="Times New Roman" w:hAnsi="Times New Roman" w:cs="Times New Roman"/>
          <w:sz w:val="24"/>
          <w:szCs w:val="24"/>
        </w:rPr>
        <w:t>Savukārt analizējot sadarbības apjomu finansiālā izteiksmē jāuzsver, ka 61% no kopējām plānotām sadarbības aktivitāšu izmaksām veido M</w:t>
      </w:r>
      <w:r w:rsidR="00B1058C" w:rsidRPr="003C1B12">
        <w:rPr>
          <w:rFonts w:ascii="Times New Roman" w:hAnsi="Times New Roman" w:cs="Times New Roman"/>
          <w:sz w:val="24"/>
          <w:szCs w:val="24"/>
        </w:rPr>
        <w:t>NKC un LEO</w:t>
      </w:r>
      <w:r w:rsidRPr="003C1B12">
        <w:rPr>
          <w:rFonts w:ascii="Times New Roman" w:hAnsi="Times New Roman" w:cs="Times New Roman"/>
          <w:sz w:val="24"/>
          <w:szCs w:val="24"/>
        </w:rPr>
        <w:t>KC satelīttehnoloģiju pētniecības virziena ietvaros īstenotie projekti</w:t>
      </w:r>
      <w:r w:rsidR="007937F8" w:rsidRPr="003C1B12">
        <w:rPr>
          <w:rFonts w:ascii="Times New Roman" w:hAnsi="Times New Roman" w:cs="Times New Roman"/>
          <w:sz w:val="24"/>
          <w:szCs w:val="24"/>
        </w:rPr>
        <w:t xml:space="preserve"> (</w:t>
      </w:r>
      <w:r w:rsidR="007937F8" w:rsidRPr="003C1B12">
        <w:rPr>
          <w:rFonts w:ascii="Times New Roman" w:eastAsia="Calibri" w:hAnsi="Times New Roman" w:cs="Times New Roman"/>
          <w:sz w:val="24"/>
          <w:szCs w:val="24"/>
        </w:rPr>
        <w:t>sk. attēlus Nr.6)</w:t>
      </w:r>
      <w:r w:rsidRPr="003C1B12">
        <w:rPr>
          <w:rFonts w:ascii="Times New Roman" w:hAnsi="Times New Roman" w:cs="Times New Roman"/>
          <w:sz w:val="24"/>
          <w:szCs w:val="24"/>
        </w:rPr>
        <w:t xml:space="preserve">. </w:t>
      </w:r>
      <w:r w:rsidR="007937F8" w:rsidRPr="003C1B12">
        <w:rPr>
          <w:rFonts w:ascii="Times New Roman" w:hAnsi="Times New Roman" w:cs="Times New Roman"/>
          <w:sz w:val="24"/>
          <w:szCs w:val="24"/>
        </w:rPr>
        <w:t>Pusi no</w:t>
      </w:r>
      <w:r w:rsidR="001130BB" w:rsidRPr="003C1B12">
        <w:rPr>
          <w:rFonts w:ascii="Times New Roman" w:hAnsi="Times New Roman" w:cs="Times New Roman"/>
          <w:sz w:val="24"/>
          <w:szCs w:val="24"/>
        </w:rPr>
        <w:t xml:space="preserve"> </w:t>
      </w:r>
      <w:r w:rsidR="007937F8" w:rsidRPr="003C1B12">
        <w:rPr>
          <w:rFonts w:ascii="Times New Roman" w:hAnsi="Times New Roman" w:cs="Times New Roman"/>
          <w:sz w:val="24"/>
          <w:szCs w:val="24"/>
        </w:rPr>
        <w:t xml:space="preserve">sadarbības apjoma </w:t>
      </w:r>
      <w:r w:rsidR="001130BB" w:rsidRPr="003C1B12">
        <w:rPr>
          <w:rFonts w:ascii="Times New Roman" w:hAnsi="Times New Roman" w:cs="Times New Roman"/>
          <w:sz w:val="24"/>
          <w:szCs w:val="24"/>
        </w:rPr>
        <w:t>finans</w:t>
      </w:r>
      <w:r w:rsidR="007937F8" w:rsidRPr="003C1B12">
        <w:rPr>
          <w:rFonts w:ascii="Times New Roman" w:hAnsi="Times New Roman" w:cs="Times New Roman"/>
          <w:sz w:val="24"/>
          <w:szCs w:val="24"/>
        </w:rPr>
        <w:t>iālā izteiksmē veido</w:t>
      </w:r>
      <w:r w:rsidR="001130BB" w:rsidRPr="003C1B12">
        <w:rPr>
          <w:rFonts w:ascii="Times New Roman" w:hAnsi="Times New Roman" w:cs="Times New Roman"/>
          <w:sz w:val="24"/>
          <w:szCs w:val="24"/>
        </w:rPr>
        <w:t xml:space="preserve"> </w:t>
      </w:r>
      <w:r w:rsidR="007937F8" w:rsidRPr="003C1B12">
        <w:rPr>
          <w:rFonts w:ascii="Times New Roman" w:hAnsi="Times New Roman" w:cs="Times New Roman"/>
          <w:sz w:val="24"/>
          <w:szCs w:val="24"/>
        </w:rPr>
        <w:t xml:space="preserve">sadarbība </w:t>
      </w:r>
      <w:r w:rsidR="001130BB" w:rsidRPr="003C1B12">
        <w:rPr>
          <w:rFonts w:ascii="Times New Roman" w:hAnsi="Times New Roman" w:cs="Times New Roman"/>
          <w:sz w:val="24"/>
          <w:szCs w:val="24"/>
        </w:rPr>
        <w:t xml:space="preserve">tikai </w:t>
      </w:r>
      <w:r w:rsidR="007937F8" w:rsidRPr="003C1B12">
        <w:rPr>
          <w:rFonts w:ascii="Times New Roman" w:hAnsi="Times New Roman" w:cs="Times New Roman"/>
          <w:sz w:val="24"/>
          <w:szCs w:val="24"/>
        </w:rPr>
        <w:t xml:space="preserve">ar </w:t>
      </w:r>
      <w:r w:rsidR="001130BB" w:rsidRPr="003C1B12">
        <w:rPr>
          <w:rFonts w:ascii="Times New Roman" w:hAnsi="Times New Roman" w:cs="Times New Roman"/>
          <w:sz w:val="24"/>
          <w:szCs w:val="24"/>
        </w:rPr>
        <w:t>div</w:t>
      </w:r>
      <w:r w:rsidR="007937F8" w:rsidRPr="003C1B12">
        <w:rPr>
          <w:rFonts w:ascii="Times New Roman" w:hAnsi="Times New Roman" w:cs="Times New Roman"/>
          <w:sz w:val="24"/>
          <w:szCs w:val="24"/>
        </w:rPr>
        <w:t>ām</w:t>
      </w:r>
      <w:r w:rsidR="001130BB" w:rsidRPr="003C1B12">
        <w:rPr>
          <w:rFonts w:ascii="Times New Roman" w:hAnsi="Times New Roman" w:cs="Times New Roman"/>
          <w:sz w:val="24"/>
          <w:szCs w:val="24"/>
        </w:rPr>
        <w:t xml:space="preserve"> zinātnisk</w:t>
      </w:r>
      <w:r w:rsidR="007937F8" w:rsidRPr="003C1B12">
        <w:rPr>
          <w:rFonts w:ascii="Times New Roman" w:hAnsi="Times New Roman" w:cs="Times New Roman"/>
          <w:sz w:val="24"/>
          <w:szCs w:val="24"/>
        </w:rPr>
        <w:t>ajām</w:t>
      </w:r>
      <w:r w:rsidR="001130BB" w:rsidRPr="003C1B12">
        <w:rPr>
          <w:rFonts w:ascii="Times New Roman" w:hAnsi="Times New Roman" w:cs="Times New Roman"/>
          <w:sz w:val="24"/>
          <w:szCs w:val="24"/>
        </w:rPr>
        <w:t xml:space="preserve"> institūcij</w:t>
      </w:r>
      <w:r w:rsidR="007937F8" w:rsidRPr="003C1B12">
        <w:rPr>
          <w:rFonts w:ascii="Times New Roman" w:hAnsi="Times New Roman" w:cs="Times New Roman"/>
          <w:sz w:val="24"/>
          <w:szCs w:val="24"/>
        </w:rPr>
        <w:t>ām</w:t>
      </w:r>
      <w:r w:rsidR="003D5183" w:rsidRPr="003C1B12">
        <w:rPr>
          <w:rFonts w:ascii="Times New Roman" w:hAnsi="Times New Roman" w:cs="Times New Roman"/>
          <w:sz w:val="24"/>
          <w:szCs w:val="24"/>
        </w:rPr>
        <w:t xml:space="preserve"> </w:t>
      </w:r>
      <w:r w:rsidRPr="003C1B12">
        <w:rPr>
          <w:rFonts w:ascii="Times New Roman" w:hAnsi="Times New Roman" w:cs="Times New Roman"/>
          <w:sz w:val="24"/>
          <w:szCs w:val="24"/>
        </w:rPr>
        <w:t xml:space="preserve">– </w:t>
      </w:r>
      <w:r w:rsidR="003D5183" w:rsidRPr="003C1B12">
        <w:rPr>
          <w:rFonts w:ascii="Times New Roman" w:hAnsi="Times New Roman" w:cs="Times New Roman"/>
          <w:sz w:val="24"/>
          <w:szCs w:val="24"/>
        </w:rPr>
        <w:t>Latvijas Valsts mežzinātnes institūts „</w:t>
      </w:r>
      <w:r w:rsidRPr="003C1B12">
        <w:rPr>
          <w:rFonts w:ascii="Times New Roman" w:hAnsi="Times New Roman" w:cs="Times New Roman"/>
          <w:sz w:val="24"/>
          <w:szCs w:val="24"/>
        </w:rPr>
        <w:t>Silava</w:t>
      </w:r>
      <w:r w:rsidR="003D5183" w:rsidRPr="003C1B12">
        <w:rPr>
          <w:rFonts w:ascii="Times New Roman" w:hAnsi="Times New Roman" w:cs="Times New Roman"/>
          <w:sz w:val="24"/>
          <w:szCs w:val="24"/>
        </w:rPr>
        <w:t>”</w:t>
      </w:r>
      <w:r w:rsidR="001130BB" w:rsidRPr="003C1B12">
        <w:rPr>
          <w:rFonts w:ascii="Times New Roman" w:hAnsi="Times New Roman" w:cs="Times New Roman"/>
          <w:sz w:val="24"/>
          <w:szCs w:val="24"/>
        </w:rPr>
        <w:t xml:space="preserve"> (</w:t>
      </w:r>
      <w:r w:rsidR="007937F8" w:rsidRPr="003C1B12">
        <w:rPr>
          <w:rFonts w:ascii="Times New Roman" w:hAnsi="Times New Roman" w:cs="Times New Roman"/>
          <w:sz w:val="24"/>
          <w:szCs w:val="24"/>
        </w:rPr>
        <w:t>40,4</w:t>
      </w:r>
      <w:r w:rsidR="001130BB" w:rsidRPr="003C1B12">
        <w:rPr>
          <w:rFonts w:ascii="Times New Roman" w:hAnsi="Times New Roman" w:cs="Times New Roman"/>
          <w:sz w:val="24"/>
          <w:szCs w:val="24"/>
        </w:rPr>
        <w:t>% no</w:t>
      </w:r>
      <w:r w:rsidR="007937F8" w:rsidRPr="003C1B12">
        <w:rPr>
          <w:rFonts w:ascii="Times New Roman" w:hAnsi="Times New Roman" w:cs="Times New Roman"/>
          <w:sz w:val="24"/>
          <w:szCs w:val="24"/>
        </w:rPr>
        <w:t xml:space="preserve"> </w:t>
      </w:r>
      <w:r w:rsidR="001130BB" w:rsidRPr="003C1B12">
        <w:rPr>
          <w:rFonts w:ascii="Times New Roman" w:hAnsi="Times New Roman" w:cs="Times New Roman"/>
          <w:sz w:val="24"/>
          <w:szCs w:val="24"/>
        </w:rPr>
        <w:t xml:space="preserve">kopējā plānotā sadarbības finansējuma) </w:t>
      </w:r>
      <w:r w:rsidR="00A35BE7" w:rsidRPr="003C1B12">
        <w:rPr>
          <w:rFonts w:ascii="Times New Roman" w:hAnsi="Times New Roman" w:cs="Times New Roman"/>
          <w:sz w:val="24"/>
          <w:szCs w:val="24"/>
        </w:rPr>
        <w:t>un Ventspils Starptautiskais radioastronomijas centrs</w:t>
      </w:r>
      <w:r w:rsidR="007937F8" w:rsidRPr="003C1B12">
        <w:rPr>
          <w:rFonts w:ascii="Times New Roman" w:hAnsi="Times New Roman" w:cs="Times New Roman"/>
          <w:sz w:val="24"/>
          <w:szCs w:val="24"/>
        </w:rPr>
        <w:t xml:space="preserve"> (9,8% no kopējā plānotā sadarbības finansējuma)</w:t>
      </w:r>
      <w:r w:rsidRPr="003C1B12">
        <w:rPr>
          <w:rFonts w:ascii="Times New Roman" w:hAnsi="Times New Roman" w:cs="Times New Roman"/>
          <w:sz w:val="24"/>
          <w:szCs w:val="24"/>
        </w:rPr>
        <w:t>.</w:t>
      </w:r>
    </w:p>
    <w:p w:rsidR="001130BB" w:rsidRPr="003C1B12" w:rsidRDefault="001130BB" w:rsidP="00AD5239">
      <w:pPr>
        <w:spacing w:after="0" w:line="240" w:lineRule="auto"/>
        <w:ind w:firstLine="709"/>
        <w:jc w:val="both"/>
        <w:rPr>
          <w:rFonts w:ascii="Times New Roman" w:hAnsi="Times New Roman" w:cs="Times New Roman"/>
          <w:sz w:val="24"/>
          <w:szCs w:val="24"/>
        </w:rPr>
      </w:pPr>
      <w:r w:rsidRPr="003C1B12">
        <w:rPr>
          <w:rFonts w:ascii="Times New Roman" w:hAnsi="Times New Roman" w:cs="Times New Roman"/>
          <w:sz w:val="24"/>
          <w:szCs w:val="24"/>
        </w:rPr>
        <w:t xml:space="preserve">Pozitīvi vērtējami programmas ieviešanas nosacījumi, kas </w:t>
      </w:r>
      <w:r w:rsidR="00BC4BBD" w:rsidRPr="003C1B12">
        <w:rPr>
          <w:rFonts w:ascii="Times New Roman" w:hAnsi="Times New Roman" w:cs="Times New Roman"/>
          <w:sz w:val="24"/>
          <w:szCs w:val="24"/>
        </w:rPr>
        <w:t>veicinājuši</w:t>
      </w:r>
      <w:r w:rsidRPr="003C1B12">
        <w:rPr>
          <w:rFonts w:ascii="Times New Roman" w:hAnsi="Times New Roman" w:cs="Times New Roman"/>
          <w:sz w:val="24"/>
          <w:szCs w:val="24"/>
        </w:rPr>
        <w:t xml:space="preserve"> doktorantūrā studējošo iesaisti pētniecības projektos. Tas sekmē</w:t>
      </w:r>
      <w:r w:rsidR="00BC4BBD" w:rsidRPr="003C1B12">
        <w:rPr>
          <w:rFonts w:ascii="Times New Roman" w:hAnsi="Times New Roman" w:cs="Times New Roman"/>
          <w:sz w:val="24"/>
          <w:szCs w:val="24"/>
        </w:rPr>
        <w:t>jis</w:t>
      </w:r>
      <w:r w:rsidRPr="003C1B12">
        <w:rPr>
          <w:rFonts w:ascii="Times New Roman" w:hAnsi="Times New Roman" w:cs="Times New Roman"/>
          <w:sz w:val="24"/>
          <w:szCs w:val="24"/>
        </w:rPr>
        <w:t xml:space="preserve"> jaunu zinātnisko darbinieku sagatavošanu un piesaisti industrijas aktuālu tehnoloģisko problēmu risināšanai.</w:t>
      </w:r>
    </w:p>
    <w:p w:rsidR="00AD5239" w:rsidRPr="003C1B12" w:rsidRDefault="00672DC2" w:rsidP="00AD5239">
      <w:pPr>
        <w:spacing w:after="0" w:line="240" w:lineRule="auto"/>
        <w:ind w:firstLine="709"/>
        <w:jc w:val="both"/>
        <w:rPr>
          <w:rFonts w:ascii="Times New Roman" w:hAnsi="Times New Roman" w:cs="Times New Roman"/>
          <w:sz w:val="24"/>
          <w:szCs w:val="24"/>
        </w:rPr>
      </w:pPr>
      <w:r w:rsidRPr="003C1B12">
        <w:rPr>
          <w:rFonts w:ascii="Times New Roman" w:hAnsi="Times New Roman" w:cs="Times New Roman"/>
          <w:sz w:val="24"/>
          <w:szCs w:val="24"/>
        </w:rPr>
        <w:t xml:space="preserve">Tomēr </w:t>
      </w:r>
      <w:r w:rsidR="001130BB" w:rsidRPr="003C1B12">
        <w:rPr>
          <w:rFonts w:ascii="Times New Roman" w:hAnsi="Times New Roman" w:cs="Times New Roman"/>
          <w:sz w:val="24"/>
          <w:szCs w:val="24"/>
        </w:rPr>
        <w:t>izvērtēj</w:t>
      </w:r>
      <w:r w:rsidR="00AD5239" w:rsidRPr="003C1B12">
        <w:rPr>
          <w:rFonts w:ascii="Times New Roman" w:hAnsi="Times New Roman" w:cs="Times New Roman"/>
          <w:sz w:val="24"/>
          <w:szCs w:val="24"/>
        </w:rPr>
        <w:t>ot programmas īstenošanas gaitu</w:t>
      </w:r>
      <w:r w:rsidR="001130BB" w:rsidRPr="003C1B12">
        <w:rPr>
          <w:rFonts w:ascii="Times New Roman" w:hAnsi="Times New Roman" w:cs="Times New Roman"/>
          <w:sz w:val="24"/>
          <w:szCs w:val="24"/>
        </w:rPr>
        <w:t xml:space="preserve"> un </w:t>
      </w:r>
      <w:r w:rsidR="00BC4BBD" w:rsidRPr="003C1B12">
        <w:rPr>
          <w:rFonts w:ascii="Times New Roman" w:hAnsi="Times New Roman" w:cs="Times New Roman"/>
          <w:sz w:val="24"/>
          <w:szCs w:val="24"/>
        </w:rPr>
        <w:t>diskusiju</w:t>
      </w:r>
      <w:r w:rsidR="001130BB" w:rsidRPr="003C1B12">
        <w:rPr>
          <w:rFonts w:ascii="Times New Roman" w:hAnsi="Times New Roman" w:cs="Times New Roman"/>
          <w:sz w:val="24"/>
          <w:szCs w:val="24"/>
        </w:rPr>
        <w:t xml:space="preserve"> ar </w:t>
      </w:r>
      <w:r w:rsidR="007B5BD9" w:rsidRPr="003C1B12">
        <w:rPr>
          <w:rFonts w:ascii="Times New Roman" w:hAnsi="Times New Roman" w:cs="Times New Roman"/>
          <w:sz w:val="24"/>
          <w:szCs w:val="24"/>
        </w:rPr>
        <w:t>KC</w:t>
      </w:r>
      <w:r w:rsidR="00BC4BBD" w:rsidRPr="003C1B12">
        <w:rPr>
          <w:rFonts w:ascii="Times New Roman" w:hAnsi="Times New Roman" w:cs="Times New Roman"/>
          <w:sz w:val="24"/>
          <w:szCs w:val="24"/>
        </w:rPr>
        <w:t xml:space="preserve"> rezultātus,</w:t>
      </w:r>
      <w:r w:rsidR="001130BB" w:rsidRPr="003C1B12">
        <w:rPr>
          <w:rFonts w:ascii="Times New Roman" w:hAnsi="Times New Roman" w:cs="Times New Roman"/>
          <w:sz w:val="24"/>
          <w:szCs w:val="24"/>
        </w:rPr>
        <w:t xml:space="preserve"> </w:t>
      </w:r>
      <w:r w:rsidR="006838B9" w:rsidRPr="003C1B12">
        <w:rPr>
          <w:rFonts w:ascii="Times New Roman" w:hAnsi="Times New Roman" w:cs="Times New Roman"/>
          <w:sz w:val="24"/>
          <w:szCs w:val="24"/>
        </w:rPr>
        <w:t>identificē</w:t>
      </w:r>
      <w:r w:rsidR="00BC4BBD" w:rsidRPr="003C1B12">
        <w:rPr>
          <w:rFonts w:ascii="Times New Roman" w:hAnsi="Times New Roman" w:cs="Times New Roman"/>
          <w:sz w:val="24"/>
          <w:szCs w:val="24"/>
        </w:rPr>
        <w:t xml:space="preserve">ti </w:t>
      </w:r>
      <w:r w:rsidR="006838B9" w:rsidRPr="003C1B12">
        <w:rPr>
          <w:rFonts w:ascii="Times New Roman" w:hAnsi="Times New Roman" w:cs="Times New Roman"/>
          <w:sz w:val="24"/>
          <w:szCs w:val="24"/>
        </w:rPr>
        <w:t xml:space="preserve">vairāki </w:t>
      </w:r>
      <w:r w:rsidR="00AD5239" w:rsidRPr="003C1B12">
        <w:rPr>
          <w:rFonts w:ascii="Times New Roman" w:hAnsi="Times New Roman" w:cs="Times New Roman"/>
          <w:sz w:val="24"/>
          <w:szCs w:val="24"/>
        </w:rPr>
        <w:t>šķēršļi sadarbības īstenošanai.</w:t>
      </w:r>
    </w:p>
    <w:p w:rsidR="001130BB" w:rsidRPr="003C1B12" w:rsidRDefault="001130BB" w:rsidP="009D209C">
      <w:pPr>
        <w:pStyle w:val="ListParagraph"/>
        <w:numPr>
          <w:ilvl w:val="0"/>
          <w:numId w:val="9"/>
        </w:numPr>
        <w:spacing w:after="0" w:line="240" w:lineRule="auto"/>
        <w:jc w:val="both"/>
        <w:rPr>
          <w:rFonts w:ascii="Times New Roman" w:hAnsi="Times New Roman" w:cs="Times New Roman"/>
        </w:rPr>
      </w:pPr>
      <w:r w:rsidRPr="003C1B12">
        <w:rPr>
          <w:rFonts w:ascii="Times New Roman" w:hAnsi="Times New Roman" w:cs="Times New Roman"/>
          <w:color w:val="000000" w:themeColor="text1"/>
          <w:sz w:val="24"/>
          <w:szCs w:val="24"/>
          <w:shd w:val="clear" w:color="auto" w:fill="FFFFFF"/>
        </w:rPr>
        <w:t>Programmas nosacījumi</w:t>
      </w:r>
      <w:r w:rsidR="00623637" w:rsidRPr="003C1B12">
        <w:rPr>
          <w:rFonts w:ascii="Times New Roman" w:hAnsi="Times New Roman" w:cs="Times New Roman"/>
          <w:color w:val="000000" w:themeColor="text1"/>
          <w:sz w:val="24"/>
          <w:szCs w:val="24"/>
          <w:shd w:val="clear" w:color="auto" w:fill="FFFFFF"/>
        </w:rPr>
        <w:t xml:space="preserve"> noteica, ka vismaz vienam no </w:t>
      </w:r>
      <w:r w:rsidR="007B5BD9" w:rsidRPr="003C1B12">
        <w:rPr>
          <w:rFonts w:ascii="Times New Roman" w:hAnsi="Times New Roman" w:cs="Times New Roman"/>
          <w:color w:val="000000" w:themeColor="text1"/>
          <w:sz w:val="24"/>
          <w:szCs w:val="24"/>
          <w:shd w:val="clear" w:color="auto" w:fill="FFFFFF"/>
        </w:rPr>
        <w:t>KC</w:t>
      </w:r>
      <w:r w:rsidR="00623637" w:rsidRPr="003C1B12">
        <w:rPr>
          <w:rFonts w:ascii="Times New Roman" w:hAnsi="Times New Roman" w:cs="Times New Roman"/>
          <w:color w:val="000000" w:themeColor="text1"/>
          <w:sz w:val="24"/>
          <w:szCs w:val="24"/>
          <w:shd w:val="clear" w:color="auto" w:fill="FFFFFF"/>
        </w:rPr>
        <w:t xml:space="preserve"> dibinātājiem ir jābūt zinātniskajai institūcijai. Vienlaicīgi</w:t>
      </w:r>
      <w:r w:rsidRPr="003C1B12">
        <w:rPr>
          <w:rFonts w:ascii="Times New Roman" w:hAnsi="Times New Roman" w:cs="Times New Roman"/>
          <w:color w:val="000000" w:themeColor="text1"/>
          <w:sz w:val="24"/>
          <w:szCs w:val="24"/>
          <w:shd w:val="clear" w:color="auto" w:fill="FFFFFF"/>
        </w:rPr>
        <w:t>, lai izvairīto</w:t>
      </w:r>
      <w:r w:rsidR="00EC2B0D" w:rsidRPr="003C1B12">
        <w:rPr>
          <w:rFonts w:ascii="Times New Roman" w:hAnsi="Times New Roman" w:cs="Times New Roman"/>
          <w:color w:val="000000" w:themeColor="text1"/>
          <w:sz w:val="24"/>
          <w:szCs w:val="24"/>
          <w:shd w:val="clear" w:color="auto" w:fill="FFFFFF"/>
        </w:rPr>
        <w:t>s</w:t>
      </w:r>
      <w:r w:rsidRPr="003C1B12">
        <w:rPr>
          <w:rFonts w:ascii="Times New Roman" w:hAnsi="Times New Roman" w:cs="Times New Roman"/>
          <w:color w:val="000000" w:themeColor="text1"/>
          <w:sz w:val="24"/>
          <w:szCs w:val="24"/>
          <w:shd w:val="clear" w:color="auto" w:fill="FFFFFF"/>
        </w:rPr>
        <w:t xml:space="preserve"> no interešu konflikta pakalpojumu sniedzēju atlasē, noteica, ka nozares vai individuālā pētījuma īstenošanai nepieciešamo pētniecības pakalpojumu iegādei tiek īstenots iepirkums atbilstoši normatīvajiem aktiem par iepirkuma procedūru. Tajā pašā laikā </w:t>
      </w:r>
      <w:r w:rsidR="007B5BD9" w:rsidRPr="003C1B12">
        <w:rPr>
          <w:rFonts w:ascii="Times New Roman" w:hAnsi="Times New Roman" w:cs="Times New Roman"/>
          <w:color w:val="000000" w:themeColor="text1"/>
          <w:sz w:val="24"/>
          <w:szCs w:val="24"/>
          <w:shd w:val="clear" w:color="auto" w:fill="FFFFFF"/>
        </w:rPr>
        <w:t>KC</w:t>
      </w:r>
      <w:r w:rsidRPr="003C1B12">
        <w:rPr>
          <w:rFonts w:ascii="Times New Roman" w:hAnsi="Times New Roman" w:cs="Times New Roman"/>
          <w:color w:val="000000" w:themeColor="text1"/>
          <w:sz w:val="24"/>
          <w:szCs w:val="24"/>
          <w:shd w:val="clear" w:color="auto" w:fill="FFFFFF"/>
        </w:rPr>
        <w:t xml:space="preserve"> un individuālā pētījuma īstenotājs nav tiesīgs </w:t>
      </w:r>
      <w:r w:rsidRPr="003C1B12">
        <w:rPr>
          <w:rFonts w:ascii="Times New Roman" w:hAnsi="Times New Roman" w:cs="Times New Roman"/>
          <w:color w:val="000000" w:themeColor="text1"/>
          <w:sz w:val="24"/>
          <w:szCs w:val="24"/>
          <w:shd w:val="clear" w:color="auto" w:fill="FFFFFF"/>
        </w:rPr>
        <w:lastRenderedPageBreak/>
        <w:t>slēgt iepirkuma līgumu ar sadarbības partneri un tā saistītajām personām</w:t>
      </w:r>
      <w:r w:rsidR="00623637" w:rsidRPr="003C1B12">
        <w:rPr>
          <w:rFonts w:ascii="Times New Roman" w:hAnsi="Times New Roman" w:cs="Times New Roman"/>
          <w:color w:val="000000" w:themeColor="text1"/>
          <w:sz w:val="24"/>
          <w:szCs w:val="24"/>
          <w:shd w:val="clear" w:color="auto" w:fill="FFFFFF"/>
        </w:rPr>
        <w:t xml:space="preserve"> (dibinātājiem)</w:t>
      </w:r>
      <w:r w:rsidR="008F7E3F" w:rsidRPr="003C1B12">
        <w:rPr>
          <w:rFonts w:ascii="Times New Roman" w:hAnsi="Times New Roman" w:cs="Times New Roman"/>
          <w:color w:val="000000" w:themeColor="text1"/>
          <w:sz w:val="24"/>
          <w:szCs w:val="24"/>
          <w:shd w:val="clear" w:color="auto" w:fill="FFFFFF"/>
        </w:rPr>
        <w:t xml:space="preserve"> un tam tiek kompensētas izmaksas atbilstoši attiecināmo izmaksu nosacījumiem, kas nenosedza visas pētniecības izmaksas.</w:t>
      </w:r>
      <w:r w:rsidR="00377196" w:rsidRPr="003C1B12">
        <w:rPr>
          <w:rFonts w:ascii="Times New Roman" w:hAnsi="Times New Roman" w:cs="Times New Roman"/>
          <w:color w:val="000000" w:themeColor="text1"/>
          <w:sz w:val="24"/>
          <w:szCs w:val="24"/>
          <w:shd w:val="clear" w:color="auto" w:fill="FFFFFF"/>
        </w:rPr>
        <w:t xml:space="preserve"> Šāda pieeja</w:t>
      </w:r>
      <w:r w:rsidR="008F7E3F" w:rsidRPr="003C1B12">
        <w:rPr>
          <w:rFonts w:ascii="Times New Roman" w:hAnsi="Times New Roman" w:cs="Times New Roman"/>
          <w:color w:val="000000" w:themeColor="text1"/>
          <w:sz w:val="24"/>
          <w:szCs w:val="24"/>
          <w:shd w:val="clear" w:color="auto" w:fill="FFFFFF"/>
        </w:rPr>
        <w:t xml:space="preserve"> var tikt piemērota </w:t>
      </w:r>
      <w:r w:rsidR="00377196" w:rsidRPr="003C1B12">
        <w:rPr>
          <w:rFonts w:ascii="Times New Roman" w:hAnsi="Times New Roman" w:cs="Times New Roman"/>
          <w:color w:val="000000" w:themeColor="text1"/>
          <w:sz w:val="24"/>
          <w:szCs w:val="24"/>
          <w:shd w:val="clear" w:color="auto" w:fill="FFFFFF"/>
        </w:rPr>
        <w:t>gadījumos</w:t>
      </w:r>
      <w:r w:rsidR="00E8155F" w:rsidRPr="003C1B12">
        <w:rPr>
          <w:rFonts w:ascii="Times New Roman" w:hAnsi="Times New Roman" w:cs="Times New Roman"/>
          <w:color w:val="000000" w:themeColor="text1"/>
          <w:sz w:val="24"/>
          <w:szCs w:val="24"/>
          <w:shd w:val="clear" w:color="auto" w:fill="FFFFFF"/>
        </w:rPr>
        <w:t>,</w:t>
      </w:r>
      <w:r w:rsidR="00377196" w:rsidRPr="003C1B12">
        <w:rPr>
          <w:rFonts w:ascii="Times New Roman" w:hAnsi="Times New Roman" w:cs="Times New Roman"/>
          <w:color w:val="000000" w:themeColor="text1"/>
          <w:sz w:val="24"/>
          <w:szCs w:val="24"/>
          <w:shd w:val="clear" w:color="auto" w:fill="FFFFFF"/>
        </w:rPr>
        <w:t xml:space="preserve"> ka</w:t>
      </w:r>
      <w:r w:rsidR="00C53126" w:rsidRPr="003C1B12">
        <w:rPr>
          <w:rFonts w:ascii="Times New Roman" w:hAnsi="Times New Roman" w:cs="Times New Roman"/>
          <w:color w:val="000000" w:themeColor="text1"/>
          <w:sz w:val="24"/>
          <w:szCs w:val="24"/>
          <w:shd w:val="clear" w:color="auto" w:fill="FFFFFF"/>
        </w:rPr>
        <w:t>d</w:t>
      </w:r>
      <w:r w:rsidR="00377196" w:rsidRPr="003C1B12">
        <w:rPr>
          <w:rFonts w:ascii="Times New Roman" w:hAnsi="Times New Roman" w:cs="Times New Roman"/>
          <w:color w:val="000000" w:themeColor="text1"/>
          <w:sz w:val="24"/>
          <w:szCs w:val="24"/>
          <w:shd w:val="clear" w:color="auto" w:fill="FFFFFF"/>
        </w:rPr>
        <w:t xml:space="preserve"> zinātniskā ins</w:t>
      </w:r>
      <w:r w:rsidR="008F7E3F" w:rsidRPr="003C1B12">
        <w:rPr>
          <w:rFonts w:ascii="Times New Roman" w:hAnsi="Times New Roman" w:cs="Times New Roman"/>
          <w:color w:val="000000" w:themeColor="text1"/>
          <w:sz w:val="24"/>
          <w:szCs w:val="24"/>
          <w:shd w:val="clear" w:color="auto" w:fill="FFFFFF"/>
        </w:rPr>
        <w:t>ti</w:t>
      </w:r>
      <w:r w:rsidR="00377196" w:rsidRPr="003C1B12">
        <w:rPr>
          <w:rFonts w:ascii="Times New Roman" w:hAnsi="Times New Roman" w:cs="Times New Roman"/>
          <w:color w:val="000000" w:themeColor="text1"/>
          <w:sz w:val="24"/>
          <w:szCs w:val="24"/>
          <w:shd w:val="clear" w:color="auto" w:fill="FFFFFF"/>
        </w:rPr>
        <w:t>t</w:t>
      </w:r>
      <w:r w:rsidR="008F7E3F" w:rsidRPr="003C1B12">
        <w:rPr>
          <w:rFonts w:ascii="Times New Roman" w:hAnsi="Times New Roman" w:cs="Times New Roman"/>
          <w:color w:val="000000" w:themeColor="text1"/>
          <w:sz w:val="24"/>
          <w:szCs w:val="24"/>
          <w:shd w:val="clear" w:color="auto" w:fill="FFFFFF"/>
        </w:rPr>
        <w:t>ū</w:t>
      </w:r>
      <w:r w:rsidR="00377196" w:rsidRPr="003C1B12">
        <w:rPr>
          <w:rFonts w:ascii="Times New Roman" w:hAnsi="Times New Roman" w:cs="Times New Roman"/>
          <w:color w:val="000000" w:themeColor="text1"/>
          <w:sz w:val="24"/>
          <w:szCs w:val="24"/>
          <w:shd w:val="clear" w:color="auto" w:fill="FFFFFF"/>
        </w:rPr>
        <w:t>cija ir pilnv</w:t>
      </w:r>
      <w:r w:rsidR="008F7E3F" w:rsidRPr="003C1B12">
        <w:rPr>
          <w:rFonts w:ascii="Times New Roman" w:hAnsi="Times New Roman" w:cs="Times New Roman"/>
          <w:color w:val="000000" w:themeColor="text1"/>
          <w:sz w:val="24"/>
          <w:szCs w:val="24"/>
          <w:shd w:val="clear" w:color="auto" w:fill="FFFFFF"/>
        </w:rPr>
        <w:t>ērtī</w:t>
      </w:r>
      <w:r w:rsidR="00377196" w:rsidRPr="003C1B12">
        <w:rPr>
          <w:rFonts w:ascii="Times New Roman" w:hAnsi="Times New Roman" w:cs="Times New Roman"/>
          <w:color w:val="000000" w:themeColor="text1"/>
          <w:sz w:val="24"/>
          <w:szCs w:val="24"/>
          <w:shd w:val="clear" w:color="auto" w:fill="FFFFFF"/>
        </w:rPr>
        <w:t xml:space="preserve">gs </w:t>
      </w:r>
      <w:r w:rsidR="008F7E3F" w:rsidRPr="003C1B12">
        <w:rPr>
          <w:rFonts w:ascii="Times New Roman" w:hAnsi="Times New Roman" w:cs="Times New Roman"/>
          <w:color w:val="000000" w:themeColor="text1"/>
          <w:sz w:val="24"/>
          <w:szCs w:val="24"/>
          <w:shd w:val="clear" w:color="auto" w:fill="FFFFFF"/>
        </w:rPr>
        <w:t xml:space="preserve">pētniecības projekta </w:t>
      </w:r>
      <w:r w:rsidR="00377196" w:rsidRPr="003C1B12">
        <w:rPr>
          <w:rFonts w:ascii="Times New Roman" w:hAnsi="Times New Roman" w:cs="Times New Roman"/>
          <w:color w:val="000000" w:themeColor="text1"/>
          <w:sz w:val="24"/>
          <w:szCs w:val="24"/>
          <w:shd w:val="clear" w:color="auto" w:fill="FFFFFF"/>
        </w:rPr>
        <w:t>sadarb</w:t>
      </w:r>
      <w:r w:rsidR="008F7E3F" w:rsidRPr="003C1B12">
        <w:rPr>
          <w:rFonts w:ascii="Times New Roman" w:hAnsi="Times New Roman" w:cs="Times New Roman"/>
          <w:color w:val="000000" w:themeColor="text1"/>
          <w:sz w:val="24"/>
          <w:szCs w:val="24"/>
          <w:shd w:val="clear" w:color="auto" w:fill="FFFFFF"/>
        </w:rPr>
        <w:t>ī</w:t>
      </w:r>
      <w:r w:rsidR="00377196" w:rsidRPr="003C1B12">
        <w:rPr>
          <w:rFonts w:ascii="Times New Roman" w:hAnsi="Times New Roman" w:cs="Times New Roman"/>
          <w:color w:val="000000" w:themeColor="text1"/>
          <w:sz w:val="24"/>
          <w:szCs w:val="24"/>
          <w:shd w:val="clear" w:color="auto" w:fill="FFFFFF"/>
        </w:rPr>
        <w:t>bas part</w:t>
      </w:r>
      <w:r w:rsidR="008F7E3F" w:rsidRPr="003C1B12">
        <w:rPr>
          <w:rFonts w:ascii="Times New Roman" w:hAnsi="Times New Roman" w:cs="Times New Roman"/>
          <w:color w:val="000000" w:themeColor="text1"/>
          <w:sz w:val="24"/>
          <w:szCs w:val="24"/>
          <w:shd w:val="clear" w:color="auto" w:fill="FFFFFF"/>
        </w:rPr>
        <w:t>n</w:t>
      </w:r>
      <w:r w:rsidR="00377196" w:rsidRPr="003C1B12">
        <w:rPr>
          <w:rFonts w:ascii="Times New Roman" w:hAnsi="Times New Roman" w:cs="Times New Roman"/>
          <w:color w:val="000000" w:themeColor="text1"/>
          <w:sz w:val="24"/>
          <w:szCs w:val="24"/>
          <w:shd w:val="clear" w:color="auto" w:fill="FFFFFF"/>
        </w:rPr>
        <w:t>eris, kur</w:t>
      </w:r>
      <w:r w:rsidR="008F7E3F" w:rsidRPr="003C1B12">
        <w:rPr>
          <w:rFonts w:ascii="Times New Roman" w:hAnsi="Times New Roman" w:cs="Times New Roman"/>
          <w:color w:val="000000" w:themeColor="text1"/>
          <w:sz w:val="24"/>
          <w:szCs w:val="24"/>
          <w:shd w:val="clear" w:color="auto" w:fill="FFFFFF"/>
        </w:rPr>
        <w:t>š</w:t>
      </w:r>
      <w:r w:rsidR="00377196" w:rsidRPr="003C1B12">
        <w:rPr>
          <w:rFonts w:ascii="Times New Roman" w:hAnsi="Times New Roman" w:cs="Times New Roman"/>
          <w:color w:val="000000" w:themeColor="text1"/>
          <w:sz w:val="24"/>
          <w:szCs w:val="24"/>
          <w:shd w:val="clear" w:color="auto" w:fill="FFFFFF"/>
        </w:rPr>
        <w:t xml:space="preserve"> iegulda savus resurs</w:t>
      </w:r>
      <w:r w:rsidR="008F7E3F" w:rsidRPr="003C1B12">
        <w:rPr>
          <w:rFonts w:ascii="Times New Roman" w:hAnsi="Times New Roman" w:cs="Times New Roman"/>
          <w:color w:val="000000" w:themeColor="text1"/>
          <w:sz w:val="24"/>
          <w:szCs w:val="24"/>
          <w:shd w:val="clear" w:color="auto" w:fill="FFFFFF"/>
        </w:rPr>
        <w:t>us (fi</w:t>
      </w:r>
      <w:r w:rsidR="00377196" w:rsidRPr="003C1B12">
        <w:rPr>
          <w:rFonts w:ascii="Times New Roman" w:hAnsi="Times New Roman" w:cs="Times New Roman"/>
          <w:color w:val="000000" w:themeColor="text1"/>
          <w:sz w:val="24"/>
          <w:szCs w:val="24"/>
          <w:shd w:val="clear" w:color="auto" w:fill="FFFFFF"/>
        </w:rPr>
        <w:t>n</w:t>
      </w:r>
      <w:r w:rsidR="008F7E3F" w:rsidRPr="003C1B12">
        <w:rPr>
          <w:rFonts w:ascii="Times New Roman" w:hAnsi="Times New Roman" w:cs="Times New Roman"/>
          <w:color w:val="000000" w:themeColor="text1"/>
          <w:sz w:val="24"/>
          <w:szCs w:val="24"/>
          <w:shd w:val="clear" w:color="auto" w:fill="FFFFFF"/>
        </w:rPr>
        <w:t>ans</w:t>
      </w:r>
      <w:r w:rsidR="00377196" w:rsidRPr="003C1B12">
        <w:rPr>
          <w:rFonts w:ascii="Times New Roman" w:hAnsi="Times New Roman" w:cs="Times New Roman"/>
          <w:color w:val="000000" w:themeColor="text1"/>
          <w:sz w:val="24"/>
          <w:szCs w:val="24"/>
          <w:shd w:val="clear" w:color="auto" w:fill="FFFFFF"/>
        </w:rPr>
        <w:t>es, darb</w:t>
      </w:r>
      <w:r w:rsidR="008F7E3F" w:rsidRPr="003C1B12">
        <w:rPr>
          <w:rFonts w:ascii="Times New Roman" w:hAnsi="Times New Roman" w:cs="Times New Roman"/>
          <w:color w:val="000000" w:themeColor="text1"/>
          <w:sz w:val="24"/>
          <w:szCs w:val="24"/>
          <w:shd w:val="clear" w:color="auto" w:fill="FFFFFF"/>
        </w:rPr>
        <w:t>inie</w:t>
      </w:r>
      <w:r w:rsidR="00377196" w:rsidRPr="003C1B12">
        <w:rPr>
          <w:rFonts w:ascii="Times New Roman" w:hAnsi="Times New Roman" w:cs="Times New Roman"/>
          <w:color w:val="000000" w:themeColor="text1"/>
          <w:sz w:val="24"/>
          <w:szCs w:val="24"/>
          <w:shd w:val="clear" w:color="auto" w:fill="FFFFFF"/>
        </w:rPr>
        <w:t>ku darb</w:t>
      </w:r>
      <w:r w:rsidR="008F7E3F" w:rsidRPr="003C1B12">
        <w:rPr>
          <w:rFonts w:ascii="Times New Roman" w:hAnsi="Times New Roman" w:cs="Times New Roman"/>
          <w:color w:val="000000" w:themeColor="text1"/>
          <w:sz w:val="24"/>
          <w:szCs w:val="24"/>
          <w:shd w:val="clear" w:color="auto" w:fill="FFFFFF"/>
        </w:rPr>
        <w:t>s</w:t>
      </w:r>
      <w:r w:rsidR="00377196" w:rsidRPr="003C1B12">
        <w:rPr>
          <w:rFonts w:ascii="Times New Roman" w:hAnsi="Times New Roman" w:cs="Times New Roman"/>
          <w:color w:val="000000" w:themeColor="text1"/>
          <w:sz w:val="24"/>
          <w:szCs w:val="24"/>
          <w:shd w:val="clear" w:color="auto" w:fill="FFFFFF"/>
        </w:rPr>
        <w:t>, infrastruktūr</w:t>
      </w:r>
      <w:r w:rsidR="008F7E3F" w:rsidRPr="003C1B12">
        <w:rPr>
          <w:rFonts w:ascii="Times New Roman" w:hAnsi="Times New Roman" w:cs="Times New Roman"/>
          <w:color w:val="000000" w:themeColor="text1"/>
          <w:sz w:val="24"/>
          <w:szCs w:val="24"/>
          <w:shd w:val="clear" w:color="auto" w:fill="FFFFFF"/>
        </w:rPr>
        <w:t>a</w:t>
      </w:r>
      <w:r w:rsidR="00377196" w:rsidRPr="003C1B12">
        <w:rPr>
          <w:rFonts w:ascii="Times New Roman" w:hAnsi="Times New Roman" w:cs="Times New Roman"/>
          <w:color w:val="000000" w:themeColor="text1"/>
          <w:sz w:val="24"/>
          <w:szCs w:val="24"/>
          <w:shd w:val="clear" w:color="auto" w:fill="FFFFFF"/>
        </w:rPr>
        <w:t xml:space="preserve">) </w:t>
      </w:r>
      <w:r w:rsidR="008F7E3F" w:rsidRPr="003C1B12">
        <w:rPr>
          <w:rFonts w:ascii="Times New Roman" w:hAnsi="Times New Roman" w:cs="Times New Roman"/>
          <w:color w:val="000000" w:themeColor="text1"/>
          <w:sz w:val="24"/>
          <w:szCs w:val="24"/>
          <w:shd w:val="clear" w:color="auto" w:fill="FFFFFF"/>
        </w:rPr>
        <w:t xml:space="preserve">kopīga </w:t>
      </w:r>
      <w:r w:rsidR="00377196" w:rsidRPr="003C1B12">
        <w:rPr>
          <w:rFonts w:ascii="Times New Roman" w:hAnsi="Times New Roman" w:cs="Times New Roman"/>
          <w:color w:val="000000" w:themeColor="text1"/>
          <w:sz w:val="24"/>
          <w:szCs w:val="24"/>
          <w:shd w:val="clear" w:color="auto" w:fill="FFFFFF"/>
        </w:rPr>
        <w:t>projekta</w:t>
      </w:r>
      <w:r w:rsidR="008F7E3F" w:rsidRPr="003C1B12">
        <w:rPr>
          <w:rFonts w:ascii="Times New Roman" w:hAnsi="Times New Roman" w:cs="Times New Roman"/>
          <w:color w:val="000000" w:themeColor="text1"/>
          <w:sz w:val="24"/>
          <w:szCs w:val="24"/>
          <w:shd w:val="clear" w:color="auto" w:fill="FFFFFF"/>
        </w:rPr>
        <w:t xml:space="preserve"> īs</w:t>
      </w:r>
      <w:r w:rsidR="00377196" w:rsidRPr="003C1B12">
        <w:rPr>
          <w:rFonts w:ascii="Times New Roman" w:hAnsi="Times New Roman" w:cs="Times New Roman"/>
          <w:color w:val="000000" w:themeColor="text1"/>
          <w:sz w:val="24"/>
          <w:szCs w:val="24"/>
          <w:shd w:val="clear" w:color="auto" w:fill="FFFFFF"/>
        </w:rPr>
        <w:t>t</w:t>
      </w:r>
      <w:r w:rsidR="008F7E3F" w:rsidRPr="003C1B12">
        <w:rPr>
          <w:rFonts w:ascii="Times New Roman" w:hAnsi="Times New Roman" w:cs="Times New Roman"/>
          <w:color w:val="000000" w:themeColor="text1"/>
          <w:sz w:val="24"/>
          <w:szCs w:val="24"/>
          <w:shd w:val="clear" w:color="auto" w:fill="FFFFFF"/>
        </w:rPr>
        <w:t>e</w:t>
      </w:r>
      <w:r w:rsidR="00377196" w:rsidRPr="003C1B12">
        <w:rPr>
          <w:rFonts w:ascii="Times New Roman" w:hAnsi="Times New Roman" w:cs="Times New Roman"/>
          <w:color w:val="000000" w:themeColor="text1"/>
          <w:sz w:val="24"/>
          <w:szCs w:val="24"/>
          <w:shd w:val="clear" w:color="auto" w:fill="FFFFFF"/>
        </w:rPr>
        <w:t>no</w:t>
      </w:r>
      <w:r w:rsidR="008F7E3F" w:rsidRPr="003C1B12">
        <w:rPr>
          <w:rFonts w:ascii="Times New Roman" w:hAnsi="Times New Roman" w:cs="Times New Roman"/>
          <w:color w:val="000000" w:themeColor="text1"/>
          <w:sz w:val="24"/>
          <w:szCs w:val="24"/>
          <w:shd w:val="clear" w:color="auto" w:fill="FFFFFF"/>
        </w:rPr>
        <w:t>šan</w:t>
      </w:r>
      <w:r w:rsidR="00377196" w:rsidRPr="003C1B12">
        <w:rPr>
          <w:rFonts w:ascii="Times New Roman" w:hAnsi="Times New Roman" w:cs="Times New Roman"/>
          <w:color w:val="000000" w:themeColor="text1"/>
          <w:sz w:val="24"/>
          <w:szCs w:val="24"/>
          <w:shd w:val="clear" w:color="auto" w:fill="FFFFFF"/>
        </w:rPr>
        <w:t>ā un a</w:t>
      </w:r>
      <w:r w:rsidR="008F7E3F" w:rsidRPr="003C1B12">
        <w:rPr>
          <w:rFonts w:ascii="Times New Roman" w:hAnsi="Times New Roman" w:cs="Times New Roman"/>
          <w:color w:val="000000" w:themeColor="text1"/>
          <w:sz w:val="24"/>
          <w:szCs w:val="24"/>
          <w:shd w:val="clear" w:color="auto" w:fill="FFFFFF"/>
        </w:rPr>
        <w:t>tb</w:t>
      </w:r>
      <w:r w:rsidR="00377196" w:rsidRPr="003C1B12">
        <w:rPr>
          <w:rFonts w:ascii="Times New Roman" w:hAnsi="Times New Roman" w:cs="Times New Roman"/>
          <w:color w:val="000000" w:themeColor="text1"/>
          <w:sz w:val="24"/>
          <w:szCs w:val="24"/>
          <w:shd w:val="clear" w:color="auto" w:fill="FFFFFF"/>
        </w:rPr>
        <w:t>ils</w:t>
      </w:r>
      <w:r w:rsidR="008F7E3F" w:rsidRPr="003C1B12">
        <w:rPr>
          <w:rFonts w:ascii="Times New Roman" w:hAnsi="Times New Roman" w:cs="Times New Roman"/>
          <w:color w:val="000000" w:themeColor="text1"/>
          <w:sz w:val="24"/>
          <w:szCs w:val="24"/>
          <w:shd w:val="clear" w:color="auto" w:fill="FFFFFF"/>
        </w:rPr>
        <w:t>t</w:t>
      </w:r>
      <w:r w:rsidR="00377196" w:rsidRPr="003C1B12">
        <w:rPr>
          <w:rFonts w:ascii="Times New Roman" w:hAnsi="Times New Roman" w:cs="Times New Roman"/>
          <w:color w:val="000000" w:themeColor="text1"/>
          <w:sz w:val="24"/>
          <w:szCs w:val="24"/>
          <w:shd w:val="clear" w:color="auto" w:fill="FFFFFF"/>
        </w:rPr>
        <w:t>oši ieguldījumiem tam pieder intelektuālā īpašuma tie</w:t>
      </w:r>
      <w:r w:rsidR="008F7E3F" w:rsidRPr="003C1B12">
        <w:rPr>
          <w:rFonts w:ascii="Times New Roman" w:hAnsi="Times New Roman" w:cs="Times New Roman"/>
          <w:color w:val="000000" w:themeColor="text1"/>
          <w:sz w:val="24"/>
          <w:szCs w:val="24"/>
          <w:shd w:val="clear" w:color="auto" w:fill="FFFFFF"/>
        </w:rPr>
        <w:t>sī</w:t>
      </w:r>
      <w:r w:rsidR="00E8155F" w:rsidRPr="003C1B12">
        <w:rPr>
          <w:rFonts w:ascii="Times New Roman" w:hAnsi="Times New Roman" w:cs="Times New Roman"/>
          <w:color w:val="000000" w:themeColor="text1"/>
          <w:sz w:val="24"/>
          <w:szCs w:val="24"/>
          <w:shd w:val="clear" w:color="auto" w:fill="FFFFFF"/>
        </w:rPr>
        <w:t xml:space="preserve">bas </w:t>
      </w:r>
      <w:r w:rsidR="00377196" w:rsidRPr="003C1B12">
        <w:rPr>
          <w:rFonts w:ascii="Times New Roman" w:hAnsi="Times New Roman" w:cs="Times New Roman"/>
          <w:color w:val="000000" w:themeColor="text1"/>
          <w:sz w:val="24"/>
          <w:szCs w:val="24"/>
          <w:shd w:val="clear" w:color="auto" w:fill="FFFFFF"/>
        </w:rPr>
        <w:t xml:space="preserve">uz </w:t>
      </w:r>
      <w:r w:rsidR="008F7E3F" w:rsidRPr="003C1B12">
        <w:rPr>
          <w:rFonts w:ascii="Times New Roman" w:hAnsi="Times New Roman" w:cs="Times New Roman"/>
          <w:color w:val="000000" w:themeColor="text1"/>
          <w:sz w:val="24"/>
          <w:szCs w:val="24"/>
          <w:shd w:val="clear" w:color="auto" w:fill="FFFFFF"/>
        </w:rPr>
        <w:t>ra</w:t>
      </w:r>
      <w:r w:rsidR="00377196" w:rsidRPr="003C1B12">
        <w:rPr>
          <w:rFonts w:ascii="Times New Roman" w:hAnsi="Times New Roman" w:cs="Times New Roman"/>
          <w:color w:val="000000" w:themeColor="text1"/>
          <w:sz w:val="24"/>
          <w:szCs w:val="24"/>
          <w:shd w:val="clear" w:color="auto" w:fill="FFFFFF"/>
        </w:rPr>
        <w:t>d</w:t>
      </w:r>
      <w:r w:rsidR="008F7E3F" w:rsidRPr="003C1B12">
        <w:rPr>
          <w:rFonts w:ascii="Times New Roman" w:hAnsi="Times New Roman" w:cs="Times New Roman"/>
          <w:color w:val="000000" w:themeColor="text1"/>
          <w:sz w:val="24"/>
          <w:szCs w:val="24"/>
          <w:shd w:val="clear" w:color="auto" w:fill="FFFFFF"/>
        </w:rPr>
        <w:t>ī</w:t>
      </w:r>
      <w:r w:rsidR="00377196" w:rsidRPr="003C1B12">
        <w:rPr>
          <w:rFonts w:ascii="Times New Roman" w:hAnsi="Times New Roman" w:cs="Times New Roman"/>
          <w:color w:val="000000" w:themeColor="text1"/>
          <w:sz w:val="24"/>
          <w:szCs w:val="24"/>
          <w:shd w:val="clear" w:color="auto" w:fill="FFFFFF"/>
        </w:rPr>
        <w:t xml:space="preserve">to </w:t>
      </w:r>
      <w:r w:rsidR="008F7E3F" w:rsidRPr="003C1B12">
        <w:rPr>
          <w:rFonts w:ascii="Times New Roman" w:hAnsi="Times New Roman" w:cs="Times New Roman"/>
          <w:color w:val="000000" w:themeColor="text1"/>
          <w:sz w:val="24"/>
          <w:szCs w:val="24"/>
          <w:shd w:val="clear" w:color="auto" w:fill="FFFFFF"/>
        </w:rPr>
        <w:t>rezultātu un tam ir interese rezultātu turpmāk izlieto</w:t>
      </w:r>
      <w:r w:rsidR="00A10116" w:rsidRPr="003C1B12">
        <w:rPr>
          <w:rFonts w:ascii="Times New Roman" w:hAnsi="Times New Roman" w:cs="Times New Roman"/>
          <w:color w:val="000000" w:themeColor="text1"/>
          <w:sz w:val="24"/>
          <w:szCs w:val="24"/>
          <w:shd w:val="clear" w:color="auto" w:fill="FFFFFF"/>
        </w:rPr>
        <w:t>t</w:t>
      </w:r>
      <w:r w:rsidR="008F7E3F" w:rsidRPr="003C1B12">
        <w:rPr>
          <w:rFonts w:ascii="Times New Roman" w:hAnsi="Times New Roman" w:cs="Times New Roman"/>
          <w:color w:val="000000" w:themeColor="text1"/>
          <w:sz w:val="24"/>
          <w:szCs w:val="24"/>
          <w:shd w:val="clear" w:color="auto" w:fill="FFFFFF"/>
        </w:rPr>
        <w:t xml:space="preserve"> savā pamata darbīb</w:t>
      </w:r>
      <w:r w:rsidR="00EC2B0D" w:rsidRPr="003C1B12">
        <w:rPr>
          <w:rFonts w:ascii="Times New Roman" w:hAnsi="Times New Roman" w:cs="Times New Roman"/>
          <w:color w:val="000000" w:themeColor="text1"/>
          <w:sz w:val="24"/>
          <w:szCs w:val="24"/>
          <w:shd w:val="clear" w:color="auto" w:fill="FFFFFF"/>
        </w:rPr>
        <w:t>ā</w:t>
      </w:r>
      <w:r w:rsidR="008F7E3F" w:rsidRPr="003C1B12">
        <w:rPr>
          <w:rFonts w:ascii="Times New Roman" w:hAnsi="Times New Roman" w:cs="Times New Roman"/>
          <w:color w:val="000000" w:themeColor="text1"/>
          <w:sz w:val="24"/>
          <w:szCs w:val="24"/>
          <w:shd w:val="clear" w:color="auto" w:fill="FFFFFF"/>
        </w:rPr>
        <w:t xml:space="preserve"> vai nopelnīt to komercializējot. Tomēr šāda pieeja neder gadījumā, kad zinātniskā institūcija ir tikai pētniecības vai testēšanas pakalpojumu sniedzējs un tam nepieder intelektuālā īpašuma tiesības</w:t>
      </w:r>
      <w:r w:rsidR="00C53126" w:rsidRPr="003C1B12">
        <w:rPr>
          <w:rFonts w:ascii="Times New Roman" w:hAnsi="Times New Roman" w:cs="Times New Roman"/>
          <w:color w:val="000000" w:themeColor="text1"/>
          <w:sz w:val="24"/>
          <w:szCs w:val="24"/>
          <w:shd w:val="clear" w:color="auto" w:fill="FFFFFF"/>
        </w:rPr>
        <w:t xml:space="preserve"> uz rezultātu</w:t>
      </w:r>
      <w:r w:rsidR="008F7E3F" w:rsidRPr="003C1B12">
        <w:rPr>
          <w:rFonts w:ascii="Times New Roman" w:hAnsi="Times New Roman" w:cs="Times New Roman"/>
          <w:color w:val="000000" w:themeColor="text1"/>
          <w:sz w:val="24"/>
          <w:szCs w:val="24"/>
          <w:shd w:val="clear" w:color="auto" w:fill="FFFFFF"/>
        </w:rPr>
        <w:t xml:space="preserve">. Šādos gadījumos </w:t>
      </w:r>
      <w:r w:rsidR="007B5BD9" w:rsidRPr="003C1B12">
        <w:rPr>
          <w:rFonts w:ascii="Times New Roman" w:hAnsi="Times New Roman" w:cs="Times New Roman"/>
          <w:color w:val="000000" w:themeColor="text1"/>
          <w:sz w:val="24"/>
          <w:szCs w:val="24"/>
          <w:shd w:val="clear" w:color="auto" w:fill="FFFFFF"/>
        </w:rPr>
        <w:t>KC</w:t>
      </w:r>
      <w:r w:rsidR="008F7E3F" w:rsidRPr="003C1B12">
        <w:rPr>
          <w:rFonts w:ascii="Times New Roman" w:hAnsi="Times New Roman" w:cs="Times New Roman"/>
          <w:color w:val="000000" w:themeColor="text1"/>
          <w:sz w:val="24"/>
          <w:szCs w:val="24"/>
          <w:shd w:val="clear" w:color="auto" w:fill="FFFFFF"/>
        </w:rPr>
        <w:t xml:space="preserve"> vai komersantam ir zinātniskajai institūcijai jāatlīdzina pilna pakalpojuma cena, nevis tikai</w:t>
      </w:r>
      <w:r w:rsidR="004E3275" w:rsidRPr="003C1B12">
        <w:rPr>
          <w:rFonts w:ascii="Times New Roman" w:hAnsi="Times New Roman" w:cs="Times New Roman"/>
          <w:color w:val="000000" w:themeColor="text1"/>
          <w:sz w:val="24"/>
          <w:szCs w:val="24"/>
          <w:shd w:val="clear" w:color="auto" w:fill="FFFFFF"/>
        </w:rPr>
        <w:t xml:space="preserve"> daļa no pakalpojuma izmaksām.</w:t>
      </w:r>
    </w:p>
    <w:p w:rsidR="001130BB" w:rsidRPr="003C1B12" w:rsidRDefault="00377196" w:rsidP="009D209C">
      <w:pPr>
        <w:pStyle w:val="ListParagraph"/>
        <w:numPr>
          <w:ilvl w:val="0"/>
          <w:numId w:val="9"/>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 xml:space="preserve">Atsevišķos </w:t>
      </w:r>
      <w:r w:rsidR="007B5BD9" w:rsidRPr="003C1B12">
        <w:rPr>
          <w:rFonts w:ascii="Times New Roman" w:hAnsi="Times New Roman" w:cs="Times New Roman"/>
          <w:sz w:val="24"/>
          <w:szCs w:val="24"/>
        </w:rPr>
        <w:t>KC</w:t>
      </w:r>
      <w:r w:rsidRPr="003C1B12">
        <w:rPr>
          <w:rFonts w:ascii="Times New Roman" w:hAnsi="Times New Roman" w:cs="Times New Roman"/>
          <w:sz w:val="24"/>
          <w:szCs w:val="24"/>
        </w:rPr>
        <w:t xml:space="preserve"> tika identificētas g</w:t>
      </w:r>
      <w:r w:rsidR="003E49FD" w:rsidRPr="003C1B12">
        <w:rPr>
          <w:rFonts w:ascii="Times New Roman" w:hAnsi="Times New Roman" w:cs="Times New Roman"/>
          <w:sz w:val="24"/>
          <w:szCs w:val="24"/>
        </w:rPr>
        <w:t xml:space="preserve">rūtības piesaistīt </w:t>
      </w:r>
      <w:r w:rsidRPr="003C1B12">
        <w:rPr>
          <w:rFonts w:ascii="Times New Roman" w:hAnsi="Times New Roman" w:cs="Times New Roman"/>
          <w:sz w:val="24"/>
          <w:szCs w:val="24"/>
        </w:rPr>
        <w:t xml:space="preserve">zinātniskās institūcijas kā pakalpojumu sniedzējus to </w:t>
      </w:r>
      <w:r w:rsidR="003E49FD" w:rsidRPr="003C1B12">
        <w:rPr>
          <w:rFonts w:ascii="Times New Roman" w:hAnsi="Times New Roman" w:cs="Times New Roman"/>
          <w:sz w:val="24"/>
          <w:szCs w:val="24"/>
        </w:rPr>
        <w:t>zinātnisko darbinieku noslodzes dēļ</w:t>
      </w:r>
      <w:r w:rsidRPr="003C1B12">
        <w:rPr>
          <w:rFonts w:ascii="Times New Roman" w:hAnsi="Times New Roman" w:cs="Times New Roman"/>
          <w:sz w:val="24"/>
          <w:szCs w:val="24"/>
        </w:rPr>
        <w:t xml:space="preserve"> (pamatdarbā tiek izmantot</w:t>
      </w:r>
      <w:r w:rsidR="00EC2B0D" w:rsidRPr="003C1B12">
        <w:rPr>
          <w:rFonts w:ascii="Times New Roman" w:hAnsi="Times New Roman" w:cs="Times New Roman"/>
          <w:sz w:val="24"/>
          <w:szCs w:val="24"/>
        </w:rPr>
        <w:t>as</w:t>
      </w:r>
      <w:r w:rsidRPr="003C1B12">
        <w:rPr>
          <w:rFonts w:ascii="Times New Roman" w:hAnsi="Times New Roman" w:cs="Times New Roman"/>
          <w:sz w:val="24"/>
          <w:szCs w:val="24"/>
        </w:rPr>
        <w:t xml:space="preserve"> visas maksimālās atļautās darba stundas). </w:t>
      </w:r>
      <w:r w:rsidR="007B5BD9" w:rsidRPr="003C1B12">
        <w:rPr>
          <w:rFonts w:ascii="Times New Roman" w:hAnsi="Times New Roman" w:cs="Times New Roman"/>
          <w:sz w:val="24"/>
          <w:szCs w:val="24"/>
        </w:rPr>
        <w:t>KC</w:t>
      </w:r>
      <w:r w:rsidRPr="003C1B12">
        <w:rPr>
          <w:rFonts w:ascii="Times New Roman" w:hAnsi="Times New Roman" w:cs="Times New Roman"/>
          <w:sz w:val="24"/>
          <w:szCs w:val="24"/>
        </w:rPr>
        <w:t xml:space="preserve"> izvēlējās zinātnisko institūciju darbiniekus pieņemt darbā uz nepilnu slodzi, jo tas bija </w:t>
      </w:r>
      <w:r w:rsidR="00E8155F" w:rsidRPr="003C1B12">
        <w:rPr>
          <w:rFonts w:ascii="Times New Roman" w:hAnsi="Times New Roman" w:cs="Times New Roman"/>
          <w:sz w:val="24"/>
          <w:szCs w:val="24"/>
        </w:rPr>
        <w:t xml:space="preserve">administratīvi </w:t>
      </w:r>
      <w:r w:rsidR="00EC2B0D" w:rsidRPr="003C1B12">
        <w:rPr>
          <w:rFonts w:ascii="Times New Roman" w:hAnsi="Times New Roman" w:cs="Times New Roman"/>
          <w:sz w:val="24"/>
          <w:szCs w:val="24"/>
        </w:rPr>
        <w:t>piemērotāks</w:t>
      </w:r>
      <w:r w:rsidRPr="003C1B12">
        <w:rPr>
          <w:rFonts w:ascii="Times New Roman" w:hAnsi="Times New Roman" w:cs="Times New Roman"/>
          <w:sz w:val="24"/>
          <w:szCs w:val="24"/>
        </w:rPr>
        <w:t xml:space="preserve"> risinājums.</w:t>
      </w:r>
    </w:p>
    <w:p w:rsidR="001130BB" w:rsidRPr="003C1B12" w:rsidRDefault="001130BB" w:rsidP="00AD5239">
      <w:pPr>
        <w:pStyle w:val="ListParagraph"/>
        <w:numPr>
          <w:ilvl w:val="0"/>
          <w:numId w:val="9"/>
        </w:numPr>
        <w:spacing w:after="0" w:line="240" w:lineRule="auto"/>
        <w:jc w:val="both"/>
        <w:rPr>
          <w:rFonts w:ascii="Times New Roman" w:hAnsi="Times New Roman" w:cs="Times New Roman"/>
        </w:rPr>
      </w:pPr>
      <w:r w:rsidRPr="003C1B12">
        <w:rPr>
          <w:rFonts w:ascii="Times New Roman" w:hAnsi="Times New Roman" w:cs="Times New Roman"/>
          <w:sz w:val="24"/>
          <w:szCs w:val="24"/>
        </w:rPr>
        <w:t xml:space="preserve">Līdzšinējie </w:t>
      </w:r>
      <w:r w:rsidRPr="003C1B12">
        <w:rPr>
          <w:rFonts w:ascii="Times New Roman" w:hAnsi="Times New Roman" w:cs="Times New Roman"/>
          <w:bCs/>
          <w:sz w:val="24"/>
          <w:szCs w:val="24"/>
        </w:rPr>
        <w:t>atlīdzības apmēru ierobežojumi, kas tika noteikti tādi pa</w:t>
      </w:r>
      <w:r w:rsidR="00377196" w:rsidRPr="003C1B12">
        <w:rPr>
          <w:rFonts w:ascii="Times New Roman" w:hAnsi="Times New Roman" w:cs="Times New Roman"/>
          <w:bCs/>
          <w:sz w:val="24"/>
          <w:szCs w:val="24"/>
        </w:rPr>
        <w:t>ši</w:t>
      </w:r>
      <w:r w:rsidRPr="003C1B12">
        <w:rPr>
          <w:rFonts w:ascii="Times New Roman" w:hAnsi="Times New Roman" w:cs="Times New Roman"/>
          <w:bCs/>
          <w:sz w:val="24"/>
          <w:szCs w:val="24"/>
        </w:rPr>
        <w:t xml:space="preserve"> kā </w:t>
      </w:r>
      <w:r w:rsidR="00640D08" w:rsidRPr="003C1B12">
        <w:rPr>
          <w:rFonts w:ascii="Times New Roman" w:hAnsi="Times New Roman" w:cs="Times New Roman"/>
          <w:bCs/>
          <w:sz w:val="24"/>
          <w:szCs w:val="24"/>
        </w:rPr>
        <w:t>IZM</w:t>
      </w:r>
      <w:r w:rsidR="00377196" w:rsidRPr="003C1B12">
        <w:rPr>
          <w:rFonts w:ascii="Times New Roman" w:hAnsi="Times New Roman" w:cs="Times New Roman"/>
          <w:bCs/>
          <w:sz w:val="24"/>
          <w:szCs w:val="24"/>
        </w:rPr>
        <w:t xml:space="preserve"> </w:t>
      </w:r>
      <w:r w:rsidRPr="003C1B12">
        <w:rPr>
          <w:rFonts w:ascii="Times New Roman" w:hAnsi="Times New Roman" w:cs="Times New Roman"/>
          <w:bCs/>
          <w:sz w:val="24"/>
          <w:szCs w:val="24"/>
        </w:rPr>
        <w:t>ministrijas</w:t>
      </w:r>
      <w:r w:rsidR="00377196" w:rsidRPr="003C1B12">
        <w:rPr>
          <w:rFonts w:ascii="Times New Roman" w:hAnsi="Times New Roman" w:cs="Times New Roman"/>
          <w:bCs/>
          <w:sz w:val="24"/>
          <w:szCs w:val="24"/>
        </w:rPr>
        <w:t xml:space="preserve"> zinātniskās darbības atbalsta </w:t>
      </w:r>
      <w:r w:rsidRPr="003C1B12">
        <w:rPr>
          <w:rFonts w:ascii="Times New Roman" w:hAnsi="Times New Roman" w:cs="Times New Roman"/>
          <w:bCs/>
          <w:sz w:val="24"/>
          <w:szCs w:val="24"/>
        </w:rPr>
        <w:t>progr</w:t>
      </w:r>
      <w:r w:rsidR="00377196" w:rsidRPr="003C1B12">
        <w:rPr>
          <w:rFonts w:ascii="Times New Roman" w:hAnsi="Times New Roman" w:cs="Times New Roman"/>
          <w:bCs/>
          <w:sz w:val="24"/>
          <w:szCs w:val="24"/>
        </w:rPr>
        <w:t>a</w:t>
      </w:r>
      <w:r w:rsidRPr="003C1B12">
        <w:rPr>
          <w:rFonts w:ascii="Times New Roman" w:hAnsi="Times New Roman" w:cs="Times New Roman"/>
          <w:bCs/>
          <w:sz w:val="24"/>
          <w:szCs w:val="24"/>
        </w:rPr>
        <w:t>m</w:t>
      </w:r>
      <w:r w:rsidR="00377196" w:rsidRPr="003C1B12">
        <w:rPr>
          <w:rFonts w:ascii="Times New Roman" w:hAnsi="Times New Roman" w:cs="Times New Roman"/>
          <w:bCs/>
          <w:sz w:val="24"/>
          <w:szCs w:val="24"/>
        </w:rPr>
        <w:t>m</w:t>
      </w:r>
      <w:r w:rsidRPr="003C1B12">
        <w:rPr>
          <w:rFonts w:ascii="Times New Roman" w:hAnsi="Times New Roman" w:cs="Times New Roman"/>
          <w:bCs/>
          <w:sz w:val="24"/>
          <w:szCs w:val="24"/>
        </w:rPr>
        <w:t>ās un</w:t>
      </w:r>
      <w:r w:rsidR="00377196" w:rsidRPr="003C1B12">
        <w:rPr>
          <w:rFonts w:ascii="Times New Roman" w:hAnsi="Times New Roman" w:cs="Times New Roman"/>
          <w:bCs/>
          <w:sz w:val="24"/>
          <w:szCs w:val="24"/>
        </w:rPr>
        <w:t xml:space="preserve"> </w:t>
      </w:r>
      <w:r w:rsidRPr="003C1B12">
        <w:rPr>
          <w:rFonts w:ascii="Times New Roman" w:hAnsi="Times New Roman" w:cs="Times New Roman"/>
          <w:bCs/>
          <w:sz w:val="24"/>
          <w:szCs w:val="24"/>
        </w:rPr>
        <w:t>laika gaitā netika paaugstin</w:t>
      </w:r>
      <w:r w:rsidR="00377196" w:rsidRPr="003C1B12">
        <w:rPr>
          <w:rFonts w:ascii="Times New Roman" w:hAnsi="Times New Roman" w:cs="Times New Roman"/>
          <w:bCs/>
          <w:sz w:val="24"/>
          <w:szCs w:val="24"/>
        </w:rPr>
        <w:t>ā</w:t>
      </w:r>
      <w:r w:rsidRPr="003C1B12">
        <w:rPr>
          <w:rFonts w:ascii="Times New Roman" w:hAnsi="Times New Roman" w:cs="Times New Roman"/>
          <w:bCs/>
          <w:sz w:val="24"/>
          <w:szCs w:val="24"/>
        </w:rPr>
        <w:t>ti ir bijis šķērslis komersantiem p</w:t>
      </w:r>
      <w:r w:rsidR="00377196" w:rsidRPr="003C1B12">
        <w:rPr>
          <w:rFonts w:ascii="Times New Roman" w:hAnsi="Times New Roman" w:cs="Times New Roman"/>
          <w:bCs/>
          <w:sz w:val="24"/>
          <w:szCs w:val="24"/>
        </w:rPr>
        <w:t>ie</w:t>
      </w:r>
      <w:r w:rsidRPr="003C1B12">
        <w:rPr>
          <w:rFonts w:ascii="Times New Roman" w:hAnsi="Times New Roman" w:cs="Times New Roman"/>
          <w:bCs/>
          <w:sz w:val="24"/>
          <w:szCs w:val="24"/>
        </w:rPr>
        <w:t>d</w:t>
      </w:r>
      <w:r w:rsidR="00377196" w:rsidRPr="003C1B12">
        <w:rPr>
          <w:rFonts w:ascii="Times New Roman" w:hAnsi="Times New Roman" w:cs="Times New Roman"/>
          <w:bCs/>
          <w:sz w:val="24"/>
          <w:szCs w:val="24"/>
        </w:rPr>
        <w:t>ā</w:t>
      </w:r>
      <w:r w:rsidRPr="003C1B12">
        <w:rPr>
          <w:rFonts w:ascii="Times New Roman" w:hAnsi="Times New Roman" w:cs="Times New Roman"/>
          <w:bCs/>
          <w:sz w:val="24"/>
          <w:szCs w:val="24"/>
        </w:rPr>
        <w:t>vāt konkur</w:t>
      </w:r>
      <w:r w:rsidR="00377196" w:rsidRPr="003C1B12">
        <w:rPr>
          <w:rFonts w:ascii="Times New Roman" w:hAnsi="Times New Roman" w:cs="Times New Roman"/>
          <w:bCs/>
          <w:sz w:val="24"/>
          <w:szCs w:val="24"/>
        </w:rPr>
        <w:t>ē</w:t>
      </w:r>
      <w:r w:rsidRPr="003C1B12">
        <w:rPr>
          <w:rFonts w:ascii="Times New Roman" w:hAnsi="Times New Roman" w:cs="Times New Roman"/>
          <w:bCs/>
          <w:sz w:val="24"/>
          <w:szCs w:val="24"/>
        </w:rPr>
        <w:t>t</w:t>
      </w:r>
      <w:r w:rsidR="00377196" w:rsidRPr="003C1B12">
        <w:rPr>
          <w:rFonts w:ascii="Times New Roman" w:hAnsi="Times New Roman" w:cs="Times New Roman"/>
          <w:bCs/>
          <w:sz w:val="24"/>
          <w:szCs w:val="24"/>
        </w:rPr>
        <w:t>sp</w:t>
      </w:r>
      <w:r w:rsidRPr="003C1B12">
        <w:rPr>
          <w:rFonts w:ascii="Times New Roman" w:hAnsi="Times New Roman" w:cs="Times New Roman"/>
          <w:bCs/>
          <w:sz w:val="24"/>
          <w:szCs w:val="24"/>
        </w:rPr>
        <w:t>ējīgu atlīdzību un</w:t>
      </w:r>
      <w:r w:rsidR="00377196" w:rsidRPr="003C1B12">
        <w:rPr>
          <w:rFonts w:ascii="Times New Roman" w:hAnsi="Times New Roman" w:cs="Times New Roman"/>
          <w:bCs/>
          <w:sz w:val="24"/>
          <w:szCs w:val="24"/>
        </w:rPr>
        <w:t xml:space="preserve"> </w:t>
      </w:r>
      <w:r w:rsidRPr="003C1B12">
        <w:rPr>
          <w:rFonts w:ascii="Times New Roman" w:hAnsi="Times New Roman" w:cs="Times New Roman"/>
          <w:bCs/>
          <w:sz w:val="24"/>
          <w:szCs w:val="24"/>
        </w:rPr>
        <w:t>pies</w:t>
      </w:r>
      <w:r w:rsidR="00377196" w:rsidRPr="003C1B12">
        <w:rPr>
          <w:rFonts w:ascii="Times New Roman" w:hAnsi="Times New Roman" w:cs="Times New Roman"/>
          <w:bCs/>
          <w:sz w:val="24"/>
          <w:szCs w:val="24"/>
        </w:rPr>
        <w:t>aistī</w:t>
      </w:r>
      <w:r w:rsidRPr="003C1B12">
        <w:rPr>
          <w:rFonts w:ascii="Times New Roman" w:hAnsi="Times New Roman" w:cs="Times New Roman"/>
          <w:bCs/>
          <w:sz w:val="24"/>
          <w:szCs w:val="24"/>
        </w:rPr>
        <w:t>t zin</w:t>
      </w:r>
      <w:r w:rsidR="00377196" w:rsidRPr="003C1B12">
        <w:rPr>
          <w:rFonts w:ascii="Times New Roman" w:hAnsi="Times New Roman" w:cs="Times New Roman"/>
          <w:bCs/>
          <w:sz w:val="24"/>
          <w:szCs w:val="24"/>
        </w:rPr>
        <w:t>ā</w:t>
      </w:r>
      <w:r w:rsidRPr="003C1B12">
        <w:rPr>
          <w:rFonts w:ascii="Times New Roman" w:hAnsi="Times New Roman" w:cs="Times New Roman"/>
          <w:bCs/>
          <w:sz w:val="24"/>
          <w:szCs w:val="24"/>
        </w:rPr>
        <w:t>t</w:t>
      </w:r>
      <w:r w:rsidR="00377196" w:rsidRPr="003C1B12">
        <w:rPr>
          <w:rFonts w:ascii="Times New Roman" w:hAnsi="Times New Roman" w:cs="Times New Roman"/>
          <w:bCs/>
          <w:sz w:val="24"/>
          <w:szCs w:val="24"/>
        </w:rPr>
        <w:t>n</w:t>
      </w:r>
      <w:r w:rsidR="004A2BF1" w:rsidRPr="003C1B12">
        <w:rPr>
          <w:rFonts w:ascii="Times New Roman" w:hAnsi="Times New Roman" w:cs="Times New Roman"/>
          <w:bCs/>
          <w:sz w:val="24"/>
          <w:szCs w:val="24"/>
        </w:rPr>
        <w:t xml:space="preserve">iskos darbiniekus no </w:t>
      </w:r>
      <w:r w:rsidRPr="003C1B12">
        <w:rPr>
          <w:rFonts w:ascii="Times New Roman" w:hAnsi="Times New Roman" w:cs="Times New Roman"/>
          <w:bCs/>
          <w:sz w:val="24"/>
          <w:szCs w:val="24"/>
        </w:rPr>
        <w:t>Lat</w:t>
      </w:r>
      <w:r w:rsidR="00377196" w:rsidRPr="003C1B12">
        <w:rPr>
          <w:rFonts w:ascii="Times New Roman" w:hAnsi="Times New Roman" w:cs="Times New Roman"/>
          <w:bCs/>
          <w:sz w:val="24"/>
          <w:szCs w:val="24"/>
        </w:rPr>
        <w:t>vi</w:t>
      </w:r>
      <w:r w:rsidRPr="003C1B12">
        <w:rPr>
          <w:rFonts w:ascii="Times New Roman" w:hAnsi="Times New Roman" w:cs="Times New Roman"/>
          <w:bCs/>
          <w:sz w:val="24"/>
          <w:szCs w:val="24"/>
        </w:rPr>
        <w:t xml:space="preserve">jas vai </w:t>
      </w:r>
      <w:r w:rsidR="00377196" w:rsidRPr="003C1B12">
        <w:rPr>
          <w:rFonts w:ascii="Times New Roman" w:hAnsi="Times New Roman" w:cs="Times New Roman"/>
          <w:bCs/>
          <w:sz w:val="24"/>
          <w:szCs w:val="24"/>
        </w:rPr>
        <w:t>ār</w:t>
      </w:r>
      <w:r w:rsidRPr="003C1B12">
        <w:rPr>
          <w:rFonts w:ascii="Times New Roman" w:hAnsi="Times New Roman" w:cs="Times New Roman"/>
          <w:bCs/>
          <w:sz w:val="24"/>
          <w:szCs w:val="24"/>
        </w:rPr>
        <w:t>v</w:t>
      </w:r>
      <w:r w:rsidR="00377196" w:rsidRPr="003C1B12">
        <w:rPr>
          <w:rFonts w:ascii="Times New Roman" w:hAnsi="Times New Roman" w:cs="Times New Roman"/>
          <w:bCs/>
          <w:sz w:val="24"/>
          <w:szCs w:val="24"/>
        </w:rPr>
        <w:t>a</w:t>
      </w:r>
      <w:r w:rsidRPr="003C1B12">
        <w:rPr>
          <w:rFonts w:ascii="Times New Roman" w:hAnsi="Times New Roman" w:cs="Times New Roman"/>
          <w:bCs/>
          <w:sz w:val="24"/>
          <w:szCs w:val="24"/>
        </w:rPr>
        <w:t>l</w:t>
      </w:r>
      <w:r w:rsidR="00377196" w:rsidRPr="003C1B12">
        <w:rPr>
          <w:rFonts w:ascii="Times New Roman" w:hAnsi="Times New Roman" w:cs="Times New Roman"/>
          <w:bCs/>
          <w:sz w:val="24"/>
          <w:szCs w:val="24"/>
        </w:rPr>
        <w:t>stī</w:t>
      </w:r>
      <w:r w:rsidRPr="003C1B12">
        <w:rPr>
          <w:rFonts w:ascii="Times New Roman" w:hAnsi="Times New Roman" w:cs="Times New Roman"/>
          <w:bCs/>
          <w:sz w:val="24"/>
          <w:szCs w:val="24"/>
        </w:rPr>
        <w:t>m. Komers</w:t>
      </w:r>
      <w:r w:rsidR="00377196" w:rsidRPr="003C1B12">
        <w:rPr>
          <w:rFonts w:ascii="Times New Roman" w:hAnsi="Times New Roman" w:cs="Times New Roman"/>
          <w:bCs/>
          <w:sz w:val="24"/>
          <w:szCs w:val="24"/>
        </w:rPr>
        <w:t>an</w:t>
      </w:r>
      <w:r w:rsidRPr="003C1B12">
        <w:rPr>
          <w:rFonts w:ascii="Times New Roman" w:hAnsi="Times New Roman" w:cs="Times New Roman"/>
          <w:bCs/>
          <w:sz w:val="24"/>
          <w:szCs w:val="24"/>
        </w:rPr>
        <w:t>t</w:t>
      </w:r>
      <w:r w:rsidR="00377196" w:rsidRPr="003C1B12">
        <w:rPr>
          <w:rFonts w:ascii="Times New Roman" w:hAnsi="Times New Roman" w:cs="Times New Roman"/>
          <w:bCs/>
          <w:sz w:val="24"/>
          <w:szCs w:val="24"/>
        </w:rPr>
        <w:t>i</w:t>
      </w:r>
      <w:r w:rsidR="004A2BF1" w:rsidRPr="003C1B12">
        <w:rPr>
          <w:rFonts w:ascii="Times New Roman" w:hAnsi="Times New Roman" w:cs="Times New Roman"/>
          <w:bCs/>
          <w:sz w:val="24"/>
          <w:szCs w:val="24"/>
        </w:rPr>
        <w:t xml:space="preserve"> </w:t>
      </w:r>
      <w:r w:rsidRPr="003C1B12">
        <w:rPr>
          <w:rFonts w:ascii="Times New Roman" w:hAnsi="Times New Roman" w:cs="Times New Roman"/>
          <w:bCs/>
          <w:sz w:val="24"/>
          <w:szCs w:val="24"/>
        </w:rPr>
        <w:t>pal</w:t>
      </w:r>
      <w:r w:rsidR="00377196" w:rsidRPr="003C1B12">
        <w:rPr>
          <w:rFonts w:ascii="Times New Roman" w:hAnsi="Times New Roman" w:cs="Times New Roman"/>
          <w:bCs/>
          <w:sz w:val="24"/>
          <w:szCs w:val="24"/>
        </w:rPr>
        <w:t>i</w:t>
      </w:r>
      <w:r w:rsidRPr="003C1B12">
        <w:rPr>
          <w:rFonts w:ascii="Times New Roman" w:hAnsi="Times New Roman" w:cs="Times New Roman"/>
          <w:bCs/>
          <w:sz w:val="24"/>
          <w:szCs w:val="24"/>
        </w:rPr>
        <w:t>e</w:t>
      </w:r>
      <w:r w:rsidR="00377196" w:rsidRPr="003C1B12">
        <w:rPr>
          <w:rFonts w:ascii="Times New Roman" w:hAnsi="Times New Roman" w:cs="Times New Roman"/>
          <w:bCs/>
          <w:sz w:val="24"/>
          <w:szCs w:val="24"/>
        </w:rPr>
        <w:t>l</w:t>
      </w:r>
      <w:r w:rsidRPr="003C1B12">
        <w:rPr>
          <w:rFonts w:ascii="Times New Roman" w:hAnsi="Times New Roman" w:cs="Times New Roman"/>
          <w:bCs/>
          <w:sz w:val="24"/>
          <w:szCs w:val="24"/>
        </w:rPr>
        <w:t>inā</w:t>
      </w:r>
      <w:r w:rsidR="00377196" w:rsidRPr="003C1B12">
        <w:rPr>
          <w:rFonts w:ascii="Times New Roman" w:hAnsi="Times New Roman" w:cs="Times New Roman"/>
          <w:bCs/>
          <w:sz w:val="24"/>
          <w:szCs w:val="24"/>
        </w:rPr>
        <w:t>ja</w:t>
      </w:r>
      <w:r w:rsidRPr="003C1B12">
        <w:rPr>
          <w:rFonts w:ascii="Times New Roman" w:hAnsi="Times New Roman" w:cs="Times New Roman"/>
          <w:bCs/>
          <w:sz w:val="24"/>
          <w:szCs w:val="24"/>
        </w:rPr>
        <w:t xml:space="preserve"> savu līdzfin</w:t>
      </w:r>
      <w:r w:rsidR="00377196" w:rsidRPr="003C1B12">
        <w:rPr>
          <w:rFonts w:ascii="Times New Roman" w:hAnsi="Times New Roman" w:cs="Times New Roman"/>
          <w:bCs/>
          <w:sz w:val="24"/>
          <w:szCs w:val="24"/>
        </w:rPr>
        <w:t>an</w:t>
      </w:r>
      <w:r w:rsidRPr="003C1B12">
        <w:rPr>
          <w:rFonts w:ascii="Times New Roman" w:hAnsi="Times New Roman" w:cs="Times New Roman"/>
          <w:bCs/>
          <w:sz w:val="24"/>
          <w:szCs w:val="24"/>
        </w:rPr>
        <w:t>sējumu</w:t>
      </w:r>
      <w:r w:rsidR="00377196" w:rsidRPr="003C1B12">
        <w:rPr>
          <w:rFonts w:ascii="Times New Roman" w:hAnsi="Times New Roman" w:cs="Times New Roman"/>
          <w:bCs/>
          <w:sz w:val="24"/>
          <w:szCs w:val="24"/>
        </w:rPr>
        <w:t xml:space="preserve"> </w:t>
      </w:r>
      <w:r w:rsidRPr="003C1B12">
        <w:rPr>
          <w:rFonts w:ascii="Times New Roman" w:hAnsi="Times New Roman" w:cs="Times New Roman"/>
          <w:bCs/>
          <w:sz w:val="24"/>
          <w:szCs w:val="24"/>
        </w:rPr>
        <w:t>vai attei</w:t>
      </w:r>
      <w:r w:rsidR="00377196" w:rsidRPr="003C1B12">
        <w:rPr>
          <w:rFonts w:ascii="Times New Roman" w:hAnsi="Times New Roman" w:cs="Times New Roman"/>
          <w:bCs/>
          <w:sz w:val="24"/>
          <w:szCs w:val="24"/>
        </w:rPr>
        <w:t>cās</w:t>
      </w:r>
      <w:r w:rsidRPr="003C1B12">
        <w:rPr>
          <w:rFonts w:ascii="Times New Roman" w:hAnsi="Times New Roman" w:cs="Times New Roman"/>
          <w:bCs/>
          <w:sz w:val="24"/>
          <w:szCs w:val="24"/>
        </w:rPr>
        <w:t xml:space="preserve"> no </w:t>
      </w:r>
      <w:r w:rsidR="00377196" w:rsidRPr="003C1B12">
        <w:rPr>
          <w:rFonts w:ascii="Times New Roman" w:hAnsi="Times New Roman" w:cs="Times New Roman"/>
          <w:bCs/>
          <w:sz w:val="24"/>
          <w:szCs w:val="24"/>
        </w:rPr>
        <w:t>konkrēto speciālistu</w:t>
      </w:r>
      <w:r w:rsidRPr="003C1B12">
        <w:rPr>
          <w:rFonts w:ascii="Times New Roman" w:hAnsi="Times New Roman" w:cs="Times New Roman"/>
          <w:bCs/>
          <w:sz w:val="24"/>
          <w:szCs w:val="24"/>
        </w:rPr>
        <w:t xml:space="preserve"> p</w:t>
      </w:r>
      <w:r w:rsidR="00377196" w:rsidRPr="003C1B12">
        <w:rPr>
          <w:rFonts w:ascii="Times New Roman" w:hAnsi="Times New Roman" w:cs="Times New Roman"/>
          <w:bCs/>
          <w:sz w:val="24"/>
          <w:szCs w:val="24"/>
        </w:rPr>
        <w:t>ie</w:t>
      </w:r>
      <w:r w:rsidRPr="003C1B12">
        <w:rPr>
          <w:rFonts w:ascii="Times New Roman" w:hAnsi="Times New Roman" w:cs="Times New Roman"/>
          <w:bCs/>
          <w:sz w:val="24"/>
          <w:szCs w:val="24"/>
        </w:rPr>
        <w:t>sa</w:t>
      </w:r>
      <w:r w:rsidR="00377196" w:rsidRPr="003C1B12">
        <w:rPr>
          <w:rFonts w:ascii="Times New Roman" w:hAnsi="Times New Roman" w:cs="Times New Roman"/>
          <w:bCs/>
          <w:sz w:val="24"/>
          <w:szCs w:val="24"/>
        </w:rPr>
        <w:t>is</w:t>
      </w:r>
      <w:r w:rsidRPr="003C1B12">
        <w:rPr>
          <w:rFonts w:ascii="Times New Roman" w:hAnsi="Times New Roman" w:cs="Times New Roman"/>
          <w:bCs/>
          <w:sz w:val="24"/>
          <w:szCs w:val="24"/>
        </w:rPr>
        <w:t>tes. Īpa</w:t>
      </w:r>
      <w:r w:rsidR="00377196" w:rsidRPr="003C1B12">
        <w:rPr>
          <w:rFonts w:ascii="Times New Roman" w:hAnsi="Times New Roman" w:cs="Times New Roman"/>
          <w:bCs/>
          <w:sz w:val="24"/>
          <w:szCs w:val="24"/>
        </w:rPr>
        <w:t>ši</w:t>
      </w:r>
      <w:r w:rsidRPr="003C1B12">
        <w:rPr>
          <w:rFonts w:ascii="Times New Roman" w:hAnsi="Times New Roman" w:cs="Times New Roman"/>
          <w:bCs/>
          <w:sz w:val="24"/>
          <w:szCs w:val="24"/>
        </w:rPr>
        <w:t xml:space="preserve"> </w:t>
      </w:r>
      <w:r w:rsidR="00377196" w:rsidRPr="003C1B12">
        <w:rPr>
          <w:rFonts w:ascii="Times New Roman" w:hAnsi="Times New Roman" w:cs="Times New Roman"/>
          <w:bCs/>
          <w:sz w:val="24"/>
          <w:szCs w:val="24"/>
        </w:rPr>
        <w:t>š</w:t>
      </w:r>
      <w:r w:rsidRPr="003C1B12">
        <w:rPr>
          <w:rFonts w:ascii="Times New Roman" w:hAnsi="Times New Roman" w:cs="Times New Roman"/>
          <w:bCs/>
          <w:sz w:val="24"/>
          <w:szCs w:val="24"/>
        </w:rPr>
        <w:t>āda situ</w:t>
      </w:r>
      <w:r w:rsidR="00377196" w:rsidRPr="003C1B12">
        <w:rPr>
          <w:rFonts w:ascii="Times New Roman" w:hAnsi="Times New Roman" w:cs="Times New Roman"/>
          <w:bCs/>
          <w:sz w:val="24"/>
          <w:szCs w:val="24"/>
        </w:rPr>
        <w:t>āc</w:t>
      </w:r>
      <w:r w:rsidRPr="003C1B12">
        <w:rPr>
          <w:rFonts w:ascii="Times New Roman" w:hAnsi="Times New Roman" w:cs="Times New Roman"/>
          <w:bCs/>
          <w:sz w:val="24"/>
          <w:szCs w:val="24"/>
        </w:rPr>
        <w:t>ija</w:t>
      </w:r>
      <w:r w:rsidR="00377196" w:rsidRPr="003C1B12">
        <w:rPr>
          <w:rFonts w:ascii="Times New Roman" w:hAnsi="Times New Roman" w:cs="Times New Roman"/>
          <w:bCs/>
          <w:sz w:val="24"/>
          <w:szCs w:val="24"/>
        </w:rPr>
        <w:t xml:space="preserve"> </w:t>
      </w:r>
      <w:r w:rsidRPr="003C1B12">
        <w:rPr>
          <w:rFonts w:ascii="Times New Roman" w:hAnsi="Times New Roman" w:cs="Times New Roman"/>
          <w:bCs/>
          <w:sz w:val="24"/>
          <w:szCs w:val="24"/>
        </w:rPr>
        <w:t>nov</w:t>
      </w:r>
      <w:r w:rsidR="00377196" w:rsidRPr="003C1B12">
        <w:rPr>
          <w:rFonts w:ascii="Times New Roman" w:hAnsi="Times New Roman" w:cs="Times New Roman"/>
          <w:bCs/>
          <w:sz w:val="24"/>
          <w:szCs w:val="24"/>
        </w:rPr>
        <w:t>ēr</w:t>
      </w:r>
      <w:r w:rsidRPr="003C1B12">
        <w:rPr>
          <w:rFonts w:ascii="Times New Roman" w:hAnsi="Times New Roman" w:cs="Times New Roman"/>
          <w:bCs/>
          <w:sz w:val="24"/>
          <w:szCs w:val="24"/>
        </w:rPr>
        <w:t>ojam</w:t>
      </w:r>
      <w:r w:rsidR="00A10116" w:rsidRPr="003C1B12">
        <w:rPr>
          <w:rFonts w:ascii="Times New Roman" w:hAnsi="Times New Roman" w:cs="Times New Roman"/>
          <w:bCs/>
          <w:sz w:val="24"/>
          <w:szCs w:val="24"/>
        </w:rPr>
        <w:t>a</w:t>
      </w:r>
      <w:r w:rsidRPr="003C1B12">
        <w:rPr>
          <w:rFonts w:ascii="Times New Roman" w:hAnsi="Times New Roman" w:cs="Times New Roman"/>
          <w:bCs/>
          <w:sz w:val="24"/>
          <w:szCs w:val="24"/>
        </w:rPr>
        <w:t xml:space="preserve"> </w:t>
      </w:r>
      <w:r w:rsidR="00F61EB2" w:rsidRPr="003C1B12">
        <w:rPr>
          <w:rFonts w:ascii="Times New Roman" w:hAnsi="Times New Roman" w:cs="Times New Roman"/>
          <w:bCs/>
          <w:sz w:val="24"/>
          <w:szCs w:val="24"/>
        </w:rPr>
        <w:t>IKT</w:t>
      </w:r>
      <w:r w:rsidRPr="003C1B12">
        <w:rPr>
          <w:rFonts w:ascii="Times New Roman" w:hAnsi="Times New Roman" w:cs="Times New Roman"/>
          <w:bCs/>
          <w:sz w:val="24"/>
          <w:szCs w:val="24"/>
        </w:rPr>
        <w:t xml:space="preserve"> nozarē,</w:t>
      </w:r>
      <w:r w:rsidR="00377196" w:rsidRPr="003C1B12">
        <w:rPr>
          <w:rFonts w:ascii="Times New Roman" w:hAnsi="Times New Roman" w:cs="Times New Roman"/>
          <w:bCs/>
          <w:sz w:val="24"/>
          <w:szCs w:val="24"/>
        </w:rPr>
        <w:t xml:space="preserve"> </w:t>
      </w:r>
      <w:r w:rsidRPr="003C1B12">
        <w:rPr>
          <w:rFonts w:ascii="Times New Roman" w:hAnsi="Times New Roman" w:cs="Times New Roman"/>
          <w:bCs/>
          <w:sz w:val="24"/>
          <w:szCs w:val="24"/>
        </w:rPr>
        <w:t>kur</w:t>
      </w:r>
      <w:r w:rsidR="00632F65" w:rsidRPr="003C1B12">
        <w:rPr>
          <w:rFonts w:ascii="Times New Roman" w:hAnsi="Times New Roman" w:cs="Times New Roman"/>
          <w:bCs/>
          <w:sz w:val="24"/>
          <w:szCs w:val="24"/>
        </w:rPr>
        <w:t>ā</w:t>
      </w:r>
      <w:r w:rsidRPr="003C1B12">
        <w:rPr>
          <w:rFonts w:ascii="Times New Roman" w:hAnsi="Times New Roman" w:cs="Times New Roman"/>
          <w:bCs/>
          <w:sz w:val="24"/>
          <w:szCs w:val="24"/>
        </w:rPr>
        <w:t xml:space="preserve"> </w:t>
      </w:r>
      <w:r w:rsidR="00377196" w:rsidRPr="003C1B12">
        <w:rPr>
          <w:rFonts w:ascii="Times New Roman" w:hAnsi="Times New Roman" w:cs="Times New Roman"/>
          <w:bCs/>
          <w:sz w:val="24"/>
          <w:szCs w:val="24"/>
        </w:rPr>
        <w:t>vidējā atlīdzība ir augstāka kā citās jomās.</w:t>
      </w:r>
    </w:p>
    <w:p w:rsidR="001130BB" w:rsidRPr="003C1B12" w:rsidRDefault="001130BB" w:rsidP="001130BB">
      <w:pPr>
        <w:pStyle w:val="ListParagraph"/>
        <w:spacing w:after="0" w:line="240" w:lineRule="auto"/>
        <w:ind w:left="360"/>
        <w:jc w:val="both"/>
        <w:rPr>
          <w:rFonts w:ascii="Times New Roman" w:hAnsi="Times New Roman" w:cs="Times New Roman"/>
        </w:rPr>
      </w:pPr>
    </w:p>
    <w:p w:rsidR="000E3BBF" w:rsidRPr="003C1B12" w:rsidRDefault="000E3BBF" w:rsidP="000E3BBF">
      <w:pPr>
        <w:pStyle w:val="Heading2"/>
        <w:spacing w:before="0" w:after="120"/>
        <w:rPr>
          <w:rFonts w:ascii="Times New Roman" w:hAnsi="Times New Roman" w:cs="Times New Roman"/>
          <w:b/>
          <w:color w:val="31849B" w:themeColor="accent5" w:themeShade="BF"/>
          <w:sz w:val="24"/>
          <w:szCs w:val="24"/>
        </w:rPr>
      </w:pPr>
      <w:bookmarkStart w:id="26" w:name="_Toc427646472"/>
      <w:bookmarkStart w:id="27" w:name="_Toc427646558"/>
      <w:r w:rsidRPr="003C1B12">
        <w:rPr>
          <w:rFonts w:ascii="Times New Roman" w:hAnsi="Times New Roman" w:cs="Times New Roman"/>
          <w:color w:val="31849B" w:themeColor="accent5" w:themeShade="BF"/>
          <w:sz w:val="24"/>
        </w:rPr>
        <w:t>2.</w:t>
      </w:r>
      <w:r w:rsidR="00285DBF" w:rsidRPr="003C1B12">
        <w:rPr>
          <w:rFonts w:ascii="Times New Roman" w:hAnsi="Times New Roman" w:cs="Times New Roman"/>
          <w:color w:val="31849B" w:themeColor="accent5" w:themeShade="BF"/>
          <w:sz w:val="24"/>
        </w:rPr>
        <w:t>2</w:t>
      </w:r>
      <w:r w:rsidRPr="003C1B12">
        <w:rPr>
          <w:rFonts w:ascii="Times New Roman" w:hAnsi="Times New Roman" w:cs="Times New Roman"/>
          <w:color w:val="31849B" w:themeColor="accent5" w:themeShade="BF"/>
          <w:sz w:val="24"/>
        </w:rPr>
        <w:t>.3. Pētniecības projekt</w:t>
      </w:r>
      <w:r w:rsidR="008F7E3F" w:rsidRPr="003C1B12">
        <w:rPr>
          <w:rFonts w:ascii="Times New Roman" w:hAnsi="Times New Roman" w:cs="Times New Roman"/>
          <w:color w:val="31849B" w:themeColor="accent5" w:themeShade="BF"/>
          <w:sz w:val="24"/>
        </w:rPr>
        <w:t xml:space="preserve">u atlase, uzraudzība </w:t>
      </w:r>
      <w:r w:rsidRPr="003C1B12">
        <w:rPr>
          <w:rFonts w:ascii="Times New Roman" w:hAnsi="Times New Roman" w:cs="Times New Roman"/>
          <w:color w:val="31849B" w:themeColor="accent5" w:themeShade="BF"/>
          <w:sz w:val="24"/>
        </w:rPr>
        <w:t xml:space="preserve"> un rezultātu ieviešana</w:t>
      </w:r>
      <w:bookmarkEnd w:id="26"/>
      <w:bookmarkEnd w:id="27"/>
      <w:r w:rsidRPr="003C1B12">
        <w:rPr>
          <w:rFonts w:ascii="Times New Roman" w:hAnsi="Times New Roman" w:cs="Times New Roman"/>
          <w:color w:val="31849B" w:themeColor="accent5" w:themeShade="BF"/>
          <w:sz w:val="24"/>
        </w:rPr>
        <w:t xml:space="preserve"> </w:t>
      </w:r>
    </w:p>
    <w:p w:rsidR="008F7E3F" w:rsidRPr="003C1B12" w:rsidRDefault="00623637" w:rsidP="00623637">
      <w:pPr>
        <w:spacing w:after="0" w:line="240" w:lineRule="auto"/>
        <w:ind w:firstLine="720"/>
        <w:jc w:val="both"/>
        <w:rPr>
          <w:rFonts w:ascii="Times New Roman" w:eastAsia="Calibri" w:hAnsi="Times New Roman" w:cs="Times New Roman"/>
          <w:sz w:val="24"/>
          <w:szCs w:val="24"/>
        </w:rPr>
      </w:pPr>
      <w:r w:rsidRPr="003C1B12">
        <w:rPr>
          <w:rFonts w:ascii="Times New Roman" w:eastAsia="Calibri" w:hAnsi="Times New Roman" w:cs="Times New Roman"/>
          <w:sz w:val="24"/>
          <w:szCs w:val="24"/>
        </w:rPr>
        <w:t xml:space="preserve">Diskusijās kā </w:t>
      </w:r>
      <w:r w:rsidR="00675138" w:rsidRPr="003C1B12">
        <w:rPr>
          <w:rFonts w:ascii="Times New Roman" w:eastAsia="Calibri" w:hAnsi="Times New Roman" w:cs="Times New Roman"/>
          <w:sz w:val="24"/>
          <w:szCs w:val="24"/>
        </w:rPr>
        <w:t>galveno</w:t>
      </w:r>
      <w:r w:rsidRPr="003C1B12">
        <w:rPr>
          <w:rFonts w:ascii="Times New Roman" w:eastAsia="Calibri" w:hAnsi="Times New Roman" w:cs="Times New Roman"/>
          <w:sz w:val="24"/>
          <w:szCs w:val="24"/>
        </w:rPr>
        <w:t xml:space="preserve"> programmas </w:t>
      </w:r>
      <w:r w:rsidR="00675138" w:rsidRPr="003C1B12">
        <w:rPr>
          <w:rFonts w:ascii="Times New Roman" w:eastAsia="Calibri" w:hAnsi="Times New Roman" w:cs="Times New Roman"/>
          <w:sz w:val="24"/>
          <w:szCs w:val="24"/>
        </w:rPr>
        <w:t xml:space="preserve">pozitīvo </w:t>
      </w:r>
      <w:r w:rsidRPr="003C1B12">
        <w:rPr>
          <w:rFonts w:ascii="Times New Roman" w:eastAsia="Calibri" w:hAnsi="Times New Roman" w:cs="Times New Roman"/>
          <w:sz w:val="24"/>
          <w:szCs w:val="24"/>
        </w:rPr>
        <w:t>aspekt</w:t>
      </w:r>
      <w:r w:rsidR="00675138" w:rsidRPr="003C1B12">
        <w:rPr>
          <w:rFonts w:ascii="Times New Roman" w:eastAsia="Calibri" w:hAnsi="Times New Roman" w:cs="Times New Roman"/>
          <w:sz w:val="24"/>
          <w:szCs w:val="24"/>
        </w:rPr>
        <w:t>u</w:t>
      </w:r>
      <w:r w:rsidRPr="003C1B12">
        <w:rPr>
          <w:rFonts w:ascii="Times New Roman" w:eastAsia="Calibri" w:hAnsi="Times New Roman" w:cs="Times New Roman"/>
          <w:sz w:val="24"/>
          <w:szCs w:val="24"/>
        </w:rPr>
        <w:t xml:space="preserve"> komersanti uzsvēra to, ka p</w:t>
      </w:r>
      <w:r w:rsidR="008F7E3F" w:rsidRPr="003C1B12">
        <w:rPr>
          <w:rFonts w:ascii="Times New Roman" w:eastAsia="Calibri" w:hAnsi="Times New Roman" w:cs="Times New Roman"/>
          <w:sz w:val="24"/>
          <w:szCs w:val="24"/>
        </w:rPr>
        <w:t xml:space="preserve">rogrammas </w:t>
      </w:r>
      <w:r w:rsidRPr="003C1B12">
        <w:rPr>
          <w:rFonts w:ascii="Times New Roman" w:eastAsia="Calibri" w:hAnsi="Times New Roman" w:cs="Times New Roman"/>
          <w:sz w:val="24"/>
          <w:szCs w:val="24"/>
        </w:rPr>
        <w:t>ietvaros tiek</w:t>
      </w:r>
      <w:r w:rsidR="008F7E3F" w:rsidRPr="003C1B12">
        <w:rPr>
          <w:rFonts w:ascii="Times New Roman" w:eastAsia="Calibri" w:hAnsi="Times New Roman" w:cs="Times New Roman"/>
          <w:sz w:val="24"/>
          <w:szCs w:val="24"/>
        </w:rPr>
        <w:t xml:space="preserve"> sniegt</w:t>
      </w:r>
      <w:r w:rsidRPr="003C1B12">
        <w:rPr>
          <w:rFonts w:ascii="Times New Roman" w:eastAsia="Calibri" w:hAnsi="Times New Roman" w:cs="Times New Roman"/>
          <w:sz w:val="24"/>
          <w:szCs w:val="24"/>
        </w:rPr>
        <w:t>s</w:t>
      </w:r>
      <w:r w:rsidR="008F7E3F" w:rsidRPr="003C1B12">
        <w:rPr>
          <w:rFonts w:ascii="Times New Roman" w:eastAsia="Calibri" w:hAnsi="Times New Roman" w:cs="Times New Roman"/>
          <w:sz w:val="24"/>
          <w:szCs w:val="24"/>
        </w:rPr>
        <w:t xml:space="preserve"> atbalst</w:t>
      </w:r>
      <w:r w:rsidRPr="003C1B12">
        <w:rPr>
          <w:rFonts w:ascii="Times New Roman" w:eastAsia="Calibri" w:hAnsi="Times New Roman" w:cs="Times New Roman"/>
          <w:sz w:val="24"/>
          <w:szCs w:val="24"/>
        </w:rPr>
        <w:t>s</w:t>
      </w:r>
      <w:r w:rsidR="008F7E3F" w:rsidRPr="003C1B12">
        <w:rPr>
          <w:rFonts w:ascii="Times New Roman" w:eastAsia="Calibri" w:hAnsi="Times New Roman" w:cs="Times New Roman"/>
          <w:sz w:val="24"/>
          <w:szCs w:val="24"/>
        </w:rPr>
        <w:t xml:space="preserve"> </w:t>
      </w:r>
      <w:r w:rsidRPr="003C1B12">
        <w:rPr>
          <w:rFonts w:ascii="Times New Roman" w:eastAsia="Calibri" w:hAnsi="Times New Roman" w:cs="Times New Roman"/>
          <w:sz w:val="24"/>
          <w:szCs w:val="24"/>
        </w:rPr>
        <w:t xml:space="preserve">tieši </w:t>
      </w:r>
      <w:r w:rsidR="008F7E3F" w:rsidRPr="003C1B12">
        <w:rPr>
          <w:rFonts w:ascii="Times New Roman" w:eastAsia="Calibri" w:hAnsi="Times New Roman" w:cs="Times New Roman"/>
          <w:sz w:val="24"/>
          <w:szCs w:val="24"/>
        </w:rPr>
        <w:t>industrijas virzītu inovāciju attīstībai</w:t>
      </w:r>
      <w:r w:rsidR="00675138" w:rsidRPr="003C1B12">
        <w:rPr>
          <w:rFonts w:ascii="Times New Roman" w:eastAsia="Calibri" w:hAnsi="Times New Roman" w:cs="Times New Roman"/>
          <w:sz w:val="24"/>
          <w:szCs w:val="24"/>
        </w:rPr>
        <w:t xml:space="preserve"> un nepieciešamību </w:t>
      </w:r>
      <w:r w:rsidR="00A528BF" w:rsidRPr="003C1B12">
        <w:rPr>
          <w:rFonts w:ascii="Times New Roman" w:eastAsia="Calibri" w:hAnsi="Times New Roman" w:cs="Times New Roman"/>
          <w:sz w:val="24"/>
          <w:szCs w:val="24"/>
        </w:rPr>
        <w:t xml:space="preserve">saglābāt </w:t>
      </w:r>
      <w:r w:rsidR="007B5BD9" w:rsidRPr="003C1B12">
        <w:rPr>
          <w:rFonts w:ascii="Times New Roman" w:eastAsia="Calibri" w:hAnsi="Times New Roman" w:cs="Times New Roman"/>
          <w:sz w:val="24"/>
          <w:szCs w:val="24"/>
        </w:rPr>
        <w:t>KC</w:t>
      </w:r>
      <w:r w:rsidR="00A528BF" w:rsidRPr="003C1B12">
        <w:rPr>
          <w:rFonts w:ascii="Times New Roman" w:eastAsia="Calibri" w:hAnsi="Times New Roman" w:cs="Times New Roman"/>
          <w:sz w:val="24"/>
          <w:szCs w:val="24"/>
        </w:rPr>
        <w:t xml:space="preserve"> nozares partneru iesaisti pētniecības programmu un atbalstāmo projektu definēšanā.</w:t>
      </w:r>
      <w:r w:rsidR="00D570FF" w:rsidRPr="003C1B12">
        <w:rPr>
          <w:rFonts w:ascii="Times New Roman" w:eastAsia="Calibri" w:hAnsi="Times New Roman" w:cs="Times New Roman"/>
          <w:sz w:val="24"/>
          <w:szCs w:val="24"/>
        </w:rPr>
        <w:t xml:space="preserve"> Šobrīd katrs</w:t>
      </w:r>
      <w:r w:rsidR="00A528BF" w:rsidRPr="003C1B12">
        <w:rPr>
          <w:rFonts w:ascii="Times New Roman" w:eastAsia="Calibri" w:hAnsi="Times New Roman" w:cs="Times New Roman"/>
          <w:sz w:val="24"/>
          <w:szCs w:val="24"/>
        </w:rPr>
        <w:t xml:space="preserve"> </w:t>
      </w:r>
      <w:r w:rsidR="007B5BD9" w:rsidRPr="003C1B12">
        <w:rPr>
          <w:rFonts w:ascii="Times New Roman" w:eastAsia="Calibri" w:hAnsi="Times New Roman" w:cs="Times New Roman"/>
          <w:sz w:val="24"/>
          <w:szCs w:val="24"/>
        </w:rPr>
        <w:t>KC</w:t>
      </w:r>
      <w:r w:rsidR="00D570FF" w:rsidRPr="003C1B12">
        <w:rPr>
          <w:rFonts w:ascii="Times New Roman" w:eastAsia="Calibri" w:hAnsi="Times New Roman" w:cs="Times New Roman"/>
          <w:sz w:val="24"/>
          <w:szCs w:val="24"/>
        </w:rPr>
        <w:t xml:space="preserve"> ir noteicis savus pamatprincipus kā tiek atlasīt</w:t>
      </w:r>
      <w:r w:rsidR="004A2BF1" w:rsidRPr="003C1B12">
        <w:rPr>
          <w:rFonts w:ascii="Times New Roman" w:eastAsia="Calibri" w:hAnsi="Times New Roman" w:cs="Times New Roman"/>
          <w:sz w:val="24"/>
          <w:szCs w:val="24"/>
        </w:rPr>
        <w:t>i pētniecības projekti. Atlases</w:t>
      </w:r>
      <w:r w:rsidR="00D570FF" w:rsidRPr="003C1B12">
        <w:rPr>
          <w:rFonts w:ascii="Times New Roman" w:eastAsia="Calibri" w:hAnsi="Times New Roman" w:cs="Times New Roman"/>
          <w:sz w:val="24"/>
          <w:szCs w:val="24"/>
        </w:rPr>
        <w:t xml:space="preserve"> kritērijos galvenokārt dominē izvērtējums par partnera iespējām finansēt p</w:t>
      </w:r>
      <w:r w:rsidR="004A2BF1" w:rsidRPr="003C1B12">
        <w:rPr>
          <w:rFonts w:ascii="Times New Roman" w:eastAsia="Calibri" w:hAnsi="Times New Roman" w:cs="Times New Roman"/>
          <w:sz w:val="24"/>
          <w:szCs w:val="24"/>
        </w:rPr>
        <w:t xml:space="preserve">rojektus, bet tiek vērtēta arī </w:t>
      </w:r>
      <w:r w:rsidR="00D570FF" w:rsidRPr="003C1B12">
        <w:rPr>
          <w:rFonts w:ascii="Times New Roman" w:eastAsia="Calibri" w:hAnsi="Times New Roman" w:cs="Times New Roman"/>
          <w:sz w:val="24"/>
          <w:szCs w:val="24"/>
        </w:rPr>
        <w:t>atbilstība pētniecības virzieniem un atbalstāmajām darbībām, projekta idejas novitāte un pielietojums. L</w:t>
      </w:r>
      <w:r w:rsidR="00A528BF" w:rsidRPr="003C1B12">
        <w:rPr>
          <w:rFonts w:ascii="Times New Roman" w:eastAsia="Calibri" w:hAnsi="Times New Roman" w:cs="Times New Roman"/>
          <w:sz w:val="24"/>
          <w:szCs w:val="24"/>
        </w:rPr>
        <w:t>ai izvairītos no interešu konflikta projektu atlasē un paaugstinātu zinātnisko kvalitāti</w:t>
      </w:r>
      <w:r w:rsidR="00EC2B0D" w:rsidRPr="003C1B12">
        <w:rPr>
          <w:rFonts w:ascii="Times New Roman" w:eastAsia="Calibri" w:hAnsi="Times New Roman" w:cs="Times New Roman"/>
          <w:sz w:val="24"/>
          <w:szCs w:val="24"/>
        </w:rPr>
        <w:t>,</w:t>
      </w:r>
      <w:r w:rsidR="004A2BF1" w:rsidRPr="003C1B12">
        <w:rPr>
          <w:rFonts w:ascii="Times New Roman" w:eastAsia="Calibri" w:hAnsi="Times New Roman" w:cs="Times New Roman"/>
          <w:sz w:val="24"/>
          <w:szCs w:val="24"/>
        </w:rPr>
        <w:t xml:space="preserve"> </w:t>
      </w:r>
      <w:r w:rsidR="00A528BF" w:rsidRPr="003C1B12">
        <w:rPr>
          <w:rFonts w:ascii="Times New Roman" w:eastAsia="Calibri" w:hAnsi="Times New Roman" w:cs="Times New Roman"/>
          <w:sz w:val="24"/>
          <w:szCs w:val="24"/>
        </w:rPr>
        <w:t xml:space="preserve">nepieciešams izvērtēt </w:t>
      </w:r>
      <w:r w:rsidR="00EC2B0D" w:rsidRPr="003C1B12">
        <w:rPr>
          <w:rFonts w:ascii="Times New Roman" w:eastAsia="Calibri" w:hAnsi="Times New Roman" w:cs="Times New Roman"/>
          <w:sz w:val="24"/>
          <w:szCs w:val="24"/>
        </w:rPr>
        <w:t xml:space="preserve">iespēju </w:t>
      </w:r>
      <w:r w:rsidR="00A528BF" w:rsidRPr="003C1B12">
        <w:rPr>
          <w:rFonts w:ascii="Times New Roman" w:eastAsia="Calibri" w:hAnsi="Times New Roman" w:cs="Times New Roman"/>
          <w:sz w:val="24"/>
          <w:szCs w:val="24"/>
        </w:rPr>
        <w:t>pies</w:t>
      </w:r>
      <w:r w:rsidR="00D570FF" w:rsidRPr="003C1B12">
        <w:rPr>
          <w:rFonts w:ascii="Times New Roman" w:eastAsia="Calibri" w:hAnsi="Times New Roman" w:cs="Times New Roman"/>
          <w:sz w:val="24"/>
          <w:szCs w:val="24"/>
        </w:rPr>
        <w:t>a</w:t>
      </w:r>
      <w:r w:rsidR="00A528BF" w:rsidRPr="003C1B12">
        <w:rPr>
          <w:rFonts w:ascii="Times New Roman" w:eastAsia="Calibri" w:hAnsi="Times New Roman" w:cs="Times New Roman"/>
          <w:sz w:val="24"/>
          <w:szCs w:val="24"/>
        </w:rPr>
        <w:t>i</w:t>
      </w:r>
      <w:r w:rsidR="00D570FF" w:rsidRPr="003C1B12">
        <w:rPr>
          <w:rFonts w:ascii="Times New Roman" w:eastAsia="Calibri" w:hAnsi="Times New Roman" w:cs="Times New Roman"/>
          <w:sz w:val="24"/>
          <w:szCs w:val="24"/>
        </w:rPr>
        <w:t>s</w:t>
      </w:r>
      <w:r w:rsidR="00A528BF" w:rsidRPr="003C1B12">
        <w:rPr>
          <w:rFonts w:ascii="Times New Roman" w:eastAsia="Calibri" w:hAnsi="Times New Roman" w:cs="Times New Roman"/>
          <w:sz w:val="24"/>
          <w:szCs w:val="24"/>
        </w:rPr>
        <w:t>tīt papildu zin</w:t>
      </w:r>
      <w:r w:rsidR="00D570FF" w:rsidRPr="003C1B12">
        <w:rPr>
          <w:rFonts w:ascii="Times New Roman" w:eastAsia="Calibri" w:hAnsi="Times New Roman" w:cs="Times New Roman"/>
          <w:sz w:val="24"/>
          <w:szCs w:val="24"/>
        </w:rPr>
        <w:t>ā</w:t>
      </w:r>
      <w:r w:rsidR="00A528BF" w:rsidRPr="003C1B12">
        <w:rPr>
          <w:rFonts w:ascii="Times New Roman" w:eastAsia="Calibri" w:hAnsi="Times New Roman" w:cs="Times New Roman"/>
          <w:sz w:val="24"/>
          <w:szCs w:val="24"/>
        </w:rPr>
        <w:t>t</w:t>
      </w:r>
      <w:r w:rsidR="00D570FF" w:rsidRPr="003C1B12">
        <w:rPr>
          <w:rFonts w:ascii="Times New Roman" w:eastAsia="Calibri" w:hAnsi="Times New Roman" w:cs="Times New Roman"/>
          <w:sz w:val="24"/>
          <w:szCs w:val="24"/>
        </w:rPr>
        <w:t xml:space="preserve">nisko </w:t>
      </w:r>
      <w:r w:rsidR="00A528BF" w:rsidRPr="003C1B12">
        <w:rPr>
          <w:rFonts w:ascii="Times New Roman" w:eastAsia="Calibri" w:hAnsi="Times New Roman" w:cs="Times New Roman"/>
          <w:sz w:val="24"/>
          <w:szCs w:val="24"/>
        </w:rPr>
        <w:t>e</w:t>
      </w:r>
      <w:r w:rsidR="00D570FF" w:rsidRPr="003C1B12">
        <w:rPr>
          <w:rFonts w:ascii="Times New Roman" w:eastAsia="Calibri" w:hAnsi="Times New Roman" w:cs="Times New Roman"/>
          <w:sz w:val="24"/>
          <w:szCs w:val="24"/>
        </w:rPr>
        <w:t>ks</w:t>
      </w:r>
      <w:r w:rsidR="00A528BF" w:rsidRPr="003C1B12">
        <w:rPr>
          <w:rFonts w:ascii="Times New Roman" w:eastAsia="Calibri" w:hAnsi="Times New Roman" w:cs="Times New Roman"/>
          <w:sz w:val="24"/>
          <w:szCs w:val="24"/>
        </w:rPr>
        <w:t>p</w:t>
      </w:r>
      <w:r w:rsidR="00D570FF" w:rsidRPr="003C1B12">
        <w:rPr>
          <w:rFonts w:ascii="Times New Roman" w:eastAsia="Calibri" w:hAnsi="Times New Roman" w:cs="Times New Roman"/>
          <w:sz w:val="24"/>
          <w:szCs w:val="24"/>
        </w:rPr>
        <w:t>e</w:t>
      </w:r>
      <w:r w:rsidR="00A528BF" w:rsidRPr="003C1B12">
        <w:rPr>
          <w:rFonts w:ascii="Times New Roman" w:eastAsia="Calibri" w:hAnsi="Times New Roman" w:cs="Times New Roman"/>
          <w:sz w:val="24"/>
          <w:szCs w:val="24"/>
        </w:rPr>
        <w:t xml:space="preserve">rtīzi, </w:t>
      </w:r>
      <w:r w:rsidR="00632F65" w:rsidRPr="003C1B12">
        <w:rPr>
          <w:rFonts w:ascii="Times New Roman" w:eastAsia="Calibri" w:hAnsi="Times New Roman" w:cs="Times New Roman"/>
          <w:sz w:val="24"/>
          <w:szCs w:val="24"/>
        </w:rPr>
        <w:t>piemēram</w:t>
      </w:r>
      <w:r w:rsidR="00D570FF" w:rsidRPr="003C1B12">
        <w:rPr>
          <w:rFonts w:ascii="Times New Roman" w:eastAsia="Calibri" w:hAnsi="Times New Roman" w:cs="Times New Roman"/>
          <w:sz w:val="24"/>
          <w:szCs w:val="24"/>
        </w:rPr>
        <w:t>, piesaistot,</w:t>
      </w:r>
      <w:r w:rsidR="00A528BF" w:rsidRPr="003C1B12">
        <w:rPr>
          <w:rFonts w:ascii="Times New Roman" w:eastAsia="Calibri" w:hAnsi="Times New Roman" w:cs="Times New Roman"/>
          <w:sz w:val="24"/>
          <w:szCs w:val="24"/>
        </w:rPr>
        <w:t xml:space="preserve"> ekspertus no </w:t>
      </w:r>
      <w:r w:rsidR="00675138" w:rsidRPr="003C1B12">
        <w:rPr>
          <w:rFonts w:ascii="Times New Roman" w:eastAsia="Calibri" w:hAnsi="Times New Roman" w:cs="Times New Roman"/>
          <w:sz w:val="24"/>
          <w:szCs w:val="24"/>
        </w:rPr>
        <w:t xml:space="preserve">EK </w:t>
      </w:r>
      <w:r w:rsidR="00D570FF" w:rsidRPr="003C1B12">
        <w:rPr>
          <w:rFonts w:ascii="Times New Roman" w:eastAsia="Calibri" w:hAnsi="Times New Roman" w:cs="Times New Roman"/>
          <w:sz w:val="24"/>
          <w:szCs w:val="24"/>
        </w:rPr>
        <w:t>ekspertu</w:t>
      </w:r>
      <w:r w:rsidR="00A528BF" w:rsidRPr="003C1B12">
        <w:rPr>
          <w:rFonts w:ascii="Times New Roman" w:eastAsia="Calibri" w:hAnsi="Times New Roman" w:cs="Times New Roman"/>
          <w:sz w:val="24"/>
          <w:szCs w:val="24"/>
        </w:rPr>
        <w:t xml:space="preserve"> datu bāzes un v</w:t>
      </w:r>
      <w:r w:rsidR="00D570FF" w:rsidRPr="003C1B12">
        <w:rPr>
          <w:rFonts w:ascii="Times New Roman" w:eastAsia="Calibri" w:hAnsi="Times New Roman" w:cs="Times New Roman"/>
          <w:sz w:val="24"/>
          <w:szCs w:val="24"/>
        </w:rPr>
        <w:t>ei</w:t>
      </w:r>
      <w:r w:rsidR="00A528BF" w:rsidRPr="003C1B12">
        <w:rPr>
          <w:rFonts w:ascii="Times New Roman" w:eastAsia="Calibri" w:hAnsi="Times New Roman" w:cs="Times New Roman"/>
          <w:sz w:val="24"/>
          <w:szCs w:val="24"/>
        </w:rPr>
        <w:t>dojot ekspertu pa</w:t>
      </w:r>
      <w:r w:rsidR="00D570FF" w:rsidRPr="003C1B12">
        <w:rPr>
          <w:rFonts w:ascii="Times New Roman" w:eastAsia="Calibri" w:hAnsi="Times New Roman" w:cs="Times New Roman"/>
          <w:sz w:val="24"/>
          <w:szCs w:val="24"/>
        </w:rPr>
        <w:t>ne</w:t>
      </w:r>
      <w:r w:rsidR="00A528BF" w:rsidRPr="003C1B12">
        <w:rPr>
          <w:rFonts w:ascii="Times New Roman" w:eastAsia="Calibri" w:hAnsi="Times New Roman" w:cs="Times New Roman"/>
          <w:sz w:val="24"/>
          <w:szCs w:val="24"/>
        </w:rPr>
        <w:t>ļus kat</w:t>
      </w:r>
      <w:r w:rsidR="00D570FF" w:rsidRPr="003C1B12">
        <w:rPr>
          <w:rFonts w:ascii="Times New Roman" w:eastAsia="Calibri" w:hAnsi="Times New Roman" w:cs="Times New Roman"/>
          <w:sz w:val="24"/>
          <w:szCs w:val="24"/>
        </w:rPr>
        <w:t>r</w:t>
      </w:r>
      <w:r w:rsidR="00A528BF" w:rsidRPr="003C1B12">
        <w:rPr>
          <w:rFonts w:ascii="Times New Roman" w:eastAsia="Calibri" w:hAnsi="Times New Roman" w:cs="Times New Roman"/>
          <w:sz w:val="24"/>
          <w:szCs w:val="24"/>
        </w:rPr>
        <w:t>ā no jomām.</w:t>
      </w:r>
    </w:p>
    <w:p w:rsidR="001312F3" w:rsidRPr="003C1B12" w:rsidRDefault="00295B51" w:rsidP="001312F3">
      <w:pPr>
        <w:spacing w:after="0" w:line="240" w:lineRule="auto"/>
        <w:ind w:firstLine="720"/>
        <w:jc w:val="both"/>
        <w:rPr>
          <w:rFonts w:ascii="Times New Roman" w:eastAsia="Calibri" w:hAnsi="Times New Roman" w:cs="Times New Roman"/>
          <w:sz w:val="24"/>
          <w:szCs w:val="24"/>
        </w:rPr>
      </w:pPr>
      <w:r w:rsidRPr="003C1B12">
        <w:rPr>
          <w:rFonts w:ascii="Times New Roman" w:eastAsia="Calibri" w:hAnsi="Times New Roman" w:cs="Times New Roman"/>
          <w:sz w:val="24"/>
          <w:szCs w:val="24"/>
        </w:rPr>
        <w:t>Pētniecības projektu u</w:t>
      </w:r>
      <w:r w:rsidR="00D570FF" w:rsidRPr="003C1B12">
        <w:rPr>
          <w:rFonts w:ascii="Times New Roman" w:eastAsia="Calibri" w:hAnsi="Times New Roman" w:cs="Times New Roman"/>
          <w:sz w:val="24"/>
          <w:szCs w:val="24"/>
        </w:rPr>
        <w:t>zraudzības pilnveidošanai nepieciešams n</w:t>
      </w:r>
      <w:r w:rsidR="001312F3" w:rsidRPr="003C1B12">
        <w:rPr>
          <w:rFonts w:ascii="Times New Roman" w:eastAsia="Calibri" w:hAnsi="Times New Roman" w:cs="Times New Roman"/>
          <w:sz w:val="24"/>
          <w:szCs w:val="24"/>
        </w:rPr>
        <w:t>o</w:t>
      </w:r>
      <w:r w:rsidR="00D570FF" w:rsidRPr="003C1B12">
        <w:rPr>
          <w:rFonts w:ascii="Times New Roman" w:eastAsia="Calibri" w:hAnsi="Times New Roman" w:cs="Times New Roman"/>
          <w:sz w:val="24"/>
          <w:szCs w:val="24"/>
        </w:rPr>
        <w:t>tei</w:t>
      </w:r>
      <w:r w:rsidR="001312F3" w:rsidRPr="003C1B12">
        <w:rPr>
          <w:rFonts w:ascii="Times New Roman" w:eastAsia="Calibri" w:hAnsi="Times New Roman" w:cs="Times New Roman"/>
          <w:sz w:val="24"/>
          <w:szCs w:val="24"/>
        </w:rPr>
        <w:t>k</w:t>
      </w:r>
      <w:r w:rsidR="00D570FF" w:rsidRPr="003C1B12">
        <w:rPr>
          <w:rFonts w:ascii="Times New Roman" w:eastAsia="Calibri" w:hAnsi="Times New Roman" w:cs="Times New Roman"/>
          <w:sz w:val="24"/>
          <w:szCs w:val="24"/>
        </w:rPr>
        <w:t>t</w:t>
      </w:r>
      <w:r w:rsidR="001312F3" w:rsidRPr="003C1B12">
        <w:rPr>
          <w:rFonts w:ascii="Times New Roman" w:eastAsia="Calibri" w:hAnsi="Times New Roman" w:cs="Times New Roman"/>
          <w:sz w:val="24"/>
          <w:szCs w:val="24"/>
        </w:rPr>
        <w:t xml:space="preserve"> izpildāmos starpposma</w:t>
      </w:r>
      <w:r w:rsidR="00D570FF" w:rsidRPr="003C1B12">
        <w:rPr>
          <w:rFonts w:ascii="Times New Roman" w:eastAsia="Calibri" w:hAnsi="Times New Roman" w:cs="Times New Roman"/>
          <w:sz w:val="24"/>
          <w:szCs w:val="24"/>
        </w:rPr>
        <w:t xml:space="preserve"> rezultātus vai darbības (</w:t>
      </w:r>
      <w:r w:rsidR="001312F3" w:rsidRPr="003C1B12">
        <w:rPr>
          <w:rFonts w:ascii="Times New Roman" w:eastAsia="Calibri" w:hAnsi="Times New Roman" w:cs="Times New Roman"/>
          <w:i/>
          <w:iCs/>
          <w:sz w:val="24"/>
          <w:szCs w:val="24"/>
        </w:rPr>
        <w:t>mile-stones</w:t>
      </w:r>
      <w:r w:rsidR="00D570FF" w:rsidRPr="003C1B12">
        <w:rPr>
          <w:rFonts w:ascii="Times New Roman" w:eastAsia="Calibri" w:hAnsi="Times New Roman" w:cs="Times New Roman"/>
          <w:i/>
          <w:iCs/>
          <w:sz w:val="24"/>
          <w:szCs w:val="24"/>
        </w:rPr>
        <w:t>)</w:t>
      </w:r>
      <w:r w:rsidRPr="003C1B12">
        <w:rPr>
          <w:rFonts w:ascii="Times New Roman" w:eastAsia="Calibri" w:hAnsi="Times New Roman" w:cs="Times New Roman"/>
          <w:i/>
          <w:iCs/>
          <w:sz w:val="24"/>
          <w:szCs w:val="24"/>
        </w:rPr>
        <w:t>.</w:t>
      </w:r>
      <w:r w:rsidR="001312F3" w:rsidRPr="003C1B12">
        <w:rPr>
          <w:rFonts w:ascii="Times New Roman" w:eastAsia="Calibri" w:hAnsi="Times New Roman" w:cs="Times New Roman"/>
          <w:sz w:val="24"/>
          <w:szCs w:val="24"/>
        </w:rPr>
        <w:t xml:space="preserve"> </w:t>
      </w:r>
      <w:r w:rsidR="007B5BD9" w:rsidRPr="003C1B12">
        <w:rPr>
          <w:rFonts w:ascii="Times New Roman" w:eastAsia="Calibri" w:hAnsi="Times New Roman" w:cs="Times New Roman"/>
          <w:sz w:val="24"/>
          <w:szCs w:val="24"/>
        </w:rPr>
        <w:t>KC</w:t>
      </w:r>
      <w:r w:rsidR="00E10620" w:rsidRPr="003C1B12">
        <w:rPr>
          <w:rFonts w:ascii="Times New Roman" w:eastAsia="Calibri" w:hAnsi="Times New Roman" w:cs="Times New Roman"/>
          <w:sz w:val="24"/>
          <w:szCs w:val="24"/>
        </w:rPr>
        <w:t xml:space="preserve"> jāparedz resursi</w:t>
      </w:r>
      <w:r w:rsidRPr="003C1B12">
        <w:rPr>
          <w:rFonts w:ascii="Times New Roman" w:eastAsia="Calibri" w:hAnsi="Times New Roman" w:cs="Times New Roman"/>
          <w:sz w:val="24"/>
          <w:szCs w:val="24"/>
        </w:rPr>
        <w:t xml:space="preserve"> regulārai pētniecības projektu īstenošanas uzraudzībai sadarbībā ar ekspertiem</w:t>
      </w:r>
      <w:r w:rsidR="00EC2B0D" w:rsidRPr="003C1B12">
        <w:rPr>
          <w:rFonts w:ascii="Times New Roman" w:eastAsia="Calibri" w:hAnsi="Times New Roman" w:cs="Times New Roman"/>
          <w:sz w:val="24"/>
          <w:szCs w:val="24"/>
        </w:rPr>
        <w:t>, kuri</w:t>
      </w:r>
      <w:r w:rsidRPr="003C1B12">
        <w:rPr>
          <w:rFonts w:ascii="Times New Roman" w:eastAsia="Calibri" w:hAnsi="Times New Roman" w:cs="Times New Roman"/>
          <w:sz w:val="24"/>
          <w:szCs w:val="24"/>
        </w:rPr>
        <w:t xml:space="preserve"> sniedz rekomendācijas par nepieciešamajām izmaiņām projektā tā uzlabošanai vai pamatojumu projektu pārtraukša</w:t>
      </w:r>
      <w:r w:rsidR="001312F3" w:rsidRPr="003C1B12">
        <w:rPr>
          <w:rFonts w:ascii="Times New Roman" w:eastAsia="Calibri" w:hAnsi="Times New Roman" w:cs="Times New Roman"/>
          <w:sz w:val="24"/>
          <w:szCs w:val="24"/>
        </w:rPr>
        <w:t>nai.</w:t>
      </w:r>
    </w:p>
    <w:p w:rsidR="005746EA" w:rsidRPr="003C1B12" w:rsidRDefault="00295B51" w:rsidP="001312F3">
      <w:pPr>
        <w:spacing w:after="0" w:line="240" w:lineRule="auto"/>
        <w:ind w:firstLine="720"/>
        <w:jc w:val="both"/>
        <w:rPr>
          <w:rFonts w:ascii="Times New Roman" w:eastAsia="Calibri" w:hAnsi="Times New Roman" w:cs="Times New Roman"/>
          <w:sz w:val="24"/>
          <w:szCs w:val="24"/>
        </w:rPr>
      </w:pPr>
      <w:r w:rsidRPr="003C1B12">
        <w:rPr>
          <w:rFonts w:ascii="Times New Roman" w:eastAsia="Calibri" w:hAnsi="Times New Roman" w:cs="Times New Roman"/>
          <w:sz w:val="24"/>
          <w:szCs w:val="24"/>
        </w:rPr>
        <w:t xml:space="preserve">Programmas ietvaros atbalstu varēja saņemt gan rūpnieciskajiem pētījumiem, gan eksperimentālajai izstrādei. Saskaņā ar CSP datiem vidēji 53% no </w:t>
      </w:r>
      <w:r w:rsidR="00632F65" w:rsidRPr="003C1B12">
        <w:rPr>
          <w:rFonts w:ascii="Times New Roman" w:eastAsia="Calibri" w:hAnsi="Times New Roman" w:cs="Times New Roman"/>
          <w:sz w:val="24"/>
          <w:szCs w:val="24"/>
        </w:rPr>
        <w:t xml:space="preserve">finansējuma </w:t>
      </w:r>
      <w:r w:rsidR="00E10620" w:rsidRPr="003C1B12">
        <w:rPr>
          <w:rFonts w:ascii="Times New Roman" w:eastAsia="Calibri" w:hAnsi="Times New Roman" w:cs="Times New Roman"/>
          <w:sz w:val="24"/>
          <w:szCs w:val="24"/>
        </w:rPr>
        <w:t xml:space="preserve">uzņēmējdarbības sektorā </w:t>
      </w:r>
      <w:r w:rsidRPr="003C1B12">
        <w:rPr>
          <w:rFonts w:ascii="Times New Roman" w:eastAsia="Calibri" w:hAnsi="Times New Roman" w:cs="Times New Roman"/>
          <w:sz w:val="24"/>
          <w:szCs w:val="24"/>
        </w:rPr>
        <w:t>tiek ieguldīts tieši eksperimentālajās izstrādēs, kas ir tuvāk tirgum un parasti ir</w:t>
      </w:r>
      <w:r w:rsidR="00E10620" w:rsidRPr="003C1B12">
        <w:rPr>
          <w:rFonts w:ascii="Times New Roman" w:eastAsia="Calibri" w:hAnsi="Times New Roman" w:cs="Times New Roman"/>
          <w:sz w:val="24"/>
          <w:szCs w:val="24"/>
        </w:rPr>
        <w:t xml:space="preserve"> ar zemāku tehnoloģisko risku. </w:t>
      </w:r>
      <w:r w:rsidRPr="003C1B12">
        <w:rPr>
          <w:rFonts w:ascii="Times New Roman" w:eastAsia="Calibri" w:hAnsi="Times New Roman" w:cs="Times New Roman"/>
          <w:sz w:val="24"/>
          <w:szCs w:val="24"/>
        </w:rPr>
        <w:t xml:space="preserve">Savukārt </w:t>
      </w:r>
      <w:r w:rsidR="007B5BD9" w:rsidRPr="003C1B12">
        <w:rPr>
          <w:rFonts w:ascii="Times New Roman" w:eastAsia="Calibri" w:hAnsi="Times New Roman" w:cs="Times New Roman"/>
          <w:sz w:val="24"/>
          <w:szCs w:val="24"/>
        </w:rPr>
        <w:t>KC</w:t>
      </w:r>
      <w:r w:rsidRPr="003C1B12">
        <w:rPr>
          <w:rFonts w:ascii="Times New Roman" w:eastAsia="Calibri" w:hAnsi="Times New Roman" w:cs="Times New Roman"/>
          <w:sz w:val="24"/>
          <w:szCs w:val="24"/>
        </w:rPr>
        <w:t xml:space="preserve"> programmas ietvaros atbalsts galvenokārt tiek sniegts rūpnieciskiem pētījumiem (76% no attiecināmām izmaksām</w:t>
      </w:r>
      <w:r w:rsidR="005746EA" w:rsidRPr="003C1B12">
        <w:rPr>
          <w:rFonts w:ascii="Times New Roman" w:eastAsia="Calibri" w:hAnsi="Times New Roman" w:cs="Times New Roman"/>
          <w:sz w:val="24"/>
          <w:szCs w:val="24"/>
        </w:rPr>
        <w:t>)</w:t>
      </w:r>
      <w:r w:rsidR="004E3275" w:rsidRPr="003C1B12">
        <w:rPr>
          <w:rFonts w:ascii="Times New Roman" w:eastAsia="Calibri" w:hAnsi="Times New Roman" w:cs="Times New Roman"/>
          <w:sz w:val="24"/>
          <w:szCs w:val="24"/>
        </w:rPr>
        <w:t>,</w:t>
      </w:r>
      <w:r w:rsidRPr="003C1B12">
        <w:rPr>
          <w:rFonts w:ascii="Times New Roman" w:eastAsia="Calibri" w:hAnsi="Times New Roman" w:cs="Times New Roman"/>
          <w:sz w:val="24"/>
          <w:szCs w:val="24"/>
        </w:rPr>
        <w:t xml:space="preserve"> kuru mērķis ir iegūt jaunas zināšanas un prasmes jaunu produktu, procesu vai pakalpojumu izstrādei vai jau esošo produktu, procesu vai pakalpojumu būtiskai uzlabošanai. </w:t>
      </w:r>
      <w:r w:rsidR="001312F3" w:rsidRPr="003C1B12">
        <w:rPr>
          <w:rFonts w:ascii="Times New Roman" w:eastAsia="Calibri" w:hAnsi="Times New Roman" w:cs="Times New Roman"/>
          <w:sz w:val="24"/>
          <w:szCs w:val="24"/>
        </w:rPr>
        <w:t>Rezultāti norāda uz to</w:t>
      </w:r>
      <w:r w:rsidR="005746EA" w:rsidRPr="003C1B12">
        <w:rPr>
          <w:rFonts w:ascii="Times New Roman" w:eastAsia="Calibri" w:hAnsi="Times New Roman" w:cs="Times New Roman"/>
          <w:sz w:val="24"/>
          <w:szCs w:val="24"/>
        </w:rPr>
        <w:t>,</w:t>
      </w:r>
      <w:r w:rsidR="001312F3" w:rsidRPr="003C1B12">
        <w:rPr>
          <w:rFonts w:ascii="Times New Roman" w:eastAsia="Calibri" w:hAnsi="Times New Roman" w:cs="Times New Roman"/>
          <w:sz w:val="24"/>
          <w:szCs w:val="24"/>
        </w:rPr>
        <w:t xml:space="preserve"> ka programmas </w:t>
      </w:r>
      <w:r w:rsidR="005746EA" w:rsidRPr="003C1B12">
        <w:rPr>
          <w:rFonts w:ascii="Times New Roman" w:eastAsia="Calibri" w:hAnsi="Times New Roman" w:cs="Times New Roman"/>
          <w:sz w:val="24"/>
          <w:szCs w:val="24"/>
        </w:rPr>
        <w:t>nosac</w:t>
      </w:r>
      <w:r w:rsidR="00675138" w:rsidRPr="003C1B12">
        <w:rPr>
          <w:rFonts w:ascii="Times New Roman" w:eastAsia="Calibri" w:hAnsi="Times New Roman" w:cs="Times New Roman"/>
          <w:sz w:val="24"/>
          <w:szCs w:val="24"/>
        </w:rPr>
        <w:t>ī</w:t>
      </w:r>
      <w:r w:rsidR="005746EA" w:rsidRPr="003C1B12">
        <w:rPr>
          <w:rFonts w:ascii="Times New Roman" w:eastAsia="Calibri" w:hAnsi="Times New Roman" w:cs="Times New Roman"/>
          <w:sz w:val="24"/>
          <w:szCs w:val="24"/>
        </w:rPr>
        <w:t>jumi</w:t>
      </w:r>
      <w:r w:rsidR="001312F3" w:rsidRPr="003C1B12">
        <w:rPr>
          <w:rFonts w:ascii="Times New Roman" w:eastAsia="Calibri" w:hAnsi="Times New Roman" w:cs="Times New Roman"/>
          <w:sz w:val="24"/>
          <w:szCs w:val="24"/>
        </w:rPr>
        <w:t xml:space="preserve"> ir motivējuši uzņēmumus veikt ieguldījumus agrīnākās pētniecības stadijā</w:t>
      </w:r>
      <w:r w:rsidR="00E10620" w:rsidRPr="003C1B12">
        <w:rPr>
          <w:rFonts w:ascii="Times New Roman" w:eastAsia="Calibri" w:hAnsi="Times New Roman" w:cs="Times New Roman"/>
          <w:sz w:val="24"/>
          <w:szCs w:val="24"/>
        </w:rPr>
        <w:t xml:space="preserve">s </w:t>
      </w:r>
      <w:r w:rsidR="00AD68FD" w:rsidRPr="003C1B12">
        <w:rPr>
          <w:rFonts w:ascii="Times New Roman" w:eastAsia="Calibri" w:hAnsi="Times New Roman" w:cs="Times New Roman"/>
          <w:sz w:val="24"/>
          <w:szCs w:val="24"/>
        </w:rPr>
        <w:t>un</w:t>
      </w:r>
      <w:r w:rsidR="00E10620" w:rsidRPr="003C1B12">
        <w:rPr>
          <w:rFonts w:ascii="Times New Roman" w:eastAsia="Calibri" w:hAnsi="Times New Roman" w:cs="Times New Roman"/>
          <w:sz w:val="24"/>
          <w:szCs w:val="24"/>
        </w:rPr>
        <w:t xml:space="preserve"> </w:t>
      </w:r>
      <w:r w:rsidR="004E3275" w:rsidRPr="003C1B12">
        <w:rPr>
          <w:rFonts w:ascii="Times New Roman" w:eastAsia="Calibri" w:hAnsi="Times New Roman" w:cs="Times New Roman"/>
          <w:sz w:val="24"/>
          <w:szCs w:val="24"/>
        </w:rPr>
        <w:t>uzņemties papildu riskus.</w:t>
      </w:r>
      <w:r w:rsidR="001312F3" w:rsidRPr="003C1B12">
        <w:rPr>
          <w:rFonts w:ascii="Times New Roman" w:eastAsia="Calibri" w:hAnsi="Times New Roman" w:cs="Times New Roman"/>
          <w:sz w:val="24"/>
          <w:szCs w:val="24"/>
        </w:rPr>
        <w:t xml:space="preserve"> </w:t>
      </w:r>
      <w:r w:rsidR="005746EA" w:rsidRPr="003C1B12">
        <w:rPr>
          <w:rFonts w:ascii="Times New Roman" w:eastAsia="Calibri" w:hAnsi="Times New Roman" w:cs="Times New Roman"/>
          <w:sz w:val="24"/>
          <w:szCs w:val="24"/>
        </w:rPr>
        <w:t>Tādēļ</w:t>
      </w:r>
      <w:r w:rsidR="001312F3" w:rsidRPr="003C1B12">
        <w:rPr>
          <w:rFonts w:ascii="Times New Roman" w:eastAsia="Calibri" w:hAnsi="Times New Roman" w:cs="Times New Roman"/>
          <w:sz w:val="24"/>
          <w:szCs w:val="24"/>
        </w:rPr>
        <w:t xml:space="preserve"> pilnveidojot programmu ieteicams saglabāt atbalstu gan rūpnieciskiem pētījumiem, gan eksperimentālajai izstrādei</w:t>
      </w:r>
      <w:r w:rsidR="00AD68FD" w:rsidRPr="003C1B12">
        <w:rPr>
          <w:rFonts w:ascii="Times New Roman" w:eastAsia="Calibri" w:hAnsi="Times New Roman" w:cs="Times New Roman"/>
          <w:sz w:val="24"/>
          <w:szCs w:val="24"/>
        </w:rPr>
        <w:t>,</w:t>
      </w:r>
      <w:r w:rsidR="001312F3" w:rsidRPr="003C1B12">
        <w:rPr>
          <w:rFonts w:ascii="Times New Roman" w:eastAsia="Calibri" w:hAnsi="Times New Roman" w:cs="Times New Roman"/>
          <w:sz w:val="24"/>
          <w:szCs w:val="24"/>
        </w:rPr>
        <w:t xml:space="preserve"> diferencējot mak</w:t>
      </w:r>
      <w:r w:rsidR="004E3275" w:rsidRPr="003C1B12">
        <w:rPr>
          <w:rFonts w:ascii="Times New Roman" w:eastAsia="Calibri" w:hAnsi="Times New Roman" w:cs="Times New Roman"/>
          <w:sz w:val="24"/>
          <w:szCs w:val="24"/>
        </w:rPr>
        <w:t>simālās atbalsta intensitātes.</w:t>
      </w:r>
    </w:p>
    <w:p w:rsidR="001312F3" w:rsidRPr="003C1B12" w:rsidRDefault="001312F3" w:rsidP="001312F3">
      <w:pPr>
        <w:spacing w:after="0" w:line="240" w:lineRule="auto"/>
        <w:ind w:firstLine="720"/>
        <w:jc w:val="both"/>
        <w:rPr>
          <w:rFonts w:ascii="Times New Roman" w:eastAsia="Calibri" w:hAnsi="Times New Roman" w:cs="Times New Roman"/>
          <w:sz w:val="24"/>
          <w:szCs w:val="24"/>
        </w:rPr>
      </w:pPr>
      <w:r w:rsidRPr="003C1B12">
        <w:rPr>
          <w:rFonts w:ascii="Times New Roman" w:eastAsia="Calibri" w:hAnsi="Times New Roman" w:cs="Times New Roman"/>
          <w:sz w:val="24"/>
          <w:szCs w:val="24"/>
        </w:rPr>
        <w:t>Vienlaicīgi ņemot vērā, ka r</w:t>
      </w:r>
      <w:r w:rsidR="00295B51" w:rsidRPr="003C1B12">
        <w:rPr>
          <w:rFonts w:ascii="Times New Roman" w:eastAsia="Calibri" w:hAnsi="Times New Roman" w:cs="Times New Roman"/>
          <w:sz w:val="24"/>
          <w:szCs w:val="24"/>
        </w:rPr>
        <w:t xml:space="preserve">ūpniecisko pētījumu rezultātā radītās zināšanās </w:t>
      </w:r>
      <w:r w:rsidRPr="003C1B12">
        <w:rPr>
          <w:rFonts w:ascii="Times New Roman" w:eastAsia="Calibri" w:hAnsi="Times New Roman" w:cs="Times New Roman"/>
          <w:sz w:val="24"/>
          <w:szCs w:val="24"/>
        </w:rPr>
        <w:t>parasti</w:t>
      </w:r>
      <w:r w:rsidR="00295B51" w:rsidRPr="003C1B12">
        <w:rPr>
          <w:rFonts w:ascii="Times New Roman" w:eastAsia="Calibri" w:hAnsi="Times New Roman" w:cs="Times New Roman"/>
          <w:sz w:val="24"/>
          <w:szCs w:val="24"/>
        </w:rPr>
        <w:t xml:space="preserve"> ir pamats turpmākiem pētījumiem vai eksperimentāliem darbiem</w:t>
      </w:r>
      <w:r w:rsidRPr="003C1B12">
        <w:rPr>
          <w:rFonts w:ascii="Times New Roman" w:eastAsia="Calibri" w:hAnsi="Times New Roman" w:cs="Times New Roman"/>
          <w:sz w:val="24"/>
          <w:szCs w:val="24"/>
        </w:rPr>
        <w:t xml:space="preserve"> un atbalsta saņēmējam ir jāveic vēl virkne darbību, lai nodrošinātu gala produkta izstrādi, ieviešanu ražošanā un </w:t>
      </w:r>
      <w:r w:rsidRPr="003C1B12">
        <w:rPr>
          <w:rFonts w:ascii="Times New Roman" w:eastAsia="Calibri" w:hAnsi="Times New Roman" w:cs="Times New Roman"/>
          <w:sz w:val="24"/>
          <w:szCs w:val="24"/>
        </w:rPr>
        <w:lastRenderedPageBreak/>
        <w:t xml:space="preserve">virzīšanu tirgū, atlasot pētniecības projektus ir jāvērtē vai komersanta vai tā saistīto personu rīcībā ir resursi vai arī tam ir pamatots plāns resursu piesaistei, lai nodrošinātu ieviešanu. Tāpat pirms pētījumu uzsākšanas komersantam </w:t>
      </w:r>
      <w:r w:rsidRPr="003C1B12">
        <w:rPr>
          <w:rFonts w:ascii="Times New Roman" w:eastAsia="Calibri" w:hAnsi="Times New Roman" w:cs="Times New Roman"/>
          <w:bCs/>
          <w:sz w:val="24"/>
          <w:szCs w:val="24"/>
        </w:rPr>
        <w:t xml:space="preserve">jādemonstrē </w:t>
      </w:r>
      <w:r w:rsidRPr="003C1B12">
        <w:rPr>
          <w:rFonts w:ascii="Times New Roman" w:eastAsia="Calibri" w:hAnsi="Times New Roman" w:cs="Times New Roman"/>
          <w:sz w:val="24"/>
          <w:szCs w:val="24"/>
        </w:rPr>
        <w:t xml:space="preserve">plānoto </w:t>
      </w:r>
      <w:r w:rsidRPr="003C1B12">
        <w:rPr>
          <w:rFonts w:ascii="Times New Roman" w:eastAsia="Calibri" w:hAnsi="Times New Roman" w:cs="Times New Roman"/>
          <w:bCs/>
          <w:sz w:val="24"/>
          <w:szCs w:val="24"/>
        </w:rPr>
        <w:t xml:space="preserve">rezultātu ietekmi </w:t>
      </w:r>
      <w:r w:rsidRPr="003C1B12">
        <w:rPr>
          <w:rFonts w:ascii="Times New Roman" w:eastAsia="Calibri" w:hAnsi="Times New Roman" w:cs="Times New Roman"/>
          <w:sz w:val="24"/>
          <w:szCs w:val="24"/>
        </w:rPr>
        <w:t>uz saimniecisko darbību (apgrozījuma, darba vietu (</w:t>
      </w:r>
      <w:r w:rsidR="00EC2B0D" w:rsidRPr="003C1B12">
        <w:rPr>
          <w:rFonts w:ascii="Times New Roman" w:eastAsia="Calibri" w:hAnsi="Times New Roman" w:cs="Times New Roman"/>
          <w:sz w:val="24"/>
          <w:szCs w:val="24"/>
        </w:rPr>
        <w:t>pētniecībā un produktu izstrādē iesaistītu darbinieku</w:t>
      </w:r>
      <w:r w:rsidRPr="003C1B12">
        <w:rPr>
          <w:rFonts w:ascii="Times New Roman" w:eastAsia="Calibri" w:hAnsi="Times New Roman" w:cs="Times New Roman"/>
          <w:sz w:val="24"/>
          <w:szCs w:val="24"/>
        </w:rPr>
        <w:t xml:space="preserve"> darba vietas), eksporta apjoma pieaugums). Šos rādītājus un prognozes </w:t>
      </w:r>
      <w:r w:rsidR="005746EA" w:rsidRPr="003C1B12">
        <w:rPr>
          <w:rFonts w:ascii="Times New Roman" w:eastAsia="Calibri" w:hAnsi="Times New Roman" w:cs="Times New Roman"/>
          <w:sz w:val="24"/>
          <w:szCs w:val="24"/>
        </w:rPr>
        <w:t xml:space="preserve">nedrīkstētu noteikt kā </w:t>
      </w:r>
      <w:r w:rsidR="004B301D" w:rsidRPr="003C1B12">
        <w:rPr>
          <w:rFonts w:ascii="Times New Roman" w:eastAsia="Calibri" w:hAnsi="Times New Roman" w:cs="Times New Roman"/>
          <w:sz w:val="24"/>
          <w:szCs w:val="24"/>
        </w:rPr>
        <w:t xml:space="preserve">rezultāta </w:t>
      </w:r>
      <w:r w:rsidR="005746EA" w:rsidRPr="003C1B12">
        <w:rPr>
          <w:rFonts w:ascii="Times New Roman" w:eastAsia="Calibri" w:hAnsi="Times New Roman" w:cs="Times New Roman"/>
          <w:sz w:val="24"/>
          <w:szCs w:val="24"/>
        </w:rPr>
        <w:t>rādītājus, kuru neizpildes gadījumā tiek veikta</w:t>
      </w:r>
      <w:r w:rsidR="00B65001" w:rsidRPr="003C1B12">
        <w:rPr>
          <w:rFonts w:ascii="Times New Roman" w:eastAsia="Calibri" w:hAnsi="Times New Roman" w:cs="Times New Roman"/>
          <w:sz w:val="24"/>
          <w:szCs w:val="24"/>
        </w:rPr>
        <w:t>s</w:t>
      </w:r>
      <w:r w:rsidR="005746EA" w:rsidRPr="003C1B12">
        <w:rPr>
          <w:rFonts w:ascii="Times New Roman" w:eastAsia="Calibri" w:hAnsi="Times New Roman" w:cs="Times New Roman"/>
          <w:sz w:val="24"/>
          <w:szCs w:val="24"/>
        </w:rPr>
        <w:t xml:space="preserve"> finanšu korekcijas, bet tie būtu jāparedz kā </w:t>
      </w:r>
      <w:r w:rsidR="00745AD5" w:rsidRPr="003C1B12">
        <w:rPr>
          <w:rFonts w:ascii="Times New Roman" w:eastAsia="Calibri" w:hAnsi="Times New Roman" w:cs="Times New Roman"/>
          <w:sz w:val="24"/>
          <w:szCs w:val="24"/>
        </w:rPr>
        <w:t xml:space="preserve">iznākuma </w:t>
      </w:r>
      <w:r w:rsidR="005746EA" w:rsidRPr="003C1B12">
        <w:rPr>
          <w:rFonts w:ascii="Times New Roman" w:eastAsia="Calibri" w:hAnsi="Times New Roman" w:cs="Times New Roman"/>
          <w:sz w:val="24"/>
          <w:szCs w:val="24"/>
        </w:rPr>
        <w:t>r</w:t>
      </w:r>
      <w:r w:rsidR="004E3275" w:rsidRPr="003C1B12">
        <w:rPr>
          <w:rFonts w:ascii="Times New Roman" w:eastAsia="Calibri" w:hAnsi="Times New Roman" w:cs="Times New Roman"/>
          <w:sz w:val="24"/>
          <w:szCs w:val="24"/>
        </w:rPr>
        <w:t xml:space="preserve">ādītāji un </w:t>
      </w:r>
      <w:r w:rsidR="007B5BD9" w:rsidRPr="003C1B12">
        <w:rPr>
          <w:rFonts w:ascii="Times New Roman" w:eastAsia="Calibri" w:hAnsi="Times New Roman" w:cs="Times New Roman"/>
          <w:sz w:val="24"/>
          <w:szCs w:val="24"/>
        </w:rPr>
        <w:t>KC</w:t>
      </w:r>
      <w:r w:rsidR="004E3275" w:rsidRPr="003C1B12">
        <w:rPr>
          <w:rFonts w:ascii="Times New Roman" w:eastAsia="Calibri" w:hAnsi="Times New Roman" w:cs="Times New Roman"/>
          <w:sz w:val="24"/>
          <w:szCs w:val="24"/>
        </w:rPr>
        <w:t>,</w:t>
      </w:r>
      <w:r w:rsidR="005746EA" w:rsidRPr="003C1B12">
        <w:rPr>
          <w:rFonts w:ascii="Times New Roman" w:eastAsia="Calibri" w:hAnsi="Times New Roman" w:cs="Times New Roman"/>
          <w:sz w:val="24"/>
          <w:szCs w:val="24"/>
        </w:rPr>
        <w:t xml:space="preserve"> sadarbības iestādei un atbildīgajai iestādei pēc projektu pabeigšanas noteiktu laiku būtu jāseko līdzi to izpildei, lai izvērtētu veikto ieguldījumu atdevi un sniegtu priekšlikumus programmas nosacījumu pilnveidei.</w:t>
      </w:r>
    </w:p>
    <w:p w:rsidR="00F25AB9" w:rsidRPr="003C1B12" w:rsidRDefault="00295B51" w:rsidP="00AD68FD">
      <w:pPr>
        <w:spacing w:after="0" w:line="240" w:lineRule="auto"/>
        <w:ind w:firstLine="720"/>
        <w:jc w:val="both"/>
        <w:rPr>
          <w:rFonts w:ascii="Times New Roman" w:eastAsia="Calibri" w:hAnsi="Times New Roman" w:cs="Times New Roman"/>
          <w:sz w:val="24"/>
          <w:szCs w:val="24"/>
        </w:rPr>
      </w:pPr>
      <w:r w:rsidRPr="003C1B12">
        <w:rPr>
          <w:rFonts w:ascii="Times New Roman" w:eastAsia="Calibri" w:hAnsi="Times New Roman" w:cs="Times New Roman"/>
          <w:sz w:val="24"/>
          <w:szCs w:val="24"/>
        </w:rPr>
        <w:t xml:space="preserve"> Programmas ietvaros tika atbalstīti </w:t>
      </w:r>
      <w:r w:rsidR="005746EA" w:rsidRPr="003C1B12">
        <w:rPr>
          <w:rFonts w:ascii="Times New Roman" w:eastAsia="Calibri" w:hAnsi="Times New Roman" w:cs="Times New Roman"/>
          <w:sz w:val="24"/>
          <w:szCs w:val="24"/>
        </w:rPr>
        <w:t xml:space="preserve">divi pētījumu veidi - </w:t>
      </w:r>
      <w:r w:rsidRPr="003C1B12">
        <w:rPr>
          <w:rFonts w:ascii="Times New Roman" w:eastAsia="Calibri" w:hAnsi="Times New Roman" w:cs="Times New Roman"/>
          <w:sz w:val="24"/>
          <w:szCs w:val="24"/>
        </w:rPr>
        <w:t xml:space="preserve">individuālie pētījumi un nozares pētījumi. Nozares pētījumu gadījumā </w:t>
      </w:r>
      <w:r w:rsidR="007B5BD9" w:rsidRPr="003C1B12">
        <w:rPr>
          <w:rFonts w:ascii="Times New Roman" w:eastAsia="Calibri" w:hAnsi="Times New Roman" w:cs="Times New Roman"/>
          <w:sz w:val="24"/>
          <w:szCs w:val="24"/>
        </w:rPr>
        <w:t>KC</w:t>
      </w:r>
      <w:r w:rsidRPr="003C1B12">
        <w:rPr>
          <w:rFonts w:ascii="Times New Roman" w:eastAsia="Calibri" w:hAnsi="Times New Roman" w:cs="Times New Roman"/>
          <w:sz w:val="24"/>
          <w:szCs w:val="24"/>
        </w:rPr>
        <w:t xml:space="preserve"> pētījumu rezultāti ir plaši jāizplata, </w:t>
      </w:r>
      <w:r w:rsidR="005746EA" w:rsidRPr="003C1B12">
        <w:rPr>
          <w:rFonts w:ascii="Times New Roman" w:eastAsia="Calibri" w:hAnsi="Times New Roman" w:cs="Times New Roman"/>
          <w:sz w:val="24"/>
          <w:szCs w:val="24"/>
        </w:rPr>
        <w:t>bet</w:t>
      </w:r>
      <w:r w:rsidRPr="003C1B12">
        <w:rPr>
          <w:rFonts w:ascii="Times New Roman" w:eastAsia="Calibri" w:hAnsi="Times New Roman" w:cs="Times New Roman"/>
          <w:sz w:val="24"/>
          <w:szCs w:val="24"/>
        </w:rPr>
        <w:t xml:space="preserve"> gadījumos, kad nozares pētījumu ietvaros tiek radīts aizsargājams rūpniecisks īpašums vai zinātnība ir atļauts nozares pētījuma ietvaros radītās intelektuālā īpašuma tiesības atsavināt, piešķirt izņēmuma, izmantošanas vai lietošanas tiesības, par darījumu saņemot tirgus cenu. Pašlaik </w:t>
      </w:r>
      <w:r w:rsidR="00B65001" w:rsidRPr="003C1B12">
        <w:rPr>
          <w:rFonts w:ascii="Times New Roman" w:eastAsia="Calibri" w:hAnsi="Times New Roman" w:cs="Times New Roman"/>
          <w:sz w:val="24"/>
          <w:szCs w:val="24"/>
        </w:rPr>
        <w:t>LIAA</w:t>
      </w:r>
      <w:r w:rsidRPr="003C1B12">
        <w:rPr>
          <w:rFonts w:ascii="Times New Roman" w:eastAsia="Calibri" w:hAnsi="Times New Roman" w:cs="Times New Roman"/>
          <w:sz w:val="24"/>
          <w:szCs w:val="24"/>
        </w:rPr>
        <w:t xml:space="preserve"> rīcībā ir informācija par trīs nozares pētījumu rezultātiem, kuru rezultāti netiek plaši izplatīt</w:t>
      </w:r>
      <w:r w:rsidR="00AD68FD" w:rsidRPr="003C1B12">
        <w:rPr>
          <w:rFonts w:ascii="Times New Roman" w:eastAsia="Calibri" w:hAnsi="Times New Roman" w:cs="Times New Roman"/>
          <w:sz w:val="24"/>
          <w:szCs w:val="24"/>
        </w:rPr>
        <w:t>i</w:t>
      </w:r>
      <w:r w:rsidRPr="003C1B12">
        <w:rPr>
          <w:rFonts w:ascii="Times New Roman" w:eastAsia="Calibri" w:hAnsi="Times New Roman" w:cs="Times New Roman"/>
          <w:sz w:val="24"/>
          <w:szCs w:val="24"/>
        </w:rPr>
        <w:t xml:space="preserve"> un </w:t>
      </w:r>
      <w:r w:rsidR="007B5BD9" w:rsidRPr="003C1B12">
        <w:rPr>
          <w:rFonts w:ascii="Times New Roman" w:eastAsia="Calibri" w:hAnsi="Times New Roman" w:cs="Times New Roman"/>
          <w:sz w:val="24"/>
          <w:szCs w:val="24"/>
        </w:rPr>
        <w:t>KC</w:t>
      </w:r>
      <w:r w:rsidRPr="003C1B12">
        <w:rPr>
          <w:rFonts w:ascii="Times New Roman" w:eastAsia="Calibri" w:hAnsi="Times New Roman" w:cs="Times New Roman"/>
          <w:sz w:val="24"/>
          <w:szCs w:val="24"/>
        </w:rPr>
        <w:t xml:space="preserve"> ir izmantojis savas tiesības radīto intelektuālo īpašumu nodot, slēdzot licences līgumu. Programmas līdzšinējie rezultāti un diskusijas apliecina, ka nozares pētījumu nosacījumi, jo īpaši par radītā intelektuālā īpašuma tiesību izmantošanas vai nodošanas  publiskām izsolēm, neatbilst uzņēmējdarbības ikdienas praksei un vajadzībām.</w:t>
      </w:r>
      <w:r w:rsidR="00F25AB9" w:rsidRPr="003C1B12">
        <w:rPr>
          <w:rFonts w:ascii="Times New Roman" w:eastAsia="Calibri" w:hAnsi="Times New Roman" w:cs="Times New Roman"/>
          <w:sz w:val="24"/>
          <w:szCs w:val="24"/>
        </w:rPr>
        <w:t xml:space="preserve"> </w:t>
      </w:r>
      <w:r w:rsidR="005746EA" w:rsidRPr="003C1B12">
        <w:rPr>
          <w:rFonts w:ascii="Times New Roman" w:eastAsia="Calibri" w:hAnsi="Times New Roman" w:cs="Times New Roman"/>
          <w:sz w:val="24"/>
          <w:szCs w:val="24"/>
        </w:rPr>
        <w:t>Pilnveidojot programmas nosacījumu</w:t>
      </w:r>
      <w:r w:rsidR="00A10116" w:rsidRPr="003C1B12">
        <w:rPr>
          <w:rFonts w:ascii="Times New Roman" w:eastAsia="Calibri" w:hAnsi="Times New Roman" w:cs="Times New Roman"/>
          <w:sz w:val="24"/>
          <w:szCs w:val="24"/>
        </w:rPr>
        <w:t>s</w:t>
      </w:r>
      <w:r w:rsidR="005746EA" w:rsidRPr="003C1B12">
        <w:rPr>
          <w:rFonts w:ascii="Times New Roman" w:eastAsia="Calibri" w:hAnsi="Times New Roman" w:cs="Times New Roman"/>
          <w:sz w:val="24"/>
          <w:szCs w:val="24"/>
        </w:rPr>
        <w:t xml:space="preserve"> būtu </w:t>
      </w:r>
      <w:r w:rsidR="00914087" w:rsidRPr="003C1B12">
        <w:rPr>
          <w:rFonts w:ascii="Times New Roman" w:eastAsia="Calibri" w:hAnsi="Times New Roman" w:cs="Times New Roman"/>
          <w:sz w:val="24"/>
          <w:szCs w:val="24"/>
        </w:rPr>
        <w:t xml:space="preserve">jāsaglabā </w:t>
      </w:r>
      <w:r w:rsidR="008E6428" w:rsidRPr="003C1B12">
        <w:rPr>
          <w:rFonts w:ascii="Times New Roman" w:eastAsia="Calibri" w:hAnsi="Times New Roman" w:cs="Times New Roman"/>
          <w:sz w:val="24"/>
          <w:szCs w:val="24"/>
        </w:rPr>
        <w:t>i</w:t>
      </w:r>
      <w:r w:rsidR="005746EA" w:rsidRPr="003C1B12">
        <w:rPr>
          <w:rFonts w:ascii="Times New Roman" w:eastAsia="Calibri" w:hAnsi="Times New Roman" w:cs="Times New Roman"/>
          <w:sz w:val="24"/>
          <w:szCs w:val="24"/>
        </w:rPr>
        <w:t>ndividuālo pētījum</w:t>
      </w:r>
      <w:r w:rsidR="00914087" w:rsidRPr="003C1B12">
        <w:rPr>
          <w:rFonts w:ascii="Times New Roman" w:eastAsia="Calibri" w:hAnsi="Times New Roman" w:cs="Times New Roman"/>
          <w:sz w:val="24"/>
          <w:szCs w:val="24"/>
        </w:rPr>
        <w:t>i</w:t>
      </w:r>
      <w:r w:rsidRPr="003C1B12">
        <w:rPr>
          <w:rFonts w:ascii="Times New Roman" w:eastAsia="Calibri" w:hAnsi="Times New Roman" w:cs="Times New Roman"/>
          <w:sz w:val="24"/>
          <w:szCs w:val="24"/>
        </w:rPr>
        <w:t xml:space="preserve"> projekti</w:t>
      </w:r>
      <w:r w:rsidR="005746EA" w:rsidRPr="003C1B12">
        <w:rPr>
          <w:rFonts w:ascii="Times New Roman" w:eastAsia="Calibri" w:hAnsi="Times New Roman" w:cs="Times New Roman"/>
          <w:sz w:val="24"/>
          <w:szCs w:val="24"/>
        </w:rPr>
        <w:t>un</w:t>
      </w:r>
      <w:r w:rsidR="00914087" w:rsidRPr="003C1B12">
        <w:rPr>
          <w:rFonts w:ascii="Times New Roman" w:eastAsia="Calibri" w:hAnsi="Times New Roman" w:cs="Times New Roman"/>
          <w:sz w:val="24"/>
          <w:szCs w:val="24"/>
        </w:rPr>
        <w:t xml:space="preserve"> jāpārveido nozares pētījumi par </w:t>
      </w:r>
      <w:r w:rsidR="005746EA" w:rsidRPr="003C1B12">
        <w:rPr>
          <w:rFonts w:ascii="Times New Roman" w:eastAsia="Calibri" w:hAnsi="Times New Roman" w:cs="Times New Roman"/>
          <w:sz w:val="24"/>
          <w:szCs w:val="24"/>
        </w:rPr>
        <w:t xml:space="preserve"> sadarbī</w:t>
      </w:r>
      <w:r w:rsidRPr="003C1B12">
        <w:rPr>
          <w:rFonts w:ascii="Times New Roman" w:eastAsia="Calibri" w:hAnsi="Times New Roman" w:cs="Times New Roman"/>
          <w:sz w:val="24"/>
          <w:szCs w:val="24"/>
        </w:rPr>
        <w:t xml:space="preserve">bas </w:t>
      </w:r>
      <w:r w:rsidR="00914087" w:rsidRPr="003C1B12">
        <w:rPr>
          <w:rFonts w:ascii="Times New Roman" w:eastAsia="Calibri" w:hAnsi="Times New Roman" w:cs="Times New Roman"/>
          <w:sz w:val="24"/>
          <w:szCs w:val="24"/>
        </w:rPr>
        <w:t>pētījumiem jeb partnerības projektiem</w:t>
      </w:r>
      <w:r w:rsidR="00F25AB9" w:rsidRPr="003C1B12">
        <w:rPr>
          <w:rFonts w:ascii="Times New Roman" w:eastAsia="Calibri" w:hAnsi="Times New Roman" w:cs="Times New Roman"/>
          <w:sz w:val="24"/>
          <w:szCs w:val="24"/>
        </w:rPr>
        <w:t>, nosakot, ka partneri, piesakot pētniecības projektu vienojas par intelektuālā īpašuma sadalījumu un komercializēšana</w:t>
      </w:r>
      <w:r w:rsidR="00C36F85" w:rsidRPr="003C1B12">
        <w:rPr>
          <w:rFonts w:ascii="Times New Roman" w:eastAsia="Calibri" w:hAnsi="Times New Roman" w:cs="Times New Roman"/>
          <w:sz w:val="24"/>
          <w:szCs w:val="24"/>
        </w:rPr>
        <w:t>s</w:t>
      </w:r>
      <w:r w:rsidR="00F25AB9" w:rsidRPr="003C1B12">
        <w:rPr>
          <w:rFonts w:ascii="Times New Roman" w:eastAsia="Calibri" w:hAnsi="Times New Roman" w:cs="Times New Roman"/>
          <w:sz w:val="24"/>
          <w:szCs w:val="24"/>
        </w:rPr>
        <w:t xml:space="preserve"> nosacījumiem. Šāda pieeja ļautu paaugstināt  to nozares jeb sadarbības projektu īpatsvaru, kuru rezultāti ne tikai tiek plaši izplatīti, bet arī ieviesti konkrētos KC uzņēmumos. </w:t>
      </w:r>
      <w:r w:rsidR="00C36F85" w:rsidRPr="003C1B12">
        <w:rPr>
          <w:rFonts w:ascii="Times New Roman" w:eastAsia="Calibri" w:hAnsi="Times New Roman" w:cs="Times New Roman"/>
          <w:sz w:val="24"/>
          <w:szCs w:val="24"/>
        </w:rPr>
        <w:t>Sadarbības projektu koncepts skaidrāk iezīmē ieinteresētos industrijas pārstāvjus, bet tas neizslēdz iespēju sadarbības partneriem un KC ja nepieciešams vienoties, ka pētījuma rezultāti</w:t>
      </w:r>
      <w:r w:rsidR="0018604C" w:rsidRPr="003C1B12">
        <w:rPr>
          <w:rFonts w:ascii="Times New Roman" w:eastAsia="Calibri" w:hAnsi="Times New Roman" w:cs="Times New Roman"/>
          <w:sz w:val="24"/>
          <w:szCs w:val="24"/>
        </w:rPr>
        <w:t xml:space="preserve"> pieder KC un tie</w:t>
      </w:r>
      <w:r w:rsidR="00C36F85" w:rsidRPr="003C1B12">
        <w:rPr>
          <w:rFonts w:ascii="Times New Roman" w:eastAsia="Calibri" w:hAnsi="Times New Roman" w:cs="Times New Roman"/>
          <w:sz w:val="24"/>
          <w:szCs w:val="24"/>
        </w:rPr>
        <w:t xml:space="preserve"> tiek licencēti trešajām personām, kas nav KC dalībnieki.</w:t>
      </w:r>
      <w:r w:rsidR="00F25AB9" w:rsidRPr="003C1B12">
        <w:rPr>
          <w:rFonts w:ascii="Times New Roman" w:eastAsia="Calibri" w:hAnsi="Times New Roman" w:cs="Times New Roman"/>
          <w:sz w:val="24"/>
          <w:szCs w:val="24"/>
        </w:rPr>
        <w:t xml:space="preserve"> </w:t>
      </w:r>
    </w:p>
    <w:p w:rsidR="00F25AB9" w:rsidRPr="003C1B12" w:rsidRDefault="00F25AB9" w:rsidP="00AD68FD">
      <w:pPr>
        <w:spacing w:after="0" w:line="240" w:lineRule="auto"/>
        <w:ind w:firstLine="720"/>
        <w:jc w:val="both"/>
        <w:rPr>
          <w:rFonts w:ascii="Times New Roman" w:eastAsia="Calibri" w:hAnsi="Times New Roman" w:cs="Times New Roman"/>
          <w:sz w:val="24"/>
          <w:szCs w:val="24"/>
        </w:rPr>
      </w:pPr>
    </w:p>
    <w:p w:rsidR="00323E50" w:rsidRPr="003C1B12" w:rsidRDefault="00323E50" w:rsidP="00667E0D">
      <w:pPr>
        <w:spacing w:after="0" w:line="240" w:lineRule="auto"/>
        <w:rPr>
          <w:rFonts w:ascii="Times New Roman" w:hAnsi="Times New Roman" w:cs="Times New Roman"/>
          <w:b/>
        </w:rPr>
      </w:pPr>
    </w:p>
    <w:p w:rsidR="003E49FD" w:rsidRPr="003C1B12" w:rsidRDefault="000E3BBF" w:rsidP="000E3BBF">
      <w:pPr>
        <w:pStyle w:val="Heading2"/>
        <w:spacing w:before="0" w:after="120"/>
        <w:rPr>
          <w:rFonts w:ascii="Times New Roman" w:hAnsi="Times New Roman" w:cs="Times New Roman"/>
          <w:b/>
          <w:color w:val="31849B" w:themeColor="accent5" w:themeShade="BF"/>
          <w:sz w:val="24"/>
          <w:szCs w:val="24"/>
        </w:rPr>
      </w:pPr>
      <w:bookmarkStart w:id="28" w:name="_Toc427646473"/>
      <w:bookmarkStart w:id="29" w:name="_Toc427646559"/>
      <w:r w:rsidRPr="003C1B12">
        <w:rPr>
          <w:rFonts w:ascii="Times New Roman" w:hAnsi="Times New Roman" w:cs="Times New Roman"/>
          <w:color w:val="31849B" w:themeColor="accent5" w:themeShade="BF"/>
          <w:sz w:val="24"/>
        </w:rPr>
        <w:t>2.</w:t>
      </w:r>
      <w:r w:rsidR="00285DBF" w:rsidRPr="003C1B12">
        <w:rPr>
          <w:rFonts w:ascii="Times New Roman" w:hAnsi="Times New Roman" w:cs="Times New Roman"/>
          <w:color w:val="31849B" w:themeColor="accent5" w:themeShade="BF"/>
          <w:sz w:val="24"/>
        </w:rPr>
        <w:t>2</w:t>
      </w:r>
      <w:r w:rsidRPr="003C1B12">
        <w:rPr>
          <w:rFonts w:ascii="Times New Roman" w:hAnsi="Times New Roman" w:cs="Times New Roman"/>
          <w:color w:val="31849B" w:themeColor="accent5" w:themeShade="BF"/>
          <w:sz w:val="24"/>
        </w:rPr>
        <w:t xml:space="preserve">.4. </w:t>
      </w:r>
      <w:r w:rsidR="007B5BD9" w:rsidRPr="003C1B12">
        <w:rPr>
          <w:rFonts w:ascii="Times New Roman" w:hAnsi="Times New Roman" w:cs="Times New Roman"/>
          <w:color w:val="31849B" w:themeColor="accent5" w:themeShade="BF"/>
          <w:sz w:val="24"/>
        </w:rPr>
        <w:t>KC</w:t>
      </w:r>
      <w:r w:rsidRPr="003C1B12">
        <w:rPr>
          <w:rFonts w:ascii="Times New Roman" w:hAnsi="Times New Roman" w:cs="Times New Roman"/>
          <w:color w:val="31849B" w:themeColor="accent5" w:themeShade="BF"/>
          <w:sz w:val="24"/>
        </w:rPr>
        <w:t xml:space="preserve"> pētniecības virzienu atbilstība viedās specializācijas jomām</w:t>
      </w:r>
      <w:bookmarkEnd w:id="28"/>
      <w:bookmarkEnd w:id="29"/>
      <w:r w:rsidRPr="003C1B12">
        <w:rPr>
          <w:rFonts w:ascii="Times New Roman" w:hAnsi="Times New Roman" w:cs="Times New Roman"/>
          <w:color w:val="31849B" w:themeColor="accent5" w:themeShade="BF"/>
          <w:sz w:val="24"/>
        </w:rPr>
        <w:t xml:space="preserve"> </w:t>
      </w:r>
    </w:p>
    <w:p w:rsidR="00374A7E" w:rsidRPr="003C1B12" w:rsidRDefault="007B5BD9" w:rsidP="00E41D78">
      <w:pPr>
        <w:pStyle w:val="tvhtml"/>
        <w:shd w:val="clear" w:color="auto" w:fill="FFFFFF"/>
        <w:spacing w:before="0" w:beforeAutospacing="0" w:after="0" w:afterAutospacing="0"/>
        <w:ind w:firstLine="360"/>
        <w:jc w:val="both"/>
        <w:rPr>
          <w:color w:val="000000" w:themeColor="text1"/>
        </w:rPr>
      </w:pPr>
      <w:r w:rsidRPr="003C1B12">
        <w:rPr>
          <w:color w:val="000000" w:themeColor="text1"/>
        </w:rPr>
        <w:t>KC</w:t>
      </w:r>
      <w:r w:rsidR="00374A7E" w:rsidRPr="003C1B12">
        <w:rPr>
          <w:color w:val="000000" w:themeColor="text1"/>
        </w:rPr>
        <w:t xml:space="preserve"> programmas nosacījumi paredzēj</w:t>
      </w:r>
      <w:r w:rsidR="001D381F" w:rsidRPr="003C1B12">
        <w:rPr>
          <w:color w:val="000000" w:themeColor="text1"/>
        </w:rPr>
        <w:t>a</w:t>
      </w:r>
      <w:r w:rsidR="00374A7E" w:rsidRPr="003C1B12">
        <w:rPr>
          <w:color w:val="000000" w:themeColor="text1"/>
        </w:rPr>
        <w:t>,</w:t>
      </w:r>
      <w:r w:rsidR="00E10620" w:rsidRPr="003C1B12">
        <w:rPr>
          <w:color w:val="000000" w:themeColor="text1"/>
        </w:rPr>
        <w:t xml:space="preserve"> ka prioritāri tiek atbalstīti </w:t>
      </w:r>
      <w:r w:rsidRPr="003C1B12">
        <w:rPr>
          <w:color w:val="000000" w:themeColor="text1"/>
        </w:rPr>
        <w:t>KC</w:t>
      </w:r>
      <w:r w:rsidR="00374A7E" w:rsidRPr="003C1B12">
        <w:rPr>
          <w:color w:val="000000" w:themeColor="text1"/>
        </w:rPr>
        <w:t>, kuri paredzēja veikt pētījumus nozarēs, kurās ir lielāks atdeves potenciāls konsolidēto starpnozaru pētniecības aktivitāšu veikšanā īsā un vidējā termiņā pašreizējos ekonomiskajos apstākļos:</w:t>
      </w:r>
    </w:p>
    <w:p w:rsidR="00374A7E" w:rsidRPr="003C1B12" w:rsidRDefault="00374A7E" w:rsidP="009D209C">
      <w:pPr>
        <w:numPr>
          <w:ilvl w:val="0"/>
          <w:numId w:val="19"/>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3C1B12">
        <w:rPr>
          <w:rFonts w:ascii="Times New Roman" w:eastAsia="Times New Roman" w:hAnsi="Times New Roman" w:cs="Times New Roman"/>
          <w:color w:val="000000" w:themeColor="text1"/>
          <w:sz w:val="24"/>
          <w:szCs w:val="24"/>
          <w:lang w:eastAsia="lv-LV"/>
        </w:rPr>
        <w:t>Pārtikas rūpniecība;</w:t>
      </w:r>
    </w:p>
    <w:p w:rsidR="00374A7E" w:rsidRPr="003C1B12" w:rsidRDefault="00374A7E" w:rsidP="009D209C">
      <w:pPr>
        <w:numPr>
          <w:ilvl w:val="0"/>
          <w:numId w:val="19"/>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3C1B12">
        <w:rPr>
          <w:rFonts w:ascii="Times New Roman" w:eastAsia="Times New Roman" w:hAnsi="Times New Roman" w:cs="Times New Roman"/>
          <w:color w:val="000000" w:themeColor="text1"/>
          <w:sz w:val="24"/>
          <w:szCs w:val="24"/>
          <w:lang w:eastAsia="lv-LV"/>
        </w:rPr>
        <w:t>Kokrūpniecība;</w:t>
      </w:r>
    </w:p>
    <w:p w:rsidR="00374A7E" w:rsidRPr="003C1B12" w:rsidRDefault="00374A7E" w:rsidP="009D209C">
      <w:pPr>
        <w:numPr>
          <w:ilvl w:val="0"/>
          <w:numId w:val="19"/>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3C1B12">
        <w:rPr>
          <w:rFonts w:ascii="Times New Roman" w:eastAsia="Times New Roman" w:hAnsi="Times New Roman" w:cs="Times New Roman"/>
          <w:color w:val="000000" w:themeColor="text1"/>
          <w:sz w:val="24"/>
          <w:szCs w:val="24"/>
          <w:lang w:eastAsia="lv-LV"/>
        </w:rPr>
        <w:t>Ķīmiskā rūpniecība un tās saskarnozares, tai skaitā farmācija un biotehnoloģija;</w:t>
      </w:r>
    </w:p>
    <w:p w:rsidR="00374A7E" w:rsidRPr="003C1B12" w:rsidRDefault="00374A7E" w:rsidP="009D209C">
      <w:pPr>
        <w:numPr>
          <w:ilvl w:val="0"/>
          <w:numId w:val="19"/>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3C1B12">
        <w:rPr>
          <w:rFonts w:ascii="Times New Roman" w:eastAsia="Times New Roman" w:hAnsi="Times New Roman" w:cs="Times New Roman"/>
          <w:color w:val="000000" w:themeColor="text1"/>
          <w:sz w:val="24"/>
          <w:szCs w:val="24"/>
          <w:lang w:eastAsia="lv-LV"/>
        </w:rPr>
        <w:t>Elektrisko un optisko iekārtu ražošana;</w:t>
      </w:r>
    </w:p>
    <w:p w:rsidR="00374A7E" w:rsidRPr="003C1B12" w:rsidRDefault="00F61EB2" w:rsidP="009D209C">
      <w:pPr>
        <w:numPr>
          <w:ilvl w:val="0"/>
          <w:numId w:val="19"/>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3C1B12">
        <w:rPr>
          <w:rFonts w:ascii="Times New Roman" w:eastAsia="Times New Roman" w:hAnsi="Times New Roman" w:cs="Times New Roman"/>
          <w:color w:val="000000" w:themeColor="text1"/>
          <w:sz w:val="24"/>
          <w:szCs w:val="24"/>
          <w:lang w:eastAsia="lv-LV"/>
        </w:rPr>
        <w:t>IKT</w:t>
      </w:r>
      <w:r w:rsidR="00374A7E" w:rsidRPr="003C1B12">
        <w:rPr>
          <w:rFonts w:ascii="Times New Roman" w:eastAsia="Times New Roman" w:hAnsi="Times New Roman" w:cs="Times New Roman"/>
          <w:color w:val="000000" w:themeColor="text1"/>
          <w:sz w:val="24"/>
          <w:szCs w:val="24"/>
          <w:lang w:eastAsia="lv-LV"/>
        </w:rPr>
        <w:t>;</w:t>
      </w:r>
    </w:p>
    <w:p w:rsidR="00374A7E" w:rsidRPr="003C1B12" w:rsidRDefault="00374A7E" w:rsidP="009D209C">
      <w:pPr>
        <w:numPr>
          <w:ilvl w:val="0"/>
          <w:numId w:val="19"/>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3C1B12">
        <w:rPr>
          <w:rFonts w:ascii="Times New Roman" w:eastAsia="Times New Roman" w:hAnsi="Times New Roman" w:cs="Times New Roman"/>
          <w:color w:val="000000" w:themeColor="text1"/>
          <w:sz w:val="24"/>
          <w:szCs w:val="24"/>
          <w:lang w:eastAsia="lv-LV"/>
        </w:rPr>
        <w:t>Mašīnbūve un metālapstrāde, tai skaitā videi draudzīga, atjaunojamo resursu enerģētika.</w:t>
      </w:r>
    </w:p>
    <w:p w:rsidR="00C95A76" w:rsidRPr="003C1B12" w:rsidRDefault="00374A7E" w:rsidP="00C95A76">
      <w:pPr>
        <w:pStyle w:val="BodyText"/>
        <w:spacing w:after="0" w:line="240" w:lineRule="auto"/>
        <w:ind w:firstLine="360"/>
        <w:jc w:val="both"/>
        <w:rPr>
          <w:rFonts w:ascii="Times New Roman" w:hAnsi="Times New Roman" w:cs="Times New Roman"/>
          <w:color w:val="000000" w:themeColor="text1"/>
          <w:sz w:val="24"/>
          <w:szCs w:val="24"/>
        </w:rPr>
      </w:pPr>
      <w:r w:rsidRPr="003C1B12">
        <w:rPr>
          <w:rFonts w:ascii="Times New Roman" w:eastAsia="Times New Roman" w:hAnsi="Times New Roman" w:cs="Times New Roman"/>
          <w:color w:val="000000" w:themeColor="text1"/>
          <w:sz w:val="24"/>
          <w:szCs w:val="24"/>
          <w:lang w:eastAsia="lv-LV"/>
        </w:rPr>
        <w:t xml:space="preserve">Prioritārās tautsaimniecības nozares tika noteiktas saskaņā </w:t>
      </w:r>
      <w:r w:rsidR="00E41D78" w:rsidRPr="003C1B12">
        <w:rPr>
          <w:rFonts w:ascii="Times New Roman" w:eastAsia="Times New Roman" w:hAnsi="Times New Roman" w:cs="Times New Roman"/>
          <w:color w:val="000000" w:themeColor="text1"/>
          <w:sz w:val="24"/>
          <w:szCs w:val="24"/>
          <w:lang w:eastAsia="lv-LV"/>
        </w:rPr>
        <w:t xml:space="preserve">ar </w:t>
      </w:r>
      <w:r w:rsidR="00E41D78" w:rsidRPr="003C1B12">
        <w:rPr>
          <w:rFonts w:ascii="Times New Roman" w:hAnsi="Times New Roman" w:cs="Times New Roman"/>
          <w:color w:val="000000" w:themeColor="text1"/>
          <w:sz w:val="24"/>
          <w:szCs w:val="24"/>
        </w:rPr>
        <w:t>Informatīvo ziņojumu par ekonomikas atveseļošanas politikas virzieniem vidēja termiņa periodā (</w:t>
      </w:r>
      <w:r w:rsidR="00C95A76" w:rsidRPr="003C1B12">
        <w:rPr>
          <w:rFonts w:ascii="Times New Roman" w:hAnsi="Times New Roman" w:cs="Times New Roman"/>
          <w:color w:val="000000" w:themeColor="text1"/>
          <w:sz w:val="24"/>
          <w:szCs w:val="24"/>
        </w:rPr>
        <w:t>M</w:t>
      </w:r>
      <w:r w:rsidR="009E7E2D" w:rsidRPr="003C1B12">
        <w:rPr>
          <w:rFonts w:ascii="Times New Roman" w:hAnsi="Times New Roman" w:cs="Times New Roman"/>
          <w:color w:val="000000" w:themeColor="text1"/>
          <w:sz w:val="24"/>
          <w:szCs w:val="24"/>
        </w:rPr>
        <w:t>inistru kabineta</w:t>
      </w:r>
      <w:r w:rsidR="00C95A76" w:rsidRPr="003C1B12">
        <w:rPr>
          <w:rFonts w:ascii="Times New Roman" w:hAnsi="Times New Roman" w:cs="Times New Roman"/>
          <w:color w:val="000000" w:themeColor="text1"/>
          <w:sz w:val="24"/>
          <w:szCs w:val="24"/>
        </w:rPr>
        <w:t xml:space="preserve"> 2009.gada 10.</w:t>
      </w:r>
      <w:bookmarkStart w:id="30" w:name="52"/>
      <w:r w:rsidR="008C0597" w:rsidRPr="003C1B12">
        <w:rPr>
          <w:rFonts w:ascii="Times New Roman" w:hAnsi="Times New Roman" w:cs="Times New Roman"/>
          <w:color w:val="000000" w:themeColor="text1"/>
          <w:sz w:val="24"/>
          <w:szCs w:val="24"/>
        </w:rPr>
        <w:t>novembra sēdes protokols Nr.79</w:t>
      </w:r>
      <w:r w:rsidR="00E10620" w:rsidRPr="003C1B12">
        <w:rPr>
          <w:rFonts w:ascii="Times New Roman" w:hAnsi="Times New Roman" w:cs="Times New Roman"/>
          <w:color w:val="000000" w:themeColor="text1"/>
          <w:sz w:val="24"/>
          <w:szCs w:val="24"/>
        </w:rPr>
        <w:t>,</w:t>
      </w:r>
      <w:r w:rsidR="008C0597" w:rsidRPr="003C1B12">
        <w:rPr>
          <w:rFonts w:ascii="Times New Roman" w:hAnsi="Times New Roman" w:cs="Times New Roman"/>
          <w:color w:val="000000" w:themeColor="text1"/>
          <w:sz w:val="24"/>
          <w:szCs w:val="24"/>
        </w:rPr>
        <w:t xml:space="preserve"> </w:t>
      </w:r>
      <w:r w:rsidR="00C95A76" w:rsidRPr="003C1B12">
        <w:rPr>
          <w:rFonts w:ascii="Times New Roman" w:hAnsi="Times New Roman" w:cs="Times New Roman"/>
          <w:color w:val="000000" w:themeColor="text1"/>
          <w:sz w:val="24"/>
          <w:szCs w:val="24"/>
        </w:rPr>
        <w:t>52</w:t>
      </w:r>
      <w:bookmarkEnd w:id="30"/>
      <w:r w:rsidR="00C95A76" w:rsidRPr="003C1B12">
        <w:rPr>
          <w:rFonts w:ascii="Times New Roman" w:hAnsi="Times New Roman" w:cs="Times New Roman"/>
          <w:color w:val="000000" w:themeColor="text1"/>
          <w:sz w:val="24"/>
          <w:szCs w:val="24"/>
        </w:rPr>
        <w:t>.§)</w:t>
      </w:r>
      <w:r w:rsidR="00B7418B" w:rsidRPr="003C1B12">
        <w:rPr>
          <w:rFonts w:ascii="Times New Roman" w:hAnsi="Times New Roman" w:cs="Times New Roman"/>
          <w:color w:val="000000" w:themeColor="text1"/>
          <w:sz w:val="24"/>
          <w:szCs w:val="24"/>
        </w:rPr>
        <w:t>.</w:t>
      </w:r>
    </w:p>
    <w:p w:rsidR="00E41D78" w:rsidRPr="003C1B12" w:rsidRDefault="00E41D78" w:rsidP="00E41D78">
      <w:pPr>
        <w:spacing w:after="0" w:line="240" w:lineRule="auto"/>
        <w:ind w:firstLine="720"/>
        <w:jc w:val="both"/>
        <w:rPr>
          <w:rFonts w:ascii="Times New Roman" w:hAnsi="Times New Roman" w:cs="Times New Roman"/>
          <w:sz w:val="24"/>
          <w:szCs w:val="24"/>
        </w:rPr>
      </w:pPr>
      <w:r w:rsidRPr="003C1B12">
        <w:rPr>
          <w:rFonts w:ascii="Times New Roman" w:hAnsi="Times New Roman" w:cs="Times New Roman"/>
          <w:color w:val="000000" w:themeColor="text1"/>
          <w:sz w:val="24"/>
          <w:szCs w:val="24"/>
        </w:rPr>
        <w:t xml:space="preserve">Līdz ar to </w:t>
      </w:r>
      <w:r w:rsidRPr="003C1B12">
        <w:rPr>
          <w:rFonts w:ascii="Times New Roman" w:hAnsi="Times New Roman" w:cs="Times New Roman"/>
          <w:sz w:val="24"/>
          <w:szCs w:val="24"/>
        </w:rPr>
        <w:t xml:space="preserve">atbalstīto </w:t>
      </w:r>
      <w:r w:rsidR="007B5BD9" w:rsidRPr="003C1B12">
        <w:rPr>
          <w:rFonts w:ascii="Times New Roman" w:hAnsi="Times New Roman" w:cs="Times New Roman"/>
          <w:sz w:val="24"/>
          <w:szCs w:val="24"/>
        </w:rPr>
        <w:t>KC</w:t>
      </w:r>
      <w:r w:rsidRPr="003C1B12">
        <w:rPr>
          <w:rFonts w:ascii="Times New Roman" w:hAnsi="Times New Roman" w:cs="Times New Roman"/>
          <w:sz w:val="24"/>
          <w:szCs w:val="24"/>
        </w:rPr>
        <w:t xml:space="preserve"> pētniecības programmās tiek iekļauti pētījumi,</w:t>
      </w:r>
      <w:r w:rsidR="00B7418B" w:rsidRPr="003C1B12">
        <w:rPr>
          <w:rFonts w:ascii="Times New Roman" w:hAnsi="Times New Roman" w:cs="Times New Roman"/>
          <w:sz w:val="24"/>
          <w:szCs w:val="24"/>
        </w:rPr>
        <w:t xml:space="preserve"> </w:t>
      </w:r>
      <w:r w:rsidRPr="003C1B12">
        <w:rPr>
          <w:rFonts w:ascii="Times New Roman" w:hAnsi="Times New Roman" w:cs="Times New Roman"/>
          <w:sz w:val="24"/>
          <w:szCs w:val="24"/>
        </w:rPr>
        <w:t>kuru rezultātu plānots izmanot kādā no iepriekš</w:t>
      </w:r>
      <w:r w:rsidR="00B7418B" w:rsidRPr="003C1B12">
        <w:rPr>
          <w:rFonts w:ascii="Times New Roman" w:hAnsi="Times New Roman" w:cs="Times New Roman"/>
          <w:sz w:val="24"/>
          <w:szCs w:val="24"/>
        </w:rPr>
        <w:t xml:space="preserve"> </w:t>
      </w:r>
      <w:r w:rsidRPr="003C1B12">
        <w:rPr>
          <w:rFonts w:ascii="Times New Roman" w:hAnsi="Times New Roman" w:cs="Times New Roman"/>
          <w:sz w:val="24"/>
          <w:szCs w:val="24"/>
        </w:rPr>
        <w:t xml:space="preserve">minētajām tautsaimniecības nozarēm. Šobrīd </w:t>
      </w:r>
      <w:r w:rsidR="007B5BD9" w:rsidRPr="003C1B12">
        <w:rPr>
          <w:rFonts w:ascii="Times New Roman" w:hAnsi="Times New Roman" w:cs="Times New Roman"/>
          <w:sz w:val="24"/>
          <w:szCs w:val="24"/>
        </w:rPr>
        <w:t>KC</w:t>
      </w:r>
      <w:r w:rsidR="00E10620" w:rsidRPr="003C1B12">
        <w:rPr>
          <w:rFonts w:ascii="Times New Roman" w:hAnsi="Times New Roman" w:cs="Times New Roman"/>
          <w:sz w:val="24"/>
          <w:szCs w:val="24"/>
        </w:rPr>
        <w:t xml:space="preserve"> pētījumi tiek īstenoti </w:t>
      </w:r>
      <w:r w:rsidRPr="003C1B12">
        <w:rPr>
          <w:rFonts w:ascii="Times New Roman" w:hAnsi="Times New Roman" w:cs="Times New Roman"/>
          <w:sz w:val="24"/>
          <w:szCs w:val="24"/>
        </w:rPr>
        <w:t>16 pētniecības virzienos:</w:t>
      </w:r>
    </w:p>
    <w:p w:rsidR="00E41D78" w:rsidRPr="003C1B12" w:rsidRDefault="00E41D78" w:rsidP="009D209C">
      <w:pPr>
        <w:pStyle w:val="ListParagraph"/>
        <w:numPr>
          <w:ilvl w:val="0"/>
          <w:numId w:val="18"/>
        </w:numPr>
        <w:autoSpaceDE w:val="0"/>
        <w:autoSpaceDN w:val="0"/>
        <w:adjustRightInd w:val="0"/>
        <w:spacing w:after="0" w:line="240" w:lineRule="auto"/>
        <w:rPr>
          <w:rFonts w:ascii="Times New Roman" w:hAnsi="Times New Roman" w:cs="Times New Roman"/>
          <w:color w:val="000000" w:themeColor="text1"/>
          <w:sz w:val="24"/>
          <w:szCs w:val="24"/>
          <w:u w:val="single"/>
        </w:rPr>
      </w:pPr>
      <w:r w:rsidRPr="003C1B12">
        <w:rPr>
          <w:rFonts w:ascii="Times New Roman" w:hAnsi="Times New Roman" w:cs="Times New Roman"/>
          <w:color w:val="000000" w:themeColor="text1"/>
          <w:sz w:val="24"/>
          <w:szCs w:val="24"/>
        </w:rPr>
        <w:t>Biznesa procesu analīzes tehnoloģijas (ITKC);</w:t>
      </w:r>
    </w:p>
    <w:p w:rsidR="00E41D78" w:rsidRPr="003C1B12" w:rsidRDefault="00E41D78" w:rsidP="009D209C">
      <w:pPr>
        <w:pStyle w:val="ListParagraph"/>
        <w:numPr>
          <w:ilvl w:val="0"/>
          <w:numId w:val="18"/>
        </w:numPr>
        <w:autoSpaceDE w:val="0"/>
        <w:autoSpaceDN w:val="0"/>
        <w:adjustRightInd w:val="0"/>
        <w:spacing w:after="0" w:line="240" w:lineRule="auto"/>
        <w:rPr>
          <w:rFonts w:ascii="Times New Roman" w:hAnsi="Times New Roman" w:cs="Times New Roman"/>
          <w:color w:val="000000" w:themeColor="text1"/>
          <w:sz w:val="24"/>
          <w:szCs w:val="24"/>
          <w:u w:val="single"/>
        </w:rPr>
      </w:pPr>
      <w:r w:rsidRPr="003C1B12">
        <w:rPr>
          <w:rFonts w:ascii="Times New Roman" w:hAnsi="Times New Roman" w:cs="Times New Roman"/>
          <w:color w:val="000000" w:themeColor="text1"/>
          <w:sz w:val="24"/>
          <w:szCs w:val="24"/>
        </w:rPr>
        <w:t>Dabīgās valodas tehnoloģijas (ITKC);</w:t>
      </w:r>
    </w:p>
    <w:p w:rsidR="00E41D78" w:rsidRPr="003C1B12" w:rsidRDefault="00E41D78" w:rsidP="009D209C">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Jauni koksnes materiāli un tehnoloģijas (MNKC);</w:t>
      </w:r>
    </w:p>
    <w:p w:rsidR="00E41D78" w:rsidRPr="003C1B12" w:rsidRDefault="00E41D78" w:rsidP="009D209C">
      <w:pPr>
        <w:pStyle w:val="ListParagraph"/>
        <w:numPr>
          <w:ilvl w:val="0"/>
          <w:numId w:val="18"/>
        </w:numPr>
        <w:spacing w:after="0" w:line="240" w:lineRule="auto"/>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Meža kapitālvērtības palielināšana (MNKC);</w:t>
      </w:r>
    </w:p>
    <w:p w:rsidR="00E41D78" w:rsidRPr="003C1B12" w:rsidRDefault="00E41D78" w:rsidP="009D209C">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Sintētisko zāļu izstrāde (PCCCL);</w:t>
      </w:r>
    </w:p>
    <w:p w:rsidR="00E41D78" w:rsidRPr="003C1B12" w:rsidRDefault="00E41D78" w:rsidP="009D209C">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lastRenderedPageBreak/>
        <w:t>Biotehnoloģisko un dabas vielu zāļu un kosmētisko līdzekļu izstrāde (PCCCL);</w:t>
      </w:r>
    </w:p>
    <w:p w:rsidR="00E41D78" w:rsidRPr="003C1B12" w:rsidRDefault="00E41D78" w:rsidP="009D209C">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Zāļu drošības, efektivitātes un kvalitātes izpēte (PCCCL);</w:t>
      </w:r>
    </w:p>
    <w:p w:rsidR="00E41D78" w:rsidRPr="003C1B12" w:rsidRDefault="00E41D78" w:rsidP="009D209C">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Energotaupošo un videi draudzīgo ķīmijas produktu un tehnoloģiju  izstrāde (PCCCL);</w:t>
      </w:r>
    </w:p>
    <w:p w:rsidR="00E41D78" w:rsidRPr="003C1B12" w:rsidRDefault="00E41D78" w:rsidP="009D209C">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Elektronika un elektrotehnikas industriālās tehnoloģijas (LEO KC);</w:t>
      </w:r>
    </w:p>
    <w:p w:rsidR="00E41D78" w:rsidRPr="003C1B12" w:rsidRDefault="00E41D78" w:rsidP="009D209C">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Satelīttehnoloģijas (LEO KC);</w:t>
      </w:r>
    </w:p>
    <w:p w:rsidR="00E41D78" w:rsidRPr="003C1B12" w:rsidRDefault="00E41D78" w:rsidP="009D209C">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Bioenerģētika (VBBKC);</w:t>
      </w:r>
    </w:p>
    <w:p w:rsidR="00E41D78" w:rsidRPr="003C1B12" w:rsidRDefault="00E41D78" w:rsidP="009D209C">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Biomasas ķīmiskā pārstrāde (VBBKC);</w:t>
      </w:r>
    </w:p>
    <w:p w:rsidR="00E41D78" w:rsidRPr="003C1B12" w:rsidRDefault="00E41D78" w:rsidP="009D209C">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Biotehnoloģija (VBBKC);</w:t>
      </w:r>
    </w:p>
    <w:p w:rsidR="00E41D78" w:rsidRPr="003C1B12" w:rsidRDefault="00E41D78" w:rsidP="009D209C">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Vide (VBBKC);</w:t>
      </w:r>
    </w:p>
    <w:p w:rsidR="00E41D78" w:rsidRPr="003C1B12" w:rsidRDefault="00E41D78" w:rsidP="009D209C">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Nanotehnoloģijas (VBBKC);</w:t>
      </w:r>
    </w:p>
    <w:p w:rsidR="00E41D78" w:rsidRPr="003C1B12" w:rsidRDefault="00E41D78" w:rsidP="009D209C">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Transporta integrētā mašīnbūve (TMKC).</w:t>
      </w:r>
    </w:p>
    <w:p w:rsidR="00E10620" w:rsidRPr="003C1B12" w:rsidRDefault="00E41D78" w:rsidP="00E10620">
      <w:pPr>
        <w:spacing w:after="0" w:line="240" w:lineRule="auto"/>
        <w:ind w:firstLine="720"/>
        <w:jc w:val="both"/>
        <w:rPr>
          <w:rFonts w:ascii="Times New Roman" w:hAnsi="Times New Roman" w:cs="Times New Roman"/>
          <w:sz w:val="24"/>
          <w:szCs w:val="24"/>
        </w:rPr>
      </w:pPr>
      <w:r w:rsidRPr="003C1B12">
        <w:rPr>
          <w:rFonts w:ascii="Times New Roman" w:hAnsi="Times New Roman" w:cs="Times New Roman"/>
          <w:sz w:val="24"/>
          <w:szCs w:val="24"/>
        </w:rPr>
        <w:t>Savukārt v</w:t>
      </w:r>
      <w:r w:rsidR="004E4280" w:rsidRPr="003C1B12">
        <w:rPr>
          <w:rFonts w:ascii="Times New Roman" w:hAnsi="Times New Roman" w:cs="Times New Roman"/>
          <w:sz w:val="24"/>
          <w:szCs w:val="24"/>
        </w:rPr>
        <w:t xml:space="preserve">iedās specializācijas stratēģijā </w:t>
      </w:r>
      <w:r w:rsidR="004E4280" w:rsidRPr="003C1B12">
        <w:rPr>
          <w:rFonts w:ascii="Times New Roman" w:eastAsia="SimSun" w:hAnsi="Times New Roman" w:cs="Times New Roman"/>
          <w:sz w:val="24"/>
          <w:szCs w:val="24"/>
          <w:lang w:eastAsia="zh-CN" w:bidi="lo-LA"/>
        </w:rPr>
        <w:t>noteiktas piecas viedās specializācijas jomas</w:t>
      </w:r>
      <w:r w:rsidR="00374A7E" w:rsidRPr="003C1B12">
        <w:rPr>
          <w:rFonts w:ascii="Times New Roman" w:eastAsia="SimSun" w:hAnsi="Times New Roman" w:cs="Times New Roman"/>
          <w:sz w:val="24"/>
          <w:szCs w:val="24"/>
          <w:lang w:eastAsia="zh-CN" w:bidi="lo-LA"/>
        </w:rPr>
        <w:t xml:space="preserve"> -</w:t>
      </w:r>
      <w:r w:rsidR="004E4280" w:rsidRPr="003C1B12">
        <w:rPr>
          <w:rFonts w:ascii="Times New Roman" w:eastAsia="SimSun" w:hAnsi="Times New Roman" w:cs="Times New Roman"/>
          <w:sz w:val="24"/>
          <w:szCs w:val="24"/>
          <w:lang w:eastAsia="zh-CN" w:bidi="lo-LA"/>
        </w:rPr>
        <w:t xml:space="preserve"> </w:t>
      </w:r>
      <w:r w:rsidR="00374A7E" w:rsidRPr="003C1B12">
        <w:rPr>
          <w:rFonts w:ascii="Times New Roman" w:eastAsia="SimSun" w:hAnsi="Times New Roman" w:cs="Times New Roman"/>
          <w:sz w:val="24"/>
          <w:szCs w:val="24"/>
          <w:lang w:eastAsia="zh-CN" w:bidi="lo-LA"/>
        </w:rPr>
        <w:t>z</w:t>
      </w:r>
      <w:r w:rsidR="004E4280" w:rsidRPr="003C1B12">
        <w:rPr>
          <w:rFonts w:ascii="Times New Roman" w:hAnsi="Times New Roman" w:cs="Times New Roman"/>
          <w:sz w:val="24"/>
          <w:szCs w:val="24"/>
        </w:rPr>
        <w:t xml:space="preserve">ināšanu ietilpīga bioekonomika, </w:t>
      </w:r>
      <w:r w:rsidR="00374A7E" w:rsidRPr="003C1B12">
        <w:rPr>
          <w:rFonts w:ascii="Times New Roman" w:hAnsi="Times New Roman" w:cs="Times New Roman"/>
          <w:sz w:val="24"/>
          <w:szCs w:val="24"/>
        </w:rPr>
        <w:t>b</w:t>
      </w:r>
      <w:r w:rsidR="004E4280" w:rsidRPr="003C1B12">
        <w:rPr>
          <w:rFonts w:ascii="Times New Roman" w:hAnsi="Times New Roman" w:cs="Times New Roman"/>
          <w:sz w:val="24"/>
          <w:szCs w:val="24"/>
        </w:rPr>
        <w:t xml:space="preserve">iomedicīna, medicīnas tehnoloģijas, biofarmācija un biotehnoloģijas, </w:t>
      </w:r>
      <w:r w:rsidR="00374A7E" w:rsidRPr="003C1B12">
        <w:rPr>
          <w:rFonts w:ascii="Times New Roman" w:hAnsi="Times New Roman" w:cs="Times New Roman"/>
          <w:sz w:val="24"/>
          <w:szCs w:val="24"/>
        </w:rPr>
        <w:t>v</w:t>
      </w:r>
      <w:r w:rsidR="004E4280" w:rsidRPr="003C1B12">
        <w:rPr>
          <w:rFonts w:ascii="Times New Roman" w:hAnsi="Times New Roman" w:cs="Times New Roman"/>
          <w:sz w:val="24"/>
          <w:szCs w:val="24"/>
        </w:rPr>
        <w:t xml:space="preserve">iedie materiāli, tehnoloģijas un inženiersistēmas, </w:t>
      </w:r>
      <w:r w:rsidR="00374A7E" w:rsidRPr="003C1B12">
        <w:rPr>
          <w:rFonts w:ascii="Times New Roman" w:hAnsi="Times New Roman" w:cs="Times New Roman"/>
          <w:sz w:val="24"/>
          <w:szCs w:val="24"/>
        </w:rPr>
        <w:t>v</w:t>
      </w:r>
      <w:r w:rsidR="004E4280" w:rsidRPr="003C1B12">
        <w:rPr>
          <w:rFonts w:ascii="Times New Roman" w:hAnsi="Times New Roman" w:cs="Times New Roman"/>
          <w:sz w:val="24"/>
          <w:szCs w:val="24"/>
        </w:rPr>
        <w:t xml:space="preserve">iedā enerģētika, </w:t>
      </w:r>
      <w:r w:rsidR="00F61EB2" w:rsidRPr="003C1B12">
        <w:rPr>
          <w:rFonts w:ascii="Times New Roman" w:hAnsi="Times New Roman" w:cs="Times New Roman"/>
          <w:sz w:val="24"/>
          <w:szCs w:val="24"/>
        </w:rPr>
        <w:t>IKT</w:t>
      </w:r>
      <w:r w:rsidR="00374A7E" w:rsidRPr="003C1B12">
        <w:rPr>
          <w:rFonts w:ascii="Times New Roman" w:hAnsi="Times New Roman" w:cs="Times New Roman"/>
          <w:sz w:val="24"/>
          <w:szCs w:val="24"/>
        </w:rPr>
        <w:t>. Minētajās jomās rādītās zināšanas</w:t>
      </w:r>
      <w:r w:rsidR="004E4280" w:rsidRPr="003C1B12">
        <w:rPr>
          <w:rFonts w:ascii="Times New Roman" w:hAnsi="Times New Roman" w:cs="Times New Roman"/>
          <w:sz w:val="24"/>
          <w:szCs w:val="24"/>
        </w:rPr>
        <w:t xml:space="preserve"> </w:t>
      </w:r>
      <w:r w:rsidR="004E4280" w:rsidRPr="003C1B12">
        <w:rPr>
          <w:rFonts w:ascii="Times New Roman" w:eastAsia="SimSun" w:hAnsi="Times New Roman" w:cs="Times New Roman"/>
          <w:sz w:val="24"/>
          <w:szCs w:val="24"/>
          <w:lang w:eastAsia="zh-CN" w:bidi="lo-LA"/>
        </w:rPr>
        <w:t xml:space="preserve">potenciāli </w:t>
      </w:r>
      <w:r w:rsidR="004E4280" w:rsidRPr="003C1B12">
        <w:rPr>
          <w:rFonts w:ascii="Times New Roman" w:hAnsi="Times New Roman" w:cs="Times New Roman"/>
          <w:sz w:val="24"/>
          <w:szCs w:val="24"/>
        </w:rPr>
        <w:t xml:space="preserve">var izmantot </w:t>
      </w:r>
      <w:r w:rsidR="004E4280" w:rsidRPr="003C1B12">
        <w:rPr>
          <w:rFonts w:ascii="Times New Roman" w:eastAsia="SimSun" w:hAnsi="Times New Roman" w:cs="Times New Roman"/>
          <w:sz w:val="24"/>
          <w:szCs w:val="24"/>
          <w:lang w:eastAsia="zh-CN" w:bidi="lo-LA"/>
        </w:rPr>
        <w:t>praktiski jebkurā tautsaimniecības nozarē.</w:t>
      </w:r>
      <w:r w:rsidR="004E4280" w:rsidRPr="003C1B12">
        <w:rPr>
          <w:rFonts w:ascii="Times New Roman" w:eastAsia="Times New Roman" w:hAnsi="Times New Roman" w:cs="Times New Roman"/>
          <w:sz w:val="24"/>
          <w:szCs w:val="24"/>
          <w:lang w:eastAsia="zh-CN" w:bidi="lo-LA"/>
        </w:rPr>
        <w:t xml:space="preserve"> </w:t>
      </w:r>
      <w:r w:rsidR="004E4280" w:rsidRPr="003C1B12">
        <w:rPr>
          <w:rFonts w:ascii="Times New Roman" w:hAnsi="Times New Roman" w:cs="Times New Roman"/>
          <w:sz w:val="24"/>
          <w:szCs w:val="24"/>
        </w:rPr>
        <w:t xml:space="preserve">Laikā no 2014.gada marta līdz 2014.gada oktobrim </w:t>
      </w:r>
      <w:r w:rsidR="004E4280" w:rsidRPr="003C1B12">
        <w:rPr>
          <w:rFonts w:ascii="Times New Roman" w:hAnsi="Times New Roman" w:cs="Times New Roman"/>
          <w:bCs/>
          <w:sz w:val="24"/>
          <w:szCs w:val="24"/>
        </w:rPr>
        <w:t xml:space="preserve">IZM, </w:t>
      </w:r>
      <w:r w:rsidR="004E4280" w:rsidRPr="003C1B12">
        <w:rPr>
          <w:rFonts w:ascii="Times New Roman" w:hAnsi="Times New Roman" w:cs="Times New Roman"/>
          <w:sz w:val="24"/>
          <w:szCs w:val="24"/>
        </w:rPr>
        <w:t xml:space="preserve">EM </w:t>
      </w:r>
      <w:r w:rsidR="004E4280" w:rsidRPr="003C1B12">
        <w:rPr>
          <w:rFonts w:ascii="Times New Roman" w:hAnsi="Times New Roman" w:cs="Times New Roman"/>
          <w:bCs/>
          <w:sz w:val="24"/>
          <w:szCs w:val="24"/>
        </w:rPr>
        <w:t xml:space="preserve">un </w:t>
      </w:r>
      <w:r w:rsidR="004E4280" w:rsidRPr="003C1B12">
        <w:rPr>
          <w:rFonts w:ascii="Times New Roman" w:hAnsi="Times New Roman" w:cs="Times New Roman"/>
          <w:sz w:val="24"/>
          <w:szCs w:val="24"/>
        </w:rPr>
        <w:t>ZM</w:t>
      </w:r>
      <w:r w:rsidR="004E4280" w:rsidRPr="003C1B12">
        <w:rPr>
          <w:rFonts w:ascii="Times New Roman" w:hAnsi="Times New Roman" w:cs="Times New Roman"/>
          <w:bCs/>
          <w:sz w:val="24"/>
          <w:szCs w:val="24"/>
        </w:rPr>
        <w:t xml:space="preserve"> organizēja </w:t>
      </w:r>
      <w:r w:rsidR="004E4280" w:rsidRPr="003C1B12">
        <w:rPr>
          <w:rFonts w:ascii="Times New Roman" w:hAnsi="Times New Roman" w:cs="Times New Roman"/>
          <w:sz w:val="24"/>
          <w:szCs w:val="24"/>
        </w:rPr>
        <w:t xml:space="preserve">14 publiskās diskusijas, kurās piedalījās vairāk nekā 500 zinātnisko institūciju, izglītības iestāžu, nozaru asociāciju </w:t>
      </w:r>
      <w:r w:rsidR="00374A7E" w:rsidRPr="003C1B12">
        <w:rPr>
          <w:rFonts w:ascii="Times New Roman" w:hAnsi="Times New Roman" w:cs="Times New Roman"/>
          <w:sz w:val="24"/>
          <w:szCs w:val="24"/>
        </w:rPr>
        <w:t xml:space="preserve">un komersantu </w:t>
      </w:r>
      <w:r w:rsidR="004E4280" w:rsidRPr="003C1B12">
        <w:rPr>
          <w:rFonts w:ascii="Times New Roman" w:hAnsi="Times New Roman" w:cs="Times New Roman"/>
          <w:sz w:val="24"/>
          <w:szCs w:val="24"/>
        </w:rPr>
        <w:t>pārstāvji</w:t>
      </w:r>
      <w:r w:rsidR="004E4280" w:rsidRPr="003C1B12">
        <w:rPr>
          <w:rFonts w:ascii="Times New Roman" w:hAnsi="Times New Roman" w:cs="Times New Roman"/>
          <w:bCs/>
          <w:sz w:val="24"/>
          <w:szCs w:val="24"/>
        </w:rPr>
        <w:t xml:space="preserve">. </w:t>
      </w:r>
      <w:r w:rsidR="004E4280" w:rsidRPr="003C1B12">
        <w:rPr>
          <w:rFonts w:ascii="Times New Roman" w:hAnsi="Times New Roman" w:cs="Times New Roman"/>
          <w:sz w:val="24"/>
          <w:szCs w:val="24"/>
        </w:rPr>
        <w:t>Diskusijās katras specializācijas jomas ietvaros tika identificēti iespējamās konkurētspējas nišas</w:t>
      </w:r>
      <w:r w:rsidR="00374A7E" w:rsidRPr="003C1B12">
        <w:rPr>
          <w:rStyle w:val="FootnoteReference"/>
          <w:rFonts w:ascii="Times New Roman" w:hAnsi="Times New Roman" w:cs="Times New Roman"/>
          <w:sz w:val="24"/>
          <w:szCs w:val="24"/>
        </w:rPr>
        <w:footnoteReference w:id="11"/>
      </w:r>
      <w:r w:rsidR="004E4280" w:rsidRPr="003C1B12">
        <w:rPr>
          <w:rFonts w:ascii="Times New Roman" w:hAnsi="Times New Roman" w:cs="Times New Roman"/>
          <w:sz w:val="24"/>
          <w:szCs w:val="24"/>
        </w:rPr>
        <w:t xml:space="preserve">, kurās Latvijai jau šobrīd pastāv zināmas konkurētspējas priekšrocības un, kurās pēc pašreizējās informācijas </w:t>
      </w:r>
      <w:r w:rsidR="00323DBF" w:rsidRPr="003C1B12">
        <w:rPr>
          <w:rFonts w:ascii="Times New Roman" w:hAnsi="Times New Roman" w:cs="Times New Roman"/>
          <w:sz w:val="24"/>
          <w:szCs w:val="24"/>
        </w:rPr>
        <w:t>ir iespējama turpmāka izaugsme.</w:t>
      </w:r>
    </w:p>
    <w:p w:rsidR="00A451C8" w:rsidRPr="003C1B12" w:rsidRDefault="00E41D78" w:rsidP="00E10620">
      <w:pPr>
        <w:spacing w:after="0" w:line="240" w:lineRule="auto"/>
        <w:ind w:firstLine="720"/>
        <w:jc w:val="both"/>
        <w:rPr>
          <w:rFonts w:ascii="Times New Roman" w:hAnsi="Times New Roman" w:cs="Times New Roman"/>
          <w:sz w:val="24"/>
          <w:szCs w:val="24"/>
        </w:rPr>
      </w:pPr>
      <w:r w:rsidRPr="003C1B12">
        <w:rPr>
          <w:rFonts w:ascii="Times New Roman" w:hAnsi="Times New Roman" w:cs="Times New Roman"/>
          <w:sz w:val="24"/>
          <w:szCs w:val="24"/>
        </w:rPr>
        <w:t xml:space="preserve">Salīdzinot atbalstīto </w:t>
      </w:r>
      <w:r w:rsidR="007B5BD9" w:rsidRPr="003C1B12">
        <w:rPr>
          <w:rFonts w:ascii="Times New Roman" w:hAnsi="Times New Roman" w:cs="Times New Roman"/>
          <w:sz w:val="24"/>
          <w:szCs w:val="24"/>
        </w:rPr>
        <w:t>KC</w:t>
      </w:r>
      <w:r w:rsidRPr="003C1B12">
        <w:rPr>
          <w:rFonts w:ascii="Times New Roman" w:hAnsi="Times New Roman" w:cs="Times New Roman"/>
          <w:sz w:val="24"/>
          <w:szCs w:val="24"/>
        </w:rPr>
        <w:t xml:space="preserve"> pētniecības virzienus un projektus ar </w:t>
      </w:r>
      <w:r w:rsidR="00B7418B" w:rsidRPr="003C1B12">
        <w:rPr>
          <w:rFonts w:ascii="Times New Roman" w:hAnsi="Times New Roman" w:cs="Times New Roman"/>
          <w:sz w:val="24"/>
          <w:szCs w:val="24"/>
        </w:rPr>
        <w:t>noteiktajām</w:t>
      </w:r>
      <w:r w:rsidR="00C95A76" w:rsidRPr="003C1B12">
        <w:rPr>
          <w:rFonts w:ascii="Times New Roman" w:hAnsi="Times New Roman" w:cs="Times New Roman"/>
          <w:sz w:val="24"/>
          <w:szCs w:val="24"/>
        </w:rPr>
        <w:t xml:space="preserve"> </w:t>
      </w:r>
      <w:r w:rsidR="00C95A76" w:rsidRPr="003C1B12">
        <w:rPr>
          <w:rFonts w:ascii="Times New Roman" w:eastAsia="SimSun" w:hAnsi="Times New Roman" w:cs="Times New Roman"/>
          <w:sz w:val="24"/>
          <w:szCs w:val="24"/>
          <w:lang w:eastAsia="zh-CN" w:bidi="lo-LA"/>
        </w:rPr>
        <w:t xml:space="preserve">viedās specializācijas jomām </w:t>
      </w:r>
      <w:r w:rsidR="00C95A76" w:rsidRPr="003C1B12">
        <w:rPr>
          <w:rFonts w:ascii="Times New Roman" w:hAnsi="Times New Roman" w:cs="Times New Roman"/>
          <w:sz w:val="24"/>
          <w:szCs w:val="24"/>
        </w:rPr>
        <w:t xml:space="preserve">var secināt, ka jau šobrīd </w:t>
      </w:r>
      <w:r w:rsidR="007B5BD9" w:rsidRPr="003C1B12">
        <w:rPr>
          <w:rFonts w:ascii="Times New Roman" w:hAnsi="Times New Roman" w:cs="Times New Roman"/>
          <w:sz w:val="24"/>
          <w:szCs w:val="24"/>
        </w:rPr>
        <w:t>KC</w:t>
      </w:r>
      <w:r w:rsidR="00C95A76" w:rsidRPr="003C1B12">
        <w:rPr>
          <w:rFonts w:ascii="Times New Roman" w:hAnsi="Times New Roman" w:cs="Times New Roman"/>
          <w:sz w:val="24"/>
          <w:szCs w:val="24"/>
        </w:rPr>
        <w:t xml:space="preserve"> pētījumu virzieni atbilst </w:t>
      </w:r>
      <w:r w:rsidR="00A451C8" w:rsidRPr="003C1B12">
        <w:rPr>
          <w:rFonts w:ascii="Times New Roman" w:hAnsi="Times New Roman" w:cs="Times New Roman"/>
          <w:sz w:val="24"/>
          <w:szCs w:val="24"/>
        </w:rPr>
        <w:t xml:space="preserve">vienai vai vairākām </w:t>
      </w:r>
      <w:r w:rsidR="00C95A76" w:rsidRPr="003C1B12">
        <w:rPr>
          <w:rFonts w:ascii="Times New Roman" w:hAnsi="Times New Roman" w:cs="Times New Roman"/>
          <w:sz w:val="24"/>
          <w:szCs w:val="24"/>
        </w:rPr>
        <w:t>specializācijas jomām (</w:t>
      </w:r>
      <w:r w:rsidR="00A451C8" w:rsidRPr="003C1B12">
        <w:rPr>
          <w:rFonts w:ascii="Times New Roman" w:hAnsi="Times New Roman" w:cs="Times New Roman"/>
          <w:sz w:val="24"/>
          <w:szCs w:val="24"/>
        </w:rPr>
        <w:t>pielikums Nr.1</w:t>
      </w:r>
      <w:r w:rsidR="00C95A76" w:rsidRPr="003C1B12">
        <w:rPr>
          <w:rFonts w:ascii="Times New Roman" w:hAnsi="Times New Roman" w:cs="Times New Roman"/>
          <w:sz w:val="24"/>
          <w:szCs w:val="24"/>
        </w:rPr>
        <w:t>).</w:t>
      </w:r>
      <w:r w:rsidR="00B7418B" w:rsidRPr="003C1B12">
        <w:rPr>
          <w:rFonts w:ascii="Times New Roman" w:hAnsi="Times New Roman" w:cs="Times New Roman"/>
          <w:sz w:val="24"/>
          <w:szCs w:val="24"/>
        </w:rPr>
        <w:t xml:space="preserve"> </w:t>
      </w:r>
      <w:r w:rsidR="00C567DF" w:rsidRPr="003C1B12">
        <w:rPr>
          <w:rFonts w:ascii="Times New Roman" w:hAnsi="Times New Roman" w:cs="Times New Roman"/>
          <w:sz w:val="24"/>
          <w:szCs w:val="24"/>
        </w:rPr>
        <w:t>P</w:t>
      </w:r>
      <w:r w:rsidR="00A451C8" w:rsidRPr="003C1B12">
        <w:rPr>
          <w:rFonts w:ascii="Times New Roman" w:hAnsi="Times New Roman" w:cs="Times New Roman"/>
          <w:sz w:val="24"/>
          <w:szCs w:val="24"/>
        </w:rPr>
        <w:t>adziļināti izvērtējot atbilstību specializācijas jomu</w:t>
      </w:r>
      <w:r w:rsidR="00B7418B" w:rsidRPr="003C1B12">
        <w:rPr>
          <w:rFonts w:ascii="Times New Roman" w:hAnsi="Times New Roman" w:cs="Times New Roman"/>
          <w:sz w:val="24"/>
          <w:szCs w:val="24"/>
        </w:rPr>
        <w:t xml:space="preserve"> </w:t>
      </w:r>
      <w:r w:rsidR="00A451C8" w:rsidRPr="003C1B12">
        <w:rPr>
          <w:rFonts w:ascii="Times New Roman" w:hAnsi="Times New Roman" w:cs="Times New Roman"/>
          <w:sz w:val="24"/>
          <w:szCs w:val="24"/>
        </w:rPr>
        <w:t>konkurētspējas</w:t>
      </w:r>
      <w:r w:rsidR="00B7418B" w:rsidRPr="003C1B12">
        <w:rPr>
          <w:rFonts w:ascii="Times New Roman" w:hAnsi="Times New Roman" w:cs="Times New Roman"/>
          <w:sz w:val="24"/>
          <w:szCs w:val="24"/>
        </w:rPr>
        <w:t xml:space="preserve"> niš</w:t>
      </w:r>
      <w:r w:rsidR="00C567DF" w:rsidRPr="003C1B12">
        <w:rPr>
          <w:rFonts w:ascii="Times New Roman" w:hAnsi="Times New Roman" w:cs="Times New Roman"/>
          <w:sz w:val="24"/>
          <w:szCs w:val="24"/>
        </w:rPr>
        <w:t>ām</w:t>
      </w:r>
      <w:r w:rsidR="00AD68FD" w:rsidRPr="003C1B12">
        <w:rPr>
          <w:rFonts w:ascii="Times New Roman" w:hAnsi="Times New Roman" w:cs="Times New Roman"/>
          <w:sz w:val="24"/>
          <w:szCs w:val="24"/>
        </w:rPr>
        <w:t>,</w:t>
      </w:r>
      <w:r w:rsidR="00B7418B" w:rsidRPr="003C1B12">
        <w:rPr>
          <w:rFonts w:ascii="Times New Roman" w:hAnsi="Times New Roman" w:cs="Times New Roman"/>
          <w:sz w:val="24"/>
          <w:szCs w:val="24"/>
        </w:rPr>
        <w:t xml:space="preserve"> tika identificētas vairākas </w:t>
      </w:r>
      <w:r w:rsidR="00A451C8" w:rsidRPr="003C1B12">
        <w:rPr>
          <w:rFonts w:ascii="Times New Roman" w:hAnsi="Times New Roman" w:cs="Times New Roman"/>
          <w:sz w:val="24"/>
          <w:szCs w:val="24"/>
        </w:rPr>
        <w:t>nišas</w:t>
      </w:r>
      <w:r w:rsidR="00B7418B" w:rsidRPr="003C1B12">
        <w:rPr>
          <w:rFonts w:ascii="Times New Roman" w:hAnsi="Times New Roman" w:cs="Times New Roman"/>
          <w:sz w:val="24"/>
          <w:szCs w:val="24"/>
        </w:rPr>
        <w:t xml:space="preserve">, kurās pētījumi netiek veikti vai tiek </w:t>
      </w:r>
      <w:r w:rsidR="000346D6" w:rsidRPr="003C1B12">
        <w:rPr>
          <w:rFonts w:ascii="Times New Roman" w:hAnsi="Times New Roman" w:cs="Times New Roman"/>
          <w:sz w:val="24"/>
          <w:szCs w:val="24"/>
        </w:rPr>
        <w:t xml:space="preserve">īstenot tikai atsevišķi nelieli projekti. </w:t>
      </w:r>
      <w:r w:rsidR="000346D6" w:rsidRPr="003C1B12">
        <w:rPr>
          <w:rFonts w:ascii="Times New Roman" w:hAnsi="Times New Roman" w:cs="Times New Roman"/>
          <w:bCs/>
          <w:kern w:val="24"/>
          <w:sz w:val="24"/>
          <w:szCs w:val="24"/>
        </w:rPr>
        <w:t>Zināšanu ietilpīga bioekonomika</w:t>
      </w:r>
      <w:r w:rsidR="000346D6" w:rsidRPr="003C1B12">
        <w:rPr>
          <w:rFonts w:ascii="Times New Roman" w:hAnsi="Times New Roman" w:cs="Times New Roman"/>
          <w:color w:val="000000" w:themeColor="text1"/>
          <w:sz w:val="24"/>
          <w:szCs w:val="24"/>
        </w:rPr>
        <w:t xml:space="preserve"> ietvaros nav nosegta lauksaimniecības un pārtikas produktu ražošanas nišas - inovatīvas, ris</w:t>
      </w:r>
      <w:r w:rsidR="00992526" w:rsidRPr="003C1B12">
        <w:rPr>
          <w:rFonts w:ascii="Times New Roman" w:hAnsi="Times New Roman" w:cs="Times New Roman"/>
          <w:color w:val="000000" w:themeColor="text1"/>
          <w:sz w:val="24"/>
          <w:szCs w:val="24"/>
        </w:rPr>
        <w:t>kus mazinošas augu un dzīvnieku</w:t>
      </w:r>
      <w:r w:rsidR="000346D6" w:rsidRPr="003C1B12">
        <w:rPr>
          <w:rFonts w:ascii="Times New Roman" w:hAnsi="Times New Roman" w:cs="Times New Roman"/>
          <w:color w:val="000000" w:themeColor="text1"/>
          <w:sz w:val="24"/>
          <w:szCs w:val="24"/>
        </w:rPr>
        <w:t xml:space="preserve"> audzēšanas tehnoloģijas, inovatīvu augstas pievienotās vērtības nišas produktu izs</w:t>
      </w:r>
      <w:r w:rsidR="00992526" w:rsidRPr="003C1B12">
        <w:rPr>
          <w:rFonts w:ascii="Times New Roman" w:hAnsi="Times New Roman" w:cs="Times New Roman"/>
          <w:color w:val="000000" w:themeColor="text1"/>
          <w:sz w:val="24"/>
          <w:szCs w:val="24"/>
        </w:rPr>
        <w:t>trāde no tradicionālām un</w:t>
      </w:r>
      <w:r w:rsidR="000346D6" w:rsidRPr="003C1B12">
        <w:rPr>
          <w:rFonts w:ascii="Times New Roman" w:hAnsi="Times New Roman" w:cs="Times New Roman"/>
          <w:color w:val="000000" w:themeColor="text1"/>
          <w:sz w:val="24"/>
          <w:szCs w:val="24"/>
        </w:rPr>
        <w:t xml:space="preserve"> netrad</w:t>
      </w:r>
      <w:r w:rsidR="00992526" w:rsidRPr="003C1B12">
        <w:rPr>
          <w:rFonts w:ascii="Times New Roman" w:hAnsi="Times New Roman" w:cs="Times New Roman"/>
          <w:color w:val="000000" w:themeColor="text1"/>
          <w:sz w:val="24"/>
          <w:szCs w:val="24"/>
        </w:rPr>
        <w:t>icionālām lauksaimniecības augu</w:t>
      </w:r>
      <w:r w:rsidR="000346D6" w:rsidRPr="003C1B12">
        <w:rPr>
          <w:rFonts w:ascii="Times New Roman" w:hAnsi="Times New Roman" w:cs="Times New Roman"/>
          <w:color w:val="000000" w:themeColor="text1"/>
          <w:sz w:val="24"/>
          <w:szCs w:val="24"/>
        </w:rPr>
        <w:t xml:space="preserve"> un dzīvnieku izejvielām, augu un dzīvnieku audzēšanas un pārstrādes blakusproduktu izmantošanas tehnoloģiskie </w:t>
      </w:r>
      <w:r w:rsidR="00B65001" w:rsidRPr="003C1B12">
        <w:rPr>
          <w:rFonts w:ascii="Times New Roman" w:hAnsi="Times New Roman" w:cs="Times New Roman"/>
          <w:color w:val="000000" w:themeColor="text1"/>
          <w:sz w:val="24"/>
          <w:szCs w:val="24"/>
        </w:rPr>
        <w:t xml:space="preserve">risinājumi un pārtikas drošība. </w:t>
      </w:r>
      <w:r w:rsidR="00B65001" w:rsidRPr="003C1B12">
        <w:rPr>
          <w:rFonts w:ascii="Times New Roman" w:hAnsi="Times New Roman" w:cs="Times New Roman"/>
          <w:bCs/>
          <w:kern w:val="24"/>
          <w:sz w:val="24"/>
          <w:szCs w:val="24"/>
        </w:rPr>
        <w:t xml:space="preserve">Biomedicīnas, </w:t>
      </w:r>
      <w:r w:rsidR="00D129C8" w:rsidRPr="003C1B12">
        <w:rPr>
          <w:rFonts w:ascii="Times New Roman" w:hAnsi="Times New Roman" w:cs="Times New Roman"/>
          <w:bCs/>
          <w:kern w:val="24"/>
          <w:sz w:val="24"/>
          <w:szCs w:val="24"/>
        </w:rPr>
        <w:t xml:space="preserve">medicīnas tehnoloģiju, biofarmācija un biotehnoloģijas jomā </w:t>
      </w:r>
      <w:r w:rsidR="007B5BD9" w:rsidRPr="003C1B12">
        <w:rPr>
          <w:rFonts w:ascii="Times New Roman" w:hAnsi="Times New Roman" w:cs="Times New Roman"/>
          <w:color w:val="000000" w:themeColor="text1"/>
          <w:sz w:val="24"/>
          <w:szCs w:val="24"/>
        </w:rPr>
        <w:t>KC</w:t>
      </w:r>
      <w:r w:rsidR="00D129C8" w:rsidRPr="003C1B12">
        <w:rPr>
          <w:rFonts w:ascii="Times New Roman" w:hAnsi="Times New Roman" w:cs="Times New Roman"/>
          <w:color w:val="000000" w:themeColor="text1"/>
          <w:sz w:val="24"/>
          <w:szCs w:val="24"/>
        </w:rPr>
        <w:t xml:space="preserve"> ietvaros līdz šim nepietiekama uzmanību pievērsta tādai identificētai konkurētspējas nišai kā modernu un </w:t>
      </w:r>
      <w:r w:rsidR="005B7012" w:rsidRPr="003C1B12">
        <w:rPr>
          <w:rFonts w:ascii="Times New Roman" w:hAnsi="Times New Roman" w:cs="Times New Roman"/>
          <w:color w:val="000000" w:themeColor="text1"/>
          <w:sz w:val="24"/>
          <w:szCs w:val="24"/>
        </w:rPr>
        <w:t>individualizētu</w:t>
      </w:r>
      <w:r w:rsidR="00D129C8" w:rsidRPr="003C1B12">
        <w:rPr>
          <w:rFonts w:ascii="Times New Roman" w:hAnsi="Times New Roman" w:cs="Times New Roman"/>
          <w:color w:val="000000" w:themeColor="text1"/>
          <w:sz w:val="24"/>
          <w:szCs w:val="24"/>
        </w:rPr>
        <w:t xml:space="preserve"> medicīnas tehnoloģijas izstrāde.</w:t>
      </w:r>
      <w:r w:rsidR="00EE164A" w:rsidRPr="003C1B12">
        <w:rPr>
          <w:rFonts w:ascii="Times New Roman" w:hAnsi="Times New Roman" w:cs="Times New Roman"/>
          <w:color w:val="000000" w:themeColor="text1"/>
          <w:sz w:val="24"/>
          <w:szCs w:val="24"/>
        </w:rPr>
        <w:t xml:space="preserve"> </w:t>
      </w:r>
      <w:r w:rsidR="000346D6" w:rsidRPr="003C1B12">
        <w:rPr>
          <w:rFonts w:ascii="Times New Roman" w:hAnsi="Times New Roman" w:cs="Times New Roman"/>
          <w:color w:val="000000" w:themeColor="text1"/>
          <w:sz w:val="24"/>
          <w:szCs w:val="24"/>
        </w:rPr>
        <w:t xml:space="preserve">Savukārt tādas jomas, kā </w:t>
      </w:r>
      <w:r w:rsidR="00C477ED" w:rsidRPr="003C1B12">
        <w:rPr>
          <w:rFonts w:ascii="Times New Roman" w:hAnsi="Times New Roman" w:cs="Times New Roman"/>
          <w:color w:val="000000" w:themeColor="text1"/>
          <w:sz w:val="24"/>
          <w:szCs w:val="24"/>
        </w:rPr>
        <w:t xml:space="preserve">viedie </w:t>
      </w:r>
      <w:r w:rsidR="00592BE4" w:rsidRPr="003C1B12">
        <w:rPr>
          <w:rFonts w:ascii="Times New Roman" w:hAnsi="Times New Roman" w:cs="Times New Roman"/>
          <w:color w:val="000000" w:themeColor="text1"/>
          <w:sz w:val="24"/>
          <w:szCs w:val="24"/>
        </w:rPr>
        <w:t>materiāli</w:t>
      </w:r>
      <w:r w:rsidR="000346D6" w:rsidRPr="003C1B12">
        <w:rPr>
          <w:rFonts w:ascii="Times New Roman" w:hAnsi="Times New Roman" w:cs="Times New Roman"/>
          <w:color w:val="000000" w:themeColor="text1"/>
          <w:sz w:val="24"/>
          <w:szCs w:val="24"/>
        </w:rPr>
        <w:t xml:space="preserve"> </w:t>
      </w:r>
      <w:r w:rsidR="00C477ED" w:rsidRPr="003C1B12">
        <w:rPr>
          <w:rFonts w:ascii="Times New Roman" w:hAnsi="Times New Roman" w:cs="Times New Roman"/>
          <w:color w:val="000000" w:themeColor="text1"/>
          <w:sz w:val="24"/>
          <w:szCs w:val="24"/>
        </w:rPr>
        <w:t>vai</w:t>
      </w:r>
      <w:r w:rsidR="000346D6" w:rsidRPr="003C1B12">
        <w:rPr>
          <w:rFonts w:ascii="Times New Roman" w:hAnsi="Times New Roman" w:cs="Times New Roman"/>
          <w:color w:val="000000" w:themeColor="text1"/>
          <w:sz w:val="24"/>
          <w:szCs w:val="24"/>
        </w:rPr>
        <w:t xml:space="preserve"> </w:t>
      </w:r>
      <w:r w:rsidR="0067072E" w:rsidRPr="003C1B12">
        <w:rPr>
          <w:rFonts w:ascii="Times New Roman" w:hAnsi="Times New Roman" w:cs="Times New Roman"/>
          <w:color w:val="000000" w:themeColor="text1"/>
          <w:sz w:val="24"/>
          <w:szCs w:val="24"/>
        </w:rPr>
        <w:t xml:space="preserve">risinājumi </w:t>
      </w:r>
      <w:r w:rsidR="000346D6" w:rsidRPr="003C1B12">
        <w:rPr>
          <w:rFonts w:ascii="Times New Roman" w:hAnsi="Times New Roman" w:cs="Times New Roman"/>
          <w:color w:val="000000" w:themeColor="text1"/>
          <w:sz w:val="24"/>
          <w:szCs w:val="24"/>
        </w:rPr>
        <w:t>atjaunojam</w:t>
      </w:r>
      <w:r w:rsidR="003E04A7" w:rsidRPr="003C1B12">
        <w:rPr>
          <w:rFonts w:ascii="Times New Roman" w:hAnsi="Times New Roman" w:cs="Times New Roman"/>
          <w:color w:val="000000" w:themeColor="text1"/>
          <w:sz w:val="24"/>
          <w:szCs w:val="24"/>
        </w:rPr>
        <w:t>o</w:t>
      </w:r>
      <w:r w:rsidR="000346D6" w:rsidRPr="003C1B12">
        <w:rPr>
          <w:rFonts w:ascii="Times New Roman" w:hAnsi="Times New Roman" w:cs="Times New Roman"/>
          <w:color w:val="000000" w:themeColor="text1"/>
          <w:sz w:val="24"/>
          <w:szCs w:val="24"/>
        </w:rPr>
        <w:t xml:space="preserve"> energoresurs</w:t>
      </w:r>
      <w:r w:rsidR="0067072E" w:rsidRPr="003C1B12">
        <w:rPr>
          <w:rFonts w:ascii="Times New Roman" w:hAnsi="Times New Roman" w:cs="Times New Roman"/>
          <w:color w:val="000000" w:themeColor="text1"/>
          <w:sz w:val="24"/>
          <w:szCs w:val="24"/>
        </w:rPr>
        <w:t xml:space="preserve">u izmantošanai un ražošanas </w:t>
      </w:r>
      <w:r w:rsidR="00592BE4" w:rsidRPr="003C1B12">
        <w:rPr>
          <w:rFonts w:ascii="Times New Roman" w:hAnsi="Times New Roman" w:cs="Times New Roman"/>
          <w:color w:val="000000" w:themeColor="text1"/>
          <w:sz w:val="24"/>
          <w:szCs w:val="24"/>
        </w:rPr>
        <w:t>pro</w:t>
      </w:r>
      <w:r w:rsidR="0067072E" w:rsidRPr="003C1B12">
        <w:rPr>
          <w:rFonts w:ascii="Times New Roman" w:hAnsi="Times New Roman" w:cs="Times New Roman"/>
          <w:color w:val="000000" w:themeColor="text1"/>
          <w:sz w:val="24"/>
          <w:szCs w:val="24"/>
        </w:rPr>
        <w:t>cesu</w:t>
      </w:r>
      <w:r w:rsidR="000346D6" w:rsidRPr="003C1B12">
        <w:rPr>
          <w:rFonts w:ascii="Times New Roman" w:hAnsi="Times New Roman" w:cs="Times New Roman"/>
          <w:color w:val="000000" w:themeColor="text1"/>
          <w:sz w:val="24"/>
          <w:szCs w:val="24"/>
        </w:rPr>
        <w:t xml:space="preserve"> en</w:t>
      </w:r>
      <w:r w:rsidR="0067072E" w:rsidRPr="003C1B12">
        <w:rPr>
          <w:rFonts w:ascii="Times New Roman" w:hAnsi="Times New Roman" w:cs="Times New Roman"/>
          <w:color w:val="000000" w:themeColor="text1"/>
          <w:sz w:val="24"/>
          <w:szCs w:val="24"/>
        </w:rPr>
        <w:t>e</w:t>
      </w:r>
      <w:r w:rsidR="000346D6" w:rsidRPr="003C1B12">
        <w:rPr>
          <w:rFonts w:ascii="Times New Roman" w:hAnsi="Times New Roman" w:cs="Times New Roman"/>
          <w:color w:val="000000" w:themeColor="text1"/>
          <w:sz w:val="24"/>
          <w:szCs w:val="24"/>
        </w:rPr>
        <w:t>rgoefektivitāte</w:t>
      </w:r>
      <w:r w:rsidR="00592BE4" w:rsidRPr="003C1B12">
        <w:rPr>
          <w:rFonts w:ascii="Times New Roman" w:hAnsi="Times New Roman" w:cs="Times New Roman"/>
          <w:color w:val="000000" w:themeColor="text1"/>
          <w:sz w:val="24"/>
          <w:szCs w:val="24"/>
        </w:rPr>
        <w:t>s paaugstināšanai</w:t>
      </w:r>
      <w:r w:rsidR="000346D6" w:rsidRPr="003C1B12">
        <w:rPr>
          <w:rFonts w:ascii="Times New Roman" w:hAnsi="Times New Roman" w:cs="Times New Roman"/>
          <w:color w:val="000000" w:themeColor="text1"/>
          <w:sz w:val="24"/>
          <w:szCs w:val="24"/>
        </w:rPr>
        <w:t xml:space="preserve"> ir </w:t>
      </w:r>
      <w:r w:rsidR="00592BE4" w:rsidRPr="003C1B12">
        <w:rPr>
          <w:rFonts w:ascii="Times New Roman" w:hAnsi="Times New Roman" w:cs="Times New Roman"/>
          <w:color w:val="000000" w:themeColor="text1"/>
          <w:sz w:val="24"/>
          <w:szCs w:val="24"/>
        </w:rPr>
        <w:t>nozīmīgas gandrīz vis</w:t>
      </w:r>
      <w:r w:rsidR="00C477ED" w:rsidRPr="003C1B12">
        <w:rPr>
          <w:rFonts w:ascii="Times New Roman" w:hAnsi="Times New Roman" w:cs="Times New Roman"/>
          <w:color w:val="000000" w:themeColor="text1"/>
          <w:sz w:val="24"/>
          <w:szCs w:val="24"/>
        </w:rPr>
        <w:t>u</w:t>
      </w:r>
      <w:r w:rsidR="00592BE4" w:rsidRPr="003C1B12">
        <w:rPr>
          <w:rFonts w:ascii="Times New Roman" w:hAnsi="Times New Roman" w:cs="Times New Roman"/>
          <w:color w:val="000000" w:themeColor="text1"/>
          <w:sz w:val="24"/>
          <w:szCs w:val="24"/>
        </w:rPr>
        <w:t xml:space="preserve"> apstrādes rūpniecības nozaru konkurētspējas paaugstināšanai un</w:t>
      </w:r>
      <w:r w:rsidR="00C477ED" w:rsidRPr="003C1B12">
        <w:rPr>
          <w:rFonts w:ascii="Times New Roman" w:hAnsi="Times New Roman" w:cs="Times New Roman"/>
          <w:color w:val="000000" w:themeColor="text1"/>
          <w:sz w:val="24"/>
          <w:szCs w:val="24"/>
        </w:rPr>
        <w:t xml:space="preserve"> līdz ar</w:t>
      </w:r>
      <w:r w:rsidR="00A451C8" w:rsidRPr="003C1B12">
        <w:rPr>
          <w:rFonts w:ascii="Times New Roman" w:hAnsi="Times New Roman" w:cs="Times New Roman"/>
          <w:color w:val="000000" w:themeColor="text1"/>
          <w:sz w:val="24"/>
          <w:szCs w:val="24"/>
        </w:rPr>
        <w:t xml:space="preserve"> </w:t>
      </w:r>
      <w:r w:rsidR="00C477ED" w:rsidRPr="003C1B12">
        <w:rPr>
          <w:rFonts w:ascii="Times New Roman" w:hAnsi="Times New Roman" w:cs="Times New Roman"/>
          <w:color w:val="000000" w:themeColor="text1"/>
          <w:sz w:val="24"/>
          <w:szCs w:val="24"/>
        </w:rPr>
        <w:t>to</w:t>
      </w:r>
      <w:r w:rsidR="00592BE4" w:rsidRPr="003C1B12">
        <w:rPr>
          <w:rFonts w:ascii="Times New Roman" w:hAnsi="Times New Roman" w:cs="Times New Roman"/>
          <w:color w:val="000000" w:themeColor="text1"/>
          <w:sz w:val="24"/>
          <w:szCs w:val="24"/>
        </w:rPr>
        <w:t xml:space="preserve"> pētījumi, kas vērst uz zināšanu radīšanu minētājās jomās tiek īstenoti </w:t>
      </w:r>
      <w:r w:rsidR="00C477ED" w:rsidRPr="003C1B12">
        <w:rPr>
          <w:rFonts w:ascii="Times New Roman" w:hAnsi="Times New Roman" w:cs="Times New Roman"/>
          <w:color w:val="000000" w:themeColor="text1"/>
          <w:sz w:val="24"/>
          <w:szCs w:val="24"/>
        </w:rPr>
        <w:t>vairākos</w:t>
      </w:r>
      <w:r w:rsidR="00592BE4" w:rsidRPr="003C1B12">
        <w:rPr>
          <w:rFonts w:ascii="Times New Roman" w:hAnsi="Times New Roman" w:cs="Times New Roman"/>
          <w:color w:val="000000" w:themeColor="text1"/>
          <w:sz w:val="24"/>
          <w:szCs w:val="24"/>
        </w:rPr>
        <w:t xml:space="preserve"> </w:t>
      </w:r>
      <w:r w:rsidR="007B5BD9" w:rsidRPr="003C1B12">
        <w:rPr>
          <w:rFonts w:ascii="Times New Roman" w:hAnsi="Times New Roman" w:cs="Times New Roman"/>
          <w:color w:val="000000" w:themeColor="text1"/>
          <w:sz w:val="24"/>
          <w:szCs w:val="24"/>
        </w:rPr>
        <w:t>KC</w:t>
      </w:r>
      <w:r w:rsidR="00592BE4" w:rsidRPr="003C1B12">
        <w:rPr>
          <w:rFonts w:ascii="Times New Roman" w:hAnsi="Times New Roman" w:cs="Times New Roman"/>
          <w:color w:val="000000" w:themeColor="text1"/>
          <w:sz w:val="24"/>
          <w:szCs w:val="24"/>
        </w:rPr>
        <w:t>.</w:t>
      </w:r>
    </w:p>
    <w:p w:rsidR="00C567DF" w:rsidRPr="003C1B12" w:rsidRDefault="00C567DF" w:rsidP="00C567DF">
      <w:pPr>
        <w:spacing w:after="0" w:line="240" w:lineRule="auto"/>
        <w:ind w:firstLine="720"/>
        <w:jc w:val="both"/>
        <w:rPr>
          <w:rFonts w:ascii="Times New Roman" w:hAnsi="Times New Roman" w:cs="Times New Roman"/>
          <w:sz w:val="24"/>
          <w:szCs w:val="24"/>
        </w:rPr>
      </w:pPr>
      <w:r w:rsidRPr="003C1B12">
        <w:rPr>
          <w:rFonts w:ascii="Times New Roman" w:hAnsi="Times New Roman" w:cs="Times New Roman"/>
          <w:color w:val="000000" w:themeColor="text1"/>
          <w:sz w:val="24"/>
          <w:szCs w:val="24"/>
        </w:rPr>
        <w:t xml:space="preserve">Kopumā </w:t>
      </w:r>
      <w:r w:rsidR="007B5BD9" w:rsidRPr="003C1B12">
        <w:rPr>
          <w:rFonts w:ascii="Times New Roman" w:hAnsi="Times New Roman" w:cs="Times New Roman"/>
          <w:color w:val="000000" w:themeColor="text1"/>
          <w:sz w:val="24"/>
          <w:szCs w:val="24"/>
        </w:rPr>
        <w:t>KC</w:t>
      </w:r>
      <w:r w:rsidRPr="003C1B12">
        <w:rPr>
          <w:rFonts w:ascii="Times New Roman" w:hAnsi="Times New Roman" w:cs="Times New Roman"/>
          <w:color w:val="000000" w:themeColor="text1"/>
          <w:sz w:val="24"/>
          <w:szCs w:val="24"/>
        </w:rPr>
        <w:t xml:space="preserve"> ir koncentrējuši savu pamata darbību vienā vai divās jomās, izņemot VBB</w:t>
      </w:r>
      <w:r w:rsidR="00A10116" w:rsidRPr="003C1B12">
        <w:rPr>
          <w:rFonts w:ascii="Times New Roman" w:hAnsi="Times New Roman" w:cs="Times New Roman"/>
          <w:color w:val="000000" w:themeColor="text1"/>
          <w:sz w:val="24"/>
          <w:szCs w:val="24"/>
        </w:rPr>
        <w:t>K</w:t>
      </w:r>
      <w:r w:rsidRPr="003C1B12">
        <w:rPr>
          <w:rFonts w:ascii="Times New Roman" w:hAnsi="Times New Roman" w:cs="Times New Roman"/>
          <w:color w:val="000000" w:themeColor="text1"/>
          <w:sz w:val="24"/>
          <w:szCs w:val="24"/>
        </w:rPr>
        <w:t>C, kur pētījumi tiek veikti gandrīz visā</w:t>
      </w:r>
      <w:r w:rsidR="00A10116" w:rsidRPr="003C1B12">
        <w:rPr>
          <w:rFonts w:ascii="Times New Roman" w:hAnsi="Times New Roman" w:cs="Times New Roman"/>
          <w:color w:val="000000" w:themeColor="text1"/>
          <w:sz w:val="24"/>
          <w:szCs w:val="24"/>
        </w:rPr>
        <w:t>s</w:t>
      </w:r>
      <w:r w:rsidRPr="003C1B12">
        <w:rPr>
          <w:rFonts w:ascii="Times New Roman" w:hAnsi="Times New Roman" w:cs="Times New Roman"/>
          <w:color w:val="000000" w:themeColor="text1"/>
          <w:sz w:val="24"/>
          <w:szCs w:val="24"/>
        </w:rPr>
        <w:t xml:space="preserve"> specializācijas jomās un cenšoties </w:t>
      </w:r>
      <w:r w:rsidR="00A37D33" w:rsidRPr="003C1B12">
        <w:rPr>
          <w:rFonts w:ascii="Times New Roman" w:hAnsi="Times New Roman" w:cs="Times New Roman"/>
          <w:color w:val="000000" w:themeColor="text1"/>
          <w:sz w:val="24"/>
          <w:szCs w:val="24"/>
        </w:rPr>
        <w:t>ap</w:t>
      </w:r>
      <w:r w:rsidRPr="003C1B12">
        <w:rPr>
          <w:rFonts w:ascii="Times New Roman" w:hAnsi="Times New Roman" w:cs="Times New Roman"/>
          <w:color w:val="000000" w:themeColor="text1"/>
          <w:sz w:val="24"/>
          <w:szCs w:val="24"/>
        </w:rPr>
        <w:t>tvert ļoti dažādas tautsaimniecības nozar</w:t>
      </w:r>
      <w:r w:rsidR="00A37D33" w:rsidRPr="003C1B12">
        <w:rPr>
          <w:rFonts w:ascii="Times New Roman" w:hAnsi="Times New Roman" w:cs="Times New Roman"/>
          <w:color w:val="000000" w:themeColor="text1"/>
          <w:sz w:val="24"/>
          <w:szCs w:val="24"/>
        </w:rPr>
        <w:t>u uzņēmumu vajadzības</w:t>
      </w:r>
      <w:r w:rsidRPr="003C1B12">
        <w:rPr>
          <w:rFonts w:ascii="Times New Roman" w:hAnsi="Times New Roman" w:cs="Times New Roman"/>
          <w:color w:val="000000" w:themeColor="text1"/>
          <w:sz w:val="24"/>
          <w:szCs w:val="24"/>
        </w:rPr>
        <w:t xml:space="preserve">, </w:t>
      </w:r>
      <w:r w:rsidR="006838B9" w:rsidRPr="003C1B12">
        <w:rPr>
          <w:rFonts w:ascii="Times New Roman" w:hAnsi="Times New Roman" w:cs="Times New Roman"/>
          <w:color w:val="000000" w:themeColor="text1"/>
          <w:sz w:val="24"/>
          <w:szCs w:val="24"/>
        </w:rPr>
        <w:t xml:space="preserve">līdz ar to </w:t>
      </w:r>
      <w:r w:rsidR="00A37D33" w:rsidRPr="003C1B12">
        <w:rPr>
          <w:rFonts w:ascii="Times New Roman" w:hAnsi="Times New Roman" w:cs="Times New Roman"/>
          <w:color w:val="000000" w:themeColor="text1"/>
          <w:sz w:val="24"/>
          <w:szCs w:val="24"/>
        </w:rPr>
        <w:t>pētījumi ir sadrumstaloti</w:t>
      </w:r>
      <w:r w:rsidR="006838B9" w:rsidRPr="003C1B12">
        <w:rPr>
          <w:rFonts w:ascii="Times New Roman" w:hAnsi="Times New Roman" w:cs="Times New Roman"/>
          <w:color w:val="000000" w:themeColor="text1"/>
          <w:sz w:val="24"/>
          <w:szCs w:val="24"/>
        </w:rPr>
        <w:t>, kas var radīt risku, ka netiek radīt</w:t>
      </w:r>
      <w:r w:rsidR="00D2747A" w:rsidRPr="003C1B12">
        <w:rPr>
          <w:rFonts w:ascii="Times New Roman" w:hAnsi="Times New Roman" w:cs="Times New Roman"/>
          <w:color w:val="000000" w:themeColor="text1"/>
          <w:sz w:val="24"/>
          <w:szCs w:val="24"/>
        </w:rPr>
        <w:t>a</w:t>
      </w:r>
      <w:r w:rsidR="006838B9" w:rsidRPr="003C1B12">
        <w:rPr>
          <w:rFonts w:ascii="Times New Roman" w:hAnsi="Times New Roman" w:cs="Times New Roman"/>
          <w:color w:val="000000" w:themeColor="text1"/>
          <w:sz w:val="24"/>
          <w:szCs w:val="24"/>
        </w:rPr>
        <w:t xml:space="preserve"> pietiekam kritiskā masa, lai atstātu nozīmīgu ietekmi uz noteiktas </w:t>
      </w:r>
      <w:r w:rsidR="008C0597" w:rsidRPr="003C1B12">
        <w:rPr>
          <w:rFonts w:ascii="Times New Roman" w:hAnsi="Times New Roman" w:cs="Times New Roman"/>
          <w:color w:val="000000" w:themeColor="text1"/>
          <w:sz w:val="24"/>
          <w:szCs w:val="24"/>
        </w:rPr>
        <w:t>jomas</w:t>
      </w:r>
      <w:r w:rsidR="006838B9" w:rsidRPr="003C1B12">
        <w:rPr>
          <w:rFonts w:ascii="Times New Roman" w:hAnsi="Times New Roman" w:cs="Times New Roman"/>
          <w:color w:val="000000" w:themeColor="text1"/>
          <w:sz w:val="24"/>
          <w:szCs w:val="24"/>
        </w:rPr>
        <w:t xml:space="preserve"> attīstību ilgtermiņā</w:t>
      </w:r>
      <w:r w:rsidR="00323DBF" w:rsidRPr="003C1B12">
        <w:rPr>
          <w:rFonts w:ascii="Times New Roman" w:hAnsi="Times New Roman" w:cs="Times New Roman"/>
          <w:color w:val="000000" w:themeColor="text1"/>
          <w:sz w:val="24"/>
          <w:szCs w:val="24"/>
        </w:rPr>
        <w:t>.</w:t>
      </w:r>
    </w:p>
    <w:p w:rsidR="00EF67F0" w:rsidRPr="003C1B12" w:rsidRDefault="00592BE4" w:rsidP="00323DBF">
      <w:pPr>
        <w:spacing w:after="0" w:line="240" w:lineRule="auto"/>
        <w:ind w:firstLine="720"/>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 xml:space="preserve"> </w:t>
      </w:r>
      <w:r w:rsidR="00C53126" w:rsidRPr="003C1B12">
        <w:rPr>
          <w:rFonts w:ascii="Times New Roman" w:hAnsi="Times New Roman" w:cs="Times New Roman"/>
          <w:color w:val="000000" w:themeColor="text1"/>
          <w:sz w:val="24"/>
          <w:szCs w:val="24"/>
        </w:rPr>
        <w:t xml:space="preserve">Lai nodrošinātu viedās specializācija stratēģijā noteikto mērķa sasniegšanu un </w:t>
      </w:r>
      <w:r w:rsidR="00C53126" w:rsidRPr="003C1B12">
        <w:rPr>
          <w:rFonts w:ascii="Times New Roman" w:hAnsi="Times New Roman" w:cs="Times New Roman"/>
          <w:sz w:val="24"/>
          <w:szCs w:val="24"/>
        </w:rPr>
        <w:t>palielināt</w:t>
      </w:r>
      <w:r w:rsidR="00EC66C9" w:rsidRPr="003C1B12">
        <w:rPr>
          <w:rFonts w:ascii="Times New Roman" w:hAnsi="Times New Roman" w:cs="Times New Roman"/>
          <w:sz w:val="24"/>
          <w:szCs w:val="24"/>
        </w:rPr>
        <w:t>u</w:t>
      </w:r>
      <w:r w:rsidR="00C53126" w:rsidRPr="003C1B12">
        <w:rPr>
          <w:rFonts w:ascii="Times New Roman" w:hAnsi="Times New Roman" w:cs="Times New Roman"/>
          <w:sz w:val="24"/>
          <w:szCs w:val="24"/>
        </w:rPr>
        <w:t xml:space="preserve"> inovācijas kapacitāti</w:t>
      </w:r>
      <w:r w:rsidR="00EC66C9" w:rsidRPr="003C1B12">
        <w:rPr>
          <w:rFonts w:ascii="Times New Roman" w:hAnsi="Times New Roman" w:cs="Times New Roman"/>
          <w:sz w:val="24"/>
          <w:szCs w:val="24"/>
        </w:rPr>
        <w:t xml:space="preserve"> </w:t>
      </w:r>
      <w:r w:rsidR="00EC66C9" w:rsidRPr="003C1B12">
        <w:rPr>
          <w:rFonts w:ascii="Times New Roman" w:eastAsia="SimSun" w:hAnsi="Times New Roman" w:cs="Times New Roman"/>
          <w:sz w:val="24"/>
          <w:szCs w:val="24"/>
          <w:lang w:eastAsia="zh-CN" w:bidi="lo-LA"/>
        </w:rPr>
        <w:t>un veicinātu tehnoloģisko pārnesi tautsaimniecībā noteiktajā</w:t>
      </w:r>
      <w:r w:rsidR="00323DBF" w:rsidRPr="003C1B12">
        <w:rPr>
          <w:rFonts w:ascii="Times New Roman" w:eastAsia="SimSun" w:hAnsi="Times New Roman" w:cs="Times New Roman"/>
          <w:sz w:val="24"/>
          <w:szCs w:val="24"/>
          <w:lang w:eastAsia="zh-CN" w:bidi="lo-LA"/>
        </w:rPr>
        <w:t>s viedās specializācijas jomās,</w:t>
      </w:r>
      <w:r w:rsidR="00EC66C9" w:rsidRPr="003C1B12">
        <w:rPr>
          <w:rFonts w:ascii="Times New Roman" w:eastAsia="SimSun" w:hAnsi="Times New Roman" w:cs="Times New Roman"/>
          <w:sz w:val="24"/>
          <w:szCs w:val="24"/>
          <w:lang w:eastAsia="zh-CN" w:bidi="lo-LA"/>
        </w:rPr>
        <w:t xml:space="preserve"> n</w:t>
      </w:r>
      <w:r w:rsidR="00C53126" w:rsidRPr="003C1B12">
        <w:rPr>
          <w:rFonts w:ascii="Times New Roman" w:hAnsi="Times New Roman" w:cs="Times New Roman"/>
          <w:color w:val="000000" w:themeColor="text1"/>
          <w:sz w:val="24"/>
          <w:szCs w:val="24"/>
        </w:rPr>
        <w:t xml:space="preserve">ākamā perioda atbalsta </w:t>
      </w:r>
      <w:r w:rsidR="00EC66C9" w:rsidRPr="003C1B12">
        <w:rPr>
          <w:rFonts w:ascii="Times New Roman" w:hAnsi="Times New Roman" w:cs="Times New Roman"/>
          <w:color w:val="000000" w:themeColor="text1"/>
          <w:sz w:val="24"/>
          <w:szCs w:val="24"/>
        </w:rPr>
        <w:t>programmas ieviešanas modelim un nosacījumiem</w:t>
      </w:r>
      <w:r w:rsidR="00C53126" w:rsidRPr="003C1B12">
        <w:rPr>
          <w:rFonts w:ascii="Times New Roman" w:hAnsi="Times New Roman" w:cs="Times New Roman"/>
          <w:color w:val="000000" w:themeColor="text1"/>
          <w:sz w:val="24"/>
          <w:szCs w:val="24"/>
        </w:rPr>
        <w:t xml:space="preserve"> </w:t>
      </w:r>
      <w:r w:rsidR="00EC66C9" w:rsidRPr="003C1B12">
        <w:rPr>
          <w:rFonts w:ascii="Times New Roman" w:hAnsi="Times New Roman" w:cs="Times New Roman"/>
          <w:color w:val="000000" w:themeColor="text1"/>
          <w:sz w:val="24"/>
          <w:szCs w:val="24"/>
        </w:rPr>
        <w:t>jā</w:t>
      </w:r>
      <w:r w:rsidR="00C53126" w:rsidRPr="003C1B12">
        <w:rPr>
          <w:rFonts w:ascii="Times New Roman" w:hAnsi="Times New Roman" w:cs="Times New Roman"/>
          <w:color w:val="000000" w:themeColor="text1"/>
          <w:sz w:val="24"/>
          <w:szCs w:val="24"/>
        </w:rPr>
        <w:t>n</w:t>
      </w:r>
      <w:r w:rsidR="00EC66C9" w:rsidRPr="003C1B12">
        <w:rPr>
          <w:rFonts w:ascii="Times New Roman" w:hAnsi="Times New Roman" w:cs="Times New Roman"/>
          <w:color w:val="000000" w:themeColor="text1"/>
          <w:sz w:val="24"/>
          <w:szCs w:val="24"/>
        </w:rPr>
        <w:t xml:space="preserve">odrošina, ka </w:t>
      </w:r>
      <w:r w:rsidR="007B5BD9" w:rsidRPr="003C1B12">
        <w:rPr>
          <w:rFonts w:ascii="Times New Roman" w:hAnsi="Times New Roman" w:cs="Times New Roman"/>
          <w:color w:val="000000" w:themeColor="text1"/>
          <w:sz w:val="24"/>
          <w:szCs w:val="24"/>
        </w:rPr>
        <w:t>KC</w:t>
      </w:r>
      <w:r w:rsidR="00A10116" w:rsidRPr="003C1B12">
        <w:rPr>
          <w:rFonts w:ascii="Times New Roman" w:hAnsi="Times New Roman" w:cs="Times New Roman"/>
          <w:color w:val="000000" w:themeColor="text1"/>
          <w:sz w:val="24"/>
          <w:szCs w:val="24"/>
        </w:rPr>
        <w:t xml:space="preserve"> nosedz visas specializācijas jomas. </w:t>
      </w:r>
      <w:r w:rsidR="00640D08" w:rsidRPr="003C1B12">
        <w:rPr>
          <w:rFonts w:ascii="Times New Roman" w:hAnsi="Times New Roman" w:cs="Times New Roman"/>
          <w:color w:val="000000" w:themeColor="text1"/>
          <w:sz w:val="24"/>
          <w:szCs w:val="24"/>
        </w:rPr>
        <w:t>EM</w:t>
      </w:r>
      <w:r w:rsidR="00A10116" w:rsidRPr="003C1B12">
        <w:rPr>
          <w:rFonts w:ascii="Times New Roman" w:hAnsi="Times New Roman" w:cs="Times New Roman"/>
          <w:color w:val="000000" w:themeColor="text1"/>
          <w:sz w:val="24"/>
          <w:szCs w:val="24"/>
        </w:rPr>
        <w:t xml:space="preserve"> izstrādājusi </w:t>
      </w:r>
      <w:r w:rsidR="00A10116" w:rsidRPr="003C1B12">
        <w:rPr>
          <w:rFonts w:ascii="Times New Roman" w:hAnsi="Times New Roman" w:cs="Times New Roman"/>
          <w:color w:val="000000" w:themeColor="text1"/>
          <w:sz w:val="24"/>
          <w:szCs w:val="24"/>
        </w:rPr>
        <w:lastRenderedPageBreak/>
        <w:t xml:space="preserve">iespējamais jomu un apakšjomu sadalījumus pa </w:t>
      </w:r>
      <w:r w:rsidR="007B5BD9" w:rsidRPr="003C1B12">
        <w:rPr>
          <w:rFonts w:ascii="Times New Roman" w:hAnsi="Times New Roman" w:cs="Times New Roman"/>
          <w:color w:val="000000" w:themeColor="text1"/>
          <w:sz w:val="24"/>
          <w:szCs w:val="24"/>
        </w:rPr>
        <w:t>KC</w:t>
      </w:r>
      <w:r w:rsidR="00A10116" w:rsidRPr="003C1B12">
        <w:rPr>
          <w:rFonts w:ascii="Times New Roman" w:hAnsi="Times New Roman" w:cs="Times New Roman"/>
          <w:color w:val="000000" w:themeColor="text1"/>
          <w:sz w:val="24"/>
          <w:szCs w:val="24"/>
        </w:rPr>
        <w:t>, kurš tiks virzīts diskusijai ar sociālajiem partneriem (skatīt pielikumu Nr.2).</w:t>
      </w:r>
      <w:r w:rsidR="00EC66C9" w:rsidRPr="003C1B12">
        <w:rPr>
          <w:rFonts w:ascii="Times New Roman" w:hAnsi="Times New Roman" w:cs="Times New Roman"/>
          <w:color w:val="000000" w:themeColor="text1"/>
          <w:sz w:val="24"/>
          <w:szCs w:val="24"/>
        </w:rPr>
        <w:t xml:space="preserve"> </w:t>
      </w:r>
      <w:r w:rsidR="007B5BD9" w:rsidRPr="003C1B12">
        <w:rPr>
          <w:rFonts w:ascii="Times New Roman" w:hAnsi="Times New Roman" w:cs="Times New Roman"/>
          <w:color w:val="000000" w:themeColor="text1"/>
          <w:sz w:val="24"/>
          <w:szCs w:val="24"/>
        </w:rPr>
        <w:t>KC</w:t>
      </w:r>
      <w:r w:rsidR="006838B9" w:rsidRPr="003C1B12">
        <w:rPr>
          <w:rFonts w:ascii="Times New Roman" w:hAnsi="Times New Roman" w:cs="Times New Roman"/>
          <w:color w:val="000000" w:themeColor="text1"/>
          <w:sz w:val="24"/>
          <w:szCs w:val="24"/>
        </w:rPr>
        <w:t xml:space="preserve"> pētījumu virzieniem jāatbilst specializācijas jomai un pētījumi tiek īstenoti</w:t>
      </w:r>
      <w:r w:rsidR="00A97CF9" w:rsidRPr="003C1B12">
        <w:rPr>
          <w:rFonts w:ascii="Times New Roman" w:hAnsi="Times New Roman" w:cs="Times New Roman"/>
          <w:color w:val="000000" w:themeColor="text1"/>
          <w:sz w:val="24"/>
          <w:szCs w:val="24"/>
        </w:rPr>
        <w:t xml:space="preserve"> </w:t>
      </w:r>
      <w:r w:rsidR="00466114" w:rsidRPr="003C1B12">
        <w:rPr>
          <w:rFonts w:ascii="Times New Roman" w:hAnsi="Times New Roman" w:cs="Times New Roman"/>
          <w:color w:val="000000" w:themeColor="text1"/>
          <w:sz w:val="24"/>
          <w:szCs w:val="24"/>
        </w:rPr>
        <w:t xml:space="preserve">KC </w:t>
      </w:r>
      <w:r w:rsidR="00A97CF9" w:rsidRPr="003C1B12">
        <w:rPr>
          <w:rFonts w:ascii="Times New Roman" w:hAnsi="Times New Roman" w:cs="Times New Roman"/>
          <w:color w:val="000000" w:themeColor="text1"/>
          <w:sz w:val="24"/>
          <w:szCs w:val="24"/>
        </w:rPr>
        <w:t xml:space="preserve">stratēģijās </w:t>
      </w:r>
      <w:r w:rsidR="006838B9" w:rsidRPr="003C1B12">
        <w:rPr>
          <w:rFonts w:ascii="Times New Roman" w:hAnsi="Times New Roman" w:cs="Times New Roman"/>
          <w:color w:val="000000" w:themeColor="text1"/>
          <w:sz w:val="24"/>
          <w:szCs w:val="24"/>
        </w:rPr>
        <w:t>identificēt</w:t>
      </w:r>
      <w:r w:rsidR="00A97CF9" w:rsidRPr="003C1B12">
        <w:rPr>
          <w:rFonts w:ascii="Times New Roman" w:hAnsi="Times New Roman" w:cs="Times New Roman"/>
          <w:color w:val="000000" w:themeColor="text1"/>
          <w:sz w:val="24"/>
          <w:szCs w:val="24"/>
        </w:rPr>
        <w:t>o</w:t>
      </w:r>
      <w:r w:rsidR="00C477ED" w:rsidRPr="003C1B12">
        <w:rPr>
          <w:rFonts w:ascii="Times New Roman" w:hAnsi="Times New Roman" w:cs="Times New Roman"/>
          <w:color w:val="000000" w:themeColor="text1"/>
          <w:sz w:val="24"/>
          <w:szCs w:val="24"/>
        </w:rPr>
        <w:t xml:space="preserve"> </w:t>
      </w:r>
      <w:r w:rsidR="00A451C8" w:rsidRPr="003C1B12">
        <w:rPr>
          <w:rFonts w:ascii="Times New Roman" w:hAnsi="Times New Roman" w:cs="Times New Roman"/>
          <w:color w:val="000000" w:themeColor="text1"/>
          <w:sz w:val="24"/>
          <w:szCs w:val="24"/>
        </w:rPr>
        <w:t>konkurētspējas niš</w:t>
      </w:r>
      <w:r w:rsidR="00A97CF9" w:rsidRPr="003C1B12">
        <w:rPr>
          <w:rFonts w:ascii="Times New Roman" w:hAnsi="Times New Roman" w:cs="Times New Roman"/>
          <w:color w:val="000000" w:themeColor="text1"/>
          <w:sz w:val="24"/>
          <w:szCs w:val="24"/>
        </w:rPr>
        <w:t>u attīstīšanai</w:t>
      </w:r>
      <w:r w:rsidR="00070FF8" w:rsidRPr="003C1B12">
        <w:rPr>
          <w:rFonts w:ascii="Times New Roman" w:hAnsi="Times New Roman" w:cs="Times New Roman"/>
          <w:color w:val="000000" w:themeColor="text1"/>
          <w:sz w:val="24"/>
          <w:szCs w:val="24"/>
        </w:rPr>
        <w:t xml:space="preserve">. Tomēr </w:t>
      </w:r>
      <w:r w:rsidR="006838B9" w:rsidRPr="003C1B12">
        <w:rPr>
          <w:rFonts w:ascii="Times New Roman" w:hAnsi="Times New Roman" w:cs="Times New Roman"/>
          <w:color w:val="000000" w:themeColor="text1"/>
          <w:sz w:val="24"/>
          <w:szCs w:val="24"/>
        </w:rPr>
        <w:t>vienlaicīgi jāpas</w:t>
      </w:r>
      <w:r w:rsidR="00F0176E" w:rsidRPr="003C1B12">
        <w:rPr>
          <w:rFonts w:ascii="Times New Roman" w:hAnsi="Times New Roman" w:cs="Times New Roman"/>
          <w:color w:val="000000" w:themeColor="text1"/>
          <w:sz w:val="24"/>
          <w:szCs w:val="24"/>
        </w:rPr>
        <w:t>tāv elastīgam un ātram mehānismam</w:t>
      </w:r>
      <w:r w:rsidR="00A451C8" w:rsidRPr="003C1B12">
        <w:rPr>
          <w:rFonts w:ascii="Times New Roman" w:hAnsi="Times New Roman" w:cs="Times New Roman"/>
          <w:color w:val="000000" w:themeColor="text1"/>
          <w:sz w:val="24"/>
          <w:szCs w:val="24"/>
        </w:rPr>
        <w:t>, ka</w:t>
      </w:r>
      <w:r w:rsidR="006838B9" w:rsidRPr="003C1B12">
        <w:rPr>
          <w:rFonts w:ascii="Times New Roman" w:hAnsi="Times New Roman" w:cs="Times New Roman"/>
          <w:color w:val="000000" w:themeColor="text1"/>
          <w:sz w:val="24"/>
          <w:szCs w:val="24"/>
        </w:rPr>
        <w:t>s nodrošina, ka</w:t>
      </w:r>
      <w:r w:rsidR="00A451C8" w:rsidRPr="003C1B12">
        <w:rPr>
          <w:rFonts w:ascii="Times New Roman" w:hAnsi="Times New Roman" w:cs="Times New Roman"/>
          <w:color w:val="000000" w:themeColor="text1"/>
          <w:sz w:val="24"/>
          <w:szCs w:val="24"/>
        </w:rPr>
        <w:t>, ja uzņēmējdarbības atklājumu procesa gaitā tiek identificētas jaunas konkurētspējas nišas, ar tām tiek papildināta attiecīgā</w:t>
      </w:r>
      <w:r w:rsidR="006838B9" w:rsidRPr="003C1B12">
        <w:rPr>
          <w:rFonts w:ascii="Times New Roman" w:hAnsi="Times New Roman" w:cs="Times New Roman"/>
          <w:color w:val="000000" w:themeColor="text1"/>
          <w:sz w:val="24"/>
          <w:szCs w:val="24"/>
        </w:rPr>
        <w:t xml:space="preserve"> specializācijas joma un </w:t>
      </w:r>
      <w:r w:rsidR="007B5BD9" w:rsidRPr="003C1B12">
        <w:rPr>
          <w:rFonts w:ascii="Times New Roman" w:hAnsi="Times New Roman" w:cs="Times New Roman"/>
          <w:color w:val="000000" w:themeColor="text1"/>
          <w:sz w:val="24"/>
          <w:szCs w:val="24"/>
        </w:rPr>
        <w:t>KC</w:t>
      </w:r>
      <w:r w:rsidR="00A451C8" w:rsidRPr="003C1B12">
        <w:rPr>
          <w:rFonts w:ascii="Times New Roman" w:hAnsi="Times New Roman" w:cs="Times New Roman"/>
          <w:color w:val="000000" w:themeColor="text1"/>
          <w:sz w:val="24"/>
          <w:szCs w:val="24"/>
        </w:rPr>
        <w:t xml:space="preserve"> pētniecības programma</w:t>
      </w:r>
      <w:r w:rsidR="00323DBF" w:rsidRPr="003C1B12">
        <w:rPr>
          <w:rFonts w:ascii="Times New Roman" w:hAnsi="Times New Roman" w:cs="Times New Roman"/>
          <w:color w:val="000000" w:themeColor="text1"/>
          <w:sz w:val="24"/>
          <w:szCs w:val="24"/>
        </w:rPr>
        <w:t>.</w:t>
      </w:r>
    </w:p>
    <w:p w:rsidR="00323DBF" w:rsidRPr="003C1B12" w:rsidRDefault="00323DBF" w:rsidP="00323DBF">
      <w:pPr>
        <w:spacing w:after="0" w:line="240" w:lineRule="auto"/>
        <w:ind w:firstLine="720"/>
        <w:jc w:val="both"/>
        <w:rPr>
          <w:rFonts w:ascii="Times New Roman" w:hAnsi="Times New Roman" w:cs="Times New Roman"/>
          <w:color w:val="000000" w:themeColor="text1"/>
          <w:sz w:val="24"/>
          <w:szCs w:val="24"/>
        </w:rPr>
      </w:pPr>
    </w:p>
    <w:p w:rsidR="000E3BBF" w:rsidRPr="003C1B12" w:rsidRDefault="000E3BBF" w:rsidP="000E3BBF">
      <w:pPr>
        <w:pStyle w:val="Heading2"/>
        <w:spacing w:before="0" w:after="120"/>
        <w:rPr>
          <w:rFonts w:ascii="Times New Roman" w:hAnsi="Times New Roman" w:cs="Times New Roman"/>
          <w:color w:val="31849B" w:themeColor="accent5" w:themeShade="BF"/>
          <w:sz w:val="24"/>
        </w:rPr>
      </w:pPr>
      <w:bookmarkStart w:id="31" w:name="_Toc427646474"/>
      <w:bookmarkStart w:id="32" w:name="_Toc427646560"/>
      <w:r w:rsidRPr="003C1B12">
        <w:rPr>
          <w:rFonts w:ascii="Times New Roman" w:hAnsi="Times New Roman" w:cs="Times New Roman"/>
          <w:color w:val="31849B" w:themeColor="accent5" w:themeShade="BF"/>
          <w:sz w:val="24"/>
        </w:rPr>
        <w:t>2.</w:t>
      </w:r>
      <w:r w:rsidR="00285DBF" w:rsidRPr="003C1B12">
        <w:rPr>
          <w:rFonts w:ascii="Times New Roman" w:hAnsi="Times New Roman" w:cs="Times New Roman"/>
          <w:color w:val="31849B" w:themeColor="accent5" w:themeShade="BF"/>
          <w:sz w:val="24"/>
        </w:rPr>
        <w:t>2</w:t>
      </w:r>
      <w:r w:rsidRPr="003C1B12">
        <w:rPr>
          <w:rFonts w:ascii="Times New Roman" w:hAnsi="Times New Roman" w:cs="Times New Roman"/>
          <w:color w:val="31849B" w:themeColor="accent5" w:themeShade="BF"/>
          <w:sz w:val="24"/>
        </w:rPr>
        <w:t>.</w:t>
      </w:r>
      <w:r w:rsidR="002B2ABA" w:rsidRPr="003C1B12">
        <w:rPr>
          <w:rFonts w:ascii="Times New Roman" w:hAnsi="Times New Roman" w:cs="Times New Roman"/>
          <w:color w:val="31849B" w:themeColor="accent5" w:themeShade="BF"/>
          <w:sz w:val="24"/>
        </w:rPr>
        <w:t>5</w:t>
      </w:r>
      <w:r w:rsidRPr="003C1B12">
        <w:rPr>
          <w:rFonts w:ascii="Times New Roman" w:hAnsi="Times New Roman" w:cs="Times New Roman"/>
          <w:color w:val="31849B" w:themeColor="accent5" w:themeShade="BF"/>
          <w:sz w:val="24"/>
        </w:rPr>
        <w:t>. Programmas administrēšana</w:t>
      </w:r>
      <w:bookmarkEnd w:id="31"/>
      <w:bookmarkEnd w:id="32"/>
      <w:r w:rsidRPr="003C1B12">
        <w:rPr>
          <w:rFonts w:ascii="Times New Roman" w:hAnsi="Times New Roman" w:cs="Times New Roman"/>
          <w:color w:val="31849B" w:themeColor="accent5" w:themeShade="BF"/>
          <w:sz w:val="24"/>
        </w:rPr>
        <w:t xml:space="preserve"> </w:t>
      </w:r>
    </w:p>
    <w:p w:rsidR="00AD68FD" w:rsidRPr="003C1B12" w:rsidRDefault="001C5765" w:rsidP="004E548D">
      <w:pPr>
        <w:spacing w:after="0" w:line="240" w:lineRule="auto"/>
        <w:ind w:firstLine="357"/>
        <w:jc w:val="both"/>
      </w:pPr>
      <w:r w:rsidRPr="003C1B12">
        <w:rPr>
          <w:rFonts w:ascii="Times New Roman" w:hAnsi="Times New Roman" w:cs="Times New Roman"/>
          <w:sz w:val="24"/>
          <w:szCs w:val="24"/>
        </w:rPr>
        <w:t>Galvenās problēmas programmas administrēšanā un projektu ieviešanā bija saistītas ar būtiskiem pārrāvumiem finanšu plūsmā, kas veidojās ilgo starpposmu pārbaužu un saskaņošanas procesa rezultātā. Jāņem vērā,</w:t>
      </w:r>
      <w:r w:rsidR="001B3117" w:rsidRPr="003C1B12">
        <w:rPr>
          <w:rFonts w:ascii="Times New Roman" w:hAnsi="Times New Roman" w:cs="Times New Roman"/>
          <w:sz w:val="24"/>
          <w:szCs w:val="24"/>
        </w:rPr>
        <w:t xml:space="preserve"> ka</w:t>
      </w:r>
      <w:r w:rsidRPr="003C1B12">
        <w:rPr>
          <w:rFonts w:ascii="Times New Roman" w:hAnsi="Times New Roman" w:cs="Times New Roman"/>
          <w:sz w:val="24"/>
          <w:szCs w:val="24"/>
        </w:rPr>
        <w:t xml:space="preserve"> </w:t>
      </w:r>
      <w:r w:rsidR="001B3117" w:rsidRPr="003C1B12">
        <w:rPr>
          <w:rFonts w:ascii="Times New Roman" w:hAnsi="Times New Roman" w:cs="Times New Roman"/>
          <w:sz w:val="24"/>
          <w:szCs w:val="24"/>
        </w:rPr>
        <w:t>sā</w:t>
      </w:r>
      <w:r w:rsidRPr="003C1B12">
        <w:rPr>
          <w:rFonts w:ascii="Times New Roman" w:hAnsi="Times New Roman" w:cs="Times New Roman"/>
          <w:sz w:val="24"/>
          <w:szCs w:val="24"/>
        </w:rPr>
        <w:t>kotn</w:t>
      </w:r>
      <w:r w:rsidR="001B3117" w:rsidRPr="003C1B12">
        <w:rPr>
          <w:rFonts w:ascii="Times New Roman" w:hAnsi="Times New Roman" w:cs="Times New Roman"/>
          <w:sz w:val="24"/>
          <w:szCs w:val="24"/>
        </w:rPr>
        <w:t>ē</w:t>
      </w:r>
      <w:r w:rsidRPr="003C1B12">
        <w:rPr>
          <w:rFonts w:ascii="Times New Roman" w:hAnsi="Times New Roman" w:cs="Times New Roman"/>
          <w:sz w:val="24"/>
          <w:szCs w:val="24"/>
        </w:rPr>
        <w:t>j</w:t>
      </w:r>
      <w:r w:rsidR="001B3117" w:rsidRPr="003C1B12">
        <w:rPr>
          <w:rFonts w:ascii="Times New Roman" w:hAnsi="Times New Roman" w:cs="Times New Roman"/>
          <w:sz w:val="24"/>
          <w:szCs w:val="24"/>
        </w:rPr>
        <w:t>i</w:t>
      </w:r>
      <w:r w:rsidRPr="003C1B12">
        <w:rPr>
          <w:rFonts w:ascii="Times New Roman" w:hAnsi="Times New Roman" w:cs="Times New Roman"/>
          <w:sz w:val="24"/>
          <w:szCs w:val="24"/>
        </w:rPr>
        <w:t xml:space="preserve"> uzraugo</w:t>
      </w:r>
      <w:r w:rsidR="001B3117" w:rsidRPr="003C1B12">
        <w:rPr>
          <w:rFonts w:ascii="Times New Roman" w:hAnsi="Times New Roman" w:cs="Times New Roman"/>
          <w:sz w:val="24"/>
          <w:szCs w:val="24"/>
        </w:rPr>
        <w:t>ša</w:t>
      </w:r>
      <w:r w:rsidRPr="003C1B12">
        <w:rPr>
          <w:rFonts w:ascii="Times New Roman" w:hAnsi="Times New Roman" w:cs="Times New Roman"/>
          <w:sz w:val="24"/>
          <w:szCs w:val="24"/>
        </w:rPr>
        <w:t xml:space="preserve">jām </w:t>
      </w:r>
      <w:r w:rsidR="001B3117" w:rsidRPr="003C1B12">
        <w:rPr>
          <w:rFonts w:ascii="Times New Roman" w:hAnsi="Times New Roman" w:cs="Times New Roman"/>
          <w:sz w:val="24"/>
          <w:szCs w:val="24"/>
        </w:rPr>
        <w:t>iestādēm</w:t>
      </w:r>
      <w:r w:rsidRPr="003C1B12">
        <w:rPr>
          <w:rFonts w:ascii="Times New Roman" w:hAnsi="Times New Roman" w:cs="Times New Roman"/>
          <w:sz w:val="24"/>
          <w:szCs w:val="24"/>
        </w:rPr>
        <w:t xml:space="preserve"> nebija izveid</w:t>
      </w:r>
      <w:r w:rsidR="001B3117" w:rsidRPr="003C1B12">
        <w:rPr>
          <w:rFonts w:ascii="Times New Roman" w:hAnsi="Times New Roman" w:cs="Times New Roman"/>
          <w:sz w:val="24"/>
          <w:szCs w:val="24"/>
        </w:rPr>
        <w:t>o</w:t>
      </w:r>
      <w:r w:rsidRPr="003C1B12">
        <w:rPr>
          <w:rFonts w:ascii="Times New Roman" w:hAnsi="Times New Roman" w:cs="Times New Roman"/>
          <w:sz w:val="24"/>
          <w:szCs w:val="24"/>
        </w:rPr>
        <w:t>jusie</w:t>
      </w:r>
      <w:r w:rsidR="001B3117" w:rsidRPr="003C1B12">
        <w:rPr>
          <w:rFonts w:ascii="Times New Roman" w:hAnsi="Times New Roman" w:cs="Times New Roman"/>
          <w:sz w:val="24"/>
          <w:szCs w:val="24"/>
        </w:rPr>
        <w:t xml:space="preserve">s </w:t>
      </w:r>
      <w:r w:rsidRPr="003C1B12">
        <w:rPr>
          <w:rFonts w:ascii="Times New Roman" w:hAnsi="Times New Roman" w:cs="Times New Roman"/>
          <w:sz w:val="24"/>
          <w:szCs w:val="24"/>
        </w:rPr>
        <w:t>p</w:t>
      </w:r>
      <w:r w:rsidR="001B3117" w:rsidRPr="003C1B12">
        <w:rPr>
          <w:rFonts w:ascii="Times New Roman" w:hAnsi="Times New Roman" w:cs="Times New Roman"/>
          <w:sz w:val="24"/>
          <w:szCs w:val="24"/>
        </w:rPr>
        <w:t>ie</w:t>
      </w:r>
      <w:r w:rsidRPr="003C1B12">
        <w:rPr>
          <w:rFonts w:ascii="Times New Roman" w:hAnsi="Times New Roman" w:cs="Times New Roman"/>
          <w:sz w:val="24"/>
          <w:szCs w:val="24"/>
        </w:rPr>
        <w:t>tiekam</w:t>
      </w:r>
      <w:r w:rsidR="001B3117" w:rsidRPr="003C1B12">
        <w:rPr>
          <w:rFonts w:ascii="Times New Roman" w:hAnsi="Times New Roman" w:cs="Times New Roman"/>
          <w:sz w:val="24"/>
          <w:szCs w:val="24"/>
        </w:rPr>
        <w:t>a</w:t>
      </w:r>
      <w:r w:rsidRPr="003C1B12">
        <w:rPr>
          <w:rFonts w:ascii="Times New Roman" w:hAnsi="Times New Roman" w:cs="Times New Roman"/>
          <w:sz w:val="24"/>
          <w:szCs w:val="24"/>
        </w:rPr>
        <w:t xml:space="preserve"> prakse ilgtermiņa p</w:t>
      </w:r>
      <w:r w:rsidR="001B3117" w:rsidRPr="003C1B12">
        <w:rPr>
          <w:rFonts w:ascii="Times New Roman" w:hAnsi="Times New Roman" w:cs="Times New Roman"/>
          <w:sz w:val="24"/>
          <w:szCs w:val="24"/>
        </w:rPr>
        <w:t>ē</w:t>
      </w:r>
      <w:r w:rsidRPr="003C1B12">
        <w:rPr>
          <w:rFonts w:ascii="Times New Roman" w:hAnsi="Times New Roman" w:cs="Times New Roman"/>
          <w:sz w:val="24"/>
          <w:szCs w:val="24"/>
        </w:rPr>
        <w:t>t</w:t>
      </w:r>
      <w:r w:rsidR="001B3117" w:rsidRPr="003C1B12">
        <w:rPr>
          <w:rFonts w:ascii="Times New Roman" w:hAnsi="Times New Roman" w:cs="Times New Roman"/>
          <w:sz w:val="24"/>
          <w:szCs w:val="24"/>
        </w:rPr>
        <w:t>ī</w:t>
      </w:r>
      <w:r w:rsidRPr="003C1B12">
        <w:rPr>
          <w:rFonts w:ascii="Times New Roman" w:hAnsi="Times New Roman" w:cs="Times New Roman"/>
          <w:sz w:val="24"/>
          <w:szCs w:val="24"/>
        </w:rPr>
        <w:t xml:space="preserve">jumu programmu </w:t>
      </w:r>
      <w:r w:rsidR="001B3117" w:rsidRPr="003C1B12">
        <w:rPr>
          <w:rFonts w:ascii="Times New Roman" w:hAnsi="Times New Roman" w:cs="Times New Roman"/>
          <w:sz w:val="24"/>
          <w:szCs w:val="24"/>
        </w:rPr>
        <w:t>īstenošanā</w:t>
      </w:r>
      <w:r w:rsidR="008E57C7" w:rsidRPr="003C1B12">
        <w:rPr>
          <w:rFonts w:ascii="Times New Roman" w:hAnsi="Times New Roman" w:cs="Times New Roman"/>
          <w:sz w:val="24"/>
          <w:szCs w:val="24"/>
        </w:rPr>
        <w:t xml:space="preserve"> un līdzšinējā ES struktūrfondu programmu  atbalstīto projektu uzraudzībai izveidotā struktūra un procedūras neatbilda programmas sarežģītībai un projektu apjomam</w:t>
      </w:r>
      <w:r w:rsidR="001B3117" w:rsidRPr="003C1B12">
        <w:rPr>
          <w:rFonts w:ascii="Times New Roman" w:hAnsi="Times New Roman" w:cs="Times New Roman"/>
          <w:sz w:val="24"/>
          <w:szCs w:val="24"/>
        </w:rPr>
        <w:t xml:space="preserve">. </w:t>
      </w:r>
      <w:r w:rsidR="008E57C7" w:rsidRPr="003C1B12">
        <w:rPr>
          <w:rFonts w:ascii="Times New Roman" w:hAnsi="Times New Roman" w:cs="Times New Roman"/>
          <w:sz w:val="24"/>
          <w:szCs w:val="24"/>
        </w:rPr>
        <w:t xml:space="preserve">Līdz ar to </w:t>
      </w:r>
      <w:r w:rsidR="00DD64AD" w:rsidRPr="003C1B12">
        <w:rPr>
          <w:rFonts w:ascii="Times New Roman" w:hAnsi="Times New Roman" w:cs="Times New Roman"/>
          <w:sz w:val="24"/>
          <w:szCs w:val="24"/>
        </w:rPr>
        <w:t xml:space="preserve">LIAA </w:t>
      </w:r>
      <w:r w:rsidR="008E57C7" w:rsidRPr="003C1B12">
        <w:rPr>
          <w:rFonts w:ascii="Times New Roman" w:hAnsi="Times New Roman" w:cs="Times New Roman"/>
          <w:sz w:val="24"/>
          <w:szCs w:val="24"/>
        </w:rPr>
        <w:t>jau ieviešan</w:t>
      </w:r>
      <w:r w:rsidR="00D65269" w:rsidRPr="003C1B12">
        <w:rPr>
          <w:rFonts w:ascii="Times New Roman" w:hAnsi="Times New Roman" w:cs="Times New Roman"/>
          <w:sz w:val="24"/>
          <w:szCs w:val="24"/>
        </w:rPr>
        <w:t>as gaitā</w:t>
      </w:r>
      <w:r w:rsidR="008E57C7" w:rsidRPr="003C1B12">
        <w:rPr>
          <w:rFonts w:ascii="Times New Roman" w:hAnsi="Times New Roman" w:cs="Times New Roman"/>
          <w:sz w:val="24"/>
          <w:szCs w:val="24"/>
        </w:rPr>
        <w:t xml:space="preserve"> bija pakāpeniski jāpārskata piemērojamās procedūras, kā arī tika būtiski palielināts cilvēkresursu apjoms, izveidojot </w:t>
      </w:r>
      <w:r w:rsidR="003E04A7" w:rsidRPr="003C1B12">
        <w:rPr>
          <w:rFonts w:ascii="Times New Roman" w:hAnsi="Times New Roman" w:cs="Times New Roman"/>
          <w:sz w:val="24"/>
          <w:szCs w:val="24"/>
        </w:rPr>
        <w:t xml:space="preserve">atsevišķu </w:t>
      </w:r>
      <w:r w:rsidR="008E57C7" w:rsidRPr="003C1B12">
        <w:rPr>
          <w:rFonts w:ascii="Times New Roman" w:hAnsi="Times New Roman" w:cs="Times New Roman"/>
          <w:sz w:val="24"/>
          <w:szCs w:val="24"/>
        </w:rPr>
        <w:t>nodaļu programmas uzraudzībai.</w:t>
      </w:r>
      <w:r w:rsidR="008E57C7" w:rsidRPr="003C1B12">
        <w:t xml:space="preserve">  </w:t>
      </w:r>
    </w:p>
    <w:p w:rsidR="00A31E74" w:rsidRPr="003C1B12" w:rsidRDefault="00A31E74" w:rsidP="00A31E74">
      <w:pPr>
        <w:spacing w:after="0" w:line="240" w:lineRule="auto"/>
        <w:ind w:firstLine="357"/>
        <w:jc w:val="both"/>
        <w:rPr>
          <w:rFonts w:ascii="Times New Roman" w:hAnsi="Times New Roman" w:cs="Times New Roman"/>
          <w:sz w:val="24"/>
          <w:szCs w:val="24"/>
        </w:rPr>
      </w:pPr>
      <w:r w:rsidRPr="003C1B12">
        <w:rPr>
          <w:rFonts w:ascii="Times New Roman" w:hAnsi="Times New Roman" w:cs="Times New Roman"/>
          <w:sz w:val="24"/>
          <w:szCs w:val="24"/>
        </w:rPr>
        <w:t xml:space="preserve">Tāpat, lai uzlabotu projektu vērtēšanas gaitu un veidotu dialogu ar finansējuma saņēmējiem, </w:t>
      </w:r>
      <w:r w:rsidR="00D65269" w:rsidRPr="003C1B12">
        <w:rPr>
          <w:rFonts w:ascii="Times New Roman" w:hAnsi="Times New Roman" w:cs="Times New Roman"/>
          <w:sz w:val="24"/>
          <w:szCs w:val="24"/>
        </w:rPr>
        <w:t>EM</w:t>
      </w:r>
      <w:r w:rsidRPr="003C1B12">
        <w:rPr>
          <w:rFonts w:ascii="Times New Roman" w:hAnsi="Times New Roman" w:cs="Times New Roman"/>
          <w:sz w:val="24"/>
          <w:szCs w:val="24"/>
        </w:rPr>
        <w:t xml:space="preserve"> tika izveidota konsultatīvā padome, kurā piedalījās LIAA, EM, FM un </w:t>
      </w:r>
      <w:r w:rsidR="007B5BD9" w:rsidRPr="003C1B12">
        <w:rPr>
          <w:rFonts w:ascii="Times New Roman" w:hAnsi="Times New Roman" w:cs="Times New Roman"/>
          <w:sz w:val="24"/>
          <w:szCs w:val="24"/>
        </w:rPr>
        <w:t>KC</w:t>
      </w:r>
      <w:r w:rsidRPr="003C1B12">
        <w:rPr>
          <w:rFonts w:ascii="Times New Roman" w:hAnsi="Times New Roman" w:cs="Times New Roman"/>
          <w:sz w:val="24"/>
          <w:szCs w:val="24"/>
        </w:rPr>
        <w:t xml:space="preserve"> pārstāvji. Padomes darba gaitā tika izdiskutēti dažādi priekšlikumi administrēšanas procesa pilnveidošanai,  kas ļāva konstatēt problēmas un izstrādāt atbilstošus attiecīgo noteikumu, līgumu vai iekšējo procedūru grozījumus</w:t>
      </w:r>
      <w:r w:rsidR="00D65269" w:rsidRPr="003C1B12">
        <w:rPr>
          <w:rFonts w:ascii="Times New Roman" w:hAnsi="Times New Roman" w:cs="Times New Roman"/>
          <w:sz w:val="24"/>
          <w:szCs w:val="24"/>
        </w:rPr>
        <w:t>.</w:t>
      </w:r>
      <w:r w:rsidRPr="003C1B12">
        <w:rPr>
          <w:rFonts w:ascii="Times New Roman" w:hAnsi="Times New Roman" w:cs="Times New Roman"/>
          <w:sz w:val="24"/>
          <w:szCs w:val="24"/>
        </w:rPr>
        <w:t xml:space="preserve"> </w:t>
      </w:r>
    </w:p>
    <w:p w:rsidR="00AD68FD" w:rsidRPr="003C1B12" w:rsidRDefault="004E548D" w:rsidP="00A31E74">
      <w:pPr>
        <w:pStyle w:val="CommentText"/>
        <w:spacing w:after="0"/>
        <w:ind w:firstLine="357"/>
        <w:jc w:val="both"/>
      </w:pPr>
      <w:r w:rsidRPr="003C1B12">
        <w:rPr>
          <w:rFonts w:ascii="Times New Roman" w:hAnsi="Times New Roman" w:cs="Times New Roman"/>
          <w:sz w:val="24"/>
          <w:szCs w:val="24"/>
        </w:rPr>
        <w:t xml:space="preserve">Vienlaicīgi jāapzinās, ka </w:t>
      </w:r>
      <w:r w:rsidR="007B5BD9" w:rsidRPr="003C1B12">
        <w:rPr>
          <w:rFonts w:ascii="Times New Roman" w:hAnsi="Times New Roman" w:cs="Times New Roman"/>
          <w:sz w:val="24"/>
          <w:szCs w:val="24"/>
        </w:rPr>
        <w:t>KC</w:t>
      </w:r>
      <w:r w:rsidRPr="003C1B12">
        <w:rPr>
          <w:rFonts w:ascii="Times New Roman" w:hAnsi="Times New Roman" w:cs="Times New Roman"/>
          <w:sz w:val="24"/>
          <w:szCs w:val="24"/>
        </w:rPr>
        <w:t xml:space="preserve"> vadības komandai ir nozīmīga loma LIAA iesniedzamo dokumentu kvalitātes nodrošināšanā, kas bieži arī nosaka pārbaužu termiņus.  Līdz </w:t>
      </w:r>
      <w:r w:rsidR="00A31E74" w:rsidRPr="003C1B12">
        <w:rPr>
          <w:rFonts w:ascii="Times New Roman" w:hAnsi="Times New Roman" w:cs="Times New Roman"/>
          <w:sz w:val="24"/>
          <w:szCs w:val="24"/>
        </w:rPr>
        <w:t>a</w:t>
      </w:r>
      <w:r w:rsidRPr="003C1B12">
        <w:rPr>
          <w:rFonts w:ascii="Times New Roman" w:hAnsi="Times New Roman" w:cs="Times New Roman"/>
          <w:sz w:val="24"/>
          <w:szCs w:val="24"/>
        </w:rPr>
        <w:t>r</w:t>
      </w:r>
      <w:r w:rsidR="00A31E74" w:rsidRPr="003C1B12">
        <w:rPr>
          <w:rFonts w:ascii="Times New Roman" w:hAnsi="Times New Roman" w:cs="Times New Roman"/>
          <w:sz w:val="24"/>
          <w:szCs w:val="24"/>
        </w:rPr>
        <w:t xml:space="preserve"> </w:t>
      </w:r>
      <w:r w:rsidRPr="003C1B12">
        <w:rPr>
          <w:rFonts w:ascii="Times New Roman" w:hAnsi="Times New Roman" w:cs="Times New Roman"/>
          <w:sz w:val="24"/>
          <w:szCs w:val="24"/>
        </w:rPr>
        <w:t>to ar</w:t>
      </w:r>
      <w:r w:rsidR="00A10116" w:rsidRPr="003C1B12">
        <w:rPr>
          <w:rFonts w:ascii="Times New Roman" w:hAnsi="Times New Roman" w:cs="Times New Roman"/>
          <w:sz w:val="24"/>
          <w:szCs w:val="24"/>
        </w:rPr>
        <w:t>ī</w:t>
      </w:r>
      <w:r w:rsidRPr="003C1B12">
        <w:rPr>
          <w:rFonts w:ascii="Times New Roman" w:hAnsi="Times New Roman" w:cs="Times New Roman"/>
          <w:sz w:val="24"/>
          <w:szCs w:val="24"/>
        </w:rPr>
        <w:t xml:space="preserve"> </w:t>
      </w:r>
      <w:r w:rsidR="007B5BD9" w:rsidRPr="003C1B12">
        <w:rPr>
          <w:rFonts w:ascii="Times New Roman" w:hAnsi="Times New Roman" w:cs="Times New Roman"/>
          <w:sz w:val="24"/>
          <w:szCs w:val="24"/>
        </w:rPr>
        <w:t>KC</w:t>
      </w:r>
      <w:r w:rsidRPr="003C1B12">
        <w:rPr>
          <w:rFonts w:ascii="Times New Roman" w:hAnsi="Times New Roman" w:cs="Times New Roman"/>
          <w:sz w:val="24"/>
          <w:szCs w:val="24"/>
        </w:rPr>
        <w:t xml:space="preserve"> nepi</w:t>
      </w:r>
      <w:r w:rsidR="00A31E74" w:rsidRPr="003C1B12">
        <w:rPr>
          <w:rFonts w:ascii="Times New Roman" w:hAnsi="Times New Roman" w:cs="Times New Roman"/>
          <w:sz w:val="24"/>
          <w:szCs w:val="24"/>
        </w:rPr>
        <w:t>e</w:t>
      </w:r>
      <w:r w:rsidRPr="003C1B12">
        <w:rPr>
          <w:rFonts w:ascii="Times New Roman" w:hAnsi="Times New Roman" w:cs="Times New Roman"/>
          <w:sz w:val="24"/>
          <w:szCs w:val="24"/>
        </w:rPr>
        <w:t>cie</w:t>
      </w:r>
      <w:r w:rsidR="00A31E74" w:rsidRPr="003C1B12">
        <w:rPr>
          <w:rFonts w:ascii="Times New Roman" w:hAnsi="Times New Roman" w:cs="Times New Roman"/>
          <w:sz w:val="24"/>
          <w:szCs w:val="24"/>
        </w:rPr>
        <w:t>ša</w:t>
      </w:r>
      <w:r w:rsidRPr="003C1B12">
        <w:rPr>
          <w:rFonts w:ascii="Times New Roman" w:hAnsi="Times New Roman" w:cs="Times New Roman"/>
          <w:sz w:val="24"/>
          <w:szCs w:val="24"/>
        </w:rPr>
        <w:t>ms novirzīt p</w:t>
      </w:r>
      <w:r w:rsidR="00A31E74" w:rsidRPr="003C1B12">
        <w:rPr>
          <w:rFonts w:ascii="Times New Roman" w:hAnsi="Times New Roman" w:cs="Times New Roman"/>
          <w:sz w:val="24"/>
          <w:szCs w:val="24"/>
        </w:rPr>
        <w:t>ie</w:t>
      </w:r>
      <w:r w:rsidRPr="003C1B12">
        <w:rPr>
          <w:rFonts w:ascii="Times New Roman" w:hAnsi="Times New Roman" w:cs="Times New Roman"/>
          <w:sz w:val="24"/>
          <w:szCs w:val="24"/>
        </w:rPr>
        <w:t>tiek</w:t>
      </w:r>
      <w:r w:rsidR="00A31E74" w:rsidRPr="003C1B12">
        <w:rPr>
          <w:rFonts w:ascii="Times New Roman" w:hAnsi="Times New Roman" w:cs="Times New Roman"/>
          <w:sz w:val="24"/>
          <w:szCs w:val="24"/>
        </w:rPr>
        <w:t>a</w:t>
      </w:r>
      <w:r w:rsidRPr="003C1B12">
        <w:rPr>
          <w:rFonts w:ascii="Times New Roman" w:hAnsi="Times New Roman" w:cs="Times New Roman"/>
          <w:sz w:val="24"/>
          <w:szCs w:val="24"/>
        </w:rPr>
        <w:t>mu</w:t>
      </w:r>
      <w:r w:rsidR="00A31E74" w:rsidRPr="003C1B12">
        <w:rPr>
          <w:rFonts w:ascii="Times New Roman" w:hAnsi="Times New Roman" w:cs="Times New Roman"/>
          <w:sz w:val="24"/>
          <w:szCs w:val="24"/>
        </w:rPr>
        <w:t xml:space="preserve">s </w:t>
      </w:r>
      <w:r w:rsidRPr="003C1B12">
        <w:rPr>
          <w:rFonts w:ascii="Times New Roman" w:hAnsi="Times New Roman" w:cs="Times New Roman"/>
          <w:sz w:val="24"/>
          <w:szCs w:val="24"/>
        </w:rPr>
        <w:t>resursu</w:t>
      </w:r>
      <w:r w:rsidR="00A31E74" w:rsidRPr="003C1B12">
        <w:rPr>
          <w:rFonts w:ascii="Times New Roman" w:hAnsi="Times New Roman" w:cs="Times New Roman"/>
          <w:sz w:val="24"/>
          <w:szCs w:val="24"/>
        </w:rPr>
        <w:t>s projekta administrēšanai un</w:t>
      </w:r>
      <w:r w:rsidR="00D65269" w:rsidRPr="003C1B12">
        <w:rPr>
          <w:rFonts w:ascii="Times New Roman" w:hAnsi="Times New Roman" w:cs="Times New Roman"/>
          <w:sz w:val="24"/>
          <w:szCs w:val="24"/>
        </w:rPr>
        <w:t xml:space="preserve"> </w:t>
      </w:r>
      <w:r w:rsidRPr="003C1B12">
        <w:rPr>
          <w:rFonts w:ascii="Times New Roman" w:hAnsi="Times New Roman" w:cs="Times New Roman"/>
          <w:sz w:val="24"/>
          <w:szCs w:val="24"/>
        </w:rPr>
        <w:t xml:space="preserve">komunikācijas  nodrošināšanai </w:t>
      </w:r>
      <w:r w:rsidR="00AD68FD" w:rsidRPr="003C1B12">
        <w:rPr>
          <w:rFonts w:ascii="Times New Roman" w:hAnsi="Times New Roman" w:cs="Times New Roman"/>
          <w:sz w:val="24"/>
          <w:szCs w:val="24"/>
        </w:rPr>
        <w:t>starp projektu vadības komand</w:t>
      </w:r>
      <w:r w:rsidRPr="003C1B12">
        <w:rPr>
          <w:rFonts w:ascii="Times New Roman" w:hAnsi="Times New Roman" w:cs="Times New Roman"/>
          <w:sz w:val="24"/>
          <w:szCs w:val="24"/>
        </w:rPr>
        <w:t>u</w:t>
      </w:r>
      <w:r w:rsidR="00AD68FD" w:rsidRPr="003C1B12">
        <w:rPr>
          <w:rFonts w:ascii="Times New Roman" w:hAnsi="Times New Roman" w:cs="Times New Roman"/>
          <w:sz w:val="24"/>
          <w:szCs w:val="24"/>
        </w:rPr>
        <w:t xml:space="preserve"> un komersantiem</w:t>
      </w:r>
      <w:r w:rsidRPr="003C1B12">
        <w:rPr>
          <w:rFonts w:ascii="Times New Roman" w:hAnsi="Times New Roman" w:cs="Times New Roman"/>
          <w:sz w:val="24"/>
          <w:szCs w:val="24"/>
        </w:rPr>
        <w:t>. P</w:t>
      </w:r>
      <w:r w:rsidR="00A31E74" w:rsidRPr="003C1B12">
        <w:rPr>
          <w:rFonts w:ascii="Times New Roman" w:hAnsi="Times New Roman" w:cs="Times New Roman"/>
          <w:sz w:val="24"/>
          <w:szCs w:val="24"/>
        </w:rPr>
        <w:t>ap</w:t>
      </w:r>
      <w:r w:rsidRPr="003C1B12">
        <w:rPr>
          <w:rFonts w:ascii="Times New Roman" w:hAnsi="Times New Roman" w:cs="Times New Roman"/>
          <w:sz w:val="24"/>
          <w:szCs w:val="24"/>
        </w:rPr>
        <w:t>i</w:t>
      </w:r>
      <w:r w:rsidR="00A31E74" w:rsidRPr="003C1B12">
        <w:rPr>
          <w:rFonts w:ascii="Times New Roman" w:hAnsi="Times New Roman" w:cs="Times New Roman"/>
          <w:sz w:val="24"/>
          <w:szCs w:val="24"/>
        </w:rPr>
        <w:t>ld</w:t>
      </w:r>
      <w:r w:rsidRPr="003C1B12">
        <w:rPr>
          <w:rFonts w:ascii="Times New Roman" w:hAnsi="Times New Roman" w:cs="Times New Roman"/>
          <w:sz w:val="24"/>
          <w:szCs w:val="24"/>
        </w:rPr>
        <w:t>us nep</w:t>
      </w:r>
      <w:r w:rsidR="00A31E74" w:rsidRPr="003C1B12">
        <w:rPr>
          <w:rFonts w:ascii="Times New Roman" w:hAnsi="Times New Roman" w:cs="Times New Roman"/>
          <w:sz w:val="24"/>
          <w:szCs w:val="24"/>
        </w:rPr>
        <w:t>ie</w:t>
      </w:r>
      <w:r w:rsidRPr="003C1B12">
        <w:rPr>
          <w:rFonts w:ascii="Times New Roman" w:hAnsi="Times New Roman" w:cs="Times New Roman"/>
          <w:sz w:val="24"/>
          <w:szCs w:val="24"/>
        </w:rPr>
        <w:t>cie</w:t>
      </w:r>
      <w:r w:rsidR="00A31E74" w:rsidRPr="003C1B12">
        <w:rPr>
          <w:rFonts w:ascii="Times New Roman" w:hAnsi="Times New Roman" w:cs="Times New Roman"/>
          <w:sz w:val="24"/>
          <w:szCs w:val="24"/>
        </w:rPr>
        <w:t>ša</w:t>
      </w:r>
      <w:r w:rsidRPr="003C1B12">
        <w:rPr>
          <w:rFonts w:ascii="Times New Roman" w:hAnsi="Times New Roman" w:cs="Times New Roman"/>
          <w:sz w:val="24"/>
          <w:szCs w:val="24"/>
        </w:rPr>
        <w:t>mas darbības a</w:t>
      </w:r>
      <w:r w:rsidR="00A31E74" w:rsidRPr="003C1B12">
        <w:rPr>
          <w:rFonts w:ascii="Times New Roman" w:hAnsi="Times New Roman" w:cs="Times New Roman"/>
          <w:sz w:val="24"/>
          <w:szCs w:val="24"/>
        </w:rPr>
        <w:t>rī</w:t>
      </w:r>
      <w:r w:rsidRPr="003C1B12">
        <w:rPr>
          <w:rFonts w:ascii="Times New Roman" w:hAnsi="Times New Roman" w:cs="Times New Roman"/>
          <w:sz w:val="24"/>
          <w:szCs w:val="24"/>
        </w:rPr>
        <w:t>, lai ies</w:t>
      </w:r>
      <w:r w:rsidR="00A31E74" w:rsidRPr="003C1B12">
        <w:rPr>
          <w:rFonts w:ascii="Times New Roman" w:hAnsi="Times New Roman" w:cs="Times New Roman"/>
          <w:sz w:val="24"/>
          <w:szCs w:val="24"/>
        </w:rPr>
        <w:t>a</w:t>
      </w:r>
      <w:r w:rsidRPr="003C1B12">
        <w:rPr>
          <w:rFonts w:ascii="Times New Roman" w:hAnsi="Times New Roman" w:cs="Times New Roman"/>
          <w:sz w:val="24"/>
          <w:szCs w:val="24"/>
        </w:rPr>
        <w:t>is</w:t>
      </w:r>
      <w:r w:rsidR="00A31E74" w:rsidRPr="003C1B12">
        <w:rPr>
          <w:rFonts w:ascii="Times New Roman" w:hAnsi="Times New Roman" w:cs="Times New Roman"/>
          <w:sz w:val="24"/>
          <w:szCs w:val="24"/>
        </w:rPr>
        <w:t>tī</w:t>
      </w:r>
      <w:r w:rsidRPr="003C1B12">
        <w:rPr>
          <w:rFonts w:ascii="Times New Roman" w:hAnsi="Times New Roman" w:cs="Times New Roman"/>
          <w:sz w:val="24"/>
          <w:szCs w:val="24"/>
        </w:rPr>
        <w:t xml:space="preserve">to komersantu </w:t>
      </w:r>
      <w:r w:rsidR="00A31E74" w:rsidRPr="003C1B12">
        <w:rPr>
          <w:rFonts w:ascii="Times New Roman" w:hAnsi="Times New Roman" w:cs="Times New Roman"/>
          <w:sz w:val="24"/>
          <w:szCs w:val="24"/>
        </w:rPr>
        <w:t>atbildīgās personas un speciālistus</w:t>
      </w:r>
      <w:r w:rsidRPr="003C1B12">
        <w:rPr>
          <w:rFonts w:ascii="Times New Roman" w:hAnsi="Times New Roman" w:cs="Times New Roman"/>
          <w:sz w:val="24"/>
          <w:szCs w:val="24"/>
        </w:rPr>
        <w:t xml:space="preserve"> </w:t>
      </w:r>
      <w:r w:rsidR="00A31E74" w:rsidRPr="003C1B12">
        <w:rPr>
          <w:rFonts w:ascii="Times New Roman" w:hAnsi="Times New Roman" w:cs="Times New Roman"/>
          <w:sz w:val="24"/>
          <w:szCs w:val="24"/>
        </w:rPr>
        <w:t>apmācītu</w:t>
      </w:r>
      <w:r w:rsidR="00AD68FD" w:rsidRPr="003C1B12">
        <w:rPr>
          <w:rFonts w:ascii="Times New Roman" w:hAnsi="Times New Roman" w:cs="Times New Roman"/>
          <w:sz w:val="24"/>
          <w:szCs w:val="24"/>
        </w:rPr>
        <w:t>, par prasībām attiecībā uz projekta saturu</w:t>
      </w:r>
      <w:r w:rsidRPr="003C1B12">
        <w:rPr>
          <w:rFonts w:ascii="Times New Roman" w:hAnsi="Times New Roman" w:cs="Times New Roman"/>
          <w:sz w:val="24"/>
          <w:szCs w:val="24"/>
        </w:rPr>
        <w:t xml:space="preserve"> </w:t>
      </w:r>
      <w:r w:rsidR="00A31E74" w:rsidRPr="003C1B12">
        <w:rPr>
          <w:rFonts w:ascii="Times New Roman" w:hAnsi="Times New Roman" w:cs="Times New Roman"/>
          <w:sz w:val="24"/>
          <w:szCs w:val="24"/>
        </w:rPr>
        <w:t>vai</w:t>
      </w:r>
      <w:r w:rsidRPr="003C1B12">
        <w:rPr>
          <w:rFonts w:ascii="Times New Roman" w:hAnsi="Times New Roman" w:cs="Times New Roman"/>
          <w:sz w:val="24"/>
          <w:szCs w:val="24"/>
        </w:rPr>
        <w:t xml:space="preserve"> </w:t>
      </w:r>
      <w:r w:rsidR="00AD68FD" w:rsidRPr="003C1B12">
        <w:rPr>
          <w:rFonts w:ascii="Times New Roman" w:hAnsi="Times New Roman" w:cs="Times New Roman"/>
          <w:sz w:val="24"/>
          <w:szCs w:val="24"/>
        </w:rPr>
        <w:t>atskaišu gatavošanu,</w:t>
      </w:r>
      <w:r w:rsidR="00A31E74" w:rsidRPr="003C1B12">
        <w:rPr>
          <w:rFonts w:ascii="Times New Roman" w:hAnsi="Times New Roman" w:cs="Times New Roman"/>
          <w:sz w:val="24"/>
          <w:szCs w:val="24"/>
        </w:rPr>
        <w:t xml:space="preserve"> kā arī</w:t>
      </w:r>
      <w:r w:rsidR="00AD68FD" w:rsidRPr="003C1B12">
        <w:rPr>
          <w:rFonts w:ascii="Times New Roman" w:hAnsi="Times New Roman" w:cs="Times New Roman"/>
          <w:sz w:val="24"/>
          <w:szCs w:val="24"/>
        </w:rPr>
        <w:t xml:space="preserve"> izmaksu attiecināšanas aspektiem</w:t>
      </w:r>
      <w:r w:rsidR="00AD68FD" w:rsidRPr="003C1B12">
        <w:t xml:space="preserve">. </w:t>
      </w:r>
    </w:p>
    <w:p w:rsidR="001B3117" w:rsidRPr="003C1B12" w:rsidRDefault="00D65269" w:rsidP="00A31E74">
      <w:pPr>
        <w:spacing w:after="0" w:line="240" w:lineRule="auto"/>
        <w:ind w:firstLine="357"/>
        <w:jc w:val="both"/>
        <w:rPr>
          <w:rFonts w:ascii="Times New Roman" w:hAnsi="Times New Roman" w:cs="Times New Roman"/>
          <w:sz w:val="24"/>
          <w:szCs w:val="24"/>
        </w:rPr>
      </w:pPr>
      <w:r w:rsidRPr="003C1B12">
        <w:rPr>
          <w:rFonts w:ascii="Times New Roman" w:hAnsi="Times New Roman" w:cs="Times New Roman"/>
          <w:sz w:val="24"/>
          <w:szCs w:val="24"/>
        </w:rPr>
        <w:t xml:space="preserve">Vienmērīgas </w:t>
      </w:r>
      <w:r w:rsidR="00A31E74" w:rsidRPr="003C1B12">
        <w:rPr>
          <w:rFonts w:ascii="Times New Roman" w:hAnsi="Times New Roman" w:cs="Times New Roman"/>
          <w:sz w:val="24"/>
          <w:szCs w:val="24"/>
        </w:rPr>
        <w:t>finanšu plūsm</w:t>
      </w:r>
      <w:r w:rsidRPr="003C1B12">
        <w:rPr>
          <w:rFonts w:ascii="Times New Roman" w:hAnsi="Times New Roman" w:cs="Times New Roman"/>
          <w:sz w:val="24"/>
          <w:szCs w:val="24"/>
        </w:rPr>
        <w:t>as nodrošināšanai</w:t>
      </w:r>
      <w:r w:rsidR="00A31E74" w:rsidRPr="003C1B12">
        <w:rPr>
          <w:rFonts w:ascii="Times New Roman" w:hAnsi="Times New Roman" w:cs="Times New Roman"/>
          <w:sz w:val="24"/>
          <w:szCs w:val="24"/>
        </w:rPr>
        <w:t xml:space="preserve"> programmā tika paredzēts </w:t>
      </w:r>
      <w:r w:rsidR="001B3117" w:rsidRPr="003C1B12">
        <w:rPr>
          <w:rFonts w:ascii="Times New Roman" w:hAnsi="Times New Roman" w:cs="Times New Roman"/>
          <w:sz w:val="24"/>
          <w:szCs w:val="24"/>
        </w:rPr>
        <w:t xml:space="preserve">avansa maksājums, </w:t>
      </w:r>
      <w:r w:rsidR="00A31E74" w:rsidRPr="003C1B12">
        <w:rPr>
          <w:rFonts w:ascii="Times New Roman" w:hAnsi="Times New Roman" w:cs="Times New Roman"/>
          <w:sz w:val="24"/>
          <w:szCs w:val="24"/>
        </w:rPr>
        <w:t xml:space="preserve">tomēr </w:t>
      </w:r>
      <w:r w:rsidR="001B3117" w:rsidRPr="003C1B12">
        <w:rPr>
          <w:rFonts w:ascii="Times New Roman" w:hAnsi="Times New Roman" w:cs="Times New Roman"/>
          <w:sz w:val="24"/>
          <w:szCs w:val="24"/>
        </w:rPr>
        <w:t>avansa piešķiršanas nosacīju</w:t>
      </w:r>
      <w:r w:rsidR="00F0176E" w:rsidRPr="003C1B12">
        <w:rPr>
          <w:rFonts w:ascii="Times New Roman" w:hAnsi="Times New Roman" w:cs="Times New Roman"/>
          <w:sz w:val="24"/>
          <w:szCs w:val="24"/>
        </w:rPr>
        <w:t>mi (darījuma</w:t>
      </w:r>
      <w:r w:rsidR="00994E00" w:rsidRPr="003C1B12">
        <w:rPr>
          <w:rFonts w:ascii="Times New Roman" w:hAnsi="Times New Roman" w:cs="Times New Roman"/>
          <w:sz w:val="24"/>
          <w:szCs w:val="24"/>
        </w:rPr>
        <w:t xml:space="preserve"> konts</w:t>
      </w:r>
      <w:r w:rsidR="00F0176E" w:rsidRPr="003C1B12">
        <w:rPr>
          <w:rFonts w:ascii="Times New Roman" w:hAnsi="Times New Roman" w:cs="Times New Roman"/>
          <w:sz w:val="24"/>
          <w:szCs w:val="24"/>
        </w:rPr>
        <w:t xml:space="preserve"> bankā</w:t>
      </w:r>
      <w:r w:rsidR="00994E00" w:rsidRPr="003C1B12">
        <w:rPr>
          <w:rFonts w:ascii="Times New Roman" w:hAnsi="Times New Roman" w:cs="Times New Roman"/>
          <w:sz w:val="24"/>
          <w:szCs w:val="24"/>
        </w:rPr>
        <w:t>, bankas garantija)</w:t>
      </w:r>
      <w:r w:rsidRPr="003C1B12">
        <w:rPr>
          <w:rFonts w:ascii="Times New Roman" w:hAnsi="Times New Roman" w:cs="Times New Roman"/>
          <w:sz w:val="24"/>
          <w:szCs w:val="24"/>
        </w:rPr>
        <w:t xml:space="preserve"> to tik</w:t>
      </w:r>
      <w:r w:rsidR="001B3117" w:rsidRPr="003C1B12">
        <w:rPr>
          <w:rFonts w:ascii="Times New Roman" w:hAnsi="Times New Roman" w:cs="Times New Roman"/>
          <w:sz w:val="24"/>
          <w:szCs w:val="24"/>
        </w:rPr>
        <w:t>pat kā neļāva izmantot projektā radu</w:t>
      </w:r>
      <w:r w:rsidR="00994E00" w:rsidRPr="003C1B12">
        <w:rPr>
          <w:rFonts w:ascii="Times New Roman" w:hAnsi="Times New Roman" w:cs="Times New Roman"/>
          <w:sz w:val="24"/>
          <w:szCs w:val="24"/>
        </w:rPr>
        <w:t>šos</w:t>
      </w:r>
      <w:r w:rsidR="001B3117" w:rsidRPr="003C1B12">
        <w:rPr>
          <w:rFonts w:ascii="Times New Roman" w:hAnsi="Times New Roman" w:cs="Times New Roman"/>
          <w:sz w:val="24"/>
          <w:szCs w:val="24"/>
        </w:rPr>
        <w:t xml:space="preserve"> aktuāl</w:t>
      </w:r>
      <w:r w:rsidR="00EC66C9" w:rsidRPr="003C1B12">
        <w:rPr>
          <w:rFonts w:ascii="Times New Roman" w:hAnsi="Times New Roman" w:cs="Times New Roman"/>
          <w:sz w:val="24"/>
          <w:szCs w:val="24"/>
        </w:rPr>
        <w:t>o</w:t>
      </w:r>
      <w:r w:rsidR="001B3117" w:rsidRPr="003C1B12">
        <w:rPr>
          <w:rFonts w:ascii="Times New Roman" w:hAnsi="Times New Roman" w:cs="Times New Roman"/>
          <w:sz w:val="24"/>
          <w:szCs w:val="24"/>
        </w:rPr>
        <w:t xml:space="preserve"> izdevumu seg</w:t>
      </w:r>
      <w:r w:rsidR="00994E00" w:rsidRPr="003C1B12">
        <w:rPr>
          <w:rFonts w:ascii="Times New Roman" w:hAnsi="Times New Roman" w:cs="Times New Roman"/>
          <w:sz w:val="24"/>
          <w:szCs w:val="24"/>
        </w:rPr>
        <w:t>šana</w:t>
      </w:r>
      <w:r w:rsidR="001B3117" w:rsidRPr="003C1B12">
        <w:rPr>
          <w:rFonts w:ascii="Times New Roman" w:hAnsi="Times New Roman" w:cs="Times New Roman"/>
          <w:sz w:val="24"/>
          <w:szCs w:val="24"/>
        </w:rPr>
        <w:t>i pirms tie nav atz</w:t>
      </w:r>
      <w:r w:rsidR="00994E00" w:rsidRPr="003C1B12">
        <w:rPr>
          <w:rFonts w:ascii="Times New Roman" w:hAnsi="Times New Roman" w:cs="Times New Roman"/>
          <w:sz w:val="24"/>
          <w:szCs w:val="24"/>
        </w:rPr>
        <w:t>ī</w:t>
      </w:r>
      <w:r w:rsidR="001B3117" w:rsidRPr="003C1B12">
        <w:rPr>
          <w:rFonts w:ascii="Times New Roman" w:hAnsi="Times New Roman" w:cs="Times New Roman"/>
          <w:sz w:val="24"/>
          <w:szCs w:val="24"/>
        </w:rPr>
        <w:t>ti par att</w:t>
      </w:r>
      <w:r w:rsidR="00994E00" w:rsidRPr="003C1B12">
        <w:rPr>
          <w:rFonts w:ascii="Times New Roman" w:hAnsi="Times New Roman" w:cs="Times New Roman"/>
          <w:sz w:val="24"/>
          <w:szCs w:val="24"/>
        </w:rPr>
        <w:t>i</w:t>
      </w:r>
      <w:r w:rsidR="001B3117" w:rsidRPr="003C1B12">
        <w:rPr>
          <w:rFonts w:ascii="Times New Roman" w:hAnsi="Times New Roman" w:cs="Times New Roman"/>
          <w:sz w:val="24"/>
          <w:szCs w:val="24"/>
        </w:rPr>
        <w:t xml:space="preserve">ecināmiem no </w:t>
      </w:r>
      <w:r w:rsidR="00DD64AD" w:rsidRPr="003C1B12">
        <w:rPr>
          <w:rFonts w:ascii="Times New Roman" w:hAnsi="Times New Roman" w:cs="Times New Roman"/>
          <w:sz w:val="24"/>
          <w:szCs w:val="24"/>
        </w:rPr>
        <w:t xml:space="preserve">LIAA </w:t>
      </w:r>
      <w:r w:rsidR="001B3117" w:rsidRPr="003C1B12">
        <w:rPr>
          <w:rFonts w:ascii="Times New Roman" w:hAnsi="Times New Roman" w:cs="Times New Roman"/>
          <w:sz w:val="24"/>
          <w:szCs w:val="24"/>
        </w:rPr>
        <w:t xml:space="preserve">puses. Līdz ar to </w:t>
      </w:r>
      <w:r w:rsidR="00994E00" w:rsidRPr="003C1B12">
        <w:rPr>
          <w:rFonts w:ascii="Times New Roman" w:hAnsi="Times New Roman" w:cs="Times New Roman"/>
          <w:sz w:val="24"/>
          <w:szCs w:val="24"/>
        </w:rPr>
        <w:t xml:space="preserve">komersanti bija spiesti priekšfinansēt visas darbības un pēc tam neprognozējami ilgu termiņu gaidot atmaksu. </w:t>
      </w:r>
      <w:r w:rsidR="00323DBF" w:rsidRPr="003C1B12">
        <w:rPr>
          <w:rFonts w:ascii="Times New Roman" w:hAnsi="Times New Roman" w:cs="Times New Roman"/>
          <w:sz w:val="24"/>
          <w:szCs w:val="24"/>
        </w:rPr>
        <w:t>Līdz</w:t>
      </w:r>
      <w:r w:rsidR="0008527B" w:rsidRPr="003C1B12">
        <w:rPr>
          <w:rFonts w:ascii="Times New Roman" w:hAnsi="Times New Roman" w:cs="Times New Roman"/>
          <w:sz w:val="24"/>
          <w:szCs w:val="24"/>
        </w:rPr>
        <w:t xml:space="preserve"> ar to nereti </w:t>
      </w:r>
      <w:r w:rsidR="00EC66C9" w:rsidRPr="003C1B12">
        <w:rPr>
          <w:rFonts w:ascii="Times New Roman" w:hAnsi="Times New Roman" w:cs="Times New Roman"/>
          <w:sz w:val="24"/>
          <w:szCs w:val="24"/>
        </w:rPr>
        <w:t xml:space="preserve">projektu </w:t>
      </w:r>
      <w:r w:rsidR="005D2D54" w:rsidRPr="003C1B12">
        <w:rPr>
          <w:rFonts w:ascii="Times New Roman" w:hAnsi="Times New Roman" w:cs="Times New Roman"/>
          <w:sz w:val="24"/>
          <w:szCs w:val="24"/>
        </w:rPr>
        <w:t>īs</w:t>
      </w:r>
      <w:r w:rsidR="00EC66C9" w:rsidRPr="003C1B12">
        <w:rPr>
          <w:rFonts w:ascii="Times New Roman" w:hAnsi="Times New Roman" w:cs="Times New Roman"/>
          <w:sz w:val="24"/>
          <w:szCs w:val="24"/>
        </w:rPr>
        <w:t>t</w:t>
      </w:r>
      <w:r w:rsidR="005D2D54" w:rsidRPr="003C1B12">
        <w:rPr>
          <w:rFonts w:ascii="Times New Roman" w:hAnsi="Times New Roman" w:cs="Times New Roman"/>
          <w:sz w:val="24"/>
          <w:szCs w:val="24"/>
        </w:rPr>
        <w:t>e</w:t>
      </w:r>
      <w:r w:rsidR="00EC66C9" w:rsidRPr="003C1B12">
        <w:rPr>
          <w:rFonts w:ascii="Times New Roman" w:hAnsi="Times New Roman" w:cs="Times New Roman"/>
          <w:sz w:val="24"/>
          <w:szCs w:val="24"/>
        </w:rPr>
        <w:t>no</w:t>
      </w:r>
      <w:r w:rsidR="005D2D54" w:rsidRPr="003C1B12">
        <w:rPr>
          <w:rFonts w:ascii="Times New Roman" w:hAnsi="Times New Roman" w:cs="Times New Roman"/>
          <w:sz w:val="24"/>
          <w:szCs w:val="24"/>
        </w:rPr>
        <w:t>šan</w:t>
      </w:r>
      <w:r w:rsidR="00EC66C9" w:rsidRPr="003C1B12">
        <w:rPr>
          <w:rFonts w:ascii="Times New Roman" w:hAnsi="Times New Roman" w:cs="Times New Roman"/>
          <w:sz w:val="24"/>
          <w:szCs w:val="24"/>
        </w:rPr>
        <w:t>ā veidojas p</w:t>
      </w:r>
      <w:r w:rsidR="005D2D54" w:rsidRPr="003C1B12">
        <w:rPr>
          <w:rFonts w:ascii="Times New Roman" w:hAnsi="Times New Roman" w:cs="Times New Roman"/>
          <w:sz w:val="24"/>
          <w:szCs w:val="24"/>
        </w:rPr>
        <w:t>ār</w:t>
      </w:r>
      <w:r w:rsidR="00EC66C9" w:rsidRPr="003C1B12">
        <w:rPr>
          <w:rFonts w:ascii="Times New Roman" w:hAnsi="Times New Roman" w:cs="Times New Roman"/>
          <w:sz w:val="24"/>
          <w:szCs w:val="24"/>
        </w:rPr>
        <w:t xml:space="preserve">rāvumi, jo </w:t>
      </w:r>
      <w:r w:rsidR="005D2D54" w:rsidRPr="003C1B12">
        <w:rPr>
          <w:rFonts w:ascii="Times New Roman" w:hAnsi="Times New Roman" w:cs="Times New Roman"/>
          <w:sz w:val="24"/>
          <w:szCs w:val="24"/>
        </w:rPr>
        <w:t>nesaņem</w:t>
      </w:r>
      <w:r w:rsidR="0008527B" w:rsidRPr="003C1B12">
        <w:rPr>
          <w:rFonts w:ascii="Times New Roman" w:hAnsi="Times New Roman" w:cs="Times New Roman"/>
          <w:sz w:val="24"/>
          <w:szCs w:val="24"/>
        </w:rPr>
        <w:t>ot</w:t>
      </w:r>
      <w:r w:rsidR="005D2D54" w:rsidRPr="003C1B12">
        <w:rPr>
          <w:rFonts w:ascii="Times New Roman" w:hAnsi="Times New Roman" w:cs="Times New Roman"/>
          <w:sz w:val="24"/>
          <w:szCs w:val="24"/>
        </w:rPr>
        <w:t xml:space="preserve"> savlaicīgi finansējumu par </w:t>
      </w:r>
      <w:r w:rsidR="0008527B" w:rsidRPr="003C1B12">
        <w:rPr>
          <w:rFonts w:ascii="Times New Roman" w:hAnsi="Times New Roman" w:cs="Times New Roman"/>
          <w:sz w:val="24"/>
          <w:szCs w:val="24"/>
        </w:rPr>
        <w:t xml:space="preserve">jau </w:t>
      </w:r>
      <w:r w:rsidR="005D2D54" w:rsidRPr="003C1B12">
        <w:rPr>
          <w:rFonts w:ascii="Times New Roman" w:hAnsi="Times New Roman" w:cs="Times New Roman"/>
          <w:sz w:val="24"/>
          <w:szCs w:val="24"/>
        </w:rPr>
        <w:t>paveiktaj</w:t>
      </w:r>
      <w:r w:rsidR="0008527B" w:rsidRPr="003C1B12">
        <w:rPr>
          <w:rFonts w:ascii="Times New Roman" w:hAnsi="Times New Roman" w:cs="Times New Roman"/>
          <w:sz w:val="24"/>
          <w:szCs w:val="24"/>
        </w:rPr>
        <w:t>iem</w:t>
      </w:r>
      <w:r w:rsidR="005D2D54" w:rsidRPr="003C1B12">
        <w:rPr>
          <w:rFonts w:ascii="Times New Roman" w:hAnsi="Times New Roman" w:cs="Times New Roman"/>
          <w:sz w:val="24"/>
          <w:szCs w:val="24"/>
        </w:rPr>
        <w:t xml:space="preserve"> atbalstāmajiem darbiem apgrozāmo līdzekļu trūkuma dēļ komersanti nevarēja turpināt pētniecības aktivitātes</w:t>
      </w:r>
      <w:r w:rsidR="0008527B" w:rsidRPr="003C1B12">
        <w:rPr>
          <w:rFonts w:ascii="Times New Roman" w:hAnsi="Times New Roman" w:cs="Times New Roman"/>
          <w:sz w:val="24"/>
          <w:szCs w:val="24"/>
        </w:rPr>
        <w:t>.</w:t>
      </w:r>
    </w:p>
    <w:p w:rsidR="00D65269" w:rsidRPr="003C1B12" w:rsidRDefault="00D65269" w:rsidP="000643AC">
      <w:pPr>
        <w:pStyle w:val="Heading2"/>
        <w:spacing w:before="0" w:after="120"/>
        <w:rPr>
          <w:rFonts w:ascii="Times New Roman" w:hAnsi="Times New Roman" w:cs="Times New Roman"/>
          <w:color w:val="31849B" w:themeColor="accent5" w:themeShade="BF"/>
        </w:rPr>
      </w:pPr>
    </w:p>
    <w:p w:rsidR="00CA182A" w:rsidRPr="003C1B12" w:rsidRDefault="00CA182A" w:rsidP="00BA318B">
      <w:pPr>
        <w:pStyle w:val="ListParagraph"/>
        <w:numPr>
          <w:ilvl w:val="1"/>
          <w:numId w:val="46"/>
        </w:numPr>
        <w:rPr>
          <w:rFonts w:ascii="Times New Roman" w:eastAsiaTheme="majorEastAsia" w:hAnsi="Times New Roman" w:cs="Times New Roman"/>
          <w:color w:val="31849B" w:themeColor="accent5" w:themeShade="BF"/>
          <w:sz w:val="26"/>
          <w:szCs w:val="26"/>
        </w:rPr>
      </w:pPr>
      <w:r w:rsidRPr="003C1B12">
        <w:rPr>
          <w:rFonts w:ascii="Times New Roman" w:eastAsiaTheme="majorEastAsia" w:hAnsi="Times New Roman" w:cs="Times New Roman"/>
          <w:color w:val="31849B" w:themeColor="accent5" w:themeShade="BF"/>
          <w:sz w:val="26"/>
          <w:szCs w:val="26"/>
        </w:rPr>
        <w:t>Ārvalstu pieredze KC programmu īstenošanā</w:t>
      </w:r>
    </w:p>
    <w:p w:rsidR="00EC62C4" w:rsidRPr="003C1B12" w:rsidRDefault="00EC62C4" w:rsidP="000643AC">
      <w:pPr>
        <w:pStyle w:val="Heading2"/>
        <w:spacing w:before="0" w:after="120"/>
        <w:rPr>
          <w:rFonts w:ascii="Times New Roman" w:hAnsi="Times New Roman" w:cs="Times New Roman"/>
          <w:color w:val="31849B" w:themeColor="accent5" w:themeShade="BF"/>
        </w:rPr>
      </w:pPr>
    </w:p>
    <w:p w:rsidR="00CA182A" w:rsidRPr="003C1B12" w:rsidRDefault="00CA182A" w:rsidP="00CA182A">
      <w:pPr>
        <w:spacing w:after="0" w:line="240" w:lineRule="auto"/>
        <w:ind w:firstLine="720"/>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 xml:space="preserve">KC programmas parasti tiek veidotas kā sadarbība starp industriju un zinātniskajām institūcijām pētniecības un tehnoloģiju attīstības jomā, lai stiprinātu  inovācijas sistēmu valstī vai noteiktā reģionā. Centru mērķis ir koncentrēt resursus un pētniecības darbības, veidojot pētniecībai labvēlīgu vidi, kurā komersanti var aktīvi iesaistīties un gūt ekonomiskus labumus no pētniecības rezultātiem. Galvenie darbības virzieni parasti ir zināšanu apkopošana, jaunu zināšanu un tehnoloģiju radīšana (fundamentālie un rūpnieciskie pētījumi, eksperimentālā izstrāde), apmācības un jaunradīto zināšanu izplatīšana un tehnoloģiju pārnese. Atsevišķās valstīs kompetences centri tiek īstenoti kā klasteru politikas instruments un to pamatdarbības aktivitātes tiek  papildinātas ar klasteriem specifiskām darbībām. </w:t>
      </w:r>
    </w:p>
    <w:p w:rsidR="00CA182A" w:rsidRPr="003C1B12" w:rsidRDefault="00CA182A" w:rsidP="00CA182A">
      <w:pPr>
        <w:spacing w:after="0" w:line="240" w:lineRule="auto"/>
        <w:ind w:firstLine="720"/>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lastRenderedPageBreak/>
        <w:t>OECD pārskatā par inovācijas reģioniem un inovācijas politiku</w:t>
      </w:r>
      <w:r w:rsidRPr="003C1B12">
        <w:rPr>
          <w:rStyle w:val="FootnoteReference"/>
          <w:rFonts w:ascii="Times New Roman" w:hAnsi="Times New Roman" w:cs="Times New Roman"/>
          <w:color w:val="000000" w:themeColor="text1"/>
          <w:sz w:val="24"/>
          <w:szCs w:val="24"/>
        </w:rPr>
        <w:footnoteReference w:id="12"/>
      </w:r>
      <w:r w:rsidRPr="003C1B12">
        <w:rPr>
          <w:rFonts w:ascii="Times New Roman" w:hAnsi="Times New Roman" w:cs="Times New Roman"/>
          <w:color w:val="000000" w:themeColor="text1"/>
          <w:sz w:val="24"/>
          <w:szCs w:val="24"/>
        </w:rPr>
        <w:t xml:space="preserve"> tiek izdalīti divi KC programmu veidi. Pirmais, kur atbalsts tiek sniegts universitāšu virzītiem KC, kuri parasti tiek veidoti kā universitāšu struktūrvienības un tie pamatā rada zināšanu, jeb akadēmiskā vidē atzītus rezultātus (publikācijas, prezentācijas zinātniskās konferencēs utml). Otrs, kur atbalsts tiek sniegts privātās publiskās partnerības vai uzņēmējdarbības sektora virzītiem KC, kuri parasti tiek dibināti kā atsevišķas juridiskas personas un to darbības ir orientētas uz tehnoloģiju ar komercializācijas potenciālu izstrādi.  </w:t>
      </w:r>
    </w:p>
    <w:p w:rsidR="00CA182A" w:rsidRPr="003C1B12" w:rsidRDefault="00CA182A" w:rsidP="00CA182A">
      <w:pPr>
        <w:spacing w:after="0" w:line="240" w:lineRule="auto"/>
        <w:ind w:firstLine="720"/>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Eiropas Komisijas 6. ietvara programmas zinātnei un tehnoloģiju attīstībai finansētā ERA-NET COMPERA projekta ietvaros tika veikts vairāku ES dalībvalstu kompetences centru darbības principu izvērtējums, kā arī apzināta pieredze KC monitoringa un ietekme novērtēšanas jomā</w:t>
      </w:r>
      <w:r w:rsidRPr="003C1B12">
        <w:rPr>
          <w:rStyle w:val="FootnoteReference"/>
          <w:rFonts w:ascii="Times New Roman" w:hAnsi="Times New Roman" w:cs="Times New Roman"/>
          <w:color w:val="000000" w:themeColor="text1"/>
          <w:sz w:val="24"/>
          <w:szCs w:val="24"/>
        </w:rPr>
        <w:footnoteReference w:id="13"/>
      </w:r>
      <w:r w:rsidRPr="003C1B12">
        <w:rPr>
          <w:rFonts w:ascii="Times New Roman" w:hAnsi="Times New Roman" w:cs="Times New Roman"/>
          <w:color w:val="000000" w:themeColor="text1"/>
          <w:sz w:val="24"/>
          <w:szCs w:val="24"/>
        </w:rPr>
        <w:t xml:space="preserve">. Izvērtējumā secināts, ka vidējais  COMPERA projektā iesaistīto KC viena gada budžets ir 7,9 milj. EUR un vidēji 76% no finansējuma tiek piesaistīts no publiskiem resursiem un tikai 24% no finansējuma ir privātā sektora līdzfinansējums. Zemais privātā sektora finansējums galvenokārt saistīts ar to, ka vērtēto KC vidū galvenokārt bija centri, kuros dominē vidēja un ilgtermiņa pētījumi, kuru vidējais laiks līdz ieviešanai tirgū ir no 3-5 gadiem vai pat vairāk, un daudz mazāk ir tādu centri, kas galvenokārt orientējas uz  pielietojamiem pētījumiem, kas risina konkrētu uzņēmumu tehnoloģiskās problēmas. </w:t>
      </w:r>
    </w:p>
    <w:p w:rsidR="00CA182A" w:rsidRPr="003C1B12" w:rsidRDefault="00CA182A" w:rsidP="00CA182A">
      <w:pPr>
        <w:spacing w:after="0" w:line="240" w:lineRule="auto"/>
        <w:ind w:firstLine="720"/>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 xml:space="preserve">Centri var tikt veidoti gan kā fiziskas, gan virtuālas institūcijas. Fiziskas institūcijas parasti ir centralizētas struktūras, kas tiek veidotas kā jaunas pētniecības organizācijas vai jaunas struktūrvienības pie esošām pētniecības organizācijām. Virtuālās institūcijās pētniecības darbi tiek īstenoti dažādās vietās, kuras atrodas pie centru dibinātājiem. Pastāv modeļi, kur abas pieejas tiek kombinētas. </w:t>
      </w:r>
    </w:p>
    <w:p w:rsidR="00CA182A" w:rsidRPr="003C1B12" w:rsidRDefault="00CA182A" w:rsidP="00CA182A">
      <w:pPr>
        <w:spacing w:after="0" w:line="240" w:lineRule="auto"/>
        <w:ind w:firstLine="720"/>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Visos KC modeļos industrijas partneri aktīvi tiek iesaistīti pētniecības programmu jeb stratēģiju definēšanā. Tajā paša laikā tika identificēta atšķirīga pieeja industrijas iesaistei KC pētniecības projektu īstenošanā. KC fiziskas institūcijas vai konsorciji, kur kā vadošais  partneris tiek noteikts pētniecības organizācija, galvenokārt tiek atbalstīti tikai sadarbības projekti, kuru minimālās prasības ir sadarbība vismaz starp vienu pētniecības organizāciju un komersantu. Komersantu līdzfinansējums šiem pētījumiem vidēji ir vismaz 50% no izmaksām, kā arī tiek pieļauti ieguldījumi natūrā (galvenokārt personāla atlīdzība), bet komersantiem netiek piešķirts publiskais finansējums. Savukārt sadarbības tīklu modelī ir raksturīgi, ka tiek finansēti arī pētījumi, kuri tiek īstenoti komersantos.</w:t>
      </w:r>
    </w:p>
    <w:p w:rsidR="00CA182A" w:rsidRPr="003C1B12" w:rsidRDefault="00CA182A" w:rsidP="00CA182A">
      <w:pPr>
        <w:spacing w:after="0" w:line="240" w:lineRule="auto"/>
        <w:ind w:firstLine="720"/>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 xml:space="preserve">Turpmāk šajā nodaļā sīkāk aprakstīts Austrijas un Vācijas piemērs, lai raksturotu pieredzi KC veidošanā gan kā pētniecības organizāciju, gan kā sadarbības tīklu vai klasteri.  </w:t>
      </w:r>
    </w:p>
    <w:p w:rsidR="00CA182A" w:rsidRPr="003C1B12" w:rsidRDefault="00CA182A" w:rsidP="00CA182A">
      <w:pPr>
        <w:spacing w:after="0" w:line="240" w:lineRule="auto"/>
        <w:ind w:firstLine="720"/>
        <w:jc w:val="both"/>
        <w:rPr>
          <w:rFonts w:ascii="Times New Roman" w:hAnsi="Times New Roman" w:cs="Times New Roman"/>
          <w:sz w:val="24"/>
          <w:szCs w:val="24"/>
        </w:rPr>
      </w:pPr>
    </w:p>
    <w:p w:rsidR="00CA182A" w:rsidRPr="003C1B12" w:rsidRDefault="00CA182A" w:rsidP="00CA182A">
      <w:pPr>
        <w:rPr>
          <w:rFonts w:ascii="Times New Roman" w:hAnsi="Times New Roman" w:cs="Times New Roman"/>
          <w:b/>
        </w:rPr>
      </w:pPr>
      <w:r w:rsidRPr="003C1B12">
        <w:rPr>
          <w:rFonts w:ascii="Times New Roman" w:hAnsi="Times New Roman" w:cs="Times New Roman"/>
          <w:b/>
        </w:rPr>
        <w:t>Kompetences centri kā pētniecības organizācija – Austrijas piemērs</w:t>
      </w:r>
    </w:p>
    <w:p w:rsidR="00CA182A" w:rsidRPr="003C1B12" w:rsidRDefault="00CA182A" w:rsidP="00CA182A">
      <w:pPr>
        <w:pStyle w:val="mt-translation"/>
        <w:spacing w:before="0" w:beforeAutospacing="0" w:after="0" w:afterAutospacing="0"/>
        <w:ind w:firstLine="357"/>
        <w:jc w:val="both"/>
      </w:pPr>
      <w:r w:rsidRPr="003C1B12">
        <w:t xml:space="preserve">Austrijā kopš 1998.gada tiek īstenotas atbalsta programmas kompetences centriem un balstoties uz iepriekšējo pieredzi 2006.gadā tika uzsākta jauna iniciatīva progresīvo tehnoloģiju komercializēšanas atbalstam - </w:t>
      </w:r>
      <w:r w:rsidRPr="003C1B12">
        <w:rPr>
          <w:i/>
        </w:rPr>
        <w:t>Commercialising Emerging Technologies program</w:t>
      </w:r>
      <w:r w:rsidRPr="003C1B12">
        <w:t xml:space="preserve"> (turpmāk COMET programma). Programmas ietvaros tiek īstenotas trīs apakšprogrammas: K1 centri (nacionāla līmeņa centri), K2 centri (starptautiska līmeņa centri) un K projekti (nelieli konsorciji kopīgu pētījuma veikšanai). Atbalstu šobrīd saņem 5 K2 centri un 15 K1 centri, kuri katrs specializējas noteiktā tehnoloģiju jomā. Turpmāk sīkāk tiks apskatīti K1 centri. </w:t>
      </w:r>
    </w:p>
    <w:p w:rsidR="00CA182A" w:rsidRPr="003C1B12" w:rsidRDefault="00CA182A" w:rsidP="00CA182A">
      <w:pPr>
        <w:pStyle w:val="ListParagraph"/>
        <w:spacing w:after="0" w:line="240" w:lineRule="auto"/>
        <w:ind w:left="0" w:firstLine="357"/>
        <w:contextualSpacing w:val="0"/>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 xml:space="preserve">COMET </w:t>
      </w:r>
      <w:r w:rsidRPr="003C1B12">
        <w:rPr>
          <w:rFonts w:ascii="Times New Roman" w:hAnsi="Times New Roman" w:cs="Times New Roman"/>
          <w:sz w:val="24"/>
          <w:szCs w:val="24"/>
        </w:rPr>
        <w:t xml:space="preserve">K1 </w:t>
      </w:r>
      <w:r w:rsidRPr="003C1B12">
        <w:rPr>
          <w:rFonts w:ascii="Times New Roman" w:hAnsi="Times New Roman" w:cs="Times New Roman"/>
          <w:color w:val="000000" w:themeColor="text1"/>
          <w:sz w:val="24"/>
          <w:szCs w:val="24"/>
        </w:rPr>
        <w:t xml:space="preserve">centri tiek veidoti kā </w:t>
      </w:r>
      <w:r w:rsidRPr="003C1B12">
        <w:rPr>
          <w:rFonts w:ascii="Times New Roman" w:hAnsi="Times New Roman" w:cs="Times New Roman"/>
          <w:color w:val="000000" w:themeColor="text1"/>
          <w:sz w:val="24"/>
          <w:szCs w:val="24"/>
          <w:shd w:val="clear" w:color="auto" w:fill="FFFFFF"/>
        </w:rPr>
        <w:t>pētniecības organizācijas, kuras atbilst Eiropas Komisijas 2014.gada 14.jūnija Regulas (ES) Nr.</w:t>
      </w:r>
      <w:hyperlink r:id="rId16" w:tgtFrame="_blank" w:history="1">
        <w:r w:rsidRPr="003C1B12">
          <w:rPr>
            <w:rStyle w:val="Hyperlink"/>
            <w:rFonts w:ascii="Times New Roman" w:hAnsi="Times New Roman" w:cs="Times New Roman"/>
            <w:color w:val="000000" w:themeColor="text1"/>
            <w:sz w:val="24"/>
            <w:szCs w:val="24"/>
            <w:shd w:val="clear" w:color="auto" w:fill="FFFFFF"/>
          </w:rPr>
          <w:t>651/2014</w:t>
        </w:r>
      </w:hyperlink>
      <w:r w:rsidRPr="003C1B12">
        <w:rPr>
          <w:rStyle w:val="apple-converted-space"/>
          <w:rFonts w:ascii="Times New Roman" w:hAnsi="Times New Roman" w:cs="Times New Roman"/>
          <w:color w:val="000000" w:themeColor="text1"/>
          <w:sz w:val="24"/>
          <w:szCs w:val="24"/>
          <w:shd w:val="clear" w:color="auto" w:fill="FFFFFF"/>
        </w:rPr>
        <w:t> </w:t>
      </w:r>
      <w:r w:rsidRPr="003C1B12">
        <w:rPr>
          <w:rFonts w:ascii="Times New Roman" w:hAnsi="Times New Roman" w:cs="Times New Roman"/>
          <w:color w:val="000000" w:themeColor="text1"/>
          <w:sz w:val="24"/>
          <w:szCs w:val="24"/>
          <w:shd w:val="clear" w:color="auto" w:fill="FFFFFF"/>
        </w:rPr>
        <w:t xml:space="preserve">ar ko noteiktas atbalsta kategorijas atzīst par saderīgām ar iekšējo tirgu, piemērojot Līguma 107. un 108. pantu, 2. panta 83. </w:t>
      </w:r>
      <w:r w:rsidRPr="003C1B12">
        <w:rPr>
          <w:rFonts w:ascii="Times New Roman" w:hAnsi="Times New Roman" w:cs="Times New Roman"/>
          <w:color w:val="000000" w:themeColor="text1"/>
          <w:sz w:val="24"/>
          <w:szCs w:val="24"/>
          <w:shd w:val="clear" w:color="auto" w:fill="FFFFFF"/>
        </w:rPr>
        <w:lastRenderedPageBreak/>
        <w:t xml:space="preserve">punktā noteiktajai definīcijai. </w:t>
      </w:r>
      <w:r w:rsidRPr="003C1B12">
        <w:rPr>
          <w:rFonts w:ascii="Times New Roman" w:eastAsia="Times New Roman" w:hAnsi="Times New Roman" w:cs="Times New Roman"/>
          <w:noProof/>
          <w:sz w:val="24"/>
          <w:szCs w:val="24"/>
          <w:lang w:eastAsia="lv-LV"/>
        </w:rPr>
        <w:t>Ieteicamā juridiskā forma ir sabiedrība ar ierobežotu atbildību un tās dibinātājiem jābūt vismaz 1 zinātniskajam partnerim un 5 uzņēmumiem.</w:t>
      </w:r>
    </w:p>
    <w:p w:rsidR="00CA182A" w:rsidRPr="003C1B12" w:rsidRDefault="00CA182A" w:rsidP="00CA182A">
      <w:pPr>
        <w:pStyle w:val="mt-translation"/>
        <w:spacing w:before="0" w:beforeAutospacing="0" w:after="0" w:afterAutospacing="0"/>
        <w:ind w:firstLine="357"/>
        <w:jc w:val="both"/>
      </w:pPr>
      <w:r w:rsidRPr="003C1B12">
        <w:t xml:space="preserve">COMET K1 centru programmas ietvaros finansējuma saņēmējs ir centrs, kurš organizē un veic pētniecības darbus. Programmas ietvaros attiecināmas ir arī centra partneru zinātnisko institūciju un komersantu </w:t>
      </w:r>
      <w:r w:rsidRPr="003C1B12">
        <w:rPr>
          <w:i/>
        </w:rPr>
        <w:t>in-kind</w:t>
      </w:r>
      <w:r w:rsidRPr="003C1B12">
        <w:t xml:space="preserve"> ieguldījumi, kas komersantu gadījumā nevar pārsniegt 50%.</w:t>
      </w:r>
    </w:p>
    <w:p w:rsidR="00CA182A" w:rsidRPr="003C1B12" w:rsidRDefault="00CA182A" w:rsidP="00CA182A">
      <w:pPr>
        <w:pStyle w:val="mt-translation"/>
        <w:spacing w:before="0" w:beforeAutospacing="0" w:after="0" w:afterAutospacing="0"/>
        <w:ind w:firstLine="357"/>
        <w:jc w:val="both"/>
      </w:pPr>
      <w:r w:rsidRPr="003C1B12">
        <w:t xml:space="preserve">Atbalstāmas ir visas pētniecības kategorijas – fundamentālie pētījumi, rūpnieciskie pētījumi un eksperimentālā izstrāde. Maksimālās atbalsta intensitātes projektu līmenī tiek noteiktas atbilstoši </w:t>
      </w:r>
      <w:r w:rsidRPr="003C1B12">
        <w:rPr>
          <w:rFonts w:eastAsia="Calibri"/>
          <w:lang w:eastAsia="en-US"/>
        </w:rPr>
        <w:t>EK 2014.gada 17.jūnija Regulai Nr. 651/2014, ar ko noteiktas atbalsta kategorijas atzīst par saderīgām ar iekšējo tirgu, piemērojot Līguma 107. un 108.pantu. V</w:t>
      </w:r>
      <w:r w:rsidRPr="003C1B12">
        <w:t xml:space="preserve">idējā viena centra atbalsta intensitāte nevar pārsniegt 40-55% no izmaksām un vienam centram gadā tiek piešķirts 1,7 - 2 milj. EUR publiskais finansējums. </w:t>
      </w:r>
    </w:p>
    <w:p w:rsidR="00CA182A" w:rsidRPr="003C1B12" w:rsidRDefault="00CA182A" w:rsidP="00CA182A">
      <w:pPr>
        <w:pStyle w:val="mt-translation"/>
        <w:spacing w:before="0" w:beforeAutospacing="0" w:after="0" w:afterAutospacing="0"/>
        <w:ind w:firstLine="360"/>
        <w:jc w:val="both"/>
      </w:pPr>
      <w:r w:rsidRPr="003C1B12">
        <w:t xml:space="preserve">Programmā tiek izdalīti trīs pieļaujamie projekta veidi:  </w:t>
      </w:r>
    </w:p>
    <w:p w:rsidR="00CA182A" w:rsidRPr="003C1B12" w:rsidRDefault="00CA182A" w:rsidP="00CA182A">
      <w:pPr>
        <w:pStyle w:val="mt-translation"/>
        <w:numPr>
          <w:ilvl w:val="0"/>
          <w:numId w:val="44"/>
        </w:numPr>
        <w:spacing w:before="0" w:beforeAutospacing="0" w:after="0" w:afterAutospacing="0"/>
        <w:jc w:val="both"/>
      </w:pPr>
      <w:r w:rsidRPr="003C1B12">
        <w:t>Divpusējās sadarbības pētniecības projekti. Šajos projektos kā sadarbības partneris iesaistīts tikai viens uzņēmums. Šādi projekti var veidot tikai 20% no centra kopējās pētniecības programmas.</w:t>
      </w:r>
    </w:p>
    <w:p w:rsidR="00CA182A" w:rsidRPr="003C1B12" w:rsidRDefault="00CA182A" w:rsidP="00CA182A">
      <w:pPr>
        <w:pStyle w:val="mt-translation"/>
        <w:numPr>
          <w:ilvl w:val="0"/>
          <w:numId w:val="44"/>
        </w:numPr>
        <w:spacing w:before="0" w:beforeAutospacing="0" w:after="0" w:afterAutospacing="0"/>
        <w:jc w:val="both"/>
      </w:pPr>
      <w:r w:rsidRPr="003C1B12">
        <w:t xml:space="preserve">Daudzpusējās sadarbības pētniecības projekti (“multi - firm projects”). Projektos iesaistīti vairāk kā viens uzņēmums. </w:t>
      </w:r>
    </w:p>
    <w:p w:rsidR="00CA182A" w:rsidRPr="003C1B12" w:rsidRDefault="00CA182A" w:rsidP="00CA182A">
      <w:pPr>
        <w:pStyle w:val="mt-translation"/>
        <w:numPr>
          <w:ilvl w:val="0"/>
          <w:numId w:val="44"/>
        </w:numPr>
        <w:spacing w:before="0" w:beforeAutospacing="0" w:after="0" w:afterAutospacing="0"/>
        <w:jc w:val="both"/>
      </w:pPr>
      <w:r w:rsidRPr="003C1B12">
        <w:t>Stratēģiskās pētniecības projekti. Projektiem ir jādemonstrē augsts novitātes un izcilības līmenis. Tie ir balstīti uz centra esošām kompetencēm un jānodrošina zināšanu paplašināšana, lai sekmētu unikālu konkurētspējas priekšrocību radīšanu nākotnē.</w:t>
      </w:r>
    </w:p>
    <w:p w:rsidR="00CA182A" w:rsidRPr="003C1B12" w:rsidRDefault="00CA182A" w:rsidP="00CA182A">
      <w:pPr>
        <w:pStyle w:val="mt-translation"/>
        <w:spacing w:before="0" w:beforeAutospacing="0" w:after="0" w:afterAutospacing="0"/>
        <w:ind w:firstLine="360"/>
        <w:jc w:val="both"/>
      </w:pPr>
      <w:r w:rsidRPr="003C1B12">
        <w:t xml:space="preserve">Komersantu individuāli pētījumi programmas ietvaros netiek atbalstīti, jo šim mērķim Austrijā ir citas atbalsta programmas. </w:t>
      </w:r>
    </w:p>
    <w:p w:rsidR="00CA182A" w:rsidRPr="003C1B12" w:rsidRDefault="00CA182A" w:rsidP="00CA182A">
      <w:pPr>
        <w:pStyle w:val="mt-translation"/>
        <w:spacing w:before="0" w:beforeAutospacing="0" w:after="0" w:afterAutospacing="0"/>
        <w:ind w:firstLine="357"/>
        <w:jc w:val="both"/>
      </w:pPr>
      <w:r w:rsidRPr="003C1B12">
        <w:t>Programmā netiek paredzēts atsevišķs atbalsts sākotnējiem ieguldījumiem pētniecības infrastruktūrā, bet jāņem vērā, ka liela daļa centru jau iepriekš citu atbalsta programmu ietvaros ir saņēmuši atbalstu infrastruktūras izveidei un iegādei.</w:t>
      </w:r>
    </w:p>
    <w:p w:rsidR="00CA182A" w:rsidRPr="003C1B12" w:rsidRDefault="00CA182A" w:rsidP="00CA182A">
      <w:pPr>
        <w:pStyle w:val="mt-translation"/>
        <w:spacing w:before="0" w:beforeAutospacing="0" w:after="0" w:afterAutospacing="0"/>
        <w:ind w:firstLine="360"/>
        <w:jc w:val="both"/>
      </w:pPr>
      <w:r w:rsidRPr="003C1B12">
        <w:t xml:space="preserve">Tiek sagaidīts, ka centri īsteno pētniecības un inovācijas aktivitātes arī ārpus K1 centra projekta, tādejādi radot papildu ienākumus. </w:t>
      </w:r>
    </w:p>
    <w:p w:rsidR="00CA182A" w:rsidRPr="003C1B12" w:rsidRDefault="00CA182A" w:rsidP="00CA182A">
      <w:pPr>
        <w:pStyle w:val="mt-translation"/>
        <w:spacing w:before="0" w:beforeAutospacing="0" w:after="0" w:afterAutospacing="0"/>
        <w:ind w:firstLine="360"/>
        <w:jc w:val="both"/>
      </w:pPr>
      <w:r w:rsidRPr="003C1B12">
        <w:t>Katram centram ir noteikti monitoringa rādītāji un ir paredzēta projektu vidus posm</w:t>
      </w:r>
      <w:r w:rsidR="0018604C" w:rsidRPr="003C1B12">
        <w:t>a</w:t>
      </w:r>
      <w:r w:rsidRPr="003C1B12">
        <w:t xml:space="preserve"> izvērtēšana pēc pirmajiem četriem īstenošanas gadiem. Pozitīva vērtējuma gadījumā projektu var turpināt vēl četru</w:t>
      </w:r>
      <w:r w:rsidR="00AC4E0A" w:rsidRPr="003C1B12">
        <w:t>s</w:t>
      </w:r>
      <w:r w:rsidRPr="003C1B12">
        <w:t xml:space="preserve"> gadus, negatīva vērtējuma gadījumā finansējums tiek pārtraukts, piedāvājot vienu gadu garu pārejas periodu, kurā var pabeigt iesāktos pētniecības projektus.</w:t>
      </w:r>
    </w:p>
    <w:p w:rsidR="00CA182A" w:rsidRPr="003C1B12" w:rsidRDefault="00CA182A" w:rsidP="00CA182A">
      <w:pPr>
        <w:pStyle w:val="mt-translation"/>
        <w:spacing w:before="0" w:beforeAutospacing="0" w:after="0" w:afterAutospacing="0"/>
        <w:ind w:firstLine="360"/>
        <w:jc w:val="both"/>
      </w:pPr>
      <w:r w:rsidRPr="003C1B12">
        <w:t>Projektu atlasē tika iesaistīti starptautiski eksperti, kā arī pretendentiem bija jāprezentē plānotā centra darbības modelis un pētniecības programma.</w:t>
      </w:r>
    </w:p>
    <w:p w:rsidR="00CA182A" w:rsidRPr="003C1B12" w:rsidRDefault="00CA182A" w:rsidP="00CA182A">
      <w:pPr>
        <w:pStyle w:val="mt-translation"/>
        <w:spacing w:before="0" w:beforeAutospacing="0" w:after="0" w:afterAutospacing="0"/>
        <w:ind w:firstLine="720"/>
        <w:jc w:val="both"/>
      </w:pPr>
      <w:r w:rsidRPr="003C1B12">
        <w:t xml:space="preserve">Informācija par programmu atrodama Austrijas Pētniecības aģentūras </w:t>
      </w:r>
      <w:hyperlink r:id="rId17" w:history="1">
        <w:r w:rsidRPr="003C1B12">
          <w:rPr>
            <w:rStyle w:val="Hyperlink"/>
          </w:rPr>
          <w:t>interneta vietnē</w:t>
        </w:r>
      </w:hyperlink>
      <w:r w:rsidRPr="003C1B12">
        <w:t xml:space="preserve">. </w:t>
      </w:r>
    </w:p>
    <w:p w:rsidR="00CA182A" w:rsidRPr="003C1B12" w:rsidRDefault="00CA182A" w:rsidP="00CA182A">
      <w:pPr>
        <w:pStyle w:val="mt-translation"/>
        <w:spacing w:before="0" w:beforeAutospacing="0" w:after="0" w:afterAutospacing="0"/>
        <w:jc w:val="both"/>
      </w:pPr>
    </w:p>
    <w:p w:rsidR="00CA182A" w:rsidRPr="003C1B12" w:rsidRDefault="00CA182A" w:rsidP="00CA182A">
      <w:pPr>
        <w:pStyle w:val="mt-translation"/>
        <w:spacing w:before="0" w:beforeAutospacing="0" w:after="0" w:afterAutospacing="0"/>
        <w:jc w:val="both"/>
      </w:pPr>
    </w:p>
    <w:p w:rsidR="00CA182A" w:rsidRPr="003C1B12" w:rsidRDefault="00CA182A" w:rsidP="00CA182A">
      <w:pPr>
        <w:rPr>
          <w:rFonts w:ascii="Times New Roman" w:hAnsi="Times New Roman" w:cs="Times New Roman"/>
          <w:b/>
        </w:rPr>
      </w:pPr>
      <w:r w:rsidRPr="003C1B12">
        <w:rPr>
          <w:rFonts w:ascii="Times New Roman" w:hAnsi="Times New Roman" w:cs="Times New Roman"/>
          <w:b/>
        </w:rPr>
        <w:t>Kompetences centri kā sadarbības tīkls jeb inovācijas klasteris – Vācijas piemērs</w:t>
      </w:r>
    </w:p>
    <w:p w:rsidR="00CA182A" w:rsidRPr="003C1B12" w:rsidRDefault="00CA182A" w:rsidP="00CA182A">
      <w:pPr>
        <w:pStyle w:val="mt-translation"/>
        <w:spacing w:before="0" w:beforeAutospacing="0" w:after="0" w:afterAutospacing="0"/>
        <w:jc w:val="both"/>
      </w:pPr>
    </w:p>
    <w:p w:rsidR="00CA182A" w:rsidRPr="003C1B12" w:rsidRDefault="00CA182A" w:rsidP="00CA182A">
      <w:pPr>
        <w:pStyle w:val="mt-translation"/>
        <w:spacing w:before="0" w:beforeAutospacing="0" w:after="0" w:afterAutospacing="0"/>
        <w:ind w:firstLine="720"/>
        <w:jc w:val="both"/>
        <w:rPr>
          <w:noProof/>
        </w:rPr>
      </w:pPr>
      <w:r w:rsidRPr="003C1B12">
        <w:t>Vācijas Izglītības un pētniecības ministrija 2007.gadā uzsāka īstenot  programmu “</w:t>
      </w:r>
      <w:r w:rsidRPr="003C1B12">
        <w:rPr>
          <w:noProof/>
        </w:rPr>
        <w:t>The Leading-edge Cluster Competition” (turpmāk - LECC programma), kuras mērķis ir apvienot noteikta reģiona uzņēmumus, universitātes un pētniecības organizācijas, attīstīt to stiprās puses un radīt jaunas sinerģijas, lai sekmētu pētniecību un inovāciju jomās ar augstu izaugsmes potenciālu. Kopumā LECC programā trīs atlases kārtās tika atbalstīti 15 inovācijas klasteri un atbalsta apjoms vienam klasterim piecu gadu laikā ir 40 milj. EUR.</w:t>
      </w:r>
    </w:p>
    <w:p w:rsidR="00CA182A" w:rsidRPr="003C1B12" w:rsidRDefault="00CA182A" w:rsidP="00CA182A">
      <w:pPr>
        <w:autoSpaceDE w:val="0"/>
        <w:autoSpaceDN w:val="0"/>
        <w:adjustRightInd w:val="0"/>
        <w:spacing w:after="0" w:line="240" w:lineRule="auto"/>
        <w:ind w:firstLine="720"/>
        <w:rPr>
          <w:rFonts w:ascii="Times New Roman" w:hAnsi="Times New Roman" w:cs="Times New Roman"/>
          <w:noProof/>
          <w:sz w:val="24"/>
          <w:szCs w:val="24"/>
        </w:rPr>
      </w:pPr>
      <w:r w:rsidRPr="003C1B12">
        <w:rPr>
          <w:rFonts w:ascii="Times New Roman" w:hAnsi="Times New Roman" w:cs="Times New Roman"/>
          <w:noProof/>
          <w:sz w:val="24"/>
          <w:szCs w:val="24"/>
        </w:rPr>
        <w:t>LECC programā pie</w:t>
      </w:r>
      <w:r w:rsidR="00AC4E0A" w:rsidRPr="003C1B12">
        <w:rPr>
          <w:rFonts w:ascii="Times New Roman" w:hAnsi="Times New Roman" w:cs="Times New Roman"/>
          <w:noProof/>
          <w:sz w:val="24"/>
          <w:szCs w:val="24"/>
        </w:rPr>
        <w:t>e</w:t>
      </w:r>
      <w:r w:rsidRPr="003C1B12">
        <w:rPr>
          <w:rFonts w:ascii="Times New Roman" w:hAnsi="Times New Roman" w:cs="Times New Roman"/>
          <w:noProof/>
          <w:sz w:val="24"/>
          <w:szCs w:val="24"/>
        </w:rPr>
        <w:t xml:space="preserve">jams salīdzinoši plašs atbalsta klāsts:  </w:t>
      </w:r>
    </w:p>
    <w:p w:rsidR="00CA182A" w:rsidRPr="003C1B12" w:rsidRDefault="00CA182A" w:rsidP="00CA182A">
      <w:pPr>
        <w:pStyle w:val="ListParagraph"/>
        <w:numPr>
          <w:ilvl w:val="0"/>
          <w:numId w:val="43"/>
        </w:numPr>
        <w:autoSpaceDE w:val="0"/>
        <w:autoSpaceDN w:val="0"/>
        <w:adjustRightInd w:val="0"/>
        <w:spacing w:after="0" w:line="240" w:lineRule="auto"/>
        <w:rPr>
          <w:rFonts w:ascii="Times New Roman" w:hAnsi="Times New Roman" w:cs="Times New Roman"/>
          <w:noProof/>
          <w:sz w:val="24"/>
          <w:szCs w:val="24"/>
        </w:rPr>
      </w:pPr>
      <w:r w:rsidRPr="003C1B12">
        <w:rPr>
          <w:rFonts w:ascii="Times New Roman" w:hAnsi="Times New Roman" w:cs="Times New Roman"/>
          <w:sz w:val="24"/>
          <w:szCs w:val="24"/>
        </w:rPr>
        <w:t>atbalsts pētniecībai - fundamentālie pētījumi, rūpnieciskie pētījumi, eksperimentālā izstrāde un  tehniski ekonomiskā priekšizpēte.</w:t>
      </w:r>
    </w:p>
    <w:p w:rsidR="00CA182A" w:rsidRPr="003C1B12" w:rsidRDefault="00CA182A" w:rsidP="00CA182A">
      <w:pPr>
        <w:rPr>
          <w:rFonts w:ascii="Times New Roman" w:hAnsi="Times New Roman" w:cs="Times New Roman"/>
          <w:vanish/>
          <w:sz w:val="24"/>
          <w:szCs w:val="24"/>
        </w:rPr>
      </w:pPr>
    </w:p>
    <w:p w:rsidR="00CA182A" w:rsidRPr="003C1B12" w:rsidRDefault="00CA182A" w:rsidP="00CA182A">
      <w:pPr>
        <w:pStyle w:val="ListParagraph"/>
        <w:numPr>
          <w:ilvl w:val="0"/>
          <w:numId w:val="43"/>
        </w:numPr>
        <w:autoSpaceDE w:val="0"/>
        <w:autoSpaceDN w:val="0"/>
        <w:adjustRightInd w:val="0"/>
        <w:spacing w:after="0" w:line="240" w:lineRule="auto"/>
        <w:rPr>
          <w:rFonts w:ascii="Times New Roman" w:hAnsi="Times New Roman" w:cs="Times New Roman"/>
          <w:noProof/>
          <w:sz w:val="24"/>
          <w:szCs w:val="24"/>
        </w:rPr>
      </w:pPr>
      <w:r w:rsidRPr="003C1B12">
        <w:rPr>
          <w:rFonts w:ascii="Times New Roman" w:hAnsi="Times New Roman" w:cs="Times New Roman"/>
          <w:bCs/>
          <w:color w:val="000000"/>
          <w:sz w:val="24"/>
          <w:szCs w:val="24"/>
          <w:shd w:val="clear" w:color="auto" w:fill="FFFFFF"/>
        </w:rPr>
        <w:t>Atbalsts inovācijas kopām jeb klasteriem.</w:t>
      </w:r>
    </w:p>
    <w:p w:rsidR="00CA182A" w:rsidRPr="003C1B12" w:rsidRDefault="00CA182A" w:rsidP="00CA182A">
      <w:pPr>
        <w:pStyle w:val="ListParagraph"/>
        <w:numPr>
          <w:ilvl w:val="0"/>
          <w:numId w:val="43"/>
        </w:numPr>
        <w:autoSpaceDE w:val="0"/>
        <w:autoSpaceDN w:val="0"/>
        <w:adjustRightInd w:val="0"/>
        <w:spacing w:after="0" w:line="240" w:lineRule="auto"/>
        <w:rPr>
          <w:rFonts w:ascii="Times New Roman" w:hAnsi="Times New Roman" w:cs="Times New Roman"/>
          <w:noProof/>
          <w:sz w:val="24"/>
          <w:szCs w:val="24"/>
        </w:rPr>
      </w:pPr>
      <w:r w:rsidRPr="003C1B12">
        <w:rPr>
          <w:rFonts w:ascii="Times New Roman" w:hAnsi="Times New Roman" w:cs="Times New Roman"/>
          <w:bCs/>
          <w:color w:val="000000"/>
          <w:sz w:val="24"/>
          <w:szCs w:val="24"/>
          <w:shd w:val="clear" w:color="auto" w:fill="FFFFFF"/>
        </w:rPr>
        <w:t>Atbalsts procesu un organizatoriskajai inovācijai.</w:t>
      </w:r>
      <w:r w:rsidRPr="003C1B12">
        <w:rPr>
          <w:rFonts w:ascii="Times New Roman" w:hAnsi="Times New Roman" w:cs="Times New Roman"/>
          <w:sz w:val="24"/>
          <w:szCs w:val="24"/>
        </w:rPr>
        <w:t xml:space="preserve"> </w:t>
      </w:r>
    </w:p>
    <w:p w:rsidR="00CA182A" w:rsidRPr="003C1B12" w:rsidRDefault="00CA182A" w:rsidP="00CA182A">
      <w:pPr>
        <w:pStyle w:val="ListParagraph"/>
        <w:numPr>
          <w:ilvl w:val="0"/>
          <w:numId w:val="43"/>
        </w:numPr>
        <w:autoSpaceDE w:val="0"/>
        <w:autoSpaceDN w:val="0"/>
        <w:adjustRightInd w:val="0"/>
        <w:spacing w:after="0" w:line="240" w:lineRule="auto"/>
        <w:rPr>
          <w:rFonts w:ascii="Times New Roman" w:hAnsi="Times New Roman" w:cs="Times New Roman"/>
          <w:noProof/>
          <w:sz w:val="24"/>
          <w:szCs w:val="24"/>
        </w:rPr>
      </w:pPr>
      <w:r w:rsidRPr="003C1B12">
        <w:rPr>
          <w:rFonts w:ascii="Times New Roman" w:hAnsi="Times New Roman" w:cs="Times New Roman"/>
          <w:noProof/>
          <w:sz w:val="24"/>
          <w:szCs w:val="24"/>
        </w:rPr>
        <w:t>Atbalsts augstas kv</w:t>
      </w:r>
      <w:r w:rsidR="002E3AD0" w:rsidRPr="003C1B12">
        <w:rPr>
          <w:rFonts w:ascii="Times New Roman" w:hAnsi="Times New Roman" w:cs="Times New Roman"/>
          <w:noProof/>
          <w:sz w:val="24"/>
          <w:szCs w:val="24"/>
        </w:rPr>
        <w:t>a</w:t>
      </w:r>
      <w:r w:rsidRPr="003C1B12">
        <w:rPr>
          <w:rFonts w:ascii="Times New Roman" w:hAnsi="Times New Roman" w:cs="Times New Roman"/>
          <w:noProof/>
          <w:sz w:val="24"/>
          <w:szCs w:val="24"/>
        </w:rPr>
        <w:t>lifkācijas darbinieku piesaistei.</w:t>
      </w:r>
    </w:p>
    <w:p w:rsidR="00CA182A" w:rsidRPr="003C1B12" w:rsidRDefault="00CA182A" w:rsidP="00CA182A">
      <w:pPr>
        <w:pStyle w:val="ListParagraph"/>
        <w:numPr>
          <w:ilvl w:val="0"/>
          <w:numId w:val="43"/>
        </w:numPr>
        <w:autoSpaceDE w:val="0"/>
        <w:autoSpaceDN w:val="0"/>
        <w:adjustRightInd w:val="0"/>
        <w:spacing w:after="0" w:line="240" w:lineRule="auto"/>
        <w:rPr>
          <w:rFonts w:ascii="Times New Roman" w:hAnsi="Times New Roman" w:cs="Times New Roman"/>
          <w:noProof/>
          <w:sz w:val="24"/>
          <w:szCs w:val="24"/>
        </w:rPr>
      </w:pPr>
      <w:r w:rsidRPr="003C1B12">
        <w:rPr>
          <w:rFonts w:ascii="Times New Roman" w:hAnsi="Times New Roman" w:cs="Times New Roman"/>
          <w:noProof/>
          <w:sz w:val="24"/>
          <w:szCs w:val="24"/>
        </w:rPr>
        <w:lastRenderedPageBreak/>
        <w:t>Atbalsts apmācībām.</w:t>
      </w:r>
    </w:p>
    <w:p w:rsidR="00CA182A" w:rsidRPr="003C1B12" w:rsidRDefault="00CA182A" w:rsidP="00CA182A">
      <w:pPr>
        <w:pStyle w:val="ListParagraph"/>
        <w:numPr>
          <w:ilvl w:val="0"/>
          <w:numId w:val="43"/>
        </w:numPr>
        <w:autoSpaceDE w:val="0"/>
        <w:autoSpaceDN w:val="0"/>
        <w:adjustRightInd w:val="0"/>
        <w:spacing w:after="0" w:line="240" w:lineRule="auto"/>
        <w:rPr>
          <w:rFonts w:ascii="Times New Roman" w:hAnsi="Times New Roman" w:cs="Times New Roman"/>
          <w:noProof/>
          <w:sz w:val="24"/>
          <w:szCs w:val="24"/>
        </w:rPr>
      </w:pPr>
      <w:r w:rsidRPr="003C1B12">
        <w:rPr>
          <w:rFonts w:ascii="Times New Roman" w:hAnsi="Times New Roman" w:cs="Times New Roman"/>
          <w:noProof/>
          <w:sz w:val="24"/>
          <w:szCs w:val="24"/>
        </w:rPr>
        <w:t>Atbalst jaundibinātiem uzņēmumiem</w:t>
      </w:r>
    </w:p>
    <w:p w:rsidR="00CA182A" w:rsidRPr="003C1B12" w:rsidRDefault="00CA182A" w:rsidP="00CA182A">
      <w:pPr>
        <w:pStyle w:val="ListParagraph"/>
        <w:numPr>
          <w:ilvl w:val="0"/>
          <w:numId w:val="43"/>
        </w:numPr>
        <w:autoSpaceDE w:val="0"/>
        <w:autoSpaceDN w:val="0"/>
        <w:adjustRightInd w:val="0"/>
        <w:spacing w:after="0" w:line="240" w:lineRule="auto"/>
        <w:rPr>
          <w:noProof/>
        </w:rPr>
      </w:pPr>
      <w:r w:rsidRPr="003C1B12">
        <w:rPr>
          <w:rFonts w:ascii="Times New Roman" w:hAnsi="Times New Roman" w:cs="Times New Roman"/>
          <w:noProof/>
          <w:sz w:val="24"/>
          <w:szCs w:val="24"/>
        </w:rPr>
        <w:t xml:space="preserve">Atbalsts MVK rūpnieciskā īpašuma tiesību nostiprināšanai un aizsardzībai. </w:t>
      </w:r>
    </w:p>
    <w:p w:rsidR="00CA182A" w:rsidRPr="003C1B12" w:rsidRDefault="00CA182A" w:rsidP="00CA182A">
      <w:pPr>
        <w:pStyle w:val="mt-translation"/>
        <w:spacing w:before="0" w:beforeAutospacing="0" w:after="0" w:afterAutospacing="0"/>
        <w:ind w:firstLine="720"/>
        <w:jc w:val="both"/>
        <w:rPr>
          <w:noProof/>
        </w:rPr>
      </w:pPr>
      <w:r w:rsidRPr="003C1B12">
        <w:rPr>
          <w:noProof/>
        </w:rPr>
        <w:t>Lielākā daļa no klasteriem ir reģistrējušies kā biedrības. Vienlaicīgi visiem klasteriem bija jāizveido klastera pārvaldības organizāciju. 11 klasteri šo pārvaldības orgnizāciju ir izveidojuši kā sabiedrību ar ierobežotu abtildību, 3 pārvaldības funkciju nodrošināšanai ir izveidojuši iekšejo struktūrvienību biedrības ietvaros un viens ir deleģējis šīs funkcijas veikt klas</w:t>
      </w:r>
      <w:r w:rsidR="00006070" w:rsidRPr="003C1B12">
        <w:rPr>
          <w:noProof/>
        </w:rPr>
        <w:t>t</w:t>
      </w:r>
      <w:r w:rsidRPr="003C1B12">
        <w:rPr>
          <w:noProof/>
        </w:rPr>
        <w:t xml:space="preserve">era dalībniekam. </w:t>
      </w:r>
    </w:p>
    <w:p w:rsidR="00CA182A" w:rsidRPr="003C1B12" w:rsidRDefault="00CA182A" w:rsidP="00CA182A">
      <w:pPr>
        <w:pStyle w:val="mt-translation"/>
        <w:spacing w:before="0" w:beforeAutospacing="0" w:after="0" w:afterAutospacing="0"/>
        <w:ind w:firstLine="720"/>
        <w:jc w:val="both"/>
        <w:rPr>
          <w:noProof/>
        </w:rPr>
      </w:pPr>
      <w:r w:rsidRPr="003C1B12">
        <w:rPr>
          <w:noProof/>
        </w:rPr>
        <w:t>Klastera pārvaldības organizācija pati neīsteno pētniecības darbības. Klastera ietvaros pētniecības un produktu izstrādes finansējuma saņemēji ir klastera dalībnieki -gan pētniecības organizācijas, gan komersanti. Tāpat projekti tiek īstenoti gan sadarbībā, gan individuāli.</w:t>
      </w:r>
    </w:p>
    <w:p w:rsidR="00CA182A" w:rsidRPr="003C1B12" w:rsidRDefault="00CA182A" w:rsidP="00CA182A">
      <w:pPr>
        <w:pStyle w:val="mt-translation"/>
        <w:spacing w:before="0" w:beforeAutospacing="0" w:after="0" w:afterAutospacing="0"/>
        <w:ind w:firstLine="720"/>
        <w:jc w:val="both"/>
        <w:rPr>
          <w:noProof/>
        </w:rPr>
      </w:pPr>
      <w:r w:rsidRPr="003C1B12">
        <w:rPr>
          <w:noProof/>
        </w:rPr>
        <w:t xml:space="preserve">Projektu atlase notika divos posmos. Sākumā pretendenti iesniedza īso projekta pieteikumu, kurus vērtēja neatkarīga žurija  un tika izvēltēti 15 labākie pieteikumi tālākai dalībai konkursā. Otrajā atlases posmā pieteicējiem bija jāiesniedz pilns projekta pieteikums un klastera stratēģija un tika atbalstīti 5 klasteri katrā kārtā. </w:t>
      </w:r>
    </w:p>
    <w:p w:rsidR="00CA182A" w:rsidRPr="003C1B12" w:rsidRDefault="00CA182A" w:rsidP="00CA182A">
      <w:pPr>
        <w:pStyle w:val="mt-translation"/>
        <w:spacing w:before="0" w:beforeAutospacing="0" w:after="0" w:afterAutospacing="0"/>
        <w:ind w:firstLine="720"/>
        <w:jc w:val="both"/>
        <w:rPr>
          <w:noProof/>
        </w:rPr>
      </w:pPr>
      <w:r w:rsidRPr="003C1B12">
        <w:rPr>
          <w:noProof/>
        </w:rPr>
        <w:t>Ieviešanas modelis paredz projektu īstenošanas viduspoma novērtēšanu pēc 2 īstenošanas gadiem.</w:t>
      </w:r>
    </w:p>
    <w:p w:rsidR="00CA182A" w:rsidRPr="003C1B12" w:rsidRDefault="00CA182A" w:rsidP="00CA182A">
      <w:pPr>
        <w:pStyle w:val="mt-translation"/>
        <w:spacing w:before="0" w:beforeAutospacing="0" w:after="0" w:afterAutospacing="0"/>
        <w:ind w:firstLine="720"/>
        <w:jc w:val="both"/>
        <w:rPr>
          <w:noProof/>
        </w:rPr>
      </w:pPr>
      <w:r w:rsidRPr="003C1B12">
        <w:t xml:space="preserve">Informācija par programmu atrodama Vācijas Izglītības un pētniecības ministrijas  </w:t>
      </w:r>
      <w:hyperlink r:id="rId18" w:history="1">
        <w:r w:rsidRPr="003C1B12">
          <w:rPr>
            <w:rStyle w:val="Hyperlink"/>
          </w:rPr>
          <w:t>interneta vietnē</w:t>
        </w:r>
      </w:hyperlink>
      <w:r w:rsidRPr="003C1B12">
        <w:t xml:space="preserve">. </w:t>
      </w:r>
    </w:p>
    <w:p w:rsidR="00002784" w:rsidRPr="003C1B12" w:rsidRDefault="00002784" w:rsidP="00BA318B">
      <w:pPr>
        <w:rPr>
          <w:rFonts w:ascii="Times New Roman" w:hAnsi="Times New Roman" w:cs="Times New Roman"/>
          <w:sz w:val="24"/>
          <w:szCs w:val="24"/>
        </w:rPr>
      </w:pPr>
    </w:p>
    <w:p w:rsidR="00002784" w:rsidRPr="003C1B12" w:rsidRDefault="00002784" w:rsidP="00002784">
      <w:pPr>
        <w:spacing w:after="0" w:line="240" w:lineRule="auto"/>
        <w:ind w:firstLine="720"/>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 xml:space="preserve">Izvērtējot citu valstu pieredzi un ņemot vērā Latvijas līdzšinējo pieredzi, kā arī diskusijās ar KC un komersantiem identificēto, piemērotāk Latvijas gadījuma būtu turpināt KC attīstīt kā </w:t>
      </w:r>
      <w:r w:rsidRPr="003C1B12">
        <w:rPr>
          <w:rFonts w:ascii="Times New Roman" w:hAnsi="Times New Roman" w:cs="Times New Roman"/>
          <w:sz w:val="24"/>
        </w:rPr>
        <w:t xml:space="preserve">komersantu </w:t>
      </w:r>
      <w:r w:rsidRPr="003C1B12">
        <w:rPr>
          <w:rFonts w:ascii="Times New Roman" w:hAnsi="Times New Roman" w:cs="Times New Roman"/>
          <w:bCs/>
          <w:sz w:val="24"/>
        </w:rPr>
        <w:t>pētniecības un produktu izstrādi un sadarbību veicinošu sadarbības tīklu jeb inovācijas kopu,</w:t>
      </w:r>
      <w:r w:rsidRPr="003C1B12">
        <w:rPr>
          <w:rFonts w:ascii="Times New Roman" w:hAnsi="Times New Roman" w:cs="Times New Roman"/>
          <w:sz w:val="24"/>
        </w:rPr>
        <w:t xml:space="preserve"> neizvirzot obligātas prasības pašam KC īstenot pētniecības darbības un neveidojot to kā pētniecības organizāciju. Jāņem vērā, ka KC veidošana kā pētniecības organizāciju varētu dublēt Latvijā jau esošo valsts pētniecības organizāciju funkcijas, kā arī pastāv salīdzinoši augsts risks, ka netiks piesaistīts pietiekams komersantu finansējumu šādu organizāciju uzturēšanai</w:t>
      </w:r>
      <w:r w:rsidRPr="003C1B12">
        <w:rPr>
          <w:rFonts w:ascii="Times New Roman" w:hAnsi="Times New Roman" w:cs="Times New Roman"/>
          <w:color w:val="000000" w:themeColor="text1"/>
          <w:sz w:val="24"/>
          <w:szCs w:val="24"/>
        </w:rPr>
        <w:t>. KC modelis jāveido tā, lai saglabātu industrijas partneru aktīvu iesaisti pētniecības programmas definēšanā un īstenošanā.</w:t>
      </w:r>
    </w:p>
    <w:p w:rsidR="00002784" w:rsidRPr="003C1B12" w:rsidRDefault="00002784" w:rsidP="00002784">
      <w:pPr>
        <w:spacing w:after="0" w:line="240" w:lineRule="auto"/>
        <w:ind w:firstLine="720"/>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 xml:space="preserve">Vienlaicīgi ārvalstu pieredze norāda, ka efektīvāka KC darbības nodrošināšanai nepieciešams iesaistīt ārējos ekspertus KC iesniegumu un darbības novērtēšanas posmos, noteikt precīzus monitoringa radītājus katram KC, kuru sasniegšanai tiek regulāri sekots līdzi un veikta vidusposma izvērtēšanā pēc kuras tiek lemts par KC tālāka atbalsta iespējām. </w:t>
      </w:r>
    </w:p>
    <w:p w:rsidR="00002784" w:rsidRPr="003C1B12" w:rsidRDefault="00002784" w:rsidP="00BA318B">
      <w:pPr>
        <w:rPr>
          <w:rFonts w:ascii="Times New Roman" w:hAnsi="Times New Roman" w:cs="Times New Roman"/>
          <w:sz w:val="24"/>
          <w:szCs w:val="24"/>
        </w:rPr>
      </w:pPr>
    </w:p>
    <w:p w:rsidR="00002784" w:rsidRPr="003C1B12" w:rsidRDefault="00002784" w:rsidP="00BA318B">
      <w:pPr>
        <w:rPr>
          <w:rFonts w:ascii="Times New Roman" w:hAnsi="Times New Roman" w:cs="Times New Roman"/>
          <w:sz w:val="24"/>
          <w:szCs w:val="24"/>
        </w:rPr>
      </w:pPr>
    </w:p>
    <w:p w:rsidR="000643AC" w:rsidRPr="003C1B12" w:rsidRDefault="000643AC" w:rsidP="000643AC">
      <w:pPr>
        <w:pStyle w:val="Heading2"/>
        <w:spacing w:before="0" w:after="120"/>
        <w:rPr>
          <w:rFonts w:ascii="Times New Roman" w:hAnsi="Times New Roman" w:cs="Times New Roman"/>
          <w:color w:val="31849B" w:themeColor="accent5" w:themeShade="BF"/>
        </w:rPr>
      </w:pPr>
      <w:bookmarkStart w:id="33" w:name="_Toc427646475"/>
      <w:bookmarkStart w:id="34" w:name="_Toc427646561"/>
      <w:r w:rsidRPr="003C1B12">
        <w:rPr>
          <w:rFonts w:ascii="Times New Roman" w:hAnsi="Times New Roman" w:cs="Times New Roman"/>
          <w:color w:val="31849B" w:themeColor="accent5" w:themeShade="BF"/>
        </w:rPr>
        <w:t>2.</w:t>
      </w:r>
      <w:r w:rsidR="00EC62C4" w:rsidRPr="003C1B12">
        <w:rPr>
          <w:rFonts w:ascii="Times New Roman" w:hAnsi="Times New Roman" w:cs="Times New Roman"/>
          <w:color w:val="31849B" w:themeColor="accent5" w:themeShade="BF"/>
        </w:rPr>
        <w:t>4</w:t>
      </w:r>
      <w:r w:rsidRPr="003C1B12">
        <w:rPr>
          <w:rFonts w:ascii="Times New Roman" w:hAnsi="Times New Roman" w:cs="Times New Roman"/>
          <w:color w:val="31849B" w:themeColor="accent5" w:themeShade="BF"/>
        </w:rPr>
        <w:t xml:space="preserve">. Priekšlikumi </w:t>
      </w:r>
      <w:r w:rsidR="007B5BD9" w:rsidRPr="003C1B12">
        <w:rPr>
          <w:rFonts w:ascii="Times New Roman" w:hAnsi="Times New Roman" w:cs="Times New Roman"/>
          <w:color w:val="31849B" w:themeColor="accent5" w:themeShade="BF"/>
        </w:rPr>
        <w:t>KC</w:t>
      </w:r>
      <w:r w:rsidRPr="003C1B12">
        <w:rPr>
          <w:rFonts w:ascii="Times New Roman" w:hAnsi="Times New Roman" w:cs="Times New Roman"/>
          <w:color w:val="31849B" w:themeColor="accent5" w:themeShade="BF"/>
        </w:rPr>
        <w:t xml:space="preserve"> programmas pilnveidošanai</w:t>
      </w:r>
      <w:bookmarkEnd w:id="33"/>
      <w:bookmarkEnd w:id="34"/>
    </w:p>
    <w:p w:rsidR="00FD128F" w:rsidRPr="003C1B12" w:rsidRDefault="00FD128F" w:rsidP="00FD128F">
      <w:pPr>
        <w:pStyle w:val="Default"/>
        <w:spacing w:after="120"/>
        <w:jc w:val="both"/>
      </w:pPr>
      <w:r w:rsidRPr="003C1B12">
        <w:t xml:space="preserve">Izvērtējot programmas īstenošanas gaitu un diskusijās ar kompetences centriem tika identificēti  vairāki šķēršļi </w:t>
      </w:r>
      <w:r w:rsidR="00F80F41" w:rsidRPr="003C1B12">
        <w:t xml:space="preserve">programmas efektīvai darbībai, kuru novēršanai tiek piedāvāti šādi priekšlikumi programmas pilnveidošanai: </w:t>
      </w:r>
    </w:p>
    <w:p w:rsidR="00F80F41" w:rsidRPr="003C1B12" w:rsidRDefault="00F80F41" w:rsidP="00F80F41">
      <w:pPr>
        <w:pStyle w:val="ListParagraph"/>
        <w:widowControl w:val="0"/>
        <w:numPr>
          <w:ilvl w:val="0"/>
          <w:numId w:val="32"/>
        </w:numPr>
        <w:spacing w:after="0" w:line="240" w:lineRule="auto"/>
        <w:jc w:val="both"/>
        <w:rPr>
          <w:rFonts w:ascii="Times New Roman" w:hAnsi="Times New Roman" w:cs="Times New Roman"/>
          <w:sz w:val="24"/>
          <w:szCs w:val="24"/>
        </w:rPr>
      </w:pPr>
      <w:r w:rsidRPr="003C1B12">
        <w:rPr>
          <w:rFonts w:ascii="Times New Roman" w:hAnsi="Times New Roman" w:cs="Times New Roman"/>
          <w:sz w:val="24"/>
        </w:rPr>
        <w:t xml:space="preserve">KC jāturpina attīstīt kā komersantu </w:t>
      </w:r>
      <w:r w:rsidRPr="003C1B12">
        <w:rPr>
          <w:rFonts w:ascii="Times New Roman" w:hAnsi="Times New Roman" w:cs="Times New Roman"/>
          <w:bCs/>
          <w:sz w:val="24"/>
        </w:rPr>
        <w:t>sadarbību pētniecības un produktu izstrādes jomā veicinošu platformu jeb inovācijas kopu,</w:t>
      </w:r>
      <w:r w:rsidRPr="003C1B12">
        <w:rPr>
          <w:rFonts w:ascii="Times New Roman" w:hAnsi="Times New Roman" w:cs="Times New Roman"/>
          <w:sz w:val="24"/>
        </w:rPr>
        <w:t xml:space="preserve"> neizvirzot obligātas prasības pašam KC īstenot pētniecības darbības ar mērķi novērst esošo valsts pētniecības organizāciju funkciju dublēšanos (skat.pamatojumu 2.3.punktā, kas balstīts uz ārvalstu pieredzes analīzi un Latvijas līdzšinējo pieredzi);</w:t>
      </w:r>
    </w:p>
    <w:p w:rsidR="00F80F41" w:rsidRPr="003C1B12" w:rsidRDefault="00F80F41" w:rsidP="00F80F41">
      <w:pPr>
        <w:pStyle w:val="ListParagraph"/>
        <w:widowControl w:val="0"/>
        <w:numPr>
          <w:ilvl w:val="0"/>
          <w:numId w:val="32"/>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Vienā specializācijas jomā vai apakšjomā tiek atbalstīts vismaz viens KC. Visi KC kopā nosedz visas viedās specializācijas jomas. Atsevišķos gadījumos, kad ir konstatēta nozares partneru pietiekoša kritiskā masa</w:t>
      </w:r>
      <w:r w:rsidR="00D03EA5" w:rsidRPr="003C1B12">
        <w:rPr>
          <w:rFonts w:ascii="Times New Roman" w:hAnsi="Times New Roman" w:cs="Times New Roman"/>
          <w:sz w:val="24"/>
          <w:szCs w:val="24"/>
        </w:rPr>
        <w:t xml:space="preserve">, to kapacitāte īstenot pētījumus un atbalsts no attiecīgās nozares asociācijas, pastāv iespēja esošā programmas finansējuma ietvaros atbalstīt vienā </w:t>
      </w:r>
      <w:r w:rsidR="00D03EA5" w:rsidRPr="003C1B12">
        <w:rPr>
          <w:rFonts w:ascii="Times New Roman" w:hAnsi="Times New Roman" w:cs="Times New Roman"/>
          <w:sz w:val="24"/>
          <w:szCs w:val="24"/>
        </w:rPr>
        <w:lastRenderedPageBreak/>
        <w:t>specializācijas jomā vai apakšjomā vairāk nekā vienu KC ar nosacījumu, ka šajā gadījumā KC ir jānošķir pētījumu virzieni ar mērķi izvairīties no pētījumu sadrumstalošanas un nodrošinātu efektīvu projektu īstenošanu</w:t>
      </w:r>
      <w:r w:rsidR="00D65100" w:rsidRPr="003C1B12">
        <w:rPr>
          <w:rFonts w:ascii="Times New Roman" w:hAnsi="Times New Roman" w:cs="Times New Roman"/>
          <w:sz w:val="24"/>
          <w:szCs w:val="24"/>
        </w:rPr>
        <w:t xml:space="preserve">; </w:t>
      </w:r>
      <w:r w:rsidRPr="003C1B12">
        <w:rPr>
          <w:rFonts w:ascii="Times New Roman" w:hAnsi="Times New Roman" w:cs="Times New Roman"/>
          <w:sz w:val="24"/>
          <w:szCs w:val="24"/>
        </w:rPr>
        <w:t xml:space="preserve">Pamatojums – nodrošināt RIS 3 efektīvu ieviešanu un Latvijas tautsaimniecībai svarīgu nozaru ilgtspējīgu attīstību; </w:t>
      </w:r>
    </w:p>
    <w:p w:rsidR="00F80F41" w:rsidRPr="003C1B12" w:rsidRDefault="00F80F41" w:rsidP="00F80F41">
      <w:pPr>
        <w:pStyle w:val="ListParagraph"/>
        <w:widowControl w:val="0"/>
        <w:numPr>
          <w:ilvl w:val="0"/>
          <w:numId w:val="32"/>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Efektīvākai zinātnisko institūciju piesaistei jāizslēdz obligāta prasība par zinātnisko institūciju kā KC dibinātāju, lai novērstu interešu konfliktu KC izvēloties pētniecības pakalpojuma sniedzēju</w:t>
      </w:r>
      <w:r w:rsidR="00D65100" w:rsidRPr="003C1B12">
        <w:rPr>
          <w:rFonts w:ascii="Times New Roman" w:hAnsi="Times New Roman" w:cs="Times New Roman"/>
          <w:sz w:val="24"/>
          <w:szCs w:val="24"/>
        </w:rPr>
        <w:t xml:space="preserve"> (skat.pamatojumu 2.2.2.apakšpunktā</w:t>
      </w:r>
      <w:r w:rsidR="003B17F0" w:rsidRPr="003C1B12">
        <w:rPr>
          <w:rFonts w:ascii="Times New Roman" w:hAnsi="Times New Roman" w:cs="Times New Roman"/>
          <w:sz w:val="24"/>
          <w:szCs w:val="24"/>
        </w:rPr>
        <w:t>, kā arī šī priekšlikuma rezultātā tiks nodrošināta iespēja mazināt vienu no Latvijas inovācijas ekosistēmas būtiskākajiem trūkumiem – nepietiekoši intensīca un neefektīva sadarbība starp zinātnes un uzņēmējdarbības sektoriem</w:t>
      </w:r>
      <w:r w:rsidR="00D65100" w:rsidRPr="003C1B12">
        <w:rPr>
          <w:rFonts w:ascii="Times New Roman" w:hAnsi="Times New Roman" w:cs="Times New Roman"/>
          <w:sz w:val="24"/>
          <w:szCs w:val="24"/>
        </w:rPr>
        <w:t>)</w:t>
      </w:r>
      <w:r w:rsidR="003B17F0" w:rsidRPr="003C1B12">
        <w:rPr>
          <w:rFonts w:ascii="Times New Roman" w:hAnsi="Times New Roman" w:cs="Times New Roman"/>
          <w:sz w:val="24"/>
          <w:szCs w:val="24"/>
        </w:rPr>
        <w:t xml:space="preserve">; </w:t>
      </w:r>
    </w:p>
    <w:p w:rsidR="00F80F41" w:rsidRPr="003C1B12" w:rsidRDefault="00F80F41" w:rsidP="00F80F41">
      <w:pPr>
        <w:pStyle w:val="ListParagraph"/>
        <w:widowControl w:val="0"/>
        <w:numPr>
          <w:ilvl w:val="0"/>
          <w:numId w:val="32"/>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Zinātniskajai institūcijai</w:t>
      </w:r>
      <w:r w:rsidR="003B17F0" w:rsidRPr="003C1B12">
        <w:rPr>
          <w:rFonts w:ascii="Times New Roman" w:hAnsi="Times New Roman" w:cs="Times New Roman"/>
          <w:sz w:val="24"/>
          <w:szCs w:val="24"/>
        </w:rPr>
        <w:t>,</w:t>
      </w:r>
      <w:r w:rsidRPr="003C1B12">
        <w:rPr>
          <w:rFonts w:ascii="Times New Roman" w:hAnsi="Times New Roman" w:cs="Times New Roman"/>
          <w:sz w:val="24"/>
          <w:szCs w:val="24"/>
        </w:rPr>
        <w:t xml:space="preserve"> ja tā nav sadarbības partneris un neiegūst tiesības uz rezultātu tālāku izmantošanu saimnieciskā darbībā (neietver autorību un izmantošanu zinātniskiem mērķiem</w:t>
      </w:r>
      <w:r w:rsidR="003B17F0" w:rsidRPr="003C1B12">
        <w:rPr>
          <w:rFonts w:ascii="Times New Roman" w:hAnsi="Times New Roman" w:cs="Times New Roman"/>
          <w:sz w:val="24"/>
          <w:szCs w:val="24"/>
        </w:rPr>
        <w:t>,</w:t>
      </w:r>
      <w:r w:rsidRPr="003C1B12">
        <w:rPr>
          <w:rFonts w:ascii="Times New Roman" w:hAnsi="Times New Roman" w:cs="Times New Roman"/>
          <w:sz w:val="24"/>
          <w:szCs w:val="24"/>
        </w:rPr>
        <w:t>) tiek atlīdzināta visa pakalpojuma cena</w:t>
      </w:r>
      <w:r w:rsidR="003B17F0" w:rsidRPr="003C1B12">
        <w:rPr>
          <w:rFonts w:ascii="Times New Roman" w:hAnsi="Times New Roman" w:cs="Times New Roman"/>
          <w:sz w:val="24"/>
          <w:szCs w:val="24"/>
        </w:rPr>
        <w:t xml:space="preserve"> (skat.saistībā ar iepriekšējo punktu)</w:t>
      </w:r>
      <w:r w:rsidRPr="003C1B12">
        <w:rPr>
          <w:rFonts w:ascii="Times New Roman" w:hAnsi="Times New Roman" w:cs="Times New Roman"/>
          <w:sz w:val="24"/>
          <w:szCs w:val="24"/>
        </w:rPr>
        <w:t>.</w:t>
      </w:r>
    </w:p>
    <w:p w:rsidR="00976D71" w:rsidRPr="003C1B12" w:rsidRDefault="003B17F0" w:rsidP="00BA318B">
      <w:pPr>
        <w:pStyle w:val="ListParagraph"/>
        <w:widowControl w:val="0"/>
        <w:numPr>
          <w:ilvl w:val="0"/>
          <w:numId w:val="32"/>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Pē</w:t>
      </w:r>
      <w:r w:rsidR="00F80F41" w:rsidRPr="003C1B12">
        <w:rPr>
          <w:rFonts w:ascii="Times New Roman" w:hAnsi="Times New Roman" w:cs="Times New Roman"/>
          <w:sz w:val="24"/>
          <w:szCs w:val="24"/>
        </w:rPr>
        <w:t>tniecības projektu atlases pilnveidošanai projektu atlasē un uzraudzībā nepieciešams iesaistīt atbildīgās iestādes pārstāvjus un  starptautiskos ekspertus.</w:t>
      </w:r>
      <w:r w:rsidRPr="003C1B12">
        <w:rPr>
          <w:rFonts w:ascii="Times New Roman" w:hAnsi="Times New Roman" w:cs="Times New Roman"/>
          <w:sz w:val="24"/>
          <w:szCs w:val="24"/>
        </w:rPr>
        <w:t xml:space="preserve"> Pamatojums -  2007.-2013.gada plānošanas periodā inovācijas politikas veidot</w:t>
      </w:r>
      <w:r w:rsidR="0040331E" w:rsidRPr="003C1B12">
        <w:rPr>
          <w:rFonts w:ascii="Times New Roman" w:hAnsi="Times New Roman" w:cs="Times New Roman"/>
          <w:sz w:val="24"/>
          <w:szCs w:val="24"/>
        </w:rPr>
        <w:t xml:space="preserve">ājiem bija pasīva loma </w:t>
      </w:r>
      <w:r w:rsidRPr="003C1B12">
        <w:rPr>
          <w:rFonts w:ascii="Times New Roman" w:hAnsi="Times New Roman" w:cs="Times New Roman"/>
          <w:sz w:val="24"/>
          <w:szCs w:val="24"/>
        </w:rPr>
        <w:t>KC pētījumu projektu kvalitatīvajā uzraudzībā un KC lēmumu pieņemšanā, tādējādi radot risku programmas plānoto rezultātu sasniegšanai</w:t>
      </w:r>
      <w:r w:rsidR="00097ADF" w:rsidRPr="003C1B12">
        <w:rPr>
          <w:rFonts w:ascii="Times New Roman" w:hAnsi="Times New Roman" w:cs="Times New Roman"/>
          <w:sz w:val="24"/>
          <w:szCs w:val="24"/>
        </w:rPr>
        <w:t xml:space="preserve"> un inovācijas politikas efektīvai </w:t>
      </w:r>
      <w:r w:rsidR="00976D71" w:rsidRPr="003C1B12">
        <w:rPr>
          <w:rFonts w:ascii="Times New Roman" w:hAnsi="Times New Roman" w:cs="Times New Roman"/>
          <w:sz w:val="24"/>
          <w:szCs w:val="24"/>
        </w:rPr>
        <w:t>ieviešanai</w:t>
      </w:r>
      <w:r w:rsidRPr="003C1B12">
        <w:rPr>
          <w:rFonts w:ascii="Times New Roman" w:hAnsi="Times New Roman" w:cs="Times New Roman"/>
          <w:sz w:val="24"/>
          <w:szCs w:val="24"/>
        </w:rPr>
        <w:t xml:space="preserve">, tās caurredzamai īstenošanai un </w:t>
      </w:r>
      <w:r w:rsidR="00976D71" w:rsidRPr="003C1B12">
        <w:rPr>
          <w:rFonts w:ascii="Times New Roman" w:hAnsi="Times New Roman" w:cs="Times New Roman"/>
          <w:sz w:val="24"/>
          <w:szCs w:val="24"/>
        </w:rPr>
        <w:t xml:space="preserve">objektīvi </w:t>
      </w:r>
      <w:r w:rsidRPr="003C1B12">
        <w:rPr>
          <w:rFonts w:ascii="Times New Roman" w:hAnsi="Times New Roman" w:cs="Times New Roman"/>
          <w:sz w:val="24"/>
          <w:szCs w:val="24"/>
        </w:rPr>
        <w:t xml:space="preserve">pamatotas informācijas iegūšanai par programmas darbības trūkumiem un šķēršļiem, t.sk., labās prakses apzināšanai un popularizēšanai. </w:t>
      </w:r>
      <w:r w:rsidR="0040331E" w:rsidRPr="003C1B12">
        <w:rPr>
          <w:rFonts w:ascii="Times New Roman" w:hAnsi="Times New Roman" w:cs="Times New Roman"/>
          <w:sz w:val="24"/>
          <w:szCs w:val="24"/>
        </w:rPr>
        <w:t xml:space="preserve"> Inovācijas politikas veidotāju aktīva līdzdalība KC programmas īstenošanas uzraudzība ir arī viens no RIS 3 monitoringa sistēmas īstenošanas viediem, jo tas sekmētu RIS 3 programmu pārvaldības labās prakses īstenošanu, kas sevī ietver arī programmu kvalitātes vadību politikas veidotājiem</w:t>
      </w:r>
      <w:r w:rsidR="00097ADF" w:rsidRPr="003C1B12">
        <w:rPr>
          <w:rFonts w:ascii="Times New Roman" w:hAnsi="Times New Roman" w:cs="Times New Roman"/>
          <w:sz w:val="24"/>
          <w:szCs w:val="24"/>
        </w:rPr>
        <w:t>, kā arī nodrošinātu  konstantu un</w:t>
      </w:r>
      <w:r w:rsidR="0040331E" w:rsidRPr="003C1B12">
        <w:rPr>
          <w:rFonts w:ascii="Times New Roman" w:hAnsi="Times New Roman" w:cs="Times New Roman"/>
          <w:sz w:val="24"/>
          <w:szCs w:val="24"/>
        </w:rPr>
        <w:t xml:space="preserve"> </w:t>
      </w:r>
      <w:r w:rsidR="00097ADF" w:rsidRPr="003C1B12">
        <w:rPr>
          <w:rFonts w:ascii="Times New Roman" w:hAnsi="Times New Roman" w:cs="Times New Roman"/>
          <w:sz w:val="24"/>
          <w:szCs w:val="24"/>
        </w:rPr>
        <w:t xml:space="preserve">regulāru diskusiju ar komersantiem un to pārstāvošajām organizācijām. Šīs diskusijas rezultātā inovācijas politikas īstenotājiem rastos iespēja sekot līdzi </w:t>
      </w:r>
      <w:r w:rsidR="00097ADF" w:rsidRPr="003C1B12">
        <w:rPr>
          <w:szCs w:val="24"/>
        </w:rPr>
        <w:t xml:space="preserve"> </w:t>
      </w:r>
      <w:r w:rsidR="00097ADF" w:rsidRPr="003C1B12">
        <w:rPr>
          <w:rFonts w:ascii="Times New Roman" w:hAnsi="Times New Roman" w:cs="Times New Roman"/>
          <w:sz w:val="24"/>
          <w:szCs w:val="24"/>
        </w:rPr>
        <w:t xml:space="preserve">uzņēmējdarbības atklājuma principa nodrošināšanai, kas ir RIS 3 monitoringa sistēmas centrālais elements, kas ļautu savlaicīgi reaģēt un izstrādāt priekšlikumus nepieciešamajiem grozījumiem KC programmas saturā vai īstenošanas modelī. </w:t>
      </w:r>
      <w:r w:rsidR="00377892" w:rsidRPr="003C1B12">
        <w:rPr>
          <w:rFonts w:ascii="Times New Roman" w:hAnsi="Times New Roman" w:cs="Times New Roman"/>
          <w:sz w:val="24"/>
          <w:szCs w:val="24"/>
        </w:rPr>
        <w:t xml:space="preserve">Konstanta dialoga nepieciešamība ir identificēta 2007.-2013.gada plānošanas periodā, nodibinot Konsultatīvo darba grupu (skat.2.2.5.apakšpunktu). </w:t>
      </w:r>
      <w:r w:rsidR="00097ADF" w:rsidRPr="003C1B12">
        <w:rPr>
          <w:rFonts w:ascii="Times New Roman" w:hAnsi="Times New Roman" w:cs="Times New Roman"/>
          <w:sz w:val="24"/>
          <w:szCs w:val="24"/>
        </w:rPr>
        <w:t xml:space="preserve">Politikas veidotāju aktīva līdzdalība KC programmas īstenošanas uzraudzībā </w:t>
      </w:r>
      <w:r w:rsidR="00976D71" w:rsidRPr="003C1B12">
        <w:rPr>
          <w:rFonts w:ascii="Times New Roman" w:hAnsi="Times New Roman" w:cs="Times New Roman"/>
          <w:sz w:val="24"/>
          <w:szCs w:val="24"/>
        </w:rPr>
        <w:t>sniegtu praktiskus ieguvumus arī KC, piem., nodrošinātu palīdzību kvalitatīvu atskaišu sagatavošanā, kas ļautu samazināt laiku starp maksājumu pieprasījumu iesniegšanu un maksājumu saņemšanu, tādējādi optimizējot KC finanšu plūsmu. Bez tam KC iegūtu arī pieeju starptautiskajam networkingam un informācijas apritei, kas ir politikas veidotāju rīcībā par dažādām ES un starptautiskā līmeņa pētniecības un inovācijas iniciatīvām. Politikas veidotāju funkcijas definētas 3.punktā;</w:t>
      </w:r>
    </w:p>
    <w:p w:rsidR="00377892" w:rsidRPr="003C1B12" w:rsidRDefault="00377892" w:rsidP="00BA318B">
      <w:pPr>
        <w:pStyle w:val="ListParagraph"/>
        <w:widowControl w:val="0"/>
        <w:numPr>
          <w:ilvl w:val="0"/>
          <w:numId w:val="32"/>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 xml:space="preserve">Nepieciešams paplašināt KC programmas iznākuma rādītāju klāstu ar mērķi rosināt KC nozares partnerus plānot un novērtēt veikto pētījumu projektu ietekmi uz to saimniecisko darbību, tādējādi nodrošinot RIS 3 tautsaimniecībai svarīgo nozaru ilgtspēju. Priekšlikumus rādītājiem un to datu avotiem skat.12.tabulā. </w:t>
      </w:r>
    </w:p>
    <w:p w:rsidR="003510AE" w:rsidRPr="003C1B12" w:rsidRDefault="00A65633" w:rsidP="003510AE">
      <w:pPr>
        <w:pStyle w:val="ListParagraph"/>
        <w:widowControl w:val="0"/>
        <w:numPr>
          <w:ilvl w:val="0"/>
          <w:numId w:val="32"/>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 xml:space="preserve">Lai arī līdz šim P&amp;A statistika uzrāda būtisku pieaugumu privātā sektora P&amp;A izmaksās, lai </w:t>
      </w:r>
      <w:r w:rsidR="003510AE" w:rsidRPr="003C1B12">
        <w:rPr>
          <w:rFonts w:ascii="Times New Roman" w:hAnsi="Times New Roman" w:cs="Times New Roman"/>
          <w:sz w:val="24"/>
          <w:szCs w:val="24"/>
        </w:rPr>
        <w:t>izslēgtu par privāto investīciju aizvietošanu (crowding out), nepiecie</w:t>
      </w:r>
      <w:r w:rsidRPr="003C1B12">
        <w:rPr>
          <w:rFonts w:ascii="Times New Roman" w:hAnsi="Times New Roman" w:cs="Times New Roman"/>
          <w:sz w:val="24"/>
          <w:szCs w:val="24"/>
        </w:rPr>
        <w:t>šams monitorēt KC iesaistīto komersantu investīcijas P&amp;A gan pirms projekta uzsākšanas, gan projekta īstenošanas laikā, gan arī pēc projekta īstenošanas.</w:t>
      </w:r>
    </w:p>
    <w:p w:rsidR="00F80F41" w:rsidRPr="003C1B12" w:rsidRDefault="00F80F41" w:rsidP="00F80F41">
      <w:pPr>
        <w:pStyle w:val="ListParagraph"/>
        <w:widowControl w:val="0"/>
        <w:numPr>
          <w:ilvl w:val="0"/>
          <w:numId w:val="32"/>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Katram pētījuma projektam, kurš tiek īstenots ilgāk par 6 mēnešiem, tiek noteikti izpildāmie starpposma (mile-stones) rādītāji vai darbības – tos neizpildot var tikt pārtraukts atbalsts.</w:t>
      </w:r>
      <w:r w:rsidR="00976D71" w:rsidRPr="003C1B12">
        <w:rPr>
          <w:rFonts w:ascii="Times New Roman" w:hAnsi="Times New Roman" w:cs="Times New Roman"/>
          <w:sz w:val="24"/>
          <w:szCs w:val="24"/>
        </w:rPr>
        <w:t xml:space="preserve"> Pamatojums – tādā veidā tiek</w:t>
      </w:r>
      <w:r w:rsidR="007311F7" w:rsidRPr="003C1B12">
        <w:rPr>
          <w:rFonts w:ascii="Times New Roman" w:hAnsi="Times New Roman" w:cs="Times New Roman"/>
          <w:sz w:val="24"/>
          <w:szCs w:val="24"/>
        </w:rPr>
        <w:t xml:space="preserve"> minimizēts </w:t>
      </w:r>
      <w:r w:rsidR="00976D71" w:rsidRPr="003C1B12">
        <w:rPr>
          <w:rFonts w:ascii="Times New Roman" w:hAnsi="Times New Roman" w:cs="Times New Roman"/>
          <w:sz w:val="24"/>
          <w:szCs w:val="24"/>
        </w:rPr>
        <w:t>svarīgs izaicinājums KC (zema riska tolerance</w:t>
      </w:r>
      <w:r w:rsidR="007311F7" w:rsidRPr="003C1B12">
        <w:rPr>
          <w:rFonts w:ascii="Times New Roman" w:hAnsi="Times New Roman" w:cs="Times New Roman"/>
          <w:sz w:val="24"/>
          <w:szCs w:val="24"/>
        </w:rPr>
        <w:t xml:space="preserve">), kas paredz pretrunu starp inovācijas būtību un ES fondu sistēmas ierobežojumiem pētījumu projekta neveiksmīga rezultāta gadījumā. </w:t>
      </w:r>
    </w:p>
    <w:p w:rsidR="00377892" w:rsidRPr="003C1B12" w:rsidRDefault="00F80F41" w:rsidP="00F80F41">
      <w:pPr>
        <w:widowControl w:val="0"/>
        <w:numPr>
          <w:ilvl w:val="0"/>
          <w:numId w:val="32"/>
        </w:numPr>
        <w:spacing w:after="0" w:line="240" w:lineRule="auto"/>
        <w:jc w:val="both"/>
        <w:rPr>
          <w:rFonts w:ascii="Times New Roman" w:hAnsi="Times New Roman" w:cs="Times New Roman"/>
          <w:sz w:val="24"/>
          <w:szCs w:val="24"/>
        </w:rPr>
      </w:pPr>
      <w:r w:rsidRPr="003C1B12">
        <w:rPr>
          <w:rFonts w:ascii="Times New Roman" w:eastAsia="Times New Roman" w:hAnsi="Times New Roman" w:cs="Times New Roman"/>
          <w:color w:val="000000" w:themeColor="dark1"/>
          <w:kern w:val="24"/>
          <w:sz w:val="24"/>
          <w:szCs w:val="24"/>
          <w:lang w:eastAsia="lv-LV"/>
        </w:rPr>
        <w:t xml:space="preserve">Atbalsts pētniecībai un produktu izstrādei nepieciešamās infrastruktūras izveidei jāizdala atsevišķā pasākumā vai kārtā, atbalstot tikai tādus projektus, kas demonstrē jaunizveidotās </w:t>
      </w:r>
      <w:r w:rsidRPr="003C1B12">
        <w:rPr>
          <w:rFonts w:ascii="Times New Roman" w:hAnsi="Times New Roman" w:cs="Times New Roman"/>
          <w:sz w:val="24"/>
          <w:szCs w:val="24"/>
        </w:rPr>
        <w:lastRenderedPageBreak/>
        <w:t>infrastruktūras darbības ilgtspēju ilgtermiņā un pamato pietiekamu pieprasījumu gan vietējā, gan ārējos tirgos.</w:t>
      </w:r>
    </w:p>
    <w:p w:rsidR="00F80F41" w:rsidRPr="003C1B12" w:rsidRDefault="00F80F41" w:rsidP="00F80F41">
      <w:pPr>
        <w:widowControl w:val="0"/>
        <w:numPr>
          <w:ilvl w:val="0"/>
          <w:numId w:val="32"/>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Programmas administrēšanas pilnveidošanai un ņemot vērā, ka mainās programmas sadarbības iestāde programmas administrēšanas uzlabošanai nepieciešams:</w:t>
      </w:r>
    </w:p>
    <w:p w:rsidR="00F80F41" w:rsidRPr="003C1B12" w:rsidRDefault="00F80F41" w:rsidP="00F80F41">
      <w:pPr>
        <w:pStyle w:val="ListParagraph"/>
        <w:numPr>
          <w:ilvl w:val="0"/>
          <w:numId w:val="20"/>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CFLA izmantot izveidojušos kompetenci LIAA programmas ieviešanā, kā arī jāparedz pietiekami resursu programmas uzraudzības nodrošināšanai</w:t>
      </w:r>
      <w:r w:rsidR="00CF6FE3" w:rsidRPr="003C1B12">
        <w:rPr>
          <w:rFonts w:ascii="Times New Roman" w:hAnsi="Times New Roman" w:cs="Times New Roman"/>
          <w:sz w:val="24"/>
          <w:szCs w:val="24"/>
        </w:rPr>
        <w:t xml:space="preserve"> (pārvaldības projekts)</w:t>
      </w:r>
      <w:r w:rsidRPr="003C1B12">
        <w:rPr>
          <w:rFonts w:ascii="Times New Roman" w:hAnsi="Times New Roman" w:cs="Times New Roman"/>
          <w:sz w:val="24"/>
          <w:szCs w:val="24"/>
        </w:rPr>
        <w:t>;</w:t>
      </w:r>
    </w:p>
    <w:p w:rsidR="00F80F41" w:rsidRPr="003C1B12" w:rsidRDefault="00F80F41" w:rsidP="00F80F41">
      <w:pPr>
        <w:pStyle w:val="ListParagraph"/>
        <w:numPr>
          <w:ilvl w:val="0"/>
          <w:numId w:val="20"/>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uzraugošām institūcijām jāveido patstāvīgs dialogs ar KC par projektu īstenošanas, pētniecības projektu atlases principiem, labās prakses piemēriem, aktualitātēm un izmaiņām ieviešanas nosacījumos</w:t>
      </w:r>
      <w:r w:rsidR="00377892" w:rsidRPr="003C1B12">
        <w:rPr>
          <w:rFonts w:ascii="Times New Roman" w:hAnsi="Times New Roman" w:cs="Times New Roman"/>
          <w:sz w:val="24"/>
          <w:szCs w:val="24"/>
        </w:rPr>
        <w:t>. To īsteno, iesaistot inovācijas politikas veidotājus (EM pārstāvju) KC programmas īstenošanas uzraudzībā</w:t>
      </w:r>
      <w:r w:rsidRPr="003C1B12">
        <w:rPr>
          <w:rFonts w:ascii="Times New Roman" w:hAnsi="Times New Roman" w:cs="Times New Roman"/>
          <w:sz w:val="24"/>
          <w:szCs w:val="24"/>
        </w:rPr>
        <w:t xml:space="preserve">; </w:t>
      </w:r>
    </w:p>
    <w:p w:rsidR="00F80F41" w:rsidRPr="003C1B12" w:rsidRDefault="00F80F41" w:rsidP="00F80F41">
      <w:pPr>
        <w:pStyle w:val="ListParagraph"/>
        <w:numPr>
          <w:ilvl w:val="0"/>
          <w:numId w:val="20"/>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vienkāršot izmaksu piemērošanas nosacījumus samazinot dažādus izmaksu pozīciju ierobežojumus (procentuālas kvotas, maksimālās likmes, utml.);</w:t>
      </w:r>
    </w:p>
    <w:p w:rsidR="00F80F41" w:rsidRPr="003C1B12" w:rsidRDefault="00F80F41" w:rsidP="00F80F41">
      <w:pPr>
        <w:pStyle w:val="ListParagraph"/>
        <w:numPr>
          <w:ilvl w:val="0"/>
          <w:numId w:val="20"/>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izvērtēt iespēju noteikt lielāku netiešo izmaksu īpatsvaru;</w:t>
      </w:r>
    </w:p>
    <w:p w:rsidR="00F80F41" w:rsidRPr="003C1B12" w:rsidRDefault="00F80F41" w:rsidP="00F80F41">
      <w:pPr>
        <w:pStyle w:val="ListParagraph"/>
        <w:numPr>
          <w:ilvl w:val="0"/>
          <w:numId w:val="20"/>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paredzēt starpposma atskaitēs iesniegtās dokumentācijas izlases pārbaudes, kā arī kopumā jāpārskata iesniedzamo izmaksu apliecinošo dokumentu saraksts;</w:t>
      </w:r>
    </w:p>
    <w:p w:rsidR="00C77735" w:rsidRPr="003C1B12" w:rsidRDefault="00F80F41" w:rsidP="00C77735">
      <w:pPr>
        <w:pStyle w:val="ListParagraph"/>
        <w:numPr>
          <w:ilvl w:val="0"/>
          <w:numId w:val="20"/>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 xml:space="preserve">vienkāršot </w:t>
      </w:r>
      <w:r w:rsidR="00CF6FE3" w:rsidRPr="003C1B12">
        <w:rPr>
          <w:rFonts w:ascii="Times New Roman" w:hAnsi="Times New Roman" w:cs="Times New Roman"/>
          <w:sz w:val="24"/>
          <w:szCs w:val="24"/>
        </w:rPr>
        <w:t xml:space="preserve">avansa izmaksāšanas nosacījumus – avansu izmaksā </w:t>
      </w:r>
      <w:r w:rsidR="00C77735" w:rsidRPr="003C1B12">
        <w:rPr>
          <w:rFonts w:ascii="Times New Roman" w:hAnsi="Times New Roman" w:cs="Times New Roman"/>
          <w:sz w:val="24"/>
          <w:szCs w:val="24"/>
        </w:rPr>
        <w:t>ja ir spēkā viens no šādiem nosacījumiem:</w:t>
      </w:r>
    </w:p>
    <w:p w:rsidR="00C77735" w:rsidRPr="003C1B12" w:rsidRDefault="00C77735" w:rsidP="00C77735">
      <w:pPr>
        <w:pStyle w:val="ListParagraph"/>
        <w:numPr>
          <w:ilvl w:val="1"/>
          <w:numId w:val="20"/>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finansējuma saņēmējs plāno to izmantot projekta personāla atlīdzības izdevumiem vai</w:t>
      </w:r>
    </w:p>
    <w:p w:rsidR="00F80F41" w:rsidRPr="003C1B12" w:rsidRDefault="00C77735" w:rsidP="00C77735">
      <w:pPr>
        <w:pStyle w:val="ListParagraph"/>
        <w:numPr>
          <w:ilvl w:val="1"/>
          <w:numId w:val="20"/>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projektā ir noslēgts pakalpojumu vai preču piegādes līgums.</w:t>
      </w:r>
    </w:p>
    <w:p w:rsidR="00F80F41" w:rsidRPr="003C1B12" w:rsidRDefault="003510AE">
      <w:pPr>
        <w:rPr>
          <w:rFonts w:ascii="Times New Roman" w:hAnsi="Times New Roman" w:cs="Times New Roman"/>
        </w:rPr>
      </w:pPr>
      <w:r w:rsidRPr="003C1B12">
        <w:rPr>
          <w:sz w:val="24"/>
          <w:szCs w:val="24"/>
          <w:lang w:val="en-GB"/>
        </w:rPr>
        <w:t xml:space="preserve"> </w:t>
      </w:r>
    </w:p>
    <w:p w:rsidR="000C4557" w:rsidRPr="003C1B12" w:rsidRDefault="000C4557" w:rsidP="000C4557">
      <w:pPr>
        <w:pStyle w:val="Heading1"/>
        <w:spacing w:before="0" w:line="240" w:lineRule="auto"/>
        <w:rPr>
          <w:rFonts w:ascii="Times New Roman" w:hAnsi="Times New Roman" w:cs="Times New Roman"/>
          <w:color w:val="31849B" w:themeColor="accent5" w:themeShade="BF"/>
        </w:rPr>
      </w:pPr>
      <w:bookmarkStart w:id="35" w:name="_Toc427646476"/>
      <w:bookmarkStart w:id="36" w:name="_Toc427646562"/>
      <w:r w:rsidRPr="003C1B12">
        <w:rPr>
          <w:rFonts w:ascii="Times New Roman" w:hAnsi="Times New Roman" w:cs="Times New Roman"/>
          <w:color w:val="31849B" w:themeColor="accent5" w:themeShade="BF"/>
        </w:rPr>
        <w:t xml:space="preserve">3. </w:t>
      </w:r>
      <w:r w:rsidR="007B5BD9" w:rsidRPr="003C1B12">
        <w:rPr>
          <w:rFonts w:ascii="Times New Roman" w:hAnsi="Times New Roman" w:cs="Times New Roman"/>
          <w:color w:val="31849B" w:themeColor="accent5" w:themeShade="BF"/>
        </w:rPr>
        <w:t>KC</w:t>
      </w:r>
      <w:r w:rsidR="003E49FD" w:rsidRPr="003C1B12">
        <w:rPr>
          <w:rFonts w:ascii="Times New Roman" w:hAnsi="Times New Roman" w:cs="Times New Roman"/>
          <w:color w:val="31849B" w:themeColor="accent5" w:themeShade="BF"/>
        </w:rPr>
        <w:t xml:space="preserve"> atbalsta programmas 2014.-2020.gadā </w:t>
      </w:r>
      <w:r w:rsidRPr="003C1B12">
        <w:rPr>
          <w:rFonts w:ascii="Times New Roman" w:hAnsi="Times New Roman" w:cs="Times New Roman"/>
          <w:color w:val="31849B" w:themeColor="accent5" w:themeShade="BF"/>
        </w:rPr>
        <w:t xml:space="preserve"> ieviešanas nosacījumi</w:t>
      </w:r>
      <w:bookmarkEnd w:id="35"/>
      <w:bookmarkEnd w:id="36"/>
    </w:p>
    <w:p w:rsidR="000C4557" w:rsidRPr="003C1B12" w:rsidRDefault="000C4557" w:rsidP="000C4557">
      <w:pPr>
        <w:spacing w:after="0" w:line="240" w:lineRule="auto"/>
        <w:ind w:firstLine="720"/>
        <w:jc w:val="both"/>
        <w:rPr>
          <w:rFonts w:ascii="Times New Roman" w:hAnsi="Times New Roman" w:cs="Times New Roman"/>
          <w:sz w:val="24"/>
        </w:rPr>
      </w:pPr>
    </w:p>
    <w:p w:rsidR="000C4557" w:rsidRPr="003C1B12" w:rsidRDefault="000C4557" w:rsidP="001B4264">
      <w:pPr>
        <w:spacing w:after="0" w:line="240" w:lineRule="auto"/>
        <w:ind w:firstLine="720"/>
        <w:jc w:val="both"/>
        <w:rPr>
          <w:rFonts w:ascii="Times New Roman" w:hAnsi="Times New Roman" w:cs="Times New Roman"/>
          <w:sz w:val="24"/>
          <w:szCs w:val="24"/>
        </w:rPr>
      </w:pPr>
      <w:r w:rsidRPr="003C1B12">
        <w:rPr>
          <w:rFonts w:ascii="Times New Roman" w:hAnsi="Times New Roman" w:cs="Times New Roman"/>
          <w:sz w:val="24"/>
          <w:szCs w:val="24"/>
        </w:rPr>
        <w:t>Lai sekmētu Na</w:t>
      </w:r>
      <w:r w:rsidR="00323DBF" w:rsidRPr="003C1B12">
        <w:rPr>
          <w:rFonts w:ascii="Times New Roman" w:hAnsi="Times New Roman" w:cs="Times New Roman"/>
          <w:sz w:val="24"/>
          <w:szCs w:val="24"/>
        </w:rPr>
        <w:t>cionālā attīstības plānā 2014.-</w:t>
      </w:r>
      <w:r w:rsidRPr="003C1B12">
        <w:rPr>
          <w:rFonts w:ascii="Times New Roman" w:hAnsi="Times New Roman" w:cs="Times New Roman"/>
          <w:sz w:val="24"/>
          <w:szCs w:val="24"/>
        </w:rPr>
        <w:t>2020.gadam, Nacionālās industriālās politikas pamatnostādnēs 2014.-2020.gadam un Zinātnes, tehnoloģiju attīstības un inovācijas pamatnostādnēs 2014.-2020.gadam noteikt</w:t>
      </w:r>
      <w:r w:rsidR="001B4264" w:rsidRPr="003C1B12">
        <w:rPr>
          <w:rFonts w:ascii="Times New Roman" w:hAnsi="Times New Roman" w:cs="Times New Roman"/>
          <w:sz w:val="24"/>
          <w:szCs w:val="24"/>
        </w:rPr>
        <w:t>ā</w:t>
      </w:r>
      <w:r w:rsidRPr="003C1B12">
        <w:rPr>
          <w:rFonts w:ascii="Times New Roman" w:hAnsi="Times New Roman" w:cs="Times New Roman"/>
          <w:sz w:val="24"/>
          <w:szCs w:val="24"/>
        </w:rPr>
        <w:t xml:space="preserve"> mērķ</w:t>
      </w:r>
      <w:r w:rsidR="001B4264" w:rsidRPr="003C1B12">
        <w:rPr>
          <w:rFonts w:ascii="Times New Roman" w:hAnsi="Times New Roman" w:cs="Times New Roman"/>
          <w:sz w:val="24"/>
          <w:szCs w:val="24"/>
        </w:rPr>
        <w:t>a</w:t>
      </w:r>
      <w:r w:rsidRPr="003C1B12">
        <w:rPr>
          <w:rFonts w:ascii="Times New Roman" w:hAnsi="Times New Roman" w:cs="Times New Roman"/>
          <w:sz w:val="24"/>
          <w:szCs w:val="24"/>
        </w:rPr>
        <w:t xml:space="preserve"> </w:t>
      </w:r>
      <w:r w:rsidR="001B4264" w:rsidRPr="003C1B12">
        <w:rPr>
          <w:rFonts w:ascii="Times New Roman" w:hAnsi="Times New Roman" w:cs="Times New Roman"/>
          <w:sz w:val="24"/>
          <w:szCs w:val="24"/>
        </w:rPr>
        <w:t xml:space="preserve">par komersantu pētniecības un inovācijas kapacitātes paaugstināšanu sasniegšanai </w:t>
      </w:r>
      <w:r w:rsidRPr="003C1B12">
        <w:rPr>
          <w:rFonts w:ascii="Times New Roman" w:hAnsi="Times New Roman" w:cs="Times New Roman"/>
          <w:sz w:val="24"/>
          <w:szCs w:val="24"/>
        </w:rPr>
        <w:t xml:space="preserve">2014.-2020.gada </w:t>
      </w:r>
      <w:r w:rsidR="00323DBF" w:rsidRPr="003C1B12">
        <w:rPr>
          <w:rFonts w:ascii="Times New Roman" w:hAnsi="Times New Roman" w:cs="Times New Roman"/>
          <w:sz w:val="24"/>
          <w:szCs w:val="24"/>
        </w:rPr>
        <w:t>ES</w:t>
      </w:r>
      <w:r w:rsidRPr="003C1B12">
        <w:rPr>
          <w:rFonts w:ascii="Times New Roman" w:hAnsi="Times New Roman" w:cs="Times New Roman"/>
          <w:sz w:val="24"/>
          <w:szCs w:val="24"/>
        </w:rPr>
        <w:t xml:space="preserve"> fondu plānošanas periodā, tiek paredzēti ieguldījumi EM pārziņā esošā Darbības programmas “Izaugsme un nodarbinātība” 1.2.</w:t>
      </w:r>
      <w:r w:rsidR="001B4264" w:rsidRPr="003C1B12">
        <w:rPr>
          <w:rFonts w:ascii="Times New Roman" w:hAnsi="Times New Roman" w:cs="Times New Roman"/>
          <w:sz w:val="24"/>
          <w:szCs w:val="24"/>
        </w:rPr>
        <w:t>1</w:t>
      </w:r>
      <w:r w:rsidRPr="003C1B12">
        <w:rPr>
          <w:rFonts w:ascii="Times New Roman" w:hAnsi="Times New Roman" w:cs="Times New Roman"/>
          <w:sz w:val="24"/>
          <w:szCs w:val="24"/>
        </w:rPr>
        <w:t xml:space="preserve">.specifiskā atbalsta mērķa „Veicināt </w:t>
      </w:r>
      <w:r w:rsidR="001B4264" w:rsidRPr="003C1B12">
        <w:rPr>
          <w:rFonts w:ascii="Times New Roman" w:hAnsi="Times New Roman" w:cs="Times New Roman"/>
          <w:sz w:val="24"/>
          <w:szCs w:val="24"/>
        </w:rPr>
        <w:t>privātā sektora investīcijas P&amp;A</w:t>
      </w:r>
      <w:r w:rsidRPr="003C1B12">
        <w:rPr>
          <w:rFonts w:ascii="Times New Roman" w:hAnsi="Times New Roman" w:cs="Times New Roman"/>
          <w:sz w:val="24"/>
          <w:szCs w:val="24"/>
        </w:rPr>
        <w:t>” (turpmāk – 1.2.</w:t>
      </w:r>
      <w:r w:rsidR="001B4264" w:rsidRPr="003C1B12">
        <w:rPr>
          <w:rFonts w:ascii="Times New Roman" w:hAnsi="Times New Roman" w:cs="Times New Roman"/>
          <w:sz w:val="24"/>
          <w:szCs w:val="24"/>
        </w:rPr>
        <w:t>1</w:t>
      </w:r>
      <w:r w:rsidRPr="003C1B12">
        <w:rPr>
          <w:rFonts w:ascii="Times New Roman" w:hAnsi="Times New Roman" w:cs="Times New Roman"/>
          <w:sz w:val="24"/>
          <w:szCs w:val="24"/>
        </w:rPr>
        <w:t>. SAM) sekojoš</w:t>
      </w:r>
      <w:r w:rsidR="001B4264" w:rsidRPr="003C1B12">
        <w:rPr>
          <w:rFonts w:ascii="Times New Roman" w:hAnsi="Times New Roman" w:cs="Times New Roman"/>
          <w:sz w:val="24"/>
          <w:szCs w:val="24"/>
        </w:rPr>
        <w:t>o</w:t>
      </w:r>
      <w:r w:rsidRPr="003C1B12">
        <w:rPr>
          <w:rFonts w:ascii="Times New Roman" w:hAnsi="Times New Roman" w:cs="Times New Roman"/>
          <w:sz w:val="24"/>
          <w:szCs w:val="24"/>
        </w:rPr>
        <w:t>s pasākum</w:t>
      </w:r>
      <w:r w:rsidR="001B4264" w:rsidRPr="003C1B12">
        <w:rPr>
          <w:rFonts w:ascii="Times New Roman" w:hAnsi="Times New Roman" w:cs="Times New Roman"/>
          <w:sz w:val="24"/>
          <w:szCs w:val="24"/>
        </w:rPr>
        <w:t>o</w:t>
      </w:r>
      <w:r w:rsidRPr="003C1B12">
        <w:rPr>
          <w:rFonts w:ascii="Times New Roman" w:hAnsi="Times New Roman" w:cs="Times New Roman"/>
          <w:sz w:val="24"/>
          <w:szCs w:val="24"/>
        </w:rPr>
        <w:t>s:</w:t>
      </w:r>
    </w:p>
    <w:p w:rsidR="001B4264" w:rsidRPr="003C1B12" w:rsidRDefault="00323DBF" w:rsidP="009D209C">
      <w:pPr>
        <w:pStyle w:val="ListParagraph"/>
        <w:numPr>
          <w:ilvl w:val="0"/>
          <w:numId w:val="2"/>
        </w:numPr>
        <w:spacing w:after="0" w:line="240" w:lineRule="auto"/>
        <w:jc w:val="both"/>
        <w:rPr>
          <w:rFonts w:ascii="Times New Roman" w:hAnsi="Times New Roman" w:cs="Times New Roman"/>
          <w:bCs/>
          <w:sz w:val="24"/>
          <w:szCs w:val="24"/>
        </w:rPr>
      </w:pPr>
      <w:r w:rsidRPr="003C1B12">
        <w:rPr>
          <w:rFonts w:ascii="Times New Roman" w:hAnsi="Times New Roman" w:cs="Times New Roman"/>
          <w:sz w:val="24"/>
          <w:szCs w:val="24"/>
        </w:rPr>
        <w:t xml:space="preserve">1.2.1.1. </w:t>
      </w:r>
      <w:r w:rsidR="001B4264" w:rsidRPr="003C1B12">
        <w:rPr>
          <w:rFonts w:ascii="Times New Roman" w:hAnsi="Times New Roman" w:cs="Times New Roman"/>
          <w:sz w:val="24"/>
          <w:szCs w:val="24"/>
        </w:rPr>
        <w:t xml:space="preserve">Atbalsts jaunu produktu un tehnoloģiju izstrādei </w:t>
      </w:r>
      <w:r w:rsidR="007B5BD9" w:rsidRPr="003C1B12">
        <w:rPr>
          <w:rFonts w:ascii="Times New Roman" w:hAnsi="Times New Roman" w:cs="Times New Roman"/>
          <w:sz w:val="24"/>
          <w:szCs w:val="24"/>
        </w:rPr>
        <w:t>KC</w:t>
      </w:r>
      <w:r w:rsidR="001B4264" w:rsidRPr="003C1B12">
        <w:rPr>
          <w:rFonts w:ascii="Times New Roman" w:hAnsi="Times New Roman" w:cs="Times New Roman"/>
          <w:sz w:val="24"/>
          <w:szCs w:val="24"/>
        </w:rPr>
        <w:t xml:space="preserve"> ietvaros;</w:t>
      </w:r>
    </w:p>
    <w:p w:rsidR="000C4557" w:rsidRPr="003C1B12" w:rsidRDefault="001B4264" w:rsidP="009D209C">
      <w:pPr>
        <w:pStyle w:val="ListParagraph"/>
        <w:numPr>
          <w:ilvl w:val="0"/>
          <w:numId w:val="2"/>
        </w:numPr>
        <w:spacing w:after="0" w:line="240" w:lineRule="auto"/>
        <w:jc w:val="both"/>
        <w:rPr>
          <w:rFonts w:ascii="Times New Roman" w:hAnsi="Times New Roman" w:cs="Times New Roman"/>
          <w:bCs/>
          <w:sz w:val="24"/>
          <w:szCs w:val="24"/>
        </w:rPr>
      </w:pPr>
      <w:r w:rsidRPr="003C1B12">
        <w:rPr>
          <w:rFonts w:ascii="Times New Roman" w:eastAsia="Times New Roman" w:hAnsi="Times New Roman" w:cs="Times New Roman"/>
          <w:sz w:val="24"/>
          <w:szCs w:val="24"/>
        </w:rPr>
        <w:t>1.2.1.2. Atbalsts tehnoloģiju pārneses sistēmas pilnveidošanai;</w:t>
      </w:r>
    </w:p>
    <w:p w:rsidR="001B4264" w:rsidRPr="003C1B12" w:rsidRDefault="001B4264" w:rsidP="009D209C">
      <w:pPr>
        <w:pStyle w:val="ListParagraph"/>
        <w:numPr>
          <w:ilvl w:val="0"/>
          <w:numId w:val="2"/>
        </w:numPr>
        <w:spacing w:after="0" w:line="240" w:lineRule="auto"/>
        <w:jc w:val="both"/>
        <w:rPr>
          <w:rFonts w:ascii="Times New Roman" w:hAnsi="Times New Roman" w:cs="Times New Roman"/>
          <w:bCs/>
          <w:sz w:val="24"/>
          <w:szCs w:val="24"/>
        </w:rPr>
      </w:pPr>
      <w:r w:rsidRPr="003C1B12">
        <w:rPr>
          <w:rFonts w:ascii="Times New Roman" w:hAnsi="Times New Roman" w:cs="Times New Roman"/>
          <w:bCs/>
          <w:sz w:val="24"/>
          <w:szCs w:val="24"/>
        </w:rPr>
        <w:t>1.2.1.3. Inovācijas vaučeri MVK;</w:t>
      </w:r>
    </w:p>
    <w:p w:rsidR="001B4264" w:rsidRPr="003C1B12" w:rsidRDefault="001B4264" w:rsidP="009D209C">
      <w:pPr>
        <w:pStyle w:val="ListParagraph"/>
        <w:numPr>
          <w:ilvl w:val="0"/>
          <w:numId w:val="2"/>
        </w:numPr>
        <w:spacing w:after="0" w:line="240" w:lineRule="auto"/>
        <w:jc w:val="both"/>
        <w:rPr>
          <w:rFonts w:ascii="Times New Roman" w:hAnsi="Times New Roman" w:cs="Times New Roman"/>
          <w:bCs/>
          <w:sz w:val="24"/>
          <w:szCs w:val="24"/>
        </w:rPr>
      </w:pPr>
      <w:r w:rsidRPr="003C1B12">
        <w:rPr>
          <w:rFonts w:ascii="Times New Roman" w:eastAsia="Times New Roman" w:hAnsi="Times New Roman" w:cs="Times New Roman"/>
          <w:sz w:val="24"/>
          <w:szCs w:val="24"/>
        </w:rPr>
        <w:t>1.2.1.4 Atbalsts jaunu produktu ieviešanai ražošanā.</w:t>
      </w:r>
    </w:p>
    <w:p w:rsidR="00323DBF" w:rsidRPr="003C1B12" w:rsidRDefault="00323DBF" w:rsidP="007A4CD3">
      <w:pPr>
        <w:spacing w:after="0" w:line="240" w:lineRule="auto"/>
        <w:ind w:firstLine="709"/>
        <w:jc w:val="both"/>
        <w:rPr>
          <w:rFonts w:ascii="Times New Roman" w:hAnsi="Times New Roman" w:cs="Times New Roman"/>
          <w:sz w:val="24"/>
          <w:szCs w:val="24"/>
        </w:rPr>
      </w:pPr>
    </w:p>
    <w:p w:rsidR="00323DBF" w:rsidRPr="003C1B12" w:rsidRDefault="000C4557" w:rsidP="007A4CD3">
      <w:pPr>
        <w:spacing w:after="0" w:line="240" w:lineRule="auto"/>
        <w:ind w:firstLine="709"/>
        <w:jc w:val="both"/>
        <w:rPr>
          <w:rFonts w:ascii="Times New Roman" w:hAnsi="Times New Roman" w:cs="Times New Roman"/>
          <w:sz w:val="24"/>
          <w:szCs w:val="24"/>
        </w:rPr>
      </w:pPr>
      <w:r w:rsidRPr="003C1B12">
        <w:rPr>
          <w:rFonts w:ascii="Times New Roman" w:hAnsi="Times New Roman" w:cs="Times New Roman"/>
          <w:sz w:val="24"/>
          <w:szCs w:val="24"/>
        </w:rPr>
        <w:t>1.2.</w:t>
      </w:r>
      <w:r w:rsidR="0064114E" w:rsidRPr="003C1B12">
        <w:rPr>
          <w:rFonts w:ascii="Times New Roman" w:hAnsi="Times New Roman" w:cs="Times New Roman"/>
          <w:sz w:val="24"/>
          <w:szCs w:val="24"/>
        </w:rPr>
        <w:t>1</w:t>
      </w:r>
      <w:r w:rsidR="00323DBF" w:rsidRPr="003C1B12">
        <w:rPr>
          <w:rFonts w:ascii="Times New Roman" w:hAnsi="Times New Roman" w:cs="Times New Roman"/>
          <w:sz w:val="24"/>
          <w:szCs w:val="24"/>
        </w:rPr>
        <w:t>.1.</w:t>
      </w:r>
      <w:r w:rsidRPr="003C1B12">
        <w:rPr>
          <w:rFonts w:ascii="Times New Roman" w:hAnsi="Times New Roman" w:cs="Times New Roman"/>
          <w:sz w:val="24"/>
          <w:szCs w:val="24"/>
        </w:rPr>
        <w:t>pasākuma „</w:t>
      </w:r>
      <w:r w:rsidR="001B4264" w:rsidRPr="003C1B12">
        <w:rPr>
          <w:rFonts w:ascii="Times New Roman" w:hAnsi="Times New Roman" w:cs="Times New Roman"/>
          <w:sz w:val="24"/>
          <w:szCs w:val="24"/>
        </w:rPr>
        <w:t xml:space="preserve">Atbalsts jaunu produktu un tehnoloģiju izstrādei </w:t>
      </w:r>
      <w:r w:rsidR="007B5BD9" w:rsidRPr="003C1B12">
        <w:rPr>
          <w:rFonts w:ascii="Times New Roman" w:hAnsi="Times New Roman" w:cs="Times New Roman"/>
          <w:sz w:val="24"/>
          <w:szCs w:val="24"/>
        </w:rPr>
        <w:t>KC</w:t>
      </w:r>
      <w:r w:rsidR="001B4264" w:rsidRPr="003C1B12">
        <w:rPr>
          <w:rFonts w:ascii="Times New Roman" w:hAnsi="Times New Roman" w:cs="Times New Roman"/>
          <w:sz w:val="24"/>
          <w:szCs w:val="24"/>
        </w:rPr>
        <w:t xml:space="preserve"> ietvaros</w:t>
      </w:r>
      <w:r w:rsidRPr="003C1B12">
        <w:rPr>
          <w:rFonts w:ascii="Times New Roman" w:hAnsi="Times New Roman" w:cs="Times New Roman"/>
          <w:sz w:val="24"/>
          <w:szCs w:val="24"/>
        </w:rPr>
        <w:t xml:space="preserve">” mērķis ir </w:t>
      </w:r>
      <w:r w:rsidR="009C7194" w:rsidRPr="003C1B12">
        <w:rPr>
          <w:rFonts w:ascii="Times New Roman" w:hAnsi="Times New Roman" w:cs="Times New Roman"/>
          <w:sz w:val="24"/>
          <w:szCs w:val="24"/>
        </w:rPr>
        <w:t>Komersantu konkurētspējas paaugstināšana, veicinot pētniecības un rūpniecības sektoru sadarbību jaunu produktu un tehnoloģiju attīstības un ieviešanas ražošanā projektu īstenošanā.</w:t>
      </w:r>
      <w:r w:rsidR="001B4264" w:rsidRPr="003C1B12">
        <w:rPr>
          <w:rFonts w:ascii="Times New Roman" w:hAnsi="Times New Roman" w:cs="Times New Roman"/>
          <w:sz w:val="24"/>
          <w:szCs w:val="24"/>
        </w:rPr>
        <w:t xml:space="preserve"> </w:t>
      </w:r>
      <w:r w:rsidR="00F16BB4" w:rsidRPr="003C1B12">
        <w:rPr>
          <w:rFonts w:ascii="Times New Roman" w:hAnsi="Times New Roman" w:cs="Times New Roman"/>
          <w:bCs/>
          <w:sz w:val="24"/>
          <w:szCs w:val="24"/>
        </w:rPr>
        <w:t xml:space="preserve">Kopējais plānotais atbalsta apjoms ir </w:t>
      </w:r>
      <w:r w:rsidR="00F16BB4" w:rsidRPr="003C1B12">
        <w:rPr>
          <w:rFonts w:ascii="Times New Roman" w:hAnsi="Times New Roman" w:cs="Times New Roman"/>
          <w:sz w:val="24"/>
          <w:szCs w:val="24"/>
        </w:rPr>
        <w:t xml:space="preserve">72,3 milj. </w:t>
      </w:r>
      <w:r w:rsidR="003266A5" w:rsidRPr="003C1B12">
        <w:rPr>
          <w:rFonts w:ascii="Times New Roman" w:hAnsi="Times New Roman" w:cs="Times New Roman"/>
          <w:i/>
          <w:sz w:val="24"/>
          <w:szCs w:val="24"/>
        </w:rPr>
        <w:t>euro</w:t>
      </w:r>
      <w:r w:rsidR="00F16BB4" w:rsidRPr="003C1B12">
        <w:rPr>
          <w:rFonts w:ascii="Times New Roman" w:hAnsi="Times New Roman" w:cs="Times New Roman"/>
          <w:sz w:val="24"/>
          <w:szCs w:val="24"/>
        </w:rPr>
        <w:t xml:space="preserve">, kuru tiek piedāvāts </w:t>
      </w:r>
      <w:r w:rsidR="00323DBF" w:rsidRPr="003C1B12">
        <w:rPr>
          <w:rFonts w:ascii="Times New Roman" w:hAnsi="Times New Roman" w:cs="Times New Roman"/>
          <w:sz w:val="24"/>
          <w:szCs w:val="24"/>
        </w:rPr>
        <w:t>sadalīt vairākās atlases kārtās (sk. tabulu Nr.</w:t>
      </w:r>
      <w:r w:rsidR="00205A56" w:rsidRPr="003C1B12">
        <w:rPr>
          <w:rFonts w:ascii="Times New Roman" w:hAnsi="Times New Roman" w:cs="Times New Roman"/>
          <w:sz w:val="24"/>
          <w:szCs w:val="24"/>
        </w:rPr>
        <w:t>8</w:t>
      </w:r>
      <w:r w:rsidR="00323DBF" w:rsidRPr="003C1B12">
        <w:rPr>
          <w:rFonts w:ascii="Times New Roman" w:hAnsi="Times New Roman" w:cs="Times New Roman"/>
          <w:sz w:val="24"/>
          <w:szCs w:val="24"/>
        </w:rPr>
        <w:t>).</w:t>
      </w:r>
    </w:p>
    <w:p w:rsidR="00323DBF" w:rsidRPr="003C1B12" w:rsidRDefault="00323DBF" w:rsidP="00323DBF">
      <w:pPr>
        <w:spacing w:after="0" w:line="240" w:lineRule="auto"/>
        <w:ind w:firstLine="709"/>
        <w:jc w:val="right"/>
        <w:rPr>
          <w:rFonts w:ascii="Times New Roman" w:hAnsi="Times New Roman" w:cs="Times New Roman"/>
          <w:sz w:val="24"/>
          <w:szCs w:val="24"/>
        </w:rPr>
      </w:pPr>
      <w:r w:rsidRPr="003C1B12">
        <w:rPr>
          <w:rFonts w:ascii="Times New Roman" w:hAnsi="Times New Roman" w:cs="Times New Roman"/>
          <w:sz w:val="24"/>
          <w:szCs w:val="24"/>
        </w:rPr>
        <w:t>Tabula Nr.</w:t>
      </w:r>
      <w:r w:rsidR="00205A56" w:rsidRPr="003C1B12">
        <w:rPr>
          <w:rFonts w:ascii="Times New Roman" w:hAnsi="Times New Roman" w:cs="Times New Roman"/>
          <w:sz w:val="24"/>
          <w:szCs w:val="24"/>
        </w:rPr>
        <w:t>8</w:t>
      </w:r>
    </w:p>
    <w:p w:rsidR="00323DBF" w:rsidRPr="003C1B12" w:rsidRDefault="007B5BD9" w:rsidP="009400A5">
      <w:pPr>
        <w:spacing w:after="120" w:line="240" w:lineRule="auto"/>
        <w:jc w:val="center"/>
        <w:rPr>
          <w:rFonts w:ascii="Times New Roman" w:hAnsi="Times New Roman" w:cs="Times New Roman"/>
          <w:sz w:val="24"/>
          <w:szCs w:val="24"/>
        </w:rPr>
      </w:pPr>
      <w:r w:rsidRPr="003C1B12">
        <w:rPr>
          <w:rFonts w:ascii="Times New Roman" w:hAnsi="Times New Roman" w:cs="Times New Roman"/>
          <w:sz w:val="24"/>
          <w:szCs w:val="24"/>
        </w:rPr>
        <w:t>KC</w:t>
      </w:r>
      <w:r w:rsidR="00061C04" w:rsidRPr="003C1B12">
        <w:rPr>
          <w:rFonts w:ascii="Times New Roman" w:hAnsi="Times New Roman" w:cs="Times New Roman"/>
          <w:sz w:val="24"/>
          <w:szCs w:val="24"/>
        </w:rPr>
        <w:t xml:space="preserve"> programmas kārtu sadalījums</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995"/>
        <w:gridCol w:w="1984"/>
        <w:gridCol w:w="3506"/>
        <w:gridCol w:w="2873"/>
      </w:tblGrid>
      <w:tr w:rsidR="00F16BB4" w:rsidRPr="003C1B12" w:rsidTr="007A4CD3">
        <w:trPr>
          <w:trHeight w:val="240"/>
        </w:trPr>
        <w:tc>
          <w:tcPr>
            <w:tcW w:w="995" w:type="dxa"/>
            <w:shd w:val="clear" w:color="auto" w:fill="FFFFFF" w:themeFill="background1"/>
            <w:tcMar>
              <w:top w:w="72" w:type="dxa"/>
              <w:left w:w="144" w:type="dxa"/>
              <w:bottom w:w="72" w:type="dxa"/>
              <w:right w:w="144" w:type="dxa"/>
            </w:tcMar>
            <w:hideMark/>
          </w:tcPr>
          <w:p w:rsidR="00F16BB4" w:rsidRPr="003C1B12" w:rsidRDefault="00F16BB4" w:rsidP="00323DBF">
            <w:pPr>
              <w:spacing w:after="0" w:line="240" w:lineRule="auto"/>
              <w:jc w:val="center"/>
              <w:rPr>
                <w:rFonts w:ascii="Times New Roman" w:eastAsia="Times New Roman" w:hAnsi="Times New Roman" w:cs="Times New Roman"/>
                <w:b/>
                <w:color w:val="000000" w:themeColor="text1"/>
                <w:szCs w:val="20"/>
                <w:lang w:eastAsia="lv-LV"/>
              </w:rPr>
            </w:pPr>
          </w:p>
        </w:tc>
        <w:tc>
          <w:tcPr>
            <w:tcW w:w="1984" w:type="dxa"/>
            <w:shd w:val="clear" w:color="auto" w:fill="FFFFFF" w:themeFill="background1"/>
            <w:tcMar>
              <w:top w:w="72" w:type="dxa"/>
              <w:left w:w="144" w:type="dxa"/>
              <w:bottom w:w="72" w:type="dxa"/>
              <w:right w:w="144" w:type="dxa"/>
            </w:tcMar>
            <w:hideMark/>
          </w:tcPr>
          <w:p w:rsidR="00F16BB4" w:rsidRPr="003C1B12" w:rsidRDefault="00F16BB4" w:rsidP="00323DBF">
            <w:pPr>
              <w:spacing w:after="0" w:line="240" w:lineRule="auto"/>
              <w:jc w:val="center"/>
              <w:rPr>
                <w:rFonts w:ascii="Times New Roman" w:eastAsia="Times New Roman" w:hAnsi="Times New Roman" w:cs="Times New Roman"/>
                <w:b/>
                <w:color w:val="000000" w:themeColor="text1"/>
                <w:szCs w:val="20"/>
                <w:lang w:eastAsia="lv-LV"/>
              </w:rPr>
            </w:pPr>
            <w:r w:rsidRPr="003C1B12">
              <w:rPr>
                <w:rFonts w:ascii="Times New Roman" w:eastAsia="Times New Roman" w:hAnsi="Times New Roman" w:cs="Times New Roman"/>
                <w:b/>
                <w:bCs/>
                <w:color w:val="000000" w:themeColor="text1"/>
                <w:kern w:val="24"/>
                <w:szCs w:val="20"/>
                <w:lang w:eastAsia="lv-LV"/>
              </w:rPr>
              <w:t>Finansējums</w:t>
            </w:r>
          </w:p>
        </w:tc>
        <w:tc>
          <w:tcPr>
            <w:tcW w:w="3506" w:type="dxa"/>
            <w:shd w:val="clear" w:color="auto" w:fill="FFFFFF" w:themeFill="background1"/>
            <w:tcMar>
              <w:top w:w="72" w:type="dxa"/>
              <w:left w:w="144" w:type="dxa"/>
              <w:bottom w:w="72" w:type="dxa"/>
              <w:right w:w="144" w:type="dxa"/>
            </w:tcMar>
            <w:hideMark/>
          </w:tcPr>
          <w:p w:rsidR="00F16BB4" w:rsidRPr="003C1B12" w:rsidRDefault="00F16BB4" w:rsidP="00323DBF">
            <w:pPr>
              <w:spacing w:after="0" w:line="240" w:lineRule="auto"/>
              <w:jc w:val="center"/>
              <w:rPr>
                <w:rFonts w:ascii="Times New Roman" w:eastAsia="Times New Roman" w:hAnsi="Times New Roman" w:cs="Times New Roman"/>
                <w:b/>
                <w:color w:val="000000" w:themeColor="text1"/>
                <w:szCs w:val="20"/>
                <w:lang w:eastAsia="lv-LV"/>
              </w:rPr>
            </w:pPr>
            <w:r w:rsidRPr="003C1B12">
              <w:rPr>
                <w:rFonts w:ascii="Times New Roman" w:eastAsia="Times New Roman" w:hAnsi="Times New Roman" w:cs="Times New Roman"/>
                <w:b/>
                <w:bCs/>
                <w:color w:val="000000" w:themeColor="text1"/>
                <w:kern w:val="24"/>
                <w:szCs w:val="20"/>
                <w:lang w:eastAsia="lv-LV"/>
              </w:rPr>
              <w:t>Atbalsts</w:t>
            </w:r>
          </w:p>
        </w:tc>
        <w:tc>
          <w:tcPr>
            <w:tcW w:w="2873" w:type="dxa"/>
            <w:shd w:val="clear" w:color="auto" w:fill="FFFFFF" w:themeFill="background1"/>
            <w:tcMar>
              <w:top w:w="72" w:type="dxa"/>
              <w:left w:w="144" w:type="dxa"/>
              <w:bottom w:w="72" w:type="dxa"/>
              <w:right w:w="144" w:type="dxa"/>
            </w:tcMar>
            <w:hideMark/>
          </w:tcPr>
          <w:p w:rsidR="00F16BB4" w:rsidRPr="003C1B12" w:rsidRDefault="007A4CD3" w:rsidP="00323DBF">
            <w:pPr>
              <w:spacing w:after="0" w:line="240" w:lineRule="auto"/>
              <w:jc w:val="center"/>
              <w:rPr>
                <w:rFonts w:ascii="Times New Roman" w:eastAsia="Times New Roman" w:hAnsi="Times New Roman" w:cs="Times New Roman"/>
                <w:b/>
                <w:color w:val="000000" w:themeColor="text1"/>
                <w:szCs w:val="20"/>
                <w:lang w:eastAsia="lv-LV"/>
              </w:rPr>
            </w:pPr>
            <w:r w:rsidRPr="003C1B12">
              <w:rPr>
                <w:rFonts w:ascii="Times New Roman" w:eastAsia="Times New Roman" w:hAnsi="Times New Roman" w:cs="Times New Roman"/>
                <w:b/>
                <w:bCs/>
                <w:color w:val="000000" w:themeColor="text1"/>
                <w:kern w:val="24"/>
                <w:szCs w:val="20"/>
                <w:lang w:eastAsia="lv-LV"/>
              </w:rPr>
              <w:t>Indikatīvais ī</w:t>
            </w:r>
            <w:r w:rsidR="00F16BB4" w:rsidRPr="003C1B12">
              <w:rPr>
                <w:rFonts w:ascii="Times New Roman" w:eastAsia="Times New Roman" w:hAnsi="Times New Roman" w:cs="Times New Roman"/>
                <w:b/>
                <w:bCs/>
                <w:color w:val="000000" w:themeColor="text1"/>
                <w:kern w:val="24"/>
                <w:szCs w:val="20"/>
                <w:lang w:eastAsia="lv-LV"/>
              </w:rPr>
              <w:t>stenošanas periods</w:t>
            </w:r>
          </w:p>
        </w:tc>
      </w:tr>
      <w:tr w:rsidR="00635048" w:rsidRPr="003C1B12" w:rsidTr="007A4CD3">
        <w:trPr>
          <w:trHeight w:val="545"/>
        </w:trPr>
        <w:tc>
          <w:tcPr>
            <w:tcW w:w="995" w:type="dxa"/>
            <w:shd w:val="clear" w:color="auto" w:fill="FFFFFF" w:themeFill="background1"/>
            <w:tcMar>
              <w:top w:w="72" w:type="dxa"/>
              <w:left w:w="144" w:type="dxa"/>
              <w:bottom w:w="72" w:type="dxa"/>
              <w:right w:w="144" w:type="dxa"/>
            </w:tcMar>
          </w:tcPr>
          <w:p w:rsidR="00635048" w:rsidRPr="003C1B12" w:rsidRDefault="00635048" w:rsidP="007A4CD3">
            <w:pPr>
              <w:spacing w:after="0" w:line="240" w:lineRule="auto"/>
              <w:rPr>
                <w:rFonts w:ascii="Times New Roman" w:eastAsia="Times New Roman" w:hAnsi="Times New Roman" w:cs="Times New Roman"/>
                <w:color w:val="000000" w:themeColor="dark1"/>
                <w:kern w:val="24"/>
                <w:szCs w:val="20"/>
                <w:lang w:eastAsia="lv-LV"/>
              </w:rPr>
            </w:pPr>
            <w:r w:rsidRPr="003C1B12">
              <w:rPr>
                <w:rFonts w:ascii="Times New Roman" w:eastAsia="Times New Roman" w:hAnsi="Times New Roman" w:cs="Times New Roman"/>
                <w:color w:val="000000" w:themeColor="dark1"/>
                <w:kern w:val="24"/>
                <w:szCs w:val="20"/>
                <w:lang w:eastAsia="lv-LV"/>
              </w:rPr>
              <w:t>1.kārta</w:t>
            </w:r>
          </w:p>
        </w:tc>
        <w:tc>
          <w:tcPr>
            <w:tcW w:w="1984" w:type="dxa"/>
            <w:shd w:val="clear" w:color="auto" w:fill="FFFFFF" w:themeFill="background1"/>
            <w:tcMar>
              <w:top w:w="72" w:type="dxa"/>
              <w:left w:w="144" w:type="dxa"/>
              <w:bottom w:w="72" w:type="dxa"/>
              <w:right w:w="144" w:type="dxa"/>
            </w:tcMar>
          </w:tcPr>
          <w:p w:rsidR="00635048" w:rsidRPr="003C1B12" w:rsidRDefault="00635048" w:rsidP="007A4CD3">
            <w:pPr>
              <w:spacing w:after="0" w:line="240" w:lineRule="auto"/>
              <w:rPr>
                <w:rFonts w:ascii="Times New Roman" w:eastAsia="Times New Roman" w:hAnsi="Times New Roman" w:cs="Times New Roman"/>
                <w:color w:val="000000" w:themeColor="dark1"/>
                <w:kern w:val="24"/>
                <w:szCs w:val="20"/>
                <w:lang w:eastAsia="lv-LV"/>
              </w:rPr>
            </w:pPr>
            <w:r w:rsidRPr="003C1B12">
              <w:rPr>
                <w:rFonts w:ascii="Times New Roman" w:eastAsia="Times New Roman" w:hAnsi="Times New Roman" w:cs="Times New Roman"/>
                <w:color w:val="000000" w:themeColor="dark1"/>
                <w:kern w:val="24"/>
                <w:szCs w:val="20"/>
                <w:lang w:eastAsia="lv-LV"/>
              </w:rPr>
              <w:t>1 milj. EUR</w:t>
            </w:r>
          </w:p>
        </w:tc>
        <w:tc>
          <w:tcPr>
            <w:tcW w:w="3506" w:type="dxa"/>
            <w:shd w:val="clear" w:color="auto" w:fill="FFFFFF" w:themeFill="background1"/>
            <w:tcMar>
              <w:top w:w="72" w:type="dxa"/>
              <w:left w:w="144" w:type="dxa"/>
              <w:bottom w:w="72" w:type="dxa"/>
              <w:right w:w="144" w:type="dxa"/>
            </w:tcMar>
          </w:tcPr>
          <w:p w:rsidR="00635048" w:rsidRPr="003C1B12" w:rsidRDefault="00635048" w:rsidP="007A4CD3">
            <w:pPr>
              <w:spacing w:after="0" w:line="240" w:lineRule="auto"/>
              <w:rPr>
                <w:rFonts w:ascii="Times New Roman" w:eastAsia="Times New Roman" w:hAnsi="Times New Roman" w:cs="Times New Roman"/>
                <w:color w:val="000000" w:themeColor="dark1"/>
                <w:kern w:val="24"/>
                <w:szCs w:val="20"/>
                <w:lang w:eastAsia="lv-LV"/>
              </w:rPr>
            </w:pPr>
            <w:r w:rsidRPr="003C1B12">
              <w:rPr>
                <w:rFonts w:ascii="Times New Roman" w:eastAsia="Times New Roman" w:hAnsi="Times New Roman" w:cs="Times New Roman"/>
                <w:color w:val="000000" w:themeColor="dark1"/>
                <w:kern w:val="24"/>
                <w:szCs w:val="20"/>
                <w:lang w:eastAsia="lv-LV"/>
              </w:rPr>
              <w:t>Pārvaldības projekts</w:t>
            </w:r>
          </w:p>
        </w:tc>
        <w:tc>
          <w:tcPr>
            <w:tcW w:w="2873" w:type="dxa"/>
            <w:shd w:val="clear" w:color="auto" w:fill="FFFFFF" w:themeFill="background1"/>
            <w:tcMar>
              <w:top w:w="72" w:type="dxa"/>
              <w:left w:w="144" w:type="dxa"/>
              <w:bottom w:w="72" w:type="dxa"/>
              <w:right w:w="144" w:type="dxa"/>
            </w:tcMar>
          </w:tcPr>
          <w:p w:rsidR="00635048" w:rsidRPr="003C1B12" w:rsidRDefault="00635048" w:rsidP="007A4CD3">
            <w:pPr>
              <w:spacing w:after="0" w:line="240" w:lineRule="auto"/>
              <w:rPr>
                <w:rFonts w:ascii="Times New Roman" w:eastAsia="Times New Roman" w:hAnsi="Times New Roman" w:cs="Times New Roman"/>
                <w:color w:val="000000" w:themeColor="dark1"/>
                <w:kern w:val="24"/>
                <w:szCs w:val="20"/>
                <w:lang w:eastAsia="lv-LV"/>
              </w:rPr>
            </w:pPr>
            <w:r w:rsidRPr="003C1B12">
              <w:rPr>
                <w:rFonts w:ascii="Times New Roman" w:eastAsia="Times New Roman" w:hAnsi="Times New Roman" w:cs="Times New Roman"/>
                <w:color w:val="000000" w:themeColor="dark1"/>
                <w:kern w:val="24"/>
                <w:szCs w:val="20"/>
                <w:lang w:eastAsia="lv-LV"/>
              </w:rPr>
              <w:t>2016.gada sākums – 2021.gada beigas</w:t>
            </w:r>
          </w:p>
        </w:tc>
      </w:tr>
      <w:tr w:rsidR="00F16BB4" w:rsidRPr="003C1B12" w:rsidTr="007A4CD3">
        <w:trPr>
          <w:trHeight w:val="545"/>
        </w:trPr>
        <w:tc>
          <w:tcPr>
            <w:tcW w:w="995" w:type="dxa"/>
            <w:shd w:val="clear" w:color="auto" w:fill="FFFFFF" w:themeFill="background1"/>
            <w:tcMar>
              <w:top w:w="72" w:type="dxa"/>
              <w:left w:w="144" w:type="dxa"/>
              <w:bottom w:w="72" w:type="dxa"/>
              <w:right w:w="144" w:type="dxa"/>
            </w:tcMar>
            <w:hideMark/>
          </w:tcPr>
          <w:p w:rsidR="00F16BB4" w:rsidRPr="003C1B12" w:rsidRDefault="00635048" w:rsidP="007A4CD3">
            <w:pPr>
              <w:spacing w:after="0" w:line="240" w:lineRule="auto"/>
              <w:rPr>
                <w:rFonts w:ascii="Times New Roman" w:eastAsia="Times New Roman" w:hAnsi="Times New Roman" w:cs="Times New Roman"/>
                <w:szCs w:val="20"/>
                <w:lang w:eastAsia="lv-LV"/>
              </w:rPr>
            </w:pPr>
            <w:r w:rsidRPr="003C1B12">
              <w:rPr>
                <w:rFonts w:ascii="Times New Roman" w:eastAsia="Times New Roman" w:hAnsi="Times New Roman" w:cs="Times New Roman"/>
                <w:color w:val="000000" w:themeColor="dark1"/>
                <w:kern w:val="24"/>
                <w:szCs w:val="20"/>
                <w:lang w:eastAsia="lv-LV"/>
              </w:rPr>
              <w:lastRenderedPageBreak/>
              <w:t>2</w:t>
            </w:r>
            <w:r w:rsidR="00F16BB4" w:rsidRPr="003C1B12">
              <w:rPr>
                <w:rFonts w:ascii="Times New Roman" w:eastAsia="Times New Roman" w:hAnsi="Times New Roman" w:cs="Times New Roman"/>
                <w:color w:val="000000" w:themeColor="dark1"/>
                <w:kern w:val="24"/>
                <w:szCs w:val="20"/>
                <w:lang w:eastAsia="lv-LV"/>
              </w:rPr>
              <w:t>.kārta</w:t>
            </w:r>
          </w:p>
        </w:tc>
        <w:tc>
          <w:tcPr>
            <w:tcW w:w="1984" w:type="dxa"/>
            <w:shd w:val="clear" w:color="auto" w:fill="FFFFFF" w:themeFill="background1"/>
            <w:tcMar>
              <w:top w:w="72" w:type="dxa"/>
              <w:left w:w="144" w:type="dxa"/>
              <w:bottom w:w="72" w:type="dxa"/>
              <w:right w:w="144" w:type="dxa"/>
            </w:tcMar>
            <w:hideMark/>
          </w:tcPr>
          <w:p w:rsidR="00F16BB4" w:rsidRPr="003C1B12" w:rsidRDefault="00F16BB4" w:rsidP="007A4CD3">
            <w:pPr>
              <w:spacing w:after="0" w:line="240" w:lineRule="auto"/>
              <w:rPr>
                <w:rFonts w:ascii="Times New Roman" w:eastAsia="Times New Roman" w:hAnsi="Times New Roman" w:cs="Times New Roman"/>
                <w:szCs w:val="20"/>
                <w:lang w:eastAsia="lv-LV"/>
              </w:rPr>
            </w:pPr>
            <w:r w:rsidRPr="003C1B12">
              <w:rPr>
                <w:rFonts w:ascii="Times New Roman" w:eastAsia="Times New Roman" w:hAnsi="Times New Roman" w:cs="Times New Roman"/>
                <w:color w:val="000000" w:themeColor="dark1"/>
                <w:kern w:val="24"/>
                <w:szCs w:val="20"/>
                <w:lang w:eastAsia="lv-LV"/>
              </w:rPr>
              <w:t>2</w:t>
            </w:r>
            <w:r w:rsidR="00635048" w:rsidRPr="003C1B12">
              <w:rPr>
                <w:rFonts w:ascii="Times New Roman" w:eastAsia="Times New Roman" w:hAnsi="Times New Roman" w:cs="Times New Roman"/>
                <w:color w:val="000000" w:themeColor="dark1"/>
                <w:kern w:val="24"/>
                <w:szCs w:val="20"/>
                <w:lang w:eastAsia="lv-LV"/>
              </w:rPr>
              <w:t>5</w:t>
            </w:r>
            <w:r w:rsidRPr="003C1B12">
              <w:rPr>
                <w:rFonts w:ascii="Times New Roman" w:eastAsia="Times New Roman" w:hAnsi="Times New Roman" w:cs="Times New Roman"/>
                <w:color w:val="000000" w:themeColor="dark1"/>
                <w:kern w:val="24"/>
                <w:szCs w:val="20"/>
                <w:lang w:eastAsia="lv-LV"/>
              </w:rPr>
              <w:t>,</w:t>
            </w:r>
            <w:r w:rsidR="00A10116" w:rsidRPr="003C1B12">
              <w:rPr>
                <w:rFonts w:ascii="Times New Roman" w:eastAsia="Times New Roman" w:hAnsi="Times New Roman" w:cs="Times New Roman"/>
                <w:color w:val="000000" w:themeColor="dark1"/>
                <w:kern w:val="24"/>
                <w:szCs w:val="20"/>
                <w:lang w:eastAsia="lv-LV"/>
              </w:rPr>
              <w:t>6</w:t>
            </w:r>
            <w:r w:rsidRPr="003C1B12">
              <w:rPr>
                <w:rFonts w:ascii="Times New Roman" w:eastAsia="Times New Roman" w:hAnsi="Times New Roman" w:cs="Times New Roman"/>
                <w:color w:val="000000" w:themeColor="dark1"/>
                <w:kern w:val="24"/>
                <w:szCs w:val="20"/>
                <w:lang w:eastAsia="lv-LV"/>
              </w:rPr>
              <w:t>5 milj. EUR</w:t>
            </w:r>
          </w:p>
        </w:tc>
        <w:tc>
          <w:tcPr>
            <w:tcW w:w="3506" w:type="dxa"/>
            <w:shd w:val="clear" w:color="auto" w:fill="FFFFFF" w:themeFill="background1"/>
            <w:tcMar>
              <w:top w:w="72" w:type="dxa"/>
              <w:left w:w="144" w:type="dxa"/>
              <w:bottom w:w="72" w:type="dxa"/>
              <w:right w:w="144" w:type="dxa"/>
            </w:tcMar>
            <w:hideMark/>
          </w:tcPr>
          <w:p w:rsidR="00F16BB4" w:rsidRPr="003C1B12" w:rsidRDefault="00F16BB4" w:rsidP="00635048">
            <w:pPr>
              <w:spacing w:after="0" w:line="240" w:lineRule="auto"/>
              <w:rPr>
                <w:rFonts w:ascii="Times New Roman" w:eastAsia="Times New Roman" w:hAnsi="Times New Roman" w:cs="Times New Roman"/>
                <w:szCs w:val="20"/>
                <w:lang w:eastAsia="lv-LV"/>
              </w:rPr>
            </w:pPr>
            <w:r w:rsidRPr="003C1B12">
              <w:rPr>
                <w:rFonts w:ascii="Times New Roman" w:eastAsia="Times New Roman" w:hAnsi="Times New Roman" w:cs="Times New Roman"/>
                <w:color w:val="000000" w:themeColor="dark1"/>
                <w:kern w:val="24"/>
                <w:szCs w:val="20"/>
                <w:lang w:eastAsia="lv-LV"/>
              </w:rPr>
              <w:t>atbalsts rūpnieciskajiem pētījumiem un eksperimentālajai izstrādei</w:t>
            </w:r>
          </w:p>
        </w:tc>
        <w:tc>
          <w:tcPr>
            <w:tcW w:w="2873" w:type="dxa"/>
            <w:shd w:val="clear" w:color="auto" w:fill="FFFFFF" w:themeFill="background1"/>
            <w:tcMar>
              <w:top w:w="72" w:type="dxa"/>
              <w:left w:w="144" w:type="dxa"/>
              <w:bottom w:w="72" w:type="dxa"/>
              <w:right w:w="144" w:type="dxa"/>
            </w:tcMar>
            <w:hideMark/>
          </w:tcPr>
          <w:p w:rsidR="00F16BB4" w:rsidRPr="003C1B12" w:rsidRDefault="00F16BB4" w:rsidP="007A4CD3">
            <w:pPr>
              <w:spacing w:after="0" w:line="240" w:lineRule="auto"/>
              <w:rPr>
                <w:rFonts w:ascii="Times New Roman" w:eastAsia="Times New Roman" w:hAnsi="Times New Roman" w:cs="Times New Roman"/>
                <w:color w:val="000000" w:themeColor="dark1"/>
                <w:kern w:val="24"/>
                <w:szCs w:val="20"/>
                <w:lang w:eastAsia="lv-LV"/>
              </w:rPr>
            </w:pPr>
            <w:r w:rsidRPr="003C1B12">
              <w:rPr>
                <w:rFonts w:ascii="Times New Roman" w:eastAsia="Times New Roman" w:hAnsi="Times New Roman" w:cs="Times New Roman"/>
                <w:color w:val="000000" w:themeColor="dark1"/>
                <w:kern w:val="24"/>
                <w:szCs w:val="20"/>
                <w:lang w:eastAsia="lv-LV"/>
              </w:rPr>
              <w:t>2016.g. sākums – 2018.g. beigas</w:t>
            </w:r>
          </w:p>
          <w:p w:rsidR="00A10116" w:rsidRPr="003C1B12" w:rsidRDefault="00A10116" w:rsidP="007A4CD3">
            <w:pPr>
              <w:spacing w:after="0" w:line="240" w:lineRule="auto"/>
              <w:rPr>
                <w:rFonts w:ascii="Times New Roman" w:eastAsia="Times New Roman" w:hAnsi="Times New Roman" w:cs="Times New Roman"/>
                <w:szCs w:val="20"/>
                <w:lang w:eastAsia="lv-LV"/>
              </w:rPr>
            </w:pPr>
            <w:r w:rsidRPr="003C1B12">
              <w:rPr>
                <w:rFonts w:ascii="Times New Roman" w:eastAsia="Times New Roman" w:hAnsi="Times New Roman" w:cs="Times New Roman"/>
                <w:color w:val="000000" w:themeColor="dark1"/>
                <w:kern w:val="24"/>
                <w:szCs w:val="20"/>
                <w:lang w:eastAsia="lv-LV"/>
              </w:rPr>
              <w:t>2016.g. sākums – 2021.g. beigas – projektu uzraudzībai un starptautiskai vērtēšanai</w:t>
            </w:r>
          </w:p>
        </w:tc>
      </w:tr>
      <w:tr w:rsidR="00F16BB4" w:rsidRPr="003C1B12" w:rsidTr="007A4CD3">
        <w:trPr>
          <w:trHeight w:val="643"/>
        </w:trPr>
        <w:tc>
          <w:tcPr>
            <w:tcW w:w="995" w:type="dxa"/>
            <w:shd w:val="clear" w:color="auto" w:fill="FFFFFF" w:themeFill="background1"/>
            <w:tcMar>
              <w:top w:w="72" w:type="dxa"/>
              <w:left w:w="144" w:type="dxa"/>
              <w:bottom w:w="72" w:type="dxa"/>
              <w:right w:w="144" w:type="dxa"/>
            </w:tcMar>
            <w:hideMark/>
          </w:tcPr>
          <w:p w:rsidR="00F16BB4" w:rsidRPr="003C1B12" w:rsidRDefault="00635048" w:rsidP="007A4CD3">
            <w:pPr>
              <w:spacing w:after="0" w:line="240" w:lineRule="auto"/>
              <w:rPr>
                <w:rFonts w:ascii="Times New Roman" w:eastAsia="Times New Roman" w:hAnsi="Times New Roman" w:cs="Times New Roman"/>
                <w:szCs w:val="20"/>
                <w:lang w:eastAsia="lv-LV"/>
              </w:rPr>
            </w:pPr>
            <w:r w:rsidRPr="003C1B12">
              <w:rPr>
                <w:rFonts w:ascii="Times New Roman" w:eastAsia="Times New Roman" w:hAnsi="Times New Roman" w:cs="Times New Roman"/>
                <w:color w:val="000000" w:themeColor="dark1"/>
                <w:kern w:val="24"/>
                <w:szCs w:val="20"/>
                <w:lang w:eastAsia="lv-LV"/>
              </w:rPr>
              <w:t>3</w:t>
            </w:r>
            <w:r w:rsidR="00F16BB4" w:rsidRPr="003C1B12">
              <w:rPr>
                <w:rFonts w:ascii="Times New Roman" w:eastAsia="Times New Roman" w:hAnsi="Times New Roman" w:cs="Times New Roman"/>
                <w:color w:val="000000" w:themeColor="dark1"/>
                <w:kern w:val="24"/>
                <w:szCs w:val="20"/>
                <w:lang w:eastAsia="lv-LV"/>
              </w:rPr>
              <w:t>.kārta</w:t>
            </w:r>
          </w:p>
        </w:tc>
        <w:tc>
          <w:tcPr>
            <w:tcW w:w="1984" w:type="dxa"/>
            <w:shd w:val="clear" w:color="auto" w:fill="FFFFFF" w:themeFill="background1"/>
            <w:tcMar>
              <w:top w:w="72" w:type="dxa"/>
              <w:left w:w="144" w:type="dxa"/>
              <w:bottom w:w="72" w:type="dxa"/>
              <w:right w:w="144" w:type="dxa"/>
            </w:tcMar>
            <w:hideMark/>
          </w:tcPr>
          <w:p w:rsidR="00F16BB4" w:rsidRPr="003C1B12" w:rsidRDefault="00F16BB4" w:rsidP="007A4CD3">
            <w:pPr>
              <w:spacing w:after="0" w:line="240" w:lineRule="auto"/>
              <w:rPr>
                <w:rFonts w:ascii="Times New Roman" w:eastAsia="Times New Roman" w:hAnsi="Times New Roman" w:cs="Times New Roman"/>
                <w:szCs w:val="20"/>
                <w:lang w:eastAsia="lv-LV"/>
              </w:rPr>
            </w:pPr>
            <w:r w:rsidRPr="003C1B12">
              <w:rPr>
                <w:rFonts w:ascii="Times New Roman" w:eastAsia="Times New Roman" w:hAnsi="Times New Roman" w:cs="Times New Roman"/>
                <w:color w:val="000000" w:themeColor="dark1"/>
                <w:kern w:val="24"/>
                <w:szCs w:val="20"/>
                <w:lang w:eastAsia="lv-LV"/>
              </w:rPr>
              <w:t>20,0 milj. EUR infrastruktūrai</w:t>
            </w:r>
          </w:p>
        </w:tc>
        <w:tc>
          <w:tcPr>
            <w:tcW w:w="3506" w:type="dxa"/>
            <w:shd w:val="clear" w:color="auto" w:fill="FFFFFF" w:themeFill="background1"/>
            <w:tcMar>
              <w:top w:w="72" w:type="dxa"/>
              <w:left w:w="144" w:type="dxa"/>
              <w:bottom w:w="72" w:type="dxa"/>
              <w:right w:w="144" w:type="dxa"/>
            </w:tcMar>
            <w:hideMark/>
          </w:tcPr>
          <w:p w:rsidR="00F16BB4" w:rsidRPr="003C1B12" w:rsidRDefault="00F16BB4" w:rsidP="007A4CD3">
            <w:pPr>
              <w:spacing w:after="0" w:line="240" w:lineRule="auto"/>
              <w:rPr>
                <w:rFonts w:ascii="Times New Roman" w:eastAsia="Times New Roman" w:hAnsi="Times New Roman" w:cs="Times New Roman"/>
                <w:szCs w:val="20"/>
                <w:lang w:eastAsia="lv-LV"/>
              </w:rPr>
            </w:pPr>
            <w:r w:rsidRPr="003C1B12">
              <w:rPr>
                <w:rFonts w:ascii="Times New Roman" w:eastAsia="Times New Roman" w:hAnsi="Times New Roman" w:cs="Times New Roman"/>
                <w:color w:val="000000" w:themeColor="dark1"/>
                <w:kern w:val="24"/>
                <w:szCs w:val="20"/>
                <w:lang w:eastAsia="lv-LV"/>
              </w:rPr>
              <w:t xml:space="preserve">atbalsts pētniecībai nepieciešamās infrastruktūras izveidei </w:t>
            </w:r>
          </w:p>
        </w:tc>
        <w:tc>
          <w:tcPr>
            <w:tcW w:w="2873" w:type="dxa"/>
            <w:shd w:val="clear" w:color="auto" w:fill="FFFFFF" w:themeFill="background1"/>
            <w:tcMar>
              <w:top w:w="72" w:type="dxa"/>
              <w:left w:w="144" w:type="dxa"/>
              <w:bottom w:w="72" w:type="dxa"/>
              <w:right w:w="144" w:type="dxa"/>
            </w:tcMar>
            <w:hideMark/>
          </w:tcPr>
          <w:p w:rsidR="00F16BB4" w:rsidRPr="003C1B12" w:rsidRDefault="00323DBF" w:rsidP="007A4CD3">
            <w:pPr>
              <w:spacing w:after="0" w:line="240" w:lineRule="auto"/>
              <w:rPr>
                <w:rFonts w:ascii="Times New Roman" w:eastAsia="Times New Roman" w:hAnsi="Times New Roman" w:cs="Times New Roman"/>
                <w:szCs w:val="20"/>
                <w:lang w:eastAsia="lv-LV"/>
              </w:rPr>
            </w:pPr>
            <w:r w:rsidRPr="003C1B12">
              <w:rPr>
                <w:rFonts w:ascii="Times New Roman" w:eastAsia="Times New Roman" w:hAnsi="Times New Roman" w:cs="Times New Roman"/>
                <w:color w:val="000000" w:themeColor="dark1"/>
                <w:kern w:val="24"/>
                <w:szCs w:val="20"/>
                <w:lang w:eastAsia="lv-LV"/>
              </w:rPr>
              <w:t xml:space="preserve">2017.g. vidus – 2019.g. </w:t>
            </w:r>
            <w:r w:rsidR="00F16BB4" w:rsidRPr="003C1B12">
              <w:rPr>
                <w:rFonts w:ascii="Times New Roman" w:eastAsia="Times New Roman" w:hAnsi="Times New Roman" w:cs="Times New Roman"/>
                <w:color w:val="000000" w:themeColor="dark1"/>
                <w:kern w:val="24"/>
                <w:szCs w:val="20"/>
                <w:lang w:eastAsia="lv-LV"/>
              </w:rPr>
              <w:t>vidus</w:t>
            </w:r>
          </w:p>
        </w:tc>
      </w:tr>
      <w:tr w:rsidR="00F16BB4" w:rsidRPr="003C1B12" w:rsidTr="007A4CD3">
        <w:trPr>
          <w:trHeight w:val="445"/>
        </w:trPr>
        <w:tc>
          <w:tcPr>
            <w:tcW w:w="995" w:type="dxa"/>
            <w:shd w:val="clear" w:color="auto" w:fill="FFFFFF" w:themeFill="background1"/>
            <w:tcMar>
              <w:top w:w="72" w:type="dxa"/>
              <w:left w:w="144" w:type="dxa"/>
              <w:bottom w:w="72" w:type="dxa"/>
              <w:right w:w="144" w:type="dxa"/>
            </w:tcMar>
            <w:hideMark/>
          </w:tcPr>
          <w:p w:rsidR="00F16BB4" w:rsidRPr="003C1B12" w:rsidRDefault="00635048" w:rsidP="007A4CD3">
            <w:pPr>
              <w:spacing w:after="0" w:line="240" w:lineRule="auto"/>
              <w:rPr>
                <w:rFonts w:ascii="Times New Roman" w:eastAsia="Times New Roman" w:hAnsi="Times New Roman" w:cs="Times New Roman"/>
                <w:szCs w:val="20"/>
                <w:lang w:eastAsia="lv-LV"/>
              </w:rPr>
            </w:pPr>
            <w:r w:rsidRPr="003C1B12">
              <w:rPr>
                <w:rFonts w:ascii="Times New Roman" w:eastAsia="Times New Roman" w:hAnsi="Times New Roman" w:cs="Times New Roman"/>
                <w:color w:val="000000" w:themeColor="dark1"/>
                <w:kern w:val="24"/>
                <w:szCs w:val="20"/>
                <w:lang w:eastAsia="lv-LV"/>
              </w:rPr>
              <w:t>4</w:t>
            </w:r>
            <w:r w:rsidR="00F16BB4" w:rsidRPr="003C1B12">
              <w:rPr>
                <w:rFonts w:ascii="Times New Roman" w:eastAsia="Times New Roman" w:hAnsi="Times New Roman" w:cs="Times New Roman"/>
                <w:color w:val="000000" w:themeColor="dark1"/>
                <w:kern w:val="24"/>
                <w:szCs w:val="20"/>
                <w:lang w:eastAsia="lv-LV"/>
              </w:rPr>
              <w:t>.kārta</w:t>
            </w:r>
          </w:p>
        </w:tc>
        <w:tc>
          <w:tcPr>
            <w:tcW w:w="1984" w:type="dxa"/>
            <w:shd w:val="clear" w:color="auto" w:fill="FFFFFF" w:themeFill="background1"/>
            <w:tcMar>
              <w:top w:w="72" w:type="dxa"/>
              <w:left w:w="144" w:type="dxa"/>
              <w:bottom w:w="72" w:type="dxa"/>
              <w:right w:w="144" w:type="dxa"/>
            </w:tcMar>
            <w:hideMark/>
          </w:tcPr>
          <w:p w:rsidR="00F16BB4" w:rsidRPr="003C1B12" w:rsidRDefault="00F16BB4" w:rsidP="007A4CD3">
            <w:pPr>
              <w:spacing w:after="0" w:line="240" w:lineRule="auto"/>
              <w:rPr>
                <w:rFonts w:ascii="Times New Roman" w:eastAsia="Times New Roman" w:hAnsi="Times New Roman" w:cs="Times New Roman"/>
                <w:szCs w:val="20"/>
                <w:lang w:eastAsia="lv-LV"/>
              </w:rPr>
            </w:pPr>
            <w:r w:rsidRPr="003C1B12">
              <w:rPr>
                <w:rFonts w:ascii="Times New Roman" w:eastAsia="Times New Roman" w:hAnsi="Times New Roman" w:cs="Times New Roman"/>
                <w:color w:val="000000" w:themeColor="dark1"/>
                <w:kern w:val="24"/>
                <w:szCs w:val="20"/>
                <w:lang w:eastAsia="lv-LV"/>
              </w:rPr>
              <w:t>2</w:t>
            </w:r>
            <w:r w:rsidR="00A10116" w:rsidRPr="003C1B12">
              <w:rPr>
                <w:rFonts w:ascii="Times New Roman" w:eastAsia="Times New Roman" w:hAnsi="Times New Roman" w:cs="Times New Roman"/>
                <w:color w:val="000000" w:themeColor="dark1"/>
                <w:kern w:val="24"/>
                <w:szCs w:val="20"/>
                <w:lang w:eastAsia="lv-LV"/>
              </w:rPr>
              <w:t>5</w:t>
            </w:r>
            <w:r w:rsidRPr="003C1B12">
              <w:rPr>
                <w:rFonts w:ascii="Times New Roman" w:eastAsia="Times New Roman" w:hAnsi="Times New Roman" w:cs="Times New Roman"/>
                <w:color w:val="000000" w:themeColor="dark1"/>
                <w:kern w:val="24"/>
                <w:szCs w:val="20"/>
                <w:lang w:eastAsia="lv-LV"/>
              </w:rPr>
              <w:t>,</w:t>
            </w:r>
            <w:r w:rsidR="00A10116" w:rsidRPr="003C1B12">
              <w:rPr>
                <w:rFonts w:ascii="Times New Roman" w:eastAsia="Times New Roman" w:hAnsi="Times New Roman" w:cs="Times New Roman"/>
                <w:color w:val="000000" w:themeColor="dark1"/>
                <w:kern w:val="24"/>
                <w:szCs w:val="20"/>
                <w:lang w:eastAsia="lv-LV"/>
              </w:rPr>
              <w:t>6</w:t>
            </w:r>
            <w:r w:rsidRPr="003C1B12">
              <w:rPr>
                <w:rFonts w:ascii="Times New Roman" w:eastAsia="Times New Roman" w:hAnsi="Times New Roman" w:cs="Times New Roman"/>
                <w:color w:val="000000" w:themeColor="dark1"/>
                <w:kern w:val="24"/>
                <w:szCs w:val="20"/>
                <w:lang w:eastAsia="lv-LV"/>
              </w:rPr>
              <w:t>5 milj. EUR</w:t>
            </w:r>
          </w:p>
        </w:tc>
        <w:tc>
          <w:tcPr>
            <w:tcW w:w="3506" w:type="dxa"/>
            <w:shd w:val="clear" w:color="auto" w:fill="FFFFFF" w:themeFill="background1"/>
            <w:tcMar>
              <w:top w:w="72" w:type="dxa"/>
              <w:left w:w="144" w:type="dxa"/>
              <w:bottom w:w="72" w:type="dxa"/>
              <w:right w:w="144" w:type="dxa"/>
            </w:tcMar>
            <w:hideMark/>
          </w:tcPr>
          <w:p w:rsidR="00F16BB4" w:rsidRPr="003C1B12" w:rsidRDefault="00F16BB4" w:rsidP="007A4CD3">
            <w:pPr>
              <w:spacing w:after="0" w:line="240" w:lineRule="auto"/>
              <w:rPr>
                <w:rFonts w:ascii="Times New Roman" w:eastAsia="Times New Roman" w:hAnsi="Times New Roman" w:cs="Times New Roman"/>
                <w:szCs w:val="20"/>
                <w:lang w:eastAsia="lv-LV"/>
              </w:rPr>
            </w:pPr>
            <w:r w:rsidRPr="003C1B12">
              <w:rPr>
                <w:rFonts w:ascii="Times New Roman" w:eastAsia="Times New Roman" w:hAnsi="Times New Roman" w:cs="Times New Roman"/>
                <w:color w:val="000000" w:themeColor="dark1"/>
                <w:kern w:val="24"/>
                <w:szCs w:val="20"/>
                <w:lang w:eastAsia="lv-LV"/>
              </w:rPr>
              <w:t>atbalsts rūpnieciskajiem pētījumiem un eksperimentālajai izstrādei</w:t>
            </w:r>
          </w:p>
        </w:tc>
        <w:tc>
          <w:tcPr>
            <w:tcW w:w="2873" w:type="dxa"/>
            <w:shd w:val="clear" w:color="auto" w:fill="FFFFFF" w:themeFill="background1"/>
            <w:tcMar>
              <w:top w:w="72" w:type="dxa"/>
              <w:left w:w="144" w:type="dxa"/>
              <w:bottom w:w="72" w:type="dxa"/>
              <w:right w:w="144" w:type="dxa"/>
            </w:tcMar>
            <w:hideMark/>
          </w:tcPr>
          <w:p w:rsidR="00F16BB4" w:rsidRPr="003C1B12" w:rsidRDefault="00F16BB4" w:rsidP="007A4CD3">
            <w:pPr>
              <w:spacing w:after="0" w:line="240" w:lineRule="auto"/>
              <w:rPr>
                <w:rFonts w:ascii="Times New Roman" w:eastAsia="Times New Roman" w:hAnsi="Times New Roman" w:cs="Times New Roman"/>
                <w:szCs w:val="20"/>
                <w:lang w:eastAsia="lv-LV"/>
              </w:rPr>
            </w:pPr>
            <w:r w:rsidRPr="003C1B12">
              <w:rPr>
                <w:rFonts w:ascii="Times New Roman" w:eastAsia="Times New Roman" w:hAnsi="Times New Roman" w:cs="Times New Roman"/>
                <w:color w:val="000000" w:themeColor="dark1"/>
                <w:kern w:val="24"/>
                <w:szCs w:val="20"/>
                <w:lang w:eastAsia="lv-LV"/>
              </w:rPr>
              <w:t>2019.g. sākums – 2021.g. beigas</w:t>
            </w:r>
          </w:p>
        </w:tc>
      </w:tr>
    </w:tbl>
    <w:p w:rsidR="00F16BB4" w:rsidRPr="003C1B12" w:rsidRDefault="00F16BB4" w:rsidP="00323DBF">
      <w:pPr>
        <w:spacing w:after="0" w:line="240" w:lineRule="auto"/>
        <w:ind w:firstLine="709"/>
        <w:jc w:val="both"/>
        <w:rPr>
          <w:rFonts w:ascii="Times New Roman" w:hAnsi="Times New Roman" w:cs="Times New Roman"/>
          <w:sz w:val="24"/>
          <w:szCs w:val="24"/>
        </w:rPr>
      </w:pPr>
    </w:p>
    <w:p w:rsidR="000C4557" w:rsidRPr="003C1B12" w:rsidRDefault="00635048" w:rsidP="00323DBF">
      <w:pPr>
        <w:spacing w:after="0" w:line="240" w:lineRule="auto"/>
        <w:ind w:firstLine="709"/>
        <w:jc w:val="both"/>
        <w:rPr>
          <w:rFonts w:ascii="Times New Roman" w:hAnsi="Times New Roman" w:cs="Times New Roman"/>
          <w:sz w:val="24"/>
          <w:szCs w:val="24"/>
        </w:rPr>
      </w:pPr>
      <w:r w:rsidRPr="003C1B12">
        <w:rPr>
          <w:rFonts w:ascii="Times New Roman" w:hAnsi="Times New Roman" w:cs="Times New Roman"/>
          <w:sz w:val="24"/>
          <w:szCs w:val="24"/>
        </w:rPr>
        <w:t xml:space="preserve">Pirmajā kārtā finansējums tiek piešķirts ierobežotas projektu iesniegumu atlases kārtībā. Finansējumam pārvaldības projektam piesakās Ekonomikas ministrija. </w:t>
      </w:r>
      <w:r w:rsidR="003E4F3B" w:rsidRPr="003C1B12">
        <w:rPr>
          <w:rFonts w:ascii="Times New Roman" w:hAnsi="Times New Roman" w:cs="Times New Roman"/>
          <w:sz w:val="24"/>
          <w:szCs w:val="24"/>
        </w:rPr>
        <w:t>Atbalsts rūpnieciskajiem pētījumiem un eksperimentālajai izstrādei tiek sadalīt</w:t>
      </w:r>
      <w:r w:rsidR="007A38C6" w:rsidRPr="003C1B12">
        <w:rPr>
          <w:rFonts w:ascii="Times New Roman" w:hAnsi="Times New Roman" w:cs="Times New Roman"/>
          <w:sz w:val="24"/>
          <w:szCs w:val="24"/>
        </w:rPr>
        <w:t>s</w:t>
      </w:r>
      <w:r w:rsidR="003E4F3B" w:rsidRPr="003C1B12">
        <w:rPr>
          <w:rFonts w:ascii="Times New Roman" w:hAnsi="Times New Roman" w:cs="Times New Roman"/>
          <w:sz w:val="24"/>
          <w:szCs w:val="24"/>
        </w:rPr>
        <w:t xml:space="preserve"> div</w:t>
      </w:r>
      <w:r w:rsidR="00CC0996" w:rsidRPr="003C1B12">
        <w:rPr>
          <w:rFonts w:ascii="Times New Roman" w:hAnsi="Times New Roman" w:cs="Times New Roman"/>
          <w:sz w:val="24"/>
          <w:szCs w:val="24"/>
        </w:rPr>
        <w:t>os</w:t>
      </w:r>
      <w:r w:rsidR="003E4F3B" w:rsidRPr="003C1B12">
        <w:rPr>
          <w:rFonts w:ascii="Times New Roman" w:hAnsi="Times New Roman" w:cs="Times New Roman"/>
          <w:sz w:val="24"/>
          <w:szCs w:val="24"/>
        </w:rPr>
        <w:t xml:space="preserve"> </w:t>
      </w:r>
      <w:r w:rsidR="00CC0996" w:rsidRPr="003C1B12">
        <w:rPr>
          <w:rFonts w:ascii="Times New Roman" w:hAnsi="Times New Roman" w:cs="Times New Roman"/>
          <w:sz w:val="24"/>
          <w:szCs w:val="24"/>
        </w:rPr>
        <w:t>posmos</w:t>
      </w:r>
      <w:r w:rsidR="003E4F3B" w:rsidRPr="003C1B12">
        <w:rPr>
          <w:rFonts w:ascii="Times New Roman" w:hAnsi="Times New Roman" w:cs="Times New Roman"/>
          <w:sz w:val="24"/>
          <w:szCs w:val="24"/>
        </w:rPr>
        <w:t>, lai uzlabotu uzraudzību un finansējuma piešķiršanu atbilstoši sasniegtajiem rezultatīvajiem rādītājiem</w:t>
      </w:r>
      <w:r w:rsidR="00CC0996" w:rsidRPr="003C1B12">
        <w:rPr>
          <w:rFonts w:ascii="Times New Roman" w:hAnsi="Times New Roman" w:cs="Times New Roman"/>
          <w:sz w:val="24"/>
          <w:szCs w:val="24"/>
        </w:rPr>
        <w:t xml:space="preserve">. </w:t>
      </w:r>
      <w:r w:rsidRPr="003C1B12">
        <w:rPr>
          <w:rFonts w:ascii="Times New Roman" w:hAnsi="Times New Roman" w:cs="Times New Roman"/>
          <w:sz w:val="24"/>
          <w:szCs w:val="24"/>
        </w:rPr>
        <w:t xml:space="preserve">Otrajā </w:t>
      </w:r>
      <w:r w:rsidR="00CC0996" w:rsidRPr="003C1B12">
        <w:rPr>
          <w:rFonts w:ascii="Times New Roman" w:hAnsi="Times New Roman" w:cs="Times New Roman"/>
          <w:sz w:val="24"/>
          <w:szCs w:val="24"/>
        </w:rPr>
        <w:t>kārtā tiek īstenota</w:t>
      </w:r>
      <w:r w:rsidR="003E4F3B" w:rsidRPr="003C1B12">
        <w:rPr>
          <w:rFonts w:ascii="Times New Roman" w:hAnsi="Times New Roman" w:cs="Times New Roman"/>
          <w:sz w:val="24"/>
          <w:szCs w:val="24"/>
        </w:rPr>
        <w:t xml:space="preserve"> </w:t>
      </w:r>
      <w:r w:rsidRPr="003C1B12">
        <w:rPr>
          <w:rFonts w:ascii="Times New Roman" w:hAnsi="Times New Roman" w:cs="Times New Roman"/>
          <w:sz w:val="24"/>
          <w:szCs w:val="24"/>
        </w:rPr>
        <w:t xml:space="preserve">atklāta </w:t>
      </w:r>
      <w:r w:rsidR="003E4F3B" w:rsidRPr="003C1B12">
        <w:rPr>
          <w:rFonts w:ascii="Times New Roman" w:hAnsi="Times New Roman" w:cs="Times New Roman"/>
          <w:sz w:val="24"/>
          <w:szCs w:val="24"/>
        </w:rPr>
        <w:t>projektu iesniegumu atlas</w:t>
      </w:r>
      <w:r w:rsidR="00CC0996" w:rsidRPr="003C1B12">
        <w:rPr>
          <w:rFonts w:ascii="Times New Roman" w:hAnsi="Times New Roman" w:cs="Times New Roman"/>
          <w:sz w:val="24"/>
          <w:szCs w:val="24"/>
        </w:rPr>
        <w:t>e</w:t>
      </w:r>
      <w:r w:rsidR="003E4F3B" w:rsidRPr="003C1B12">
        <w:rPr>
          <w:rFonts w:ascii="Times New Roman" w:hAnsi="Times New Roman" w:cs="Times New Roman"/>
          <w:sz w:val="24"/>
          <w:szCs w:val="24"/>
        </w:rPr>
        <w:t xml:space="preserve">. </w:t>
      </w:r>
      <w:r w:rsidRPr="003C1B12">
        <w:rPr>
          <w:rFonts w:ascii="Times New Roman" w:hAnsi="Times New Roman" w:cs="Times New Roman"/>
          <w:sz w:val="24"/>
          <w:szCs w:val="24"/>
        </w:rPr>
        <w:t xml:space="preserve">Ceturtajā </w:t>
      </w:r>
      <w:r w:rsidR="00D87A58" w:rsidRPr="003C1B12">
        <w:rPr>
          <w:rFonts w:ascii="Times New Roman" w:hAnsi="Times New Roman" w:cs="Times New Roman"/>
          <w:sz w:val="24"/>
          <w:szCs w:val="24"/>
        </w:rPr>
        <w:t>kārtā</w:t>
      </w:r>
      <w:r w:rsidR="003E4F3B" w:rsidRPr="003C1B12">
        <w:rPr>
          <w:rFonts w:ascii="Times New Roman" w:hAnsi="Times New Roman" w:cs="Times New Roman"/>
          <w:sz w:val="24"/>
          <w:szCs w:val="24"/>
        </w:rPr>
        <w:t xml:space="preserve"> finansējums tiek piešķirts </w:t>
      </w:r>
      <w:r w:rsidR="007B54C3" w:rsidRPr="003C1B12">
        <w:rPr>
          <w:rFonts w:ascii="Times New Roman" w:hAnsi="Times New Roman" w:cs="Times New Roman"/>
          <w:sz w:val="24"/>
          <w:szCs w:val="24"/>
        </w:rPr>
        <w:t>un finansējuma saņēmēji tiek pārskatīti,</w:t>
      </w:r>
      <w:r w:rsidR="003E4F3B" w:rsidRPr="003C1B12">
        <w:rPr>
          <w:rFonts w:ascii="Times New Roman" w:hAnsi="Times New Roman" w:cs="Times New Roman"/>
          <w:sz w:val="24"/>
          <w:szCs w:val="24"/>
        </w:rPr>
        <w:t xml:space="preserve"> izvērtējot </w:t>
      </w:r>
      <w:r w:rsidRPr="003C1B12">
        <w:rPr>
          <w:rFonts w:ascii="Times New Roman" w:hAnsi="Times New Roman" w:cs="Times New Roman"/>
          <w:sz w:val="24"/>
          <w:szCs w:val="24"/>
        </w:rPr>
        <w:t xml:space="preserve">otrās </w:t>
      </w:r>
      <w:r w:rsidR="003E4F3B" w:rsidRPr="003C1B12">
        <w:rPr>
          <w:rFonts w:ascii="Times New Roman" w:hAnsi="Times New Roman" w:cs="Times New Roman"/>
          <w:sz w:val="24"/>
          <w:szCs w:val="24"/>
        </w:rPr>
        <w:t>kārtas norisi, sasniegtos rādītājus</w:t>
      </w:r>
      <w:r w:rsidR="00CC0996" w:rsidRPr="003C1B12">
        <w:rPr>
          <w:rFonts w:ascii="Times New Roman" w:hAnsi="Times New Roman" w:cs="Times New Roman"/>
          <w:sz w:val="24"/>
          <w:szCs w:val="24"/>
        </w:rPr>
        <w:t xml:space="preserve"> un</w:t>
      </w:r>
      <w:r w:rsidR="003E4F3B" w:rsidRPr="003C1B12">
        <w:rPr>
          <w:rFonts w:ascii="Times New Roman" w:hAnsi="Times New Roman" w:cs="Times New Roman"/>
          <w:sz w:val="24"/>
          <w:szCs w:val="24"/>
        </w:rPr>
        <w:t xml:space="preserve"> finanšu apguvi</w:t>
      </w:r>
      <w:r w:rsidR="00CC0996" w:rsidRPr="003C1B12">
        <w:rPr>
          <w:rFonts w:ascii="Times New Roman" w:hAnsi="Times New Roman" w:cs="Times New Roman"/>
          <w:sz w:val="24"/>
          <w:szCs w:val="24"/>
        </w:rPr>
        <w:t xml:space="preserve">. </w:t>
      </w:r>
      <w:r w:rsidR="009C7194" w:rsidRPr="003C1B12">
        <w:rPr>
          <w:rFonts w:ascii="Times New Roman" w:hAnsi="Times New Roman" w:cs="Times New Roman"/>
          <w:sz w:val="24"/>
          <w:szCs w:val="24"/>
        </w:rPr>
        <w:t>1.2.</w:t>
      </w:r>
      <w:r w:rsidR="0064114E" w:rsidRPr="003C1B12">
        <w:rPr>
          <w:rFonts w:ascii="Times New Roman" w:hAnsi="Times New Roman" w:cs="Times New Roman"/>
          <w:sz w:val="24"/>
          <w:szCs w:val="24"/>
        </w:rPr>
        <w:t>1</w:t>
      </w:r>
      <w:r w:rsidR="00D87A58" w:rsidRPr="003C1B12">
        <w:rPr>
          <w:rFonts w:ascii="Times New Roman" w:hAnsi="Times New Roman" w:cs="Times New Roman"/>
          <w:sz w:val="24"/>
          <w:szCs w:val="24"/>
        </w:rPr>
        <w:t>.1.</w:t>
      </w:r>
      <w:r w:rsidR="009C7194" w:rsidRPr="003C1B12">
        <w:rPr>
          <w:rFonts w:ascii="Times New Roman" w:hAnsi="Times New Roman" w:cs="Times New Roman"/>
          <w:sz w:val="24"/>
          <w:szCs w:val="24"/>
        </w:rPr>
        <w:t>pasākuma „Atbalsts jaunu produktu un tehnoloģiju izstrāde</w:t>
      </w:r>
      <w:r w:rsidR="000B69E1" w:rsidRPr="003C1B12">
        <w:rPr>
          <w:rFonts w:ascii="Times New Roman" w:hAnsi="Times New Roman" w:cs="Times New Roman"/>
          <w:sz w:val="24"/>
          <w:szCs w:val="24"/>
        </w:rPr>
        <w:t xml:space="preserve">i </w:t>
      </w:r>
      <w:r w:rsidR="007B5BD9" w:rsidRPr="003C1B12">
        <w:rPr>
          <w:rFonts w:ascii="Times New Roman" w:hAnsi="Times New Roman" w:cs="Times New Roman"/>
          <w:sz w:val="24"/>
          <w:szCs w:val="24"/>
        </w:rPr>
        <w:t>KC</w:t>
      </w:r>
      <w:r w:rsidR="000B69E1" w:rsidRPr="003C1B12">
        <w:rPr>
          <w:rFonts w:ascii="Times New Roman" w:hAnsi="Times New Roman" w:cs="Times New Roman"/>
          <w:sz w:val="24"/>
          <w:szCs w:val="24"/>
        </w:rPr>
        <w:t xml:space="preserve"> ietvaros” </w:t>
      </w:r>
      <w:r w:rsidR="00EB4A0A" w:rsidRPr="003C1B12">
        <w:rPr>
          <w:rFonts w:ascii="Times New Roman" w:hAnsi="Times New Roman" w:cs="Times New Roman"/>
          <w:sz w:val="24"/>
          <w:szCs w:val="24"/>
        </w:rPr>
        <w:t>1.kārtas pamata nosacījumi nor</w:t>
      </w:r>
      <w:r w:rsidR="00205A56" w:rsidRPr="003C1B12">
        <w:rPr>
          <w:rFonts w:ascii="Times New Roman" w:hAnsi="Times New Roman" w:cs="Times New Roman"/>
          <w:sz w:val="24"/>
          <w:szCs w:val="24"/>
        </w:rPr>
        <w:t>ādīti tabulā Nr.9</w:t>
      </w:r>
      <w:r w:rsidR="00EB4A0A" w:rsidRPr="003C1B12">
        <w:rPr>
          <w:rFonts w:ascii="Times New Roman" w:hAnsi="Times New Roman" w:cs="Times New Roman"/>
          <w:sz w:val="24"/>
          <w:szCs w:val="24"/>
        </w:rPr>
        <w:t xml:space="preserve"> un </w:t>
      </w:r>
      <w:r w:rsidRPr="003C1B12">
        <w:rPr>
          <w:rFonts w:ascii="Times New Roman" w:hAnsi="Times New Roman" w:cs="Times New Roman"/>
          <w:sz w:val="24"/>
          <w:szCs w:val="24"/>
        </w:rPr>
        <w:t>2</w:t>
      </w:r>
      <w:r w:rsidR="005E046E" w:rsidRPr="003C1B12">
        <w:rPr>
          <w:rFonts w:ascii="Times New Roman" w:hAnsi="Times New Roman" w:cs="Times New Roman"/>
          <w:sz w:val="24"/>
          <w:szCs w:val="24"/>
        </w:rPr>
        <w:t xml:space="preserve">. un </w:t>
      </w:r>
      <w:r w:rsidRPr="003C1B12">
        <w:rPr>
          <w:rFonts w:ascii="Times New Roman" w:hAnsi="Times New Roman" w:cs="Times New Roman"/>
          <w:sz w:val="24"/>
          <w:szCs w:val="24"/>
        </w:rPr>
        <w:t>4</w:t>
      </w:r>
      <w:r w:rsidR="005E046E" w:rsidRPr="003C1B12">
        <w:rPr>
          <w:rFonts w:ascii="Times New Roman" w:hAnsi="Times New Roman" w:cs="Times New Roman"/>
          <w:sz w:val="24"/>
          <w:szCs w:val="24"/>
        </w:rPr>
        <w:t xml:space="preserve">. kārtas </w:t>
      </w:r>
      <w:r w:rsidR="009C7194" w:rsidRPr="003C1B12">
        <w:rPr>
          <w:rFonts w:ascii="Times New Roman" w:hAnsi="Times New Roman" w:cs="Times New Roman"/>
          <w:sz w:val="24"/>
          <w:szCs w:val="24"/>
        </w:rPr>
        <w:t xml:space="preserve">pamata </w:t>
      </w:r>
      <w:r w:rsidR="000C4557" w:rsidRPr="003C1B12">
        <w:rPr>
          <w:rFonts w:ascii="Times New Roman" w:hAnsi="Times New Roman" w:cs="Times New Roman"/>
          <w:sz w:val="24"/>
          <w:szCs w:val="24"/>
        </w:rPr>
        <w:t>nosacījumi</w:t>
      </w:r>
      <w:r w:rsidR="007A4CD3" w:rsidRPr="003C1B12">
        <w:rPr>
          <w:rFonts w:ascii="Times New Roman" w:hAnsi="Times New Roman" w:cs="Times New Roman"/>
          <w:sz w:val="24"/>
          <w:szCs w:val="24"/>
        </w:rPr>
        <w:t xml:space="preserve"> </w:t>
      </w:r>
      <w:r w:rsidR="00EB4A0A" w:rsidRPr="003C1B12">
        <w:rPr>
          <w:rFonts w:ascii="Times New Roman" w:hAnsi="Times New Roman" w:cs="Times New Roman"/>
          <w:sz w:val="24"/>
          <w:szCs w:val="24"/>
        </w:rPr>
        <w:t>-</w:t>
      </w:r>
      <w:r w:rsidR="007A4CD3" w:rsidRPr="003C1B12">
        <w:rPr>
          <w:rFonts w:ascii="Times New Roman" w:hAnsi="Times New Roman" w:cs="Times New Roman"/>
          <w:sz w:val="24"/>
          <w:szCs w:val="24"/>
        </w:rPr>
        <w:t xml:space="preserve"> tabulā </w:t>
      </w:r>
      <w:r w:rsidR="00323DBF" w:rsidRPr="003C1B12">
        <w:rPr>
          <w:rFonts w:ascii="Times New Roman" w:hAnsi="Times New Roman" w:cs="Times New Roman"/>
          <w:sz w:val="24"/>
          <w:szCs w:val="24"/>
        </w:rPr>
        <w:t>Nr.</w:t>
      </w:r>
      <w:r w:rsidR="00205A56" w:rsidRPr="003C1B12">
        <w:rPr>
          <w:rFonts w:ascii="Times New Roman" w:hAnsi="Times New Roman" w:cs="Times New Roman"/>
          <w:sz w:val="24"/>
          <w:szCs w:val="24"/>
        </w:rPr>
        <w:t>10</w:t>
      </w:r>
      <w:r w:rsidR="00323DBF" w:rsidRPr="003C1B12">
        <w:rPr>
          <w:rFonts w:ascii="Times New Roman" w:hAnsi="Times New Roman" w:cs="Times New Roman"/>
          <w:sz w:val="24"/>
          <w:szCs w:val="24"/>
        </w:rPr>
        <w:t>.</w:t>
      </w:r>
    </w:p>
    <w:p w:rsidR="00AE6CF3" w:rsidRPr="003C1B12" w:rsidRDefault="00AE6CF3" w:rsidP="00323DBF">
      <w:pPr>
        <w:spacing w:after="0" w:line="240" w:lineRule="auto"/>
        <w:ind w:firstLine="709"/>
        <w:jc w:val="both"/>
        <w:rPr>
          <w:rFonts w:ascii="Times New Roman" w:hAnsi="Times New Roman" w:cs="Times New Roman"/>
          <w:sz w:val="24"/>
          <w:szCs w:val="24"/>
        </w:rPr>
      </w:pPr>
      <w:r w:rsidRPr="003C1B12">
        <w:rPr>
          <w:rFonts w:ascii="Times New Roman" w:hAnsi="Times New Roman" w:cs="Times New Roman"/>
          <w:sz w:val="24"/>
          <w:szCs w:val="24"/>
        </w:rPr>
        <w:t>Paralēli tika izskatīti arī citi ieviešanas mehānismi, piemēram, Ekonomikas ministrijas iesaistīšanās projektā kā sadarbības partnerim, nosakot pārvaldības izmaksas kā vienkāršotās izmaksas, taču šis modelis varētu būt saistīts ar interešu konflikta riskiem, ja Ekonomikas ministrijas eksperti sniedz atzinumus par projektiem un ir iesaistīti kā sadarbības partneri.</w:t>
      </w:r>
    </w:p>
    <w:p w:rsidR="00AE6CF3" w:rsidRPr="003C1B12" w:rsidRDefault="00AE6CF3" w:rsidP="00323DBF">
      <w:pPr>
        <w:spacing w:after="0" w:line="240" w:lineRule="auto"/>
        <w:ind w:firstLine="709"/>
        <w:jc w:val="both"/>
        <w:rPr>
          <w:rFonts w:ascii="Times New Roman" w:hAnsi="Times New Roman" w:cs="Times New Roman"/>
          <w:sz w:val="24"/>
          <w:szCs w:val="24"/>
        </w:rPr>
      </w:pPr>
      <w:r w:rsidRPr="003C1B12">
        <w:rPr>
          <w:rFonts w:ascii="Times New Roman" w:hAnsi="Times New Roman" w:cs="Times New Roman"/>
          <w:sz w:val="24"/>
          <w:szCs w:val="24"/>
        </w:rPr>
        <w:t>Modelis, kur Ekonomikas ministrija piesakās uz atsevišķu pārvaldības projektu tika noteikts par piemērotāko KC programmas pārvaldībai un mērķu un rezultātu sasniegšanai.</w:t>
      </w:r>
    </w:p>
    <w:p w:rsidR="00AE6CF3" w:rsidRPr="003C1B12" w:rsidRDefault="00AE6CF3" w:rsidP="00323DBF">
      <w:pPr>
        <w:spacing w:after="0" w:line="240" w:lineRule="auto"/>
        <w:ind w:firstLine="709"/>
        <w:jc w:val="both"/>
        <w:rPr>
          <w:rFonts w:ascii="Times New Roman" w:hAnsi="Times New Roman" w:cs="Times New Roman"/>
          <w:sz w:val="24"/>
          <w:szCs w:val="24"/>
        </w:rPr>
      </w:pPr>
    </w:p>
    <w:p w:rsidR="00EB4A0A" w:rsidRPr="003C1B12" w:rsidRDefault="00205A56" w:rsidP="00BA318B">
      <w:pPr>
        <w:spacing w:after="0" w:line="240" w:lineRule="auto"/>
        <w:ind w:firstLine="709"/>
        <w:jc w:val="right"/>
        <w:rPr>
          <w:rFonts w:ascii="Times New Roman" w:hAnsi="Times New Roman" w:cs="Times New Roman"/>
          <w:sz w:val="24"/>
          <w:szCs w:val="24"/>
        </w:rPr>
      </w:pPr>
      <w:r w:rsidRPr="003C1B12">
        <w:rPr>
          <w:rFonts w:ascii="Times New Roman" w:hAnsi="Times New Roman" w:cs="Times New Roman"/>
          <w:sz w:val="24"/>
          <w:szCs w:val="24"/>
        </w:rPr>
        <w:t>Tabula Nr.9</w:t>
      </w:r>
    </w:p>
    <w:p w:rsidR="00EB4A0A" w:rsidRPr="003C1B12" w:rsidRDefault="00EB4A0A" w:rsidP="00BA318B">
      <w:pPr>
        <w:spacing w:after="0" w:line="240" w:lineRule="auto"/>
        <w:ind w:firstLine="709"/>
        <w:jc w:val="center"/>
        <w:rPr>
          <w:rFonts w:ascii="Times New Roman" w:hAnsi="Times New Roman" w:cs="Times New Roman"/>
          <w:sz w:val="24"/>
          <w:szCs w:val="24"/>
        </w:rPr>
      </w:pPr>
      <w:r w:rsidRPr="003C1B12">
        <w:rPr>
          <w:rFonts w:ascii="Times New Roman" w:hAnsi="Times New Roman" w:cs="Times New Roman"/>
          <w:sz w:val="24"/>
          <w:szCs w:val="24"/>
        </w:rPr>
        <w:t>KC programmas 1.kārtas pamata nosacījumi</w:t>
      </w:r>
    </w:p>
    <w:tbl>
      <w:tblPr>
        <w:tblStyle w:val="TableGrid"/>
        <w:tblW w:w="0" w:type="auto"/>
        <w:tblLook w:val="04A0" w:firstRow="1" w:lastRow="0" w:firstColumn="1" w:lastColumn="0" w:noHBand="0" w:noVBand="1"/>
      </w:tblPr>
      <w:tblGrid>
        <w:gridCol w:w="2229"/>
        <w:gridCol w:w="6832"/>
      </w:tblGrid>
      <w:tr w:rsidR="00EB4A0A" w:rsidRPr="003C1B12" w:rsidTr="00BA318B">
        <w:tc>
          <w:tcPr>
            <w:tcW w:w="2229" w:type="dxa"/>
          </w:tcPr>
          <w:p w:rsidR="00EB4A0A" w:rsidRPr="003C1B12" w:rsidRDefault="00EB4A0A" w:rsidP="00EB4A0A">
            <w:pPr>
              <w:rPr>
                <w:rFonts w:ascii="Times New Roman" w:hAnsi="Times New Roman" w:cs="Times New Roman"/>
                <w:sz w:val="24"/>
                <w:szCs w:val="24"/>
              </w:rPr>
            </w:pPr>
            <w:r w:rsidRPr="003C1B12">
              <w:rPr>
                <w:rFonts w:ascii="Times New Roman" w:hAnsi="Times New Roman" w:cs="Times New Roman"/>
                <w:sz w:val="24"/>
              </w:rPr>
              <w:t>Finansējuma saņēmējs/pieteikuma iesniedzējs</w:t>
            </w:r>
          </w:p>
        </w:tc>
        <w:tc>
          <w:tcPr>
            <w:tcW w:w="6832" w:type="dxa"/>
          </w:tcPr>
          <w:p w:rsidR="00EB4A0A" w:rsidRPr="003C1B12" w:rsidRDefault="00EB4A0A" w:rsidP="00EB4A0A">
            <w:pPr>
              <w:rPr>
                <w:rFonts w:ascii="Times New Roman" w:hAnsi="Times New Roman" w:cs="Times New Roman"/>
                <w:sz w:val="24"/>
                <w:szCs w:val="24"/>
              </w:rPr>
            </w:pPr>
            <w:r w:rsidRPr="003C1B12">
              <w:rPr>
                <w:rFonts w:ascii="Times New Roman" w:hAnsi="Times New Roman" w:cs="Times New Roman"/>
                <w:sz w:val="24"/>
                <w:szCs w:val="24"/>
              </w:rPr>
              <w:t>Pieteikuma iesniedzējs – EM</w:t>
            </w:r>
          </w:p>
          <w:p w:rsidR="00EB4A0A" w:rsidRPr="003C1B12" w:rsidRDefault="00EB4A0A" w:rsidP="00EB4A0A">
            <w:pPr>
              <w:rPr>
                <w:rFonts w:ascii="Times New Roman" w:hAnsi="Times New Roman" w:cs="Times New Roman"/>
                <w:sz w:val="24"/>
                <w:szCs w:val="24"/>
              </w:rPr>
            </w:pPr>
            <w:r w:rsidRPr="003C1B12">
              <w:rPr>
                <w:rFonts w:ascii="Times New Roman" w:hAnsi="Times New Roman" w:cs="Times New Roman"/>
                <w:sz w:val="24"/>
                <w:szCs w:val="24"/>
              </w:rPr>
              <w:t>Finansējuma saņēmējs - EM</w:t>
            </w:r>
          </w:p>
        </w:tc>
      </w:tr>
      <w:tr w:rsidR="00EB4A0A" w:rsidRPr="003C1B12" w:rsidTr="00BA318B">
        <w:tc>
          <w:tcPr>
            <w:tcW w:w="2229" w:type="dxa"/>
          </w:tcPr>
          <w:p w:rsidR="00EB4A0A" w:rsidRPr="003C1B12" w:rsidRDefault="00EB4A0A" w:rsidP="00EB4A0A">
            <w:pPr>
              <w:rPr>
                <w:rFonts w:ascii="Times New Roman" w:hAnsi="Times New Roman" w:cs="Times New Roman"/>
                <w:sz w:val="24"/>
                <w:szCs w:val="24"/>
              </w:rPr>
            </w:pPr>
            <w:r w:rsidRPr="003C1B12">
              <w:rPr>
                <w:rFonts w:ascii="Times New Roman" w:hAnsi="Times New Roman" w:cs="Times New Roman"/>
                <w:sz w:val="24"/>
              </w:rPr>
              <w:t>Gala atbalsta saņēmēji</w:t>
            </w:r>
          </w:p>
        </w:tc>
        <w:tc>
          <w:tcPr>
            <w:tcW w:w="6832" w:type="dxa"/>
          </w:tcPr>
          <w:p w:rsidR="00EB4A0A" w:rsidRPr="003C1B12" w:rsidRDefault="00EB4A0A" w:rsidP="00EB4A0A">
            <w:pPr>
              <w:rPr>
                <w:rFonts w:ascii="Times New Roman" w:hAnsi="Times New Roman" w:cs="Times New Roman"/>
                <w:sz w:val="24"/>
                <w:szCs w:val="24"/>
              </w:rPr>
            </w:pPr>
            <w:r w:rsidRPr="003C1B12">
              <w:rPr>
                <w:rFonts w:ascii="Times New Roman" w:hAnsi="Times New Roman" w:cs="Times New Roman"/>
                <w:sz w:val="24"/>
                <w:szCs w:val="24"/>
              </w:rPr>
              <w:t>EM</w:t>
            </w:r>
          </w:p>
        </w:tc>
      </w:tr>
      <w:tr w:rsidR="00EB4A0A" w:rsidRPr="003C1B12" w:rsidTr="00BA318B">
        <w:tc>
          <w:tcPr>
            <w:tcW w:w="2229" w:type="dxa"/>
          </w:tcPr>
          <w:p w:rsidR="00EB4A0A" w:rsidRPr="003C1B12" w:rsidRDefault="00EB4A0A" w:rsidP="00EB4A0A">
            <w:pPr>
              <w:rPr>
                <w:rFonts w:ascii="Times New Roman" w:hAnsi="Times New Roman" w:cs="Times New Roman"/>
                <w:sz w:val="24"/>
                <w:szCs w:val="24"/>
              </w:rPr>
            </w:pPr>
            <w:r w:rsidRPr="003C1B12">
              <w:rPr>
                <w:rFonts w:ascii="Times New Roman" w:hAnsi="Times New Roman" w:cs="Times New Roman"/>
                <w:sz w:val="24"/>
              </w:rPr>
              <w:t>Finansējuma apjoms un  intensitāte</w:t>
            </w:r>
          </w:p>
        </w:tc>
        <w:tc>
          <w:tcPr>
            <w:tcW w:w="6832" w:type="dxa"/>
          </w:tcPr>
          <w:p w:rsidR="00EB4A0A" w:rsidRPr="003C1B12" w:rsidRDefault="00EB4A0A" w:rsidP="00EB4A0A">
            <w:pPr>
              <w:rPr>
                <w:rFonts w:ascii="Times New Roman" w:hAnsi="Times New Roman" w:cs="Times New Roman"/>
                <w:sz w:val="24"/>
                <w:szCs w:val="24"/>
              </w:rPr>
            </w:pPr>
            <w:r w:rsidRPr="003C1B12">
              <w:rPr>
                <w:rFonts w:ascii="Times New Roman" w:hAnsi="Times New Roman" w:cs="Times New Roman"/>
                <w:sz w:val="24"/>
                <w:szCs w:val="24"/>
              </w:rPr>
              <w:t>1 000 000 EUR, 100% intensitāte</w:t>
            </w:r>
            <w:r w:rsidR="00DE443D" w:rsidRPr="003C1B12">
              <w:rPr>
                <w:rFonts w:ascii="Times New Roman" w:hAnsi="Times New Roman" w:cs="Times New Roman"/>
                <w:sz w:val="24"/>
                <w:szCs w:val="24"/>
              </w:rPr>
              <w:t>.</w:t>
            </w:r>
          </w:p>
          <w:p w:rsidR="00DE443D" w:rsidRPr="003C1B12" w:rsidRDefault="00DE443D" w:rsidP="00EB4A0A">
            <w:pPr>
              <w:rPr>
                <w:rFonts w:ascii="Times New Roman" w:hAnsi="Times New Roman" w:cs="Times New Roman"/>
                <w:sz w:val="24"/>
                <w:szCs w:val="24"/>
              </w:rPr>
            </w:pPr>
            <w:r w:rsidRPr="003C1B12">
              <w:rPr>
                <w:rFonts w:ascii="Times New Roman" w:hAnsi="Times New Roman" w:cs="Times New Roman"/>
                <w:sz w:val="24"/>
                <w:szCs w:val="24"/>
              </w:rPr>
              <w:t>690 000 EUR paredzēti Ekonomikas ministrijas darbinieku atalgojumam un darba vietu ierīkošanai, 225 000 EUR paredzēti starptautiskās projektu un projektu rezultātu izvērtēšanas organizēšanai, 36 000 EUR paredzēti ikgadējas konferences organizēšanai par kompetences centra pētījumiem. 47 550 EUR ir neparedzētās izmaksas 5% apmērā.</w:t>
            </w:r>
          </w:p>
        </w:tc>
      </w:tr>
      <w:tr w:rsidR="00EB4A0A" w:rsidRPr="003C1B12" w:rsidTr="00BA318B">
        <w:tc>
          <w:tcPr>
            <w:tcW w:w="2229" w:type="dxa"/>
          </w:tcPr>
          <w:p w:rsidR="00EB4A0A" w:rsidRPr="003C1B12" w:rsidRDefault="00EB4A0A" w:rsidP="00EB4A0A">
            <w:pPr>
              <w:rPr>
                <w:rFonts w:ascii="Times New Roman" w:hAnsi="Times New Roman" w:cs="Times New Roman"/>
                <w:sz w:val="24"/>
                <w:szCs w:val="24"/>
              </w:rPr>
            </w:pPr>
            <w:r w:rsidRPr="003C1B12">
              <w:rPr>
                <w:rFonts w:ascii="Times New Roman" w:hAnsi="Times New Roman" w:cs="Times New Roman"/>
                <w:sz w:val="24"/>
              </w:rPr>
              <w:t>Attiecināmās izmaksas</w:t>
            </w:r>
          </w:p>
        </w:tc>
        <w:tc>
          <w:tcPr>
            <w:tcW w:w="6832" w:type="dxa"/>
          </w:tcPr>
          <w:p w:rsidR="00EB4A0A" w:rsidRPr="003C1B12" w:rsidRDefault="00EB4A0A" w:rsidP="00EB4A0A">
            <w:pPr>
              <w:rPr>
                <w:rFonts w:ascii="Times New Roman" w:hAnsi="Times New Roman" w:cs="Times New Roman"/>
                <w:sz w:val="24"/>
                <w:szCs w:val="24"/>
              </w:rPr>
            </w:pPr>
            <w:r w:rsidRPr="003C1B12">
              <w:rPr>
                <w:rFonts w:ascii="Times New Roman" w:hAnsi="Times New Roman" w:cs="Times New Roman"/>
                <w:sz w:val="24"/>
                <w:szCs w:val="24"/>
              </w:rPr>
              <w:t>Ar projektu koordinācijas un īstenošanas uzraudzību saistītās izmaksas:</w:t>
            </w:r>
          </w:p>
          <w:p w:rsidR="00EB4A0A" w:rsidRPr="003C1B12" w:rsidRDefault="00EB4A0A" w:rsidP="00EB4A0A">
            <w:pPr>
              <w:rPr>
                <w:rFonts w:ascii="Times New Roman" w:hAnsi="Times New Roman" w:cs="Times New Roman"/>
                <w:sz w:val="24"/>
                <w:szCs w:val="24"/>
              </w:rPr>
            </w:pPr>
            <w:r w:rsidRPr="003C1B12">
              <w:rPr>
                <w:rFonts w:ascii="Times New Roman" w:hAnsi="Times New Roman" w:cs="Times New Roman"/>
                <w:sz w:val="24"/>
                <w:szCs w:val="24"/>
              </w:rPr>
              <w:t>•</w:t>
            </w:r>
            <w:r w:rsidRPr="003C1B12">
              <w:rPr>
                <w:rFonts w:ascii="Times New Roman" w:hAnsi="Times New Roman" w:cs="Times New Roman"/>
                <w:sz w:val="24"/>
                <w:szCs w:val="24"/>
              </w:rPr>
              <w:tab/>
              <w:t>3-5 darbinieku atlīdzība;</w:t>
            </w:r>
          </w:p>
          <w:p w:rsidR="00EB4A0A" w:rsidRPr="003C1B12" w:rsidRDefault="00EB4A0A" w:rsidP="00EB4A0A">
            <w:pPr>
              <w:rPr>
                <w:rFonts w:ascii="Times New Roman" w:hAnsi="Times New Roman" w:cs="Times New Roman"/>
                <w:sz w:val="24"/>
                <w:szCs w:val="24"/>
              </w:rPr>
            </w:pPr>
            <w:r w:rsidRPr="003C1B12">
              <w:rPr>
                <w:rFonts w:ascii="Times New Roman" w:hAnsi="Times New Roman" w:cs="Times New Roman"/>
                <w:sz w:val="24"/>
                <w:szCs w:val="24"/>
              </w:rPr>
              <w:t>•</w:t>
            </w:r>
            <w:r w:rsidRPr="003C1B12">
              <w:rPr>
                <w:rFonts w:ascii="Times New Roman" w:hAnsi="Times New Roman" w:cs="Times New Roman"/>
                <w:sz w:val="24"/>
                <w:szCs w:val="24"/>
              </w:rPr>
              <w:tab/>
              <w:t>Komandējuma (darba brauciena) izmaksas;</w:t>
            </w:r>
          </w:p>
          <w:p w:rsidR="00EB4A0A" w:rsidRPr="003C1B12" w:rsidRDefault="00EB4A0A" w:rsidP="00EB4A0A">
            <w:pPr>
              <w:rPr>
                <w:rFonts w:ascii="Times New Roman" w:hAnsi="Times New Roman" w:cs="Times New Roman"/>
                <w:sz w:val="24"/>
                <w:szCs w:val="24"/>
              </w:rPr>
            </w:pPr>
            <w:r w:rsidRPr="003C1B12">
              <w:rPr>
                <w:rFonts w:ascii="Times New Roman" w:hAnsi="Times New Roman" w:cs="Times New Roman"/>
                <w:sz w:val="24"/>
                <w:szCs w:val="24"/>
              </w:rPr>
              <w:t>•</w:t>
            </w:r>
            <w:r w:rsidRPr="003C1B12">
              <w:rPr>
                <w:rFonts w:ascii="Times New Roman" w:hAnsi="Times New Roman" w:cs="Times New Roman"/>
                <w:sz w:val="24"/>
                <w:szCs w:val="24"/>
              </w:rPr>
              <w:tab/>
              <w:t xml:space="preserve">Ārējo ekspertu piesaistes; </w:t>
            </w:r>
          </w:p>
          <w:p w:rsidR="00EB4A0A" w:rsidRPr="003C1B12" w:rsidRDefault="00EB4A0A" w:rsidP="00EB4A0A">
            <w:pPr>
              <w:rPr>
                <w:rFonts w:ascii="Times New Roman" w:hAnsi="Times New Roman" w:cs="Times New Roman"/>
                <w:sz w:val="24"/>
                <w:szCs w:val="24"/>
              </w:rPr>
            </w:pPr>
            <w:r w:rsidRPr="003C1B12">
              <w:rPr>
                <w:rFonts w:ascii="Times New Roman" w:hAnsi="Times New Roman" w:cs="Times New Roman"/>
                <w:sz w:val="24"/>
                <w:szCs w:val="24"/>
              </w:rPr>
              <w:t>•</w:t>
            </w:r>
            <w:r w:rsidRPr="003C1B12">
              <w:rPr>
                <w:rFonts w:ascii="Times New Roman" w:hAnsi="Times New Roman" w:cs="Times New Roman"/>
                <w:sz w:val="24"/>
                <w:szCs w:val="24"/>
              </w:rPr>
              <w:tab/>
              <w:t>Telpu, instrumentu un materiālu izmaksas;</w:t>
            </w:r>
          </w:p>
          <w:p w:rsidR="00EB4A0A" w:rsidRPr="003C1B12" w:rsidRDefault="00EB4A0A" w:rsidP="00EB4A0A">
            <w:pPr>
              <w:rPr>
                <w:rFonts w:ascii="Times New Roman" w:hAnsi="Times New Roman" w:cs="Times New Roman"/>
                <w:sz w:val="24"/>
                <w:szCs w:val="24"/>
              </w:rPr>
            </w:pPr>
            <w:r w:rsidRPr="003C1B12">
              <w:rPr>
                <w:rFonts w:ascii="Times New Roman" w:hAnsi="Times New Roman" w:cs="Times New Roman"/>
                <w:sz w:val="24"/>
                <w:szCs w:val="24"/>
              </w:rPr>
              <w:t>•</w:t>
            </w:r>
            <w:r w:rsidRPr="003C1B12">
              <w:rPr>
                <w:rFonts w:ascii="Times New Roman" w:hAnsi="Times New Roman" w:cs="Times New Roman"/>
                <w:sz w:val="24"/>
                <w:szCs w:val="24"/>
              </w:rPr>
              <w:tab/>
              <w:t>Ārējo pakalpojumu izmaksas.</w:t>
            </w:r>
          </w:p>
        </w:tc>
      </w:tr>
      <w:tr w:rsidR="00EB4A0A" w:rsidRPr="003C1B12" w:rsidTr="00BA318B">
        <w:tc>
          <w:tcPr>
            <w:tcW w:w="2229" w:type="dxa"/>
          </w:tcPr>
          <w:p w:rsidR="00EB4A0A" w:rsidRPr="003C1B12" w:rsidRDefault="00EB4A0A" w:rsidP="00EB4A0A">
            <w:pPr>
              <w:rPr>
                <w:rFonts w:ascii="Times New Roman" w:hAnsi="Times New Roman" w:cs="Times New Roman"/>
                <w:sz w:val="24"/>
                <w:szCs w:val="24"/>
              </w:rPr>
            </w:pPr>
            <w:r w:rsidRPr="003C1B12">
              <w:rPr>
                <w:rFonts w:ascii="Times New Roman" w:hAnsi="Times New Roman" w:cs="Times New Roman"/>
                <w:sz w:val="24"/>
                <w:szCs w:val="24"/>
              </w:rPr>
              <w:t>Atbalsta periods</w:t>
            </w:r>
          </w:p>
        </w:tc>
        <w:tc>
          <w:tcPr>
            <w:tcW w:w="6832" w:type="dxa"/>
          </w:tcPr>
          <w:p w:rsidR="00EB4A0A" w:rsidRPr="003C1B12" w:rsidRDefault="00EB4A0A" w:rsidP="00EB4A0A">
            <w:pPr>
              <w:rPr>
                <w:rFonts w:ascii="Times New Roman" w:hAnsi="Times New Roman" w:cs="Times New Roman"/>
                <w:sz w:val="24"/>
                <w:szCs w:val="24"/>
              </w:rPr>
            </w:pPr>
            <w:r w:rsidRPr="003C1B12">
              <w:rPr>
                <w:rFonts w:ascii="Times New Roman" w:hAnsi="Times New Roman" w:cs="Times New Roman"/>
                <w:sz w:val="24"/>
                <w:szCs w:val="24"/>
              </w:rPr>
              <w:t>2016.gada sākums – 2021.gada beigas.</w:t>
            </w:r>
          </w:p>
        </w:tc>
      </w:tr>
      <w:tr w:rsidR="00AE6CF3" w:rsidRPr="003C1B12" w:rsidTr="00EB4A0A">
        <w:tc>
          <w:tcPr>
            <w:tcW w:w="2229" w:type="dxa"/>
          </w:tcPr>
          <w:p w:rsidR="00AE6CF3" w:rsidRPr="003C1B12" w:rsidRDefault="00AE6CF3" w:rsidP="00EB4A0A">
            <w:pPr>
              <w:rPr>
                <w:rFonts w:ascii="Times New Roman" w:hAnsi="Times New Roman" w:cs="Times New Roman"/>
                <w:sz w:val="24"/>
                <w:szCs w:val="24"/>
              </w:rPr>
            </w:pPr>
            <w:r w:rsidRPr="003C1B12">
              <w:rPr>
                <w:rFonts w:ascii="Times New Roman" w:hAnsi="Times New Roman" w:cs="Times New Roman"/>
                <w:sz w:val="24"/>
                <w:szCs w:val="24"/>
              </w:rPr>
              <w:t xml:space="preserve">Funkcijas un </w:t>
            </w:r>
            <w:r w:rsidRPr="003C1B12">
              <w:rPr>
                <w:rFonts w:ascii="Times New Roman" w:hAnsi="Times New Roman" w:cs="Times New Roman"/>
                <w:sz w:val="24"/>
                <w:szCs w:val="24"/>
              </w:rPr>
              <w:lastRenderedPageBreak/>
              <w:t>atbildība</w:t>
            </w:r>
          </w:p>
        </w:tc>
        <w:tc>
          <w:tcPr>
            <w:tcW w:w="6832" w:type="dxa"/>
          </w:tcPr>
          <w:p w:rsidR="00AE6CF3" w:rsidRPr="003C1B12" w:rsidRDefault="00AE6CF3" w:rsidP="00BA318B">
            <w:pPr>
              <w:pStyle w:val="ListParagraph"/>
              <w:numPr>
                <w:ilvl w:val="0"/>
                <w:numId w:val="41"/>
              </w:numPr>
              <w:rPr>
                <w:rFonts w:ascii="Times New Roman" w:hAnsi="Times New Roman" w:cs="Times New Roman"/>
                <w:sz w:val="24"/>
                <w:szCs w:val="24"/>
              </w:rPr>
            </w:pPr>
            <w:r w:rsidRPr="003C1B12">
              <w:rPr>
                <w:rFonts w:ascii="Times New Roman" w:hAnsi="Times New Roman" w:cs="Times New Roman"/>
                <w:sz w:val="24"/>
                <w:szCs w:val="24"/>
              </w:rPr>
              <w:lastRenderedPageBreak/>
              <w:t>Piedalīšanās projektu atlases sēdēs;</w:t>
            </w:r>
          </w:p>
          <w:p w:rsidR="00AE6CF3" w:rsidRPr="003C1B12" w:rsidRDefault="00AE6CF3" w:rsidP="00BA318B">
            <w:pPr>
              <w:pStyle w:val="ListParagraph"/>
              <w:numPr>
                <w:ilvl w:val="0"/>
                <w:numId w:val="41"/>
              </w:numPr>
              <w:rPr>
                <w:rFonts w:ascii="Times New Roman" w:hAnsi="Times New Roman" w:cs="Times New Roman"/>
                <w:sz w:val="24"/>
                <w:szCs w:val="24"/>
              </w:rPr>
            </w:pPr>
            <w:r w:rsidRPr="003C1B12">
              <w:rPr>
                <w:rFonts w:ascii="Times New Roman" w:hAnsi="Times New Roman" w:cs="Times New Roman"/>
                <w:sz w:val="24"/>
                <w:szCs w:val="24"/>
              </w:rPr>
              <w:lastRenderedPageBreak/>
              <w:t>Atzinumu sniegšana par projektu atbilstību KC stratēģijai;</w:t>
            </w:r>
          </w:p>
          <w:p w:rsidR="00B05A12" w:rsidRPr="003C1B12" w:rsidRDefault="00B05A12" w:rsidP="00BA318B">
            <w:pPr>
              <w:pStyle w:val="ListParagraph"/>
              <w:numPr>
                <w:ilvl w:val="0"/>
                <w:numId w:val="41"/>
              </w:numPr>
              <w:rPr>
                <w:rFonts w:ascii="Times New Roman" w:hAnsi="Times New Roman" w:cs="Times New Roman"/>
                <w:sz w:val="24"/>
                <w:szCs w:val="24"/>
              </w:rPr>
            </w:pPr>
            <w:r w:rsidRPr="003C1B12">
              <w:rPr>
                <w:rFonts w:ascii="Times New Roman" w:hAnsi="Times New Roman" w:cs="Times New Roman"/>
                <w:sz w:val="24"/>
                <w:szCs w:val="24"/>
              </w:rPr>
              <w:t>Sekošana līdzi projektu starpposmu rādītāju izpildei un KC mērķa rādītāju sasniegšanai</w:t>
            </w:r>
          </w:p>
          <w:p w:rsidR="00AE6CF3" w:rsidRPr="003C1B12" w:rsidRDefault="00AE6CF3" w:rsidP="00BA318B">
            <w:pPr>
              <w:pStyle w:val="ListParagraph"/>
              <w:numPr>
                <w:ilvl w:val="0"/>
                <w:numId w:val="41"/>
              </w:numPr>
              <w:rPr>
                <w:rFonts w:ascii="Times New Roman" w:hAnsi="Times New Roman" w:cs="Times New Roman"/>
                <w:sz w:val="24"/>
                <w:szCs w:val="24"/>
              </w:rPr>
            </w:pPr>
            <w:r w:rsidRPr="003C1B12">
              <w:rPr>
                <w:rFonts w:ascii="Times New Roman" w:hAnsi="Times New Roman" w:cs="Times New Roman"/>
                <w:sz w:val="24"/>
                <w:szCs w:val="24"/>
              </w:rPr>
              <w:t xml:space="preserve">Ikgadēju publisku kompetences centru pētījumu </w:t>
            </w:r>
            <w:r w:rsidR="00B05A12" w:rsidRPr="003C1B12">
              <w:rPr>
                <w:rFonts w:ascii="Times New Roman" w:hAnsi="Times New Roman" w:cs="Times New Roman"/>
                <w:sz w:val="24"/>
                <w:szCs w:val="24"/>
              </w:rPr>
              <w:t>prezentāciju organizēšana;</w:t>
            </w:r>
          </w:p>
          <w:p w:rsidR="00DE443D" w:rsidRPr="003C1B12" w:rsidRDefault="00DE443D" w:rsidP="00BA318B">
            <w:pPr>
              <w:pStyle w:val="ListParagraph"/>
              <w:numPr>
                <w:ilvl w:val="0"/>
                <w:numId w:val="41"/>
              </w:numPr>
              <w:rPr>
                <w:rFonts w:ascii="Times New Roman" w:hAnsi="Times New Roman" w:cs="Times New Roman"/>
                <w:sz w:val="24"/>
                <w:szCs w:val="24"/>
              </w:rPr>
            </w:pPr>
            <w:r w:rsidRPr="003C1B12">
              <w:rPr>
                <w:rFonts w:ascii="Times New Roman" w:hAnsi="Times New Roman" w:cs="Times New Roman"/>
                <w:sz w:val="24"/>
                <w:szCs w:val="24"/>
              </w:rPr>
              <w:t>Nepieciešamo uzlabojumu veikšana KC programmā.</w:t>
            </w:r>
          </w:p>
          <w:p w:rsidR="00C74EE0" w:rsidRPr="003C1B12" w:rsidRDefault="00C74EE0" w:rsidP="00C74EE0">
            <w:pPr>
              <w:rPr>
                <w:rFonts w:ascii="Times New Roman" w:hAnsi="Times New Roman" w:cs="Times New Roman"/>
                <w:sz w:val="24"/>
                <w:szCs w:val="24"/>
              </w:rPr>
            </w:pPr>
          </w:p>
          <w:p w:rsidR="00C74EE0" w:rsidRPr="003C1B12" w:rsidRDefault="00C74EE0" w:rsidP="00C74EE0">
            <w:pPr>
              <w:rPr>
                <w:rFonts w:ascii="Times New Roman" w:hAnsi="Times New Roman" w:cs="Times New Roman"/>
                <w:sz w:val="24"/>
                <w:szCs w:val="24"/>
              </w:rPr>
            </w:pPr>
            <w:r w:rsidRPr="003C1B12">
              <w:rPr>
                <w:rFonts w:ascii="Times New Roman" w:hAnsi="Times New Roman" w:cs="Times New Roman"/>
                <w:sz w:val="24"/>
                <w:szCs w:val="24"/>
              </w:rPr>
              <w:t>Pārvaldības projekta ieguldījums inovāciju politikas labākas vadības nodrošināšanai, kā arī politikas veidotāju kapacitātes stiprināšanai tiks nodrošināts sekojošos veidos:</w:t>
            </w:r>
          </w:p>
          <w:p w:rsidR="00C74EE0" w:rsidRPr="003C1B12" w:rsidRDefault="00C74EE0" w:rsidP="007A403C">
            <w:pPr>
              <w:pStyle w:val="ListParagraph"/>
              <w:numPr>
                <w:ilvl w:val="0"/>
                <w:numId w:val="48"/>
              </w:numPr>
              <w:rPr>
                <w:rFonts w:ascii="Times New Roman" w:hAnsi="Times New Roman" w:cs="Times New Roman"/>
                <w:sz w:val="24"/>
                <w:szCs w:val="24"/>
              </w:rPr>
            </w:pPr>
            <w:r w:rsidRPr="003C1B12">
              <w:rPr>
                <w:rFonts w:ascii="Times New Roman" w:hAnsi="Times New Roman" w:cs="Times New Roman"/>
                <w:sz w:val="24"/>
                <w:szCs w:val="24"/>
              </w:rPr>
              <w:t>Privātā sektora izglītošana par P&amp;A izmaksu uzrādīšanu statistikā (ņemot vērā Latvijas netipisko zemos privātā sektora ieguldījumus P&amp;A ir pamats uzskatīt, ka nozīmīga daļa no faktiski veiktiem darbiem netiek atspoguļoti statistikā);</w:t>
            </w:r>
          </w:p>
          <w:p w:rsidR="00C74EE0" w:rsidRPr="003C1B12" w:rsidRDefault="00C74EE0" w:rsidP="007A403C">
            <w:pPr>
              <w:pStyle w:val="ListParagraph"/>
              <w:numPr>
                <w:ilvl w:val="0"/>
                <w:numId w:val="48"/>
              </w:numPr>
              <w:rPr>
                <w:rFonts w:ascii="Times New Roman" w:hAnsi="Times New Roman" w:cs="Times New Roman"/>
                <w:sz w:val="24"/>
                <w:szCs w:val="24"/>
              </w:rPr>
            </w:pPr>
            <w:r w:rsidRPr="003C1B12">
              <w:rPr>
                <w:rFonts w:ascii="Times New Roman" w:hAnsi="Times New Roman" w:cs="Times New Roman"/>
                <w:sz w:val="24"/>
                <w:szCs w:val="24"/>
              </w:rPr>
              <w:t xml:space="preserve">Privātā sektora motivēšana sadarboties ar zinātniskajām institūcijām P&amp;A darbu veikšanā – KC labās prakses identificēšana un </w:t>
            </w:r>
            <w:r w:rsidR="00C74DDC" w:rsidRPr="003C1B12">
              <w:rPr>
                <w:rFonts w:ascii="Times New Roman" w:hAnsi="Times New Roman" w:cs="Times New Roman"/>
                <w:sz w:val="24"/>
                <w:szCs w:val="24"/>
              </w:rPr>
              <w:t>izplatīšana;</w:t>
            </w:r>
          </w:p>
          <w:p w:rsidR="00C74DDC" w:rsidRPr="003C1B12" w:rsidRDefault="00C74DDC" w:rsidP="007A403C">
            <w:pPr>
              <w:pStyle w:val="ListParagraph"/>
              <w:numPr>
                <w:ilvl w:val="0"/>
                <w:numId w:val="48"/>
              </w:numPr>
              <w:rPr>
                <w:rFonts w:ascii="Times New Roman" w:hAnsi="Times New Roman" w:cs="Times New Roman"/>
                <w:sz w:val="24"/>
                <w:szCs w:val="24"/>
              </w:rPr>
            </w:pPr>
            <w:r w:rsidRPr="003C1B12">
              <w:rPr>
                <w:rFonts w:ascii="Times New Roman" w:hAnsi="Times New Roman" w:cs="Times New Roman"/>
                <w:sz w:val="24"/>
                <w:szCs w:val="24"/>
              </w:rPr>
              <w:t>Lai arī KC programmā jau šobrīd ir iesaistīta lielākā daļa aktīvo P&amp;A veic</w:t>
            </w:r>
            <w:r w:rsidR="006D4FAE" w:rsidRPr="003C1B12">
              <w:rPr>
                <w:rFonts w:ascii="Times New Roman" w:hAnsi="Times New Roman" w:cs="Times New Roman"/>
                <w:sz w:val="24"/>
                <w:szCs w:val="24"/>
              </w:rPr>
              <w:t>ēju (komersantu), ir nepieciešams informēt arī pārējos komersantus par KC piedāvātajām iespējām;</w:t>
            </w:r>
          </w:p>
          <w:p w:rsidR="006D4FAE" w:rsidRPr="003C1B12" w:rsidRDefault="006D4FAE" w:rsidP="007A403C">
            <w:pPr>
              <w:pStyle w:val="ListParagraph"/>
              <w:numPr>
                <w:ilvl w:val="0"/>
                <w:numId w:val="48"/>
              </w:numPr>
              <w:rPr>
                <w:rFonts w:ascii="Times New Roman" w:hAnsi="Times New Roman" w:cs="Times New Roman"/>
                <w:sz w:val="24"/>
                <w:szCs w:val="24"/>
              </w:rPr>
            </w:pPr>
            <w:r w:rsidRPr="003C1B12">
              <w:rPr>
                <w:rFonts w:ascii="Times New Roman" w:hAnsi="Times New Roman" w:cs="Times New Roman"/>
                <w:sz w:val="24"/>
                <w:szCs w:val="24"/>
              </w:rPr>
              <w:t>KC labās prakses izplatīšana ārpus KC iesaistīto komersantu loka;</w:t>
            </w:r>
          </w:p>
          <w:p w:rsidR="006D4FAE" w:rsidRPr="003C1B12" w:rsidRDefault="006D4FAE" w:rsidP="007A403C">
            <w:pPr>
              <w:pStyle w:val="ListParagraph"/>
              <w:numPr>
                <w:ilvl w:val="0"/>
                <w:numId w:val="48"/>
              </w:numPr>
              <w:rPr>
                <w:rFonts w:ascii="Times New Roman" w:hAnsi="Times New Roman" w:cs="Times New Roman"/>
                <w:sz w:val="24"/>
                <w:szCs w:val="24"/>
              </w:rPr>
            </w:pPr>
            <w:r w:rsidRPr="003C1B12">
              <w:rPr>
                <w:rFonts w:ascii="Times New Roman" w:hAnsi="Times New Roman" w:cs="Times New Roman"/>
                <w:sz w:val="24"/>
                <w:szCs w:val="24"/>
              </w:rPr>
              <w:t xml:space="preserve">Ekonomikas ministrijas deleģētu pārstāvju piedalīšanās </w:t>
            </w:r>
            <w:r w:rsidR="007A403C" w:rsidRPr="003C1B12">
              <w:rPr>
                <w:rFonts w:ascii="Times New Roman" w:hAnsi="Times New Roman" w:cs="Times New Roman"/>
                <w:sz w:val="24"/>
                <w:szCs w:val="24"/>
              </w:rPr>
              <w:t xml:space="preserve">KC darbā ar konsultatīvām funkcijām ļaus ātrāk saņemt atgriezenisko saiti par KC programmā nepieciešamajiem uzlabojumiem. </w:t>
            </w:r>
          </w:p>
          <w:p w:rsidR="00C74EE0" w:rsidRPr="003C1B12" w:rsidRDefault="00C74EE0" w:rsidP="00C74EE0">
            <w:pPr>
              <w:rPr>
                <w:rFonts w:ascii="Times New Roman" w:hAnsi="Times New Roman" w:cs="Times New Roman"/>
                <w:sz w:val="24"/>
                <w:szCs w:val="24"/>
              </w:rPr>
            </w:pPr>
          </w:p>
          <w:p w:rsidR="00C74EE0" w:rsidRPr="003C1B12" w:rsidRDefault="007A403C" w:rsidP="00C74EE0">
            <w:pPr>
              <w:rPr>
                <w:rFonts w:ascii="Times New Roman" w:hAnsi="Times New Roman" w:cs="Times New Roman"/>
                <w:sz w:val="24"/>
                <w:szCs w:val="24"/>
              </w:rPr>
            </w:pPr>
            <w:r w:rsidRPr="003C1B12">
              <w:rPr>
                <w:rFonts w:ascii="Times New Roman" w:hAnsi="Times New Roman" w:cs="Times New Roman"/>
                <w:sz w:val="24"/>
                <w:szCs w:val="24"/>
              </w:rPr>
              <w:t>Līdz ar to pārvaldības projekta mērķis ir efektīvāka KC projektu īstenošana un KC projektiem noteikto rādītāju sasniegšana.</w:t>
            </w:r>
          </w:p>
          <w:p w:rsidR="00C74EE0" w:rsidRPr="003C1B12" w:rsidRDefault="007A403C" w:rsidP="007A403C">
            <w:pPr>
              <w:rPr>
                <w:rFonts w:ascii="Times New Roman" w:hAnsi="Times New Roman" w:cs="Times New Roman"/>
                <w:sz w:val="24"/>
                <w:szCs w:val="24"/>
              </w:rPr>
            </w:pPr>
            <w:r w:rsidRPr="003C1B12">
              <w:rPr>
                <w:rFonts w:ascii="Times New Roman" w:hAnsi="Times New Roman" w:cs="Times New Roman"/>
                <w:sz w:val="24"/>
                <w:szCs w:val="24"/>
              </w:rPr>
              <w:t xml:space="preserve">Papildus tam, paša pārvaldības projekta efektivitāti varēs novērtēt gan uzskaitot cik reizes no pārvaldības projekta finansēti darbinieki ir piedalījušies KC sēdēs, gan arī uzskaitot cik reizes un ar kādu rezultātu ir tikusi izplatīta informācija par iespējām iesaistīties KC un kā ir tikusi pārņemta KC labā prakse komersantos, kuri vēl nav iesaistīti KC darbībā. </w:t>
            </w:r>
          </w:p>
        </w:tc>
      </w:tr>
    </w:tbl>
    <w:p w:rsidR="00EB4A0A" w:rsidRPr="003C1B12" w:rsidRDefault="00EB4A0A" w:rsidP="00BA318B">
      <w:pPr>
        <w:spacing w:after="0" w:line="240" w:lineRule="auto"/>
        <w:ind w:firstLine="709"/>
        <w:rPr>
          <w:rFonts w:ascii="Times New Roman" w:hAnsi="Times New Roman" w:cs="Times New Roman"/>
          <w:sz w:val="24"/>
          <w:szCs w:val="24"/>
        </w:rPr>
      </w:pPr>
    </w:p>
    <w:p w:rsidR="00946A56" w:rsidRPr="003C1B12" w:rsidRDefault="00946A56" w:rsidP="00946A56">
      <w:pPr>
        <w:spacing w:after="0" w:line="240" w:lineRule="auto"/>
        <w:ind w:firstLine="709"/>
        <w:jc w:val="right"/>
        <w:rPr>
          <w:rFonts w:ascii="Times New Roman" w:hAnsi="Times New Roman" w:cs="Times New Roman"/>
          <w:sz w:val="24"/>
          <w:szCs w:val="24"/>
        </w:rPr>
      </w:pPr>
      <w:r w:rsidRPr="003C1B12">
        <w:rPr>
          <w:rFonts w:ascii="Times New Roman" w:hAnsi="Times New Roman" w:cs="Times New Roman"/>
          <w:sz w:val="24"/>
          <w:szCs w:val="24"/>
        </w:rPr>
        <w:t>Tabula Nr.</w:t>
      </w:r>
      <w:r w:rsidR="00205A56" w:rsidRPr="003C1B12">
        <w:rPr>
          <w:rFonts w:ascii="Times New Roman" w:hAnsi="Times New Roman" w:cs="Times New Roman"/>
          <w:sz w:val="24"/>
          <w:szCs w:val="24"/>
        </w:rPr>
        <w:t>10</w:t>
      </w:r>
    </w:p>
    <w:p w:rsidR="00946A56" w:rsidRPr="003C1B12" w:rsidRDefault="007B5BD9" w:rsidP="00946A56">
      <w:pPr>
        <w:spacing w:after="120" w:line="240" w:lineRule="auto"/>
        <w:jc w:val="center"/>
        <w:rPr>
          <w:rFonts w:ascii="Times New Roman" w:hAnsi="Times New Roman" w:cs="Times New Roman"/>
          <w:sz w:val="24"/>
          <w:szCs w:val="24"/>
        </w:rPr>
      </w:pPr>
      <w:r w:rsidRPr="003C1B12">
        <w:rPr>
          <w:rFonts w:ascii="Times New Roman" w:hAnsi="Times New Roman" w:cs="Times New Roman"/>
          <w:sz w:val="24"/>
          <w:szCs w:val="24"/>
        </w:rPr>
        <w:t>KC</w:t>
      </w:r>
      <w:r w:rsidR="00946A56" w:rsidRPr="003C1B12">
        <w:rPr>
          <w:rFonts w:ascii="Times New Roman" w:hAnsi="Times New Roman" w:cs="Times New Roman"/>
          <w:sz w:val="24"/>
          <w:szCs w:val="24"/>
        </w:rPr>
        <w:t xml:space="preserve"> programmas </w:t>
      </w:r>
      <w:r w:rsidR="00635048" w:rsidRPr="003C1B12">
        <w:rPr>
          <w:rFonts w:ascii="Times New Roman" w:hAnsi="Times New Roman" w:cs="Times New Roman"/>
          <w:sz w:val="24"/>
          <w:szCs w:val="24"/>
        </w:rPr>
        <w:t>2</w:t>
      </w:r>
      <w:r w:rsidR="00946A56" w:rsidRPr="003C1B12">
        <w:rPr>
          <w:rFonts w:ascii="Times New Roman" w:hAnsi="Times New Roman" w:cs="Times New Roman"/>
          <w:sz w:val="24"/>
          <w:szCs w:val="24"/>
        </w:rPr>
        <w:t xml:space="preserve">. un </w:t>
      </w:r>
      <w:r w:rsidR="00635048" w:rsidRPr="003C1B12">
        <w:rPr>
          <w:rFonts w:ascii="Times New Roman" w:hAnsi="Times New Roman" w:cs="Times New Roman"/>
          <w:sz w:val="24"/>
          <w:szCs w:val="24"/>
        </w:rPr>
        <w:t>4</w:t>
      </w:r>
      <w:r w:rsidR="00946A56" w:rsidRPr="003C1B12">
        <w:rPr>
          <w:rFonts w:ascii="Times New Roman" w:hAnsi="Times New Roman" w:cs="Times New Roman"/>
          <w:sz w:val="24"/>
          <w:szCs w:val="24"/>
        </w:rPr>
        <w:t>. kārtas pamata nosacījumi</w:t>
      </w: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03"/>
        <w:gridCol w:w="7014"/>
      </w:tblGrid>
      <w:tr w:rsidR="000C4557" w:rsidRPr="003C1B12" w:rsidTr="00946A56">
        <w:tc>
          <w:tcPr>
            <w:tcW w:w="0" w:type="auto"/>
            <w:shd w:val="clear" w:color="auto" w:fill="FFFFFF"/>
            <w:tcMar>
              <w:top w:w="45" w:type="dxa"/>
              <w:left w:w="45" w:type="dxa"/>
              <w:bottom w:w="45" w:type="dxa"/>
              <w:right w:w="45" w:type="dxa"/>
            </w:tcMar>
            <w:vAlign w:val="center"/>
            <w:hideMark/>
          </w:tcPr>
          <w:p w:rsidR="000C4557" w:rsidRPr="003C1B12" w:rsidRDefault="000C4557" w:rsidP="007A4CD3">
            <w:pPr>
              <w:pStyle w:val="Normal1"/>
              <w:rPr>
                <w:rFonts w:ascii="Times New Roman" w:hAnsi="Times New Roman" w:cs="Times New Roman"/>
                <w:sz w:val="24"/>
              </w:rPr>
            </w:pPr>
            <w:r w:rsidRPr="003C1B12">
              <w:rPr>
                <w:rFonts w:ascii="Times New Roman" w:hAnsi="Times New Roman" w:cs="Times New Roman"/>
                <w:sz w:val="24"/>
              </w:rPr>
              <w:t>Finansējuma saņēmējs</w:t>
            </w:r>
            <w:r w:rsidR="007A4CD3" w:rsidRPr="003C1B12">
              <w:rPr>
                <w:rFonts w:ascii="Times New Roman" w:hAnsi="Times New Roman" w:cs="Times New Roman"/>
                <w:sz w:val="24"/>
              </w:rPr>
              <w:t>/pieteikuma iesniedzējs</w:t>
            </w:r>
          </w:p>
        </w:tc>
        <w:tc>
          <w:tcPr>
            <w:tcW w:w="7014" w:type="dxa"/>
            <w:shd w:val="clear" w:color="auto" w:fill="FFFFFF"/>
            <w:tcMar>
              <w:top w:w="45" w:type="dxa"/>
              <w:left w:w="45" w:type="dxa"/>
              <w:bottom w:w="45" w:type="dxa"/>
              <w:right w:w="45" w:type="dxa"/>
            </w:tcMar>
            <w:vAlign w:val="center"/>
            <w:hideMark/>
          </w:tcPr>
          <w:p w:rsidR="007B54C3" w:rsidRPr="003C1B12" w:rsidRDefault="007B54C3" w:rsidP="00482A80">
            <w:pPr>
              <w:pStyle w:val="Normal1"/>
              <w:jc w:val="both"/>
              <w:rPr>
                <w:rFonts w:ascii="Times New Roman" w:hAnsi="Times New Roman" w:cs="Times New Roman"/>
                <w:color w:val="000000" w:themeColor="text1"/>
                <w:sz w:val="24"/>
                <w:szCs w:val="24"/>
                <w:shd w:val="clear" w:color="auto" w:fill="FFFFFF"/>
              </w:rPr>
            </w:pPr>
            <w:r w:rsidRPr="003C1B12">
              <w:rPr>
                <w:rFonts w:ascii="Times New Roman" w:hAnsi="Times New Roman" w:cs="Times New Roman"/>
                <w:color w:val="000000" w:themeColor="text1"/>
                <w:sz w:val="24"/>
                <w:szCs w:val="24"/>
                <w:shd w:val="clear" w:color="auto" w:fill="FFFFFF"/>
              </w:rPr>
              <w:t xml:space="preserve">Pieteikuma iesniedzējs – </w:t>
            </w:r>
            <w:r w:rsidR="00635048" w:rsidRPr="003C1B12">
              <w:rPr>
                <w:rFonts w:ascii="Times New Roman" w:hAnsi="Times New Roman" w:cs="Times New Roman"/>
                <w:color w:val="000000" w:themeColor="text1"/>
                <w:sz w:val="24"/>
                <w:szCs w:val="24"/>
                <w:shd w:val="clear" w:color="auto" w:fill="FFFFFF"/>
              </w:rPr>
              <w:t>KC</w:t>
            </w:r>
            <w:r w:rsidRPr="003C1B12">
              <w:rPr>
                <w:rFonts w:ascii="Times New Roman" w:hAnsi="Times New Roman" w:cs="Times New Roman"/>
                <w:color w:val="000000" w:themeColor="text1"/>
                <w:sz w:val="24"/>
                <w:szCs w:val="24"/>
                <w:shd w:val="clear" w:color="auto" w:fill="FFFFFF"/>
              </w:rPr>
              <w:t>.</w:t>
            </w:r>
          </w:p>
          <w:p w:rsidR="000C4557" w:rsidRPr="003C1B12" w:rsidRDefault="007B54C3" w:rsidP="00482A80">
            <w:pPr>
              <w:pStyle w:val="Normal1"/>
              <w:jc w:val="both"/>
              <w:rPr>
                <w:rFonts w:ascii="Times New Roman" w:hAnsi="Times New Roman" w:cs="Times New Roman"/>
                <w:color w:val="000000" w:themeColor="text1"/>
                <w:sz w:val="24"/>
                <w:szCs w:val="24"/>
                <w:shd w:val="clear" w:color="auto" w:fill="FFFFFF"/>
              </w:rPr>
            </w:pPr>
            <w:r w:rsidRPr="003C1B12">
              <w:rPr>
                <w:rFonts w:ascii="Times New Roman" w:hAnsi="Times New Roman" w:cs="Times New Roman"/>
                <w:color w:val="000000" w:themeColor="text1"/>
                <w:sz w:val="24"/>
                <w:szCs w:val="24"/>
                <w:shd w:val="clear" w:color="auto" w:fill="FFFFFF"/>
              </w:rPr>
              <w:t xml:space="preserve">Finansējuma saņēmēji – </w:t>
            </w:r>
            <w:r w:rsidR="00635048" w:rsidRPr="003C1B12">
              <w:rPr>
                <w:rFonts w:ascii="Times New Roman" w:hAnsi="Times New Roman" w:cs="Times New Roman"/>
                <w:color w:val="000000" w:themeColor="text1"/>
                <w:sz w:val="24"/>
                <w:szCs w:val="24"/>
                <w:shd w:val="clear" w:color="auto" w:fill="FFFFFF"/>
              </w:rPr>
              <w:t>KC</w:t>
            </w:r>
            <w:r w:rsidRPr="003C1B12">
              <w:rPr>
                <w:rFonts w:ascii="Times New Roman" w:hAnsi="Times New Roman" w:cs="Times New Roman"/>
                <w:color w:val="000000" w:themeColor="text1"/>
                <w:sz w:val="24"/>
                <w:szCs w:val="24"/>
                <w:shd w:val="clear" w:color="auto" w:fill="FFFFFF"/>
              </w:rPr>
              <w:t>, kas ir j</w:t>
            </w:r>
            <w:r w:rsidR="00482A80" w:rsidRPr="003C1B12">
              <w:rPr>
                <w:rFonts w:ascii="Times New Roman" w:hAnsi="Times New Roman" w:cs="Times New Roman"/>
                <w:color w:val="000000" w:themeColor="text1"/>
                <w:sz w:val="24"/>
                <w:szCs w:val="24"/>
                <w:shd w:val="clear" w:color="auto" w:fill="FFFFFF"/>
              </w:rPr>
              <w:t>uridiska</w:t>
            </w:r>
            <w:r w:rsidRPr="003C1B12">
              <w:rPr>
                <w:rFonts w:ascii="Times New Roman" w:hAnsi="Times New Roman" w:cs="Times New Roman"/>
                <w:color w:val="000000" w:themeColor="text1"/>
                <w:sz w:val="24"/>
                <w:szCs w:val="24"/>
                <w:shd w:val="clear" w:color="auto" w:fill="FFFFFF"/>
              </w:rPr>
              <w:t>s</w:t>
            </w:r>
            <w:r w:rsidR="00482A80" w:rsidRPr="003C1B12">
              <w:rPr>
                <w:rFonts w:ascii="Times New Roman" w:hAnsi="Times New Roman" w:cs="Times New Roman"/>
                <w:color w:val="000000" w:themeColor="text1"/>
                <w:sz w:val="24"/>
                <w:szCs w:val="24"/>
                <w:shd w:val="clear" w:color="auto" w:fill="FFFFFF"/>
              </w:rPr>
              <w:t xml:space="preserve"> persona</w:t>
            </w:r>
            <w:r w:rsidRPr="003C1B12">
              <w:rPr>
                <w:rFonts w:ascii="Times New Roman" w:hAnsi="Times New Roman" w:cs="Times New Roman"/>
                <w:color w:val="000000" w:themeColor="text1"/>
                <w:sz w:val="24"/>
                <w:szCs w:val="24"/>
                <w:shd w:val="clear" w:color="auto" w:fill="FFFFFF"/>
              </w:rPr>
              <w:t>s</w:t>
            </w:r>
            <w:r w:rsidR="00482A80" w:rsidRPr="003C1B12">
              <w:rPr>
                <w:rFonts w:ascii="Times New Roman" w:hAnsi="Times New Roman" w:cs="Times New Roman"/>
                <w:color w:val="000000" w:themeColor="text1"/>
                <w:sz w:val="24"/>
                <w:szCs w:val="24"/>
                <w:shd w:val="clear" w:color="auto" w:fill="FFFFFF"/>
              </w:rPr>
              <w:t>, kur</w:t>
            </w:r>
            <w:r w:rsidRPr="003C1B12">
              <w:rPr>
                <w:rFonts w:ascii="Times New Roman" w:hAnsi="Times New Roman" w:cs="Times New Roman"/>
                <w:color w:val="000000" w:themeColor="text1"/>
                <w:sz w:val="24"/>
                <w:szCs w:val="24"/>
                <w:shd w:val="clear" w:color="auto" w:fill="FFFFFF"/>
              </w:rPr>
              <w:t>u</w:t>
            </w:r>
            <w:r w:rsidR="00482A80" w:rsidRPr="003C1B12">
              <w:rPr>
                <w:rFonts w:ascii="Times New Roman" w:hAnsi="Times New Roman" w:cs="Times New Roman"/>
                <w:color w:val="000000" w:themeColor="text1"/>
                <w:sz w:val="24"/>
                <w:szCs w:val="24"/>
                <w:shd w:val="clear" w:color="auto" w:fill="FFFFFF"/>
              </w:rPr>
              <w:t xml:space="preserve"> kapitāla daļu turētāji ir vismaz pieci savstarpēji nesaistīti nozares sadarbības partneri.</w:t>
            </w:r>
            <w:r w:rsidR="008834E9" w:rsidRPr="003C1B12">
              <w:rPr>
                <w:rFonts w:ascii="Times New Roman" w:hAnsi="Times New Roman" w:cs="Times New Roman"/>
                <w:color w:val="000000" w:themeColor="text1"/>
                <w:sz w:val="24"/>
                <w:szCs w:val="24"/>
                <w:shd w:val="clear" w:color="auto" w:fill="FFFFFF"/>
              </w:rPr>
              <w:t xml:space="preserve"> </w:t>
            </w:r>
            <w:r w:rsidRPr="003C1B12">
              <w:rPr>
                <w:rFonts w:ascii="Times New Roman" w:hAnsi="Times New Roman" w:cs="Times New Roman"/>
                <w:color w:val="000000" w:themeColor="text1"/>
                <w:sz w:val="24"/>
                <w:szCs w:val="24"/>
                <w:shd w:val="clear" w:color="auto" w:fill="FFFFFF"/>
              </w:rPr>
              <w:t xml:space="preserve"> </w:t>
            </w:r>
            <w:r w:rsidR="007B5BD9" w:rsidRPr="003C1B12">
              <w:rPr>
                <w:rFonts w:ascii="Times New Roman" w:hAnsi="Times New Roman" w:cs="Times New Roman"/>
                <w:color w:val="000000" w:themeColor="text1"/>
                <w:sz w:val="24"/>
                <w:szCs w:val="24"/>
                <w:shd w:val="clear" w:color="auto" w:fill="FFFFFF"/>
              </w:rPr>
              <w:t>KC</w:t>
            </w:r>
            <w:r w:rsidR="00482A80" w:rsidRPr="003C1B12">
              <w:rPr>
                <w:rFonts w:ascii="Times New Roman" w:hAnsi="Times New Roman" w:cs="Times New Roman"/>
                <w:color w:val="000000" w:themeColor="text1"/>
                <w:sz w:val="24"/>
                <w:szCs w:val="24"/>
                <w:shd w:val="clear" w:color="auto" w:fill="FFFFFF"/>
              </w:rPr>
              <w:t xml:space="preserve"> ir vadošais partneris, kurš visu sadarbības partneru vārdā iesniedz </w:t>
            </w:r>
            <w:r w:rsidR="00466114" w:rsidRPr="003C1B12">
              <w:rPr>
                <w:rFonts w:ascii="Times New Roman" w:hAnsi="Times New Roman" w:cs="Times New Roman"/>
                <w:color w:val="000000" w:themeColor="text1"/>
                <w:sz w:val="24"/>
                <w:szCs w:val="24"/>
                <w:shd w:val="clear" w:color="auto" w:fill="FFFFFF"/>
              </w:rPr>
              <w:t xml:space="preserve">KC </w:t>
            </w:r>
            <w:r w:rsidRPr="003C1B12">
              <w:rPr>
                <w:rFonts w:ascii="Times New Roman" w:hAnsi="Times New Roman" w:cs="Times New Roman"/>
                <w:color w:val="000000" w:themeColor="text1"/>
                <w:sz w:val="24"/>
                <w:szCs w:val="24"/>
                <w:shd w:val="clear" w:color="auto" w:fill="FFFFFF"/>
              </w:rPr>
              <w:t>attīstības stratēģiju</w:t>
            </w:r>
            <w:r w:rsidR="00482A80" w:rsidRPr="003C1B12">
              <w:rPr>
                <w:rFonts w:ascii="Times New Roman" w:hAnsi="Times New Roman" w:cs="Times New Roman"/>
                <w:color w:val="000000" w:themeColor="text1"/>
                <w:sz w:val="24"/>
                <w:szCs w:val="24"/>
                <w:shd w:val="clear" w:color="auto" w:fill="FFFFFF"/>
              </w:rPr>
              <w:t xml:space="preserve">. Ja projekts tiek apstiprināts, </w:t>
            </w:r>
            <w:r w:rsidR="007B5BD9" w:rsidRPr="003C1B12">
              <w:rPr>
                <w:rFonts w:ascii="Times New Roman" w:hAnsi="Times New Roman" w:cs="Times New Roman"/>
                <w:color w:val="000000" w:themeColor="text1"/>
                <w:sz w:val="24"/>
                <w:szCs w:val="24"/>
                <w:shd w:val="clear" w:color="auto" w:fill="FFFFFF"/>
              </w:rPr>
              <w:t>KC</w:t>
            </w:r>
            <w:r w:rsidR="00482A80" w:rsidRPr="003C1B12">
              <w:rPr>
                <w:rFonts w:ascii="Times New Roman" w:hAnsi="Times New Roman" w:cs="Times New Roman"/>
                <w:color w:val="000000" w:themeColor="text1"/>
                <w:sz w:val="24"/>
                <w:szCs w:val="24"/>
                <w:shd w:val="clear" w:color="auto" w:fill="FFFFFF"/>
              </w:rPr>
              <w:t xml:space="preserve"> vada projekta īstenošanu</w:t>
            </w:r>
            <w:r w:rsidR="00CC0996" w:rsidRPr="003C1B12">
              <w:rPr>
                <w:rFonts w:ascii="Times New Roman" w:hAnsi="Times New Roman" w:cs="Times New Roman"/>
                <w:color w:val="000000" w:themeColor="text1"/>
                <w:sz w:val="24"/>
                <w:szCs w:val="24"/>
                <w:shd w:val="clear" w:color="auto" w:fill="FFFFFF"/>
              </w:rPr>
              <w:t>.</w:t>
            </w:r>
            <w:r w:rsidR="000B69E1" w:rsidRPr="003C1B12">
              <w:rPr>
                <w:rFonts w:ascii="Times New Roman" w:hAnsi="Times New Roman" w:cs="Times New Roman"/>
                <w:color w:val="000000" w:themeColor="text1"/>
                <w:sz w:val="24"/>
                <w:szCs w:val="24"/>
                <w:shd w:val="clear" w:color="auto" w:fill="FFFFFF"/>
              </w:rPr>
              <w:t xml:space="preserve"> </w:t>
            </w:r>
            <w:r w:rsidR="007B5BD9" w:rsidRPr="003C1B12">
              <w:rPr>
                <w:rFonts w:ascii="Times New Roman" w:hAnsi="Times New Roman" w:cs="Times New Roman"/>
                <w:color w:val="000000" w:themeColor="text1"/>
                <w:sz w:val="24"/>
                <w:szCs w:val="24"/>
                <w:shd w:val="clear" w:color="auto" w:fill="FFFFFF"/>
              </w:rPr>
              <w:t>KC</w:t>
            </w:r>
            <w:r w:rsidR="000B69E1" w:rsidRPr="003C1B12">
              <w:rPr>
                <w:rFonts w:ascii="Times New Roman" w:hAnsi="Times New Roman" w:cs="Times New Roman"/>
                <w:color w:val="000000" w:themeColor="text1"/>
                <w:sz w:val="24"/>
                <w:szCs w:val="24"/>
                <w:shd w:val="clear" w:color="auto" w:fill="FFFFFF"/>
              </w:rPr>
              <w:t xml:space="preserve"> </w:t>
            </w:r>
            <w:r w:rsidR="003266A5" w:rsidRPr="003C1B12">
              <w:rPr>
                <w:rFonts w:ascii="Times New Roman" w:hAnsi="Times New Roman" w:cs="Times New Roman"/>
                <w:color w:val="000000" w:themeColor="text1"/>
                <w:sz w:val="24"/>
                <w:szCs w:val="24"/>
                <w:shd w:val="clear" w:color="auto" w:fill="FFFFFF"/>
              </w:rPr>
              <w:t>pētniecības programmas plānots īstenot sekojošā</w:t>
            </w:r>
            <w:r w:rsidRPr="003C1B12">
              <w:rPr>
                <w:rFonts w:ascii="Times New Roman" w:hAnsi="Times New Roman" w:cs="Times New Roman"/>
                <w:color w:val="000000" w:themeColor="text1"/>
                <w:sz w:val="24"/>
                <w:szCs w:val="24"/>
                <w:shd w:val="clear" w:color="auto" w:fill="FFFFFF"/>
              </w:rPr>
              <w:t>s</w:t>
            </w:r>
            <w:r w:rsidR="003266A5" w:rsidRPr="003C1B12">
              <w:rPr>
                <w:rFonts w:ascii="Times New Roman" w:hAnsi="Times New Roman" w:cs="Times New Roman"/>
                <w:color w:val="000000" w:themeColor="text1"/>
                <w:sz w:val="24"/>
                <w:szCs w:val="24"/>
                <w:shd w:val="clear" w:color="auto" w:fill="FFFFFF"/>
              </w:rPr>
              <w:t xml:space="preserve"> viedās specializācijas jomā</w:t>
            </w:r>
            <w:r w:rsidRPr="003C1B12">
              <w:rPr>
                <w:rFonts w:ascii="Times New Roman" w:hAnsi="Times New Roman" w:cs="Times New Roman"/>
                <w:color w:val="000000" w:themeColor="text1"/>
                <w:sz w:val="24"/>
                <w:szCs w:val="24"/>
                <w:shd w:val="clear" w:color="auto" w:fill="FFFFFF"/>
              </w:rPr>
              <w:t>s</w:t>
            </w:r>
            <w:r w:rsidR="003266A5" w:rsidRPr="003C1B12">
              <w:rPr>
                <w:rFonts w:ascii="Times New Roman" w:hAnsi="Times New Roman" w:cs="Times New Roman"/>
                <w:color w:val="000000" w:themeColor="text1"/>
                <w:sz w:val="24"/>
                <w:szCs w:val="24"/>
                <w:shd w:val="clear" w:color="auto" w:fill="FFFFFF"/>
              </w:rPr>
              <w:t xml:space="preserve"> vai apakšjomā</w:t>
            </w:r>
            <w:r w:rsidRPr="003C1B12">
              <w:rPr>
                <w:rFonts w:ascii="Times New Roman" w:hAnsi="Times New Roman" w:cs="Times New Roman"/>
                <w:color w:val="000000" w:themeColor="text1"/>
                <w:sz w:val="24"/>
                <w:szCs w:val="24"/>
                <w:shd w:val="clear" w:color="auto" w:fill="FFFFFF"/>
              </w:rPr>
              <w:t>s</w:t>
            </w:r>
            <w:r w:rsidR="003266A5" w:rsidRPr="003C1B12">
              <w:rPr>
                <w:rFonts w:ascii="Times New Roman" w:hAnsi="Times New Roman" w:cs="Times New Roman"/>
                <w:color w:val="000000" w:themeColor="text1"/>
                <w:sz w:val="24"/>
                <w:szCs w:val="24"/>
                <w:shd w:val="clear" w:color="auto" w:fill="FFFFFF"/>
              </w:rPr>
              <w:t>:</w:t>
            </w:r>
          </w:p>
          <w:p w:rsidR="00CC0996" w:rsidRPr="003C1B12" w:rsidRDefault="00CC0996" w:rsidP="009D209C">
            <w:pPr>
              <w:pStyle w:val="Normal1"/>
              <w:numPr>
                <w:ilvl w:val="0"/>
                <w:numId w:val="26"/>
              </w:numPr>
              <w:jc w:val="both"/>
              <w:rPr>
                <w:rFonts w:ascii="Times New Roman" w:hAnsi="Times New Roman" w:cs="Times New Roman"/>
                <w:color w:val="000000" w:themeColor="text1"/>
                <w:sz w:val="24"/>
                <w:szCs w:val="24"/>
              </w:rPr>
            </w:pPr>
            <w:r w:rsidRPr="003C1B12">
              <w:rPr>
                <w:rFonts w:ascii="Times New Roman" w:hAnsi="Times New Roman" w:cs="Times New Roman"/>
                <w:bCs/>
                <w:kern w:val="24"/>
                <w:sz w:val="24"/>
                <w:szCs w:val="24"/>
              </w:rPr>
              <w:t>Zināšanu ietilpīga</w:t>
            </w:r>
            <w:r w:rsidR="00460723" w:rsidRPr="003C1B12">
              <w:rPr>
                <w:rFonts w:ascii="Times New Roman" w:hAnsi="Times New Roman" w:cs="Times New Roman"/>
                <w:bCs/>
                <w:kern w:val="24"/>
                <w:sz w:val="24"/>
                <w:szCs w:val="24"/>
              </w:rPr>
              <w:t>s</w:t>
            </w:r>
            <w:r w:rsidRPr="003C1B12">
              <w:rPr>
                <w:rFonts w:ascii="Times New Roman" w:hAnsi="Times New Roman" w:cs="Times New Roman"/>
                <w:bCs/>
                <w:kern w:val="24"/>
                <w:sz w:val="24"/>
                <w:szCs w:val="24"/>
              </w:rPr>
              <w:t xml:space="preserve"> bioekonomikas jomas apak</w:t>
            </w:r>
            <w:r w:rsidR="00C42A65" w:rsidRPr="003C1B12">
              <w:rPr>
                <w:rFonts w:ascii="Times New Roman" w:hAnsi="Times New Roman" w:cs="Times New Roman"/>
                <w:bCs/>
                <w:kern w:val="24"/>
                <w:sz w:val="24"/>
                <w:szCs w:val="24"/>
              </w:rPr>
              <w:t>šj</w:t>
            </w:r>
            <w:r w:rsidRPr="003C1B12">
              <w:rPr>
                <w:rFonts w:ascii="Times New Roman" w:hAnsi="Times New Roman" w:cs="Times New Roman"/>
                <w:bCs/>
                <w:kern w:val="24"/>
                <w:sz w:val="24"/>
                <w:szCs w:val="24"/>
              </w:rPr>
              <w:t>om</w:t>
            </w:r>
            <w:r w:rsidR="00C42A65" w:rsidRPr="003C1B12">
              <w:rPr>
                <w:rFonts w:ascii="Times New Roman" w:hAnsi="Times New Roman" w:cs="Times New Roman"/>
                <w:bCs/>
                <w:kern w:val="24"/>
                <w:sz w:val="24"/>
                <w:szCs w:val="24"/>
              </w:rPr>
              <w:t>ā</w:t>
            </w:r>
            <w:r w:rsidRPr="003C1B12">
              <w:rPr>
                <w:rFonts w:ascii="Times New Roman" w:hAnsi="Times New Roman" w:cs="Times New Roman"/>
                <w:bCs/>
                <w:kern w:val="24"/>
                <w:sz w:val="24"/>
                <w:szCs w:val="24"/>
              </w:rPr>
              <w:t xml:space="preserve"> </w:t>
            </w:r>
            <w:r w:rsidR="00991A1B" w:rsidRPr="003C1B12">
              <w:rPr>
                <w:rFonts w:ascii="Times New Roman" w:hAnsi="Times New Roman" w:cs="Times New Roman"/>
                <w:bCs/>
                <w:kern w:val="24"/>
                <w:sz w:val="24"/>
                <w:szCs w:val="24"/>
              </w:rPr>
              <w:t xml:space="preserve">inovatīvi risinājumi </w:t>
            </w:r>
            <w:r w:rsidR="00460723" w:rsidRPr="003C1B12">
              <w:rPr>
                <w:rFonts w:ascii="Times New Roman" w:hAnsi="Times New Roman" w:cs="Times New Roman"/>
                <w:bCs/>
                <w:kern w:val="24"/>
                <w:sz w:val="24"/>
                <w:szCs w:val="24"/>
              </w:rPr>
              <w:t>mežsaimniecībā un kokapstrādē;</w:t>
            </w:r>
          </w:p>
          <w:p w:rsidR="00CC0996" w:rsidRPr="003C1B12" w:rsidRDefault="00CC0996" w:rsidP="009D209C">
            <w:pPr>
              <w:pStyle w:val="Normal1"/>
              <w:numPr>
                <w:ilvl w:val="0"/>
                <w:numId w:val="26"/>
              </w:numPr>
              <w:jc w:val="both"/>
              <w:rPr>
                <w:rFonts w:ascii="Times New Roman" w:hAnsi="Times New Roman" w:cs="Times New Roman"/>
                <w:color w:val="000000" w:themeColor="text1"/>
                <w:sz w:val="24"/>
                <w:szCs w:val="24"/>
              </w:rPr>
            </w:pPr>
            <w:r w:rsidRPr="003C1B12">
              <w:rPr>
                <w:rFonts w:ascii="Times New Roman" w:hAnsi="Times New Roman" w:cs="Times New Roman"/>
                <w:bCs/>
                <w:kern w:val="24"/>
                <w:sz w:val="24"/>
                <w:szCs w:val="24"/>
              </w:rPr>
              <w:t>Zināšanu ietilpī</w:t>
            </w:r>
            <w:r w:rsidR="003266A5" w:rsidRPr="003C1B12">
              <w:rPr>
                <w:rFonts w:ascii="Times New Roman" w:hAnsi="Times New Roman" w:cs="Times New Roman"/>
                <w:bCs/>
                <w:kern w:val="24"/>
                <w:sz w:val="24"/>
                <w:szCs w:val="24"/>
              </w:rPr>
              <w:t>ga</w:t>
            </w:r>
            <w:r w:rsidR="00460723" w:rsidRPr="003C1B12">
              <w:rPr>
                <w:rFonts w:ascii="Times New Roman" w:hAnsi="Times New Roman" w:cs="Times New Roman"/>
                <w:bCs/>
                <w:kern w:val="24"/>
                <w:sz w:val="24"/>
                <w:szCs w:val="24"/>
              </w:rPr>
              <w:t>s</w:t>
            </w:r>
            <w:r w:rsidR="003266A5" w:rsidRPr="003C1B12">
              <w:rPr>
                <w:rFonts w:ascii="Times New Roman" w:hAnsi="Times New Roman" w:cs="Times New Roman"/>
                <w:bCs/>
                <w:kern w:val="24"/>
                <w:sz w:val="24"/>
                <w:szCs w:val="24"/>
              </w:rPr>
              <w:t xml:space="preserve"> bioekonomikas jomas apakšjomā</w:t>
            </w:r>
            <w:r w:rsidRPr="003C1B12">
              <w:rPr>
                <w:rFonts w:ascii="Times New Roman" w:hAnsi="Times New Roman" w:cs="Times New Roman"/>
                <w:bCs/>
                <w:kern w:val="24"/>
                <w:sz w:val="24"/>
                <w:szCs w:val="24"/>
              </w:rPr>
              <w:t xml:space="preserve"> </w:t>
            </w:r>
            <w:r w:rsidR="00991A1B" w:rsidRPr="003C1B12">
              <w:rPr>
                <w:rFonts w:ascii="Times New Roman" w:hAnsi="Times New Roman" w:cs="Times New Roman"/>
                <w:bCs/>
                <w:kern w:val="24"/>
                <w:sz w:val="24"/>
                <w:szCs w:val="24"/>
              </w:rPr>
              <w:t xml:space="preserve">inovatīvi risinājumi </w:t>
            </w:r>
            <w:r w:rsidR="00460723" w:rsidRPr="003C1B12">
              <w:rPr>
                <w:rFonts w:ascii="Times New Roman" w:hAnsi="Times New Roman" w:cs="Times New Roman"/>
                <w:bCs/>
                <w:kern w:val="24"/>
                <w:sz w:val="24"/>
                <w:szCs w:val="24"/>
              </w:rPr>
              <w:t>lauksaimniecībā un pārtikas ražošanā;</w:t>
            </w:r>
          </w:p>
          <w:p w:rsidR="00CC0996" w:rsidRPr="003C1B12" w:rsidRDefault="00CC0996" w:rsidP="009D209C">
            <w:pPr>
              <w:pStyle w:val="Normal1"/>
              <w:numPr>
                <w:ilvl w:val="0"/>
                <w:numId w:val="26"/>
              </w:numPr>
              <w:jc w:val="both"/>
              <w:rPr>
                <w:rFonts w:ascii="Times New Roman" w:hAnsi="Times New Roman" w:cs="Times New Roman"/>
                <w:color w:val="000000" w:themeColor="text1"/>
                <w:sz w:val="24"/>
                <w:szCs w:val="24"/>
              </w:rPr>
            </w:pPr>
            <w:r w:rsidRPr="003C1B12">
              <w:rPr>
                <w:rFonts w:ascii="Times New Roman" w:hAnsi="Times New Roman" w:cs="Times New Roman"/>
                <w:bCs/>
                <w:kern w:val="24"/>
                <w:sz w:val="24"/>
                <w:szCs w:val="24"/>
              </w:rPr>
              <w:t xml:space="preserve">Biomedicīna, medicīnas tehnoloģijas, </w:t>
            </w:r>
            <w:r w:rsidR="00460723" w:rsidRPr="003C1B12">
              <w:rPr>
                <w:rFonts w:ascii="Times New Roman" w:hAnsi="Times New Roman" w:cs="Times New Roman"/>
                <w:bCs/>
                <w:kern w:val="24"/>
                <w:sz w:val="24"/>
                <w:szCs w:val="24"/>
              </w:rPr>
              <w:t xml:space="preserve">biofarmācija un </w:t>
            </w:r>
            <w:r w:rsidR="00460723" w:rsidRPr="003C1B12">
              <w:rPr>
                <w:rFonts w:ascii="Times New Roman" w:hAnsi="Times New Roman" w:cs="Times New Roman"/>
                <w:bCs/>
                <w:kern w:val="24"/>
                <w:sz w:val="24"/>
                <w:szCs w:val="24"/>
              </w:rPr>
              <w:lastRenderedPageBreak/>
              <w:t>biotehnoloģijas;</w:t>
            </w:r>
          </w:p>
          <w:p w:rsidR="00CC0996" w:rsidRPr="003C1B12" w:rsidRDefault="00991A1B" w:rsidP="009D209C">
            <w:pPr>
              <w:pStyle w:val="Normal1"/>
              <w:numPr>
                <w:ilvl w:val="0"/>
                <w:numId w:val="26"/>
              </w:numPr>
              <w:jc w:val="both"/>
              <w:rPr>
                <w:rFonts w:ascii="Times New Roman" w:hAnsi="Times New Roman" w:cs="Times New Roman"/>
                <w:color w:val="000000" w:themeColor="text1"/>
                <w:sz w:val="24"/>
                <w:szCs w:val="24"/>
              </w:rPr>
            </w:pPr>
            <w:r w:rsidRPr="003C1B12">
              <w:rPr>
                <w:rFonts w:ascii="Times New Roman" w:hAnsi="Times New Roman" w:cs="Times New Roman"/>
                <w:bCs/>
                <w:kern w:val="24"/>
                <w:sz w:val="24"/>
                <w:szCs w:val="24"/>
              </w:rPr>
              <w:t xml:space="preserve">Viedie materiāli, tehnoloģijas un inženiersistēmas apakšjomā </w:t>
            </w:r>
            <w:r w:rsidR="00CC0996" w:rsidRPr="003C1B12">
              <w:rPr>
                <w:rFonts w:ascii="Times New Roman" w:hAnsi="Times New Roman" w:cs="Times New Roman"/>
                <w:bCs/>
                <w:kern w:val="24"/>
                <w:sz w:val="24"/>
                <w:szCs w:val="24"/>
              </w:rPr>
              <w:t>Viedie materiāli</w:t>
            </w:r>
            <w:r w:rsidR="00D65269" w:rsidRPr="003C1B12">
              <w:rPr>
                <w:rFonts w:ascii="Times New Roman" w:hAnsi="Times New Roman" w:cs="Times New Roman"/>
                <w:bCs/>
                <w:kern w:val="24"/>
                <w:sz w:val="24"/>
                <w:szCs w:val="24"/>
              </w:rPr>
              <w:t>;</w:t>
            </w:r>
            <w:r w:rsidR="00CC0996" w:rsidRPr="003C1B12">
              <w:rPr>
                <w:rFonts w:ascii="Times New Roman" w:hAnsi="Times New Roman" w:cs="Times New Roman"/>
                <w:color w:val="000000" w:themeColor="text1"/>
                <w:sz w:val="24"/>
                <w:szCs w:val="24"/>
              </w:rPr>
              <w:t xml:space="preserve"> </w:t>
            </w:r>
          </w:p>
          <w:p w:rsidR="00CC0996" w:rsidRPr="003C1B12" w:rsidRDefault="00991A1B" w:rsidP="009D209C">
            <w:pPr>
              <w:pStyle w:val="Normal1"/>
              <w:numPr>
                <w:ilvl w:val="0"/>
                <w:numId w:val="26"/>
              </w:numPr>
              <w:jc w:val="both"/>
              <w:rPr>
                <w:rFonts w:ascii="Times New Roman" w:hAnsi="Times New Roman" w:cs="Times New Roman"/>
                <w:color w:val="000000" w:themeColor="text1"/>
                <w:sz w:val="24"/>
                <w:szCs w:val="24"/>
              </w:rPr>
            </w:pPr>
            <w:r w:rsidRPr="003C1B12">
              <w:rPr>
                <w:rFonts w:ascii="Times New Roman" w:hAnsi="Times New Roman" w:cs="Times New Roman"/>
                <w:bCs/>
                <w:kern w:val="24"/>
                <w:sz w:val="24"/>
                <w:szCs w:val="24"/>
              </w:rPr>
              <w:t xml:space="preserve">Viedie materiāli, tehnoloģijas un inženiersistēmas apakšjomā </w:t>
            </w:r>
            <w:r w:rsidR="00CC0996" w:rsidRPr="003C1B12">
              <w:rPr>
                <w:rFonts w:ascii="Times New Roman" w:hAnsi="Times New Roman" w:cs="Times New Roman"/>
                <w:color w:val="000000" w:themeColor="text1"/>
                <w:sz w:val="24"/>
                <w:szCs w:val="24"/>
              </w:rPr>
              <w:t xml:space="preserve">Modernas ražošanas </w:t>
            </w:r>
            <w:r w:rsidR="00CC0996" w:rsidRPr="003C1B12">
              <w:rPr>
                <w:rFonts w:ascii="Times New Roman" w:hAnsi="Times New Roman" w:cs="Times New Roman"/>
                <w:bCs/>
                <w:kern w:val="24"/>
                <w:sz w:val="24"/>
                <w:szCs w:val="24"/>
              </w:rPr>
              <w:t>tehnoloģijas un inženiersistēmas</w:t>
            </w:r>
          </w:p>
          <w:p w:rsidR="00CC0996" w:rsidRPr="003C1B12" w:rsidRDefault="00F61EB2" w:rsidP="009D209C">
            <w:pPr>
              <w:pStyle w:val="Normal1"/>
              <w:numPr>
                <w:ilvl w:val="0"/>
                <w:numId w:val="26"/>
              </w:numPr>
              <w:jc w:val="both"/>
              <w:rPr>
                <w:rFonts w:ascii="Times New Roman" w:hAnsi="Times New Roman" w:cs="Times New Roman"/>
                <w:color w:val="000000" w:themeColor="text1"/>
                <w:sz w:val="24"/>
                <w:szCs w:val="24"/>
              </w:rPr>
            </w:pPr>
            <w:r w:rsidRPr="003C1B12">
              <w:rPr>
                <w:rFonts w:ascii="Times New Roman" w:hAnsi="Times New Roman" w:cs="Times New Roman"/>
                <w:bCs/>
                <w:kern w:val="24"/>
                <w:sz w:val="24"/>
                <w:szCs w:val="24"/>
              </w:rPr>
              <w:t>IKT</w:t>
            </w:r>
            <w:r w:rsidR="00CC0996" w:rsidRPr="003C1B12">
              <w:rPr>
                <w:rFonts w:ascii="Times New Roman" w:hAnsi="Times New Roman" w:cs="Times New Roman"/>
                <w:bCs/>
                <w:kern w:val="24"/>
                <w:sz w:val="24"/>
                <w:szCs w:val="24"/>
              </w:rPr>
              <w:t>.</w:t>
            </w:r>
            <w:r w:rsidR="00CC0996" w:rsidRPr="003C1B12">
              <w:rPr>
                <w:rFonts w:ascii="Times New Roman" w:hAnsi="Times New Roman" w:cs="Times New Roman"/>
                <w:color w:val="000000" w:themeColor="text1"/>
                <w:sz w:val="24"/>
                <w:szCs w:val="24"/>
              </w:rPr>
              <w:t xml:space="preserve"> </w:t>
            </w:r>
          </w:p>
          <w:p w:rsidR="00CC0996" w:rsidRPr="003C1B12" w:rsidRDefault="00F61EB2" w:rsidP="009D209C">
            <w:pPr>
              <w:pStyle w:val="Normal1"/>
              <w:numPr>
                <w:ilvl w:val="0"/>
                <w:numId w:val="26"/>
              </w:numPr>
              <w:jc w:val="both"/>
              <w:rPr>
                <w:rFonts w:ascii="Times New Roman" w:hAnsi="Times New Roman" w:cs="Times New Roman"/>
                <w:color w:val="000000" w:themeColor="text1"/>
                <w:sz w:val="24"/>
                <w:szCs w:val="24"/>
              </w:rPr>
            </w:pPr>
            <w:r w:rsidRPr="003C1B12">
              <w:rPr>
                <w:rFonts w:ascii="Times New Roman" w:hAnsi="Times New Roman" w:cs="Times New Roman"/>
                <w:bCs/>
                <w:kern w:val="24"/>
                <w:sz w:val="24"/>
                <w:szCs w:val="24"/>
              </w:rPr>
              <w:t>IKT</w:t>
            </w:r>
            <w:r w:rsidR="000C5723" w:rsidRPr="003C1B12">
              <w:rPr>
                <w:rFonts w:ascii="Times New Roman" w:hAnsi="Times New Roman" w:cs="Times New Roman"/>
                <w:bCs/>
                <w:kern w:val="24"/>
                <w:sz w:val="24"/>
                <w:szCs w:val="24"/>
              </w:rPr>
              <w:t xml:space="preserve">  </w:t>
            </w:r>
            <w:r w:rsidR="00991A1B" w:rsidRPr="003C1B12">
              <w:rPr>
                <w:rFonts w:ascii="Times New Roman" w:hAnsi="Times New Roman" w:cs="Times New Roman"/>
                <w:bCs/>
                <w:kern w:val="24"/>
                <w:sz w:val="24"/>
                <w:szCs w:val="24"/>
              </w:rPr>
              <w:t>apakšjomā a</w:t>
            </w:r>
            <w:r w:rsidR="000C5723" w:rsidRPr="003C1B12">
              <w:rPr>
                <w:rFonts w:ascii="Times New Roman" w:hAnsi="Times New Roman" w:cs="Times New Roman"/>
                <w:bCs/>
                <w:kern w:val="24"/>
                <w:sz w:val="24"/>
                <w:szCs w:val="24"/>
              </w:rPr>
              <w:t>parātbūve</w:t>
            </w:r>
            <w:r w:rsidR="00CD727D" w:rsidRPr="003C1B12">
              <w:rPr>
                <w:rFonts w:ascii="Times New Roman" w:hAnsi="Times New Roman" w:cs="Times New Roman"/>
                <w:bCs/>
                <w:kern w:val="24"/>
                <w:sz w:val="24"/>
                <w:szCs w:val="24"/>
              </w:rPr>
              <w:t xml:space="preserve"> (elektronika)</w:t>
            </w:r>
            <w:r w:rsidR="00D65269" w:rsidRPr="003C1B12">
              <w:rPr>
                <w:rFonts w:ascii="Times New Roman" w:hAnsi="Times New Roman" w:cs="Times New Roman"/>
                <w:bCs/>
                <w:kern w:val="24"/>
                <w:sz w:val="24"/>
                <w:szCs w:val="24"/>
              </w:rPr>
              <w:t>.</w:t>
            </w:r>
          </w:p>
          <w:p w:rsidR="00CE661E" w:rsidRPr="003C1B12" w:rsidRDefault="00CE661E" w:rsidP="009D209C">
            <w:pPr>
              <w:pStyle w:val="Normal1"/>
              <w:numPr>
                <w:ilvl w:val="0"/>
                <w:numId w:val="26"/>
              </w:numPr>
              <w:jc w:val="both"/>
              <w:rPr>
                <w:rFonts w:ascii="Times New Roman" w:hAnsi="Times New Roman" w:cs="Times New Roman"/>
                <w:color w:val="000000" w:themeColor="text1"/>
                <w:sz w:val="24"/>
                <w:szCs w:val="24"/>
              </w:rPr>
            </w:pPr>
            <w:r w:rsidRPr="003C1B12">
              <w:rPr>
                <w:rFonts w:ascii="Times New Roman" w:hAnsi="Times New Roman" w:cs="Times New Roman"/>
                <w:bCs/>
                <w:kern w:val="24"/>
                <w:sz w:val="24"/>
                <w:szCs w:val="24"/>
              </w:rPr>
              <w:t>Viedā enerģētika.</w:t>
            </w:r>
          </w:p>
          <w:p w:rsidR="00D65269" w:rsidRPr="003C1B12" w:rsidRDefault="00D65269" w:rsidP="000C736B">
            <w:pPr>
              <w:pStyle w:val="Normal1"/>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Vienlaicīgi viedās enerģētikas pētījumu tēmas un resursu efektivitākas izmantošanas jautājumi tiek integrēt</w:t>
            </w:r>
            <w:r w:rsidR="000C736B" w:rsidRPr="003C1B12">
              <w:rPr>
                <w:rFonts w:ascii="Times New Roman" w:hAnsi="Times New Roman" w:cs="Times New Roman"/>
                <w:color w:val="000000" w:themeColor="text1"/>
                <w:sz w:val="24"/>
                <w:szCs w:val="24"/>
              </w:rPr>
              <w:t>i</w:t>
            </w:r>
            <w:r w:rsidRPr="003C1B12">
              <w:rPr>
                <w:rFonts w:ascii="Times New Roman" w:hAnsi="Times New Roman" w:cs="Times New Roman"/>
                <w:color w:val="000000" w:themeColor="text1"/>
                <w:sz w:val="24"/>
                <w:szCs w:val="24"/>
              </w:rPr>
              <w:t xml:space="preserve"> katrā no </w:t>
            </w:r>
            <w:r w:rsidR="007B5BD9" w:rsidRPr="003C1B12">
              <w:rPr>
                <w:rFonts w:ascii="Times New Roman" w:hAnsi="Times New Roman" w:cs="Times New Roman"/>
                <w:color w:val="000000" w:themeColor="text1"/>
                <w:sz w:val="24"/>
                <w:szCs w:val="24"/>
              </w:rPr>
              <w:t>KC</w:t>
            </w:r>
            <w:r w:rsidRPr="003C1B12">
              <w:rPr>
                <w:rFonts w:ascii="Times New Roman" w:hAnsi="Times New Roman" w:cs="Times New Roman"/>
                <w:color w:val="000000" w:themeColor="text1"/>
                <w:sz w:val="24"/>
                <w:szCs w:val="24"/>
              </w:rPr>
              <w:t>.</w:t>
            </w:r>
          </w:p>
          <w:p w:rsidR="007B54C3" w:rsidRPr="003C1B12" w:rsidRDefault="007B54C3" w:rsidP="000C736B">
            <w:pPr>
              <w:pStyle w:val="Normal1"/>
              <w:jc w:val="both"/>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Diskusiju ar nozares pārstāvjiem rezultātā jomu un apakšjomu skaits un saturs var mainīties.</w:t>
            </w:r>
          </w:p>
        </w:tc>
      </w:tr>
      <w:tr w:rsidR="000C4557" w:rsidRPr="003C1B12" w:rsidTr="00946A56">
        <w:tc>
          <w:tcPr>
            <w:tcW w:w="0" w:type="auto"/>
            <w:shd w:val="clear" w:color="auto" w:fill="FFFFFF"/>
            <w:tcMar>
              <w:top w:w="45" w:type="dxa"/>
              <w:left w:w="45" w:type="dxa"/>
              <w:bottom w:w="45" w:type="dxa"/>
              <w:right w:w="45" w:type="dxa"/>
            </w:tcMar>
            <w:vAlign w:val="center"/>
          </w:tcPr>
          <w:p w:rsidR="000C4557" w:rsidRPr="003C1B12" w:rsidRDefault="000C4557" w:rsidP="00E35575">
            <w:pPr>
              <w:pStyle w:val="Normal1"/>
              <w:rPr>
                <w:rFonts w:ascii="Times New Roman" w:hAnsi="Times New Roman" w:cs="Times New Roman"/>
                <w:sz w:val="24"/>
              </w:rPr>
            </w:pPr>
            <w:r w:rsidRPr="003C1B12">
              <w:rPr>
                <w:rFonts w:ascii="Times New Roman" w:hAnsi="Times New Roman" w:cs="Times New Roman"/>
                <w:sz w:val="24"/>
              </w:rPr>
              <w:lastRenderedPageBreak/>
              <w:t>Gala atbalsta saņēmēji</w:t>
            </w:r>
          </w:p>
        </w:tc>
        <w:tc>
          <w:tcPr>
            <w:tcW w:w="7014" w:type="dxa"/>
            <w:shd w:val="clear" w:color="auto" w:fill="FFFFFF"/>
            <w:tcMar>
              <w:top w:w="45" w:type="dxa"/>
              <w:left w:w="45" w:type="dxa"/>
              <w:bottom w:w="45" w:type="dxa"/>
              <w:right w:w="45" w:type="dxa"/>
            </w:tcMar>
            <w:vAlign w:val="center"/>
          </w:tcPr>
          <w:p w:rsidR="000C4557" w:rsidRPr="003C1B12" w:rsidRDefault="000C4557" w:rsidP="00E35575">
            <w:pPr>
              <w:pStyle w:val="Normal1"/>
              <w:rPr>
                <w:rFonts w:ascii="Times New Roman" w:hAnsi="Times New Roman" w:cs="Times New Roman"/>
                <w:sz w:val="24"/>
                <w:szCs w:val="24"/>
              </w:rPr>
            </w:pPr>
            <w:r w:rsidRPr="003C1B12">
              <w:rPr>
                <w:rFonts w:ascii="Times New Roman" w:hAnsi="Times New Roman" w:cs="Times New Roman"/>
                <w:sz w:val="24"/>
                <w:szCs w:val="24"/>
              </w:rPr>
              <w:t>Komersanti</w:t>
            </w:r>
            <w:r w:rsidR="009C7194" w:rsidRPr="003C1B12">
              <w:rPr>
                <w:rFonts w:ascii="Times New Roman" w:hAnsi="Times New Roman" w:cs="Times New Roman"/>
                <w:sz w:val="24"/>
                <w:szCs w:val="24"/>
              </w:rPr>
              <w:t xml:space="preserve">, zinātniskās institūcijas, </w:t>
            </w:r>
            <w:r w:rsidR="007B5BD9" w:rsidRPr="003C1B12">
              <w:rPr>
                <w:rFonts w:ascii="Times New Roman" w:hAnsi="Times New Roman" w:cs="Times New Roman"/>
                <w:sz w:val="24"/>
                <w:szCs w:val="24"/>
              </w:rPr>
              <w:t>KC</w:t>
            </w:r>
          </w:p>
          <w:p w:rsidR="006A5C0D" w:rsidRPr="003C1B12" w:rsidRDefault="006A5C0D" w:rsidP="00E35575">
            <w:pPr>
              <w:pStyle w:val="Normal1"/>
              <w:rPr>
                <w:rFonts w:ascii="Times New Roman" w:hAnsi="Times New Roman" w:cs="Times New Roman"/>
                <w:sz w:val="24"/>
                <w:szCs w:val="24"/>
              </w:rPr>
            </w:pPr>
          </w:p>
          <w:p w:rsidR="000C4557" w:rsidRPr="003C1B12" w:rsidRDefault="006A5C0D" w:rsidP="006A5C0D">
            <w:pPr>
              <w:pStyle w:val="Normal1"/>
              <w:jc w:val="both"/>
              <w:rPr>
                <w:rFonts w:ascii="Times New Roman" w:hAnsi="Times New Roman" w:cs="Times New Roman"/>
                <w:sz w:val="24"/>
              </w:rPr>
            </w:pPr>
            <w:r w:rsidRPr="003C1B12">
              <w:rPr>
                <w:rFonts w:ascii="Times New Roman" w:hAnsi="Times New Roman" w:cs="Times New Roman"/>
                <w:sz w:val="24"/>
                <w:szCs w:val="24"/>
              </w:rPr>
              <w:t xml:space="preserve">Gala atbalsta saņēmēji var būt arī lielie komersanti.  </w:t>
            </w:r>
            <w:r w:rsidRPr="003C1B12">
              <w:rPr>
                <w:rFonts w:ascii="Times New Roman" w:hAnsi="Times New Roman" w:cs="Times New Roman"/>
                <w:iCs/>
                <w:sz w:val="24"/>
                <w:szCs w:val="24"/>
              </w:rPr>
              <w:t>Atbalsts lielajiem komersantiem sekmēs pašu komersantu iekšējās pētniecības kapacitātes pieaugumu, atbalstot jaunu P&amp;A darba vietu izveidi un jauno zinātnieku piesaisti. Vienlaicīgi lielajiem komersantiem izstrādājot un ieviešot jaunus produktus un tehnoloģijas un to ražošanas nodrošināšanai iepērkot pakalpojumus no sadarbības parteriem pieaugs to MVK, kas atrodas vienā vērtību ķēdē ar atbalstīto lielo komersantu, attīstības iespējas. Tāpat programmas ietvaros tiks sniegt</w:t>
            </w:r>
            <w:r w:rsidR="000D2B87" w:rsidRPr="003C1B12">
              <w:rPr>
                <w:rFonts w:ascii="Times New Roman" w:hAnsi="Times New Roman" w:cs="Times New Roman"/>
                <w:iCs/>
                <w:sz w:val="24"/>
                <w:szCs w:val="24"/>
              </w:rPr>
              <w:t>s</w:t>
            </w:r>
            <w:r w:rsidRPr="003C1B12">
              <w:rPr>
                <w:rFonts w:ascii="Times New Roman" w:hAnsi="Times New Roman" w:cs="Times New Roman"/>
                <w:iCs/>
                <w:sz w:val="24"/>
                <w:szCs w:val="24"/>
              </w:rPr>
              <w:t xml:space="preserve"> atbalsts lielo komersantu un zinātnisko institūciju vai MVK sadarbības projektiem, lai kopīgi strādātu pie jaunu zināšanu un tehnoloģiju radīšanas. Līdz  ar to atbalsts lielajiem komersantiem veicinās pētniecības attīstību valstī kopumā un sekmēs mazo un vidējo uzņēmumu izaugsmi saistītajās nozarēs grupai</w:t>
            </w:r>
            <w:r w:rsidR="000D2B87" w:rsidRPr="003C1B12">
              <w:rPr>
                <w:rFonts w:ascii="Times New Roman" w:hAnsi="Times New Roman" w:cs="Times New Roman"/>
                <w:iCs/>
                <w:sz w:val="24"/>
                <w:szCs w:val="24"/>
              </w:rPr>
              <w:t>.</w:t>
            </w:r>
          </w:p>
        </w:tc>
      </w:tr>
      <w:tr w:rsidR="000C4557" w:rsidRPr="003C1B12" w:rsidTr="00946A56">
        <w:tc>
          <w:tcPr>
            <w:tcW w:w="0" w:type="auto"/>
            <w:shd w:val="clear" w:color="auto" w:fill="FFFFFF"/>
            <w:tcMar>
              <w:top w:w="45" w:type="dxa"/>
              <w:left w:w="45" w:type="dxa"/>
              <w:bottom w:w="45" w:type="dxa"/>
              <w:right w:w="45" w:type="dxa"/>
            </w:tcMar>
            <w:vAlign w:val="center"/>
            <w:hideMark/>
          </w:tcPr>
          <w:p w:rsidR="000C4557" w:rsidRPr="003C1B12" w:rsidRDefault="000C4557" w:rsidP="007A4CD3">
            <w:pPr>
              <w:pStyle w:val="Normal1"/>
              <w:rPr>
                <w:rFonts w:ascii="Times New Roman" w:hAnsi="Times New Roman" w:cs="Times New Roman"/>
                <w:sz w:val="24"/>
              </w:rPr>
            </w:pPr>
            <w:r w:rsidRPr="003C1B12">
              <w:rPr>
                <w:rFonts w:ascii="Times New Roman" w:hAnsi="Times New Roman" w:cs="Times New Roman"/>
                <w:sz w:val="24"/>
              </w:rPr>
              <w:t>Finansējum</w:t>
            </w:r>
            <w:r w:rsidR="007A4CD3" w:rsidRPr="003C1B12">
              <w:rPr>
                <w:rFonts w:ascii="Times New Roman" w:hAnsi="Times New Roman" w:cs="Times New Roman"/>
                <w:sz w:val="24"/>
              </w:rPr>
              <w:t xml:space="preserve">a apjoms un  intensitāte </w:t>
            </w:r>
          </w:p>
        </w:tc>
        <w:tc>
          <w:tcPr>
            <w:tcW w:w="7014" w:type="dxa"/>
            <w:shd w:val="clear" w:color="auto" w:fill="FFFFFF"/>
            <w:tcMar>
              <w:top w:w="45" w:type="dxa"/>
              <w:left w:w="45" w:type="dxa"/>
              <w:bottom w:w="45" w:type="dxa"/>
              <w:right w:w="45" w:type="dxa"/>
            </w:tcMar>
            <w:vAlign w:val="center"/>
            <w:hideMark/>
          </w:tcPr>
          <w:p w:rsidR="004F251C" w:rsidRPr="003C1B12" w:rsidRDefault="004F251C" w:rsidP="00E35575">
            <w:pPr>
              <w:pStyle w:val="Normal1"/>
              <w:rPr>
                <w:rFonts w:ascii="Times New Roman" w:hAnsi="Times New Roman" w:cs="Times New Roman"/>
                <w:sz w:val="24"/>
              </w:rPr>
            </w:pPr>
            <w:r w:rsidRPr="003C1B12">
              <w:rPr>
                <w:rFonts w:ascii="Times New Roman" w:hAnsi="Times New Roman" w:cs="Times New Roman"/>
                <w:sz w:val="24"/>
              </w:rPr>
              <w:t xml:space="preserve">Minimālais </w:t>
            </w:r>
            <w:r w:rsidR="00CD6630" w:rsidRPr="003C1B12">
              <w:rPr>
                <w:rFonts w:ascii="Times New Roman" w:hAnsi="Times New Roman" w:cs="Times New Roman"/>
                <w:sz w:val="24"/>
              </w:rPr>
              <w:t>finansējums vienam pētniecības projektam -</w:t>
            </w:r>
            <w:r w:rsidR="00DD64AD" w:rsidRPr="003C1B12">
              <w:rPr>
                <w:rFonts w:ascii="Times New Roman" w:hAnsi="Times New Roman" w:cs="Times New Roman"/>
                <w:sz w:val="24"/>
              </w:rPr>
              <w:t xml:space="preserve"> </w:t>
            </w:r>
            <w:r w:rsidR="00991A1B" w:rsidRPr="003C1B12">
              <w:rPr>
                <w:rFonts w:ascii="Times New Roman" w:hAnsi="Times New Roman" w:cs="Times New Roman"/>
                <w:sz w:val="24"/>
              </w:rPr>
              <w:t>25</w:t>
            </w:r>
            <w:r w:rsidR="00DD64AD" w:rsidRPr="003C1B12">
              <w:rPr>
                <w:rFonts w:ascii="Times New Roman" w:hAnsi="Times New Roman" w:cs="Times New Roman"/>
                <w:sz w:val="24"/>
              </w:rPr>
              <w:t> </w:t>
            </w:r>
            <w:r w:rsidR="00991A1B" w:rsidRPr="003C1B12">
              <w:rPr>
                <w:rFonts w:ascii="Times New Roman" w:hAnsi="Times New Roman" w:cs="Times New Roman"/>
                <w:sz w:val="24"/>
              </w:rPr>
              <w:t>000</w:t>
            </w:r>
            <w:r w:rsidR="00DD64AD" w:rsidRPr="003C1B12">
              <w:rPr>
                <w:rFonts w:ascii="Times New Roman" w:hAnsi="Times New Roman" w:cs="Times New Roman"/>
                <w:sz w:val="24"/>
              </w:rPr>
              <w:t xml:space="preserve"> EUR</w:t>
            </w:r>
          </w:p>
          <w:p w:rsidR="00635048" w:rsidRPr="003C1B12" w:rsidRDefault="00635048" w:rsidP="00E35575">
            <w:pPr>
              <w:pStyle w:val="Normal1"/>
              <w:rPr>
                <w:rFonts w:ascii="Times New Roman" w:hAnsi="Times New Roman" w:cs="Times New Roman"/>
                <w:sz w:val="24"/>
              </w:rPr>
            </w:pPr>
            <w:r w:rsidRPr="003C1B12">
              <w:rPr>
                <w:rFonts w:ascii="Times New Roman" w:hAnsi="Times New Roman" w:cs="Times New Roman"/>
                <w:sz w:val="24"/>
              </w:rPr>
              <w:t xml:space="preserve">Maksimālais finansējuma apjoms </w:t>
            </w:r>
            <w:r w:rsidR="00E826A0" w:rsidRPr="003C1B12">
              <w:rPr>
                <w:rFonts w:ascii="Times New Roman" w:hAnsi="Times New Roman" w:cs="Times New Roman"/>
                <w:sz w:val="24"/>
              </w:rPr>
              <w:t>kompetences centriem vienas jomas vai apakšjomas ietvaros</w:t>
            </w:r>
            <w:r w:rsidRPr="003C1B12">
              <w:rPr>
                <w:rFonts w:ascii="Times New Roman" w:hAnsi="Times New Roman" w:cs="Times New Roman"/>
                <w:sz w:val="24"/>
              </w:rPr>
              <w:t xml:space="preserve"> ir 3 664 285 EUR.</w:t>
            </w:r>
          </w:p>
          <w:p w:rsidR="000B69E1" w:rsidRPr="003C1B12" w:rsidRDefault="004F251C" w:rsidP="00E35575">
            <w:pPr>
              <w:pStyle w:val="Normal1"/>
              <w:rPr>
                <w:rFonts w:ascii="Times New Roman" w:hAnsi="Times New Roman" w:cs="Times New Roman"/>
                <w:sz w:val="24"/>
                <w:szCs w:val="24"/>
              </w:rPr>
            </w:pPr>
            <w:r w:rsidRPr="003C1B12">
              <w:rPr>
                <w:rFonts w:ascii="Times New Roman" w:hAnsi="Times New Roman" w:cs="Times New Roman"/>
                <w:sz w:val="24"/>
              </w:rPr>
              <w:t>Maksimālais finansējums vienam pētniecības projektam</w:t>
            </w:r>
            <w:r w:rsidR="00CD6630" w:rsidRPr="003C1B12">
              <w:rPr>
                <w:rFonts w:ascii="Times New Roman" w:hAnsi="Times New Roman" w:cs="Times New Roman"/>
                <w:sz w:val="24"/>
              </w:rPr>
              <w:t xml:space="preserve"> </w:t>
            </w:r>
            <w:r w:rsidRPr="003C1B12">
              <w:rPr>
                <w:rFonts w:ascii="Times New Roman" w:hAnsi="Times New Roman" w:cs="Times New Roman"/>
                <w:sz w:val="24"/>
              </w:rPr>
              <w:t xml:space="preserve">- </w:t>
            </w:r>
            <w:r w:rsidR="00B02785" w:rsidRPr="003C1B12">
              <w:rPr>
                <w:rFonts w:ascii="Times New Roman" w:hAnsi="Times New Roman" w:cs="Times New Roman"/>
                <w:sz w:val="24"/>
                <w:szCs w:val="24"/>
              </w:rPr>
              <w:t xml:space="preserve">publiskā finansējuma apmērs visiem </w:t>
            </w:r>
            <w:r w:rsidR="00D735A6" w:rsidRPr="003C1B12">
              <w:rPr>
                <w:rFonts w:ascii="Times New Roman" w:hAnsi="Times New Roman" w:cs="Times New Roman"/>
                <w:sz w:val="24"/>
                <w:szCs w:val="24"/>
              </w:rPr>
              <w:t>pētījumiem</w:t>
            </w:r>
            <w:r w:rsidR="00B02785" w:rsidRPr="003C1B12">
              <w:rPr>
                <w:rFonts w:ascii="Times New Roman" w:hAnsi="Times New Roman" w:cs="Times New Roman"/>
                <w:sz w:val="24"/>
                <w:szCs w:val="24"/>
              </w:rPr>
              <w:t xml:space="preserve">, kurus īsteno sadarbības partnera saistīto personu grupa, ir ne vairāk kā </w:t>
            </w:r>
            <w:r w:rsidR="007B54C3" w:rsidRPr="003C1B12">
              <w:rPr>
                <w:rFonts w:ascii="Times New Roman" w:hAnsi="Times New Roman" w:cs="Times New Roman"/>
                <w:sz w:val="24"/>
                <w:szCs w:val="24"/>
              </w:rPr>
              <w:t>20</w:t>
            </w:r>
            <w:r w:rsidR="00B02785" w:rsidRPr="003C1B12">
              <w:rPr>
                <w:rFonts w:ascii="Times New Roman" w:hAnsi="Times New Roman" w:cs="Times New Roman"/>
                <w:sz w:val="24"/>
                <w:szCs w:val="24"/>
              </w:rPr>
              <w:t xml:space="preserve"> % no projektam apstiprinātā publiskā finansējuma apmēra</w:t>
            </w:r>
          </w:p>
          <w:p w:rsidR="000C4557" w:rsidRPr="003C1B12" w:rsidRDefault="000C4557" w:rsidP="00E35575">
            <w:pPr>
              <w:pStyle w:val="Normal1"/>
              <w:rPr>
                <w:rFonts w:ascii="Times New Roman" w:hAnsi="Times New Roman" w:cs="Times New Roman"/>
                <w:sz w:val="24"/>
              </w:rPr>
            </w:pPr>
            <w:r w:rsidRPr="003C1B12">
              <w:rPr>
                <w:rFonts w:ascii="Times New Roman" w:hAnsi="Times New Roman" w:cs="Times New Roman"/>
                <w:sz w:val="24"/>
              </w:rPr>
              <w:t>Maksimālā atbalsta intensitāte</w:t>
            </w:r>
            <w:r w:rsidR="00B02785" w:rsidRPr="003C1B12">
              <w:rPr>
                <w:rFonts w:ascii="Times New Roman" w:hAnsi="Times New Roman" w:cs="Times New Roman"/>
                <w:sz w:val="24"/>
              </w:rPr>
              <w:t xml:space="preserve"> pētījumiem</w:t>
            </w:r>
            <w:r w:rsidRPr="003C1B12">
              <w:rPr>
                <w:rFonts w:ascii="Times New Roman" w:hAnsi="Times New Roman" w:cs="Times New Roman"/>
                <w:sz w:val="24"/>
              </w:rPr>
              <w:t>:</w:t>
            </w:r>
          </w:p>
          <w:tbl>
            <w:tblPr>
              <w:tblStyle w:val="TableGrid"/>
              <w:tblW w:w="6345" w:type="dxa"/>
              <w:jc w:val="center"/>
              <w:tblLook w:val="04A0" w:firstRow="1" w:lastRow="0" w:firstColumn="1" w:lastColumn="0" w:noHBand="0" w:noVBand="1"/>
            </w:tblPr>
            <w:tblGrid>
              <w:gridCol w:w="2943"/>
              <w:gridCol w:w="1276"/>
              <w:gridCol w:w="1134"/>
              <w:gridCol w:w="992"/>
            </w:tblGrid>
            <w:tr w:rsidR="0064114E" w:rsidRPr="003C1B12" w:rsidTr="000D166C">
              <w:trPr>
                <w:jc w:val="center"/>
              </w:trPr>
              <w:tc>
                <w:tcPr>
                  <w:tcW w:w="2943" w:type="dxa"/>
                </w:tcPr>
                <w:p w:rsidR="0064114E" w:rsidRPr="003C1B12" w:rsidRDefault="0064114E" w:rsidP="000D166C">
                  <w:pPr>
                    <w:jc w:val="both"/>
                    <w:rPr>
                      <w:rFonts w:ascii="Times New Roman" w:hAnsi="Times New Roman" w:cs="Times New Roman"/>
                      <w:sz w:val="20"/>
                      <w:szCs w:val="20"/>
                    </w:rPr>
                  </w:pPr>
                </w:p>
              </w:tc>
              <w:tc>
                <w:tcPr>
                  <w:tcW w:w="1276" w:type="dxa"/>
                </w:tcPr>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Mazie</w:t>
                  </w:r>
                </w:p>
              </w:tc>
              <w:tc>
                <w:tcPr>
                  <w:tcW w:w="1134" w:type="dxa"/>
                </w:tcPr>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Vidējie</w:t>
                  </w:r>
                </w:p>
              </w:tc>
              <w:tc>
                <w:tcPr>
                  <w:tcW w:w="992" w:type="dxa"/>
                </w:tcPr>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Lielie</w:t>
                  </w:r>
                </w:p>
              </w:tc>
            </w:tr>
            <w:tr w:rsidR="0064114E" w:rsidRPr="003C1B12" w:rsidTr="000D166C">
              <w:trPr>
                <w:jc w:val="center"/>
              </w:trPr>
              <w:tc>
                <w:tcPr>
                  <w:tcW w:w="2943" w:type="dxa"/>
                </w:tcPr>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Rūpnieciskie pētījumi</w:t>
                  </w:r>
                </w:p>
                <w:p w:rsidR="0064114E" w:rsidRPr="003C1B12" w:rsidRDefault="000B69E1" w:rsidP="000D166C">
                  <w:pPr>
                    <w:jc w:val="both"/>
                    <w:rPr>
                      <w:rFonts w:ascii="Times New Roman" w:hAnsi="Times New Roman" w:cs="Times New Roman"/>
                      <w:sz w:val="20"/>
                      <w:szCs w:val="20"/>
                    </w:rPr>
                  </w:pPr>
                  <w:r w:rsidRPr="003C1B12">
                    <w:rPr>
                      <w:rFonts w:ascii="Times New Roman" w:hAnsi="Times New Roman" w:cs="Times New Roman"/>
                      <w:sz w:val="20"/>
                      <w:szCs w:val="20"/>
                    </w:rPr>
                    <w:t xml:space="preserve"> </w:t>
                  </w:r>
                  <w:r w:rsidR="0064114E" w:rsidRPr="003C1B12">
                    <w:rPr>
                      <w:rFonts w:ascii="Times New Roman" w:hAnsi="Times New Roman" w:cs="Times New Roman"/>
                      <w:sz w:val="20"/>
                      <w:szCs w:val="20"/>
                    </w:rPr>
                    <w:t>- ja ir efektīva sadarbība</w:t>
                  </w:r>
                </w:p>
              </w:tc>
              <w:tc>
                <w:tcPr>
                  <w:tcW w:w="1276" w:type="dxa"/>
                </w:tcPr>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70%</w:t>
                  </w:r>
                </w:p>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+10%</w:t>
                  </w:r>
                </w:p>
              </w:tc>
              <w:tc>
                <w:tcPr>
                  <w:tcW w:w="1134" w:type="dxa"/>
                </w:tcPr>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60%</w:t>
                  </w:r>
                </w:p>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+15%</w:t>
                  </w:r>
                </w:p>
              </w:tc>
              <w:tc>
                <w:tcPr>
                  <w:tcW w:w="992" w:type="dxa"/>
                </w:tcPr>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50%</w:t>
                  </w:r>
                </w:p>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+15%</w:t>
                  </w:r>
                </w:p>
              </w:tc>
            </w:tr>
            <w:tr w:rsidR="0064114E" w:rsidRPr="003C1B12" w:rsidTr="000D166C">
              <w:trPr>
                <w:jc w:val="center"/>
              </w:trPr>
              <w:tc>
                <w:tcPr>
                  <w:tcW w:w="2943" w:type="dxa"/>
                </w:tcPr>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Eksperimentālā izstrādne</w:t>
                  </w:r>
                </w:p>
                <w:p w:rsidR="0064114E" w:rsidRPr="003C1B12" w:rsidRDefault="000B69E1" w:rsidP="000D166C">
                  <w:pPr>
                    <w:jc w:val="both"/>
                    <w:rPr>
                      <w:rFonts w:ascii="Times New Roman" w:hAnsi="Times New Roman" w:cs="Times New Roman"/>
                      <w:sz w:val="20"/>
                      <w:szCs w:val="20"/>
                    </w:rPr>
                  </w:pPr>
                  <w:r w:rsidRPr="003C1B12">
                    <w:rPr>
                      <w:rFonts w:ascii="Times New Roman" w:hAnsi="Times New Roman" w:cs="Times New Roman"/>
                      <w:sz w:val="20"/>
                      <w:szCs w:val="20"/>
                    </w:rPr>
                    <w:t xml:space="preserve"> </w:t>
                  </w:r>
                  <w:r w:rsidR="0064114E" w:rsidRPr="003C1B12">
                    <w:rPr>
                      <w:rFonts w:ascii="Times New Roman" w:hAnsi="Times New Roman" w:cs="Times New Roman"/>
                      <w:sz w:val="20"/>
                      <w:szCs w:val="20"/>
                    </w:rPr>
                    <w:t>-ja ir efektīva sadarbība</w:t>
                  </w:r>
                </w:p>
              </w:tc>
              <w:tc>
                <w:tcPr>
                  <w:tcW w:w="1276" w:type="dxa"/>
                </w:tcPr>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45%</w:t>
                  </w:r>
                </w:p>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+15%</w:t>
                  </w:r>
                </w:p>
              </w:tc>
              <w:tc>
                <w:tcPr>
                  <w:tcW w:w="1134" w:type="dxa"/>
                </w:tcPr>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35%</w:t>
                  </w:r>
                </w:p>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+15%</w:t>
                  </w:r>
                </w:p>
              </w:tc>
              <w:tc>
                <w:tcPr>
                  <w:tcW w:w="992" w:type="dxa"/>
                </w:tcPr>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25%</w:t>
                  </w:r>
                </w:p>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+15%</w:t>
                  </w:r>
                </w:p>
              </w:tc>
            </w:tr>
            <w:tr w:rsidR="0064114E" w:rsidRPr="003C1B12" w:rsidTr="000D166C">
              <w:trPr>
                <w:jc w:val="center"/>
              </w:trPr>
              <w:tc>
                <w:tcPr>
                  <w:tcW w:w="2943" w:type="dxa"/>
                </w:tcPr>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Atbalsts priekšizpētei</w:t>
                  </w:r>
                </w:p>
              </w:tc>
              <w:tc>
                <w:tcPr>
                  <w:tcW w:w="1276" w:type="dxa"/>
                </w:tcPr>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70%</w:t>
                  </w:r>
                </w:p>
              </w:tc>
              <w:tc>
                <w:tcPr>
                  <w:tcW w:w="1134" w:type="dxa"/>
                </w:tcPr>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60%</w:t>
                  </w:r>
                </w:p>
              </w:tc>
              <w:tc>
                <w:tcPr>
                  <w:tcW w:w="992" w:type="dxa"/>
                </w:tcPr>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50%</w:t>
                  </w:r>
                </w:p>
              </w:tc>
            </w:tr>
            <w:tr w:rsidR="0064114E" w:rsidRPr="003C1B12" w:rsidTr="000D166C">
              <w:trPr>
                <w:jc w:val="center"/>
              </w:trPr>
              <w:tc>
                <w:tcPr>
                  <w:tcW w:w="2943" w:type="dxa"/>
                </w:tcPr>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Pētniecības projektu koordinācija un īstenošanas uzraudzība</w:t>
                  </w:r>
                </w:p>
              </w:tc>
              <w:tc>
                <w:tcPr>
                  <w:tcW w:w="1276" w:type="dxa"/>
                </w:tcPr>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70%</w:t>
                  </w:r>
                </w:p>
              </w:tc>
              <w:tc>
                <w:tcPr>
                  <w:tcW w:w="1134" w:type="dxa"/>
                </w:tcPr>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70%</w:t>
                  </w:r>
                </w:p>
              </w:tc>
              <w:tc>
                <w:tcPr>
                  <w:tcW w:w="992" w:type="dxa"/>
                </w:tcPr>
                <w:p w:rsidR="0064114E" w:rsidRPr="003C1B12" w:rsidRDefault="0064114E" w:rsidP="000D166C">
                  <w:pPr>
                    <w:jc w:val="both"/>
                    <w:rPr>
                      <w:rFonts w:ascii="Times New Roman" w:hAnsi="Times New Roman" w:cs="Times New Roman"/>
                      <w:sz w:val="20"/>
                      <w:szCs w:val="20"/>
                    </w:rPr>
                  </w:pPr>
                  <w:r w:rsidRPr="003C1B12">
                    <w:rPr>
                      <w:rFonts w:ascii="Times New Roman" w:hAnsi="Times New Roman" w:cs="Times New Roman"/>
                      <w:sz w:val="20"/>
                      <w:szCs w:val="20"/>
                    </w:rPr>
                    <w:t>70%</w:t>
                  </w:r>
                </w:p>
              </w:tc>
            </w:tr>
          </w:tbl>
          <w:p w:rsidR="000A1A24" w:rsidRPr="003C1B12" w:rsidRDefault="000A1A24" w:rsidP="000A1A24">
            <w:pPr>
              <w:spacing w:after="0" w:line="240" w:lineRule="auto"/>
              <w:rPr>
                <w:rFonts w:ascii="Times New Roman" w:hAnsi="Times New Roman" w:cs="Times New Roman"/>
                <w:sz w:val="24"/>
              </w:rPr>
            </w:pPr>
          </w:p>
          <w:p w:rsidR="004B4EEC" w:rsidRPr="003C1B12" w:rsidRDefault="000A1A24" w:rsidP="000A1A24">
            <w:pPr>
              <w:spacing w:after="0" w:line="240" w:lineRule="auto"/>
              <w:rPr>
                <w:rFonts w:ascii="Times New Roman" w:hAnsi="Times New Roman" w:cs="Times New Roman"/>
                <w:sz w:val="24"/>
                <w:szCs w:val="24"/>
              </w:rPr>
            </w:pPr>
            <w:r w:rsidRPr="003C1B12">
              <w:rPr>
                <w:rFonts w:ascii="Times New Roman" w:hAnsi="Times New Roman" w:cs="Times New Roman"/>
                <w:sz w:val="24"/>
              </w:rPr>
              <w:t xml:space="preserve">Papildus intensitāte </w:t>
            </w:r>
            <w:r w:rsidR="000744AF" w:rsidRPr="003C1B12">
              <w:rPr>
                <w:rFonts w:ascii="Times New Roman" w:hAnsi="Times New Roman" w:cs="Times New Roman"/>
                <w:sz w:val="24"/>
              </w:rPr>
              <w:t xml:space="preserve">pētniecības projektiem </w:t>
            </w:r>
            <w:r w:rsidRPr="003C1B12">
              <w:rPr>
                <w:rFonts w:ascii="Times New Roman" w:hAnsi="Times New Roman" w:cs="Times New Roman"/>
                <w:sz w:val="24"/>
              </w:rPr>
              <w:t xml:space="preserve">par efektīvo sadarbību tiek piešķirta, ja projekts paredz sadarbību </w:t>
            </w:r>
            <w:r w:rsidRPr="003C1B12">
              <w:rPr>
                <w:rFonts w:ascii="Times New Roman" w:hAnsi="Times New Roman" w:cs="Times New Roman"/>
                <w:sz w:val="24"/>
                <w:szCs w:val="24"/>
              </w:rPr>
              <w:t>starp</w:t>
            </w:r>
            <w:r w:rsidR="004B4EEC" w:rsidRPr="003C1B12">
              <w:rPr>
                <w:rFonts w:ascii="Times New Roman" w:hAnsi="Times New Roman" w:cs="Times New Roman"/>
                <w:sz w:val="24"/>
                <w:szCs w:val="24"/>
              </w:rPr>
              <w:t>:</w:t>
            </w:r>
          </w:p>
          <w:p w:rsidR="004B4EEC" w:rsidRPr="003C1B12" w:rsidRDefault="000A1A24" w:rsidP="000744AF">
            <w:pPr>
              <w:pStyle w:val="ListParagraph"/>
              <w:numPr>
                <w:ilvl w:val="0"/>
                <w:numId w:val="30"/>
              </w:numPr>
              <w:spacing w:after="0" w:line="240" w:lineRule="auto"/>
              <w:rPr>
                <w:rFonts w:ascii="Times New Roman" w:hAnsi="Times New Roman" w:cs="Times New Roman"/>
                <w:sz w:val="24"/>
                <w:szCs w:val="24"/>
              </w:rPr>
            </w:pPr>
            <w:r w:rsidRPr="003C1B12">
              <w:rPr>
                <w:rFonts w:ascii="Times New Roman" w:hAnsi="Times New Roman" w:cs="Times New Roman"/>
                <w:sz w:val="24"/>
                <w:szCs w:val="24"/>
              </w:rPr>
              <w:t>uzņēmumiem, no kuriem vismaz viens ir MVU, un neviens atsevišķs uzņēmums nesedz vairāk kā 70 % no attiecināmajām izmaksām</w:t>
            </w:r>
            <w:r w:rsidR="004B4EEC" w:rsidRPr="003C1B12">
              <w:rPr>
                <w:rFonts w:ascii="Times New Roman" w:hAnsi="Times New Roman" w:cs="Times New Roman"/>
                <w:sz w:val="24"/>
                <w:szCs w:val="24"/>
              </w:rPr>
              <w:t>;</w:t>
            </w:r>
          </w:p>
          <w:p w:rsidR="004B4EEC" w:rsidRPr="003C1B12" w:rsidRDefault="000A1A24" w:rsidP="000744AF">
            <w:pPr>
              <w:pStyle w:val="ListParagraph"/>
              <w:numPr>
                <w:ilvl w:val="0"/>
                <w:numId w:val="30"/>
              </w:numPr>
              <w:spacing w:after="0" w:line="240" w:lineRule="auto"/>
              <w:rPr>
                <w:rFonts w:ascii="Times New Roman" w:hAnsi="Times New Roman" w:cs="Times New Roman"/>
                <w:sz w:val="24"/>
                <w:szCs w:val="24"/>
              </w:rPr>
            </w:pPr>
            <w:r w:rsidRPr="003C1B12">
              <w:rPr>
                <w:rFonts w:ascii="Times New Roman" w:hAnsi="Times New Roman" w:cs="Times New Roman"/>
                <w:sz w:val="24"/>
                <w:szCs w:val="24"/>
              </w:rPr>
              <w:t xml:space="preserve">starp uzņēmumu un vienu vai vairākām pētniecības un zināšanu izplatīšanas organizācijām, kuras sedz vismaz 10 % no attiecināmajām izmaksām un ir tiesīgas publicēt savu pētījumu </w:t>
            </w:r>
            <w:r w:rsidRPr="003C1B12">
              <w:rPr>
                <w:rFonts w:ascii="Times New Roman" w:hAnsi="Times New Roman" w:cs="Times New Roman"/>
                <w:sz w:val="24"/>
                <w:szCs w:val="24"/>
              </w:rPr>
              <w:lastRenderedPageBreak/>
              <w:t>rezultātus;</w:t>
            </w:r>
          </w:p>
          <w:p w:rsidR="003D5183" w:rsidRPr="003C1B12" w:rsidRDefault="000A1A24" w:rsidP="000744AF">
            <w:pPr>
              <w:pStyle w:val="ListParagraph"/>
              <w:numPr>
                <w:ilvl w:val="0"/>
                <w:numId w:val="30"/>
              </w:numPr>
              <w:spacing w:after="0" w:line="240" w:lineRule="auto"/>
              <w:rPr>
                <w:rFonts w:ascii="Times New Roman" w:hAnsi="Times New Roman" w:cs="Times New Roman"/>
                <w:sz w:val="24"/>
              </w:rPr>
            </w:pPr>
            <w:r w:rsidRPr="003C1B12">
              <w:rPr>
                <w:rFonts w:ascii="Times New Roman" w:hAnsi="Times New Roman" w:cs="Times New Roman"/>
                <w:sz w:val="24"/>
                <w:szCs w:val="24"/>
              </w:rPr>
              <w:t>pr</w:t>
            </w:r>
            <w:r w:rsidR="004B4EEC" w:rsidRPr="003C1B12">
              <w:rPr>
                <w:rFonts w:ascii="Times New Roman" w:hAnsi="Times New Roman" w:cs="Times New Roman"/>
                <w:sz w:val="24"/>
                <w:szCs w:val="24"/>
              </w:rPr>
              <w:t xml:space="preserve">ojekta rezultātus plaši izplata, </w:t>
            </w:r>
            <w:r w:rsidRPr="003C1B12">
              <w:rPr>
                <w:rFonts w:ascii="Times New Roman" w:hAnsi="Times New Roman" w:cs="Times New Roman"/>
                <w:sz w:val="24"/>
                <w:szCs w:val="24"/>
              </w:rPr>
              <w:t>publi</w:t>
            </w:r>
            <w:r w:rsidR="004B4EEC" w:rsidRPr="003C1B12">
              <w:rPr>
                <w:rFonts w:ascii="Times New Roman" w:hAnsi="Times New Roman" w:cs="Times New Roman"/>
                <w:sz w:val="24"/>
                <w:szCs w:val="24"/>
              </w:rPr>
              <w:t>cē</w:t>
            </w:r>
            <w:r w:rsidRPr="003C1B12">
              <w:rPr>
                <w:rFonts w:ascii="Times New Roman" w:hAnsi="Times New Roman" w:cs="Times New Roman"/>
                <w:sz w:val="24"/>
                <w:szCs w:val="24"/>
              </w:rPr>
              <w:t>j</w:t>
            </w:r>
            <w:r w:rsidR="004B4EEC" w:rsidRPr="003C1B12">
              <w:rPr>
                <w:rFonts w:ascii="Times New Roman" w:hAnsi="Times New Roman" w:cs="Times New Roman"/>
                <w:sz w:val="24"/>
                <w:szCs w:val="24"/>
              </w:rPr>
              <w:t xml:space="preserve">ot. </w:t>
            </w:r>
            <w:r w:rsidR="0064114E" w:rsidRPr="003C1B12">
              <w:rPr>
                <w:rFonts w:ascii="Times New Roman" w:hAnsi="Times New Roman" w:cs="Times New Roman"/>
                <w:sz w:val="24"/>
              </w:rPr>
              <w:t>Papildus</w:t>
            </w:r>
            <w:r w:rsidR="004F251C" w:rsidRPr="003C1B12">
              <w:rPr>
                <w:rFonts w:ascii="Times New Roman" w:hAnsi="Times New Roman" w:cs="Times New Roman"/>
                <w:sz w:val="24"/>
              </w:rPr>
              <w:t xml:space="preserve"> intensitāte</w:t>
            </w:r>
            <w:r w:rsidR="0064114E" w:rsidRPr="003C1B12">
              <w:rPr>
                <w:rFonts w:ascii="Times New Roman" w:hAnsi="Times New Roman" w:cs="Times New Roman"/>
                <w:sz w:val="24"/>
              </w:rPr>
              <w:t xml:space="preserve"> par pētniecības rezultātu publicēšanu var tikt piešķirti, ja publikācijas autors ir uzņēmuma pētnieks, vai tā ir uzņēmuma un zinātniskās institūcijas pētnieku koppublikācijas, </w:t>
            </w:r>
            <w:r w:rsidR="0064114E" w:rsidRPr="003C1B12">
              <w:rPr>
                <w:rFonts w:ascii="Times New Roman" w:hAnsi="Times New Roman" w:cs="Times New Roman"/>
                <w:color w:val="000000" w:themeColor="text1"/>
                <w:sz w:val="24"/>
                <w:szCs w:val="24"/>
                <w:shd w:val="clear" w:color="auto" w:fill="FFFFFF"/>
              </w:rPr>
              <w:t>kas indeksēt</w:t>
            </w:r>
            <w:r w:rsidR="003D5183" w:rsidRPr="003C1B12">
              <w:rPr>
                <w:rFonts w:ascii="Times New Roman" w:hAnsi="Times New Roman" w:cs="Times New Roman"/>
                <w:color w:val="000000" w:themeColor="text1"/>
                <w:sz w:val="24"/>
                <w:szCs w:val="24"/>
                <w:shd w:val="clear" w:color="auto" w:fill="FFFFFF"/>
              </w:rPr>
              <w:t>as</w:t>
            </w:r>
            <w:r w:rsidR="0064114E" w:rsidRPr="003C1B12">
              <w:rPr>
                <w:rStyle w:val="apple-converted-space"/>
                <w:rFonts w:ascii="Times New Roman" w:hAnsi="Times New Roman" w:cs="Times New Roman"/>
                <w:color w:val="000000" w:themeColor="text1"/>
                <w:sz w:val="24"/>
                <w:szCs w:val="24"/>
                <w:shd w:val="clear" w:color="auto" w:fill="FFFFFF"/>
              </w:rPr>
              <w:t> </w:t>
            </w:r>
            <w:r w:rsidR="0064114E" w:rsidRPr="003C1B12">
              <w:rPr>
                <w:rFonts w:ascii="Times New Roman" w:hAnsi="Times New Roman" w:cs="Times New Roman"/>
                <w:iCs/>
                <w:color w:val="000000" w:themeColor="text1"/>
                <w:sz w:val="24"/>
                <w:szCs w:val="24"/>
                <w:shd w:val="clear" w:color="auto" w:fill="FFFFFF"/>
              </w:rPr>
              <w:t>Web of Science, SCOPUS</w:t>
            </w:r>
            <w:r w:rsidR="0064114E" w:rsidRPr="003C1B12">
              <w:rPr>
                <w:rStyle w:val="apple-converted-space"/>
                <w:rFonts w:ascii="Times New Roman" w:hAnsi="Times New Roman" w:cs="Times New Roman"/>
                <w:color w:val="000000" w:themeColor="text1"/>
                <w:sz w:val="24"/>
                <w:szCs w:val="24"/>
                <w:shd w:val="clear" w:color="auto" w:fill="FFFFFF"/>
              </w:rPr>
              <w:t> </w:t>
            </w:r>
            <w:r w:rsidR="0064114E" w:rsidRPr="003C1B12">
              <w:rPr>
                <w:rFonts w:ascii="Times New Roman" w:hAnsi="Times New Roman" w:cs="Times New Roman"/>
                <w:color w:val="000000" w:themeColor="text1"/>
                <w:sz w:val="24"/>
                <w:szCs w:val="24"/>
                <w:shd w:val="clear" w:color="auto" w:fill="FFFFFF"/>
              </w:rPr>
              <w:t>vai</w:t>
            </w:r>
            <w:r w:rsidR="0064114E" w:rsidRPr="003C1B12">
              <w:rPr>
                <w:rStyle w:val="apple-converted-space"/>
                <w:rFonts w:ascii="Times New Roman" w:hAnsi="Times New Roman" w:cs="Times New Roman"/>
                <w:color w:val="000000" w:themeColor="text1"/>
                <w:sz w:val="24"/>
                <w:szCs w:val="24"/>
                <w:shd w:val="clear" w:color="auto" w:fill="FFFFFF"/>
              </w:rPr>
              <w:t> </w:t>
            </w:r>
            <w:r w:rsidR="0064114E" w:rsidRPr="003C1B12">
              <w:rPr>
                <w:rFonts w:ascii="Times New Roman" w:hAnsi="Times New Roman" w:cs="Times New Roman"/>
                <w:iCs/>
                <w:color w:val="000000" w:themeColor="text1"/>
                <w:sz w:val="24"/>
                <w:szCs w:val="24"/>
                <w:shd w:val="clear" w:color="auto" w:fill="FFFFFF"/>
              </w:rPr>
              <w:t>ERIH</w:t>
            </w:r>
            <w:r w:rsidR="0064114E" w:rsidRPr="003C1B12">
              <w:rPr>
                <w:rStyle w:val="apple-converted-space"/>
                <w:rFonts w:ascii="Times New Roman" w:hAnsi="Times New Roman" w:cs="Times New Roman"/>
                <w:color w:val="000000" w:themeColor="text1"/>
                <w:sz w:val="24"/>
                <w:szCs w:val="24"/>
                <w:shd w:val="clear" w:color="auto" w:fill="FFFFFF"/>
              </w:rPr>
              <w:t> </w:t>
            </w:r>
            <w:r w:rsidR="0064114E" w:rsidRPr="003C1B12">
              <w:rPr>
                <w:rFonts w:ascii="Times New Roman" w:hAnsi="Times New Roman" w:cs="Times New Roman"/>
                <w:color w:val="000000" w:themeColor="text1"/>
                <w:sz w:val="24"/>
                <w:szCs w:val="24"/>
                <w:shd w:val="clear" w:color="auto" w:fill="FFFFFF"/>
              </w:rPr>
              <w:t>(A vai B) datubāzēs vai plaši izplatīti tādā tehniskā vai zinātniskā konferencē, kuras konferenču rakstu krājums indeksēts</w:t>
            </w:r>
            <w:r w:rsidR="0064114E" w:rsidRPr="003C1B12">
              <w:rPr>
                <w:rStyle w:val="apple-converted-space"/>
                <w:rFonts w:ascii="Times New Roman" w:hAnsi="Times New Roman" w:cs="Times New Roman"/>
                <w:color w:val="000000" w:themeColor="text1"/>
                <w:sz w:val="24"/>
                <w:szCs w:val="24"/>
                <w:shd w:val="clear" w:color="auto" w:fill="FFFFFF"/>
              </w:rPr>
              <w:t> </w:t>
            </w:r>
            <w:r w:rsidR="0064114E" w:rsidRPr="003C1B12">
              <w:rPr>
                <w:rFonts w:ascii="Times New Roman" w:hAnsi="Times New Roman" w:cs="Times New Roman"/>
                <w:iCs/>
                <w:color w:val="000000" w:themeColor="text1"/>
                <w:sz w:val="24"/>
                <w:szCs w:val="24"/>
                <w:shd w:val="clear" w:color="auto" w:fill="FFFFFF"/>
              </w:rPr>
              <w:t>Web of Science</w:t>
            </w:r>
            <w:r w:rsidR="0064114E" w:rsidRPr="003C1B12">
              <w:rPr>
                <w:rStyle w:val="apple-converted-space"/>
                <w:rFonts w:ascii="Times New Roman" w:hAnsi="Times New Roman" w:cs="Times New Roman"/>
                <w:color w:val="000000" w:themeColor="text1"/>
                <w:sz w:val="24"/>
                <w:szCs w:val="24"/>
                <w:shd w:val="clear" w:color="auto" w:fill="FFFFFF"/>
              </w:rPr>
              <w:t> </w:t>
            </w:r>
            <w:r w:rsidR="0064114E" w:rsidRPr="003C1B12">
              <w:rPr>
                <w:rFonts w:ascii="Times New Roman" w:hAnsi="Times New Roman" w:cs="Times New Roman"/>
                <w:color w:val="000000" w:themeColor="text1"/>
                <w:sz w:val="24"/>
                <w:szCs w:val="24"/>
                <w:shd w:val="clear" w:color="auto" w:fill="FFFFFF"/>
              </w:rPr>
              <w:t>vai</w:t>
            </w:r>
            <w:r w:rsidR="0064114E" w:rsidRPr="003C1B12">
              <w:rPr>
                <w:rStyle w:val="apple-converted-space"/>
                <w:rFonts w:ascii="Times New Roman" w:hAnsi="Times New Roman" w:cs="Times New Roman"/>
                <w:color w:val="000000" w:themeColor="text1"/>
                <w:sz w:val="24"/>
                <w:szCs w:val="24"/>
                <w:shd w:val="clear" w:color="auto" w:fill="FFFFFF"/>
              </w:rPr>
              <w:t> </w:t>
            </w:r>
            <w:r w:rsidR="0064114E" w:rsidRPr="003C1B12">
              <w:rPr>
                <w:rFonts w:ascii="Times New Roman" w:hAnsi="Times New Roman" w:cs="Times New Roman"/>
                <w:iCs/>
                <w:color w:val="000000" w:themeColor="text1"/>
                <w:sz w:val="24"/>
                <w:szCs w:val="24"/>
                <w:shd w:val="clear" w:color="auto" w:fill="FFFFFF"/>
              </w:rPr>
              <w:t>SCOPUS</w:t>
            </w:r>
            <w:r w:rsidR="0064114E" w:rsidRPr="003C1B12">
              <w:rPr>
                <w:rStyle w:val="apple-converted-space"/>
                <w:rFonts w:ascii="Times New Roman" w:hAnsi="Times New Roman" w:cs="Times New Roman"/>
                <w:color w:val="000000" w:themeColor="text1"/>
                <w:sz w:val="24"/>
                <w:szCs w:val="24"/>
                <w:shd w:val="clear" w:color="auto" w:fill="FFFFFF"/>
              </w:rPr>
              <w:t> </w:t>
            </w:r>
            <w:r w:rsidR="0064114E" w:rsidRPr="003C1B12">
              <w:rPr>
                <w:rFonts w:ascii="Times New Roman" w:hAnsi="Times New Roman" w:cs="Times New Roman"/>
                <w:color w:val="000000" w:themeColor="text1"/>
                <w:sz w:val="24"/>
                <w:szCs w:val="24"/>
                <w:shd w:val="clear" w:color="auto" w:fill="FFFFFF"/>
              </w:rPr>
              <w:t>datubāzēs</w:t>
            </w:r>
            <w:r w:rsidR="004B4EEC" w:rsidRPr="003C1B12">
              <w:rPr>
                <w:rFonts w:ascii="Times New Roman" w:hAnsi="Times New Roman" w:cs="Times New Roman"/>
                <w:color w:val="000000" w:themeColor="text1"/>
                <w:sz w:val="24"/>
                <w:szCs w:val="24"/>
                <w:shd w:val="clear" w:color="auto" w:fill="FFFFFF"/>
              </w:rPr>
              <w:t>.</w:t>
            </w:r>
          </w:p>
          <w:p w:rsidR="000744AF" w:rsidRPr="003C1B12" w:rsidRDefault="00844519" w:rsidP="00BA318B">
            <w:pPr>
              <w:spacing w:after="0" w:line="240" w:lineRule="auto"/>
              <w:ind w:left="360"/>
              <w:jc w:val="both"/>
              <w:rPr>
                <w:rFonts w:ascii="Times New Roman" w:hAnsi="Times New Roman" w:cs="Times New Roman"/>
                <w:sz w:val="24"/>
                <w:szCs w:val="24"/>
              </w:rPr>
            </w:pPr>
            <w:r w:rsidRPr="003C1B12">
              <w:rPr>
                <w:rFonts w:ascii="Times New Roman" w:hAnsi="Times New Roman" w:cs="Times New Roman"/>
                <w:sz w:val="24"/>
                <w:szCs w:val="24"/>
              </w:rPr>
              <w:t>S</w:t>
            </w:r>
            <w:r w:rsidR="00466114" w:rsidRPr="003C1B12">
              <w:rPr>
                <w:rFonts w:ascii="Times New Roman" w:hAnsi="Times New Roman" w:cs="Times New Roman"/>
                <w:sz w:val="24"/>
                <w:szCs w:val="24"/>
              </w:rPr>
              <w:t xml:space="preserve">tatistika par publikācijām liecina, ka  pētniecības rezultāti netiek pietiekami izplatīti un jo īpaši komersanti nav pietiekami motivēti zinātnisko publikāciju gatavošanā un iesniegšanā. Piemēram, saskaņā ar 2015.gadā publicēto Inovācijas Progresa ziņojumu publiskā un privātā sektora kopīgi izstrādātas publikācijas skaits veido tikai 3% no ES vidējā rādītāja un tas ir viens no zemākajiem rādītājiem ES dalībvalstu vidū. </w:t>
            </w:r>
            <w:r w:rsidRPr="003C1B12">
              <w:rPr>
                <w:rFonts w:ascii="Times New Roman" w:hAnsi="Times New Roman" w:cs="Times New Roman"/>
                <w:sz w:val="24"/>
                <w:szCs w:val="24"/>
              </w:rPr>
              <w:t>Lai motivētu komersantus sagatavot publikācijas tiek paredzēta</w:t>
            </w:r>
            <w:r w:rsidR="00466114" w:rsidRPr="003C1B12">
              <w:rPr>
                <w:rFonts w:ascii="Times New Roman" w:hAnsi="Times New Roman" w:cs="Times New Roman"/>
                <w:sz w:val="24"/>
                <w:szCs w:val="24"/>
              </w:rPr>
              <w:t xml:space="preserve"> papildus intensitāte par pētniecības rezultātu publicēšanu</w:t>
            </w:r>
            <w:r w:rsidRPr="003C1B12">
              <w:rPr>
                <w:rFonts w:ascii="Times New Roman" w:hAnsi="Times New Roman" w:cs="Times New Roman"/>
                <w:sz w:val="24"/>
                <w:szCs w:val="24"/>
              </w:rPr>
              <w:t>, kas</w:t>
            </w:r>
            <w:r w:rsidR="00466114" w:rsidRPr="003C1B12">
              <w:rPr>
                <w:rFonts w:ascii="Times New Roman" w:hAnsi="Times New Roman" w:cs="Times New Roman"/>
                <w:sz w:val="24"/>
                <w:szCs w:val="24"/>
              </w:rPr>
              <w:t xml:space="preserve"> var tikt piešķirti tikai tad, ja publikācijas autors ir uzņēmuma pētnieks, vai tā ir uzņēmuma un zinātniskās institūcijas pētnieku koppublikācijas, kas indeksētas </w:t>
            </w:r>
            <w:r w:rsidR="00466114" w:rsidRPr="003C1B12">
              <w:rPr>
                <w:rFonts w:ascii="Times New Roman" w:hAnsi="Times New Roman" w:cs="Times New Roman"/>
                <w:iCs/>
                <w:sz w:val="24"/>
                <w:szCs w:val="24"/>
              </w:rPr>
              <w:t>Web of Science, SCOPUS</w:t>
            </w:r>
            <w:r w:rsidR="00466114" w:rsidRPr="003C1B12">
              <w:rPr>
                <w:rFonts w:ascii="Times New Roman" w:hAnsi="Times New Roman" w:cs="Times New Roman"/>
                <w:sz w:val="24"/>
                <w:szCs w:val="24"/>
              </w:rPr>
              <w:t> vai </w:t>
            </w:r>
            <w:r w:rsidR="00466114" w:rsidRPr="003C1B12">
              <w:rPr>
                <w:rFonts w:ascii="Times New Roman" w:hAnsi="Times New Roman" w:cs="Times New Roman"/>
                <w:iCs/>
                <w:sz w:val="24"/>
                <w:szCs w:val="24"/>
              </w:rPr>
              <w:t>ERIH</w:t>
            </w:r>
            <w:r w:rsidR="00466114" w:rsidRPr="003C1B12">
              <w:rPr>
                <w:rFonts w:ascii="Times New Roman" w:hAnsi="Times New Roman" w:cs="Times New Roman"/>
                <w:sz w:val="24"/>
                <w:szCs w:val="24"/>
              </w:rPr>
              <w:t> (A vai B) datubāzēs vai plaši izplatīti tādā tehniskā vai zinātniskā konferencē, kuras konferenču rakstu krājums indeksēts </w:t>
            </w:r>
            <w:r w:rsidR="00466114" w:rsidRPr="003C1B12">
              <w:rPr>
                <w:rFonts w:ascii="Times New Roman" w:hAnsi="Times New Roman" w:cs="Times New Roman"/>
                <w:iCs/>
                <w:sz w:val="24"/>
                <w:szCs w:val="24"/>
              </w:rPr>
              <w:t>Web of Science</w:t>
            </w:r>
            <w:r w:rsidR="00466114" w:rsidRPr="003C1B12">
              <w:rPr>
                <w:rFonts w:ascii="Times New Roman" w:hAnsi="Times New Roman" w:cs="Times New Roman"/>
                <w:sz w:val="24"/>
                <w:szCs w:val="24"/>
              </w:rPr>
              <w:t> vai </w:t>
            </w:r>
            <w:r w:rsidR="00466114" w:rsidRPr="003C1B12">
              <w:rPr>
                <w:rFonts w:ascii="Times New Roman" w:hAnsi="Times New Roman" w:cs="Times New Roman"/>
                <w:iCs/>
                <w:sz w:val="24"/>
                <w:szCs w:val="24"/>
              </w:rPr>
              <w:t>SCOPUS</w:t>
            </w:r>
            <w:r w:rsidR="00466114" w:rsidRPr="003C1B12">
              <w:rPr>
                <w:rFonts w:ascii="Times New Roman" w:hAnsi="Times New Roman" w:cs="Times New Roman"/>
                <w:sz w:val="24"/>
                <w:szCs w:val="24"/>
              </w:rPr>
              <w:t> datubāzēs.</w:t>
            </w:r>
          </w:p>
          <w:p w:rsidR="00466114" w:rsidRPr="003C1B12" w:rsidRDefault="00466114" w:rsidP="000744AF">
            <w:pPr>
              <w:spacing w:after="0" w:line="240" w:lineRule="auto"/>
              <w:jc w:val="both"/>
              <w:rPr>
                <w:rFonts w:ascii="Times New Roman" w:hAnsi="Times New Roman" w:cs="Times New Roman"/>
                <w:sz w:val="24"/>
                <w:szCs w:val="24"/>
              </w:rPr>
            </w:pPr>
          </w:p>
          <w:p w:rsidR="000744AF" w:rsidRPr="003C1B12" w:rsidRDefault="000744AF" w:rsidP="000744AF">
            <w:pPr>
              <w:spacing w:after="0" w:line="240" w:lineRule="auto"/>
              <w:jc w:val="both"/>
              <w:rPr>
                <w:rFonts w:ascii="Times New Roman" w:hAnsi="Times New Roman" w:cs="Times New Roman"/>
                <w:color w:val="000000" w:themeColor="text1"/>
                <w:sz w:val="24"/>
                <w:szCs w:val="24"/>
              </w:rPr>
            </w:pPr>
            <w:r w:rsidRPr="003C1B12">
              <w:rPr>
                <w:rFonts w:ascii="Times New Roman" w:hAnsi="Times New Roman" w:cs="Times New Roman"/>
                <w:sz w:val="24"/>
              </w:rPr>
              <w:t xml:space="preserve">Maksimālā atbalsta intensitāte </w:t>
            </w:r>
            <w:r w:rsidRPr="003C1B12">
              <w:rPr>
                <w:rFonts w:ascii="Times New Roman" w:hAnsi="Times New Roman" w:cs="Times New Roman"/>
                <w:color w:val="000000" w:themeColor="text1"/>
                <w:sz w:val="24"/>
                <w:szCs w:val="24"/>
              </w:rPr>
              <w:t>ar projektu koordinācijas un īstenošanas uzraudzību saistītām izmaksām:</w:t>
            </w:r>
          </w:p>
          <w:p w:rsidR="000744AF" w:rsidRPr="003C1B12" w:rsidRDefault="007B5BD9" w:rsidP="00EB4A0A">
            <w:pPr>
              <w:pStyle w:val="ListParagraph"/>
              <w:numPr>
                <w:ilvl w:val="0"/>
                <w:numId w:val="40"/>
              </w:numPr>
              <w:spacing w:after="0" w:line="240" w:lineRule="auto"/>
              <w:jc w:val="both"/>
              <w:rPr>
                <w:rFonts w:ascii="Times New Roman" w:hAnsi="Times New Roman" w:cs="Times New Roman"/>
                <w:sz w:val="24"/>
              </w:rPr>
            </w:pPr>
            <w:r w:rsidRPr="003C1B12">
              <w:rPr>
                <w:rFonts w:ascii="Times New Roman" w:hAnsi="Times New Roman" w:cs="Times New Roman"/>
                <w:sz w:val="24"/>
                <w:szCs w:val="24"/>
              </w:rPr>
              <w:t>KC</w:t>
            </w:r>
            <w:r w:rsidR="000744AF" w:rsidRPr="003C1B12">
              <w:rPr>
                <w:rFonts w:ascii="Times New Roman" w:hAnsi="Times New Roman" w:cs="Times New Roman"/>
                <w:sz w:val="24"/>
                <w:szCs w:val="24"/>
              </w:rPr>
              <w:t xml:space="preserve">- </w:t>
            </w:r>
            <w:r w:rsidR="007B54C3" w:rsidRPr="003C1B12">
              <w:rPr>
                <w:rFonts w:ascii="Times New Roman" w:hAnsi="Times New Roman" w:cs="Times New Roman"/>
                <w:sz w:val="24"/>
                <w:szCs w:val="24"/>
              </w:rPr>
              <w:t>70</w:t>
            </w:r>
            <w:r w:rsidR="000744AF" w:rsidRPr="003C1B12">
              <w:rPr>
                <w:rFonts w:ascii="Times New Roman" w:hAnsi="Times New Roman" w:cs="Times New Roman"/>
                <w:sz w:val="24"/>
                <w:szCs w:val="24"/>
              </w:rPr>
              <w:t xml:space="preserve">%; </w:t>
            </w:r>
          </w:p>
          <w:p w:rsidR="00BF3284" w:rsidRPr="003C1B12" w:rsidRDefault="00745AD5" w:rsidP="00BA318B">
            <w:pPr>
              <w:spacing w:after="0" w:line="240" w:lineRule="auto"/>
              <w:jc w:val="both"/>
              <w:rPr>
                <w:rFonts w:ascii="Times New Roman" w:hAnsi="Times New Roman" w:cs="Times New Roman"/>
                <w:sz w:val="24"/>
              </w:rPr>
            </w:pPr>
            <w:r w:rsidRPr="003C1B12">
              <w:rPr>
                <w:rFonts w:ascii="Times New Roman" w:hAnsi="Times New Roman" w:cs="Times New Roman"/>
                <w:sz w:val="24"/>
              </w:rPr>
              <w:t>Ja nav izstrādātas detālas pētniecības programmas, i</w:t>
            </w:r>
            <w:r w:rsidR="00BF3284" w:rsidRPr="003C1B12">
              <w:rPr>
                <w:rFonts w:ascii="Times New Roman" w:hAnsi="Times New Roman" w:cs="Times New Roman"/>
                <w:sz w:val="24"/>
              </w:rPr>
              <w:t>esniedzot projektu kompetences centrs norāda publiskā finansējuma summu un minimālo privāto līdzfinansējumu un īstenojot pētījumus tiek palielināta līdzfinansējuma summa</w:t>
            </w:r>
            <w:r w:rsidRPr="003C1B12">
              <w:rPr>
                <w:rFonts w:ascii="Times New Roman" w:hAnsi="Times New Roman" w:cs="Times New Roman"/>
                <w:sz w:val="24"/>
              </w:rPr>
              <w:t>.</w:t>
            </w:r>
          </w:p>
        </w:tc>
      </w:tr>
      <w:tr w:rsidR="000C4557" w:rsidRPr="003C1B12" w:rsidTr="00946A56">
        <w:tc>
          <w:tcPr>
            <w:tcW w:w="0" w:type="auto"/>
            <w:shd w:val="clear" w:color="auto" w:fill="FFFFFF"/>
            <w:tcMar>
              <w:top w:w="45" w:type="dxa"/>
              <w:left w:w="45" w:type="dxa"/>
              <w:bottom w:w="45" w:type="dxa"/>
              <w:right w:w="45" w:type="dxa"/>
            </w:tcMar>
            <w:vAlign w:val="center"/>
            <w:hideMark/>
          </w:tcPr>
          <w:p w:rsidR="000C4557" w:rsidRPr="003C1B12" w:rsidRDefault="000C4557" w:rsidP="00E35575">
            <w:pPr>
              <w:pStyle w:val="Normal1"/>
              <w:rPr>
                <w:rFonts w:ascii="Times New Roman" w:hAnsi="Times New Roman" w:cs="Times New Roman"/>
                <w:sz w:val="24"/>
              </w:rPr>
            </w:pPr>
            <w:r w:rsidRPr="003C1B12">
              <w:rPr>
                <w:rFonts w:ascii="Times New Roman" w:hAnsi="Times New Roman" w:cs="Times New Roman"/>
                <w:sz w:val="24"/>
              </w:rPr>
              <w:lastRenderedPageBreak/>
              <w:t>Atbalstāmās darbības</w:t>
            </w:r>
          </w:p>
        </w:tc>
        <w:tc>
          <w:tcPr>
            <w:tcW w:w="7014" w:type="dxa"/>
            <w:shd w:val="clear" w:color="auto" w:fill="FFFFFF"/>
            <w:tcMar>
              <w:top w:w="45" w:type="dxa"/>
              <w:left w:w="45" w:type="dxa"/>
              <w:bottom w:w="45" w:type="dxa"/>
              <w:right w:w="45" w:type="dxa"/>
            </w:tcMar>
            <w:vAlign w:val="center"/>
            <w:hideMark/>
          </w:tcPr>
          <w:p w:rsidR="00F16BB4" w:rsidRPr="003C1B12" w:rsidRDefault="00CD6630" w:rsidP="009D209C">
            <w:pPr>
              <w:pStyle w:val="ListParagraph"/>
              <w:numPr>
                <w:ilvl w:val="0"/>
                <w:numId w:val="22"/>
              </w:numPr>
              <w:spacing w:after="0" w:line="240" w:lineRule="auto"/>
              <w:ind w:left="357" w:hanging="357"/>
              <w:jc w:val="both"/>
              <w:rPr>
                <w:rFonts w:ascii="Times New Roman" w:hAnsi="Times New Roman" w:cs="Times New Roman"/>
                <w:sz w:val="24"/>
                <w:szCs w:val="24"/>
              </w:rPr>
            </w:pPr>
            <w:r w:rsidRPr="003C1B12">
              <w:rPr>
                <w:rFonts w:ascii="Times New Roman" w:hAnsi="Times New Roman" w:cs="Times New Roman"/>
                <w:sz w:val="24"/>
                <w:szCs w:val="24"/>
              </w:rPr>
              <w:t>J</w:t>
            </w:r>
            <w:r w:rsidR="00F16BB4" w:rsidRPr="003C1B12">
              <w:rPr>
                <w:rFonts w:ascii="Times New Roman" w:hAnsi="Times New Roman" w:cs="Times New Roman"/>
                <w:sz w:val="24"/>
                <w:szCs w:val="24"/>
              </w:rPr>
              <w:t>aunu produktu un tehnoloģiju izstrādei, nepieciešam</w:t>
            </w:r>
            <w:r w:rsidR="005E046E" w:rsidRPr="003C1B12">
              <w:rPr>
                <w:rFonts w:ascii="Times New Roman" w:hAnsi="Times New Roman" w:cs="Times New Roman"/>
                <w:sz w:val="24"/>
                <w:szCs w:val="24"/>
              </w:rPr>
              <w:t>ie</w:t>
            </w:r>
            <w:r w:rsidR="00F16BB4" w:rsidRPr="003C1B12">
              <w:rPr>
                <w:rFonts w:ascii="Times New Roman" w:hAnsi="Times New Roman" w:cs="Times New Roman"/>
                <w:sz w:val="24"/>
                <w:szCs w:val="24"/>
              </w:rPr>
              <w:t xml:space="preserve"> rūpniecisk</w:t>
            </w:r>
            <w:r w:rsidR="005E046E" w:rsidRPr="003C1B12">
              <w:rPr>
                <w:rFonts w:ascii="Times New Roman" w:hAnsi="Times New Roman" w:cs="Times New Roman"/>
                <w:sz w:val="24"/>
                <w:szCs w:val="24"/>
              </w:rPr>
              <w:t>ie</w:t>
            </w:r>
            <w:r w:rsidR="00F16BB4" w:rsidRPr="003C1B12">
              <w:rPr>
                <w:rFonts w:ascii="Times New Roman" w:hAnsi="Times New Roman" w:cs="Times New Roman"/>
                <w:sz w:val="24"/>
                <w:szCs w:val="24"/>
              </w:rPr>
              <w:t xml:space="preserve"> pētījumi un eksperimentālās izstrādnes (tajā skaitā demonstrācijas prototipu</w:t>
            </w:r>
            <w:r w:rsidR="005E046E" w:rsidRPr="003C1B12">
              <w:rPr>
                <w:rFonts w:ascii="Times New Roman" w:hAnsi="Times New Roman" w:cs="Times New Roman"/>
                <w:sz w:val="24"/>
                <w:szCs w:val="24"/>
              </w:rPr>
              <w:t xml:space="preserve"> izstrāde</w:t>
            </w:r>
            <w:r w:rsidR="00F16BB4" w:rsidRPr="003C1B12">
              <w:rPr>
                <w:rFonts w:ascii="Times New Roman" w:hAnsi="Times New Roman" w:cs="Times New Roman"/>
                <w:sz w:val="24"/>
                <w:szCs w:val="24"/>
              </w:rPr>
              <w:t>)</w:t>
            </w:r>
            <w:r w:rsidR="005E046E" w:rsidRPr="003C1B12">
              <w:rPr>
                <w:rFonts w:ascii="Times New Roman" w:hAnsi="Times New Roman" w:cs="Times New Roman"/>
                <w:sz w:val="24"/>
                <w:szCs w:val="24"/>
              </w:rPr>
              <w:t>.</w:t>
            </w:r>
            <w:r w:rsidR="00F16BB4" w:rsidRPr="003C1B12">
              <w:rPr>
                <w:rFonts w:ascii="Times New Roman" w:hAnsi="Times New Roman" w:cs="Times New Roman"/>
                <w:sz w:val="24"/>
                <w:szCs w:val="24"/>
              </w:rPr>
              <w:t xml:space="preserve"> </w:t>
            </w:r>
          </w:p>
          <w:p w:rsidR="00CE3406" w:rsidRPr="003C1B12" w:rsidRDefault="00CE3406" w:rsidP="00BA318B">
            <w:pPr>
              <w:spacing w:after="0" w:line="240" w:lineRule="auto"/>
              <w:ind w:left="357"/>
              <w:rPr>
                <w:rFonts w:ascii="Times New Roman" w:hAnsi="Times New Roman" w:cs="Times New Roman"/>
                <w:sz w:val="24"/>
              </w:rPr>
            </w:pPr>
            <w:r w:rsidRPr="003C1B12">
              <w:rPr>
                <w:rFonts w:ascii="Times New Roman" w:hAnsi="Times New Roman" w:cs="Times New Roman"/>
                <w:sz w:val="24"/>
              </w:rPr>
              <w:t>Rūpnieciskie pētījumi tiks atbalstīti 4. tehnoloģiskās gatavības līmenī</w:t>
            </w:r>
            <w:r w:rsidR="00C36F85" w:rsidRPr="003C1B12">
              <w:rPr>
                <w:rStyle w:val="FootnoteReference"/>
                <w:rFonts w:ascii="Times New Roman" w:hAnsi="Times New Roman" w:cs="Times New Roman"/>
                <w:sz w:val="24"/>
              </w:rPr>
              <w:footnoteReference w:id="14"/>
            </w:r>
            <w:r w:rsidRPr="003C1B12">
              <w:rPr>
                <w:rFonts w:ascii="Times New Roman" w:hAnsi="Times New Roman" w:cs="Times New Roman"/>
                <w:sz w:val="24"/>
              </w:rPr>
              <w:t>;</w:t>
            </w:r>
          </w:p>
          <w:p w:rsidR="00CE3406" w:rsidRPr="003C1B12" w:rsidRDefault="00CE3406" w:rsidP="00BA318B">
            <w:pPr>
              <w:spacing w:after="0" w:line="240" w:lineRule="auto"/>
              <w:ind w:left="357"/>
              <w:rPr>
                <w:rFonts w:ascii="Times New Roman" w:hAnsi="Times New Roman" w:cs="Times New Roman"/>
                <w:sz w:val="24"/>
              </w:rPr>
            </w:pPr>
            <w:r w:rsidRPr="003C1B12">
              <w:rPr>
                <w:rFonts w:ascii="Times New Roman" w:hAnsi="Times New Roman" w:cs="Times New Roman"/>
                <w:sz w:val="24"/>
              </w:rPr>
              <w:t>Eksperimentālās izstrādnes tiks atbalstītas 5.-7. tehnoloģiskajā gatavības līmenī.</w:t>
            </w:r>
          </w:p>
          <w:p w:rsidR="00CE3406" w:rsidRPr="003C1B12" w:rsidRDefault="00CE3406" w:rsidP="00CE3406">
            <w:pPr>
              <w:pStyle w:val="ListParagraph"/>
              <w:spacing w:after="0" w:line="240" w:lineRule="auto"/>
              <w:ind w:left="357"/>
              <w:jc w:val="both"/>
              <w:rPr>
                <w:rFonts w:ascii="Times New Roman" w:hAnsi="Times New Roman" w:cs="Times New Roman"/>
                <w:sz w:val="24"/>
                <w:szCs w:val="24"/>
              </w:rPr>
            </w:pPr>
          </w:p>
          <w:p w:rsidR="00F16BB4" w:rsidRPr="003C1B12" w:rsidRDefault="00CD6630" w:rsidP="009D209C">
            <w:pPr>
              <w:pStyle w:val="ListParagraph"/>
              <w:numPr>
                <w:ilvl w:val="0"/>
                <w:numId w:val="22"/>
              </w:numPr>
              <w:spacing w:after="0" w:line="240" w:lineRule="auto"/>
              <w:ind w:left="357" w:hanging="357"/>
              <w:jc w:val="both"/>
              <w:rPr>
                <w:rFonts w:ascii="Times New Roman" w:hAnsi="Times New Roman" w:cs="Times New Roman"/>
                <w:sz w:val="24"/>
                <w:szCs w:val="24"/>
              </w:rPr>
            </w:pPr>
            <w:r w:rsidRPr="003C1B12">
              <w:rPr>
                <w:rFonts w:ascii="Times New Roman" w:hAnsi="Times New Roman" w:cs="Times New Roman"/>
                <w:sz w:val="24"/>
                <w:szCs w:val="24"/>
              </w:rPr>
              <w:t>K</w:t>
            </w:r>
            <w:r w:rsidR="005E046E" w:rsidRPr="003C1B12">
              <w:rPr>
                <w:rFonts w:ascii="Times New Roman" w:hAnsi="Times New Roman" w:cs="Times New Roman"/>
                <w:sz w:val="24"/>
                <w:szCs w:val="24"/>
              </w:rPr>
              <w:t>omercializācijas iespēju priekšizpēte plānotajiem pētniecības</w:t>
            </w:r>
            <w:r w:rsidR="00B02785" w:rsidRPr="003C1B12">
              <w:rPr>
                <w:rFonts w:ascii="Times New Roman" w:hAnsi="Times New Roman" w:cs="Times New Roman"/>
                <w:sz w:val="24"/>
                <w:szCs w:val="24"/>
              </w:rPr>
              <w:t xml:space="preserve"> projektiem</w:t>
            </w:r>
            <w:r w:rsidR="005E046E" w:rsidRPr="003C1B12">
              <w:rPr>
                <w:rFonts w:ascii="Times New Roman" w:hAnsi="Times New Roman" w:cs="Times New Roman"/>
                <w:sz w:val="24"/>
                <w:szCs w:val="24"/>
              </w:rPr>
              <w:t>,</w:t>
            </w:r>
            <w:r w:rsidR="00F16BB4" w:rsidRPr="003C1B12">
              <w:rPr>
                <w:rFonts w:ascii="Times New Roman" w:hAnsi="Times New Roman" w:cs="Times New Roman"/>
                <w:sz w:val="24"/>
                <w:szCs w:val="24"/>
              </w:rPr>
              <w:t xml:space="preserve"> kuru kopsumma pārsniedz 250 tūkst </w:t>
            </w:r>
            <w:r w:rsidR="00F16BB4" w:rsidRPr="003C1B12">
              <w:rPr>
                <w:rFonts w:ascii="Times New Roman" w:hAnsi="Times New Roman" w:cs="Times New Roman"/>
                <w:i/>
                <w:sz w:val="24"/>
                <w:szCs w:val="24"/>
              </w:rPr>
              <w:t>euro</w:t>
            </w:r>
            <w:r w:rsidR="00F16BB4" w:rsidRPr="003C1B12">
              <w:rPr>
                <w:rFonts w:ascii="Times New Roman" w:hAnsi="Times New Roman" w:cs="Times New Roman"/>
                <w:sz w:val="24"/>
                <w:szCs w:val="24"/>
              </w:rPr>
              <w:t>;</w:t>
            </w:r>
          </w:p>
          <w:p w:rsidR="00B02785" w:rsidRPr="003C1B12" w:rsidRDefault="00F16BB4" w:rsidP="007B5BD9">
            <w:pPr>
              <w:pStyle w:val="ListParagraph"/>
              <w:numPr>
                <w:ilvl w:val="0"/>
                <w:numId w:val="22"/>
              </w:numPr>
              <w:spacing w:after="0" w:line="240" w:lineRule="auto"/>
              <w:ind w:left="357" w:hanging="357"/>
              <w:jc w:val="both"/>
              <w:rPr>
                <w:rFonts w:ascii="Times New Roman" w:hAnsi="Times New Roman" w:cs="Times New Roman"/>
                <w:sz w:val="24"/>
              </w:rPr>
            </w:pPr>
            <w:r w:rsidRPr="003C1B12">
              <w:rPr>
                <w:rFonts w:ascii="Times New Roman" w:hAnsi="Times New Roman" w:cs="Times New Roman"/>
                <w:sz w:val="24"/>
                <w:szCs w:val="24"/>
              </w:rPr>
              <w:t xml:space="preserve">Nozares pētniecības projektu koordinācija un īstenošanas uzraudzība, t.sk., atbalsts </w:t>
            </w:r>
            <w:r w:rsidR="007B5BD9" w:rsidRPr="003C1B12">
              <w:rPr>
                <w:rFonts w:ascii="Times New Roman" w:hAnsi="Times New Roman" w:cs="Times New Roman"/>
                <w:sz w:val="24"/>
                <w:szCs w:val="24"/>
              </w:rPr>
              <w:t>KC</w:t>
            </w:r>
            <w:r w:rsidRPr="003C1B12">
              <w:rPr>
                <w:rFonts w:ascii="Times New Roman" w:hAnsi="Times New Roman" w:cs="Times New Roman"/>
                <w:sz w:val="24"/>
                <w:szCs w:val="24"/>
              </w:rPr>
              <w:t>, lai veicinātu (projektu sagatavošanas palīdzība, pētniecības projektu atlase un analīze u.c. tamlīdzīgs darbības) komersantu iesaisti starptautiskos pētniecības projektos, piemēram, Apvārsnis 2020 u.c.</w:t>
            </w:r>
          </w:p>
          <w:p w:rsidR="00CE3406" w:rsidRPr="003C1B12" w:rsidRDefault="00CE3406" w:rsidP="00CE3406">
            <w:pPr>
              <w:pStyle w:val="ListParagraph"/>
              <w:spacing w:after="0" w:line="240" w:lineRule="auto"/>
              <w:ind w:left="357"/>
              <w:jc w:val="both"/>
              <w:rPr>
                <w:rFonts w:ascii="Times New Roman" w:hAnsi="Times New Roman" w:cs="Times New Roman"/>
                <w:sz w:val="24"/>
                <w:szCs w:val="24"/>
              </w:rPr>
            </w:pPr>
          </w:p>
          <w:p w:rsidR="00CE3406" w:rsidRPr="003C1B12" w:rsidRDefault="00CE3406" w:rsidP="00BA318B">
            <w:pPr>
              <w:pStyle w:val="ListParagraph"/>
              <w:spacing w:after="0" w:line="240" w:lineRule="auto"/>
              <w:ind w:left="0"/>
              <w:jc w:val="both"/>
              <w:rPr>
                <w:rFonts w:ascii="Times New Roman" w:hAnsi="Times New Roman" w:cs="Times New Roman"/>
                <w:sz w:val="24"/>
                <w:szCs w:val="24"/>
              </w:rPr>
            </w:pPr>
            <w:r w:rsidRPr="003C1B12">
              <w:rPr>
                <w:rFonts w:ascii="Times New Roman" w:hAnsi="Times New Roman" w:cs="Times New Roman"/>
                <w:sz w:val="24"/>
                <w:szCs w:val="24"/>
              </w:rPr>
              <w:t xml:space="preserve">Pētījumu katrā KC tiek atbalstīti KC attīstības stratēģijā definētajos pētniecības virzienos(programmās). Gadījumā ja uzņēmējdarbības </w:t>
            </w:r>
            <w:r w:rsidRPr="003C1B12">
              <w:rPr>
                <w:rFonts w:ascii="Times New Roman" w:hAnsi="Times New Roman" w:cs="Times New Roman"/>
                <w:sz w:val="24"/>
                <w:szCs w:val="24"/>
              </w:rPr>
              <w:lastRenderedPageBreak/>
              <w:t>atklājuma procesa gaitā tiek identificētas jaunas konkurētspējas nišas un tiek pārskatītas viedās specializācijas jomas,</w:t>
            </w:r>
            <w:r w:rsidRPr="003C1B12">
              <w:rPr>
                <w:rFonts w:ascii="Times New Roman" w:hAnsi="Times New Roman"/>
                <w:sz w:val="24"/>
                <w:szCs w:val="24"/>
              </w:rPr>
              <w:t xml:space="preserve"> veicot grozījumus līgumā KC var papildināt pētniecības programmas ar jauniem pētījumu projektiem. Jaunās konkurētspējas nišas jāapstiprina KC valdē un jāsaskaņo ar atbildīgo iestādi. </w:t>
            </w:r>
          </w:p>
        </w:tc>
      </w:tr>
      <w:tr w:rsidR="000C4557" w:rsidRPr="003C1B12" w:rsidTr="00946A56">
        <w:tc>
          <w:tcPr>
            <w:tcW w:w="0" w:type="auto"/>
            <w:shd w:val="clear" w:color="auto" w:fill="FFFFFF"/>
            <w:tcMar>
              <w:top w:w="45" w:type="dxa"/>
              <w:left w:w="45" w:type="dxa"/>
              <w:bottom w:w="45" w:type="dxa"/>
              <w:right w:w="45" w:type="dxa"/>
            </w:tcMar>
            <w:vAlign w:val="center"/>
          </w:tcPr>
          <w:p w:rsidR="000C4557" w:rsidRPr="003C1B12" w:rsidRDefault="000C4557" w:rsidP="00E35575">
            <w:pPr>
              <w:pStyle w:val="Normal1"/>
              <w:rPr>
                <w:rFonts w:ascii="Times New Roman" w:hAnsi="Times New Roman" w:cs="Times New Roman"/>
                <w:sz w:val="24"/>
              </w:rPr>
            </w:pPr>
            <w:r w:rsidRPr="003C1B12">
              <w:rPr>
                <w:rFonts w:ascii="Times New Roman" w:hAnsi="Times New Roman" w:cs="Times New Roman"/>
                <w:sz w:val="24"/>
              </w:rPr>
              <w:lastRenderedPageBreak/>
              <w:t>Attiecināmās izmaksas</w:t>
            </w:r>
          </w:p>
        </w:tc>
        <w:tc>
          <w:tcPr>
            <w:tcW w:w="7014" w:type="dxa"/>
            <w:shd w:val="clear" w:color="auto" w:fill="FFFFFF"/>
            <w:tcMar>
              <w:top w:w="45" w:type="dxa"/>
              <w:left w:w="45" w:type="dxa"/>
              <w:bottom w:w="45" w:type="dxa"/>
              <w:right w:w="45" w:type="dxa"/>
            </w:tcMar>
            <w:vAlign w:val="center"/>
          </w:tcPr>
          <w:p w:rsidR="005E046E" w:rsidRPr="003C1B12" w:rsidRDefault="00CD6630" w:rsidP="005E046E">
            <w:pPr>
              <w:pStyle w:val="Normal1"/>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Ar r</w:t>
            </w:r>
            <w:r w:rsidR="005E046E" w:rsidRPr="003C1B12">
              <w:rPr>
                <w:rFonts w:ascii="Times New Roman" w:hAnsi="Times New Roman" w:cs="Times New Roman"/>
                <w:color w:val="000000" w:themeColor="text1"/>
                <w:sz w:val="24"/>
                <w:szCs w:val="24"/>
              </w:rPr>
              <w:t>ūpniecisko pētījumu un eksperimentālo izstrādn</w:t>
            </w:r>
            <w:r w:rsidR="000744AF" w:rsidRPr="003C1B12">
              <w:rPr>
                <w:rFonts w:ascii="Times New Roman" w:hAnsi="Times New Roman" w:cs="Times New Roman"/>
                <w:color w:val="000000" w:themeColor="text1"/>
                <w:sz w:val="24"/>
                <w:szCs w:val="24"/>
              </w:rPr>
              <w:t>i</w:t>
            </w:r>
            <w:r w:rsidR="005E046E" w:rsidRPr="003C1B12">
              <w:rPr>
                <w:rFonts w:ascii="Times New Roman" w:hAnsi="Times New Roman" w:cs="Times New Roman"/>
                <w:color w:val="000000" w:themeColor="text1"/>
                <w:sz w:val="24"/>
                <w:szCs w:val="24"/>
              </w:rPr>
              <w:t xml:space="preserve"> saistītās izmaksas:</w:t>
            </w:r>
          </w:p>
          <w:p w:rsidR="00C60A7F" w:rsidRPr="003C1B12" w:rsidRDefault="00C60A7F" w:rsidP="009D209C">
            <w:pPr>
              <w:pStyle w:val="Normal1"/>
              <w:numPr>
                <w:ilvl w:val="0"/>
                <w:numId w:val="3"/>
              </w:numP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Pētniecībā iesaistītā personāla atlīdzība</w:t>
            </w:r>
            <w:r w:rsidR="005E046E" w:rsidRPr="003C1B12">
              <w:rPr>
                <w:rFonts w:ascii="Times New Roman" w:hAnsi="Times New Roman" w:cs="Times New Roman"/>
                <w:color w:val="000000" w:themeColor="text1"/>
                <w:sz w:val="24"/>
                <w:szCs w:val="24"/>
              </w:rPr>
              <w:t>.</w:t>
            </w:r>
          </w:p>
          <w:p w:rsidR="005E046E" w:rsidRPr="003C1B12" w:rsidRDefault="005E046E" w:rsidP="009D209C">
            <w:pPr>
              <w:pStyle w:val="Normal1"/>
              <w:numPr>
                <w:ilvl w:val="0"/>
                <w:numId w:val="3"/>
              </w:numP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Komandējuma (darba brauciena) izmaksas.</w:t>
            </w:r>
          </w:p>
          <w:p w:rsidR="005E046E" w:rsidRPr="003C1B12" w:rsidRDefault="00CD6630" w:rsidP="009D209C">
            <w:pPr>
              <w:pStyle w:val="Normal1"/>
              <w:numPr>
                <w:ilvl w:val="0"/>
                <w:numId w:val="3"/>
              </w:numP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K</w:t>
            </w:r>
            <w:r w:rsidR="005E046E" w:rsidRPr="003C1B12">
              <w:rPr>
                <w:rFonts w:ascii="Times New Roman" w:hAnsi="Times New Roman" w:cs="Times New Roman"/>
                <w:color w:val="000000" w:themeColor="text1"/>
                <w:sz w:val="24"/>
                <w:szCs w:val="24"/>
              </w:rPr>
              <w:t>omunālo pakalpojumu un sakaru pakalpojumu izmaksas, ciktāl tos izmanto pētniecības darbībām;</w:t>
            </w:r>
          </w:p>
          <w:p w:rsidR="005E046E" w:rsidRPr="003C1B12" w:rsidRDefault="00CD6630" w:rsidP="009D209C">
            <w:pPr>
              <w:pStyle w:val="Normal1"/>
              <w:numPr>
                <w:ilvl w:val="0"/>
                <w:numId w:val="3"/>
              </w:numP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t</w:t>
            </w:r>
            <w:r w:rsidR="005E046E" w:rsidRPr="003C1B12">
              <w:rPr>
                <w:rFonts w:ascii="Times New Roman" w:hAnsi="Times New Roman" w:cs="Times New Roman"/>
                <w:color w:val="000000" w:themeColor="text1"/>
                <w:sz w:val="24"/>
                <w:szCs w:val="24"/>
              </w:rPr>
              <w:t>elpu, instrumentu, iekārtu un to aprīkojuma nomas vai amortizācijas izmaksa, ciktāl tos izmanto pētniecības darbībām;</w:t>
            </w:r>
          </w:p>
          <w:p w:rsidR="005E046E" w:rsidRPr="003C1B12" w:rsidRDefault="00CD6630" w:rsidP="009D209C">
            <w:pPr>
              <w:pStyle w:val="Normal1"/>
              <w:numPr>
                <w:ilvl w:val="0"/>
                <w:numId w:val="3"/>
              </w:numP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M</w:t>
            </w:r>
            <w:r w:rsidR="005E046E" w:rsidRPr="003C1B12">
              <w:rPr>
                <w:rFonts w:ascii="Times New Roman" w:hAnsi="Times New Roman" w:cs="Times New Roman"/>
                <w:color w:val="000000" w:themeColor="text1"/>
                <w:sz w:val="24"/>
                <w:szCs w:val="24"/>
              </w:rPr>
              <w:t>ateriālu (fizikālie, bioloģiskie, ķīmiskie un citi materiāli, izmēģinājuma dzīvnieki, reaktīvi, ķimikālijas, laboratorijas trauki, medikamenti pētniecībai), zinātniskās literatūras un mazvērtīgā inventāra iegādes izmaksas, tai skaitā piegādes izmaksas</w:t>
            </w:r>
          </w:p>
          <w:p w:rsidR="005E046E" w:rsidRPr="003C1B12" w:rsidRDefault="00CD6630" w:rsidP="009D209C">
            <w:pPr>
              <w:pStyle w:val="Normal1"/>
              <w:numPr>
                <w:ilvl w:val="0"/>
                <w:numId w:val="3"/>
              </w:numP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shd w:val="clear" w:color="auto" w:fill="FFFFFF"/>
              </w:rPr>
              <w:t>Ā</w:t>
            </w:r>
            <w:r w:rsidR="005E046E" w:rsidRPr="003C1B12">
              <w:rPr>
                <w:rFonts w:ascii="Times New Roman" w:hAnsi="Times New Roman" w:cs="Times New Roman"/>
                <w:color w:val="000000" w:themeColor="text1"/>
                <w:sz w:val="24"/>
                <w:szCs w:val="24"/>
                <w:shd w:val="clear" w:color="auto" w:fill="FFFFFF"/>
              </w:rPr>
              <w:t xml:space="preserve">rējo pakalpojumu izmaksas, </w:t>
            </w:r>
            <w:r w:rsidR="000744AF" w:rsidRPr="003C1B12">
              <w:rPr>
                <w:rFonts w:ascii="Times New Roman" w:hAnsi="Times New Roman" w:cs="Times New Roman"/>
                <w:color w:val="000000" w:themeColor="text1"/>
                <w:sz w:val="24"/>
                <w:szCs w:val="24"/>
              </w:rPr>
              <w:t>līgumpētījumu</w:t>
            </w:r>
            <w:r w:rsidR="005E046E" w:rsidRPr="003C1B12">
              <w:rPr>
                <w:rFonts w:ascii="Times New Roman" w:hAnsi="Times New Roman" w:cs="Times New Roman"/>
                <w:color w:val="000000" w:themeColor="text1"/>
                <w:sz w:val="24"/>
                <w:szCs w:val="24"/>
              </w:rPr>
              <w:t>, testēšanas</w:t>
            </w:r>
            <w:r w:rsidRPr="003C1B12">
              <w:rPr>
                <w:rFonts w:ascii="Times New Roman" w:hAnsi="Times New Roman" w:cs="Times New Roman"/>
                <w:color w:val="000000" w:themeColor="text1"/>
                <w:sz w:val="24"/>
                <w:szCs w:val="24"/>
              </w:rPr>
              <w:t xml:space="preserve"> </w:t>
            </w:r>
            <w:r w:rsidR="005E046E" w:rsidRPr="003C1B12">
              <w:rPr>
                <w:rFonts w:ascii="Times New Roman" w:hAnsi="Times New Roman" w:cs="Times New Roman"/>
                <w:color w:val="000000" w:themeColor="text1"/>
                <w:sz w:val="24"/>
                <w:szCs w:val="24"/>
              </w:rPr>
              <w:t>pak</w:t>
            </w:r>
            <w:r w:rsidRPr="003C1B12">
              <w:rPr>
                <w:rFonts w:ascii="Times New Roman" w:hAnsi="Times New Roman" w:cs="Times New Roman"/>
                <w:color w:val="000000" w:themeColor="text1"/>
                <w:sz w:val="24"/>
                <w:szCs w:val="24"/>
              </w:rPr>
              <w:t>a</w:t>
            </w:r>
            <w:r w:rsidR="005E046E" w:rsidRPr="003C1B12">
              <w:rPr>
                <w:rFonts w:ascii="Times New Roman" w:hAnsi="Times New Roman" w:cs="Times New Roman"/>
                <w:color w:val="000000" w:themeColor="text1"/>
                <w:sz w:val="24"/>
                <w:szCs w:val="24"/>
              </w:rPr>
              <w:t>l</w:t>
            </w:r>
            <w:r w:rsidRPr="003C1B12">
              <w:rPr>
                <w:rFonts w:ascii="Times New Roman" w:hAnsi="Times New Roman" w:cs="Times New Roman"/>
                <w:color w:val="000000" w:themeColor="text1"/>
                <w:sz w:val="24"/>
                <w:szCs w:val="24"/>
              </w:rPr>
              <w:t>p</w:t>
            </w:r>
            <w:r w:rsidR="005E046E" w:rsidRPr="003C1B12">
              <w:rPr>
                <w:rFonts w:ascii="Times New Roman" w:hAnsi="Times New Roman" w:cs="Times New Roman"/>
                <w:color w:val="000000" w:themeColor="text1"/>
                <w:sz w:val="24"/>
                <w:szCs w:val="24"/>
              </w:rPr>
              <w:t>ojumu</w:t>
            </w:r>
            <w:r w:rsidR="007A12E3" w:rsidRPr="003C1B12">
              <w:rPr>
                <w:rFonts w:ascii="Times New Roman" w:hAnsi="Times New Roman" w:cs="Times New Roman"/>
                <w:color w:val="000000" w:themeColor="text1"/>
                <w:sz w:val="24"/>
                <w:szCs w:val="24"/>
              </w:rPr>
              <w:t>,</w:t>
            </w:r>
            <w:r w:rsidR="005E046E" w:rsidRPr="003C1B12">
              <w:rPr>
                <w:rFonts w:ascii="Times New Roman" w:hAnsi="Times New Roman" w:cs="Times New Roman"/>
                <w:color w:val="000000" w:themeColor="text1"/>
                <w:sz w:val="24"/>
                <w:szCs w:val="24"/>
              </w:rPr>
              <w:t xml:space="preserve"> patentu meklējumu utml. darbību izmaksas</w:t>
            </w:r>
          </w:p>
          <w:p w:rsidR="00C60A7F" w:rsidRPr="003C1B12" w:rsidRDefault="00C60A7F" w:rsidP="009D209C">
            <w:pPr>
              <w:pStyle w:val="Normal1"/>
              <w:numPr>
                <w:ilvl w:val="0"/>
                <w:numId w:val="3"/>
              </w:numP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 xml:space="preserve">Netiešās pētniecības izmaksas – neparedzētie izdevumi (ne vairāk kā </w:t>
            </w:r>
            <w:r w:rsidR="000C736B" w:rsidRPr="003C1B12">
              <w:rPr>
                <w:rFonts w:ascii="Times New Roman" w:hAnsi="Times New Roman" w:cs="Times New Roman"/>
                <w:color w:val="000000" w:themeColor="text1"/>
                <w:sz w:val="24"/>
                <w:szCs w:val="24"/>
              </w:rPr>
              <w:t>10</w:t>
            </w:r>
            <w:r w:rsidRPr="003C1B12">
              <w:rPr>
                <w:rFonts w:ascii="Times New Roman" w:hAnsi="Times New Roman" w:cs="Times New Roman"/>
                <w:color w:val="000000" w:themeColor="text1"/>
                <w:sz w:val="24"/>
                <w:szCs w:val="24"/>
              </w:rPr>
              <w:t>% no tiešajām pētniecības izmaksām)</w:t>
            </w:r>
          </w:p>
          <w:p w:rsidR="00CD6630" w:rsidRPr="003C1B12" w:rsidRDefault="00CD6630" w:rsidP="00CD6630">
            <w:pPr>
              <w:pStyle w:val="Normal1"/>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Ar projektu koordinācijas un īstenošanas uzraudzību saistītās izmaksas:</w:t>
            </w:r>
          </w:p>
          <w:p w:rsidR="00CD6630" w:rsidRPr="003C1B12" w:rsidRDefault="007B5BD9" w:rsidP="009D209C">
            <w:pPr>
              <w:pStyle w:val="Normal1"/>
              <w:numPr>
                <w:ilvl w:val="0"/>
                <w:numId w:val="3"/>
              </w:numP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KC</w:t>
            </w:r>
            <w:r w:rsidR="00CD6630" w:rsidRPr="003C1B12">
              <w:rPr>
                <w:rFonts w:ascii="Times New Roman" w:hAnsi="Times New Roman" w:cs="Times New Roman"/>
                <w:color w:val="000000" w:themeColor="text1"/>
                <w:sz w:val="24"/>
                <w:szCs w:val="24"/>
              </w:rPr>
              <w:t xml:space="preserve"> darbinieku atlīdzība;</w:t>
            </w:r>
          </w:p>
          <w:p w:rsidR="00CD6630" w:rsidRPr="003C1B12" w:rsidRDefault="00CD6630" w:rsidP="009D209C">
            <w:pPr>
              <w:pStyle w:val="Normal1"/>
              <w:numPr>
                <w:ilvl w:val="0"/>
                <w:numId w:val="3"/>
              </w:numP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Komandējuma (darba brauciena) izmaksas;</w:t>
            </w:r>
          </w:p>
          <w:p w:rsidR="00CD6630" w:rsidRPr="003C1B12" w:rsidRDefault="00CD6630" w:rsidP="009D209C">
            <w:pPr>
              <w:pStyle w:val="Normal1"/>
              <w:numPr>
                <w:ilvl w:val="0"/>
                <w:numId w:val="3"/>
              </w:numPr>
              <w:rPr>
                <w:rFonts w:ascii="Times New Roman" w:hAnsi="Times New Roman" w:cs="Times New Roman"/>
                <w:color w:val="000000" w:themeColor="text1"/>
                <w:sz w:val="24"/>
                <w:szCs w:val="24"/>
              </w:rPr>
            </w:pPr>
            <w:r w:rsidRPr="003C1B12">
              <w:rPr>
                <w:rFonts w:ascii="Times New Roman" w:hAnsi="Times New Roman" w:cs="Times New Roman"/>
                <w:color w:val="000000" w:themeColor="text1"/>
                <w:sz w:val="24"/>
                <w:szCs w:val="24"/>
              </w:rPr>
              <w:t>Telpu, instrumentu un materiālu izmaksas;</w:t>
            </w:r>
          </w:p>
          <w:p w:rsidR="00CD6630" w:rsidRPr="003C1B12" w:rsidRDefault="00CD6630" w:rsidP="009D209C">
            <w:pPr>
              <w:pStyle w:val="Normal1"/>
              <w:numPr>
                <w:ilvl w:val="0"/>
                <w:numId w:val="3"/>
              </w:numPr>
              <w:rPr>
                <w:rFonts w:ascii="Times New Roman" w:hAnsi="Times New Roman" w:cs="Times New Roman"/>
                <w:sz w:val="24"/>
              </w:rPr>
            </w:pPr>
            <w:r w:rsidRPr="003C1B12">
              <w:rPr>
                <w:rFonts w:ascii="Times New Roman" w:hAnsi="Times New Roman" w:cs="Times New Roman"/>
                <w:color w:val="000000" w:themeColor="text1"/>
                <w:sz w:val="24"/>
                <w:szCs w:val="24"/>
                <w:shd w:val="clear" w:color="auto" w:fill="FFFFFF"/>
              </w:rPr>
              <w:t>Ārējo pakalpojumu izmaksas.</w:t>
            </w:r>
          </w:p>
        </w:tc>
      </w:tr>
      <w:tr w:rsidR="005E046E" w:rsidRPr="003C1B12" w:rsidTr="00946A56">
        <w:tc>
          <w:tcPr>
            <w:tcW w:w="0" w:type="auto"/>
            <w:shd w:val="clear" w:color="auto" w:fill="FFFFFF"/>
            <w:tcMar>
              <w:top w:w="45" w:type="dxa"/>
              <w:left w:w="45" w:type="dxa"/>
              <w:bottom w:w="45" w:type="dxa"/>
              <w:right w:w="45" w:type="dxa"/>
            </w:tcMar>
            <w:vAlign w:val="center"/>
          </w:tcPr>
          <w:p w:rsidR="005E046E" w:rsidRPr="003C1B12" w:rsidRDefault="005E046E" w:rsidP="005E046E">
            <w:pPr>
              <w:pStyle w:val="Normal1"/>
              <w:rPr>
                <w:rFonts w:ascii="Times New Roman" w:hAnsi="Times New Roman" w:cs="Times New Roman"/>
                <w:sz w:val="24"/>
              </w:rPr>
            </w:pPr>
            <w:r w:rsidRPr="003C1B12">
              <w:rPr>
                <w:rFonts w:ascii="Times New Roman" w:hAnsi="Times New Roman" w:cs="Times New Roman"/>
                <w:sz w:val="24"/>
              </w:rPr>
              <w:t>Projektu veidi</w:t>
            </w:r>
          </w:p>
        </w:tc>
        <w:tc>
          <w:tcPr>
            <w:tcW w:w="7014" w:type="dxa"/>
            <w:shd w:val="clear" w:color="auto" w:fill="FFFFFF"/>
            <w:tcMar>
              <w:top w:w="45" w:type="dxa"/>
              <w:left w:w="45" w:type="dxa"/>
              <w:bottom w:w="45" w:type="dxa"/>
              <w:right w:w="45" w:type="dxa"/>
            </w:tcMar>
            <w:vAlign w:val="center"/>
          </w:tcPr>
          <w:p w:rsidR="005E046E" w:rsidRPr="003C1B12" w:rsidRDefault="005E046E" w:rsidP="009D209C">
            <w:pPr>
              <w:pStyle w:val="Normal1"/>
              <w:numPr>
                <w:ilvl w:val="0"/>
                <w:numId w:val="3"/>
              </w:numPr>
              <w:jc w:val="both"/>
              <w:rPr>
                <w:rFonts w:ascii="Times New Roman" w:hAnsi="Times New Roman" w:cs="Times New Roman"/>
                <w:sz w:val="24"/>
              </w:rPr>
            </w:pPr>
            <w:r w:rsidRPr="003C1B12">
              <w:rPr>
                <w:rFonts w:ascii="Times New Roman" w:hAnsi="Times New Roman" w:cs="Times New Roman"/>
                <w:color w:val="000000" w:themeColor="text1"/>
                <w:sz w:val="24"/>
                <w:szCs w:val="24"/>
              </w:rPr>
              <w:t>Individuālie pētījum</w:t>
            </w:r>
            <w:r w:rsidR="003D5183" w:rsidRPr="003C1B12">
              <w:rPr>
                <w:rFonts w:ascii="Times New Roman" w:hAnsi="Times New Roman" w:cs="Times New Roman"/>
                <w:color w:val="000000" w:themeColor="text1"/>
                <w:sz w:val="24"/>
                <w:szCs w:val="24"/>
              </w:rPr>
              <w:t>u</w:t>
            </w:r>
            <w:r w:rsidRPr="003C1B12">
              <w:rPr>
                <w:rFonts w:ascii="Times New Roman" w:hAnsi="Times New Roman" w:cs="Times New Roman"/>
                <w:color w:val="000000" w:themeColor="text1"/>
                <w:sz w:val="24"/>
                <w:szCs w:val="24"/>
              </w:rPr>
              <w:t xml:space="preserve"> projekt</w:t>
            </w:r>
            <w:r w:rsidR="003D5183" w:rsidRPr="003C1B12">
              <w:rPr>
                <w:rFonts w:ascii="Times New Roman" w:hAnsi="Times New Roman" w:cs="Times New Roman"/>
                <w:color w:val="000000" w:themeColor="text1"/>
                <w:sz w:val="24"/>
                <w:szCs w:val="24"/>
              </w:rPr>
              <w:t>i;</w:t>
            </w:r>
            <w:r w:rsidRPr="003C1B12">
              <w:rPr>
                <w:rFonts w:ascii="Times New Roman" w:hAnsi="Times New Roman" w:cs="Times New Roman"/>
                <w:color w:val="000000" w:themeColor="text1"/>
                <w:sz w:val="24"/>
                <w:szCs w:val="24"/>
              </w:rPr>
              <w:t xml:space="preserve"> </w:t>
            </w:r>
          </w:p>
          <w:p w:rsidR="005E046E" w:rsidRPr="003C1B12" w:rsidRDefault="00C60A7F" w:rsidP="009D209C">
            <w:pPr>
              <w:pStyle w:val="Normal1"/>
              <w:numPr>
                <w:ilvl w:val="0"/>
                <w:numId w:val="3"/>
              </w:numPr>
              <w:jc w:val="both"/>
              <w:rPr>
                <w:rFonts w:ascii="Times New Roman" w:hAnsi="Times New Roman" w:cs="Times New Roman"/>
                <w:sz w:val="24"/>
                <w:szCs w:val="24"/>
              </w:rPr>
            </w:pPr>
            <w:r w:rsidRPr="003C1B12">
              <w:rPr>
                <w:rFonts w:ascii="Times New Roman" w:hAnsi="Times New Roman" w:cs="Times New Roman"/>
                <w:sz w:val="24"/>
              </w:rPr>
              <w:t>Sadarbības projekti</w:t>
            </w:r>
            <w:r w:rsidR="005E046E" w:rsidRPr="003C1B12">
              <w:rPr>
                <w:rFonts w:ascii="Times New Roman" w:hAnsi="Times New Roman" w:cs="Times New Roman"/>
                <w:sz w:val="24"/>
                <w:szCs w:val="24"/>
              </w:rPr>
              <w:t>.</w:t>
            </w:r>
          </w:p>
          <w:p w:rsidR="005E046E" w:rsidRPr="003C1B12" w:rsidRDefault="005E046E" w:rsidP="005E046E">
            <w:pPr>
              <w:pStyle w:val="Normal1"/>
              <w:jc w:val="both"/>
              <w:rPr>
                <w:rFonts w:ascii="Times New Roman" w:hAnsi="Times New Roman" w:cs="Times New Roman"/>
                <w:sz w:val="24"/>
                <w:szCs w:val="24"/>
              </w:rPr>
            </w:pPr>
          </w:p>
          <w:p w:rsidR="005E046E" w:rsidRPr="003C1B12" w:rsidRDefault="005E046E" w:rsidP="005E046E">
            <w:pPr>
              <w:pStyle w:val="Normal1"/>
              <w:jc w:val="both"/>
              <w:rPr>
                <w:rFonts w:ascii="Times New Roman" w:hAnsi="Times New Roman" w:cs="Times New Roman"/>
                <w:color w:val="000000" w:themeColor="text1"/>
                <w:sz w:val="24"/>
                <w:szCs w:val="24"/>
                <w:shd w:val="clear" w:color="auto" w:fill="FFFFFF"/>
              </w:rPr>
            </w:pPr>
            <w:r w:rsidRPr="003C1B12">
              <w:rPr>
                <w:rFonts w:ascii="Times New Roman" w:hAnsi="Times New Roman" w:cs="Times New Roman"/>
                <w:color w:val="000000" w:themeColor="text1"/>
                <w:sz w:val="24"/>
                <w:szCs w:val="24"/>
              </w:rPr>
              <w:t>Individuālos pētījum</w:t>
            </w:r>
            <w:r w:rsidR="003D5183" w:rsidRPr="003C1B12">
              <w:rPr>
                <w:rFonts w:ascii="Times New Roman" w:hAnsi="Times New Roman" w:cs="Times New Roman"/>
                <w:color w:val="000000" w:themeColor="text1"/>
                <w:sz w:val="24"/>
                <w:szCs w:val="24"/>
              </w:rPr>
              <w:t>u</w:t>
            </w:r>
            <w:r w:rsidRPr="003C1B12">
              <w:rPr>
                <w:rFonts w:ascii="Times New Roman" w:hAnsi="Times New Roman" w:cs="Times New Roman"/>
                <w:color w:val="000000" w:themeColor="text1"/>
                <w:sz w:val="24"/>
                <w:szCs w:val="24"/>
              </w:rPr>
              <w:t xml:space="preserve"> projektus </w:t>
            </w:r>
            <w:r w:rsidRPr="003C1B12">
              <w:rPr>
                <w:rFonts w:ascii="Times New Roman" w:hAnsi="Times New Roman" w:cs="Times New Roman"/>
                <w:color w:val="000000" w:themeColor="text1"/>
                <w:sz w:val="24"/>
                <w:szCs w:val="24"/>
                <w:shd w:val="clear" w:color="auto" w:fill="FFFFFF"/>
              </w:rPr>
              <w:t xml:space="preserve">īsteno viens komersants ar mērķi rezultātus ieviest savā saimnieciskajā darbībā un ja tam nepieciešams tas var kā pakalpojuma sniedzēju piesaistīt citu komersantu vai zinātnisko institūciju. </w:t>
            </w:r>
          </w:p>
          <w:p w:rsidR="005E046E" w:rsidRPr="003C1B12" w:rsidRDefault="005E046E" w:rsidP="005E046E">
            <w:pPr>
              <w:pStyle w:val="Normal1"/>
              <w:jc w:val="both"/>
              <w:rPr>
                <w:rFonts w:ascii="Times New Roman" w:hAnsi="Times New Roman" w:cs="Times New Roman"/>
                <w:color w:val="000000" w:themeColor="text1"/>
                <w:sz w:val="24"/>
                <w:szCs w:val="24"/>
                <w:shd w:val="clear" w:color="auto" w:fill="FFFFFF"/>
              </w:rPr>
            </w:pPr>
          </w:p>
          <w:p w:rsidR="005E046E" w:rsidRPr="003C1B12" w:rsidRDefault="005E046E" w:rsidP="005E046E">
            <w:pPr>
              <w:pStyle w:val="Normal1"/>
              <w:jc w:val="both"/>
              <w:rPr>
                <w:rFonts w:ascii="Times New Roman" w:hAnsi="Times New Roman" w:cs="Times New Roman"/>
                <w:sz w:val="24"/>
              </w:rPr>
            </w:pPr>
            <w:r w:rsidRPr="003C1B12">
              <w:rPr>
                <w:rFonts w:ascii="Times New Roman" w:hAnsi="Times New Roman" w:cs="Times New Roman"/>
                <w:color w:val="000000" w:themeColor="text1"/>
                <w:sz w:val="24"/>
                <w:szCs w:val="24"/>
                <w:shd w:val="clear" w:color="auto" w:fill="FFFFFF"/>
              </w:rPr>
              <w:t>Sadarbības projektus īsteno vairāki partneri, kur viens tiek noteikts kā vadošais partneris. Partneri var būt gan komersants, gan zinātniskā institūcija.  Pētniecības projektā iesaistītajiem partneriem kopīgi pieder intelektuālā īpašuma tiesības uz radītajiem rezultātiem un tie kopīgi vienojas par rezultātu ieviešanu partneru saimnieciskajai darbībā vai rezultātu licencējot</w:t>
            </w:r>
            <w:r w:rsidR="000744AF" w:rsidRPr="003C1B12">
              <w:rPr>
                <w:rFonts w:ascii="Times New Roman" w:hAnsi="Times New Roman" w:cs="Times New Roman"/>
                <w:color w:val="000000" w:themeColor="text1"/>
                <w:sz w:val="24"/>
                <w:szCs w:val="24"/>
                <w:shd w:val="clear" w:color="auto" w:fill="FFFFFF"/>
              </w:rPr>
              <w:t>,</w:t>
            </w:r>
            <w:r w:rsidRPr="003C1B12">
              <w:rPr>
                <w:rFonts w:ascii="Times New Roman" w:hAnsi="Times New Roman" w:cs="Times New Roman"/>
                <w:color w:val="000000" w:themeColor="text1"/>
                <w:sz w:val="24"/>
                <w:szCs w:val="24"/>
                <w:shd w:val="clear" w:color="auto" w:fill="FFFFFF"/>
              </w:rPr>
              <w:t xml:space="preserve"> vai kopīgi dibinot uzņēmumu.</w:t>
            </w:r>
            <w:r w:rsidRPr="003C1B12">
              <w:rPr>
                <w:rFonts w:ascii="Times New Roman" w:hAnsi="Times New Roman" w:cs="Times New Roman"/>
                <w:color w:val="000000" w:themeColor="text1"/>
                <w:sz w:val="20"/>
                <w:szCs w:val="20"/>
                <w:shd w:val="clear" w:color="auto" w:fill="FFFFFF"/>
              </w:rPr>
              <w:t xml:space="preserve"> </w:t>
            </w:r>
          </w:p>
        </w:tc>
      </w:tr>
      <w:tr w:rsidR="00CD6630" w:rsidRPr="003C1B12" w:rsidTr="00946A56">
        <w:tc>
          <w:tcPr>
            <w:tcW w:w="0" w:type="auto"/>
            <w:shd w:val="clear" w:color="auto" w:fill="FFFFFF"/>
            <w:tcMar>
              <w:top w:w="45" w:type="dxa"/>
              <w:left w:w="45" w:type="dxa"/>
              <w:bottom w:w="45" w:type="dxa"/>
              <w:right w:w="45" w:type="dxa"/>
            </w:tcMar>
            <w:vAlign w:val="center"/>
          </w:tcPr>
          <w:p w:rsidR="00CD6630" w:rsidRPr="003C1B12" w:rsidRDefault="00CD6630" w:rsidP="005E046E">
            <w:pPr>
              <w:pStyle w:val="Normal1"/>
              <w:rPr>
                <w:rFonts w:ascii="Times New Roman" w:hAnsi="Times New Roman" w:cs="Times New Roman"/>
                <w:sz w:val="24"/>
              </w:rPr>
            </w:pPr>
            <w:r w:rsidRPr="003C1B12">
              <w:rPr>
                <w:rFonts w:ascii="Times New Roman" w:hAnsi="Times New Roman" w:cs="Times New Roman"/>
                <w:sz w:val="24"/>
                <w:szCs w:val="24"/>
              </w:rPr>
              <w:t>Atbalsta periods</w:t>
            </w:r>
          </w:p>
        </w:tc>
        <w:tc>
          <w:tcPr>
            <w:tcW w:w="7014" w:type="dxa"/>
            <w:shd w:val="clear" w:color="auto" w:fill="FFFFFF"/>
            <w:tcMar>
              <w:top w:w="45" w:type="dxa"/>
              <w:left w:w="45" w:type="dxa"/>
              <w:bottom w:w="45" w:type="dxa"/>
              <w:right w:w="45" w:type="dxa"/>
            </w:tcMar>
            <w:vAlign w:val="center"/>
          </w:tcPr>
          <w:p w:rsidR="00CD6630" w:rsidRPr="003C1B12" w:rsidRDefault="00CD6630" w:rsidP="00CD6630">
            <w:pPr>
              <w:spacing w:after="0" w:line="240" w:lineRule="auto"/>
              <w:jc w:val="both"/>
              <w:rPr>
                <w:rFonts w:ascii="Times New Roman" w:eastAsia="Calibri" w:hAnsi="Times New Roman" w:cs="Times New Roman"/>
                <w:sz w:val="24"/>
                <w:szCs w:val="24"/>
              </w:rPr>
            </w:pPr>
            <w:r w:rsidRPr="003C1B12">
              <w:rPr>
                <w:rFonts w:ascii="Times New Roman" w:eastAsia="Calibri" w:hAnsi="Times New Roman" w:cs="Times New Roman"/>
                <w:sz w:val="24"/>
                <w:szCs w:val="24"/>
              </w:rPr>
              <w:t xml:space="preserve">Projekta ilgumu nosaka projekta pieteicējs atbilstoši izstrādātajam projekta </w:t>
            </w:r>
            <w:r w:rsidR="007A4CD3" w:rsidRPr="003C1B12">
              <w:rPr>
                <w:rFonts w:ascii="Times New Roman" w:eastAsia="Calibri" w:hAnsi="Times New Roman" w:cs="Times New Roman"/>
                <w:sz w:val="24"/>
                <w:szCs w:val="24"/>
              </w:rPr>
              <w:t>īstenošanas plānam, bet ne ilgāk kā visas programmas ieviešanas termiņu.</w:t>
            </w:r>
          </w:p>
          <w:p w:rsidR="007A4CD3" w:rsidRPr="003C1B12" w:rsidRDefault="007A4CD3" w:rsidP="00CD6630">
            <w:pPr>
              <w:spacing w:after="0" w:line="240" w:lineRule="auto"/>
              <w:jc w:val="both"/>
              <w:rPr>
                <w:rFonts w:ascii="Times New Roman" w:eastAsia="Calibri" w:hAnsi="Times New Roman" w:cs="Times New Roman"/>
                <w:sz w:val="24"/>
                <w:szCs w:val="24"/>
              </w:rPr>
            </w:pPr>
          </w:p>
          <w:p w:rsidR="00CD6630" w:rsidRPr="003C1B12" w:rsidRDefault="007A4CD3" w:rsidP="007A4CD3">
            <w:pPr>
              <w:spacing w:after="0" w:line="240" w:lineRule="auto"/>
              <w:jc w:val="both"/>
              <w:rPr>
                <w:rFonts w:ascii="Times New Roman" w:hAnsi="Times New Roman" w:cs="Times New Roman"/>
                <w:color w:val="000000" w:themeColor="text1"/>
                <w:sz w:val="24"/>
                <w:szCs w:val="24"/>
              </w:rPr>
            </w:pPr>
            <w:r w:rsidRPr="003C1B12">
              <w:rPr>
                <w:rFonts w:ascii="Times New Roman" w:eastAsia="Calibri" w:hAnsi="Times New Roman" w:cs="Times New Roman"/>
                <w:sz w:val="24"/>
                <w:szCs w:val="24"/>
              </w:rPr>
              <w:t>Projektus, ja to ieviešanas termiņš ir garāks par 6 mēnešiem sadala posmos un katram posma</w:t>
            </w:r>
            <w:r w:rsidR="007B54C3" w:rsidRPr="003C1B12">
              <w:rPr>
                <w:rFonts w:ascii="Times New Roman" w:eastAsia="Calibri" w:hAnsi="Times New Roman" w:cs="Times New Roman"/>
                <w:sz w:val="24"/>
                <w:szCs w:val="24"/>
              </w:rPr>
              <w:t>m</w:t>
            </w:r>
            <w:r w:rsidRPr="003C1B12">
              <w:rPr>
                <w:rFonts w:ascii="Times New Roman" w:eastAsia="Calibri" w:hAnsi="Times New Roman" w:cs="Times New Roman"/>
                <w:sz w:val="24"/>
                <w:szCs w:val="24"/>
              </w:rPr>
              <w:t xml:space="preserve"> nosaka sasniedzamos darbus vai rezultātus.</w:t>
            </w:r>
          </w:p>
        </w:tc>
      </w:tr>
      <w:tr w:rsidR="00BC1FD3" w:rsidRPr="003C1B12" w:rsidTr="00946A56">
        <w:tc>
          <w:tcPr>
            <w:tcW w:w="0" w:type="auto"/>
            <w:shd w:val="clear" w:color="auto" w:fill="FFFFFF"/>
            <w:tcMar>
              <w:top w:w="45" w:type="dxa"/>
              <w:left w:w="45" w:type="dxa"/>
              <w:bottom w:w="45" w:type="dxa"/>
              <w:right w:w="45" w:type="dxa"/>
            </w:tcMar>
            <w:vAlign w:val="center"/>
          </w:tcPr>
          <w:p w:rsidR="00BC1FD3" w:rsidRPr="003C1B12" w:rsidRDefault="007B5BD9" w:rsidP="00BC1FD3">
            <w:pPr>
              <w:pStyle w:val="Normal1"/>
              <w:rPr>
                <w:rFonts w:ascii="Times New Roman" w:hAnsi="Times New Roman" w:cs="Times New Roman"/>
                <w:sz w:val="24"/>
                <w:szCs w:val="24"/>
              </w:rPr>
            </w:pPr>
            <w:r w:rsidRPr="003C1B12">
              <w:rPr>
                <w:rFonts w:ascii="Times New Roman" w:hAnsi="Times New Roman" w:cs="Times New Roman"/>
                <w:sz w:val="24"/>
                <w:szCs w:val="24"/>
              </w:rPr>
              <w:t>KC</w:t>
            </w:r>
            <w:r w:rsidR="00BC1FD3" w:rsidRPr="003C1B12">
              <w:rPr>
                <w:rFonts w:ascii="Times New Roman" w:hAnsi="Times New Roman" w:cs="Times New Roman"/>
                <w:sz w:val="24"/>
                <w:szCs w:val="24"/>
              </w:rPr>
              <w:t xml:space="preserve">  izvēles pamatprincipi</w:t>
            </w:r>
          </w:p>
        </w:tc>
        <w:tc>
          <w:tcPr>
            <w:tcW w:w="7014" w:type="dxa"/>
            <w:shd w:val="clear" w:color="auto" w:fill="FFFFFF"/>
            <w:tcMar>
              <w:top w:w="45" w:type="dxa"/>
              <w:left w:w="45" w:type="dxa"/>
              <w:bottom w:w="45" w:type="dxa"/>
              <w:right w:w="45" w:type="dxa"/>
            </w:tcMar>
            <w:vAlign w:val="center"/>
          </w:tcPr>
          <w:p w:rsidR="00C60A7F" w:rsidRPr="003C1B12" w:rsidRDefault="00C60A7F" w:rsidP="00C60A7F">
            <w:pPr>
              <w:spacing w:after="0" w:line="240" w:lineRule="auto"/>
              <w:jc w:val="both"/>
              <w:rPr>
                <w:rFonts w:ascii="Times New Roman" w:eastAsia="Calibri" w:hAnsi="Times New Roman" w:cs="Times New Roman"/>
                <w:sz w:val="24"/>
                <w:szCs w:val="24"/>
              </w:rPr>
            </w:pPr>
            <w:r w:rsidRPr="003C1B12">
              <w:rPr>
                <w:rFonts w:ascii="Times New Roman" w:eastAsia="Calibri" w:hAnsi="Times New Roman" w:cs="Times New Roman"/>
                <w:sz w:val="24"/>
                <w:szCs w:val="24"/>
              </w:rPr>
              <w:t>Atlasē prioritāri tiek atbalstīti KC, kas:</w:t>
            </w:r>
          </w:p>
          <w:p w:rsidR="00225D23" w:rsidRPr="003C1B12" w:rsidRDefault="00225D23" w:rsidP="00225D23">
            <w:pPr>
              <w:pStyle w:val="ListParagraph"/>
              <w:numPr>
                <w:ilvl w:val="0"/>
                <w:numId w:val="23"/>
              </w:numPr>
              <w:spacing w:after="0" w:line="240" w:lineRule="auto"/>
              <w:jc w:val="both"/>
              <w:rPr>
                <w:rFonts w:ascii="Times New Roman" w:eastAsia="Calibri" w:hAnsi="Times New Roman" w:cs="Times New Roman"/>
                <w:sz w:val="24"/>
                <w:szCs w:val="24"/>
              </w:rPr>
            </w:pPr>
            <w:r w:rsidRPr="003C1B12">
              <w:rPr>
                <w:rFonts w:ascii="Times New Roman" w:eastAsia="Calibri" w:hAnsi="Times New Roman" w:cs="Times New Roman"/>
                <w:sz w:val="24"/>
                <w:szCs w:val="24"/>
              </w:rPr>
              <w:t xml:space="preserve">būs saņēmuši nozares asociācijas atbalsta vēstuli. Asociācijai jāpārstāv to pašu nozari, ko pārstāv KC, ir jābūt dibinātai ne vēlāk, kā 5 gadus pirms projekta iesnieguma iesniegšanas sadarbības iestādē, jāapvieno nozares saimnieciskās darbības veicējus, kuru </w:t>
            </w:r>
            <w:r w:rsidRPr="003C1B12">
              <w:rPr>
                <w:rFonts w:ascii="Times New Roman" w:eastAsia="Calibri" w:hAnsi="Times New Roman" w:cs="Times New Roman"/>
                <w:sz w:val="24"/>
                <w:szCs w:val="24"/>
              </w:rPr>
              <w:lastRenderedPageBreak/>
              <w:t xml:space="preserve">kopējais apgrozījums ir vismaz 75 000 000 </w:t>
            </w:r>
            <w:r w:rsidRPr="003C1B12">
              <w:rPr>
                <w:rFonts w:ascii="Times New Roman" w:eastAsia="Calibri" w:hAnsi="Times New Roman" w:cs="Times New Roman"/>
                <w:i/>
                <w:sz w:val="24"/>
                <w:szCs w:val="24"/>
              </w:rPr>
              <w:t>euro</w:t>
            </w:r>
            <w:r w:rsidRPr="003C1B12">
              <w:rPr>
                <w:rFonts w:ascii="Times New Roman" w:eastAsia="Calibri" w:hAnsi="Times New Roman" w:cs="Times New Roman"/>
                <w:sz w:val="24"/>
                <w:szCs w:val="24"/>
              </w:rPr>
              <w:t xml:space="preserve"> un tā nedrīkst atbalstīt vairāk kā vienu kompetences centru,</w:t>
            </w:r>
          </w:p>
          <w:p w:rsidR="00BC1FD3" w:rsidRPr="003C1B12" w:rsidRDefault="00BC1FD3" w:rsidP="009D209C">
            <w:pPr>
              <w:pStyle w:val="ListParagraph"/>
              <w:numPr>
                <w:ilvl w:val="0"/>
                <w:numId w:val="23"/>
              </w:numPr>
              <w:spacing w:after="0" w:line="240" w:lineRule="auto"/>
              <w:jc w:val="both"/>
              <w:rPr>
                <w:rFonts w:ascii="Times New Roman" w:eastAsia="Calibri" w:hAnsi="Times New Roman" w:cs="Times New Roman"/>
                <w:sz w:val="24"/>
                <w:szCs w:val="24"/>
              </w:rPr>
            </w:pPr>
            <w:r w:rsidRPr="003C1B12">
              <w:rPr>
                <w:rFonts w:ascii="Times New Roman" w:eastAsia="Calibri" w:hAnsi="Times New Roman" w:cs="Times New Roman"/>
                <w:sz w:val="24"/>
                <w:szCs w:val="24"/>
              </w:rPr>
              <w:t>demonstrēs iep</w:t>
            </w:r>
            <w:r w:rsidR="00C60A7F" w:rsidRPr="003C1B12">
              <w:rPr>
                <w:rFonts w:ascii="Times New Roman" w:eastAsia="Calibri" w:hAnsi="Times New Roman" w:cs="Times New Roman"/>
                <w:sz w:val="24"/>
                <w:szCs w:val="24"/>
              </w:rPr>
              <w:t>r</w:t>
            </w:r>
            <w:r w:rsidRPr="003C1B12">
              <w:rPr>
                <w:rFonts w:ascii="Times New Roman" w:eastAsia="Calibri" w:hAnsi="Times New Roman" w:cs="Times New Roman"/>
                <w:sz w:val="24"/>
                <w:szCs w:val="24"/>
              </w:rPr>
              <w:t>i</w:t>
            </w:r>
            <w:r w:rsidR="00C60A7F" w:rsidRPr="003C1B12">
              <w:rPr>
                <w:rFonts w:ascii="Times New Roman" w:eastAsia="Calibri" w:hAnsi="Times New Roman" w:cs="Times New Roman"/>
                <w:sz w:val="24"/>
                <w:szCs w:val="24"/>
              </w:rPr>
              <w:t>e</w:t>
            </w:r>
            <w:r w:rsidRPr="003C1B12">
              <w:rPr>
                <w:rFonts w:ascii="Times New Roman" w:eastAsia="Calibri" w:hAnsi="Times New Roman" w:cs="Times New Roman"/>
                <w:sz w:val="24"/>
                <w:szCs w:val="24"/>
              </w:rPr>
              <w:t>kš</w:t>
            </w:r>
            <w:r w:rsidR="00C60A7F" w:rsidRPr="003C1B12">
              <w:rPr>
                <w:rFonts w:ascii="Times New Roman" w:eastAsia="Calibri" w:hAnsi="Times New Roman" w:cs="Times New Roman"/>
                <w:sz w:val="24"/>
                <w:szCs w:val="24"/>
              </w:rPr>
              <w:t>ē</w:t>
            </w:r>
            <w:r w:rsidRPr="003C1B12">
              <w:rPr>
                <w:rFonts w:ascii="Times New Roman" w:eastAsia="Calibri" w:hAnsi="Times New Roman" w:cs="Times New Roman"/>
                <w:sz w:val="24"/>
                <w:szCs w:val="24"/>
              </w:rPr>
              <w:t xml:space="preserve">ju pieredzi līdzvērtīga apjoma projektu </w:t>
            </w:r>
            <w:r w:rsidR="00C60A7F" w:rsidRPr="003C1B12">
              <w:rPr>
                <w:rFonts w:ascii="Times New Roman" w:eastAsia="Calibri" w:hAnsi="Times New Roman" w:cs="Times New Roman"/>
                <w:sz w:val="24"/>
                <w:szCs w:val="24"/>
              </w:rPr>
              <w:t>īste</w:t>
            </w:r>
            <w:r w:rsidRPr="003C1B12">
              <w:rPr>
                <w:rFonts w:ascii="Times New Roman" w:eastAsia="Calibri" w:hAnsi="Times New Roman" w:cs="Times New Roman"/>
                <w:sz w:val="24"/>
                <w:szCs w:val="24"/>
              </w:rPr>
              <w:t>noš</w:t>
            </w:r>
            <w:r w:rsidR="00C60A7F" w:rsidRPr="003C1B12">
              <w:rPr>
                <w:rFonts w:ascii="Times New Roman" w:eastAsia="Calibri" w:hAnsi="Times New Roman" w:cs="Times New Roman"/>
                <w:sz w:val="24"/>
                <w:szCs w:val="24"/>
              </w:rPr>
              <w:t>a</w:t>
            </w:r>
            <w:r w:rsidRPr="003C1B12">
              <w:rPr>
                <w:rFonts w:ascii="Times New Roman" w:eastAsia="Calibri" w:hAnsi="Times New Roman" w:cs="Times New Roman"/>
                <w:sz w:val="24"/>
                <w:szCs w:val="24"/>
              </w:rPr>
              <w:t>nā</w:t>
            </w:r>
            <w:r w:rsidR="00C60A7F" w:rsidRPr="003C1B12">
              <w:rPr>
                <w:rFonts w:ascii="Times New Roman" w:eastAsia="Calibri" w:hAnsi="Times New Roman" w:cs="Times New Roman"/>
                <w:sz w:val="24"/>
                <w:szCs w:val="24"/>
              </w:rPr>
              <w:t>;</w:t>
            </w:r>
          </w:p>
          <w:p w:rsidR="00BC1FD3" w:rsidRPr="003C1B12" w:rsidRDefault="00C60A7F" w:rsidP="009D209C">
            <w:pPr>
              <w:pStyle w:val="ListParagraph"/>
              <w:numPr>
                <w:ilvl w:val="0"/>
                <w:numId w:val="23"/>
              </w:numPr>
              <w:spacing w:after="0" w:line="240" w:lineRule="auto"/>
              <w:jc w:val="both"/>
              <w:rPr>
                <w:rFonts w:ascii="Times New Roman" w:eastAsia="Calibri" w:hAnsi="Times New Roman" w:cs="Times New Roman"/>
                <w:sz w:val="24"/>
                <w:szCs w:val="24"/>
              </w:rPr>
            </w:pPr>
            <w:r w:rsidRPr="003C1B12">
              <w:rPr>
                <w:rFonts w:ascii="Times New Roman" w:eastAsia="Calibri" w:hAnsi="Times New Roman" w:cs="Times New Roman"/>
                <w:sz w:val="24"/>
                <w:szCs w:val="24"/>
              </w:rPr>
              <w:t>ir izveidota k</w:t>
            </w:r>
            <w:r w:rsidR="00BC1FD3" w:rsidRPr="003C1B12">
              <w:rPr>
                <w:rFonts w:ascii="Times New Roman" w:eastAsia="Calibri" w:hAnsi="Times New Roman" w:cs="Times New Roman"/>
                <w:sz w:val="24"/>
                <w:szCs w:val="24"/>
              </w:rPr>
              <w:t>omanda kurā ir ies</w:t>
            </w:r>
            <w:r w:rsidRPr="003C1B12">
              <w:rPr>
                <w:rFonts w:ascii="Times New Roman" w:eastAsia="Calibri" w:hAnsi="Times New Roman" w:cs="Times New Roman"/>
                <w:sz w:val="24"/>
                <w:szCs w:val="24"/>
              </w:rPr>
              <w:t>a</w:t>
            </w:r>
            <w:r w:rsidR="00BC1FD3" w:rsidRPr="003C1B12">
              <w:rPr>
                <w:rFonts w:ascii="Times New Roman" w:eastAsia="Calibri" w:hAnsi="Times New Roman" w:cs="Times New Roman"/>
                <w:sz w:val="24"/>
                <w:szCs w:val="24"/>
              </w:rPr>
              <w:t>i</w:t>
            </w:r>
            <w:r w:rsidRPr="003C1B12">
              <w:rPr>
                <w:rFonts w:ascii="Times New Roman" w:eastAsia="Calibri" w:hAnsi="Times New Roman" w:cs="Times New Roman"/>
                <w:sz w:val="24"/>
                <w:szCs w:val="24"/>
              </w:rPr>
              <w:t>s</w:t>
            </w:r>
            <w:r w:rsidR="00BC1FD3" w:rsidRPr="003C1B12">
              <w:rPr>
                <w:rFonts w:ascii="Times New Roman" w:eastAsia="Calibri" w:hAnsi="Times New Roman" w:cs="Times New Roman"/>
                <w:sz w:val="24"/>
                <w:szCs w:val="24"/>
              </w:rPr>
              <w:t>t</w:t>
            </w:r>
            <w:r w:rsidRPr="003C1B12">
              <w:rPr>
                <w:rFonts w:ascii="Times New Roman" w:eastAsia="Calibri" w:hAnsi="Times New Roman" w:cs="Times New Roman"/>
                <w:sz w:val="24"/>
                <w:szCs w:val="24"/>
              </w:rPr>
              <w:t>ī</w:t>
            </w:r>
            <w:r w:rsidR="00BC1FD3" w:rsidRPr="003C1B12">
              <w:rPr>
                <w:rFonts w:ascii="Times New Roman" w:eastAsia="Calibri" w:hAnsi="Times New Roman" w:cs="Times New Roman"/>
                <w:sz w:val="24"/>
                <w:szCs w:val="24"/>
              </w:rPr>
              <w:t>ti industrijas p</w:t>
            </w:r>
            <w:r w:rsidRPr="003C1B12">
              <w:rPr>
                <w:rFonts w:ascii="Times New Roman" w:eastAsia="Calibri" w:hAnsi="Times New Roman" w:cs="Times New Roman"/>
                <w:sz w:val="24"/>
                <w:szCs w:val="24"/>
              </w:rPr>
              <w:t>ārstāvji</w:t>
            </w:r>
            <w:r w:rsidR="00BC1FD3" w:rsidRPr="003C1B12">
              <w:rPr>
                <w:rFonts w:ascii="Times New Roman" w:eastAsia="Calibri" w:hAnsi="Times New Roman" w:cs="Times New Roman"/>
                <w:sz w:val="24"/>
                <w:szCs w:val="24"/>
              </w:rPr>
              <w:t xml:space="preserve"> ar pieredzi uz</w:t>
            </w:r>
            <w:r w:rsidRPr="003C1B12">
              <w:rPr>
                <w:rFonts w:ascii="Times New Roman" w:eastAsia="Calibri" w:hAnsi="Times New Roman" w:cs="Times New Roman"/>
                <w:sz w:val="24"/>
                <w:szCs w:val="24"/>
              </w:rPr>
              <w:t>ņē</w:t>
            </w:r>
            <w:r w:rsidR="00BC1FD3" w:rsidRPr="003C1B12">
              <w:rPr>
                <w:rFonts w:ascii="Times New Roman" w:eastAsia="Calibri" w:hAnsi="Times New Roman" w:cs="Times New Roman"/>
                <w:sz w:val="24"/>
                <w:szCs w:val="24"/>
              </w:rPr>
              <w:t>m</w:t>
            </w:r>
            <w:r w:rsidRPr="003C1B12">
              <w:rPr>
                <w:rFonts w:ascii="Times New Roman" w:eastAsia="Calibri" w:hAnsi="Times New Roman" w:cs="Times New Roman"/>
                <w:sz w:val="24"/>
                <w:szCs w:val="24"/>
              </w:rPr>
              <w:t>ē</w:t>
            </w:r>
            <w:r w:rsidR="00BC1FD3" w:rsidRPr="003C1B12">
              <w:rPr>
                <w:rFonts w:ascii="Times New Roman" w:eastAsia="Calibri" w:hAnsi="Times New Roman" w:cs="Times New Roman"/>
                <w:sz w:val="24"/>
                <w:szCs w:val="24"/>
              </w:rPr>
              <w:t>jda</w:t>
            </w:r>
            <w:r w:rsidRPr="003C1B12">
              <w:rPr>
                <w:rFonts w:ascii="Times New Roman" w:eastAsia="Calibri" w:hAnsi="Times New Roman" w:cs="Times New Roman"/>
                <w:sz w:val="24"/>
                <w:szCs w:val="24"/>
              </w:rPr>
              <w:t>r</w:t>
            </w:r>
            <w:r w:rsidR="00BC1FD3" w:rsidRPr="003C1B12">
              <w:rPr>
                <w:rFonts w:ascii="Times New Roman" w:eastAsia="Calibri" w:hAnsi="Times New Roman" w:cs="Times New Roman"/>
                <w:sz w:val="24"/>
                <w:szCs w:val="24"/>
              </w:rPr>
              <w:t>b</w:t>
            </w:r>
            <w:r w:rsidRPr="003C1B12">
              <w:rPr>
                <w:rFonts w:ascii="Times New Roman" w:eastAsia="Calibri" w:hAnsi="Times New Roman" w:cs="Times New Roman"/>
                <w:sz w:val="24"/>
                <w:szCs w:val="24"/>
              </w:rPr>
              <w:t>ī</w:t>
            </w:r>
            <w:r w:rsidR="00BC1FD3" w:rsidRPr="003C1B12">
              <w:rPr>
                <w:rFonts w:ascii="Times New Roman" w:eastAsia="Calibri" w:hAnsi="Times New Roman" w:cs="Times New Roman"/>
                <w:sz w:val="24"/>
                <w:szCs w:val="24"/>
              </w:rPr>
              <w:t>bā konkr</w:t>
            </w:r>
            <w:r w:rsidRPr="003C1B12">
              <w:rPr>
                <w:rFonts w:ascii="Times New Roman" w:eastAsia="Calibri" w:hAnsi="Times New Roman" w:cs="Times New Roman"/>
                <w:sz w:val="24"/>
                <w:szCs w:val="24"/>
              </w:rPr>
              <w:t>ē</w:t>
            </w:r>
            <w:r w:rsidR="00BC1FD3" w:rsidRPr="003C1B12">
              <w:rPr>
                <w:rFonts w:ascii="Times New Roman" w:eastAsia="Calibri" w:hAnsi="Times New Roman" w:cs="Times New Roman"/>
                <w:sz w:val="24"/>
                <w:szCs w:val="24"/>
              </w:rPr>
              <w:t>tajā nozar</w:t>
            </w:r>
            <w:r w:rsidRPr="003C1B12">
              <w:rPr>
                <w:rFonts w:ascii="Times New Roman" w:eastAsia="Calibri" w:hAnsi="Times New Roman" w:cs="Times New Roman"/>
                <w:sz w:val="24"/>
                <w:szCs w:val="24"/>
              </w:rPr>
              <w:t>ē</w:t>
            </w:r>
            <w:r w:rsidR="00BC1FD3" w:rsidRPr="003C1B12">
              <w:rPr>
                <w:rFonts w:ascii="Times New Roman" w:eastAsia="Calibri" w:hAnsi="Times New Roman" w:cs="Times New Roman"/>
                <w:sz w:val="24"/>
                <w:szCs w:val="24"/>
              </w:rPr>
              <w:t xml:space="preserve">, </w:t>
            </w:r>
            <w:r w:rsidRPr="003C1B12">
              <w:rPr>
                <w:rFonts w:ascii="Times New Roman" w:eastAsia="Calibri" w:hAnsi="Times New Roman" w:cs="Times New Roman"/>
                <w:sz w:val="24"/>
                <w:szCs w:val="24"/>
              </w:rPr>
              <w:t xml:space="preserve">vadošie </w:t>
            </w:r>
            <w:r w:rsidR="00BC1FD3" w:rsidRPr="003C1B12">
              <w:rPr>
                <w:rFonts w:ascii="Times New Roman" w:eastAsia="Calibri" w:hAnsi="Times New Roman" w:cs="Times New Roman"/>
                <w:sz w:val="24"/>
                <w:szCs w:val="24"/>
              </w:rPr>
              <w:t>pētnie</w:t>
            </w:r>
            <w:r w:rsidRPr="003C1B12">
              <w:rPr>
                <w:rFonts w:ascii="Times New Roman" w:eastAsia="Calibri" w:hAnsi="Times New Roman" w:cs="Times New Roman"/>
                <w:sz w:val="24"/>
                <w:szCs w:val="24"/>
              </w:rPr>
              <w:t>ki</w:t>
            </w:r>
            <w:r w:rsidR="00BC1FD3" w:rsidRPr="003C1B12">
              <w:rPr>
                <w:rFonts w:ascii="Times New Roman" w:eastAsia="Calibri" w:hAnsi="Times New Roman" w:cs="Times New Roman"/>
                <w:sz w:val="24"/>
                <w:szCs w:val="24"/>
              </w:rPr>
              <w:t xml:space="preserve"> ar pieredzi </w:t>
            </w:r>
            <w:r w:rsidRPr="003C1B12">
              <w:rPr>
                <w:rFonts w:ascii="Times New Roman" w:eastAsia="Calibri" w:hAnsi="Times New Roman" w:cs="Times New Roman"/>
                <w:sz w:val="24"/>
                <w:szCs w:val="24"/>
              </w:rPr>
              <w:t xml:space="preserve">attiecīgajās pētniecības </w:t>
            </w:r>
            <w:r w:rsidR="00BC1FD3" w:rsidRPr="003C1B12">
              <w:rPr>
                <w:rFonts w:ascii="Times New Roman" w:eastAsia="Calibri" w:hAnsi="Times New Roman" w:cs="Times New Roman"/>
                <w:sz w:val="24"/>
                <w:szCs w:val="24"/>
              </w:rPr>
              <w:t>jom</w:t>
            </w:r>
            <w:r w:rsidRPr="003C1B12">
              <w:rPr>
                <w:rFonts w:ascii="Times New Roman" w:eastAsia="Calibri" w:hAnsi="Times New Roman" w:cs="Times New Roman"/>
                <w:sz w:val="24"/>
                <w:szCs w:val="24"/>
              </w:rPr>
              <w:t>ās;</w:t>
            </w:r>
            <w:r w:rsidR="00BC1FD3" w:rsidRPr="003C1B12">
              <w:rPr>
                <w:rFonts w:ascii="Times New Roman" w:eastAsia="Calibri" w:hAnsi="Times New Roman" w:cs="Times New Roman"/>
                <w:sz w:val="24"/>
                <w:szCs w:val="24"/>
              </w:rPr>
              <w:t xml:space="preserve"> </w:t>
            </w:r>
          </w:p>
          <w:p w:rsidR="00BC1FD3" w:rsidRPr="003C1B12" w:rsidRDefault="00C60A7F" w:rsidP="009D209C">
            <w:pPr>
              <w:pStyle w:val="ListParagraph"/>
              <w:numPr>
                <w:ilvl w:val="0"/>
                <w:numId w:val="23"/>
              </w:numPr>
              <w:spacing w:after="0" w:line="240" w:lineRule="auto"/>
              <w:jc w:val="both"/>
              <w:rPr>
                <w:rFonts w:ascii="Times New Roman" w:eastAsia="Calibri" w:hAnsi="Times New Roman" w:cs="Times New Roman"/>
                <w:sz w:val="24"/>
                <w:szCs w:val="24"/>
              </w:rPr>
            </w:pPr>
            <w:r w:rsidRPr="003C1B12">
              <w:rPr>
                <w:rFonts w:ascii="Times New Roman" w:eastAsia="Calibri" w:hAnsi="Times New Roman" w:cs="Times New Roman"/>
                <w:sz w:val="24"/>
                <w:szCs w:val="24"/>
              </w:rPr>
              <w:t>Izstrādāta</w:t>
            </w:r>
            <w:r w:rsidR="00BC1FD3" w:rsidRPr="003C1B12">
              <w:rPr>
                <w:rFonts w:ascii="Times New Roman" w:eastAsia="Calibri" w:hAnsi="Times New Roman" w:cs="Times New Roman"/>
                <w:sz w:val="24"/>
                <w:szCs w:val="24"/>
              </w:rPr>
              <w:t xml:space="preserve"> </w:t>
            </w:r>
            <w:r w:rsidR="00466114" w:rsidRPr="003C1B12">
              <w:rPr>
                <w:rFonts w:ascii="Times New Roman" w:eastAsia="Calibri" w:hAnsi="Times New Roman" w:cs="Times New Roman"/>
                <w:sz w:val="24"/>
                <w:szCs w:val="24"/>
              </w:rPr>
              <w:t xml:space="preserve">KC </w:t>
            </w:r>
            <w:r w:rsidR="00DD43BE" w:rsidRPr="003C1B12">
              <w:rPr>
                <w:rFonts w:ascii="Times New Roman" w:eastAsia="Calibri" w:hAnsi="Times New Roman" w:cs="Times New Roman"/>
                <w:sz w:val="24"/>
                <w:szCs w:val="24"/>
              </w:rPr>
              <w:t xml:space="preserve">attīstības </w:t>
            </w:r>
            <w:r w:rsidR="00BC1FD3" w:rsidRPr="003C1B12">
              <w:rPr>
                <w:rFonts w:ascii="Times New Roman" w:eastAsia="Calibri" w:hAnsi="Times New Roman" w:cs="Times New Roman"/>
                <w:sz w:val="24"/>
                <w:szCs w:val="24"/>
              </w:rPr>
              <w:t>str</w:t>
            </w:r>
            <w:r w:rsidRPr="003C1B12">
              <w:rPr>
                <w:rFonts w:ascii="Times New Roman" w:eastAsia="Calibri" w:hAnsi="Times New Roman" w:cs="Times New Roman"/>
                <w:sz w:val="24"/>
                <w:szCs w:val="24"/>
              </w:rPr>
              <w:t>a</w:t>
            </w:r>
            <w:r w:rsidR="00BC1FD3" w:rsidRPr="003C1B12">
              <w:rPr>
                <w:rFonts w:ascii="Times New Roman" w:eastAsia="Calibri" w:hAnsi="Times New Roman" w:cs="Times New Roman"/>
                <w:sz w:val="24"/>
                <w:szCs w:val="24"/>
              </w:rPr>
              <w:t>tēģija, kas ietver:</w:t>
            </w:r>
          </w:p>
          <w:p w:rsidR="00DD43BE" w:rsidRPr="003C1B12" w:rsidRDefault="00DD43BE" w:rsidP="009D209C">
            <w:pPr>
              <w:pStyle w:val="ListParagraph"/>
              <w:numPr>
                <w:ilvl w:val="0"/>
                <w:numId w:val="24"/>
              </w:numPr>
              <w:spacing w:after="0" w:line="240" w:lineRule="auto"/>
              <w:jc w:val="both"/>
              <w:rPr>
                <w:rFonts w:ascii="Times New Roman" w:eastAsia="Calibri" w:hAnsi="Times New Roman" w:cs="Times New Roman"/>
                <w:sz w:val="24"/>
                <w:szCs w:val="24"/>
              </w:rPr>
            </w:pPr>
            <w:r w:rsidRPr="003C1B12">
              <w:rPr>
                <w:rFonts w:ascii="Times New Roman" w:eastAsia="Calibri" w:hAnsi="Times New Roman" w:cs="Times New Roman"/>
                <w:bCs/>
                <w:sz w:val="24"/>
                <w:szCs w:val="24"/>
              </w:rPr>
              <w:t>Pārstāvētās</w:t>
            </w:r>
            <w:r w:rsidR="00C60A7F" w:rsidRPr="003C1B12">
              <w:rPr>
                <w:rFonts w:ascii="Times New Roman" w:eastAsia="Calibri" w:hAnsi="Times New Roman" w:cs="Times New Roman"/>
                <w:bCs/>
                <w:sz w:val="24"/>
                <w:szCs w:val="24"/>
              </w:rPr>
              <w:t xml:space="preserve"> </w:t>
            </w:r>
            <w:r w:rsidRPr="003C1B12">
              <w:rPr>
                <w:rFonts w:ascii="Times New Roman" w:eastAsia="Calibri" w:hAnsi="Times New Roman" w:cs="Times New Roman"/>
                <w:bCs/>
                <w:sz w:val="24"/>
                <w:szCs w:val="24"/>
              </w:rPr>
              <w:t xml:space="preserve">nozares apraksts </w:t>
            </w:r>
          </w:p>
          <w:p w:rsidR="00C60A7F" w:rsidRPr="003C1B12" w:rsidRDefault="00C60A7F" w:rsidP="009D209C">
            <w:pPr>
              <w:pStyle w:val="ListParagraph"/>
              <w:numPr>
                <w:ilvl w:val="1"/>
                <w:numId w:val="24"/>
              </w:numPr>
              <w:spacing w:after="0" w:line="240" w:lineRule="auto"/>
              <w:jc w:val="both"/>
              <w:rPr>
                <w:rFonts w:ascii="Times New Roman" w:eastAsia="Calibri" w:hAnsi="Times New Roman" w:cs="Times New Roman"/>
                <w:sz w:val="24"/>
                <w:szCs w:val="24"/>
              </w:rPr>
            </w:pPr>
            <w:r w:rsidRPr="003C1B12">
              <w:rPr>
                <w:rFonts w:ascii="Times New Roman" w:eastAsia="Calibri" w:hAnsi="Times New Roman" w:cs="Times New Roman"/>
                <w:sz w:val="24"/>
                <w:szCs w:val="24"/>
              </w:rPr>
              <w:t xml:space="preserve">Jomas </w:t>
            </w:r>
            <w:r w:rsidRPr="003C1B12">
              <w:rPr>
                <w:rFonts w:ascii="Times New Roman" w:eastAsia="Calibri" w:hAnsi="Times New Roman" w:cs="Times New Roman"/>
                <w:bCs/>
                <w:sz w:val="24"/>
                <w:szCs w:val="24"/>
              </w:rPr>
              <w:t>komersantu produkta groza raksturojums</w:t>
            </w:r>
            <w:r w:rsidRPr="003C1B12">
              <w:rPr>
                <w:rFonts w:ascii="Times New Roman" w:eastAsia="Calibri" w:hAnsi="Times New Roman" w:cs="Times New Roman"/>
                <w:sz w:val="24"/>
                <w:szCs w:val="24"/>
              </w:rPr>
              <w:t>, tā attīstības un  pielāgošanās iespējas globālajam tirgum – attiecīgās jomas nākotnes kompetenču definējums</w:t>
            </w:r>
          </w:p>
          <w:p w:rsidR="00C60A7F" w:rsidRPr="003C1B12" w:rsidRDefault="00C60A7F" w:rsidP="009D209C">
            <w:pPr>
              <w:pStyle w:val="ListParagraph"/>
              <w:numPr>
                <w:ilvl w:val="1"/>
                <w:numId w:val="24"/>
              </w:numPr>
              <w:spacing w:after="0" w:line="240" w:lineRule="auto"/>
              <w:jc w:val="both"/>
              <w:rPr>
                <w:rFonts w:ascii="Times New Roman" w:eastAsia="Calibri" w:hAnsi="Times New Roman" w:cs="Times New Roman"/>
                <w:sz w:val="24"/>
                <w:szCs w:val="24"/>
              </w:rPr>
            </w:pPr>
            <w:r w:rsidRPr="003C1B12">
              <w:rPr>
                <w:rFonts w:ascii="Times New Roman" w:eastAsia="Calibri" w:hAnsi="Times New Roman" w:cs="Times New Roman"/>
                <w:sz w:val="24"/>
                <w:szCs w:val="24"/>
              </w:rPr>
              <w:t xml:space="preserve">Jomas uzņēmumu </w:t>
            </w:r>
            <w:r w:rsidRPr="003C1B12">
              <w:rPr>
                <w:rFonts w:ascii="Times New Roman" w:eastAsia="Calibri" w:hAnsi="Times New Roman" w:cs="Times New Roman"/>
                <w:bCs/>
                <w:sz w:val="24"/>
                <w:szCs w:val="24"/>
              </w:rPr>
              <w:t>salīdzinošo priekšrocību un būtiskāko trūkumu raksturojums</w:t>
            </w:r>
          </w:p>
          <w:p w:rsidR="000D166C" w:rsidRPr="003C1B12" w:rsidRDefault="00DD43BE" w:rsidP="009D209C">
            <w:pPr>
              <w:pStyle w:val="ListParagraph"/>
              <w:numPr>
                <w:ilvl w:val="1"/>
                <w:numId w:val="24"/>
              </w:numPr>
              <w:rPr>
                <w:rFonts w:ascii="Times New Roman" w:eastAsia="Calibri" w:hAnsi="Times New Roman" w:cs="Times New Roman"/>
                <w:sz w:val="24"/>
                <w:szCs w:val="24"/>
              </w:rPr>
            </w:pPr>
            <w:r w:rsidRPr="003C1B12">
              <w:rPr>
                <w:rFonts w:ascii="Times New Roman" w:eastAsia="Calibri" w:hAnsi="Times New Roman" w:cs="Times New Roman"/>
                <w:sz w:val="24"/>
                <w:szCs w:val="24"/>
              </w:rPr>
              <w:t xml:space="preserve">Nozares </w:t>
            </w:r>
            <w:r w:rsidR="000D166C" w:rsidRPr="003C1B12">
              <w:rPr>
                <w:rFonts w:ascii="Times New Roman" w:eastAsia="Calibri" w:hAnsi="Times New Roman" w:cs="Times New Roman"/>
                <w:sz w:val="24"/>
                <w:szCs w:val="24"/>
              </w:rPr>
              <w:t>attīstības tendences Latvijā un pasaulē</w:t>
            </w:r>
          </w:p>
          <w:p w:rsidR="000D166C" w:rsidRPr="003C1B12" w:rsidRDefault="000D166C" w:rsidP="009D209C">
            <w:pPr>
              <w:pStyle w:val="ListParagraph"/>
              <w:numPr>
                <w:ilvl w:val="1"/>
                <w:numId w:val="24"/>
              </w:numPr>
              <w:rPr>
                <w:rFonts w:ascii="Times New Roman" w:eastAsia="Calibri" w:hAnsi="Times New Roman" w:cs="Times New Roman"/>
                <w:sz w:val="24"/>
                <w:szCs w:val="24"/>
              </w:rPr>
            </w:pPr>
            <w:r w:rsidRPr="003C1B12">
              <w:rPr>
                <w:rFonts w:ascii="Times New Roman" w:eastAsia="Calibri" w:hAnsi="Times New Roman" w:cs="Times New Roman"/>
                <w:sz w:val="24"/>
                <w:szCs w:val="24"/>
              </w:rPr>
              <w:t>saistītās nozares (piegāžu ķēžu analīze)</w:t>
            </w:r>
          </w:p>
          <w:p w:rsidR="000D166C" w:rsidRPr="003C1B12" w:rsidRDefault="000D166C" w:rsidP="009D209C">
            <w:pPr>
              <w:pStyle w:val="ListParagraph"/>
              <w:numPr>
                <w:ilvl w:val="1"/>
                <w:numId w:val="24"/>
              </w:numPr>
              <w:rPr>
                <w:rFonts w:ascii="Times New Roman" w:eastAsia="Calibri" w:hAnsi="Times New Roman" w:cs="Times New Roman"/>
                <w:sz w:val="24"/>
                <w:szCs w:val="24"/>
              </w:rPr>
            </w:pPr>
            <w:r w:rsidRPr="003C1B12">
              <w:rPr>
                <w:rFonts w:ascii="Times New Roman" w:eastAsia="Calibri" w:hAnsi="Times New Roman" w:cs="Times New Roman"/>
                <w:i/>
                <w:iCs/>
                <w:sz w:val="24"/>
                <w:szCs w:val="24"/>
              </w:rPr>
              <w:t>emerging</w:t>
            </w:r>
            <w:r w:rsidRPr="003C1B12">
              <w:rPr>
                <w:rFonts w:ascii="Times New Roman" w:eastAsia="Calibri" w:hAnsi="Times New Roman" w:cs="Times New Roman"/>
                <w:sz w:val="24"/>
                <w:szCs w:val="24"/>
              </w:rPr>
              <w:t xml:space="preserve"> segmenti globālajā tirgū un ar to saistīto tirgus iespēju un prasību novērtējums</w:t>
            </w:r>
          </w:p>
          <w:p w:rsidR="00DD43BE" w:rsidRPr="003C1B12" w:rsidRDefault="00DD43BE" w:rsidP="009D209C">
            <w:pPr>
              <w:pStyle w:val="ListParagraph"/>
              <w:numPr>
                <w:ilvl w:val="0"/>
                <w:numId w:val="24"/>
              </w:numPr>
              <w:spacing w:after="0" w:line="240" w:lineRule="auto"/>
              <w:jc w:val="both"/>
              <w:rPr>
                <w:rFonts w:ascii="Times New Roman" w:eastAsia="Calibri" w:hAnsi="Times New Roman" w:cs="Times New Roman"/>
                <w:sz w:val="24"/>
                <w:szCs w:val="24"/>
              </w:rPr>
            </w:pPr>
            <w:r w:rsidRPr="003C1B12">
              <w:rPr>
                <w:rFonts w:ascii="Times New Roman" w:eastAsia="Calibri" w:hAnsi="Times New Roman" w:cs="Times New Roman"/>
                <w:bCs/>
                <w:sz w:val="24"/>
                <w:szCs w:val="24"/>
              </w:rPr>
              <w:t xml:space="preserve">Izvēlēto pētniecības virzienu pamatojums un atbilstība viedās specializācijas jomai un nozares attīstības tendencēm </w:t>
            </w:r>
          </w:p>
          <w:p w:rsidR="00C60A7F" w:rsidRPr="003C1B12" w:rsidRDefault="00C60A7F" w:rsidP="009D209C">
            <w:pPr>
              <w:pStyle w:val="ListParagraph"/>
              <w:numPr>
                <w:ilvl w:val="0"/>
                <w:numId w:val="24"/>
              </w:numPr>
              <w:spacing w:after="0" w:line="240" w:lineRule="auto"/>
              <w:jc w:val="both"/>
              <w:rPr>
                <w:rFonts w:ascii="Times New Roman" w:eastAsia="Calibri" w:hAnsi="Times New Roman" w:cs="Times New Roman"/>
                <w:sz w:val="24"/>
                <w:szCs w:val="24"/>
              </w:rPr>
            </w:pPr>
            <w:r w:rsidRPr="003C1B12">
              <w:rPr>
                <w:rFonts w:ascii="Times New Roman" w:eastAsia="Calibri" w:hAnsi="Times New Roman" w:cs="Times New Roman"/>
                <w:bCs/>
                <w:sz w:val="24"/>
                <w:szCs w:val="24"/>
              </w:rPr>
              <w:t xml:space="preserve">Sadarbības starp komersantiem, </w:t>
            </w:r>
            <w:r w:rsidR="00DD64AD" w:rsidRPr="003C1B12">
              <w:rPr>
                <w:rFonts w:ascii="Times New Roman" w:eastAsia="Calibri" w:hAnsi="Times New Roman" w:cs="Times New Roman"/>
                <w:bCs/>
                <w:sz w:val="24"/>
                <w:szCs w:val="24"/>
              </w:rPr>
              <w:t>zinātniskajām institūcijām</w:t>
            </w:r>
            <w:r w:rsidRPr="003C1B12">
              <w:rPr>
                <w:rFonts w:ascii="Times New Roman" w:eastAsia="Calibri" w:hAnsi="Times New Roman" w:cs="Times New Roman"/>
                <w:bCs/>
                <w:sz w:val="24"/>
                <w:szCs w:val="24"/>
              </w:rPr>
              <w:t xml:space="preserve"> un </w:t>
            </w:r>
            <w:r w:rsidR="00DD64AD" w:rsidRPr="003C1B12">
              <w:rPr>
                <w:rFonts w:ascii="Times New Roman" w:eastAsia="Calibri" w:hAnsi="Times New Roman" w:cs="Times New Roman"/>
                <w:bCs/>
                <w:sz w:val="24"/>
                <w:szCs w:val="24"/>
              </w:rPr>
              <w:t>augstākās izglītības iestādēm</w:t>
            </w:r>
            <w:r w:rsidRPr="003C1B12">
              <w:rPr>
                <w:rFonts w:ascii="Times New Roman" w:eastAsia="Calibri" w:hAnsi="Times New Roman" w:cs="Times New Roman"/>
                <w:bCs/>
                <w:sz w:val="24"/>
                <w:szCs w:val="24"/>
              </w:rPr>
              <w:t xml:space="preserve"> raksturojums </w:t>
            </w:r>
          </w:p>
          <w:p w:rsidR="00C60A7F" w:rsidRPr="003C1B12" w:rsidRDefault="00C60A7F" w:rsidP="009D209C">
            <w:pPr>
              <w:pStyle w:val="ListParagraph"/>
              <w:numPr>
                <w:ilvl w:val="0"/>
                <w:numId w:val="24"/>
              </w:numPr>
              <w:spacing w:after="0" w:line="240" w:lineRule="auto"/>
              <w:jc w:val="both"/>
              <w:rPr>
                <w:rFonts w:ascii="Times New Roman" w:eastAsia="Calibri" w:hAnsi="Times New Roman" w:cs="Times New Roman"/>
                <w:sz w:val="24"/>
                <w:szCs w:val="24"/>
              </w:rPr>
            </w:pPr>
            <w:r w:rsidRPr="003C1B12">
              <w:rPr>
                <w:rFonts w:ascii="Times New Roman" w:eastAsia="Calibri" w:hAnsi="Times New Roman" w:cs="Times New Roman"/>
                <w:bCs/>
                <w:sz w:val="24"/>
                <w:szCs w:val="24"/>
              </w:rPr>
              <w:t>Definēts jomai nepieciešamākais atbalsta instrumentu kopums</w:t>
            </w:r>
            <w:r w:rsidRPr="003C1B12">
              <w:rPr>
                <w:rFonts w:ascii="Times New Roman" w:eastAsia="Calibri" w:hAnsi="Times New Roman" w:cs="Times New Roman"/>
                <w:sz w:val="24"/>
                <w:szCs w:val="24"/>
              </w:rPr>
              <w:t>, kas papildina un maksimizē KC programmas atdevi</w:t>
            </w:r>
            <w:r w:rsidR="00DD43BE" w:rsidRPr="003C1B12">
              <w:rPr>
                <w:rFonts w:ascii="Times New Roman" w:eastAsia="Calibri" w:hAnsi="Times New Roman" w:cs="Times New Roman"/>
                <w:sz w:val="24"/>
                <w:szCs w:val="24"/>
              </w:rPr>
              <w:t xml:space="preserve"> un veicina nozare attīstību un konkurētspējas pieaugumu</w:t>
            </w:r>
          </w:p>
          <w:p w:rsidR="00C60A7F" w:rsidRPr="003C1B12" w:rsidRDefault="00C60A7F" w:rsidP="009D209C">
            <w:pPr>
              <w:pStyle w:val="ListParagraph"/>
              <w:numPr>
                <w:ilvl w:val="0"/>
                <w:numId w:val="24"/>
              </w:numPr>
              <w:spacing w:after="0" w:line="240" w:lineRule="auto"/>
              <w:jc w:val="both"/>
              <w:rPr>
                <w:rFonts w:ascii="Times New Roman" w:eastAsia="Calibri" w:hAnsi="Times New Roman" w:cs="Times New Roman"/>
                <w:sz w:val="24"/>
                <w:szCs w:val="24"/>
              </w:rPr>
            </w:pPr>
            <w:r w:rsidRPr="003C1B12">
              <w:rPr>
                <w:rFonts w:ascii="Times New Roman" w:eastAsia="Calibri" w:hAnsi="Times New Roman" w:cs="Times New Roman"/>
                <w:bCs/>
                <w:sz w:val="24"/>
                <w:szCs w:val="24"/>
              </w:rPr>
              <w:t xml:space="preserve">Definēts jomai nepieciešamais </w:t>
            </w:r>
            <w:r w:rsidR="00DD43BE" w:rsidRPr="003C1B12">
              <w:rPr>
                <w:rFonts w:ascii="Times New Roman" w:eastAsia="Calibri" w:hAnsi="Times New Roman" w:cs="Times New Roman"/>
                <w:bCs/>
                <w:sz w:val="24"/>
                <w:szCs w:val="24"/>
              </w:rPr>
              <w:t xml:space="preserve">pētniecības un inovācijas attīstības </w:t>
            </w:r>
            <w:r w:rsidRPr="003C1B12">
              <w:rPr>
                <w:rFonts w:ascii="Times New Roman" w:eastAsia="Calibri" w:hAnsi="Times New Roman" w:cs="Times New Roman"/>
                <w:bCs/>
                <w:sz w:val="24"/>
                <w:szCs w:val="24"/>
              </w:rPr>
              <w:t>infrastruktūras kopums, analizējot pieejamo un trūkstošo infrastruktūru</w:t>
            </w:r>
          </w:p>
          <w:p w:rsidR="00C60A7F" w:rsidRPr="003C1B12" w:rsidRDefault="00C60A7F" w:rsidP="009D209C">
            <w:pPr>
              <w:pStyle w:val="ListParagraph"/>
              <w:numPr>
                <w:ilvl w:val="0"/>
                <w:numId w:val="24"/>
              </w:numPr>
              <w:spacing w:after="0" w:line="240" w:lineRule="auto"/>
              <w:jc w:val="both"/>
              <w:rPr>
                <w:rFonts w:ascii="Times New Roman" w:eastAsia="Calibri" w:hAnsi="Times New Roman" w:cs="Times New Roman"/>
                <w:sz w:val="24"/>
                <w:szCs w:val="24"/>
              </w:rPr>
            </w:pPr>
            <w:r w:rsidRPr="003C1B12">
              <w:rPr>
                <w:rFonts w:ascii="Times New Roman" w:eastAsia="Calibri" w:hAnsi="Times New Roman" w:cs="Times New Roman"/>
                <w:sz w:val="24"/>
                <w:szCs w:val="24"/>
              </w:rPr>
              <w:t xml:space="preserve">KC atbalstāmo </w:t>
            </w:r>
            <w:r w:rsidR="00DD43BE" w:rsidRPr="003C1B12">
              <w:rPr>
                <w:rFonts w:ascii="Times New Roman" w:eastAsia="Calibri" w:hAnsi="Times New Roman" w:cs="Times New Roman"/>
                <w:sz w:val="24"/>
                <w:szCs w:val="24"/>
              </w:rPr>
              <w:t xml:space="preserve">pētniecības </w:t>
            </w:r>
            <w:r w:rsidRPr="003C1B12">
              <w:rPr>
                <w:rFonts w:ascii="Times New Roman" w:eastAsia="Calibri" w:hAnsi="Times New Roman" w:cs="Times New Roman"/>
                <w:bCs/>
                <w:sz w:val="24"/>
                <w:szCs w:val="24"/>
              </w:rPr>
              <w:t xml:space="preserve">projektu atlases </w:t>
            </w:r>
            <w:r w:rsidR="00DD43BE" w:rsidRPr="003C1B12">
              <w:rPr>
                <w:rFonts w:ascii="Times New Roman" w:eastAsia="Calibri" w:hAnsi="Times New Roman" w:cs="Times New Roman"/>
                <w:bCs/>
                <w:sz w:val="24"/>
                <w:szCs w:val="24"/>
              </w:rPr>
              <w:t xml:space="preserve">principi un </w:t>
            </w:r>
            <w:r w:rsidRPr="003C1B12">
              <w:rPr>
                <w:rFonts w:ascii="Times New Roman" w:eastAsia="Calibri" w:hAnsi="Times New Roman" w:cs="Times New Roman"/>
                <w:bCs/>
                <w:sz w:val="24"/>
                <w:szCs w:val="24"/>
              </w:rPr>
              <w:t>kritērij</w:t>
            </w:r>
            <w:r w:rsidR="00DD43BE" w:rsidRPr="003C1B12">
              <w:rPr>
                <w:rFonts w:ascii="Times New Roman" w:eastAsia="Calibri" w:hAnsi="Times New Roman" w:cs="Times New Roman"/>
                <w:bCs/>
                <w:sz w:val="24"/>
                <w:szCs w:val="24"/>
              </w:rPr>
              <w:t>i</w:t>
            </w:r>
            <w:r w:rsidRPr="003C1B12">
              <w:rPr>
                <w:rFonts w:ascii="Times New Roman" w:eastAsia="Calibri" w:hAnsi="Times New Roman" w:cs="Times New Roman"/>
                <w:bCs/>
                <w:sz w:val="24"/>
                <w:szCs w:val="24"/>
              </w:rPr>
              <w:t xml:space="preserve"> </w:t>
            </w:r>
          </w:p>
          <w:p w:rsidR="00C60A7F" w:rsidRPr="003C1B12" w:rsidRDefault="00C60A7F" w:rsidP="009D209C">
            <w:pPr>
              <w:pStyle w:val="ListParagraph"/>
              <w:numPr>
                <w:ilvl w:val="0"/>
                <w:numId w:val="24"/>
              </w:numPr>
              <w:spacing w:after="0" w:line="240" w:lineRule="auto"/>
              <w:jc w:val="both"/>
              <w:rPr>
                <w:rFonts w:ascii="Times New Roman" w:eastAsia="Calibri" w:hAnsi="Times New Roman" w:cs="Times New Roman"/>
                <w:sz w:val="24"/>
                <w:szCs w:val="24"/>
              </w:rPr>
            </w:pPr>
            <w:r w:rsidRPr="003C1B12">
              <w:rPr>
                <w:rFonts w:ascii="Times New Roman" w:eastAsia="Calibri" w:hAnsi="Times New Roman" w:cs="Times New Roman"/>
                <w:sz w:val="24"/>
                <w:szCs w:val="24"/>
              </w:rPr>
              <w:t xml:space="preserve">KC sasniedzamie </w:t>
            </w:r>
            <w:r w:rsidRPr="003C1B12">
              <w:rPr>
                <w:rFonts w:ascii="Times New Roman" w:eastAsia="Calibri" w:hAnsi="Times New Roman" w:cs="Times New Roman"/>
                <w:bCs/>
                <w:sz w:val="24"/>
                <w:szCs w:val="24"/>
              </w:rPr>
              <w:t>darbības rezultāti un ieguldījumu atdeves rādītāji</w:t>
            </w:r>
          </w:p>
          <w:p w:rsidR="00BC1FD3" w:rsidRPr="003C1B12" w:rsidRDefault="00C60A7F" w:rsidP="009D209C">
            <w:pPr>
              <w:pStyle w:val="ListParagraph"/>
              <w:numPr>
                <w:ilvl w:val="0"/>
                <w:numId w:val="24"/>
              </w:numPr>
              <w:spacing w:after="0" w:line="240" w:lineRule="auto"/>
              <w:jc w:val="both"/>
              <w:rPr>
                <w:rFonts w:ascii="Times New Roman" w:eastAsia="Calibri" w:hAnsi="Times New Roman" w:cs="Times New Roman"/>
                <w:sz w:val="24"/>
                <w:szCs w:val="24"/>
              </w:rPr>
            </w:pPr>
            <w:r w:rsidRPr="003C1B12">
              <w:rPr>
                <w:rFonts w:ascii="Times New Roman" w:eastAsia="Calibri" w:hAnsi="Times New Roman" w:cs="Times New Roman"/>
                <w:sz w:val="24"/>
                <w:szCs w:val="24"/>
              </w:rPr>
              <w:t>KC institucionālās uzbūves, t.sk. projektu atlases padomes un zinātnisko vadītāju definējums</w:t>
            </w:r>
          </w:p>
        </w:tc>
      </w:tr>
      <w:tr w:rsidR="00F34CD7" w:rsidRPr="003C1B12" w:rsidTr="00946A56">
        <w:tc>
          <w:tcPr>
            <w:tcW w:w="0" w:type="auto"/>
            <w:shd w:val="clear" w:color="auto" w:fill="FFFFFF"/>
            <w:tcMar>
              <w:top w:w="45" w:type="dxa"/>
              <w:left w:w="45" w:type="dxa"/>
              <w:bottom w:w="45" w:type="dxa"/>
              <w:right w:w="45" w:type="dxa"/>
            </w:tcMar>
            <w:vAlign w:val="center"/>
          </w:tcPr>
          <w:p w:rsidR="00F34CD7" w:rsidRPr="003C1B12" w:rsidRDefault="00F34CD7" w:rsidP="00BC1FD3">
            <w:pPr>
              <w:pStyle w:val="Normal1"/>
              <w:rPr>
                <w:rFonts w:ascii="Times New Roman" w:hAnsi="Times New Roman" w:cs="Times New Roman"/>
                <w:sz w:val="24"/>
                <w:szCs w:val="24"/>
              </w:rPr>
            </w:pPr>
            <w:r w:rsidRPr="003C1B12">
              <w:rPr>
                <w:rFonts w:ascii="Times New Roman" w:hAnsi="Times New Roman" w:cs="Times New Roman"/>
                <w:sz w:val="24"/>
                <w:szCs w:val="24"/>
              </w:rPr>
              <w:lastRenderedPageBreak/>
              <w:t xml:space="preserve">Ieviešana </w:t>
            </w:r>
          </w:p>
        </w:tc>
        <w:tc>
          <w:tcPr>
            <w:tcW w:w="7014" w:type="dxa"/>
            <w:shd w:val="clear" w:color="auto" w:fill="FFFFFF"/>
            <w:tcMar>
              <w:top w:w="45" w:type="dxa"/>
              <w:left w:w="45" w:type="dxa"/>
              <w:bottom w:w="45" w:type="dxa"/>
              <w:right w:w="45" w:type="dxa"/>
            </w:tcMar>
            <w:vAlign w:val="center"/>
          </w:tcPr>
          <w:p w:rsidR="00F34CD7" w:rsidRPr="003C1B12" w:rsidRDefault="00F34CD7" w:rsidP="00F34CD7">
            <w:pPr>
              <w:spacing w:after="0" w:line="240" w:lineRule="auto"/>
              <w:jc w:val="both"/>
              <w:rPr>
                <w:rFonts w:ascii="Times New Roman" w:hAnsi="Times New Roman" w:cs="Times New Roman"/>
                <w:sz w:val="24"/>
                <w:szCs w:val="24"/>
              </w:rPr>
            </w:pPr>
            <w:r w:rsidRPr="003C1B12">
              <w:rPr>
                <w:rFonts w:ascii="Times New Roman" w:hAnsi="Times New Roman" w:cs="Times New Roman"/>
                <w:color w:val="000000" w:themeColor="text1"/>
                <w:sz w:val="24"/>
                <w:szCs w:val="24"/>
              </w:rPr>
              <w:t xml:space="preserve">CFLA </w:t>
            </w:r>
            <w:r w:rsidR="005D78FA" w:rsidRPr="003C1B12">
              <w:rPr>
                <w:rFonts w:ascii="Times New Roman" w:hAnsi="Times New Roman" w:cs="Times New Roman"/>
                <w:color w:val="000000" w:themeColor="text1"/>
                <w:sz w:val="24"/>
                <w:szCs w:val="24"/>
              </w:rPr>
              <w:t xml:space="preserve">atklāta </w:t>
            </w:r>
            <w:r w:rsidRPr="003C1B12">
              <w:rPr>
                <w:rFonts w:ascii="Times New Roman" w:hAnsi="Times New Roman" w:cs="Times New Roman"/>
                <w:color w:val="000000" w:themeColor="text1"/>
                <w:sz w:val="24"/>
                <w:szCs w:val="24"/>
              </w:rPr>
              <w:t xml:space="preserve">projektu iesniegumu atlases ietvaros atlasa </w:t>
            </w:r>
            <w:r w:rsidR="00E826A0" w:rsidRPr="003C1B12">
              <w:rPr>
                <w:rFonts w:ascii="Times New Roman" w:hAnsi="Times New Roman" w:cs="Times New Roman"/>
                <w:color w:val="000000" w:themeColor="text1"/>
                <w:sz w:val="24"/>
                <w:szCs w:val="24"/>
              </w:rPr>
              <w:t xml:space="preserve">vismaz </w:t>
            </w:r>
            <w:r w:rsidR="005D78FA" w:rsidRPr="003C1B12">
              <w:rPr>
                <w:rFonts w:ascii="Times New Roman" w:hAnsi="Times New Roman" w:cs="Times New Roman"/>
                <w:color w:val="000000" w:themeColor="text1"/>
                <w:sz w:val="24"/>
                <w:szCs w:val="24"/>
              </w:rPr>
              <w:t xml:space="preserve">vienu KC </w:t>
            </w:r>
            <w:r w:rsidR="008A367A" w:rsidRPr="003C1B12">
              <w:rPr>
                <w:rFonts w:ascii="Times New Roman" w:hAnsi="Times New Roman" w:cs="Times New Roman"/>
                <w:color w:val="000000" w:themeColor="text1"/>
                <w:sz w:val="24"/>
                <w:szCs w:val="24"/>
              </w:rPr>
              <w:t>ka</w:t>
            </w:r>
            <w:r w:rsidR="005D78FA" w:rsidRPr="003C1B12">
              <w:rPr>
                <w:rFonts w:ascii="Times New Roman" w:hAnsi="Times New Roman" w:cs="Times New Roman"/>
                <w:color w:val="000000" w:themeColor="text1"/>
                <w:sz w:val="24"/>
                <w:szCs w:val="24"/>
              </w:rPr>
              <w:t>trā viedās specializācijas jomā/apakšjomā</w:t>
            </w:r>
            <w:r w:rsidRPr="003C1B12">
              <w:rPr>
                <w:rFonts w:ascii="Times New Roman" w:hAnsi="Times New Roman" w:cs="Times New Roman"/>
                <w:color w:val="000000" w:themeColor="text1"/>
                <w:sz w:val="24"/>
                <w:szCs w:val="24"/>
              </w:rPr>
              <w:t xml:space="preserve">. </w:t>
            </w:r>
            <w:r w:rsidR="007B54C3" w:rsidRPr="003C1B12">
              <w:rPr>
                <w:rFonts w:ascii="Times New Roman" w:hAnsi="Times New Roman" w:cs="Times New Roman"/>
                <w:color w:val="000000" w:themeColor="text1"/>
                <w:sz w:val="24"/>
                <w:szCs w:val="24"/>
              </w:rPr>
              <w:t>P</w:t>
            </w:r>
            <w:r w:rsidRPr="003C1B12">
              <w:rPr>
                <w:rFonts w:ascii="Times New Roman" w:hAnsi="Times New Roman" w:cs="Times New Roman"/>
                <w:color w:val="000000" w:themeColor="text1"/>
                <w:sz w:val="24"/>
                <w:szCs w:val="24"/>
              </w:rPr>
              <w:t xml:space="preserve">rojektu pieteikuma obligāta sastāvdaļa ir </w:t>
            </w:r>
            <w:r w:rsidR="007B5BD9" w:rsidRPr="003C1B12">
              <w:rPr>
                <w:rFonts w:ascii="Times New Roman" w:hAnsi="Times New Roman" w:cs="Times New Roman"/>
                <w:color w:val="000000" w:themeColor="text1"/>
                <w:sz w:val="24"/>
                <w:szCs w:val="24"/>
              </w:rPr>
              <w:t>KC</w:t>
            </w:r>
            <w:r w:rsidR="007B54C3" w:rsidRPr="003C1B12">
              <w:rPr>
                <w:rFonts w:ascii="Times New Roman" w:hAnsi="Times New Roman" w:cs="Times New Roman"/>
                <w:color w:val="000000" w:themeColor="text1"/>
                <w:sz w:val="24"/>
                <w:szCs w:val="24"/>
              </w:rPr>
              <w:t xml:space="preserve"> </w:t>
            </w:r>
            <w:r w:rsidRPr="003C1B12">
              <w:rPr>
                <w:rFonts w:ascii="Times New Roman" w:hAnsi="Times New Roman" w:cs="Times New Roman"/>
                <w:color w:val="000000" w:themeColor="text1"/>
                <w:sz w:val="24"/>
                <w:szCs w:val="24"/>
              </w:rPr>
              <w:t>attīstības stratēģija</w:t>
            </w:r>
            <w:r w:rsidR="007B54C3" w:rsidRPr="003C1B12">
              <w:rPr>
                <w:rFonts w:ascii="Times New Roman" w:hAnsi="Times New Roman" w:cs="Times New Roman"/>
                <w:color w:val="000000" w:themeColor="text1"/>
                <w:sz w:val="24"/>
                <w:szCs w:val="24"/>
              </w:rPr>
              <w:t>s</w:t>
            </w:r>
            <w:r w:rsidRPr="003C1B12">
              <w:rPr>
                <w:rFonts w:ascii="Times New Roman" w:hAnsi="Times New Roman" w:cs="Times New Roman"/>
                <w:color w:val="000000" w:themeColor="text1"/>
                <w:sz w:val="24"/>
                <w:szCs w:val="24"/>
              </w:rPr>
              <w:t>.</w:t>
            </w:r>
          </w:p>
          <w:p w:rsidR="00F34CD7" w:rsidRPr="003C1B12" w:rsidRDefault="007B5BD9" w:rsidP="00F34CD7">
            <w:pPr>
              <w:spacing w:after="0" w:line="240" w:lineRule="auto"/>
              <w:ind w:firstLine="567"/>
              <w:jc w:val="both"/>
              <w:rPr>
                <w:rFonts w:ascii="Times New Roman" w:hAnsi="Times New Roman" w:cs="Times New Roman"/>
                <w:sz w:val="24"/>
                <w:szCs w:val="24"/>
              </w:rPr>
            </w:pPr>
            <w:r w:rsidRPr="003C1B12">
              <w:rPr>
                <w:rFonts w:ascii="Times New Roman" w:hAnsi="Times New Roman" w:cs="Times New Roman"/>
                <w:sz w:val="24"/>
                <w:szCs w:val="24"/>
              </w:rPr>
              <w:t>KC</w:t>
            </w:r>
            <w:r w:rsidR="00F34CD7" w:rsidRPr="003C1B12">
              <w:rPr>
                <w:rFonts w:ascii="Times New Roman" w:hAnsi="Times New Roman" w:cs="Times New Roman"/>
                <w:sz w:val="24"/>
                <w:szCs w:val="24"/>
              </w:rPr>
              <w:t xml:space="preserve"> izveido </w:t>
            </w:r>
            <w:r w:rsidR="003D5183" w:rsidRPr="003C1B12">
              <w:rPr>
                <w:rFonts w:ascii="Times New Roman" w:hAnsi="Times New Roman" w:cs="Times New Roman"/>
                <w:sz w:val="24"/>
                <w:szCs w:val="24"/>
              </w:rPr>
              <w:t>padomi</w:t>
            </w:r>
            <w:r w:rsidR="00F34CD7" w:rsidRPr="003C1B12">
              <w:rPr>
                <w:rFonts w:ascii="Times New Roman" w:hAnsi="Times New Roman" w:cs="Times New Roman"/>
                <w:sz w:val="24"/>
                <w:szCs w:val="24"/>
              </w:rPr>
              <w:t xml:space="preserve"> pētniecības projektu atlasei un uzraudzībai</w:t>
            </w:r>
          </w:p>
          <w:p w:rsidR="00F34CD7" w:rsidRPr="003C1B12" w:rsidRDefault="00F34CD7" w:rsidP="009D209C">
            <w:pPr>
              <w:numPr>
                <w:ilvl w:val="0"/>
                <w:numId w:val="25"/>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 xml:space="preserve">Piedalās zinātniskie eksperti, nozares eksperti un EM speciālisti. </w:t>
            </w:r>
          </w:p>
          <w:p w:rsidR="00F34CD7" w:rsidRPr="003C1B12" w:rsidRDefault="00F34CD7" w:rsidP="009D209C">
            <w:pPr>
              <w:numPr>
                <w:ilvl w:val="0"/>
                <w:numId w:val="25"/>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EM pārstā</w:t>
            </w:r>
            <w:r w:rsidR="008B64BB" w:rsidRPr="003C1B12">
              <w:rPr>
                <w:rFonts w:ascii="Times New Roman" w:hAnsi="Times New Roman" w:cs="Times New Roman"/>
                <w:sz w:val="24"/>
                <w:szCs w:val="24"/>
              </w:rPr>
              <w:t>vja loma ir pārliecināties, ka:</w:t>
            </w:r>
          </w:p>
          <w:p w:rsidR="00F34CD7" w:rsidRPr="003C1B12" w:rsidRDefault="00F34CD7" w:rsidP="009D209C">
            <w:pPr>
              <w:numPr>
                <w:ilvl w:val="1"/>
                <w:numId w:val="25"/>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Projektā ir analizēta un norādīta veicamo vai jau veikto investīciju lietderība un pamatotība, kā arī komercializācijas potenciāls</w:t>
            </w:r>
          </w:p>
          <w:p w:rsidR="00F34CD7" w:rsidRPr="003C1B12" w:rsidRDefault="00F34CD7" w:rsidP="009D209C">
            <w:pPr>
              <w:numPr>
                <w:ilvl w:val="1"/>
                <w:numId w:val="25"/>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 xml:space="preserve">Ir norādīta projekta atbilstību </w:t>
            </w:r>
            <w:r w:rsidR="00B16675" w:rsidRPr="003C1B12">
              <w:rPr>
                <w:rFonts w:ascii="Times New Roman" w:hAnsi="Times New Roman" w:cs="Times New Roman"/>
                <w:sz w:val="24"/>
                <w:szCs w:val="24"/>
              </w:rPr>
              <w:t>KC</w:t>
            </w:r>
            <w:r w:rsidRPr="003C1B12">
              <w:rPr>
                <w:rFonts w:ascii="Times New Roman" w:hAnsi="Times New Roman" w:cs="Times New Roman"/>
                <w:sz w:val="24"/>
                <w:szCs w:val="24"/>
              </w:rPr>
              <w:t xml:space="preserve"> stratēģijai</w:t>
            </w:r>
          </w:p>
          <w:p w:rsidR="00F34CD7" w:rsidRPr="003C1B12" w:rsidRDefault="00F34CD7" w:rsidP="009D209C">
            <w:pPr>
              <w:numPr>
                <w:ilvl w:val="1"/>
                <w:numId w:val="25"/>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Definētie mērķi ir sasniedzami</w:t>
            </w:r>
          </w:p>
          <w:p w:rsidR="00F34CD7" w:rsidRPr="003C1B12" w:rsidRDefault="00F34CD7" w:rsidP="009D209C">
            <w:pPr>
              <w:numPr>
                <w:ilvl w:val="0"/>
                <w:numId w:val="25"/>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Zinātnisko padomi pamatā veido nozares eksperti</w:t>
            </w:r>
          </w:p>
          <w:p w:rsidR="00F34CD7" w:rsidRPr="003C1B12" w:rsidRDefault="00F34CD7" w:rsidP="009D209C">
            <w:pPr>
              <w:numPr>
                <w:ilvl w:val="0"/>
                <w:numId w:val="25"/>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Zinātniskajiem ekspertiem, virziena zinātniskajam vadītājam un EM pārstāvim ir ieteikuma raksturs</w:t>
            </w:r>
          </w:p>
          <w:p w:rsidR="00F34CD7" w:rsidRPr="003C1B12" w:rsidRDefault="00F34CD7" w:rsidP="009D209C">
            <w:pPr>
              <w:numPr>
                <w:ilvl w:val="0"/>
                <w:numId w:val="25"/>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Zinātnisko ekspertu un EM speciālistu atšķirīgo viedokli norāda padomes protokolā</w:t>
            </w:r>
          </w:p>
          <w:p w:rsidR="00F34CD7" w:rsidRPr="003C1B12" w:rsidRDefault="00F34CD7" w:rsidP="009D209C">
            <w:pPr>
              <w:numPr>
                <w:ilvl w:val="0"/>
                <w:numId w:val="25"/>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 xml:space="preserve">Zinātniskā eksperta dalība padomē nedrīkst tikt uzskatīta par interešu konfliktu, izņemot ja eksperts vērtē projektu, kurā pats </w:t>
            </w:r>
            <w:r w:rsidRPr="003C1B12">
              <w:rPr>
                <w:rFonts w:ascii="Times New Roman" w:hAnsi="Times New Roman" w:cs="Times New Roman"/>
                <w:sz w:val="24"/>
                <w:szCs w:val="24"/>
              </w:rPr>
              <w:lastRenderedPageBreak/>
              <w:t>ir tiešais labuma guvējs.</w:t>
            </w:r>
          </w:p>
          <w:p w:rsidR="00F34CD7" w:rsidRPr="003C1B12" w:rsidRDefault="00F34CD7" w:rsidP="007B5BD9">
            <w:pPr>
              <w:spacing w:after="0" w:line="240" w:lineRule="auto"/>
              <w:ind w:firstLine="567"/>
              <w:jc w:val="both"/>
              <w:rPr>
                <w:rFonts w:ascii="Times New Roman" w:eastAsia="Calibri" w:hAnsi="Times New Roman" w:cs="Times New Roman"/>
                <w:sz w:val="24"/>
                <w:szCs w:val="24"/>
              </w:rPr>
            </w:pPr>
            <w:r w:rsidRPr="003C1B12">
              <w:rPr>
                <w:rFonts w:ascii="Times New Roman" w:hAnsi="Times New Roman" w:cs="Times New Roman"/>
                <w:sz w:val="24"/>
                <w:szCs w:val="24"/>
              </w:rPr>
              <w:t xml:space="preserve">Pētniecības projektu kvalitātes snieguma vērtēšanai jānodrošina </w:t>
            </w:r>
            <w:r w:rsidR="00640D08" w:rsidRPr="003C1B12">
              <w:rPr>
                <w:rFonts w:ascii="Times New Roman" w:hAnsi="Times New Roman" w:cs="Times New Roman"/>
                <w:sz w:val="24"/>
                <w:szCs w:val="24"/>
              </w:rPr>
              <w:t>EK</w:t>
            </w:r>
            <w:r w:rsidRPr="003C1B12">
              <w:rPr>
                <w:rFonts w:ascii="Times New Roman" w:hAnsi="Times New Roman" w:cs="Times New Roman"/>
                <w:sz w:val="24"/>
                <w:szCs w:val="24"/>
              </w:rPr>
              <w:t xml:space="preserve"> ekspertu datu bāzē iekļautu ekspertu piesaiste. Piekļuves tiesības EK ekspertu datu bāzei var tikt piešķirtas P&amp;A finansējošām ES dalībvalstu institūcijām</w:t>
            </w:r>
            <w:r w:rsidR="007A12E3" w:rsidRPr="003C1B12">
              <w:rPr>
                <w:rFonts w:ascii="Times New Roman" w:hAnsi="Times New Roman" w:cs="Times New Roman"/>
                <w:sz w:val="24"/>
                <w:szCs w:val="24"/>
              </w:rPr>
              <w:t xml:space="preserve">, kam </w:t>
            </w:r>
            <w:r w:rsidR="007B5BD9" w:rsidRPr="003C1B12">
              <w:rPr>
                <w:rFonts w:ascii="Times New Roman" w:hAnsi="Times New Roman" w:cs="Times New Roman"/>
                <w:sz w:val="24"/>
                <w:szCs w:val="24"/>
              </w:rPr>
              <w:t>KC</w:t>
            </w:r>
            <w:r w:rsidR="007A12E3" w:rsidRPr="003C1B12">
              <w:rPr>
                <w:rFonts w:ascii="Times New Roman" w:hAnsi="Times New Roman" w:cs="Times New Roman"/>
                <w:sz w:val="24"/>
                <w:szCs w:val="24"/>
              </w:rPr>
              <w:t xml:space="preserve"> neatbilst un līdz ar to šī</w:t>
            </w:r>
            <w:r w:rsidRPr="003C1B12">
              <w:rPr>
                <w:rFonts w:ascii="Times New Roman" w:hAnsi="Times New Roman" w:cs="Times New Roman"/>
                <w:sz w:val="24"/>
                <w:szCs w:val="24"/>
              </w:rPr>
              <w:t xml:space="preserve">s funkcijas jānodrošina CFLA vai EM.  </w:t>
            </w:r>
          </w:p>
        </w:tc>
      </w:tr>
      <w:tr w:rsidR="00466114" w:rsidRPr="003C1B12" w:rsidTr="00946A56">
        <w:tc>
          <w:tcPr>
            <w:tcW w:w="0" w:type="auto"/>
            <w:shd w:val="clear" w:color="auto" w:fill="FFFFFF"/>
            <w:tcMar>
              <w:top w:w="45" w:type="dxa"/>
              <w:left w:w="45" w:type="dxa"/>
              <w:bottom w:w="45" w:type="dxa"/>
              <w:right w:w="45" w:type="dxa"/>
            </w:tcMar>
            <w:vAlign w:val="center"/>
          </w:tcPr>
          <w:p w:rsidR="00466114" w:rsidRPr="003C1B12" w:rsidRDefault="00466114" w:rsidP="00BC1FD3">
            <w:pPr>
              <w:pStyle w:val="Normal1"/>
              <w:rPr>
                <w:rFonts w:ascii="Times New Roman" w:hAnsi="Times New Roman" w:cs="Times New Roman"/>
                <w:sz w:val="24"/>
                <w:szCs w:val="24"/>
              </w:rPr>
            </w:pPr>
            <w:r w:rsidRPr="003C1B12">
              <w:rPr>
                <w:rFonts w:ascii="Times New Roman" w:hAnsi="Times New Roman" w:cs="Times New Roman"/>
                <w:sz w:val="24"/>
                <w:szCs w:val="24"/>
              </w:rPr>
              <w:lastRenderedPageBreak/>
              <w:t>Intelektuālā īpašuma tiesību sadalījums</w:t>
            </w:r>
          </w:p>
        </w:tc>
        <w:tc>
          <w:tcPr>
            <w:tcW w:w="7014" w:type="dxa"/>
            <w:shd w:val="clear" w:color="auto" w:fill="FFFFFF"/>
            <w:tcMar>
              <w:top w:w="45" w:type="dxa"/>
              <w:left w:w="45" w:type="dxa"/>
              <w:bottom w:w="45" w:type="dxa"/>
              <w:right w:w="45" w:type="dxa"/>
            </w:tcMar>
            <w:vAlign w:val="center"/>
          </w:tcPr>
          <w:p w:rsidR="00466114" w:rsidRPr="003C1B12" w:rsidRDefault="00466114" w:rsidP="005D2D54">
            <w:pPr>
              <w:spacing w:after="0" w:line="240" w:lineRule="auto"/>
              <w:jc w:val="both"/>
              <w:rPr>
                <w:rFonts w:ascii="Times New Roman" w:eastAsia="Calibri" w:hAnsi="Times New Roman" w:cs="Times New Roman"/>
                <w:sz w:val="24"/>
                <w:szCs w:val="24"/>
                <w:lang w:eastAsia="en-US"/>
              </w:rPr>
            </w:pPr>
            <w:r w:rsidRPr="003C1B12">
              <w:rPr>
                <w:rFonts w:ascii="Times New Roman" w:eastAsia="Calibri" w:hAnsi="Times New Roman" w:cs="Times New Roman"/>
                <w:sz w:val="24"/>
                <w:szCs w:val="24"/>
                <w:lang w:eastAsia="en-US"/>
              </w:rPr>
              <w:t>KC stratēģijā jāapraksta intelektuālā īpašuma tiesību sadalīšanas metode KC. Individuālajā pētījumā intelektuālais īpašums pieder pētījuma finansētājam. Sadarbības projektos partneriem atsevišķi vai kopīpašumā</w:t>
            </w:r>
            <w:r w:rsidR="008A367A" w:rsidRPr="003C1B12">
              <w:rPr>
                <w:rFonts w:ascii="Times New Roman" w:eastAsia="Calibri" w:hAnsi="Times New Roman" w:cs="Times New Roman"/>
                <w:sz w:val="24"/>
                <w:szCs w:val="24"/>
                <w:lang w:eastAsia="en-US"/>
              </w:rPr>
              <w:t>.</w:t>
            </w:r>
          </w:p>
        </w:tc>
      </w:tr>
      <w:tr w:rsidR="00F57448" w:rsidRPr="003C1B12" w:rsidTr="00946A56">
        <w:tc>
          <w:tcPr>
            <w:tcW w:w="0" w:type="auto"/>
            <w:shd w:val="clear" w:color="auto" w:fill="FFFFFF"/>
            <w:tcMar>
              <w:top w:w="45" w:type="dxa"/>
              <w:left w:w="45" w:type="dxa"/>
              <w:bottom w:w="45" w:type="dxa"/>
              <w:right w:w="45" w:type="dxa"/>
            </w:tcMar>
            <w:vAlign w:val="center"/>
          </w:tcPr>
          <w:p w:rsidR="00F57448" w:rsidRPr="003C1B12" w:rsidRDefault="00F57448" w:rsidP="00BC1FD3">
            <w:pPr>
              <w:pStyle w:val="Normal1"/>
              <w:rPr>
                <w:rFonts w:ascii="Times New Roman" w:hAnsi="Times New Roman" w:cs="Times New Roman"/>
                <w:sz w:val="24"/>
                <w:szCs w:val="24"/>
              </w:rPr>
            </w:pPr>
            <w:r w:rsidRPr="003C1B12">
              <w:rPr>
                <w:rFonts w:ascii="Times New Roman" w:hAnsi="Times New Roman" w:cs="Times New Roman"/>
                <w:sz w:val="24"/>
                <w:szCs w:val="24"/>
              </w:rPr>
              <w:t>Sadarbība ar zinātniskajām institūcijām</w:t>
            </w:r>
          </w:p>
        </w:tc>
        <w:tc>
          <w:tcPr>
            <w:tcW w:w="7014" w:type="dxa"/>
            <w:shd w:val="clear" w:color="auto" w:fill="FFFFFF"/>
            <w:tcMar>
              <w:top w:w="45" w:type="dxa"/>
              <w:left w:w="45" w:type="dxa"/>
              <w:bottom w:w="45" w:type="dxa"/>
              <w:right w:w="45" w:type="dxa"/>
            </w:tcMar>
            <w:vAlign w:val="center"/>
          </w:tcPr>
          <w:p w:rsidR="00F57448" w:rsidRPr="003C1B12" w:rsidRDefault="00F57448" w:rsidP="005D2D54">
            <w:pPr>
              <w:spacing w:after="0" w:line="240" w:lineRule="auto"/>
              <w:jc w:val="both"/>
              <w:rPr>
                <w:rFonts w:ascii="Times New Roman" w:eastAsia="Calibri" w:hAnsi="Times New Roman" w:cs="Times New Roman"/>
                <w:sz w:val="24"/>
                <w:szCs w:val="24"/>
                <w:lang w:eastAsia="en-US"/>
              </w:rPr>
            </w:pPr>
            <w:r w:rsidRPr="003C1B12">
              <w:rPr>
                <w:rFonts w:ascii="Times New Roman" w:eastAsia="Calibri" w:hAnsi="Times New Roman" w:cs="Times New Roman"/>
                <w:sz w:val="24"/>
                <w:szCs w:val="24"/>
                <w:lang w:eastAsia="en-US"/>
              </w:rPr>
              <w:t>Cieša sadarbība ar zinātniskajām institūcijām tiks nodrošināta:</w:t>
            </w:r>
          </w:p>
          <w:p w:rsidR="00F57448" w:rsidRPr="003C1B12" w:rsidRDefault="00F57448" w:rsidP="00BA318B">
            <w:pPr>
              <w:pStyle w:val="ListParagraph"/>
              <w:numPr>
                <w:ilvl w:val="0"/>
                <w:numId w:val="41"/>
              </w:numPr>
              <w:spacing w:after="0" w:line="240" w:lineRule="auto"/>
              <w:jc w:val="both"/>
              <w:rPr>
                <w:rFonts w:ascii="Times New Roman" w:eastAsia="Calibri" w:hAnsi="Times New Roman" w:cs="Times New Roman"/>
                <w:sz w:val="24"/>
                <w:szCs w:val="24"/>
                <w:lang w:eastAsia="en-US"/>
              </w:rPr>
            </w:pPr>
            <w:r w:rsidRPr="003C1B12">
              <w:rPr>
                <w:rFonts w:ascii="Times New Roman" w:eastAsia="Calibri" w:hAnsi="Times New Roman" w:cs="Times New Roman"/>
                <w:sz w:val="24"/>
                <w:szCs w:val="24"/>
                <w:lang w:eastAsia="en-US"/>
              </w:rPr>
              <w:t>KC projektu izstrādes laikā, jo KC attīstības stratēģijā jāapraksta zinātniskās institūcijas, RIS3 apakšjomai pieejamā infrastruktūra un sadarbība ar zinātniskajām institūcijām</w:t>
            </w:r>
            <w:r w:rsidR="008834E9" w:rsidRPr="003C1B12">
              <w:rPr>
                <w:rFonts w:ascii="Times New Roman" w:eastAsia="Calibri" w:hAnsi="Times New Roman" w:cs="Times New Roman"/>
                <w:sz w:val="24"/>
                <w:szCs w:val="24"/>
                <w:lang w:eastAsia="en-US"/>
              </w:rPr>
              <w:t>. KC arī projekta īstenošanas laikā turpina attīstīt sadarbību (tikšanās, informācijas apmaiņa, dalība semināros utml) ar KC jomas zinātniskajām institūcijām</w:t>
            </w:r>
          </w:p>
          <w:p w:rsidR="004D7CF1" w:rsidRPr="003C1B12" w:rsidRDefault="004D7CF1" w:rsidP="00BA318B">
            <w:pPr>
              <w:pStyle w:val="ListParagraph"/>
              <w:numPr>
                <w:ilvl w:val="0"/>
                <w:numId w:val="41"/>
              </w:numPr>
              <w:spacing w:after="0" w:line="240" w:lineRule="auto"/>
              <w:jc w:val="both"/>
              <w:rPr>
                <w:rFonts w:ascii="Times New Roman" w:eastAsia="Calibri" w:hAnsi="Times New Roman" w:cs="Times New Roman"/>
                <w:sz w:val="24"/>
                <w:szCs w:val="24"/>
                <w:lang w:eastAsia="en-US"/>
              </w:rPr>
            </w:pPr>
            <w:r w:rsidRPr="003C1B12">
              <w:rPr>
                <w:rFonts w:ascii="Times New Roman" w:eastAsia="Calibri" w:hAnsi="Times New Roman" w:cs="Times New Roman"/>
                <w:sz w:val="24"/>
                <w:szCs w:val="24"/>
                <w:lang w:eastAsia="en-US"/>
              </w:rPr>
              <w:t>Pētniecību projektu atlases laikā, jo zinātnisko institūciju pārstāvji būs pētniecības projektu atlases padomēs. Zinātniskajiem pārstāvjiem nebūs balsstiesības, bet padomē piedalīsies Ekonomikas ministrijas pārstāvis, kam būs balsstiesības, un kura pienākums ir sekot līdzi, lai visu iesaistīto pušu argumenti tiek izskatīti un iespēju robežās ņemti vērā.</w:t>
            </w:r>
          </w:p>
          <w:p w:rsidR="004D7CF1" w:rsidRPr="003C1B12" w:rsidRDefault="004D7CF1" w:rsidP="00BA318B">
            <w:pPr>
              <w:pStyle w:val="ListParagraph"/>
              <w:numPr>
                <w:ilvl w:val="0"/>
                <w:numId w:val="41"/>
              </w:numPr>
              <w:spacing w:after="0" w:line="240" w:lineRule="auto"/>
              <w:jc w:val="both"/>
              <w:rPr>
                <w:rFonts w:ascii="Times New Roman" w:eastAsia="Calibri" w:hAnsi="Times New Roman" w:cs="Times New Roman"/>
                <w:sz w:val="24"/>
                <w:szCs w:val="24"/>
                <w:lang w:eastAsia="en-US"/>
              </w:rPr>
            </w:pPr>
            <w:r w:rsidRPr="003C1B12">
              <w:rPr>
                <w:rFonts w:ascii="Times New Roman" w:eastAsia="Calibri" w:hAnsi="Times New Roman" w:cs="Times New Roman"/>
                <w:sz w:val="24"/>
                <w:szCs w:val="24"/>
                <w:lang w:eastAsia="en-US"/>
              </w:rPr>
              <w:t xml:space="preserve">Piesaistot pētījumiem </w:t>
            </w:r>
            <w:r w:rsidR="008834E9" w:rsidRPr="003C1B12">
              <w:rPr>
                <w:rFonts w:ascii="Times New Roman" w:eastAsia="Calibri" w:hAnsi="Times New Roman" w:cs="Times New Roman"/>
                <w:sz w:val="24"/>
                <w:szCs w:val="24"/>
                <w:lang w:eastAsia="en-US"/>
              </w:rPr>
              <w:t xml:space="preserve">doktorantus un </w:t>
            </w:r>
            <w:r w:rsidRPr="003C1B12">
              <w:rPr>
                <w:rFonts w:ascii="Times New Roman" w:eastAsia="Calibri" w:hAnsi="Times New Roman" w:cs="Times New Roman"/>
                <w:sz w:val="24"/>
                <w:szCs w:val="24"/>
                <w:lang w:eastAsia="en-US"/>
              </w:rPr>
              <w:t>doktorus no zinātniskajām institūcijām, jo komersantiem būs jāpamato kāpēc, ja pētījumā tiks iesaistīti tikai komersantos strādājoši doktori</w:t>
            </w:r>
            <w:r w:rsidR="0047269B" w:rsidRPr="003C1B12">
              <w:rPr>
                <w:rFonts w:ascii="Times New Roman" w:eastAsia="Calibri" w:hAnsi="Times New Roman" w:cs="Times New Roman"/>
                <w:sz w:val="24"/>
                <w:szCs w:val="24"/>
                <w:lang w:eastAsia="en-US"/>
              </w:rPr>
              <w:t>;</w:t>
            </w:r>
          </w:p>
          <w:p w:rsidR="0047269B" w:rsidRPr="003C1B12" w:rsidRDefault="0047269B" w:rsidP="00BA318B">
            <w:pPr>
              <w:pStyle w:val="ListParagraph"/>
              <w:numPr>
                <w:ilvl w:val="0"/>
                <w:numId w:val="41"/>
              </w:numPr>
              <w:spacing w:after="0" w:line="240" w:lineRule="auto"/>
              <w:jc w:val="both"/>
              <w:rPr>
                <w:rFonts w:ascii="Times New Roman" w:eastAsia="Calibri" w:hAnsi="Times New Roman" w:cs="Times New Roman"/>
                <w:sz w:val="24"/>
                <w:szCs w:val="24"/>
                <w:lang w:eastAsia="en-US"/>
              </w:rPr>
            </w:pPr>
            <w:r w:rsidRPr="003C1B12">
              <w:rPr>
                <w:rFonts w:ascii="Times New Roman" w:eastAsia="Calibri" w:hAnsi="Times New Roman" w:cs="Times New Roman"/>
                <w:sz w:val="24"/>
                <w:szCs w:val="24"/>
                <w:lang w:eastAsia="en-US"/>
              </w:rPr>
              <w:t>Zinātniskās institūcijas, ja to vēlās, var būt KC daļu turētājas, taču tas ierobežo zinātnisko institūciju iespējas piedalīties pētījumos un rada interešu konflikta rašanās risku. Šie paši ierobežojumi un riski attiecas arī uz balsstiesību piešķiršanu zinātniskajām institūcijām.</w:t>
            </w:r>
          </w:p>
          <w:p w:rsidR="008834E9" w:rsidRPr="003C1B12" w:rsidRDefault="008834E9" w:rsidP="00BA318B">
            <w:pPr>
              <w:pStyle w:val="ListParagraph"/>
              <w:numPr>
                <w:ilvl w:val="0"/>
                <w:numId w:val="41"/>
              </w:numPr>
              <w:spacing w:after="0" w:line="240" w:lineRule="auto"/>
              <w:jc w:val="both"/>
              <w:rPr>
                <w:rFonts w:ascii="Times New Roman" w:eastAsia="Calibri" w:hAnsi="Times New Roman" w:cs="Times New Roman"/>
                <w:sz w:val="24"/>
                <w:szCs w:val="24"/>
                <w:lang w:eastAsia="en-US"/>
              </w:rPr>
            </w:pPr>
          </w:p>
        </w:tc>
      </w:tr>
      <w:tr w:rsidR="005D2D54" w:rsidRPr="003C1B12" w:rsidTr="00946A56">
        <w:tc>
          <w:tcPr>
            <w:tcW w:w="0" w:type="auto"/>
            <w:shd w:val="clear" w:color="auto" w:fill="FFFFFF"/>
            <w:tcMar>
              <w:top w:w="45" w:type="dxa"/>
              <w:left w:w="45" w:type="dxa"/>
              <w:bottom w:w="45" w:type="dxa"/>
              <w:right w:w="45" w:type="dxa"/>
            </w:tcMar>
            <w:vAlign w:val="center"/>
          </w:tcPr>
          <w:p w:rsidR="005D2D54" w:rsidRPr="003C1B12" w:rsidRDefault="005D2D54" w:rsidP="00BC1FD3">
            <w:pPr>
              <w:pStyle w:val="Normal1"/>
              <w:rPr>
                <w:rFonts w:ascii="Times New Roman" w:hAnsi="Times New Roman" w:cs="Times New Roman"/>
                <w:sz w:val="24"/>
                <w:szCs w:val="24"/>
              </w:rPr>
            </w:pPr>
            <w:r w:rsidRPr="003C1B12">
              <w:rPr>
                <w:rFonts w:ascii="Times New Roman" w:hAnsi="Times New Roman" w:cs="Times New Roman"/>
                <w:sz w:val="24"/>
                <w:szCs w:val="24"/>
              </w:rPr>
              <w:t>Komercdarbības atbalsts</w:t>
            </w:r>
          </w:p>
        </w:tc>
        <w:tc>
          <w:tcPr>
            <w:tcW w:w="7014" w:type="dxa"/>
            <w:shd w:val="clear" w:color="auto" w:fill="FFFFFF"/>
            <w:tcMar>
              <w:top w:w="45" w:type="dxa"/>
              <w:left w:w="45" w:type="dxa"/>
              <w:bottom w:w="45" w:type="dxa"/>
              <w:right w:w="45" w:type="dxa"/>
            </w:tcMar>
            <w:vAlign w:val="center"/>
          </w:tcPr>
          <w:p w:rsidR="005D2D54" w:rsidRPr="003C1B12" w:rsidRDefault="005D2D54" w:rsidP="005D2D54">
            <w:pPr>
              <w:spacing w:after="0" w:line="240" w:lineRule="auto"/>
              <w:jc w:val="both"/>
              <w:rPr>
                <w:rFonts w:ascii="Times New Roman" w:eastAsia="Calibri" w:hAnsi="Times New Roman" w:cs="Times New Roman"/>
                <w:sz w:val="24"/>
                <w:szCs w:val="24"/>
                <w:lang w:eastAsia="en-US"/>
              </w:rPr>
            </w:pPr>
            <w:r w:rsidRPr="003C1B12">
              <w:rPr>
                <w:rFonts w:ascii="Times New Roman" w:eastAsia="Calibri" w:hAnsi="Times New Roman" w:cs="Times New Roman"/>
                <w:sz w:val="24"/>
                <w:szCs w:val="24"/>
                <w:lang w:eastAsia="en-US"/>
              </w:rPr>
              <w:t>Atbalst</w:t>
            </w:r>
            <w:r w:rsidR="007A12E3" w:rsidRPr="003C1B12">
              <w:rPr>
                <w:rFonts w:ascii="Times New Roman" w:eastAsia="Calibri" w:hAnsi="Times New Roman" w:cs="Times New Roman"/>
                <w:sz w:val="24"/>
                <w:szCs w:val="24"/>
                <w:lang w:eastAsia="en-US"/>
              </w:rPr>
              <w:t>a</w:t>
            </w:r>
            <w:r w:rsidRPr="003C1B12">
              <w:rPr>
                <w:rFonts w:ascii="Times New Roman" w:eastAsia="Calibri" w:hAnsi="Times New Roman" w:cs="Times New Roman"/>
                <w:sz w:val="24"/>
                <w:szCs w:val="24"/>
                <w:lang w:eastAsia="en-US"/>
              </w:rPr>
              <w:t xml:space="preserve">  piešķiršanā tiek piemērota </w:t>
            </w:r>
            <w:r w:rsidR="00DD64AD" w:rsidRPr="003C1B12">
              <w:rPr>
                <w:rFonts w:ascii="Times New Roman" w:eastAsia="Calibri" w:hAnsi="Times New Roman" w:cs="Times New Roman"/>
                <w:sz w:val="24"/>
                <w:szCs w:val="24"/>
                <w:lang w:eastAsia="en-US"/>
              </w:rPr>
              <w:t>EK 2014.gada 17.jūnija Regula Nr. 651/2014, ar ko noteiktas atbalsta kategorijas atzīst par saderīgām ar iekšējo tirgu, piemērojot Līguma 107. un 108.pantu</w:t>
            </w:r>
            <w:r w:rsidRPr="003C1B12">
              <w:rPr>
                <w:rFonts w:ascii="Times New Roman" w:eastAsia="Calibri" w:hAnsi="Times New Roman" w:cs="Times New Roman"/>
                <w:sz w:val="24"/>
                <w:szCs w:val="24"/>
                <w:lang w:eastAsia="en-US"/>
              </w:rPr>
              <w:t>.</w:t>
            </w:r>
          </w:p>
          <w:p w:rsidR="005D2D54" w:rsidRPr="003C1B12" w:rsidRDefault="005D2D54" w:rsidP="00DD64AD">
            <w:pPr>
              <w:spacing w:after="0" w:line="240" w:lineRule="auto"/>
              <w:jc w:val="both"/>
              <w:rPr>
                <w:rFonts w:ascii="Times New Roman" w:hAnsi="Times New Roman" w:cs="Times New Roman"/>
                <w:color w:val="000000" w:themeColor="text1"/>
                <w:sz w:val="24"/>
                <w:szCs w:val="24"/>
              </w:rPr>
            </w:pPr>
            <w:r w:rsidRPr="003C1B12">
              <w:rPr>
                <w:rFonts w:ascii="Times New Roman" w:eastAsia="Calibri" w:hAnsi="Times New Roman" w:cs="Times New Roman"/>
                <w:sz w:val="24"/>
                <w:szCs w:val="24"/>
                <w:lang w:eastAsia="en-US"/>
              </w:rPr>
              <w:t xml:space="preserve">Atsevišķām atbalstāmām darbībām un attiecināmām izmaisāma </w:t>
            </w:r>
            <w:r w:rsidR="007A12E3" w:rsidRPr="003C1B12">
              <w:rPr>
                <w:rFonts w:ascii="Times New Roman" w:eastAsia="Calibri" w:hAnsi="Times New Roman" w:cs="Times New Roman"/>
                <w:sz w:val="24"/>
                <w:szCs w:val="24"/>
                <w:lang w:eastAsia="en-US"/>
              </w:rPr>
              <w:t>var tikt</w:t>
            </w:r>
            <w:r w:rsidRPr="003C1B12">
              <w:rPr>
                <w:rFonts w:ascii="Times New Roman" w:eastAsia="Calibri" w:hAnsi="Times New Roman" w:cs="Times New Roman"/>
                <w:sz w:val="24"/>
                <w:szCs w:val="24"/>
                <w:lang w:eastAsia="en-US"/>
              </w:rPr>
              <w:t xml:space="preserve"> piemērot</w:t>
            </w:r>
            <w:r w:rsidR="007A12E3" w:rsidRPr="003C1B12">
              <w:rPr>
                <w:rFonts w:ascii="Times New Roman" w:eastAsia="Calibri" w:hAnsi="Times New Roman" w:cs="Times New Roman"/>
                <w:sz w:val="24"/>
                <w:szCs w:val="24"/>
                <w:lang w:eastAsia="en-US"/>
              </w:rPr>
              <w:t>a</w:t>
            </w:r>
            <w:r w:rsidRPr="003C1B12">
              <w:rPr>
                <w:rFonts w:ascii="Times New Roman" w:eastAsia="Calibri" w:hAnsi="Times New Roman" w:cs="Times New Roman"/>
                <w:sz w:val="24"/>
                <w:szCs w:val="24"/>
                <w:lang w:eastAsia="en-US"/>
              </w:rPr>
              <w:t xml:space="preserve"> </w:t>
            </w:r>
            <w:r w:rsidR="00DD64AD" w:rsidRPr="003C1B12">
              <w:rPr>
                <w:rFonts w:ascii="Times New Roman" w:eastAsia="Calibri" w:hAnsi="Times New Roman" w:cs="Times New Roman"/>
                <w:sz w:val="24"/>
                <w:szCs w:val="24"/>
                <w:lang w:eastAsia="en-US"/>
              </w:rPr>
              <w:t xml:space="preserve">EK 2013. gada 18. decembra Regula Nr. 1407/2013 par Līguma par Eiropas Savienības darbību 107. un 108. panta piemērošanu </w:t>
            </w:r>
            <w:r w:rsidR="00DD64AD" w:rsidRPr="003C1B12">
              <w:rPr>
                <w:rFonts w:ascii="Times New Roman" w:eastAsia="Calibri" w:hAnsi="Times New Roman" w:cs="Times New Roman"/>
                <w:i/>
                <w:sz w:val="24"/>
                <w:szCs w:val="24"/>
                <w:lang w:eastAsia="en-US"/>
              </w:rPr>
              <w:t>de minimis</w:t>
            </w:r>
            <w:r w:rsidR="00DD64AD" w:rsidRPr="003C1B12">
              <w:rPr>
                <w:rFonts w:ascii="Times New Roman" w:eastAsia="Calibri" w:hAnsi="Times New Roman" w:cs="Times New Roman"/>
                <w:sz w:val="24"/>
                <w:szCs w:val="24"/>
                <w:lang w:eastAsia="en-US"/>
              </w:rPr>
              <w:t xml:space="preserve"> atbalstam</w:t>
            </w:r>
            <w:r w:rsidR="001D75C1" w:rsidRPr="003C1B12">
              <w:rPr>
                <w:rFonts w:ascii="Times New Roman" w:eastAsia="Calibri" w:hAnsi="Times New Roman" w:cs="Times New Roman"/>
                <w:sz w:val="24"/>
                <w:szCs w:val="24"/>
                <w:lang w:eastAsia="en-US"/>
              </w:rPr>
              <w:t>.</w:t>
            </w:r>
          </w:p>
        </w:tc>
      </w:tr>
    </w:tbl>
    <w:p w:rsidR="000C4557" w:rsidRPr="003C1B12" w:rsidRDefault="000C4557" w:rsidP="000C4557">
      <w:pPr>
        <w:spacing w:after="0" w:line="240" w:lineRule="auto"/>
        <w:ind w:firstLine="720"/>
        <w:jc w:val="both"/>
        <w:rPr>
          <w:rFonts w:ascii="Times New Roman" w:hAnsi="Times New Roman" w:cs="Times New Roman"/>
          <w:sz w:val="24"/>
        </w:rPr>
      </w:pPr>
    </w:p>
    <w:p w:rsidR="00F34CD7" w:rsidRPr="003C1B12" w:rsidRDefault="000C5723" w:rsidP="00F34CD7">
      <w:pPr>
        <w:spacing w:after="0" w:line="240" w:lineRule="auto"/>
        <w:ind w:firstLine="567"/>
        <w:jc w:val="both"/>
        <w:rPr>
          <w:rFonts w:ascii="Times New Roman" w:hAnsi="Times New Roman" w:cs="Times New Roman"/>
          <w:sz w:val="24"/>
          <w:szCs w:val="24"/>
        </w:rPr>
      </w:pPr>
      <w:r w:rsidRPr="003C1B12">
        <w:rPr>
          <w:rFonts w:ascii="Times New Roman" w:hAnsi="Times New Roman" w:cs="Times New Roman"/>
          <w:sz w:val="24"/>
          <w:szCs w:val="24"/>
        </w:rPr>
        <w:t>1.2.</w:t>
      </w:r>
      <w:r w:rsidR="0089256B" w:rsidRPr="003C1B12">
        <w:rPr>
          <w:rFonts w:ascii="Times New Roman" w:hAnsi="Times New Roman" w:cs="Times New Roman"/>
          <w:sz w:val="24"/>
          <w:szCs w:val="24"/>
        </w:rPr>
        <w:t>1</w:t>
      </w:r>
      <w:r w:rsidRPr="003C1B12">
        <w:rPr>
          <w:rFonts w:ascii="Times New Roman" w:hAnsi="Times New Roman" w:cs="Times New Roman"/>
          <w:sz w:val="24"/>
          <w:szCs w:val="24"/>
        </w:rPr>
        <w:t xml:space="preserve">.1. pasākuma „Atbalsts jaunu produktu un tehnoloģiju izstrādei </w:t>
      </w:r>
      <w:r w:rsidR="007B5BD9" w:rsidRPr="003C1B12">
        <w:rPr>
          <w:rFonts w:ascii="Times New Roman" w:hAnsi="Times New Roman" w:cs="Times New Roman"/>
          <w:sz w:val="24"/>
          <w:szCs w:val="24"/>
        </w:rPr>
        <w:t>KC</w:t>
      </w:r>
      <w:r w:rsidRPr="003C1B12">
        <w:rPr>
          <w:rFonts w:ascii="Times New Roman" w:hAnsi="Times New Roman" w:cs="Times New Roman"/>
          <w:sz w:val="24"/>
          <w:szCs w:val="24"/>
        </w:rPr>
        <w:t xml:space="preserve"> ietvaro</w:t>
      </w:r>
      <w:r w:rsidR="008B64BB" w:rsidRPr="003C1B12">
        <w:rPr>
          <w:rFonts w:ascii="Times New Roman" w:hAnsi="Times New Roman" w:cs="Times New Roman"/>
          <w:sz w:val="24"/>
          <w:szCs w:val="24"/>
        </w:rPr>
        <w:t xml:space="preserve">s” </w:t>
      </w:r>
      <w:r w:rsidR="005D78FA" w:rsidRPr="003C1B12">
        <w:rPr>
          <w:rFonts w:ascii="Times New Roman" w:hAnsi="Times New Roman" w:cs="Times New Roman"/>
          <w:sz w:val="24"/>
          <w:szCs w:val="24"/>
        </w:rPr>
        <w:t>3</w:t>
      </w:r>
      <w:r w:rsidRPr="003C1B12">
        <w:rPr>
          <w:rFonts w:ascii="Times New Roman" w:hAnsi="Times New Roman" w:cs="Times New Roman"/>
          <w:sz w:val="24"/>
          <w:szCs w:val="24"/>
        </w:rPr>
        <w:t>.kārtas mērķis ir sniegt atbalstu pētniecības un produktu attīstības infrastruktūras izveidei</w:t>
      </w:r>
      <w:r w:rsidR="008B64BB" w:rsidRPr="003C1B12">
        <w:rPr>
          <w:rFonts w:ascii="Times New Roman" w:hAnsi="Times New Roman" w:cs="Times New Roman"/>
          <w:sz w:val="24"/>
          <w:szCs w:val="24"/>
        </w:rPr>
        <w:t xml:space="preserve">. </w:t>
      </w:r>
      <w:r w:rsidR="00F34CD7" w:rsidRPr="003C1B12">
        <w:rPr>
          <w:rFonts w:ascii="Times New Roman" w:hAnsi="Times New Roman" w:cs="Times New Roman"/>
          <w:sz w:val="24"/>
          <w:szCs w:val="24"/>
        </w:rPr>
        <w:t xml:space="preserve">Darbības vai pakalpojumus, kuras plānots nodrošināt izmantojot izveidoto infrastruktūru </w:t>
      </w:r>
      <w:r w:rsidR="0064114E" w:rsidRPr="003C1B12">
        <w:rPr>
          <w:rFonts w:ascii="Times New Roman" w:hAnsi="Times New Roman" w:cs="Times New Roman"/>
          <w:sz w:val="24"/>
          <w:szCs w:val="24"/>
        </w:rPr>
        <w:t xml:space="preserve">pamatā </w:t>
      </w:r>
      <w:r w:rsidR="00F34CD7" w:rsidRPr="003C1B12">
        <w:rPr>
          <w:rFonts w:ascii="Times New Roman" w:hAnsi="Times New Roman" w:cs="Times New Roman"/>
          <w:sz w:val="24"/>
          <w:szCs w:val="24"/>
        </w:rPr>
        <w:t xml:space="preserve">atbilst </w:t>
      </w:r>
      <w:r w:rsidR="0064114E" w:rsidRPr="003C1B12">
        <w:rPr>
          <w:rFonts w:ascii="Times New Roman" w:hAnsi="Times New Roman" w:cs="Times New Roman"/>
          <w:sz w:val="24"/>
          <w:szCs w:val="24"/>
        </w:rPr>
        <w:t xml:space="preserve">tehnoloģiju gatavības </w:t>
      </w:r>
      <w:r w:rsidR="00F34CD7" w:rsidRPr="003C1B12">
        <w:rPr>
          <w:rFonts w:ascii="Times New Roman" w:hAnsi="Times New Roman" w:cs="Times New Roman"/>
          <w:sz w:val="24"/>
          <w:szCs w:val="24"/>
        </w:rPr>
        <w:t>5</w:t>
      </w:r>
      <w:r w:rsidR="0084457F" w:rsidRPr="003C1B12">
        <w:rPr>
          <w:rFonts w:ascii="Times New Roman" w:hAnsi="Times New Roman" w:cs="Times New Roman"/>
          <w:sz w:val="24"/>
          <w:szCs w:val="24"/>
        </w:rPr>
        <w:t>.</w:t>
      </w:r>
      <w:r w:rsidR="00F34CD7" w:rsidRPr="003C1B12">
        <w:rPr>
          <w:rFonts w:ascii="Times New Roman" w:hAnsi="Times New Roman" w:cs="Times New Roman"/>
          <w:sz w:val="24"/>
          <w:szCs w:val="24"/>
        </w:rPr>
        <w:t xml:space="preserve"> </w:t>
      </w:r>
      <w:r w:rsidR="0064114E" w:rsidRPr="003C1B12">
        <w:rPr>
          <w:rFonts w:ascii="Times New Roman" w:hAnsi="Times New Roman" w:cs="Times New Roman"/>
          <w:sz w:val="24"/>
          <w:szCs w:val="24"/>
        </w:rPr>
        <w:t>–</w:t>
      </w:r>
      <w:r w:rsidR="00F34CD7" w:rsidRPr="003C1B12">
        <w:rPr>
          <w:rFonts w:ascii="Times New Roman" w:hAnsi="Times New Roman" w:cs="Times New Roman"/>
          <w:sz w:val="24"/>
          <w:szCs w:val="24"/>
        </w:rPr>
        <w:t xml:space="preserve"> </w:t>
      </w:r>
      <w:r w:rsidR="0084457F" w:rsidRPr="003C1B12">
        <w:rPr>
          <w:rFonts w:ascii="Times New Roman" w:hAnsi="Times New Roman" w:cs="Times New Roman"/>
          <w:sz w:val="24"/>
          <w:szCs w:val="24"/>
        </w:rPr>
        <w:t>8.</w:t>
      </w:r>
      <w:r w:rsidR="0064114E" w:rsidRPr="003C1B12">
        <w:rPr>
          <w:rFonts w:ascii="Times New Roman" w:hAnsi="Times New Roman" w:cs="Times New Roman"/>
          <w:sz w:val="24"/>
          <w:szCs w:val="24"/>
        </w:rPr>
        <w:t xml:space="preserve"> līmenim</w:t>
      </w:r>
      <w:r w:rsidR="007A12E3" w:rsidRPr="003C1B12">
        <w:rPr>
          <w:rStyle w:val="FootnoteReference"/>
          <w:rFonts w:ascii="Times New Roman" w:hAnsi="Times New Roman" w:cs="Times New Roman"/>
          <w:sz w:val="24"/>
          <w:szCs w:val="24"/>
        </w:rPr>
        <w:footnoteReference w:id="15"/>
      </w:r>
      <w:r w:rsidR="0064114E" w:rsidRPr="003C1B12">
        <w:rPr>
          <w:rFonts w:ascii="Times New Roman" w:hAnsi="Times New Roman" w:cs="Times New Roman"/>
          <w:sz w:val="24"/>
          <w:szCs w:val="24"/>
        </w:rPr>
        <w:t xml:space="preserve">. </w:t>
      </w:r>
      <w:r w:rsidR="00F26204" w:rsidRPr="003C1B12">
        <w:rPr>
          <w:rFonts w:ascii="Times New Roman" w:hAnsi="Times New Roman" w:cs="Times New Roman"/>
          <w:sz w:val="24"/>
          <w:szCs w:val="24"/>
        </w:rPr>
        <w:t xml:space="preserve">Tehnoloģiju gatavības līmeņu </w:t>
      </w:r>
      <w:r w:rsidR="00F26204" w:rsidRPr="003C1B12">
        <w:rPr>
          <w:rFonts w:ascii="Times New Roman" w:hAnsi="Times New Roman" w:cs="Times New Roman"/>
          <w:sz w:val="24"/>
          <w:szCs w:val="24"/>
        </w:rPr>
        <w:lastRenderedPageBreak/>
        <w:t>vērtēšanai var izmantot šo ISO standartu: 16290:2013(en) “Space systems — Definition of the Technology Readiness Levels (TRLs) and their criteria of assessment” (</w:t>
      </w:r>
      <w:hyperlink r:id="rId19" w:anchor="iso:std:iso:16290:ed-1:v1:en" w:history="1">
        <w:r w:rsidR="00F26204" w:rsidRPr="003C1B12">
          <w:rPr>
            <w:rStyle w:val="Hyperlink"/>
            <w:rFonts w:ascii="Times New Roman" w:hAnsi="Times New Roman" w:cs="Times New Roman"/>
            <w:sz w:val="24"/>
            <w:szCs w:val="24"/>
          </w:rPr>
          <w:t>https://www.iso.org/obp/ui/#iso:std:iso:16290:ed-1:v1:en</w:t>
        </w:r>
      </w:hyperlink>
      <w:r w:rsidR="00F26204" w:rsidRPr="003C1B12">
        <w:rPr>
          <w:rFonts w:ascii="Times New Roman" w:hAnsi="Times New Roman" w:cs="Times New Roman"/>
          <w:sz w:val="24"/>
          <w:szCs w:val="24"/>
        </w:rPr>
        <w:t xml:space="preserve">). </w:t>
      </w:r>
      <w:r w:rsidR="00F34CD7" w:rsidRPr="003C1B12">
        <w:rPr>
          <w:rFonts w:ascii="Times New Roman" w:hAnsi="Times New Roman" w:cs="Times New Roman"/>
          <w:sz w:val="24"/>
          <w:szCs w:val="24"/>
        </w:rPr>
        <w:t>1.2.</w:t>
      </w:r>
      <w:r w:rsidR="0089256B" w:rsidRPr="003C1B12">
        <w:rPr>
          <w:rFonts w:ascii="Times New Roman" w:hAnsi="Times New Roman" w:cs="Times New Roman"/>
          <w:sz w:val="24"/>
          <w:szCs w:val="24"/>
        </w:rPr>
        <w:t>1</w:t>
      </w:r>
      <w:r w:rsidR="00F34CD7" w:rsidRPr="003C1B12">
        <w:rPr>
          <w:rFonts w:ascii="Times New Roman" w:hAnsi="Times New Roman" w:cs="Times New Roman"/>
          <w:sz w:val="24"/>
          <w:szCs w:val="24"/>
        </w:rPr>
        <w:t>.1. pasākuma „Atbalsts jaunu produktu un tehnoloģiju izstrāde</w:t>
      </w:r>
      <w:r w:rsidR="008B64BB" w:rsidRPr="003C1B12">
        <w:rPr>
          <w:rFonts w:ascii="Times New Roman" w:hAnsi="Times New Roman" w:cs="Times New Roman"/>
          <w:sz w:val="24"/>
          <w:szCs w:val="24"/>
        </w:rPr>
        <w:t xml:space="preserve">i </w:t>
      </w:r>
      <w:r w:rsidR="007B5BD9" w:rsidRPr="003C1B12">
        <w:rPr>
          <w:rFonts w:ascii="Times New Roman" w:hAnsi="Times New Roman" w:cs="Times New Roman"/>
          <w:sz w:val="24"/>
          <w:szCs w:val="24"/>
        </w:rPr>
        <w:t>KC</w:t>
      </w:r>
      <w:r w:rsidR="008B64BB" w:rsidRPr="003C1B12">
        <w:rPr>
          <w:rFonts w:ascii="Times New Roman" w:hAnsi="Times New Roman" w:cs="Times New Roman"/>
          <w:sz w:val="24"/>
          <w:szCs w:val="24"/>
        </w:rPr>
        <w:t xml:space="preserve"> ietvaros” </w:t>
      </w:r>
      <w:r w:rsidR="005D78FA" w:rsidRPr="003C1B12">
        <w:rPr>
          <w:rFonts w:ascii="Times New Roman" w:hAnsi="Times New Roman" w:cs="Times New Roman"/>
          <w:sz w:val="24"/>
          <w:szCs w:val="24"/>
        </w:rPr>
        <w:t>3</w:t>
      </w:r>
      <w:r w:rsidR="0089256B" w:rsidRPr="003C1B12">
        <w:rPr>
          <w:rFonts w:ascii="Times New Roman" w:hAnsi="Times New Roman" w:cs="Times New Roman"/>
          <w:sz w:val="24"/>
          <w:szCs w:val="24"/>
        </w:rPr>
        <w:t>.</w:t>
      </w:r>
      <w:r w:rsidR="00F34CD7" w:rsidRPr="003C1B12">
        <w:rPr>
          <w:rFonts w:ascii="Times New Roman" w:hAnsi="Times New Roman" w:cs="Times New Roman"/>
          <w:sz w:val="24"/>
          <w:szCs w:val="24"/>
        </w:rPr>
        <w:t xml:space="preserve">kārtas pamata nosacījumi </w:t>
      </w:r>
      <w:r w:rsidR="0089256B" w:rsidRPr="003C1B12">
        <w:rPr>
          <w:rFonts w:ascii="Times New Roman" w:hAnsi="Times New Roman" w:cs="Times New Roman"/>
          <w:sz w:val="24"/>
          <w:szCs w:val="24"/>
        </w:rPr>
        <w:t>aprakstīti</w:t>
      </w:r>
      <w:r w:rsidR="00F34CD7" w:rsidRPr="003C1B12">
        <w:rPr>
          <w:rFonts w:ascii="Times New Roman" w:hAnsi="Times New Roman" w:cs="Times New Roman"/>
          <w:sz w:val="24"/>
          <w:szCs w:val="24"/>
        </w:rPr>
        <w:t xml:space="preserve"> tabulā </w:t>
      </w:r>
      <w:r w:rsidR="001D75C1" w:rsidRPr="003C1B12">
        <w:rPr>
          <w:rFonts w:ascii="Times New Roman" w:hAnsi="Times New Roman" w:cs="Times New Roman"/>
          <w:sz w:val="24"/>
          <w:szCs w:val="24"/>
        </w:rPr>
        <w:t>Nr.</w:t>
      </w:r>
      <w:r w:rsidR="00205A56" w:rsidRPr="003C1B12">
        <w:rPr>
          <w:rFonts w:ascii="Times New Roman" w:hAnsi="Times New Roman" w:cs="Times New Roman"/>
          <w:sz w:val="24"/>
          <w:szCs w:val="24"/>
        </w:rPr>
        <w:t>11</w:t>
      </w:r>
      <w:r w:rsidR="001D75C1" w:rsidRPr="003C1B12">
        <w:rPr>
          <w:rFonts w:ascii="Times New Roman" w:hAnsi="Times New Roman" w:cs="Times New Roman"/>
          <w:sz w:val="24"/>
          <w:szCs w:val="24"/>
        </w:rPr>
        <w:t>.</w:t>
      </w:r>
    </w:p>
    <w:p w:rsidR="000C5723" w:rsidRPr="003C1B12" w:rsidRDefault="001D75C1" w:rsidP="001D75C1">
      <w:pPr>
        <w:spacing w:after="0" w:line="240" w:lineRule="auto"/>
        <w:ind w:firstLine="567"/>
        <w:jc w:val="right"/>
        <w:rPr>
          <w:rFonts w:ascii="Times New Roman" w:hAnsi="Times New Roman" w:cs="Times New Roman"/>
          <w:sz w:val="24"/>
          <w:szCs w:val="24"/>
        </w:rPr>
      </w:pPr>
      <w:r w:rsidRPr="003C1B12">
        <w:rPr>
          <w:rFonts w:ascii="Times New Roman" w:hAnsi="Times New Roman" w:cs="Times New Roman"/>
          <w:sz w:val="24"/>
          <w:szCs w:val="24"/>
        </w:rPr>
        <w:t>Tabula Nr.</w:t>
      </w:r>
      <w:r w:rsidR="00EB4A0A" w:rsidRPr="003C1B12">
        <w:rPr>
          <w:rFonts w:ascii="Times New Roman" w:hAnsi="Times New Roman" w:cs="Times New Roman"/>
          <w:sz w:val="24"/>
          <w:szCs w:val="24"/>
        </w:rPr>
        <w:t>1</w:t>
      </w:r>
      <w:r w:rsidR="00205A56" w:rsidRPr="003C1B12">
        <w:rPr>
          <w:rFonts w:ascii="Times New Roman" w:hAnsi="Times New Roman" w:cs="Times New Roman"/>
          <w:sz w:val="24"/>
          <w:szCs w:val="24"/>
        </w:rPr>
        <w:t>1</w:t>
      </w:r>
    </w:p>
    <w:p w:rsidR="001D75C1" w:rsidRPr="003C1B12" w:rsidRDefault="007B5BD9" w:rsidP="0048159D">
      <w:pPr>
        <w:spacing w:after="0" w:line="240" w:lineRule="auto"/>
        <w:jc w:val="center"/>
        <w:rPr>
          <w:rFonts w:ascii="Times New Roman" w:hAnsi="Times New Roman" w:cs="Times New Roman"/>
          <w:sz w:val="24"/>
          <w:szCs w:val="24"/>
        </w:rPr>
      </w:pPr>
      <w:r w:rsidRPr="003C1B12">
        <w:rPr>
          <w:rFonts w:ascii="Times New Roman" w:hAnsi="Times New Roman" w:cs="Times New Roman"/>
          <w:sz w:val="24"/>
          <w:szCs w:val="24"/>
        </w:rPr>
        <w:t>KC</w:t>
      </w:r>
      <w:r w:rsidR="0048159D" w:rsidRPr="003C1B12">
        <w:rPr>
          <w:rFonts w:ascii="Times New Roman" w:hAnsi="Times New Roman" w:cs="Times New Roman"/>
          <w:sz w:val="24"/>
          <w:szCs w:val="24"/>
        </w:rPr>
        <w:t xml:space="preserve"> programmas </w:t>
      </w:r>
      <w:r w:rsidR="005D78FA" w:rsidRPr="003C1B12">
        <w:rPr>
          <w:rFonts w:ascii="Times New Roman" w:hAnsi="Times New Roman" w:cs="Times New Roman"/>
          <w:sz w:val="24"/>
          <w:szCs w:val="24"/>
        </w:rPr>
        <w:t>3</w:t>
      </w:r>
      <w:r w:rsidR="0048159D" w:rsidRPr="003C1B12">
        <w:rPr>
          <w:rFonts w:ascii="Times New Roman" w:hAnsi="Times New Roman" w:cs="Times New Roman"/>
          <w:sz w:val="24"/>
          <w:szCs w:val="24"/>
        </w:rPr>
        <w:t>.kārtas pamatnosacījumi</w:t>
      </w: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03"/>
        <w:gridCol w:w="7014"/>
      </w:tblGrid>
      <w:tr w:rsidR="000C5723" w:rsidRPr="003C1B12" w:rsidTr="000C5723">
        <w:tc>
          <w:tcPr>
            <w:tcW w:w="0" w:type="auto"/>
            <w:shd w:val="clear" w:color="auto" w:fill="FFFFFF"/>
            <w:tcMar>
              <w:top w:w="45" w:type="dxa"/>
              <w:left w:w="45" w:type="dxa"/>
              <w:bottom w:w="45" w:type="dxa"/>
              <w:right w:w="45" w:type="dxa"/>
            </w:tcMar>
            <w:vAlign w:val="center"/>
            <w:hideMark/>
          </w:tcPr>
          <w:p w:rsidR="000C5723" w:rsidRPr="003C1B12" w:rsidRDefault="000C5723" w:rsidP="000D166C">
            <w:pPr>
              <w:pStyle w:val="Normal1"/>
              <w:rPr>
                <w:rFonts w:ascii="Times New Roman" w:hAnsi="Times New Roman" w:cs="Times New Roman"/>
                <w:sz w:val="24"/>
              </w:rPr>
            </w:pPr>
            <w:r w:rsidRPr="003C1B12">
              <w:rPr>
                <w:rFonts w:ascii="Times New Roman" w:hAnsi="Times New Roman" w:cs="Times New Roman"/>
                <w:sz w:val="24"/>
              </w:rPr>
              <w:t>Finansējuma saņēmējs/pieteikuma iesniedzējs</w:t>
            </w:r>
          </w:p>
        </w:tc>
        <w:tc>
          <w:tcPr>
            <w:tcW w:w="7014" w:type="dxa"/>
            <w:shd w:val="clear" w:color="auto" w:fill="FFFFFF"/>
            <w:tcMar>
              <w:top w:w="45" w:type="dxa"/>
              <w:left w:w="45" w:type="dxa"/>
              <w:bottom w:w="45" w:type="dxa"/>
              <w:right w:w="45" w:type="dxa"/>
            </w:tcMar>
            <w:vAlign w:val="center"/>
            <w:hideMark/>
          </w:tcPr>
          <w:p w:rsidR="00CD7339" w:rsidRPr="003C1B12" w:rsidRDefault="005B639A" w:rsidP="00C36F85">
            <w:pPr>
              <w:pStyle w:val="Normal1"/>
              <w:jc w:val="both"/>
              <w:rPr>
                <w:rFonts w:ascii="Times New Roman" w:hAnsi="Times New Roman" w:cs="Times New Roman"/>
                <w:sz w:val="24"/>
                <w:szCs w:val="24"/>
              </w:rPr>
            </w:pPr>
            <w:r w:rsidRPr="003C1B12">
              <w:rPr>
                <w:rFonts w:ascii="Times New Roman" w:hAnsi="Times New Roman" w:cs="Times New Roman"/>
                <w:sz w:val="24"/>
                <w:szCs w:val="24"/>
              </w:rPr>
              <w:t>K</w:t>
            </w:r>
            <w:r w:rsidR="000C5723" w:rsidRPr="003C1B12">
              <w:rPr>
                <w:rFonts w:ascii="Times New Roman" w:hAnsi="Times New Roman" w:cs="Times New Roman"/>
                <w:sz w:val="24"/>
                <w:szCs w:val="24"/>
              </w:rPr>
              <w:t>omersanti ar vai bez sadarbības ar zinātniskām institūcijām</w:t>
            </w:r>
            <w:r w:rsidR="00CD7339" w:rsidRPr="003C1B12">
              <w:rPr>
                <w:rFonts w:ascii="Times New Roman" w:hAnsi="Times New Roman" w:cs="Times New Roman"/>
                <w:sz w:val="24"/>
                <w:szCs w:val="24"/>
              </w:rPr>
              <w:t>:</w:t>
            </w:r>
          </w:p>
          <w:p w:rsidR="00CD7339" w:rsidRPr="003C1B12" w:rsidRDefault="00CD7339" w:rsidP="00CD7339">
            <w:pPr>
              <w:pStyle w:val="Normal1"/>
              <w:numPr>
                <w:ilvl w:val="0"/>
                <w:numId w:val="42"/>
              </w:numPr>
              <w:jc w:val="both"/>
              <w:rPr>
                <w:rFonts w:ascii="Times New Roman" w:hAnsi="Times New Roman" w:cs="Times New Roman"/>
                <w:sz w:val="24"/>
                <w:szCs w:val="24"/>
              </w:rPr>
            </w:pPr>
            <w:r w:rsidRPr="003C1B12">
              <w:rPr>
                <w:rFonts w:ascii="Times New Roman" w:hAnsi="Times New Roman" w:cs="Times New Roman"/>
                <w:sz w:val="24"/>
                <w:szCs w:val="24"/>
              </w:rPr>
              <w:t xml:space="preserve">Komersants, kuru dibinājuši vairāki savstarpēji nesaistīti komersanti (var būt, un var arī nebūt KC dalībnieki); </w:t>
            </w:r>
          </w:p>
          <w:p w:rsidR="00CD7339" w:rsidRPr="003C1B12" w:rsidRDefault="00CD7339" w:rsidP="00CD7339">
            <w:pPr>
              <w:pStyle w:val="Normal1"/>
              <w:numPr>
                <w:ilvl w:val="0"/>
                <w:numId w:val="42"/>
              </w:numPr>
              <w:jc w:val="both"/>
              <w:rPr>
                <w:rFonts w:ascii="Times New Roman" w:hAnsi="Times New Roman" w:cs="Times New Roman"/>
                <w:sz w:val="24"/>
                <w:szCs w:val="24"/>
              </w:rPr>
            </w:pPr>
            <w:r w:rsidRPr="003C1B12">
              <w:rPr>
                <w:rFonts w:ascii="Times New Roman" w:hAnsi="Times New Roman" w:cs="Times New Roman"/>
                <w:sz w:val="24"/>
                <w:szCs w:val="24"/>
              </w:rPr>
              <w:t>Komersants, kuru dibinājuši viens vai vairāki komersanti un pētniecības organizācijas (var būt, un var arī nebūt KC dalībnieki)</w:t>
            </w:r>
          </w:p>
          <w:p w:rsidR="00CD7339" w:rsidRPr="003C1B12" w:rsidRDefault="00CD7339" w:rsidP="00CD7339">
            <w:pPr>
              <w:pStyle w:val="ListParagraph"/>
              <w:numPr>
                <w:ilvl w:val="0"/>
                <w:numId w:val="42"/>
              </w:numPr>
              <w:rPr>
                <w:rFonts w:ascii="Times New Roman" w:eastAsia="Calibri" w:hAnsi="Times New Roman" w:cs="Times New Roman"/>
                <w:color w:val="000000"/>
                <w:sz w:val="24"/>
                <w:szCs w:val="24"/>
                <w:lang w:eastAsia="lv-LV"/>
              </w:rPr>
            </w:pPr>
            <w:r w:rsidRPr="003C1B12">
              <w:rPr>
                <w:rFonts w:ascii="Times New Roman" w:eastAsia="Calibri" w:hAnsi="Times New Roman" w:cs="Times New Roman"/>
                <w:color w:val="000000"/>
                <w:sz w:val="24"/>
                <w:szCs w:val="24"/>
                <w:lang w:eastAsia="lv-LV"/>
              </w:rPr>
              <w:t>Komersants, kas ir KC projekta īstenotājs.</w:t>
            </w:r>
          </w:p>
          <w:p w:rsidR="001E5CFC" w:rsidRPr="003C1B12" w:rsidRDefault="00CD7339" w:rsidP="00CD7339">
            <w:pPr>
              <w:jc w:val="both"/>
              <w:rPr>
                <w:rFonts w:ascii="Times New Roman" w:hAnsi="Times New Roman" w:cs="Times New Roman"/>
                <w:color w:val="000000"/>
                <w:sz w:val="24"/>
                <w:szCs w:val="24"/>
              </w:rPr>
            </w:pPr>
            <w:r w:rsidRPr="003C1B12">
              <w:rPr>
                <w:rFonts w:ascii="Times New Roman" w:eastAsia="Calibri" w:hAnsi="Times New Roman" w:cs="Times New Roman"/>
                <w:color w:val="000000"/>
                <w:sz w:val="24"/>
                <w:szCs w:val="24"/>
                <w:lang w:eastAsia="lv-LV"/>
              </w:rPr>
              <w:t>Precīzāki finansējuma saņēmēja nosacījumi tiks izstrādāti, turpinot diskusijas ar industrijas pārstāvjiem un izvērtējot KC stratēģijās identificētās infrastruktūras attīstības vajadzības.</w:t>
            </w:r>
            <w:r w:rsidR="001E5CFC" w:rsidRPr="003C1B12">
              <w:rPr>
                <w:rFonts w:ascii="Times New Roman" w:hAnsi="Times New Roman" w:cs="Times New Roman"/>
                <w:sz w:val="24"/>
                <w:szCs w:val="24"/>
              </w:rPr>
              <w:t xml:space="preserve"> </w:t>
            </w:r>
          </w:p>
        </w:tc>
      </w:tr>
      <w:tr w:rsidR="000C5723" w:rsidRPr="003C1B12" w:rsidTr="000C5723">
        <w:tc>
          <w:tcPr>
            <w:tcW w:w="0" w:type="auto"/>
            <w:shd w:val="clear" w:color="auto" w:fill="FFFFFF"/>
            <w:tcMar>
              <w:top w:w="45" w:type="dxa"/>
              <w:left w:w="45" w:type="dxa"/>
              <w:bottom w:w="45" w:type="dxa"/>
              <w:right w:w="45" w:type="dxa"/>
            </w:tcMar>
            <w:vAlign w:val="center"/>
            <w:hideMark/>
          </w:tcPr>
          <w:p w:rsidR="000C5723" w:rsidRPr="003C1B12" w:rsidRDefault="000C5723" w:rsidP="000D166C">
            <w:pPr>
              <w:pStyle w:val="Normal1"/>
              <w:rPr>
                <w:rFonts w:ascii="Times New Roman" w:hAnsi="Times New Roman" w:cs="Times New Roman"/>
                <w:sz w:val="24"/>
              </w:rPr>
            </w:pPr>
            <w:r w:rsidRPr="003C1B12">
              <w:rPr>
                <w:rFonts w:ascii="Times New Roman" w:hAnsi="Times New Roman" w:cs="Times New Roman"/>
                <w:sz w:val="24"/>
              </w:rPr>
              <w:t xml:space="preserve">Finansējuma apjoms un  intensitāte </w:t>
            </w:r>
          </w:p>
        </w:tc>
        <w:tc>
          <w:tcPr>
            <w:tcW w:w="7014" w:type="dxa"/>
            <w:shd w:val="clear" w:color="auto" w:fill="FFFFFF"/>
            <w:tcMar>
              <w:top w:w="45" w:type="dxa"/>
              <w:left w:w="45" w:type="dxa"/>
              <w:bottom w:w="45" w:type="dxa"/>
              <w:right w:w="45" w:type="dxa"/>
            </w:tcMar>
            <w:vAlign w:val="center"/>
            <w:hideMark/>
          </w:tcPr>
          <w:p w:rsidR="00EF27E1" w:rsidRPr="003C1B12" w:rsidRDefault="000C5723" w:rsidP="000C5723">
            <w:pPr>
              <w:pStyle w:val="Normal1"/>
              <w:rPr>
                <w:rFonts w:ascii="Times New Roman" w:hAnsi="Times New Roman" w:cs="Times New Roman"/>
                <w:sz w:val="24"/>
                <w:szCs w:val="24"/>
              </w:rPr>
            </w:pPr>
            <w:r w:rsidRPr="003C1B12">
              <w:rPr>
                <w:rFonts w:ascii="Times New Roman" w:hAnsi="Times New Roman" w:cs="Times New Roman"/>
                <w:sz w:val="24"/>
              </w:rPr>
              <w:t>Maksimālā atbalsta intensitāte</w:t>
            </w:r>
            <w:r w:rsidRPr="003C1B12">
              <w:rPr>
                <w:rFonts w:ascii="Times New Roman" w:hAnsi="Times New Roman" w:cs="Times New Roman"/>
                <w:sz w:val="24"/>
                <w:szCs w:val="24"/>
              </w:rPr>
              <w:t xml:space="preserve"> 35% - 50% no attiecināmām izmaksām</w:t>
            </w:r>
          </w:p>
        </w:tc>
      </w:tr>
      <w:tr w:rsidR="000C5723" w:rsidRPr="003C1B12" w:rsidTr="000C5723">
        <w:tc>
          <w:tcPr>
            <w:tcW w:w="0" w:type="auto"/>
            <w:shd w:val="clear" w:color="auto" w:fill="FFFFFF"/>
            <w:tcMar>
              <w:top w:w="45" w:type="dxa"/>
              <w:left w:w="45" w:type="dxa"/>
              <w:bottom w:w="45" w:type="dxa"/>
              <w:right w:w="45" w:type="dxa"/>
            </w:tcMar>
            <w:vAlign w:val="center"/>
            <w:hideMark/>
          </w:tcPr>
          <w:p w:rsidR="000C5723" w:rsidRPr="003C1B12" w:rsidRDefault="000C5723" w:rsidP="000D166C">
            <w:pPr>
              <w:pStyle w:val="Normal1"/>
              <w:rPr>
                <w:rFonts w:ascii="Times New Roman" w:hAnsi="Times New Roman" w:cs="Times New Roman"/>
                <w:sz w:val="24"/>
              </w:rPr>
            </w:pPr>
            <w:r w:rsidRPr="003C1B12">
              <w:rPr>
                <w:rFonts w:ascii="Times New Roman" w:hAnsi="Times New Roman" w:cs="Times New Roman"/>
                <w:sz w:val="24"/>
              </w:rPr>
              <w:t>Atbalstāmās darbības</w:t>
            </w:r>
          </w:p>
        </w:tc>
        <w:tc>
          <w:tcPr>
            <w:tcW w:w="7014" w:type="dxa"/>
            <w:shd w:val="clear" w:color="auto" w:fill="FFFFFF"/>
            <w:tcMar>
              <w:top w:w="45" w:type="dxa"/>
              <w:left w:w="45" w:type="dxa"/>
              <w:bottom w:w="45" w:type="dxa"/>
              <w:right w:w="45" w:type="dxa"/>
            </w:tcMar>
            <w:vAlign w:val="center"/>
            <w:hideMark/>
          </w:tcPr>
          <w:p w:rsidR="000C5723" w:rsidRPr="003C1B12" w:rsidRDefault="00094990" w:rsidP="009D209C">
            <w:pPr>
              <w:pStyle w:val="ListParagraph"/>
              <w:numPr>
                <w:ilvl w:val="0"/>
                <w:numId w:val="22"/>
              </w:numPr>
              <w:spacing w:after="0" w:line="240" w:lineRule="auto"/>
              <w:ind w:left="357" w:hanging="357"/>
              <w:jc w:val="both"/>
              <w:rPr>
                <w:rFonts w:ascii="Times New Roman" w:hAnsi="Times New Roman" w:cs="Times New Roman"/>
                <w:sz w:val="24"/>
              </w:rPr>
            </w:pPr>
            <w:r w:rsidRPr="003C1B12">
              <w:rPr>
                <w:rFonts w:ascii="Times New Roman" w:hAnsi="Times New Roman" w:cs="Times New Roman"/>
                <w:sz w:val="24"/>
              </w:rPr>
              <w:t>Ēku un telpu renovācija, pielāgošana  un būvniecība</w:t>
            </w:r>
          </w:p>
          <w:p w:rsidR="00094990" w:rsidRPr="003C1B12" w:rsidRDefault="00094990" w:rsidP="009D209C">
            <w:pPr>
              <w:pStyle w:val="ListParagraph"/>
              <w:numPr>
                <w:ilvl w:val="0"/>
                <w:numId w:val="22"/>
              </w:numPr>
              <w:spacing w:after="0" w:line="240" w:lineRule="auto"/>
              <w:ind w:left="357" w:hanging="357"/>
              <w:jc w:val="both"/>
              <w:rPr>
                <w:rFonts w:ascii="Times New Roman" w:hAnsi="Times New Roman" w:cs="Times New Roman"/>
                <w:sz w:val="24"/>
              </w:rPr>
            </w:pPr>
            <w:r w:rsidRPr="003C1B12">
              <w:rPr>
                <w:rFonts w:ascii="Times New Roman" w:hAnsi="Times New Roman" w:cs="Times New Roman"/>
                <w:sz w:val="24"/>
              </w:rPr>
              <w:t>Pētniecības, testēšanas un eksperimentālās ražošanas iekārtu iegāde</w:t>
            </w:r>
          </w:p>
        </w:tc>
      </w:tr>
      <w:tr w:rsidR="000C5723" w:rsidRPr="003C1B12" w:rsidTr="000C5723">
        <w:tc>
          <w:tcPr>
            <w:tcW w:w="0" w:type="auto"/>
            <w:shd w:val="clear" w:color="auto" w:fill="FFFFFF"/>
            <w:tcMar>
              <w:top w:w="45" w:type="dxa"/>
              <w:left w:w="45" w:type="dxa"/>
              <w:bottom w:w="45" w:type="dxa"/>
              <w:right w:w="45" w:type="dxa"/>
            </w:tcMar>
            <w:vAlign w:val="center"/>
          </w:tcPr>
          <w:p w:rsidR="000C5723" w:rsidRPr="003C1B12" w:rsidRDefault="000C5723" w:rsidP="000D166C">
            <w:pPr>
              <w:pStyle w:val="Normal1"/>
              <w:rPr>
                <w:rFonts w:ascii="Times New Roman" w:hAnsi="Times New Roman" w:cs="Times New Roman"/>
                <w:sz w:val="24"/>
              </w:rPr>
            </w:pPr>
            <w:r w:rsidRPr="003C1B12">
              <w:rPr>
                <w:rFonts w:ascii="Times New Roman" w:hAnsi="Times New Roman" w:cs="Times New Roman"/>
                <w:sz w:val="24"/>
              </w:rPr>
              <w:t>Attiecināmās izmaksas</w:t>
            </w:r>
          </w:p>
        </w:tc>
        <w:tc>
          <w:tcPr>
            <w:tcW w:w="7014" w:type="dxa"/>
            <w:shd w:val="clear" w:color="auto" w:fill="FFFFFF"/>
            <w:tcMar>
              <w:top w:w="45" w:type="dxa"/>
              <w:left w:w="45" w:type="dxa"/>
              <w:bottom w:w="45" w:type="dxa"/>
              <w:right w:w="45" w:type="dxa"/>
            </w:tcMar>
            <w:vAlign w:val="center"/>
          </w:tcPr>
          <w:p w:rsidR="000C5723" w:rsidRPr="003C1B12" w:rsidRDefault="00094990" w:rsidP="009D209C">
            <w:pPr>
              <w:pStyle w:val="Normal1"/>
              <w:numPr>
                <w:ilvl w:val="0"/>
                <w:numId w:val="3"/>
              </w:numPr>
              <w:rPr>
                <w:rFonts w:ascii="Times New Roman" w:hAnsi="Times New Roman" w:cs="Times New Roman"/>
                <w:sz w:val="24"/>
              </w:rPr>
            </w:pPr>
            <w:r w:rsidRPr="003C1B12">
              <w:rPr>
                <w:rFonts w:ascii="Times New Roman" w:hAnsi="Times New Roman" w:cs="Times New Roman"/>
                <w:sz w:val="24"/>
                <w:szCs w:val="24"/>
              </w:rPr>
              <w:t>Sākotnējie ieguldījumi pamatlīdzekļos</w:t>
            </w:r>
            <w:r w:rsidR="006E2791" w:rsidRPr="003C1B12">
              <w:rPr>
                <w:rFonts w:ascii="Times New Roman" w:hAnsi="Times New Roman" w:cs="Times New Roman"/>
                <w:sz w:val="24"/>
                <w:szCs w:val="24"/>
              </w:rPr>
              <w:t xml:space="preserve"> – pētniecības un attīstības iekārtās</w:t>
            </w:r>
          </w:p>
          <w:p w:rsidR="007B1DC1" w:rsidRPr="003C1B12" w:rsidRDefault="007B1DC1" w:rsidP="009D209C">
            <w:pPr>
              <w:pStyle w:val="Normal1"/>
              <w:numPr>
                <w:ilvl w:val="0"/>
                <w:numId w:val="3"/>
              </w:numPr>
              <w:rPr>
                <w:rFonts w:ascii="Times New Roman" w:hAnsi="Times New Roman" w:cs="Times New Roman"/>
                <w:sz w:val="24"/>
              </w:rPr>
            </w:pPr>
            <w:r w:rsidRPr="003C1B12">
              <w:rPr>
                <w:rFonts w:ascii="Times New Roman" w:hAnsi="Times New Roman" w:cs="Times New Roman"/>
                <w:sz w:val="24"/>
                <w:szCs w:val="24"/>
              </w:rPr>
              <w:t>Renovācija un būvniecība</w:t>
            </w:r>
          </w:p>
        </w:tc>
      </w:tr>
      <w:tr w:rsidR="000C5723" w:rsidRPr="003C1B12" w:rsidTr="000C5723">
        <w:tc>
          <w:tcPr>
            <w:tcW w:w="0" w:type="auto"/>
            <w:shd w:val="clear" w:color="auto" w:fill="FFFFFF"/>
            <w:tcMar>
              <w:top w:w="45" w:type="dxa"/>
              <w:left w:w="45" w:type="dxa"/>
              <w:bottom w:w="45" w:type="dxa"/>
              <w:right w:w="45" w:type="dxa"/>
            </w:tcMar>
            <w:vAlign w:val="center"/>
          </w:tcPr>
          <w:p w:rsidR="000C5723" w:rsidRPr="003C1B12" w:rsidRDefault="000C5723" w:rsidP="000D166C">
            <w:pPr>
              <w:pStyle w:val="Normal1"/>
              <w:rPr>
                <w:rFonts w:ascii="Times New Roman" w:hAnsi="Times New Roman" w:cs="Times New Roman"/>
                <w:sz w:val="24"/>
              </w:rPr>
            </w:pPr>
            <w:r w:rsidRPr="003C1B12">
              <w:rPr>
                <w:rFonts w:ascii="Times New Roman" w:hAnsi="Times New Roman" w:cs="Times New Roman"/>
                <w:sz w:val="24"/>
                <w:szCs w:val="24"/>
              </w:rPr>
              <w:t>Atbalsta periods</w:t>
            </w:r>
          </w:p>
        </w:tc>
        <w:tc>
          <w:tcPr>
            <w:tcW w:w="7014" w:type="dxa"/>
            <w:shd w:val="clear" w:color="auto" w:fill="FFFFFF"/>
            <w:tcMar>
              <w:top w:w="45" w:type="dxa"/>
              <w:left w:w="45" w:type="dxa"/>
              <w:bottom w:w="45" w:type="dxa"/>
              <w:right w:w="45" w:type="dxa"/>
            </w:tcMar>
            <w:vAlign w:val="center"/>
          </w:tcPr>
          <w:p w:rsidR="000C5723" w:rsidRPr="003C1B12" w:rsidRDefault="000C5723" w:rsidP="00094990">
            <w:pPr>
              <w:spacing w:after="0" w:line="240" w:lineRule="auto"/>
              <w:jc w:val="both"/>
              <w:rPr>
                <w:rFonts w:ascii="Times New Roman" w:hAnsi="Times New Roman" w:cs="Times New Roman"/>
                <w:color w:val="000000" w:themeColor="text1"/>
                <w:sz w:val="24"/>
                <w:szCs w:val="24"/>
              </w:rPr>
            </w:pPr>
            <w:r w:rsidRPr="003C1B12">
              <w:rPr>
                <w:rFonts w:ascii="Times New Roman" w:eastAsia="Calibri" w:hAnsi="Times New Roman" w:cs="Times New Roman"/>
                <w:sz w:val="24"/>
                <w:szCs w:val="24"/>
              </w:rPr>
              <w:t>Projekta ilgumu nosaka projekta pieteicējs atbilstoši izstrādātajam projekta īstenošanas plānam, bet ne ilgāk kā visas programmas ieviešanas termiņu.</w:t>
            </w:r>
          </w:p>
        </w:tc>
      </w:tr>
      <w:tr w:rsidR="00094990" w:rsidRPr="003C1B12" w:rsidTr="000C5723">
        <w:tc>
          <w:tcPr>
            <w:tcW w:w="0" w:type="auto"/>
            <w:shd w:val="clear" w:color="auto" w:fill="FFFFFF"/>
            <w:tcMar>
              <w:top w:w="45" w:type="dxa"/>
              <w:left w:w="45" w:type="dxa"/>
              <w:bottom w:w="45" w:type="dxa"/>
              <w:right w:w="45" w:type="dxa"/>
            </w:tcMar>
            <w:vAlign w:val="center"/>
          </w:tcPr>
          <w:p w:rsidR="00094990" w:rsidRPr="003C1B12" w:rsidRDefault="00094990" w:rsidP="000D166C">
            <w:pPr>
              <w:pStyle w:val="Normal1"/>
              <w:rPr>
                <w:rFonts w:ascii="Times New Roman" w:hAnsi="Times New Roman" w:cs="Times New Roman"/>
                <w:sz w:val="24"/>
                <w:szCs w:val="24"/>
              </w:rPr>
            </w:pPr>
            <w:r w:rsidRPr="003C1B12">
              <w:rPr>
                <w:rFonts w:ascii="Times New Roman" w:hAnsi="Times New Roman" w:cs="Times New Roman"/>
                <w:sz w:val="24"/>
                <w:szCs w:val="24"/>
              </w:rPr>
              <w:t>Atlases pamatprincipi</w:t>
            </w:r>
          </w:p>
        </w:tc>
        <w:tc>
          <w:tcPr>
            <w:tcW w:w="7014" w:type="dxa"/>
            <w:shd w:val="clear" w:color="auto" w:fill="FFFFFF"/>
            <w:tcMar>
              <w:top w:w="45" w:type="dxa"/>
              <w:left w:w="45" w:type="dxa"/>
              <w:bottom w:w="45" w:type="dxa"/>
              <w:right w:w="45" w:type="dxa"/>
            </w:tcMar>
            <w:vAlign w:val="center"/>
          </w:tcPr>
          <w:p w:rsidR="00094990" w:rsidRPr="003C1B12" w:rsidRDefault="00094990" w:rsidP="005D2D54">
            <w:pPr>
              <w:spacing w:after="0" w:line="240" w:lineRule="auto"/>
              <w:jc w:val="both"/>
              <w:rPr>
                <w:rFonts w:ascii="Times New Roman" w:eastAsia="Calibri" w:hAnsi="Times New Roman" w:cs="Times New Roman"/>
                <w:sz w:val="24"/>
                <w:szCs w:val="24"/>
              </w:rPr>
            </w:pPr>
            <w:r w:rsidRPr="003C1B12">
              <w:rPr>
                <w:rFonts w:ascii="Times New Roman" w:eastAsia="Calibri" w:hAnsi="Times New Roman" w:cs="Times New Roman"/>
                <w:sz w:val="24"/>
                <w:szCs w:val="24"/>
              </w:rPr>
              <w:t>Atbilstības nosacījumi:</w:t>
            </w:r>
          </w:p>
          <w:p w:rsidR="00094990" w:rsidRPr="003C1B12" w:rsidRDefault="00094990" w:rsidP="009D209C">
            <w:pPr>
              <w:numPr>
                <w:ilvl w:val="0"/>
                <w:numId w:val="28"/>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Biznesa plāns</w:t>
            </w:r>
            <w:r w:rsidR="003234A2" w:rsidRPr="003C1B12">
              <w:rPr>
                <w:rFonts w:ascii="Times New Roman" w:hAnsi="Times New Roman" w:cs="Times New Roman"/>
                <w:sz w:val="24"/>
                <w:szCs w:val="24"/>
              </w:rPr>
              <w:t>,</w:t>
            </w:r>
            <w:r w:rsidRPr="003C1B12">
              <w:rPr>
                <w:rFonts w:ascii="Times New Roman" w:hAnsi="Times New Roman" w:cs="Times New Roman"/>
                <w:sz w:val="24"/>
                <w:szCs w:val="24"/>
              </w:rPr>
              <w:t xml:space="preserve"> kas pamato infrastruktūras darbības ilgtspēju ilgtermiņā </w:t>
            </w:r>
          </w:p>
          <w:p w:rsidR="00094990" w:rsidRPr="003C1B12" w:rsidRDefault="00094990" w:rsidP="009D209C">
            <w:pPr>
              <w:pStyle w:val="ListParagraph"/>
              <w:numPr>
                <w:ilvl w:val="0"/>
                <w:numId w:val="28"/>
              </w:numPr>
              <w:spacing w:after="0" w:line="240" w:lineRule="auto"/>
              <w:jc w:val="both"/>
              <w:rPr>
                <w:rFonts w:ascii="Times New Roman" w:eastAsia="Calibri" w:hAnsi="Times New Roman" w:cs="Times New Roman"/>
                <w:sz w:val="24"/>
                <w:szCs w:val="24"/>
              </w:rPr>
            </w:pPr>
            <w:r w:rsidRPr="003C1B12">
              <w:rPr>
                <w:rFonts w:ascii="Times New Roman" w:hAnsi="Times New Roman" w:cs="Times New Roman"/>
                <w:sz w:val="24"/>
                <w:szCs w:val="24"/>
              </w:rPr>
              <w:t>Piekļuve infrastruktūrai/ ar infrastruktūru sniegtiem pētniecības pakalpojumiem tiks nodrošināta vairākiem lietotājiem</w:t>
            </w:r>
          </w:p>
          <w:p w:rsidR="00094990" w:rsidRPr="003C1B12" w:rsidRDefault="00094990" w:rsidP="009D209C">
            <w:pPr>
              <w:numPr>
                <w:ilvl w:val="0"/>
                <w:numId w:val="28"/>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Par infrastruktūras izmantošanu pieprasītajai cenai jāatbilst tirgus cenai</w:t>
            </w:r>
          </w:p>
          <w:p w:rsidR="00094990" w:rsidRPr="003C1B12" w:rsidRDefault="00094990" w:rsidP="009D209C">
            <w:pPr>
              <w:numPr>
                <w:ilvl w:val="0"/>
                <w:numId w:val="28"/>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 xml:space="preserve">Uzņēmumiem, kuri finansējuši vismaz 10% no infrastruktūras izveides, var piešķirt piekļuves tiesības ar izdevīgākiem nosacījumiem </w:t>
            </w:r>
          </w:p>
          <w:p w:rsidR="00094990" w:rsidRPr="003C1B12" w:rsidRDefault="00094990" w:rsidP="009D209C">
            <w:pPr>
              <w:numPr>
                <w:ilvl w:val="0"/>
                <w:numId w:val="28"/>
              </w:numPr>
              <w:spacing w:after="0" w:line="240" w:lineRule="auto"/>
              <w:jc w:val="both"/>
              <w:rPr>
                <w:rFonts w:ascii="Times New Roman" w:hAnsi="Times New Roman" w:cs="Times New Roman"/>
                <w:sz w:val="24"/>
                <w:szCs w:val="24"/>
              </w:rPr>
            </w:pPr>
            <w:r w:rsidRPr="003C1B12">
              <w:rPr>
                <w:rFonts w:ascii="Times New Roman" w:hAnsi="Times New Roman" w:cs="Times New Roman"/>
                <w:sz w:val="24"/>
                <w:szCs w:val="24"/>
              </w:rPr>
              <w:t>Ja infrastruktūras ietvaros veic gan saimniecisko, gan nesaimniecisko darbību, izmaksas un ieņēmumus uzskaita atsevišķi</w:t>
            </w:r>
          </w:p>
          <w:p w:rsidR="00094990" w:rsidRPr="003C1B12" w:rsidRDefault="00094990" w:rsidP="005D2D54">
            <w:pPr>
              <w:spacing w:after="0" w:line="240" w:lineRule="auto"/>
              <w:jc w:val="both"/>
              <w:rPr>
                <w:rFonts w:ascii="Times New Roman" w:eastAsia="Calibri" w:hAnsi="Times New Roman" w:cs="Times New Roman"/>
                <w:sz w:val="24"/>
                <w:szCs w:val="24"/>
              </w:rPr>
            </w:pPr>
          </w:p>
          <w:p w:rsidR="00094990" w:rsidRPr="003C1B12" w:rsidRDefault="00094990" w:rsidP="005D2D54">
            <w:pPr>
              <w:spacing w:after="0" w:line="240" w:lineRule="auto"/>
              <w:jc w:val="both"/>
              <w:rPr>
                <w:rFonts w:ascii="Times New Roman" w:eastAsia="Calibri" w:hAnsi="Times New Roman" w:cs="Times New Roman"/>
                <w:sz w:val="24"/>
                <w:szCs w:val="24"/>
              </w:rPr>
            </w:pPr>
            <w:r w:rsidRPr="003C1B12">
              <w:rPr>
                <w:rFonts w:ascii="Times New Roman" w:eastAsia="Calibri" w:hAnsi="Times New Roman" w:cs="Times New Roman"/>
                <w:sz w:val="24"/>
                <w:szCs w:val="24"/>
              </w:rPr>
              <w:t>Atlasē prioritāri tiek atbalstīti projekti, kas:</w:t>
            </w:r>
          </w:p>
          <w:p w:rsidR="00094990" w:rsidRPr="003C1B12" w:rsidRDefault="00094990" w:rsidP="009D209C">
            <w:pPr>
              <w:pStyle w:val="ListParagraph"/>
              <w:numPr>
                <w:ilvl w:val="0"/>
                <w:numId w:val="27"/>
              </w:numPr>
              <w:spacing w:after="0" w:line="240" w:lineRule="auto"/>
              <w:jc w:val="both"/>
              <w:rPr>
                <w:rFonts w:ascii="Times New Roman" w:eastAsia="Calibri" w:hAnsi="Times New Roman" w:cs="Times New Roman"/>
                <w:sz w:val="24"/>
                <w:szCs w:val="24"/>
              </w:rPr>
            </w:pPr>
            <w:r w:rsidRPr="003C1B12">
              <w:rPr>
                <w:rFonts w:ascii="Times New Roman" w:eastAsia="Calibri" w:hAnsi="Times New Roman" w:cs="Times New Roman"/>
                <w:sz w:val="24"/>
                <w:szCs w:val="24"/>
              </w:rPr>
              <w:t>Paredz attīstīt pētniecības un produktu izstrādes pakalpojumu viedās specializācijas jomās;</w:t>
            </w:r>
          </w:p>
          <w:p w:rsidR="00094990" w:rsidRPr="003C1B12" w:rsidRDefault="00367BAE" w:rsidP="009D209C">
            <w:pPr>
              <w:pStyle w:val="ListParagraph"/>
              <w:numPr>
                <w:ilvl w:val="0"/>
                <w:numId w:val="27"/>
              </w:numPr>
              <w:spacing w:after="0" w:line="240" w:lineRule="auto"/>
              <w:jc w:val="both"/>
              <w:rPr>
                <w:rFonts w:ascii="Times New Roman" w:eastAsia="Calibri" w:hAnsi="Times New Roman" w:cs="Times New Roman"/>
                <w:sz w:val="24"/>
                <w:szCs w:val="24"/>
              </w:rPr>
            </w:pPr>
            <w:r w:rsidRPr="003C1B12">
              <w:rPr>
                <w:rFonts w:ascii="Times New Roman" w:eastAsia="Calibri" w:hAnsi="Times New Roman" w:cs="Times New Roman"/>
                <w:sz w:val="24"/>
                <w:szCs w:val="24"/>
              </w:rPr>
              <w:t xml:space="preserve">atbilst </w:t>
            </w:r>
            <w:r w:rsidR="007B5BD9" w:rsidRPr="003C1B12">
              <w:rPr>
                <w:rFonts w:ascii="Times New Roman" w:eastAsia="Calibri" w:hAnsi="Times New Roman" w:cs="Times New Roman"/>
                <w:sz w:val="24"/>
                <w:szCs w:val="24"/>
              </w:rPr>
              <w:t>KC</w:t>
            </w:r>
            <w:r w:rsidR="00094990" w:rsidRPr="003C1B12">
              <w:rPr>
                <w:rFonts w:ascii="Times New Roman" w:eastAsia="Calibri" w:hAnsi="Times New Roman" w:cs="Times New Roman"/>
                <w:sz w:val="24"/>
                <w:szCs w:val="24"/>
              </w:rPr>
              <w:t xml:space="preserve"> </w:t>
            </w:r>
            <w:r w:rsidR="008A367A" w:rsidRPr="003C1B12">
              <w:rPr>
                <w:rFonts w:ascii="Times New Roman" w:eastAsia="Calibri" w:hAnsi="Times New Roman" w:cs="Times New Roman"/>
                <w:sz w:val="24"/>
                <w:szCs w:val="24"/>
              </w:rPr>
              <w:t xml:space="preserve">attīstības </w:t>
            </w:r>
            <w:r w:rsidR="00094990" w:rsidRPr="003C1B12">
              <w:rPr>
                <w:rFonts w:ascii="Times New Roman" w:eastAsia="Calibri" w:hAnsi="Times New Roman" w:cs="Times New Roman"/>
                <w:sz w:val="24"/>
                <w:szCs w:val="24"/>
              </w:rPr>
              <w:t>stratēģija</w:t>
            </w:r>
            <w:r w:rsidRPr="003C1B12">
              <w:rPr>
                <w:rFonts w:ascii="Times New Roman" w:eastAsia="Calibri" w:hAnsi="Times New Roman" w:cs="Times New Roman"/>
                <w:sz w:val="24"/>
                <w:szCs w:val="24"/>
              </w:rPr>
              <w:t>i</w:t>
            </w:r>
            <w:r w:rsidR="00094990" w:rsidRPr="003C1B12">
              <w:rPr>
                <w:rFonts w:ascii="Times New Roman" w:eastAsia="Calibri" w:hAnsi="Times New Roman" w:cs="Times New Roman"/>
                <w:sz w:val="24"/>
                <w:szCs w:val="24"/>
              </w:rPr>
              <w:t>;</w:t>
            </w:r>
          </w:p>
          <w:p w:rsidR="00094990" w:rsidRPr="003C1B12" w:rsidRDefault="00094990" w:rsidP="009D209C">
            <w:pPr>
              <w:pStyle w:val="ListParagraph"/>
              <w:numPr>
                <w:ilvl w:val="0"/>
                <w:numId w:val="27"/>
              </w:numPr>
              <w:spacing w:after="0" w:line="240" w:lineRule="auto"/>
              <w:jc w:val="both"/>
              <w:rPr>
                <w:rFonts w:ascii="Times New Roman" w:eastAsia="Calibri" w:hAnsi="Times New Roman" w:cs="Times New Roman"/>
                <w:sz w:val="24"/>
                <w:szCs w:val="24"/>
              </w:rPr>
            </w:pPr>
            <w:r w:rsidRPr="003C1B12">
              <w:rPr>
                <w:rFonts w:ascii="Times New Roman" w:eastAsia="Calibri" w:hAnsi="Times New Roman" w:cs="Times New Roman"/>
                <w:sz w:val="24"/>
                <w:szCs w:val="24"/>
              </w:rPr>
              <w:t xml:space="preserve">Paredz pētniecības pakalpojumu eksportu; </w:t>
            </w:r>
          </w:p>
          <w:p w:rsidR="00094990" w:rsidRPr="003C1B12" w:rsidRDefault="00094990" w:rsidP="009D209C">
            <w:pPr>
              <w:pStyle w:val="ListParagraph"/>
              <w:numPr>
                <w:ilvl w:val="0"/>
                <w:numId w:val="27"/>
              </w:numPr>
              <w:spacing w:after="0" w:line="240" w:lineRule="auto"/>
              <w:jc w:val="both"/>
              <w:rPr>
                <w:rFonts w:ascii="Times New Roman" w:eastAsia="Calibri" w:hAnsi="Times New Roman" w:cs="Times New Roman"/>
                <w:sz w:val="24"/>
                <w:szCs w:val="24"/>
              </w:rPr>
            </w:pPr>
            <w:r w:rsidRPr="003C1B12">
              <w:rPr>
                <w:rFonts w:ascii="Times New Roman" w:eastAsia="Calibri" w:hAnsi="Times New Roman" w:cs="Times New Roman"/>
                <w:sz w:val="24"/>
                <w:szCs w:val="24"/>
              </w:rPr>
              <w:t>Augstāki ekonomiskās atdeves rādītāji.</w:t>
            </w:r>
          </w:p>
          <w:p w:rsidR="00367BAE" w:rsidRPr="003C1B12" w:rsidRDefault="00367BAE" w:rsidP="00BA318B">
            <w:pPr>
              <w:spacing w:after="0" w:line="240" w:lineRule="auto"/>
              <w:jc w:val="both"/>
              <w:rPr>
                <w:rFonts w:ascii="Times New Roman" w:eastAsia="Calibri" w:hAnsi="Times New Roman" w:cs="Times New Roman"/>
                <w:sz w:val="24"/>
                <w:szCs w:val="24"/>
              </w:rPr>
            </w:pPr>
          </w:p>
        </w:tc>
      </w:tr>
      <w:tr w:rsidR="00F34CD7" w:rsidRPr="003C1B12" w:rsidTr="005D2D54">
        <w:trPr>
          <w:trHeight w:val="1149"/>
        </w:trPr>
        <w:tc>
          <w:tcPr>
            <w:tcW w:w="0" w:type="auto"/>
            <w:shd w:val="clear" w:color="auto" w:fill="FFFFFF"/>
            <w:tcMar>
              <w:top w:w="45" w:type="dxa"/>
              <w:left w:w="45" w:type="dxa"/>
              <w:bottom w:w="45" w:type="dxa"/>
              <w:right w:w="45" w:type="dxa"/>
            </w:tcMar>
            <w:vAlign w:val="center"/>
          </w:tcPr>
          <w:p w:rsidR="00F34CD7" w:rsidRPr="003C1B12" w:rsidRDefault="00F34CD7" w:rsidP="000D166C">
            <w:pPr>
              <w:pStyle w:val="Normal1"/>
              <w:rPr>
                <w:rFonts w:ascii="Times New Roman" w:hAnsi="Times New Roman" w:cs="Times New Roman"/>
                <w:sz w:val="24"/>
                <w:szCs w:val="24"/>
              </w:rPr>
            </w:pPr>
            <w:r w:rsidRPr="003C1B12">
              <w:rPr>
                <w:rFonts w:ascii="Times New Roman" w:hAnsi="Times New Roman" w:cs="Times New Roman"/>
                <w:sz w:val="24"/>
                <w:szCs w:val="24"/>
              </w:rPr>
              <w:lastRenderedPageBreak/>
              <w:t>Ieviešana</w:t>
            </w:r>
          </w:p>
        </w:tc>
        <w:tc>
          <w:tcPr>
            <w:tcW w:w="7014" w:type="dxa"/>
            <w:shd w:val="clear" w:color="auto" w:fill="FFFFFF"/>
            <w:tcMar>
              <w:top w:w="45" w:type="dxa"/>
              <w:left w:w="45" w:type="dxa"/>
              <w:bottom w:w="45" w:type="dxa"/>
              <w:right w:w="45" w:type="dxa"/>
            </w:tcMar>
            <w:vAlign w:val="center"/>
          </w:tcPr>
          <w:p w:rsidR="00F34CD7" w:rsidRPr="003C1B12" w:rsidRDefault="00F34CD7" w:rsidP="00640D08">
            <w:pPr>
              <w:spacing w:after="0" w:line="240" w:lineRule="auto"/>
              <w:jc w:val="both"/>
              <w:rPr>
                <w:rFonts w:ascii="Times New Roman" w:eastAsia="Calibri" w:hAnsi="Times New Roman" w:cs="Times New Roman"/>
                <w:sz w:val="24"/>
                <w:szCs w:val="24"/>
              </w:rPr>
            </w:pPr>
            <w:r w:rsidRPr="003C1B12">
              <w:rPr>
                <w:rFonts w:ascii="Times New Roman" w:hAnsi="Times New Roman" w:cs="Times New Roman"/>
                <w:color w:val="000000" w:themeColor="text1"/>
                <w:sz w:val="24"/>
                <w:szCs w:val="24"/>
              </w:rPr>
              <w:t xml:space="preserve">CFLA atklāta projektu iesniegumu atlases ietvaros atlasa projektus. </w:t>
            </w:r>
            <w:r w:rsidRPr="003C1B12">
              <w:rPr>
                <w:rFonts w:ascii="Times New Roman" w:eastAsia="Calibri" w:hAnsi="Times New Roman" w:cs="Times New Roman"/>
                <w:bCs/>
                <w:sz w:val="24"/>
                <w:szCs w:val="24"/>
              </w:rPr>
              <w:t>Projektu ārējai zinātniskajai ekspertīzei CFLA piesaista EK ekspertu datu bāzes ekspertus, kas novērtē projekta kvalitāti, ietekmi un iespējas realizēt.</w:t>
            </w:r>
          </w:p>
        </w:tc>
      </w:tr>
      <w:tr w:rsidR="005D2D54" w:rsidRPr="003C1B12" w:rsidTr="005D2D54">
        <w:tc>
          <w:tcPr>
            <w:tcW w:w="0" w:type="auto"/>
            <w:shd w:val="clear" w:color="auto" w:fill="FFFFFF"/>
            <w:tcMar>
              <w:top w:w="45" w:type="dxa"/>
              <w:left w:w="45" w:type="dxa"/>
              <w:bottom w:w="45" w:type="dxa"/>
              <w:right w:w="45" w:type="dxa"/>
            </w:tcMar>
            <w:vAlign w:val="center"/>
          </w:tcPr>
          <w:p w:rsidR="005D2D54" w:rsidRPr="003C1B12" w:rsidRDefault="005D2D54" w:rsidP="005D2D54">
            <w:pPr>
              <w:pStyle w:val="Normal1"/>
              <w:rPr>
                <w:rFonts w:ascii="Times New Roman" w:hAnsi="Times New Roman" w:cs="Times New Roman"/>
                <w:sz w:val="24"/>
                <w:szCs w:val="24"/>
              </w:rPr>
            </w:pPr>
            <w:r w:rsidRPr="003C1B12">
              <w:rPr>
                <w:rFonts w:ascii="Times New Roman" w:hAnsi="Times New Roman" w:cs="Times New Roman"/>
                <w:sz w:val="24"/>
                <w:szCs w:val="24"/>
              </w:rPr>
              <w:t>Komercdarbības atbalsts</w:t>
            </w:r>
          </w:p>
        </w:tc>
        <w:tc>
          <w:tcPr>
            <w:tcW w:w="7014" w:type="dxa"/>
            <w:shd w:val="clear" w:color="auto" w:fill="FFFFFF"/>
            <w:tcMar>
              <w:top w:w="45" w:type="dxa"/>
              <w:left w:w="45" w:type="dxa"/>
              <w:bottom w:w="45" w:type="dxa"/>
              <w:right w:w="45" w:type="dxa"/>
            </w:tcMar>
            <w:vAlign w:val="center"/>
          </w:tcPr>
          <w:p w:rsidR="005D2D54" w:rsidRPr="003C1B12" w:rsidRDefault="005D2D54" w:rsidP="005D2D54">
            <w:pPr>
              <w:spacing w:after="0" w:line="240" w:lineRule="auto"/>
              <w:jc w:val="both"/>
              <w:rPr>
                <w:rFonts w:ascii="Times New Roman" w:eastAsia="Calibri" w:hAnsi="Times New Roman" w:cs="Times New Roman"/>
                <w:sz w:val="24"/>
                <w:szCs w:val="24"/>
                <w:lang w:eastAsia="en-US"/>
              </w:rPr>
            </w:pPr>
            <w:r w:rsidRPr="003C1B12">
              <w:rPr>
                <w:rFonts w:ascii="Times New Roman" w:eastAsia="Calibri" w:hAnsi="Times New Roman" w:cs="Times New Roman"/>
                <w:sz w:val="24"/>
                <w:szCs w:val="24"/>
                <w:lang w:eastAsia="en-US"/>
              </w:rPr>
              <w:t>Atbalstā  piešķiršanā tiek piemērota Komisijas Regula Nr.651/2014</w:t>
            </w:r>
          </w:p>
          <w:p w:rsidR="005D2D54" w:rsidRPr="003C1B12" w:rsidRDefault="005D2D54" w:rsidP="005D2D54">
            <w:pPr>
              <w:spacing w:after="0" w:line="240" w:lineRule="auto"/>
              <w:jc w:val="both"/>
              <w:rPr>
                <w:rFonts w:ascii="Times New Roman" w:hAnsi="Times New Roman" w:cs="Times New Roman"/>
                <w:color w:val="000000" w:themeColor="text1"/>
                <w:sz w:val="24"/>
                <w:szCs w:val="24"/>
              </w:rPr>
            </w:pPr>
          </w:p>
        </w:tc>
      </w:tr>
    </w:tbl>
    <w:p w:rsidR="000C5723" w:rsidRPr="003C1B12" w:rsidRDefault="000C5723" w:rsidP="000C5723">
      <w:pPr>
        <w:ind w:firstLine="567"/>
        <w:jc w:val="both"/>
        <w:rPr>
          <w:rFonts w:ascii="Times New Roman" w:hAnsi="Times New Roman" w:cs="Times New Roman"/>
          <w:sz w:val="24"/>
          <w:szCs w:val="24"/>
        </w:rPr>
      </w:pPr>
    </w:p>
    <w:p w:rsidR="008B64BB" w:rsidRPr="003C1B12" w:rsidRDefault="008B64BB" w:rsidP="000C5723">
      <w:pPr>
        <w:ind w:firstLine="567"/>
        <w:jc w:val="both"/>
        <w:rPr>
          <w:rFonts w:ascii="Times New Roman" w:hAnsi="Times New Roman" w:cs="Times New Roman"/>
          <w:sz w:val="24"/>
          <w:szCs w:val="24"/>
        </w:rPr>
      </w:pPr>
    </w:p>
    <w:p w:rsidR="000C4557" w:rsidRPr="003C1B12" w:rsidRDefault="000C4557" w:rsidP="000C4557">
      <w:pPr>
        <w:spacing w:after="0" w:line="240" w:lineRule="auto"/>
        <w:jc w:val="both"/>
        <w:rPr>
          <w:rFonts w:ascii="Times New Roman" w:hAnsi="Times New Roman" w:cs="Times New Roman"/>
          <w:sz w:val="24"/>
        </w:rPr>
      </w:pPr>
    </w:p>
    <w:p w:rsidR="000C4557" w:rsidRPr="003C1B12" w:rsidRDefault="000C4557" w:rsidP="000C4557">
      <w:pPr>
        <w:spacing w:after="0" w:line="240" w:lineRule="auto"/>
        <w:ind w:firstLine="567"/>
        <w:jc w:val="both"/>
        <w:outlineLvl w:val="0"/>
        <w:rPr>
          <w:rFonts w:ascii="Times New Roman" w:hAnsi="Times New Roman" w:cs="Times New Roman"/>
          <w:sz w:val="24"/>
          <w:szCs w:val="24"/>
        </w:rPr>
      </w:pPr>
      <w:r w:rsidRPr="003C1B12">
        <w:rPr>
          <w:rFonts w:ascii="Times New Roman" w:hAnsi="Times New Roman" w:cs="Times New Roman"/>
          <w:sz w:val="24"/>
          <w:szCs w:val="24"/>
        </w:rPr>
        <w:br w:type="page"/>
      </w:r>
    </w:p>
    <w:p w:rsidR="000C4557" w:rsidRPr="003C1B12" w:rsidRDefault="000C4557" w:rsidP="00C57F70">
      <w:pPr>
        <w:pStyle w:val="Heading1"/>
        <w:spacing w:before="0" w:line="240" w:lineRule="auto"/>
        <w:rPr>
          <w:rFonts w:ascii="Times New Roman" w:hAnsi="Times New Roman" w:cs="Times New Roman"/>
          <w:color w:val="31849B" w:themeColor="accent5" w:themeShade="BF"/>
        </w:rPr>
      </w:pPr>
      <w:bookmarkStart w:id="37" w:name="_Toc427646477"/>
      <w:bookmarkStart w:id="38" w:name="_Toc427646563"/>
      <w:r w:rsidRPr="003C1B12">
        <w:rPr>
          <w:rFonts w:ascii="Times New Roman" w:hAnsi="Times New Roman" w:cs="Times New Roman"/>
          <w:color w:val="31849B" w:themeColor="accent5" w:themeShade="BF"/>
        </w:rPr>
        <w:lastRenderedPageBreak/>
        <w:t xml:space="preserve">4. </w:t>
      </w:r>
      <w:r w:rsidR="00CB04D3" w:rsidRPr="003C1B12">
        <w:rPr>
          <w:rFonts w:ascii="Times New Roman" w:hAnsi="Times New Roman" w:cs="Times New Roman"/>
          <w:color w:val="31849B" w:themeColor="accent5" w:themeShade="BF"/>
        </w:rPr>
        <w:t>R</w:t>
      </w:r>
      <w:r w:rsidR="002B0764" w:rsidRPr="003C1B12">
        <w:rPr>
          <w:rFonts w:ascii="Times New Roman" w:hAnsi="Times New Roman" w:cs="Times New Roman"/>
          <w:color w:val="31849B" w:themeColor="accent5" w:themeShade="BF"/>
        </w:rPr>
        <w:t>ezultāt</w:t>
      </w:r>
      <w:r w:rsidR="002A2A63" w:rsidRPr="003C1B12">
        <w:rPr>
          <w:rFonts w:ascii="Times New Roman" w:hAnsi="Times New Roman" w:cs="Times New Roman"/>
          <w:color w:val="31849B" w:themeColor="accent5" w:themeShade="BF"/>
        </w:rPr>
        <w:t>a</w:t>
      </w:r>
      <w:r w:rsidR="002B0764" w:rsidRPr="003C1B12">
        <w:rPr>
          <w:rFonts w:ascii="Times New Roman" w:hAnsi="Times New Roman" w:cs="Times New Roman"/>
          <w:color w:val="31849B" w:themeColor="accent5" w:themeShade="BF"/>
        </w:rPr>
        <w:t xml:space="preserve"> un </w:t>
      </w:r>
      <w:r w:rsidR="00745AD5" w:rsidRPr="003C1B12">
        <w:rPr>
          <w:rFonts w:ascii="Times New Roman" w:hAnsi="Times New Roman" w:cs="Times New Roman"/>
          <w:color w:val="31849B" w:themeColor="accent5" w:themeShade="BF"/>
        </w:rPr>
        <w:t xml:space="preserve">iznākuma </w:t>
      </w:r>
      <w:r w:rsidR="00CB04D3" w:rsidRPr="003C1B12">
        <w:rPr>
          <w:rFonts w:ascii="Times New Roman" w:hAnsi="Times New Roman" w:cs="Times New Roman"/>
          <w:color w:val="31849B" w:themeColor="accent5" w:themeShade="BF"/>
        </w:rPr>
        <w:t>rādītāji</w:t>
      </w:r>
      <w:bookmarkEnd w:id="37"/>
      <w:bookmarkEnd w:id="38"/>
      <w:r w:rsidR="00CB04D3" w:rsidRPr="003C1B12">
        <w:rPr>
          <w:rFonts w:ascii="Times New Roman" w:hAnsi="Times New Roman" w:cs="Times New Roman"/>
          <w:color w:val="31849B" w:themeColor="accent5" w:themeShade="BF"/>
        </w:rPr>
        <w:t xml:space="preserve"> </w:t>
      </w:r>
    </w:p>
    <w:p w:rsidR="000C4557" w:rsidRPr="003C1B12" w:rsidRDefault="000C4557" w:rsidP="00C57F70">
      <w:pPr>
        <w:spacing w:after="0" w:line="240" w:lineRule="auto"/>
        <w:ind w:firstLine="567"/>
        <w:jc w:val="both"/>
        <w:rPr>
          <w:rFonts w:ascii="Times New Roman" w:hAnsi="Times New Roman" w:cs="Times New Roman"/>
          <w:sz w:val="24"/>
        </w:rPr>
      </w:pPr>
    </w:p>
    <w:p w:rsidR="007A4CD3" w:rsidRPr="003C1B12" w:rsidRDefault="00BC1FD3" w:rsidP="00C57F70">
      <w:pPr>
        <w:spacing w:after="0" w:line="240" w:lineRule="auto"/>
        <w:ind w:firstLine="709"/>
        <w:jc w:val="both"/>
        <w:rPr>
          <w:rFonts w:ascii="Times New Roman" w:hAnsi="Times New Roman" w:cs="Times New Roman"/>
          <w:sz w:val="24"/>
        </w:rPr>
      </w:pPr>
      <w:r w:rsidRPr="003C1B12">
        <w:rPr>
          <w:rFonts w:ascii="Times New Roman" w:hAnsi="Times New Roman" w:cs="Times New Roman"/>
          <w:sz w:val="24"/>
        </w:rPr>
        <w:t>1.2.</w:t>
      </w:r>
      <w:r w:rsidR="0064114E" w:rsidRPr="003C1B12">
        <w:rPr>
          <w:rFonts w:ascii="Times New Roman" w:hAnsi="Times New Roman" w:cs="Times New Roman"/>
          <w:sz w:val="24"/>
        </w:rPr>
        <w:t>1</w:t>
      </w:r>
      <w:r w:rsidR="003C201C" w:rsidRPr="003C1B12">
        <w:rPr>
          <w:rFonts w:ascii="Times New Roman" w:hAnsi="Times New Roman" w:cs="Times New Roman"/>
          <w:sz w:val="24"/>
        </w:rPr>
        <w:t>.1.</w:t>
      </w:r>
      <w:r w:rsidRPr="003C1B12">
        <w:rPr>
          <w:rFonts w:ascii="Times New Roman" w:hAnsi="Times New Roman" w:cs="Times New Roman"/>
          <w:sz w:val="24"/>
        </w:rPr>
        <w:t>pasākuma „</w:t>
      </w:r>
      <w:r w:rsidRPr="003C1B12">
        <w:rPr>
          <w:rFonts w:ascii="Times New Roman" w:hAnsi="Times New Roman" w:cs="Times New Roman"/>
          <w:sz w:val="24"/>
          <w:szCs w:val="24"/>
        </w:rPr>
        <w:t xml:space="preserve">Atbalsts jaunu produktu un tehnoloģiju izstrādei </w:t>
      </w:r>
      <w:r w:rsidR="007B5BD9" w:rsidRPr="003C1B12">
        <w:rPr>
          <w:rFonts w:ascii="Times New Roman" w:hAnsi="Times New Roman" w:cs="Times New Roman"/>
          <w:sz w:val="24"/>
          <w:szCs w:val="24"/>
        </w:rPr>
        <w:t>KC</w:t>
      </w:r>
      <w:r w:rsidRPr="003C1B12">
        <w:rPr>
          <w:rFonts w:ascii="Times New Roman" w:hAnsi="Times New Roman" w:cs="Times New Roman"/>
          <w:sz w:val="24"/>
          <w:szCs w:val="24"/>
        </w:rPr>
        <w:t xml:space="preserve"> ietvaros</w:t>
      </w:r>
      <w:r w:rsidR="003C201C" w:rsidRPr="003C1B12">
        <w:rPr>
          <w:rFonts w:ascii="Times New Roman" w:hAnsi="Times New Roman" w:cs="Times New Roman"/>
          <w:sz w:val="24"/>
        </w:rPr>
        <w:t>”</w:t>
      </w:r>
      <w:r w:rsidR="007A4CD3" w:rsidRPr="003C1B12">
        <w:rPr>
          <w:rFonts w:ascii="Times New Roman" w:hAnsi="Times New Roman" w:cs="Times New Roman"/>
          <w:sz w:val="24"/>
        </w:rPr>
        <w:t xml:space="preserve"> ir vērsta uz </w:t>
      </w:r>
      <w:r w:rsidR="00D934C1" w:rsidRPr="003C1B12">
        <w:rPr>
          <w:rFonts w:ascii="Times New Roman" w:hAnsi="Times New Roman" w:cs="Times New Roman"/>
          <w:sz w:val="24"/>
        </w:rPr>
        <w:t xml:space="preserve">sekojošu Latvijas Nacionālajā attīstības plānā 2014.-2020.gadam, Nacionālās industriālās politikas pamatnostādnēs 2013.-2020.gadam un </w:t>
      </w:r>
      <w:r w:rsidR="00D934C1" w:rsidRPr="003C1B12">
        <w:rPr>
          <w:rFonts w:ascii="Times New Roman" w:eastAsia="Times New Roman" w:hAnsi="Times New Roman" w:cs="Times New Roman"/>
          <w:sz w:val="24"/>
          <w:szCs w:val="24"/>
          <w:lang w:eastAsia="zh-CN" w:bidi="lo-LA"/>
        </w:rPr>
        <w:t>Zinātnes, tehnoloģiju attīstības un inovācijas pamatnostādnēs 2014.-2020.gadam</w:t>
      </w:r>
      <w:r w:rsidR="00D934C1" w:rsidRPr="003C1B12">
        <w:rPr>
          <w:rFonts w:ascii="Times New Roman" w:hAnsi="Times New Roman" w:cs="Times New Roman"/>
          <w:sz w:val="24"/>
        </w:rPr>
        <w:t xml:space="preserve">noteikto </w:t>
      </w:r>
      <w:r w:rsidR="007A4CD3" w:rsidRPr="003C1B12">
        <w:rPr>
          <w:rFonts w:ascii="Times New Roman" w:hAnsi="Times New Roman" w:cs="Times New Roman"/>
          <w:sz w:val="24"/>
        </w:rPr>
        <w:t xml:space="preserve">rādītāju </w:t>
      </w:r>
      <w:r w:rsidRPr="003C1B12">
        <w:rPr>
          <w:rFonts w:ascii="Times New Roman" w:hAnsi="Times New Roman" w:cs="Times New Roman"/>
          <w:sz w:val="24"/>
        </w:rPr>
        <w:t>pa</w:t>
      </w:r>
      <w:r w:rsidR="00F34CD7" w:rsidRPr="003C1B12">
        <w:rPr>
          <w:rFonts w:ascii="Times New Roman" w:hAnsi="Times New Roman" w:cs="Times New Roman"/>
          <w:sz w:val="24"/>
        </w:rPr>
        <w:t>a</w:t>
      </w:r>
      <w:r w:rsidRPr="003C1B12">
        <w:rPr>
          <w:rFonts w:ascii="Times New Roman" w:hAnsi="Times New Roman" w:cs="Times New Roman"/>
          <w:sz w:val="24"/>
        </w:rPr>
        <w:t>ugs</w:t>
      </w:r>
      <w:r w:rsidR="00F34CD7" w:rsidRPr="003C1B12">
        <w:rPr>
          <w:rFonts w:ascii="Times New Roman" w:hAnsi="Times New Roman" w:cs="Times New Roman"/>
          <w:sz w:val="24"/>
        </w:rPr>
        <w:t>ti</w:t>
      </w:r>
      <w:r w:rsidRPr="003C1B12">
        <w:rPr>
          <w:rFonts w:ascii="Times New Roman" w:hAnsi="Times New Roman" w:cs="Times New Roman"/>
          <w:sz w:val="24"/>
        </w:rPr>
        <w:t>n</w:t>
      </w:r>
      <w:r w:rsidR="00F34CD7" w:rsidRPr="003C1B12">
        <w:rPr>
          <w:rFonts w:ascii="Times New Roman" w:hAnsi="Times New Roman" w:cs="Times New Roman"/>
          <w:sz w:val="24"/>
        </w:rPr>
        <w:t>ā</w:t>
      </w:r>
      <w:r w:rsidRPr="003C1B12">
        <w:rPr>
          <w:rFonts w:ascii="Times New Roman" w:hAnsi="Times New Roman" w:cs="Times New Roman"/>
          <w:sz w:val="24"/>
        </w:rPr>
        <w:t>šanu</w:t>
      </w:r>
      <w:r w:rsidR="007A4CD3" w:rsidRPr="003C1B12">
        <w:rPr>
          <w:rFonts w:ascii="Times New Roman" w:hAnsi="Times New Roman" w:cs="Times New Roman"/>
          <w:sz w:val="24"/>
        </w:rPr>
        <w:t>:</w:t>
      </w:r>
    </w:p>
    <w:p w:rsidR="000D166C" w:rsidRPr="003C1B12" w:rsidRDefault="000D166C" w:rsidP="009D209C">
      <w:pPr>
        <w:pStyle w:val="ListParagraph"/>
        <w:numPr>
          <w:ilvl w:val="0"/>
          <w:numId w:val="21"/>
        </w:numPr>
        <w:spacing w:after="0" w:line="240" w:lineRule="auto"/>
        <w:jc w:val="both"/>
        <w:rPr>
          <w:rFonts w:ascii="Times New Roman" w:hAnsi="Times New Roman" w:cs="Times New Roman"/>
          <w:sz w:val="24"/>
        </w:rPr>
      </w:pPr>
      <w:r w:rsidRPr="003C1B12">
        <w:rPr>
          <w:rFonts w:ascii="Times New Roman" w:hAnsi="Times New Roman" w:cs="Times New Roman"/>
          <w:sz w:val="24"/>
        </w:rPr>
        <w:t>Uzņēmējdarbības sektora ieguldījumu pētniecībā un attīstība pieaugums;</w:t>
      </w:r>
    </w:p>
    <w:p w:rsidR="000D166C" w:rsidRPr="003C1B12" w:rsidRDefault="000D166C" w:rsidP="009D209C">
      <w:pPr>
        <w:pStyle w:val="ListParagraph"/>
        <w:numPr>
          <w:ilvl w:val="0"/>
          <w:numId w:val="21"/>
        </w:numPr>
        <w:spacing w:after="0" w:line="240" w:lineRule="auto"/>
        <w:jc w:val="both"/>
        <w:rPr>
          <w:rFonts w:ascii="Times New Roman" w:hAnsi="Times New Roman" w:cs="Times New Roman"/>
          <w:sz w:val="24"/>
        </w:rPr>
      </w:pPr>
      <w:r w:rsidRPr="003C1B12">
        <w:rPr>
          <w:rFonts w:ascii="Times New Roman" w:hAnsi="Times New Roman" w:cs="Times New Roman"/>
          <w:sz w:val="24"/>
          <w:szCs w:val="24"/>
        </w:rPr>
        <w:t>Inovatīvo uzņēmumu īpatsvara pieaugums;</w:t>
      </w:r>
      <w:r w:rsidRPr="003C1B12">
        <w:rPr>
          <w:rFonts w:ascii="Times New Roman" w:hAnsi="Times New Roman" w:cs="Times New Roman"/>
          <w:sz w:val="24"/>
        </w:rPr>
        <w:t xml:space="preserve"> </w:t>
      </w:r>
    </w:p>
    <w:p w:rsidR="004F251C" w:rsidRPr="003C1B12" w:rsidRDefault="004F251C" w:rsidP="009D209C">
      <w:pPr>
        <w:pStyle w:val="ListParagraph"/>
        <w:numPr>
          <w:ilvl w:val="0"/>
          <w:numId w:val="21"/>
        </w:numPr>
        <w:spacing w:after="0" w:line="240" w:lineRule="auto"/>
        <w:jc w:val="both"/>
        <w:rPr>
          <w:rFonts w:ascii="Times New Roman" w:hAnsi="Times New Roman" w:cs="Times New Roman"/>
          <w:sz w:val="24"/>
        </w:rPr>
      </w:pPr>
      <w:r w:rsidRPr="003C1B12">
        <w:rPr>
          <w:rFonts w:ascii="Times New Roman" w:hAnsi="Times New Roman" w:cs="Times New Roman"/>
          <w:sz w:val="24"/>
          <w:szCs w:val="24"/>
        </w:rPr>
        <w:t xml:space="preserve">Uzņēmējdarbības un zinātnes sektora sadarbības </w:t>
      </w:r>
      <w:r w:rsidR="00E7769C" w:rsidRPr="003C1B12">
        <w:rPr>
          <w:rFonts w:ascii="Times New Roman" w:hAnsi="Times New Roman" w:cs="Times New Roman"/>
          <w:sz w:val="24"/>
          <w:szCs w:val="24"/>
        </w:rPr>
        <w:t>pieaugums.</w:t>
      </w:r>
    </w:p>
    <w:p w:rsidR="00277CA1" w:rsidRPr="003C1B12" w:rsidRDefault="000D166C" w:rsidP="004F251C">
      <w:pPr>
        <w:spacing w:after="0" w:line="240" w:lineRule="auto"/>
        <w:ind w:firstLine="709"/>
        <w:jc w:val="both"/>
        <w:rPr>
          <w:rFonts w:ascii="Times New Roman" w:hAnsi="Times New Roman" w:cs="Times New Roman"/>
          <w:sz w:val="24"/>
          <w:szCs w:val="24"/>
        </w:rPr>
      </w:pPr>
      <w:r w:rsidRPr="003C1B12">
        <w:rPr>
          <w:rFonts w:ascii="Times New Roman" w:hAnsi="Times New Roman" w:cs="Times New Roman"/>
          <w:sz w:val="24"/>
        </w:rPr>
        <w:t>Darbības programm</w:t>
      </w:r>
      <w:r w:rsidR="00616C76" w:rsidRPr="003C1B12">
        <w:rPr>
          <w:rFonts w:ascii="Times New Roman" w:hAnsi="Times New Roman" w:cs="Times New Roman"/>
          <w:sz w:val="24"/>
        </w:rPr>
        <w:t>ā</w:t>
      </w:r>
      <w:r w:rsidR="00B34D4A" w:rsidRPr="003C1B12">
        <w:rPr>
          <w:rFonts w:ascii="Times New Roman" w:hAnsi="Times New Roman" w:cs="Times New Roman"/>
          <w:sz w:val="24"/>
        </w:rPr>
        <w:t xml:space="preserve"> „</w:t>
      </w:r>
      <w:r w:rsidRPr="003C1B12">
        <w:rPr>
          <w:rFonts w:ascii="Times New Roman" w:hAnsi="Times New Roman" w:cs="Times New Roman"/>
          <w:sz w:val="24"/>
        </w:rPr>
        <w:t xml:space="preserve">Izaugsme un nodarbinātība” </w:t>
      </w:r>
      <w:r w:rsidR="00826F8B" w:rsidRPr="003C1B12">
        <w:rPr>
          <w:rFonts w:ascii="Times New Roman" w:hAnsi="Times New Roman" w:cs="Times New Roman"/>
          <w:sz w:val="24"/>
        </w:rPr>
        <w:t xml:space="preserve">kā </w:t>
      </w:r>
      <w:r w:rsidR="003C201C" w:rsidRPr="003C1B12">
        <w:rPr>
          <w:rFonts w:ascii="Times New Roman" w:hAnsi="Times New Roman" w:cs="Times New Roman"/>
          <w:sz w:val="24"/>
        </w:rPr>
        <w:t>1.2.1.</w:t>
      </w:r>
      <w:r w:rsidRPr="003C1B12">
        <w:rPr>
          <w:rFonts w:ascii="Times New Roman" w:hAnsi="Times New Roman" w:cs="Times New Roman"/>
          <w:sz w:val="24"/>
        </w:rPr>
        <w:t xml:space="preserve">SAM </w:t>
      </w:r>
      <w:r w:rsidR="00616C76" w:rsidRPr="003C1B12">
        <w:rPr>
          <w:rFonts w:ascii="Times New Roman" w:hAnsi="Times New Roman" w:cs="Times New Roman"/>
          <w:sz w:val="24"/>
        </w:rPr>
        <w:t xml:space="preserve">specifiskais rezultāta rādītājs </w:t>
      </w:r>
      <w:r w:rsidR="003C201C" w:rsidRPr="003C1B12">
        <w:rPr>
          <w:rFonts w:ascii="Times New Roman" w:hAnsi="Times New Roman" w:cs="Times New Roman"/>
          <w:sz w:val="24"/>
        </w:rPr>
        <w:t>noteikts</w:t>
      </w:r>
      <w:r w:rsidR="00616C76" w:rsidRPr="003C1B12">
        <w:rPr>
          <w:rFonts w:ascii="Times New Roman" w:hAnsi="Times New Roman" w:cs="Times New Roman"/>
          <w:sz w:val="24"/>
        </w:rPr>
        <w:t xml:space="preserve"> - </w:t>
      </w:r>
      <w:r w:rsidRPr="003C1B12">
        <w:rPr>
          <w:rFonts w:ascii="Times New Roman" w:hAnsi="Times New Roman" w:cs="Times New Roman"/>
          <w:sz w:val="24"/>
        </w:rPr>
        <w:t xml:space="preserve">privātās </w:t>
      </w:r>
      <w:r w:rsidR="00616C76" w:rsidRPr="003C1B12">
        <w:rPr>
          <w:rFonts w:ascii="Times New Roman" w:hAnsi="Times New Roman" w:cs="Times New Roman"/>
          <w:sz w:val="24"/>
        </w:rPr>
        <w:t xml:space="preserve">sektora </w:t>
      </w:r>
      <w:r w:rsidRPr="003C1B12">
        <w:rPr>
          <w:rFonts w:ascii="Times New Roman" w:hAnsi="Times New Roman" w:cs="Times New Roman"/>
          <w:sz w:val="24"/>
        </w:rPr>
        <w:t>investīc</w:t>
      </w:r>
      <w:r w:rsidR="00616C76" w:rsidRPr="003C1B12">
        <w:rPr>
          <w:rFonts w:ascii="Times New Roman" w:hAnsi="Times New Roman" w:cs="Times New Roman"/>
          <w:sz w:val="24"/>
        </w:rPr>
        <w:t>i</w:t>
      </w:r>
      <w:r w:rsidRPr="003C1B12">
        <w:rPr>
          <w:rFonts w:ascii="Times New Roman" w:hAnsi="Times New Roman" w:cs="Times New Roman"/>
          <w:sz w:val="24"/>
        </w:rPr>
        <w:t xml:space="preserve">jas P&amp;A </w:t>
      </w:r>
      <w:r w:rsidR="00616C76" w:rsidRPr="003C1B12">
        <w:rPr>
          <w:rFonts w:ascii="Times New Roman" w:hAnsi="Times New Roman" w:cs="Times New Roman"/>
          <w:sz w:val="24"/>
        </w:rPr>
        <w:t xml:space="preserve">2023.gadā </w:t>
      </w:r>
      <w:r w:rsidR="00616C76" w:rsidRPr="003C1B12">
        <w:rPr>
          <w:rFonts w:ascii="Times New Roman" w:hAnsi="Times New Roman" w:cs="Times New Roman"/>
          <w:sz w:val="24"/>
          <w:szCs w:val="24"/>
        </w:rPr>
        <w:t>sasniedz 265,68 milj.</w:t>
      </w:r>
      <w:r w:rsidR="002E08C4" w:rsidRPr="003C1B12">
        <w:rPr>
          <w:rFonts w:ascii="Times New Roman" w:hAnsi="Times New Roman" w:cs="Times New Roman"/>
          <w:sz w:val="24"/>
          <w:szCs w:val="24"/>
        </w:rPr>
        <w:t xml:space="preserve"> </w:t>
      </w:r>
      <w:r w:rsidR="0090589F" w:rsidRPr="003C1B12">
        <w:rPr>
          <w:rFonts w:ascii="Times New Roman" w:hAnsi="Times New Roman" w:cs="Times New Roman"/>
          <w:i/>
          <w:sz w:val="24"/>
          <w:szCs w:val="24"/>
        </w:rPr>
        <w:t>euro</w:t>
      </w:r>
      <w:r w:rsidR="0090589F" w:rsidRPr="003C1B12">
        <w:rPr>
          <w:rFonts w:ascii="Times New Roman" w:hAnsi="Times New Roman" w:cs="Times New Roman"/>
          <w:sz w:val="24"/>
          <w:szCs w:val="24"/>
        </w:rPr>
        <w:t xml:space="preserve"> (sk. attēlu Nr.7). </w:t>
      </w:r>
      <w:r w:rsidR="002E08C4" w:rsidRPr="003C1B12">
        <w:rPr>
          <w:rFonts w:ascii="Times New Roman" w:hAnsi="Times New Roman" w:cs="Times New Roman"/>
          <w:sz w:val="24"/>
          <w:szCs w:val="24"/>
        </w:rPr>
        <w:t>Jāņem vērā, ka minētais rādītājs aprēķināts ņem</w:t>
      </w:r>
      <w:r w:rsidR="00277CA1" w:rsidRPr="003C1B12">
        <w:rPr>
          <w:rFonts w:ascii="Times New Roman" w:hAnsi="Times New Roman" w:cs="Times New Roman"/>
          <w:sz w:val="24"/>
          <w:szCs w:val="24"/>
        </w:rPr>
        <w:t>ot</w:t>
      </w:r>
      <w:r w:rsidR="002E08C4" w:rsidRPr="003C1B12">
        <w:rPr>
          <w:rFonts w:ascii="Times New Roman" w:hAnsi="Times New Roman" w:cs="Times New Roman"/>
          <w:sz w:val="24"/>
          <w:szCs w:val="24"/>
        </w:rPr>
        <w:t xml:space="preserve"> vērā, ka pieaugs arī publiskās un ārvalstu finansējums </w:t>
      </w:r>
      <w:r w:rsidR="00277CA1" w:rsidRPr="003C1B12">
        <w:rPr>
          <w:rFonts w:ascii="Times New Roman" w:hAnsi="Times New Roman" w:cs="Times New Roman"/>
          <w:sz w:val="24"/>
          <w:szCs w:val="24"/>
        </w:rPr>
        <w:t xml:space="preserve">P&amp;A </w:t>
      </w:r>
      <w:r w:rsidR="002E08C4" w:rsidRPr="003C1B12">
        <w:rPr>
          <w:rFonts w:ascii="Times New Roman" w:hAnsi="Times New Roman" w:cs="Times New Roman"/>
          <w:sz w:val="24"/>
          <w:szCs w:val="24"/>
        </w:rPr>
        <w:t>un kop</w:t>
      </w:r>
      <w:r w:rsidR="00277CA1" w:rsidRPr="003C1B12">
        <w:rPr>
          <w:rFonts w:ascii="Times New Roman" w:hAnsi="Times New Roman" w:cs="Times New Roman"/>
          <w:sz w:val="24"/>
          <w:szCs w:val="24"/>
        </w:rPr>
        <w:t>ē</w:t>
      </w:r>
      <w:r w:rsidR="002E08C4" w:rsidRPr="003C1B12">
        <w:rPr>
          <w:rFonts w:ascii="Times New Roman" w:hAnsi="Times New Roman" w:cs="Times New Roman"/>
          <w:sz w:val="24"/>
          <w:szCs w:val="24"/>
        </w:rPr>
        <w:t>j</w:t>
      </w:r>
      <w:r w:rsidR="00277CA1" w:rsidRPr="003C1B12">
        <w:rPr>
          <w:rFonts w:ascii="Times New Roman" w:hAnsi="Times New Roman" w:cs="Times New Roman"/>
          <w:sz w:val="24"/>
          <w:szCs w:val="24"/>
        </w:rPr>
        <w:t>ie</w:t>
      </w:r>
      <w:r w:rsidR="002E08C4" w:rsidRPr="003C1B12">
        <w:rPr>
          <w:rFonts w:ascii="Times New Roman" w:hAnsi="Times New Roman" w:cs="Times New Roman"/>
          <w:sz w:val="24"/>
          <w:szCs w:val="24"/>
        </w:rPr>
        <w:t xml:space="preserve"> ieguldījumi</w:t>
      </w:r>
      <w:r w:rsidR="00277CA1" w:rsidRPr="003C1B12">
        <w:rPr>
          <w:rFonts w:ascii="Times New Roman" w:hAnsi="Times New Roman" w:cs="Times New Roman"/>
          <w:sz w:val="24"/>
          <w:szCs w:val="24"/>
        </w:rPr>
        <w:t>em jāveido vismaz</w:t>
      </w:r>
      <w:r w:rsidR="002E08C4" w:rsidRPr="003C1B12">
        <w:rPr>
          <w:rFonts w:ascii="Times New Roman" w:hAnsi="Times New Roman" w:cs="Times New Roman"/>
          <w:sz w:val="24"/>
          <w:szCs w:val="24"/>
        </w:rPr>
        <w:t xml:space="preserve"> 1</w:t>
      </w:r>
      <w:r w:rsidR="00277CA1" w:rsidRPr="003C1B12">
        <w:rPr>
          <w:rFonts w:ascii="Times New Roman" w:hAnsi="Times New Roman" w:cs="Times New Roman"/>
          <w:sz w:val="24"/>
          <w:szCs w:val="24"/>
        </w:rPr>
        <w:t>,5</w:t>
      </w:r>
      <w:r w:rsidR="002E08C4" w:rsidRPr="003C1B12">
        <w:rPr>
          <w:rFonts w:ascii="Times New Roman" w:hAnsi="Times New Roman" w:cs="Times New Roman"/>
          <w:sz w:val="24"/>
          <w:szCs w:val="24"/>
        </w:rPr>
        <w:t>% no IK</w:t>
      </w:r>
      <w:r w:rsidR="00277CA1" w:rsidRPr="003C1B12">
        <w:rPr>
          <w:rFonts w:ascii="Times New Roman" w:hAnsi="Times New Roman" w:cs="Times New Roman"/>
          <w:sz w:val="24"/>
          <w:szCs w:val="24"/>
        </w:rPr>
        <w:t>P, bet</w:t>
      </w:r>
      <w:r w:rsidR="002E08C4" w:rsidRPr="003C1B12">
        <w:rPr>
          <w:rFonts w:ascii="Times New Roman" w:hAnsi="Times New Roman" w:cs="Times New Roman"/>
          <w:sz w:val="24"/>
          <w:szCs w:val="24"/>
        </w:rPr>
        <w:t xml:space="preserve"> uzņ</w:t>
      </w:r>
      <w:r w:rsidR="00277CA1" w:rsidRPr="003C1B12">
        <w:rPr>
          <w:rFonts w:ascii="Times New Roman" w:hAnsi="Times New Roman" w:cs="Times New Roman"/>
          <w:sz w:val="24"/>
          <w:szCs w:val="24"/>
        </w:rPr>
        <w:t>ē</w:t>
      </w:r>
      <w:r w:rsidR="002E08C4" w:rsidRPr="003C1B12">
        <w:rPr>
          <w:rFonts w:ascii="Times New Roman" w:hAnsi="Times New Roman" w:cs="Times New Roman"/>
          <w:sz w:val="24"/>
          <w:szCs w:val="24"/>
        </w:rPr>
        <w:t>m</w:t>
      </w:r>
      <w:r w:rsidR="00277CA1" w:rsidRPr="003C1B12">
        <w:rPr>
          <w:rFonts w:ascii="Times New Roman" w:hAnsi="Times New Roman" w:cs="Times New Roman"/>
          <w:sz w:val="24"/>
          <w:szCs w:val="24"/>
        </w:rPr>
        <w:t>ē</w:t>
      </w:r>
      <w:r w:rsidR="002E08C4" w:rsidRPr="003C1B12">
        <w:rPr>
          <w:rFonts w:ascii="Times New Roman" w:hAnsi="Times New Roman" w:cs="Times New Roman"/>
          <w:sz w:val="24"/>
          <w:szCs w:val="24"/>
        </w:rPr>
        <w:t>jdarb</w:t>
      </w:r>
      <w:r w:rsidR="00277CA1" w:rsidRPr="003C1B12">
        <w:rPr>
          <w:rFonts w:ascii="Times New Roman" w:hAnsi="Times New Roman" w:cs="Times New Roman"/>
          <w:sz w:val="24"/>
          <w:szCs w:val="24"/>
        </w:rPr>
        <w:t>ī</w:t>
      </w:r>
      <w:r w:rsidR="002E08C4" w:rsidRPr="003C1B12">
        <w:rPr>
          <w:rFonts w:ascii="Times New Roman" w:hAnsi="Times New Roman" w:cs="Times New Roman"/>
          <w:sz w:val="24"/>
          <w:szCs w:val="24"/>
        </w:rPr>
        <w:t xml:space="preserve">bas </w:t>
      </w:r>
      <w:r w:rsidR="00277CA1" w:rsidRPr="003C1B12">
        <w:rPr>
          <w:rFonts w:ascii="Times New Roman" w:hAnsi="Times New Roman" w:cs="Times New Roman"/>
          <w:sz w:val="24"/>
          <w:szCs w:val="24"/>
        </w:rPr>
        <w:t>s</w:t>
      </w:r>
      <w:r w:rsidR="002E08C4" w:rsidRPr="003C1B12">
        <w:rPr>
          <w:rFonts w:ascii="Times New Roman" w:hAnsi="Times New Roman" w:cs="Times New Roman"/>
          <w:sz w:val="24"/>
          <w:szCs w:val="24"/>
        </w:rPr>
        <w:t>ek</w:t>
      </w:r>
      <w:r w:rsidR="00277CA1" w:rsidRPr="003C1B12">
        <w:rPr>
          <w:rFonts w:ascii="Times New Roman" w:hAnsi="Times New Roman" w:cs="Times New Roman"/>
          <w:sz w:val="24"/>
          <w:szCs w:val="24"/>
        </w:rPr>
        <w:t>to</w:t>
      </w:r>
      <w:r w:rsidR="002E08C4" w:rsidRPr="003C1B12">
        <w:rPr>
          <w:rFonts w:ascii="Times New Roman" w:hAnsi="Times New Roman" w:cs="Times New Roman"/>
          <w:sz w:val="24"/>
          <w:szCs w:val="24"/>
        </w:rPr>
        <w:t xml:space="preserve">ra </w:t>
      </w:r>
      <w:r w:rsidR="00277CA1" w:rsidRPr="003C1B12">
        <w:rPr>
          <w:rFonts w:ascii="Times New Roman" w:hAnsi="Times New Roman" w:cs="Times New Roman"/>
          <w:sz w:val="24"/>
          <w:szCs w:val="24"/>
        </w:rPr>
        <w:t xml:space="preserve">ieguldījumiem jāveido vismaz </w:t>
      </w:r>
      <w:r w:rsidR="002E08C4" w:rsidRPr="003C1B12">
        <w:rPr>
          <w:rFonts w:ascii="Times New Roman" w:hAnsi="Times New Roman" w:cs="Times New Roman"/>
          <w:sz w:val="24"/>
          <w:szCs w:val="24"/>
        </w:rPr>
        <w:t>48% no kopēj</w:t>
      </w:r>
      <w:r w:rsidR="00277CA1" w:rsidRPr="003C1B12">
        <w:rPr>
          <w:rFonts w:ascii="Times New Roman" w:hAnsi="Times New Roman" w:cs="Times New Roman"/>
          <w:sz w:val="24"/>
          <w:szCs w:val="24"/>
        </w:rPr>
        <w:t>ā P&amp;A fi</w:t>
      </w:r>
      <w:r w:rsidR="002E08C4" w:rsidRPr="003C1B12">
        <w:rPr>
          <w:rFonts w:ascii="Times New Roman" w:hAnsi="Times New Roman" w:cs="Times New Roman"/>
          <w:sz w:val="24"/>
          <w:szCs w:val="24"/>
        </w:rPr>
        <w:t>n</w:t>
      </w:r>
      <w:r w:rsidR="00277CA1" w:rsidRPr="003C1B12">
        <w:rPr>
          <w:rFonts w:ascii="Times New Roman" w:hAnsi="Times New Roman" w:cs="Times New Roman"/>
          <w:sz w:val="24"/>
          <w:szCs w:val="24"/>
        </w:rPr>
        <w:t>ans</w:t>
      </w:r>
      <w:r w:rsidR="002E08C4" w:rsidRPr="003C1B12">
        <w:rPr>
          <w:rFonts w:ascii="Times New Roman" w:hAnsi="Times New Roman" w:cs="Times New Roman"/>
          <w:sz w:val="24"/>
          <w:szCs w:val="24"/>
        </w:rPr>
        <w:t>ējuma.</w:t>
      </w:r>
      <w:r w:rsidR="00277CA1" w:rsidRPr="003C1B12">
        <w:rPr>
          <w:rFonts w:ascii="Times New Roman" w:hAnsi="Times New Roman" w:cs="Times New Roman"/>
          <w:sz w:val="24"/>
          <w:szCs w:val="24"/>
        </w:rPr>
        <w:t xml:space="preserve"> Jāatzīmē, ka rezultatīvā rādītāja noteiktā mērķa vērtība</w:t>
      </w:r>
      <w:r w:rsidR="008B64BB" w:rsidRPr="003C1B12">
        <w:rPr>
          <w:rFonts w:ascii="Times New Roman" w:hAnsi="Times New Roman" w:cs="Times New Roman"/>
          <w:sz w:val="24"/>
          <w:szCs w:val="24"/>
        </w:rPr>
        <w:t xml:space="preserve"> ir noteikta ļoti ambicioza un </w:t>
      </w:r>
      <w:r w:rsidR="00277CA1" w:rsidRPr="003C1B12">
        <w:rPr>
          <w:rFonts w:ascii="Times New Roman" w:hAnsi="Times New Roman" w:cs="Times New Roman"/>
          <w:sz w:val="24"/>
          <w:szCs w:val="24"/>
        </w:rPr>
        <w:t xml:space="preserve">uzņēmējdarbības sektora finansējumam būt jāpieaug 8 reizes. Līdz ar to rādītāja sasniegšanai nozīmīgi ir ne tikai ES </w:t>
      </w:r>
      <w:r w:rsidR="009E7E2D" w:rsidRPr="003C1B12">
        <w:rPr>
          <w:rFonts w:ascii="Times New Roman" w:hAnsi="Times New Roman" w:cs="Times New Roman"/>
          <w:sz w:val="24"/>
          <w:szCs w:val="24"/>
        </w:rPr>
        <w:t>strukūrfondu</w:t>
      </w:r>
      <w:r w:rsidR="00277CA1" w:rsidRPr="003C1B12">
        <w:rPr>
          <w:rFonts w:ascii="Times New Roman" w:hAnsi="Times New Roman" w:cs="Times New Roman"/>
          <w:sz w:val="24"/>
          <w:szCs w:val="24"/>
        </w:rPr>
        <w:t xml:space="preserve"> plānotie ieguldījumi, bet arī valsts budžeta finansējuma pieaugums </w:t>
      </w:r>
      <w:r w:rsidR="00864455" w:rsidRPr="003C1B12">
        <w:rPr>
          <w:rFonts w:ascii="Times New Roman" w:hAnsi="Times New Roman" w:cs="Times New Roman"/>
          <w:sz w:val="24"/>
          <w:szCs w:val="24"/>
        </w:rPr>
        <w:t>P&amp;A</w:t>
      </w:r>
      <w:r w:rsidR="00277CA1" w:rsidRPr="003C1B12">
        <w:rPr>
          <w:rFonts w:ascii="Times New Roman" w:hAnsi="Times New Roman" w:cs="Times New Roman"/>
          <w:sz w:val="24"/>
          <w:szCs w:val="24"/>
        </w:rPr>
        <w:t xml:space="preserve"> un citi </w:t>
      </w:r>
      <w:r w:rsidR="00277CA1" w:rsidRPr="003C1B12">
        <w:rPr>
          <w:rFonts w:ascii="Times New Roman" w:eastAsia="Times New Roman" w:hAnsi="Times New Roman" w:cs="Times New Roman"/>
          <w:sz w:val="24"/>
          <w:szCs w:val="24"/>
          <w:lang w:eastAsia="zh-CN" w:bidi="lo-LA"/>
        </w:rPr>
        <w:t>Zinātnes, tehnoloģiju attīstības un inovācijas pamatnostādnēm 2014.-2020.gadam noteiktie pasākumi pētniecības un inovācijas kapacitātes paaugstināšanai.</w:t>
      </w:r>
    </w:p>
    <w:p w:rsidR="00B34D4A" w:rsidRPr="003C1B12" w:rsidRDefault="00B34D4A" w:rsidP="00B34D4A">
      <w:pPr>
        <w:spacing w:after="0" w:line="240" w:lineRule="auto"/>
        <w:ind w:firstLine="709"/>
        <w:jc w:val="right"/>
        <w:rPr>
          <w:rFonts w:ascii="Times New Roman" w:hAnsi="Times New Roman" w:cs="Times New Roman"/>
          <w:sz w:val="24"/>
          <w:szCs w:val="24"/>
        </w:rPr>
      </w:pPr>
    </w:p>
    <w:p w:rsidR="0083582E" w:rsidRPr="003C1B12" w:rsidRDefault="0083582E" w:rsidP="003C201C">
      <w:pPr>
        <w:spacing w:after="0" w:line="240" w:lineRule="auto"/>
        <w:jc w:val="center"/>
        <w:rPr>
          <w:rFonts w:ascii="Times New Roman" w:hAnsi="Times New Roman" w:cs="Times New Roman"/>
          <w:noProof/>
          <w:lang w:eastAsia="lv-LV"/>
        </w:rPr>
      </w:pPr>
      <w:r w:rsidRPr="003C1B12">
        <w:rPr>
          <w:rFonts w:ascii="Times New Roman" w:hAnsi="Times New Roman" w:cs="Times New Roman"/>
          <w:noProof/>
          <w:lang w:eastAsia="lv-LV"/>
        </w:rPr>
        <w:drawing>
          <wp:inline distT="0" distB="0" distL="0" distR="0" wp14:anchorId="79B24B4A" wp14:editId="47FF49DF">
            <wp:extent cx="5589767" cy="2178657"/>
            <wp:effectExtent l="0" t="0" r="11430" b="1270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0589F" w:rsidRPr="003C1B12" w:rsidRDefault="0090589F" w:rsidP="00C779CC">
      <w:pPr>
        <w:spacing w:before="120" w:after="0" w:line="240" w:lineRule="auto"/>
        <w:jc w:val="center"/>
        <w:rPr>
          <w:rFonts w:ascii="Times New Roman" w:hAnsi="Times New Roman" w:cs="Times New Roman"/>
          <w:sz w:val="24"/>
        </w:rPr>
      </w:pPr>
      <w:r w:rsidRPr="003C1B12">
        <w:rPr>
          <w:rFonts w:ascii="Times New Roman" w:hAnsi="Times New Roman" w:cs="Times New Roman"/>
          <w:sz w:val="24"/>
        </w:rPr>
        <w:t>Attēls Nr.</w:t>
      </w:r>
      <w:r w:rsidRPr="003C1B12">
        <w:rPr>
          <w:rFonts w:ascii="Times New Roman" w:hAnsi="Times New Roman" w:cs="Times New Roman"/>
          <w:sz w:val="24"/>
        </w:rPr>
        <w:fldChar w:fldCharType="begin"/>
      </w:r>
      <w:r w:rsidRPr="003C1B12">
        <w:rPr>
          <w:rFonts w:ascii="Times New Roman" w:hAnsi="Times New Roman" w:cs="Times New Roman"/>
          <w:sz w:val="24"/>
        </w:rPr>
        <w:instrText xml:space="preserve"> SEQ Attēls_Nr. \* ARABIC </w:instrText>
      </w:r>
      <w:r w:rsidRPr="003C1B12">
        <w:rPr>
          <w:rFonts w:ascii="Times New Roman" w:hAnsi="Times New Roman" w:cs="Times New Roman"/>
          <w:sz w:val="24"/>
        </w:rPr>
        <w:fldChar w:fldCharType="separate"/>
      </w:r>
      <w:r w:rsidR="00A379AF" w:rsidRPr="003C1B12">
        <w:rPr>
          <w:rFonts w:ascii="Times New Roman" w:hAnsi="Times New Roman" w:cs="Times New Roman"/>
          <w:noProof/>
          <w:sz w:val="24"/>
        </w:rPr>
        <w:t>7</w:t>
      </w:r>
      <w:r w:rsidRPr="003C1B12">
        <w:rPr>
          <w:rFonts w:ascii="Times New Roman" w:hAnsi="Times New Roman" w:cs="Times New Roman"/>
          <w:sz w:val="24"/>
        </w:rPr>
        <w:fldChar w:fldCharType="end"/>
      </w:r>
      <w:r w:rsidRPr="003C1B12">
        <w:rPr>
          <w:rFonts w:ascii="Times New Roman" w:hAnsi="Times New Roman" w:cs="Times New Roman"/>
          <w:sz w:val="24"/>
        </w:rPr>
        <w:t xml:space="preserve"> - Uzņēmējdarbības sektora ieguldījumu P&amp;A un mērķa rādītāja</w:t>
      </w:r>
    </w:p>
    <w:p w:rsidR="0083582E" w:rsidRPr="003C1B12" w:rsidRDefault="0090589F" w:rsidP="0090589F">
      <w:pPr>
        <w:spacing w:after="0" w:line="240" w:lineRule="auto"/>
        <w:jc w:val="center"/>
        <w:rPr>
          <w:rFonts w:ascii="Times New Roman" w:hAnsi="Times New Roman" w:cs="Times New Roman"/>
          <w:sz w:val="24"/>
        </w:rPr>
      </w:pPr>
      <w:r w:rsidRPr="003C1B12">
        <w:rPr>
          <w:rFonts w:ascii="Times New Roman" w:hAnsi="Times New Roman" w:cs="Times New Roman"/>
          <w:sz w:val="24"/>
        </w:rPr>
        <w:t xml:space="preserve">izpildes prognoze (milj. </w:t>
      </w:r>
      <w:r w:rsidRPr="003C1B12">
        <w:rPr>
          <w:rFonts w:ascii="Times New Roman" w:hAnsi="Times New Roman" w:cs="Times New Roman"/>
          <w:i/>
          <w:sz w:val="24"/>
        </w:rPr>
        <w:t>euro</w:t>
      </w:r>
      <w:r w:rsidRPr="003C1B12">
        <w:rPr>
          <w:rFonts w:ascii="Times New Roman" w:hAnsi="Times New Roman" w:cs="Times New Roman"/>
          <w:sz w:val="24"/>
        </w:rPr>
        <w:t>)</w:t>
      </w:r>
    </w:p>
    <w:p w:rsidR="0090589F" w:rsidRPr="003C1B12" w:rsidRDefault="0090589F" w:rsidP="00C57F70">
      <w:pPr>
        <w:spacing w:after="0" w:line="240" w:lineRule="auto"/>
        <w:ind w:firstLine="709"/>
        <w:jc w:val="both"/>
        <w:rPr>
          <w:rFonts w:ascii="Times New Roman" w:hAnsi="Times New Roman" w:cs="Times New Roman"/>
          <w:noProof/>
          <w:lang w:eastAsia="lv-LV"/>
        </w:rPr>
      </w:pPr>
    </w:p>
    <w:p w:rsidR="00CA7F80" w:rsidRPr="003C1B12" w:rsidRDefault="0083582E" w:rsidP="00C57F70">
      <w:pPr>
        <w:spacing w:after="0" w:line="240" w:lineRule="auto"/>
        <w:ind w:firstLine="709"/>
        <w:jc w:val="both"/>
        <w:rPr>
          <w:rFonts w:ascii="Times New Roman" w:hAnsi="Times New Roman" w:cs="Times New Roman"/>
          <w:sz w:val="24"/>
        </w:rPr>
      </w:pPr>
      <w:r w:rsidRPr="003C1B12">
        <w:rPr>
          <w:rFonts w:ascii="Times New Roman" w:hAnsi="Times New Roman" w:cs="Times New Roman"/>
          <w:noProof/>
          <w:sz w:val="24"/>
          <w:szCs w:val="24"/>
          <w:lang w:eastAsia="lv-LV"/>
        </w:rPr>
        <w:t>1.2.</w:t>
      </w:r>
      <w:r w:rsidR="00F05F7E" w:rsidRPr="003C1B12">
        <w:rPr>
          <w:rFonts w:ascii="Times New Roman" w:hAnsi="Times New Roman" w:cs="Times New Roman"/>
          <w:sz w:val="24"/>
          <w:szCs w:val="24"/>
        </w:rPr>
        <w:t>1.1.</w:t>
      </w:r>
      <w:r w:rsidR="00F05F7E" w:rsidRPr="003C1B12">
        <w:rPr>
          <w:rFonts w:ascii="Times New Roman" w:hAnsi="Times New Roman" w:cs="Times New Roman"/>
          <w:sz w:val="24"/>
        </w:rPr>
        <w:t>pasākuma ietvaros publiskie ieguldījumi P&amp;A plānoti 72,3 milj</w:t>
      </w:r>
      <w:r w:rsidR="002B0764" w:rsidRPr="003C1B12">
        <w:rPr>
          <w:rFonts w:ascii="Times New Roman" w:hAnsi="Times New Roman" w:cs="Times New Roman"/>
          <w:sz w:val="24"/>
        </w:rPr>
        <w:t xml:space="preserve">. </w:t>
      </w:r>
      <w:r w:rsidR="00CA7F80" w:rsidRPr="003C1B12">
        <w:rPr>
          <w:rFonts w:ascii="Times New Roman" w:hAnsi="Times New Roman" w:cs="Times New Roman"/>
          <w:i/>
          <w:sz w:val="24"/>
        </w:rPr>
        <w:t>euro</w:t>
      </w:r>
      <w:r w:rsidR="00CA7F80" w:rsidRPr="003C1B12">
        <w:rPr>
          <w:rFonts w:ascii="Times New Roman" w:hAnsi="Times New Roman" w:cs="Times New Roman"/>
          <w:sz w:val="24"/>
        </w:rPr>
        <w:t xml:space="preserve"> </w:t>
      </w:r>
      <w:r w:rsidRPr="003C1B12">
        <w:rPr>
          <w:rFonts w:ascii="Times New Roman" w:hAnsi="Times New Roman" w:cs="Times New Roman"/>
          <w:sz w:val="24"/>
        </w:rPr>
        <w:t xml:space="preserve">apjomā </w:t>
      </w:r>
      <w:r w:rsidR="00F05F7E" w:rsidRPr="003C1B12">
        <w:rPr>
          <w:rFonts w:ascii="Times New Roman" w:hAnsi="Times New Roman" w:cs="Times New Roman"/>
          <w:sz w:val="24"/>
        </w:rPr>
        <w:t xml:space="preserve">un ņemot vērā vidējo atbalsta intensitāti </w:t>
      </w:r>
      <w:r w:rsidR="00CA7F80" w:rsidRPr="003C1B12">
        <w:rPr>
          <w:rFonts w:ascii="Times New Roman" w:hAnsi="Times New Roman" w:cs="Times New Roman"/>
          <w:sz w:val="24"/>
        </w:rPr>
        <w:t xml:space="preserve">pasākuma ietvaros </w:t>
      </w:r>
      <w:r w:rsidR="00F05F7E" w:rsidRPr="003C1B12">
        <w:rPr>
          <w:rFonts w:ascii="Times New Roman" w:hAnsi="Times New Roman" w:cs="Times New Roman"/>
          <w:sz w:val="24"/>
        </w:rPr>
        <w:t xml:space="preserve">plānots piesaistīt </w:t>
      </w:r>
      <w:r w:rsidR="002B0764" w:rsidRPr="003C1B12">
        <w:rPr>
          <w:rFonts w:ascii="Times New Roman" w:hAnsi="Times New Roman" w:cs="Times New Roman"/>
          <w:sz w:val="24"/>
        </w:rPr>
        <w:t xml:space="preserve">uzņēmējdarbības sektora ieguldījumus </w:t>
      </w:r>
      <w:r w:rsidR="00CA7F80" w:rsidRPr="003C1B12">
        <w:rPr>
          <w:rFonts w:ascii="Times New Roman" w:hAnsi="Times New Roman" w:cs="Times New Roman"/>
          <w:sz w:val="24"/>
        </w:rPr>
        <w:t xml:space="preserve">vismaz </w:t>
      </w:r>
      <w:r w:rsidR="00B34D4A" w:rsidRPr="003C1B12">
        <w:rPr>
          <w:rFonts w:ascii="Times New Roman" w:hAnsi="Times New Roman" w:cs="Times New Roman"/>
          <w:sz w:val="24"/>
        </w:rPr>
        <w:t xml:space="preserve">30 milj. </w:t>
      </w:r>
      <w:r w:rsidR="00B34D4A" w:rsidRPr="003C1B12">
        <w:rPr>
          <w:rFonts w:ascii="Times New Roman" w:hAnsi="Times New Roman" w:cs="Times New Roman"/>
          <w:i/>
          <w:sz w:val="24"/>
        </w:rPr>
        <w:t>euro</w:t>
      </w:r>
      <w:r w:rsidR="00B34D4A" w:rsidRPr="003C1B12">
        <w:rPr>
          <w:rFonts w:ascii="Times New Roman" w:hAnsi="Times New Roman" w:cs="Times New Roman"/>
          <w:sz w:val="24"/>
        </w:rPr>
        <w:t xml:space="preserve"> apmēra.</w:t>
      </w:r>
      <w:r w:rsidR="00CA7F80" w:rsidRPr="003C1B12">
        <w:rPr>
          <w:rFonts w:ascii="Times New Roman" w:hAnsi="Times New Roman" w:cs="Times New Roman"/>
          <w:sz w:val="24"/>
        </w:rPr>
        <w:t xml:space="preserve"> </w:t>
      </w:r>
      <w:r w:rsidRPr="003C1B12">
        <w:rPr>
          <w:rFonts w:ascii="Times New Roman" w:hAnsi="Times New Roman" w:cs="Times New Roman"/>
          <w:sz w:val="24"/>
        </w:rPr>
        <w:t>Līdz ar to tiešie pasākuma ieguldījumi uzņēmējdar</w:t>
      </w:r>
      <w:r w:rsidR="00B34D4A" w:rsidRPr="003C1B12">
        <w:rPr>
          <w:rFonts w:ascii="Times New Roman" w:hAnsi="Times New Roman" w:cs="Times New Roman"/>
          <w:sz w:val="24"/>
        </w:rPr>
        <w:t xml:space="preserve">bības sektorā varētu būt vismaz 100 milj. </w:t>
      </w:r>
      <w:r w:rsidR="00B34D4A" w:rsidRPr="003C1B12">
        <w:rPr>
          <w:rFonts w:ascii="Times New Roman" w:hAnsi="Times New Roman" w:cs="Times New Roman"/>
          <w:i/>
          <w:sz w:val="24"/>
        </w:rPr>
        <w:t>euro</w:t>
      </w:r>
      <w:r w:rsidRPr="003C1B12">
        <w:rPr>
          <w:rFonts w:ascii="Times New Roman" w:hAnsi="Times New Roman" w:cs="Times New Roman"/>
          <w:sz w:val="24"/>
        </w:rPr>
        <w:t xml:space="preserve"> 6 gadu laikā. </w:t>
      </w:r>
      <w:r w:rsidR="00CA7F80" w:rsidRPr="003C1B12">
        <w:rPr>
          <w:rFonts w:ascii="Times New Roman" w:hAnsi="Times New Roman" w:cs="Times New Roman"/>
          <w:sz w:val="24"/>
        </w:rPr>
        <w:t>Vienlaicīgi ņemot vēr</w:t>
      </w:r>
      <w:r w:rsidR="00BD33E1" w:rsidRPr="003C1B12">
        <w:rPr>
          <w:rFonts w:ascii="Times New Roman" w:hAnsi="Times New Roman" w:cs="Times New Roman"/>
          <w:sz w:val="24"/>
        </w:rPr>
        <w:t>ā</w:t>
      </w:r>
      <w:r w:rsidR="00CA7F80" w:rsidRPr="003C1B12">
        <w:rPr>
          <w:rFonts w:ascii="Times New Roman" w:hAnsi="Times New Roman" w:cs="Times New Roman"/>
          <w:sz w:val="24"/>
        </w:rPr>
        <w:t xml:space="preserve"> pasākuma ietvaros plānotās atbalstāmās darbības ir sagaidāma netieša ietekme uz P&amp;A ieguldījumu pieaugumu uzņēmumos pēc projektu īstenošanas.</w:t>
      </w:r>
      <w:r w:rsidRPr="003C1B12">
        <w:rPr>
          <w:rFonts w:ascii="Times New Roman" w:hAnsi="Times New Roman" w:cs="Times New Roman"/>
          <w:sz w:val="24"/>
        </w:rPr>
        <w:t xml:space="preserve"> Netiešo ietekmi ieteicams vērtēt 3-5 gadu laikā pēc projektu īstenošanas.</w:t>
      </w:r>
    </w:p>
    <w:p w:rsidR="0083582E" w:rsidRPr="003C1B12" w:rsidRDefault="00E0712A" w:rsidP="00C57F70">
      <w:pPr>
        <w:spacing w:after="0" w:line="240" w:lineRule="auto"/>
        <w:ind w:firstLine="709"/>
        <w:jc w:val="both"/>
        <w:rPr>
          <w:rFonts w:ascii="Times New Roman" w:hAnsi="Times New Roman" w:cs="Times New Roman"/>
          <w:sz w:val="24"/>
        </w:rPr>
      </w:pPr>
      <w:r w:rsidRPr="003C1B12">
        <w:rPr>
          <w:rFonts w:ascii="Times New Roman" w:hAnsi="Times New Roman" w:cs="Times New Roman"/>
          <w:noProof/>
          <w:sz w:val="24"/>
          <w:szCs w:val="24"/>
          <w:lang w:eastAsia="lv-LV"/>
        </w:rPr>
        <w:t>1.2.</w:t>
      </w:r>
      <w:r w:rsidRPr="003C1B12">
        <w:rPr>
          <w:rFonts w:ascii="Times New Roman" w:hAnsi="Times New Roman" w:cs="Times New Roman"/>
          <w:sz w:val="24"/>
          <w:szCs w:val="24"/>
        </w:rPr>
        <w:t>1.1.</w:t>
      </w:r>
      <w:r w:rsidR="00B34D4A" w:rsidRPr="003C1B12">
        <w:rPr>
          <w:rFonts w:ascii="Times New Roman" w:hAnsi="Times New Roman" w:cs="Times New Roman"/>
          <w:sz w:val="24"/>
        </w:rPr>
        <w:t>p</w:t>
      </w:r>
      <w:r w:rsidRPr="003C1B12">
        <w:rPr>
          <w:rFonts w:ascii="Times New Roman" w:hAnsi="Times New Roman" w:cs="Times New Roman"/>
          <w:sz w:val="24"/>
        </w:rPr>
        <w:t>asākuma noteikti sekojoši iznākuma rādītāji</w:t>
      </w:r>
      <w:r w:rsidR="001F0B1E" w:rsidRPr="003C1B12">
        <w:rPr>
          <w:rStyle w:val="FootnoteReference"/>
          <w:rFonts w:ascii="Times New Roman" w:hAnsi="Times New Roman" w:cs="Times New Roman"/>
          <w:sz w:val="24"/>
        </w:rPr>
        <w:footnoteReference w:id="16"/>
      </w:r>
      <w:r w:rsidRPr="003C1B12">
        <w:rPr>
          <w:rFonts w:ascii="Times New Roman" w:hAnsi="Times New Roman" w:cs="Times New Roman"/>
          <w:sz w:val="24"/>
        </w:rPr>
        <w:t>:</w:t>
      </w:r>
    </w:p>
    <w:p w:rsidR="00E0712A" w:rsidRPr="003C1B12" w:rsidRDefault="00E0712A" w:rsidP="009D209C">
      <w:pPr>
        <w:pStyle w:val="ListParagraph"/>
        <w:numPr>
          <w:ilvl w:val="0"/>
          <w:numId w:val="29"/>
        </w:numPr>
        <w:spacing w:after="0" w:line="240" w:lineRule="auto"/>
        <w:jc w:val="both"/>
        <w:rPr>
          <w:rFonts w:ascii="Times New Roman" w:hAnsi="Times New Roman" w:cs="Times New Roman"/>
          <w:sz w:val="24"/>
        </w:rPr>
      </w:pPr>
      <w:r w:rsidRPr="003C1B12">
        <w:rPr>
          <w:rFonts w:ascii="Times New Roman" w:hAnsi="Times New Roman" w:cs="Times New Roman"/>
          <w:sz w:val="24"/>
        </w:rPr>
        <w:t>Atbalstīto komersantu skaits -100;</w:t>
      </w:r>
    </w:p>
    <w:p w:rsidR="00E0712A" w:rsidRPr="003C1B12" w:rsidRDefault="00E0712A" w:rsidP="009D209C">
      <w:pPr>
        <w:pStyle w:val="ListParagraph"/>
        <w:numPr>
          <w:ilvl w:val="0"/>
          <w:numId w:val="29"/>
        </w:numPr>
        <w:spacing w:after="0" w:line="240" w:lineRule="auto"/>
        <w:jc w:val="both"/>
        <w:rPr>
          <w:rFonts w:ascii="Times New Roman" w:hAnsi="Times New Roman" w:cs="Times New Roman"/>
          <w:sz w:val="24"/>
        </w:rPr>
      </w:pPr>
      <w:r w:rsidRPr="003C1B12">
        <w:rPr>
          <w:rFonts w:ascii="Times New Roman" w:hAnsi="Times New Roman" w:cs="Times New Roman"/>
          <w:sz w:val="24"/>
        </w:rPr>
        <w:t>Atbalstīto komersantu skaits, kas saņem grantus -100;</w:t>
      </w:r>
    </w:p>
    <w:p w:rsidR="00E0712A" w:rsidRPr="003C1B12" w:rsidRDefault="00E0712A" w:rsidP="009D209C">
      <w:pPr>
        <w:pStyle w:val="ListParagraph"/>
        <w:numPr>
          <w:ilvl w:val="0"/>
          <w:numId w:val="29"/>
        </w:numPr>
        <w:spacing w:after="0" w:line="240" w:lineRule="auto"/>
        <w:jc w:val="both"/>
        <w:rPr>
          <w:rFonts w:ascii="Times New Roman" w:hAnsi="Times New Roman" w:cs="Times New Roman"/>
          <w:sz w:val="24"/>
        </w:rPr>
      </w:pPr>
      <w:r w:rsidRPr="003C1B12">
        <w:rPr>
          <w:rFonts w:ascii="Times New Roman" w:hAnsi="Times New Roman" w:cs="Times New Roman"/>
          <w:sz w:val="24"/>
        </w:rPr>
        <w:lastRenderedPageBreak/>
        <w:t>To komersantu skaits, kuri saņem atbalstu, lai laistu tirgū jaunus produktus -100</w:t>
      </w:r>
    </w:p>
    <w:p w:rsidR="00E0712A" w:rsidRPr="003C1B12" w:rsidRDefault="00E0712A" w:rsidP="00C910BE">
      <w:pPr>
        <w:spacing w:after="0" w:line="240" w:lineRule="auto"/>
        <w:ind w:firstLine="709"/>
        <w:jc w:val="both"/>
        <w:rPr>
          <w:rFonts w:ascii="Times New Roman" w:hAnsi="Times New Roman" w:cs="Times New Roman"/>
          <w:sz w:val="24"/>
        </w:rPr>
      </w:pPr>
      <w:r w:rsidRPr="003C1B12">
        <w:rPr>
          <w:rFonts w:ascii="Times New Roman" w:hAnsi="Times New Roman" w:cs="Times New Roman"/>
          <w:noProof/>
          <w:sz w:val="24"/>
          <w:szCs w:val="24"/>
          <w:lang w:eastAsia="lv-LV"/>
        </w:rPr>
        <w:t>1.2.</w:t>
      </w:r>
      <w:r w:rsidRPr="003C1B12">
        <w:rPr>
          <w:rFonts w:ascii="Times New Roman" w:hAnsi="Times New Roman" w:cs="Times New Roman"/>
          <w:sz w:val="24"/>
          <w:szCs w:val="24"/>
        </w:rPr>
        <w:t>1.1.</w:t>
      </w:r>
      <w:r w:rsidR="00B34D4A" w:rsidRPr="003C1B12">
        <w:rPr>
          <w:rFonts w:ascii="Times New Roman" w:hAnsi="Times New Roman" w:cs="Times New Roman"/>
          <w:sz w:val="24"/>
        </w:rPr>
        <w:t>pasākuma noteikti</w:t>
      </w:r>
      <w:r w:rsidRPr="003C1B12">
        <w:rPr>
          <w:rFonts w:ascii="Times New Roman" w:hAnsi="Times New Roman" w:cs="Times New Roman"/>
          <w:sz w:val="24"/>
        </w:rPr>
        <w:t xml:space="preserve"> </w:t>
      </w:r>
      <w:r w:rsidR="0049380D" w:rsidRPr="003C1B12">
        <w:rPr>
          <w:rFonts w:ascii="Times New Roman" w:hAnsi="Times New Roman" w:cs="Times New Roman"/>
          <w:sz w:val="24"/>
        </w:rPr>
        <w:t xml:space="preserve">specifiskais </w:t>
      </w:r>
      <w:r w:rsidR="00745AD5" w:rsidRPr="003C1B12">
        <w:rPr>
          <w:rFonts w:ascii="Times New Roman" w:hAnsi="Times New Roman" w:cs="Times New Roman"/>
          <w:sz w:val="24"/>
        </w:rPr>
        <w:t>iznākuma</w:t>
      </w:r>
      <w:r w:rsidR="0049380D" w:rsidRPr="003C1B12">
        <w:rPr>
          <w:rFonts w:ascii="Times New Roman" w:hAnsi="Times New Roman" w:cs="Times New Roman"/>
          <w:sz w:val="24"/>
        </w:rPr>
        <w:t xml:space="preserve"> rādītājs</w:t>
      </w:r>
      <w:r w:rsidR="00C910BE" w:rsidRPr="003C1B12">
        <w:rPr>
          <w:rFonts w:ascii="Times New Roman" w:hAnsi="Times New Roman" w:cs="Times New Roman"/>
          <w:sz w:val="24"/>
        </w:rPr>
        <w:t xml:space="preserve"> </w:t>
      </w:r>
      <w:r w:rsidR="004F251C" w:rsidRPr="003C1B12">
        <w:rPr>
          <w:rFonts w:ascii="Times New Roman" w:hAnsi="Times New Roman" w:cs="Times New Roman"/>
          <w:sz w:val="24"/>
        </w:rPr>
        <w:t>ir</w:t>
      </w:r>
      <w:r w:rsidR="00C910BE" w:rsidRPr="003C1B12">
        <w:rPr>
          <w:rFonts w:ascii="Times New Roman" w:hAnsi="Times New Roman" w:cs="Times New Roman"/>
          <w:sz w:val="24"/>
        </w:rPr>
        <w:t xml:space="preserve"> j</w:t>
      </w:r>
      <w:r w:rsidRPr="003C1B12">
        <w:rPr>
          <w:rFonts w:ascii="Times New Roman" w:hAnsi="Times New Roman" w:cs="Times New Roman"/>
          <w:sz w:val="24"/>
        </w:rPr>
        <w:t>aunradīto produktu un tehnoloģiju skaits atbalstītajos uzņēmumos pēc atbalsta saņemšanas</w:t>
      </w:r>
      <w:r w:rsidR="004F251C" w:rsidRPr="003C1B12">
        <w:rPr>
          <w:rFonts w:ascii="Times New Roman" w:hAnsi="Times New Roman" w:cs="Times New Roman"/>
          <w:sz w:val="24"/>
        </w:rPr>
        <w:t xml:space="preserve"> un tā vērtība tiek noteikta </w:t>
      </w:r>
      <w:r w:rsidR="00714E8A" w:rsidRPr="003C1B12">
        <w:rPr>
          <w:rFonts w:ascii="Times New Roman" w:hAnsi="Times New Roman" w:cs="Times New Roman"/>
          <w:sz w:val="24"/>
        </w:rPr>
        <w:t xml:space="preserve">1-3 gadus </w:t>
      </w:r>
      <w:r w:rsidR="004F251C" w:rsidRPr="003C1B12">
        <w:rPr>
          <w:rFonts w:ascii="Times New Roman" w:hAnsi="Times New Roman" w:cs="Times New Roman"/>
          <w:sz w:val="24"/>
        </w:rPr>
        <w:t>pēc projektu rezultātu ieviešanas pabeigšanas</w:t>
      </w:r>
      <w:r w:rsidR="00B34D4A" w:rsidRPr="003C1B12">
        <w:rPr>
          <w:rFonts w:ascii="Times New Roman" w:hAnsi="Times New Roman" w:cs="Times New Roman"/>
          <w:sz w:val="24"/>
        </w:rPr>
        <w:t>.</w:t>
      </w:r>
    </w:p>
    <w:p w:rsidR="001F0B1E" w:rsidRPr="003C1B12" w:rsidRDefault="001F0B1E" w:rsidP="00C57F70">
      <w:pPr>
        <w:spacing w:after="0" w:line="240" w:lineRule="auto"/>
        <w:ind w:firstLine="709"/>
        <w:jc w:val="both"/>
        <w:rPr>
          <w:rFonts w:ascii="Times New Roman" w:hAnsi="Times New Roman" w:cs="Times New Roman"/>
          <w:sz w:val="24"/>
        </w:rPr>
      </w:pPr>
    </w:p>
    <w:p w:rsidR="007563B2" w:rsidRPr="003C1B12" w:rsidRDefault="00C910BE" w:rsidP="00C57F70">
      <w:pPr>
        <w:spacing w:after="0" w:line="240" w:lineRule="auto"/>
        <w:ind w:firstLine="709"/>
        <w:jc w:val="both"/>
        <w:rPr>
          <w:rFonts w:ascii="Times New Roman" w:hAnsi="Times New Roman" w:cs="Times New Roman"/>
          <w:sz w:val="24"/>
        </w:rPr>
      </w:pPr>
      <w:r w:rsidRPr="003C1B12">
        <w:rPr>
          <w:rFonts w:ascii="Times New Roman" w:hAnsi="Times New Roman" w:cs="Times New Roman"/>
          <w:sz w:val="24"/>
        </w:rPr>
        <w:t>Papildus, lai veicinātu pasākuma ietekmi uz politikas plānošanas dokumentos noteikto pētniecības un inovācijas mērķu sasniegšanu</w:t>
      </w:r>
      <w:r w:rsidR="00241DD2" w:rsidRPr="003C1B12">
        <w:rPr>
          <w:rFonts w:ascii="Times New Roman" w:hAnsi="Times New Roman" w:cs="Times New Roman"/>
          <w:sz w:val="24"/>
        </w:rPr>
        <w:t xml:space="preserve"> un izvērtētu veikto ieguldījumu atbilstību viedās specializācijas stratēģijai</w:t>
      </w:r>
      <w:r w:rsidRPr="003C1B12">
        <w:rPr>
          <w:rFonts w:ascii="Times New Roman" w:hAnsi="Times New Roman" w:cs="Times New Roman"/>
          <w:sz w:val="24"/>
        </w:rPr>
        <w:t xml:space="preserve"> </w:t>
      </w:r>
      <w:r w:rsidR="007563B2" w:rsidRPr="003C1B12">
        <w:rPr>
          <w:rFonts w:ascii="Times New Roman" w:hAnsi="Times New Roman" w:cs="Times New Roman"/>
          <w:sz w:val="24"/>
        </w:rPr>
        <w:t>nepieciešam</w:t>
      </w:r>
      <w:r w:rsidR="0021547B" w:rsidRPr="003C1B12">
        <w:rPr>
          <w:rFonts w:ascii="Times New Roman" w:hAnsi="Times New Roman" w:cs="Times New Roman"/>
          <w:sz w:val="24"/>
        </w:rPr>
        <w:t>s</w:t>
      </w:r>
      <w:r w:rsidR="007563B2" w:rsidRPr="003C1B12">
        <w:rPr>
          <w:rFonts w:ascii="Times New Roman" w:hAnsi="Times New Roman" w:cs="Times New Roman"/>
          <w:sz w:val="24"/>
        </w:rPr>
        <w:t xml:space="preserve"> </w:t>
      </w:r>
      <w:r w:rsidR="004C78F4" w:rsidRPr="003C1B12">
        <w:rPr>
          <w:rFonts w:ascii="Times New Roman" w:hAnsi="Times New Roman" w:cs="Times New Roman"/>
          <w:sz w:val="24"/>
        </w:rPr>
        <w:t>uzkrāt informāciju par papildu</w:t>
      </w:r>
      <w:r w:rsidR="007563B2" w:rsidRPr="003C1B12">
        <w:rPr>
          <w:rFonts w:ascii="Times New Roman" w:hAnsi="Times New Roman" w:cs="Times New Roman"/>
          <w:sz w:val="24"/>
        </w:rPr>
        <w:t xml:space="preserve"> rādītāj</w:t>
      </w:r>
      <w:r w:rsidR="004C78F4" w:rsidRPr="003C1B12">
        <w:rPr>
          <w:rFonts w:ascii="Times New Roman" w:hAnsi="Times New Roman" w:cs="Times New Roman"/>
          <w:sz w:val="24"/>
        </w:rPr>
        <w:t>iem</w:t>
      </w:r>
      <w:r w:rsidR="00896B40" w:rsidRPr="003C1B12">
        <w:rPr>
          <w:rFonts w:ascii="Times New Roman" w:hAnsi="Times New Roman" w:cs="Times New Roman"/>
          <w:sz w:val="24"/>
        </w:rPr>
        <w:t xml:space="preserve"> (sk. tabulā Nr.1</w:t>
      </w:r>
      <w:r w:rsidR="00205A56" w:rsidRPr="003C1B12">
        <w:rPr>
          <w:rFonts w:ascii="Times New Roman" w:hAnsi="Times New Roman" w:cs="Times New Roman"/>
          <w:sz w:val="24"/>
        </w:rPr>
        <w:t>2</w:t>
      </w:r>
      <w:r w:rsidR="007866D5" w:rsidRPr="003C1B12">
        <w:rPr>
          <w:rFonts w:ascii="Times New Roman" w:hAnsi="Times New Roman" w:cs="Times New Roman"/>
          <w:sz w:val="24"/>
        </w:rPr>
        <w:t>).</w:t>
      </w:r>
    </w:p>
    <w:p w:rsidR="000A6181" w:rsidRPr="003C1B12" w:rsidRDefault="000A6181" w:rsidP="000A6181">
      <w:pPr>
        <w:spacing w:after="0" w:line="240" w:lineRule="auto"/>
        <w:ind w:firstLine="709"/>
        <w:jc w:val="right"/>
        <w:rPr>
          <w:rFonts w:ascii="Times New Roman" w:hAnsi="Times New Roman" w:cs="Times New Roman"/>
          <w:sz w:val="24"/>
          <w:szCs w:val="24"/>
        </w:rPr>
      </w:pPr>
      <w:r w:rsidRPr="003C1B12">
        <w:rPr>
          <w:rFonts w:ascii="Times New Roman" w:hAnsi="Times New Roman" w:cs="Times New Roman"/>
          <w:sz w:val="24"/>
          <w:szCs w:val="24"/>
        </w:rPr>
        <w:t>Tabula Nr.</w:t>
      </w:r>
      <w:r w:rsidR="00205A56" w:rsidRPr="003C1B12">
        <w:rPr>
          <w:rFonts w:ascii="Times New Roman" w:hAnsi="Times New Roman" w:cs="Times New Roman"/>
          <w:sz w:val="24"/>
          <w:szCs w:val="24"/>
        </w:rPr>
        <w:t>12</w:t>
      </w:r>
    </w:p>
    <w:p w:rsidR="000A6181" w:rsidRPr="003C1B12" w:rsidRDefault="001F41D4" w:rsidP="000A6181">
      <w:pPr>
        <w:spacing w:after="120" w:line="240" w:lineRule="auto"/>
        <w:jc w:val="center"/>
        <w:rPr>
          <w:rFonts w:ascii="Times New Roman" w:hAnsi="Times New Roman" w:cs="Times New Roman"/>
          <w:sz w:val="24"/>
        </w:rPr>
      </w:pPr>
      <w:r w:rsidRPr="003C1B12">
        <w:rPr>
          <w:rFonts w:ascii="Times New Roman" w:hAnsi="Times New Roman" w:cs="Times New Roman"/>
          <w:sz w:val="24"/>
        </w:rPr>
        <w:t>Papildus iznākuma rādītāji</w:t>
      </w:r>
    </w:p>
    <w:tbl>
      <w:tblPr>
        <w:tblStyle w:val="TableGrid"/>
        <w:tblW w:w="0" w:type="auto"/>
        <w:jc w:val="center"/>
        <w:tblLook w:val="04A0" w:firstRow="1" w:lastRow="0" w:firstColumn="1" w:lastColumn="0" w:noHBand="0" w:noVBand="1"/>
      </w:tblPr>
      <w:tblGrid>
        <w:gridCol w:w="3892"/>
        <w:gridCol w:w="4750"/>
      </w:tblGrid>
      <w:tr w:rsidR="004B301D" w:rsidRPr="003C1B12" w:rsidTr="00BA318B">
        <w:trPr>
          <w:jc w:val="center"/>
        </w:trPr>
        <w:tc>
          <w:tcPr>
            <w:tcW w:w="3892" w:type="dxa"/>
          </w:tcPr>
          <w:p w:rsidR="004B301D" w:rsidRPr="003C1B12" w:rsidRDefault="004B301D" w:rsidP="005402FB">
            <w:pPr>
              <w:jc w:val="center"/>
              <w:rPr>
                <w:rFonts w:ascii="Times New Roman" w:hAnsi="Times New Roman" w:cs="Times New Roman"/>
                <w:b/>
                <w:sz w:val="20"/>
                <w:szCs w:val="20"/>
              </w:rPr>
            </w:pPr>
            <w:r w:rsidRPr="003C1B12">
              <w:rPr>
                <w:rFonts w:ascii="Times New Roman" w:hAnsi="Times New Roman" w:cs="Times New Roman"/>
                <w:b/>
                <w:sz w:val="20"/>
                <w:szCs w:val="20"/>
              </w:rPr>
              <w:t>Rādītājs</w:t>
            </w:r>
          </w:p>
        </w:tc>
        <w:tc>
          <w:tcPr>
            <w:tcW w:w="4750" w:type="dxa"/>
          </w:tcPr>
          <w:p w:rsidR="004B301D" w:rsidRPr="003C1B12" w:rsidRDefault="004B301D" w:rsidP="00A10D88">
            <w:pPr>
              <w:jc w:val="center"/>
              <w:rPr>
                <w:rFonts w:ascii="Times New Roman" w:hAnsi="Times New Roman" w:cs="Times New Roman"/>
                <w:b/>
                <w:sz w:val="20"/>
                <w:szCs w:val="20"/>
              </w:rPr>
            </w:pPr>
            <w:r w:rsidRPr="003C1B12">
              <w:rPr>
                <w:rFonts w:ascii="Times New Roman" w:hAnsi="Times New Roman" w:cs="Times New Roman"/>
                <w:b/>
                <w:sz w:val="20"/>
                <w:szCs w:val="20"/>
              </w:rPr>
              <w:t>Datu uzkrāšana un iegūšana</w:t>
            </w:r>
          </w:p>
        </w:tc>
      </w:tr>
      <w:tr w:rsidR="004B301D" w:rsidRPr="003C1B12" w:rsidTr="00AC4E0A">
        <w:trPr>
          <w:jc w:val="center"/>
        </w:trPr>
        <w:tc>
          <w:tcPr>
            <w:tcW w:w="8642" w:type="dxa"/>
            <w:gridSpan w:val="2"/>
          </w:tcPr>
          <w:p w:rsidR="004B301D" w:rsidRPr="003C1B12" w:rsidRDefault="004B301D" w:rsidP="00BA318B">
            <w:pPr>
              <w:rPr>
                <w:rFonts w:ascii="Times New Roman" w:hAnsi="Times New Roman" w:cs="Times New Roman"/>
                <w:b/>
                <w:sz w:val="20"/>
                <w:szCs w:val="20"/>
              </w:rPr>
            </w:pPr>
            <w:r w:rsidRPr="003C1B12">
              <w:rPr>
                <w:rFonts w:ascii="Times New Roman" w:hAnsi="Times New Roman" w:cs="Times New Roman"/>
                <w:b/>
                <w:sz w:val="20"/>
                <w:szCs w:val="20"/>
              </w:rPr>
              <w:t>Uzņēmējdarbības sektora ieguldījumu P&amp;A pieaugums</w:t>
            </w:r>
          </w:p>
        </w:tc>
      </w:tr>
      <w:tr w:rsidR="004B301D" w:rsidRPr="003C1B12" w:rsidTr="00BA318B">
        <w:trPr>
          <w:jc w:val="center"/>
        </w:trPr>
        <w:tc>
          <w:tcPr>
            <w:tcW w:w="3892" w:type="dxa"/>
          </w:tcPr>
          <w:p w:rsidR="004B301D" w:rsidRPr="003C1B12" w:rsidRDefault="004B301D" w:rsidP="00E7769C">
            <w:pPr>
              <w:jc w:val="both"/>
              <w:rPr>
                <w:rFonts w:ascii="Times New Roman" w:hAnsi="Times New Roman" w:cs="Times New Roman"/>
                <w:sz w:val="20"/>
                <w:szCs w:val="20"/>
              </w:rPr>
            </w:pPr>
            <w:r w:rsidRPr="003C1B12">
              <w:rPr>
                <w:rFonts w:ascii="Times New Roman" w:hAnsi="Times New Roman" w:cs="Times New Roman"/>
                <w:sz w:val="20"/>
                <w:szCs w:val="20"/>
              </w:rPr>
              <w:t>Komersantu līdzfinansējums projekta P&amp;A darbību īstenošanai</w:t>
            </w:r>
          </w:p>
        </w:tc>
        <w:tc>
          <w:tcPr>
            <w:tcW w:w="4750" w:type="dxa"/>
          </w:tcPr>
          <w:p w:rsidR="004B301D" w:rsidRPr="003C1B12" w:rsidRDefault="004B301D" w:rsidP="0021547B">
            <w:pPr>
              <w:rPr>
                <w:rFonts w:ascii="Times New Roman" w:hAnsi="Times New Roman" w:cs="Times New Roman"/>
                <w:sz w:val="20"/>
                <w:szCs w:val="20"/>
              </w:rPr>
            </w:pPr>
            <w:r w:rsidRPr="003C1B12">
              <w:rPr>
                <w:rFonts w:ascii="Times New Roman" w:hAnsi="Times New Roman" w:cs="Times New Roman"/>
                <w:sz w:val="20"/>
                <w:szCs w:val="20"/>
              </w:rPr>
              <w:t>Datu turētājs: CFLA</w:t>
            </w:r>
          </w:p>
          <w:p w:rsidR="004B301D" w:rsidRPr="003C1B12" w:rsidRDefault="004B301D" w:rsidP="0021547B">
            <w:pPr>
              <w:rPr>
                <w:rFonts w:ascii="Times New Roman" w:hAnsi="Times New Roman" w:cs="Times New Roman"/>
                <w:sz w:val="20"/>
                <w:szCs w:val="20"/>
              </w:rPr>
            </w:pPr>
            <w:r w:rsidRPr="003C1B12">
              <w:rPr>
                <w:rFonts w:ascii="Times New Roman" w:hAnsi="Times New Roman" w:cs="Times New Roman"/>
                <w:sz w:val="20"/>
                <w:szCs w:val="20"/>
              </w:rPr>
              <w:t>Datu avots: KC  projekta atskaites</w:t>
            </w:r>
          </w:p>
          <w:p w:rsidR="004B301D" w:rsidRPr="003C1B12" w:rsidRDefault="004B301D" w:rsidP="0021547B">
            <w:pPr>
              <w:rPr>
                <w:rFonts w:ascii="Times New Roman" w:hAnsi="Times New Roman" w:cs="Times New Roman"/>
                <w:sz w:val="20"/>
                <w:szCs w:val="20"/>
              </w:rPr>
            </w:pPr>
            <w:r w:rsidRPr="003C1B12">
              <w:rPr>
                <w:rFonts w:ascii="Times New Roman" w:hAnsi="Times New Roman" w:cs="Times New Roman"/>
                <w:sz w:val="20"/>
                <w:szCs w:val="20"/>
              </w:rPr>
              <w:t>Datu iegūšanas metode: No KPF VIS</w:t>
            </w:r>
            <w:r w:rsidRPr="003C1B12">
              <w:rPr>
                <w:rStyle w:val="FootnoteReference"/>
                <w:rFonts w:ascii="Times New Roman" w:hAnsi="Times New Roman" w:cs="Times New Roman"/>
                <w:sz w:val="20"/>
                <w:szCs w:val="20"/>
              </w:rPr>
              <w:footnoteReference w:id="17"/>
            </w:r>
          </w:p>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Periods: Atbalsta sniegšanas periods</w:t>
            </w:r>
          </w:p>
        </w:tc>
      </w:tr>
      <w:tr w:rsidR="004B301D" w:rsidRPr="003C1B12" w:rsidTr="00BA318B">
        <w:trPr>
          <w:jc w:val="center"/>
        </w:trPr>
        <w:tc>
          <w:tcPr>
            <w:tcW w:w="3892" w:type="dxa"/>
          </w:tcPr>
          <w:p w:rsidR="004B301D" w:rsidRPr="003C1B12" w:rsidRDefault="004B301D" w:rsidP="0021547B">
            <w:pPr>
              <w:jc w:val="both"/>
              <w:rPr>
                <w:rFonts w:ascii="Times New Roman" w:hAnsi="Times New Roman" w:cs="Times New Roman"/>
                <w:sz w:val="20"/>
                <w:szCs w:val="20"/>
              </w:rPr>
            </w:pPr>
            <w:r w:rsidRPr="003C1B12">
              <w:rPr>
                <w:rFonts w:ascii="Times New Roman" w:hAnsi="Times New Roman" w:cs="Times New Roman"/>
                <w:sz w:val="20"/>
                <w:szCs w:val="20"/>
              </w:rPr>
              <w:t>Komersantu ieguldījumi P&amp;A pēc projektu ieviešanas.</w:t>
            </w:r>
          </w:p>
        </w:tc>
        <w:tc>
          <w:tcPr>
            <w:tcW w:w="4750" w:type="dxa"/>
          </w:tcPr>
          <w:p w:rsidR="004B301D" w:rsidRPr="003C1B12" w:rsidRDefault="004B301D" w:rsidP="00957231">
            <w:pPr>
              <w:rPr>
                <w:rFonts w:ascii="Times New Roman" w:hAnsi="Times New Roman" w:cs="Times New Roman"/>
                <w:sz w:val="20"/>
                <w:szCs w:val="20"/>
              </w:rPr>
            </w:pPr>
            <w:r w:rsidRPr="003C1B12">
              <w:rPr>
                <w:rFonts w:ascii="Times New Roman" w:hAnsi="Times New Roman" w:cs="Times New Roman"/>
                <w:sz w:val="20"/>
                <w:szCs w:val="20"/>
              </w:rPr>
              <w:t>Datu turētājs: KC</w:t>
            </w:r>
          </w:p>
          <w:p w:rsidR="004B301D" w:rsidRPr="003C1B12" w:rsidRDefault="004B301D" w:rsidP="00957231">
            <w:pPr>
              <w:rPr>
                <w:rFonts w:ascii="Times New Roman" w:hAnsi="Times New Roman" w:cs="Times New Roman"/>
                <w:sz w:val="20"/>
                <w:szCs w:val="20"/>
              </w:rPr>
            </w:pPr>
            <w:r w:rsidRPr="003C1B12">
              <w:rPr>
                <w:rFonts w:ascii="Times New Roman" w:hAnsi="Times New Roman" w:cs="Times New Roman"/>
                <w:sz w:val="20"/>
                <w:szCs w:val="20"/>
              </w:rPr>
              <w:t>Datu avots: atbalsta saņēmēju aptauja</w:t>
            </w:r>
          </w:p>
          <w:p w:rsidR="004B301D" w:rsidRPr="003C1B12" w:rsidRDefault="004B301D" w:rsidP="00957231">
            <w:pPr>
              <w:rPr>
                <w:rFonts w:ascii="Times New Roman" w:hAnsi="Times New Roman" w:cs="Times New Roman"/>
                <w:sz w:val="20"/>
                <w:szCs w:val="20"/>
              </w:rPr>
            </w:pPr>
            <w:r w:rsidRPr="003C1B12">
              <w:rPr>
                <w:rFonts w:ascii="Times New Roman" w:hAnsi="Times New Roman" w:cs="Times New Roman"/>
                <w:sz w:val="20"/>
                <w:szCs w:val="20"/>
              </w:rPr>
              <w:t>Datu iegūšanas metode: No KC</w:t>
            </w:r>
          </w:p>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Periods: Reizi gadā (3-5 gadu pēc pētniecības projekta pabeigšanas)</w:t>
            </w:r>
          </w:p>
        </w:tc>
      </w:tr>
      <w:tr w:rsidR="004B301D" w:rsidRPr="003C1B12" w:rsidTr="00BA318B">
        <w:trPr>
          <w:jc w:val="center"/>
        </w:trPr>
        <w:tc>
          <w:tcPr>
            <w:tcW w:w="3892" w:type="dxa"/>
          </w:tcPr>
          <w:p w:rsidR="004B301D" w:rsidRPr="003C1B12" w:rsidRDefault="004B301D" w:rsidP="00247D63">
            <w:pPr>
              <w:jc w:val="both"/>
              <w:rPr>
                <w:rFonts w:ascii="Times New Roman" w:hAnsi="Times New Roman" w:cs="Times New Roman"/>
                <w:sz w:val="20"/>
                <w:szCs w:val="20"/>
              </w:rPr>
            </w:pPr>
            <w:r w:rsidRPr="003C1B12">
              <w:rPr>
                <w:rFonts w:ascii="Times New Roman" w:hAnsi="Times New Roman" w:cs="Times New Roman"/>
                <w:sz w:val="20"/>
                <w:szCs w:val="20"/>
              </w:rPr>
              <w:t>Piesaistītais ārvalstu finansējums (starptautiskās pētniecības programmas, sadarbības partneri)  pētījumiem uzņēmējdarbības sektorā</w:t>
            </w:r>
          </w:p>
        </w:tc>
        <w:tc>
          <w:tcPr>
            <w:tcW w:w="4750" w:type="dxa"/>
          </w:tcPr>
          <w:p w:rsidR="004B301D" w:rsidRPr="003C1B12" w:rsidRDefault="004B301D" w:rsidP="00957231">
            <w:pPr>
              <w:rPr>
                <w:rFonts w:ascii="Times New Roman" w:hAnsi="Times New Roman" w:cs="Times New Roman"/>
                <w:sz w:val="20"/>
                <w:szCs w:val="20"/>
              </w:rPr>
            </w:pPr>
            <w:r w:rsidRPr="003C1B12">
              <w:rPr>
                <w:rFonts w:ascii="Times New Roman" w:hAnsi="Times New Roman" w:cs="Times New Roman"/>
                <w:sz w:val="20"/>
                <w:szCs w:val="20"/>
              </w:rPr>
              <w:t>Datu turētājs: KC</w:t>
            </w:r>
          </w:p>
          <w:p w:rsidR="004B301D" w:rsidRPr="003C1B12" w:rsidRDefault="004B301D" w:rsidP="00957231">
            <w:pPr>
              <w:rPr>
                <w:rFonts w:ascii="Times New Roman" w:hAnsi="Times New Roman" w:cs="Times New Roman"/>
                <w:sz w:val="20"/>
                <w:szCs w:val="20"/>
              </w:rPr>
            </w:pPr>
            <w:r w:rsidRPr="003C1B12">
              <w:rPr>
                <w:rFonts w:ascii="Times New Roman" w:hAnsi="Times New Roman" w:cs="Times New Roman"/>
                <w:sz w:val="20"/>
                <w:szCs w:val="20"/>
              </w:rPr>
              <w:t>Datu avots: atbalsta saņēmēju aptauja</w:t>
            </w:r>
          </w:p>
          <w:p w:rsidR="004B301D" w:rsidRPr="003C1B12" w:rsidRDefault="004B301D" w:rsidP="00957231">
            <w:pPr>
              <w:rPr>
                <w:rFonts w:ascii="Times New Roman" w:hAnsi="Times New Roman" w:cs="Times New Roman"/>
                <w:sz w:val="20"/>
                <w:szCs w:val="20"/>
              </w:rPr>
            </w:pPr>
            <w:r w:rsidRPr="003C1B12">
              <w:rPr>
                <w:rFonts w:ascii="Times New Roman" w:hAnsi="Times New Roman" w:cs="Times New Roman"/>
                <w:sz w:val="20"/>
                <w:szCs w:val="20"/>
              </w:rPr>
              <w:t>Datu iegūšanas metode: no KC</w:t>
            </w:r>
          </w:p>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Periods: reizi pusgadā (3-5 gadu pēc pētniecības projekta pabeigšanas)</w:t>
            </w:r>
          </w:p>
        </w:tc>
      </w:tr>
      <w:tr w:rsidR="0089418F" w:rsidRPr="003C1B12" w:rsidTr="004B301D">
        <w:trPr>
          <w:jc w:val="center"/>
        </w:trPr>
        <w:tc>
          <w:tcPr>
            <w:tcW w:w="3892" w:type="dxa"/>
          </w:tcPr>
          <w:p w:rsidR="0089418F" w:rsidRPr="003C1B12" w:rsidRDefault="0089418F" w:rsidP="00247D63">
            <w:pPr>
              <w:jc w:val="both"/>
              <w:rPr>
                <w:rFonts w:ascii="Times New Roman" w:hAnsi="Times New Roman" w:cs="Times New Roman"/>
                <w:sz w:val="20"/>
                <w:szCs w:val="20"/>
              </w:rPr>
            </w:pPr>
            <w:r w:rsidRPr="003C1B12">
              <w:rPr>
                <w:rFonts w:ascii="Times New Roman" w:hAnsi="Times New Roman" w:cs="Times New Roman"/>
                <w:sz w:val="20"/>
                <w:szCs w:val="20"/>
              </w:rPr>
              <w:t>Jaunradīto zinātniski pētniecisko darba vietu skaits</w:t>
            </w:r>
          </w:p>
        </w:tc>
        <w:tc>
          <w:tcPr>
            <w:tcW w:w="4750" w:type="dxa"/>
          </w:tcPr>
          <w:p w:rsidR="0089418F" w:rsidRPr="003C1B12" w:rsidRDefault="006A6944" w:rsidP="00957231">
            <w:pPr>
              <w:rPr>
                <w:rFonts w:ascii="Times New Roman" w:hAnsi="Times New Roman" w:cs="Times New Roman"/>
                <w:sz w:val="20"/>
                <w:szCs w:val="20"/>
              </w:rPr>
            </w:pPr>
            <w:r w:rsidRPr="003C1B12">
              <w:rPr>
                <w:rFonts w:ascii="Times New Roman" w:hAnsi="Times New Roman" w:cs="Times New Roman"/>
                <w:sz w:val="20"/>
                <w:szCs w:val="20"/>
              </w:rPr>
              <w:t>Datu turētājs: KC</w:t>
            </w:r>
          </w:p>
          <w:p w:rsidR="006A6944" w:rsidRPr="003C1B12" w:rsidRDefault="006A6944" w:rsidP="00957231">
            <w:pPr>
              <w:rPr>
                <w:rFonts w:ascii="Times New Roman" w:hAnsi="Times New Roman" w:cs="Times New Roman"/>
                <w:sz w:val="20"/>
                <w:szCs w:val="20"/>
              </w:rPr>
            </w:pPr>
            <w:r w:rsidRPr="003C1B12">
              <w:rPr>
                <w:rFonts w:ascii="Times New Roman" w:hAnsi="Times New Roman" w:cs="Times New Roman"/>
                <w:sz w:val="20"/>
                <w:szCs w:val="20"/>
              </w:rPr>
              <w:t xml:space="preserve">Datu avots: atbalsta saņēmēju aptauja </w:t>
            </w:r>
          </w:p>
          <w:p w:rsidR="006A6944" w:rsidRPr="003C1B12" w:rsidRDefault="006A6944" w:rsidP="00957231">
            <w:pPr>
              <w:rPr>
                <w:rFonts w:ascii="Times New Roman" w:hAnsi="Times New Roman" w:cs="Times New Roman"/>
                <w:sz w:val="20"/>
                <w:szCs w:val="20"/>
              </w:rPr>
            </w:pPr>
            <w:r w:rsidRPr="003C1B12">
              <w:rPr>
                <w:rFonts w:ascii="Times New Roman" w:hAnsi="Times New Roman" w:cs="Times New Roman"/>
                <w:sz w:val="20"/>
                <w:szCs w:val="20"/>
              </w:rPr>
              <w:t>Datu iegūšanas metode: no KC</w:t>
            </w:r>
          </w:p>
          <w:p w:rsidR="006A6944" w:rsidRPr="003C1B12" w:rsidRDefault="006A6944" w:rsidP="00957231">
            <w:pPr>
              <w:rPr>
                <w:rFonts w:ascii="Times New Roman" w:hAnsi="Times New Roman" w:cs="Times New Roman"/>
                <w:sz w:val="20"/>
                <w:szCs w:val="20"/>
              </w:rPr>
            </w:pPr>
            <w:r w:rsidRPr="003C1B12">
              <w:rPr>
                <w:rFonts w:ascii="Times New Roman" w:hAnsi="Times New Roman" w:cs="Times New Roman"/>
                <w:sz w:val="20"/>
                <w:szCs w:val="20"/>
              </w:rPr>
              <w:t>Periods: Atbalsta sniegšanas periods</w:t>
            </w:r>
          </w:p>
        </w:tc>
      </w:tr>
      <w:tr w:rsidR="004B301D" w:rsidRPr="003C1B12" w:rsidTr="00AC4E0A">
        <w:trPr>
          <w:jc w:val="center"/>
        </w:trPr>
        <w:tc>
          <w:tcPr>
            <w:tcW w:w="8642" w:type="dxa"/>
            <w:gridSpan w:val="2"/>
          </w:tcPr>
          <w:p w:rsidR="004B301D" w:rsidRPr="003C1B12" w:rsidRDefault="004B301D" w:rsidP="00957231">
            <w:pPr>
              <w:rPr>
                <w:rFonts w:ascii="Times New Roman" w:hAnsi="Times New Roman" w:cs="Times New Roman"/>
                <w:sz w:val="20"/>
                <w:szCs w:val="20"/>
              </w:rPr>
            </w:pPr>
            <w:r w:rsidRPr="003C1B12">
              <w:rPr>
                <w:rFonts w:ascii="Times New Roman" w:hAnsi="Times New Roman" w:cs="Times New Roman"/>
                <w:b/>
                <w:sz w:val="20"/>
                <w:szCs w:val="20"/>
              </w:rPr>
              <w:t>Inovatīvo uzņēmumu īpatsvara pieaugums</w:t>
            </w:r>
          </w:p>
        </w:tc>
      </w:tr>
      <w:tr w:rsidR="004B301D" w:rsidRPr="003C1B12" w:rsidTr="00BA318B">
        <w:trPr>
          <w:jc w:val="center"/>
        </w:trPr>
        <w:tc>
          <w:tcPr>
            <w:tcW w:w="3892" w:type="dxa"/>
          </w:tcPr>
          <w:p w:rsidR="004B301D" w:rsidRPr="003C1B12" w:rsidRDefault="004B301D" w:rsidP="00E7769C">
            <w:pPr>
              <w:jc w:val="both"/>
              <w:rPr>
                <w:rFonts w:ascii="Times New Roman" w:hAnsi="Times New Roman" w:cs="Times New Roman"/>
                <w:sz w:val="20"/>
                <w:szCs w:val="20"/>
              </w:rPr>
            </w:pPr>
            <w:r w:rsidRPr="003C1B12">
              <w:rPr>
                <w:rFonts w:ascii="Times New Roman" w:hAnsi="Times New Roman" w:cs="Times New Roman"/>
                <w:sz w:val="20"/>
                <w:szCs w:val="20"/>
              </w:rPr>
              <w:t xml:space="preserve">Komersantu skaits, kas pēc projekta sekmīgi ieviesuši saimnieciskajā darbībā jaunradītos produktus vai tehnoloģijas </w:t>
            </w:r>
          </w:p>
        </w:tc>
        <w:tc>
          <w:tcPr>
            <w:tcW w:w="4750" w:type="dxa"/>
          </w:tcPr>
          <w:p w:rsidR="004B301D" w:rsidRPr="003C1B12" w:rsidRDefault="004B301D" w:rsidP="00957231">
            <w:pPr>
              <w:rPr>
                <w:rFonts w:ascii="Times New Roman" w:hAnsi="Times New Roman" w:cs="Times New Roman"/>
                <w:sz w:val="20"/>
                <w:szCs w:val="20"/>
              </w:rPr>
            </w:pPr>
            <w:r w:rsidRPr="003C1B12">
              <w:rPr>
                <w:rFonts w:ascii="Times New Roman" w:hAnsi="Times New Roman" w:cs="Times New Roman"/>
                <w:sz w:val="20"/>
                <w:szCs w:val="20"/>
              </w:rPr>
              <w:t>Datu turētājs: CFLA</w:t>
            </w:r>
          </w:p>
          <w:p w:rsidR="004B301D" w:rsidRPr="003C1B12" w:rsidRDefault="004B301D" w:rsidP="00957231">
            <w:pPr>
              <w:rPr>
                <w:rFonts w:ascii="Times New Roman" w:hAnsi="Times New Roman" w:cs="Times New Roman"/>
                <w:sz w:val="20"/>
                <w:szCs w:val="20"/>
              </w:rPr>
            </w:pPr>
            <w:r w:rsidRPr="003C1B12">
              <w:rPr>
                <w:rFonts w:ascii="Times New Roman" w:hAnsi="Times New Roman" w:cs="Times New Roman"/>
                <w:sz w:val="20"/>
                <w:szCs w:val="20"/>
              </w:rPr>
              <w:t>Datu avots: KC  projekta atskaites</w:t>
            </w:r>
          </w:p>
          <w:p w:rsidR="004B301D" w:rsidRPr="003C1B12" w:rsidRDefault="004B301D" w:rsidP="00957231">
            <w:pPr>
              <w:rPr>
                <w:rFonts w:ascii="Times New Roman" w:hAnsi="Times New Roman" w:cs="Times New Roman"/>
                <w:sz w:val="20"/>
                <w:szCs w:val="20"/>
              </w:rPr>
            </w:pPr>
            <w:r w:rsidRPr="003C1B12">
              <w:rPr>
                <w:rFonts w:ascii="Times New Roman" w:hAnsi="Times New Roman" w:cs="Times New Roman"/>
                <w:sz w:val="20"/>
                <w:szCs w:val="20"/>
              </w:rPr>
              <w:t>Datu iegūšanas metode: No KPF VIS</w:t>
            </w:r>
          </w:p>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Periods: Atbalsta sniegšanas periods</w:t>
            </w:r>
          </w:p>
        </w:tc>
      </w:tr>
      <w:tr w:rsidR="004B301D" w:rsidRPr="003C1B12" w:rsidTr="00BA318B">
        <w:trPr>
          <w:jc w:val="center"/>
        </w:trPr>
        <w:tc>
          <w:tcPr>
            <w:tcW w:w="3892" w:type="dxa"/>
          </w:tcPr>
          <w:p w:rsidR="004B301D" w:rsidRPr="003C1B12" w:rsidRDefault="004B301D" w:rsidP="00E16D22">
            <w:pPr>
              <w:jc w:val="both"/>
              <w:rPr>
                <w:rFonts w:ascii="Times New Roman" w:hAnsi="Times New Roman" w:cs="Times New Roman"/>
                <w:sz w:val="20"/>
                <w:szCs w:val="20"/>
              </w:rPr>
            </w:pPr>
            <w:r w:rsidRPr="003C1B12">
              <w:rPr>
                <w:rFonts w:ascii="Times New Roman" w:hAnsi="Times New Roman" w:cs="Times New Roman"/>
                <w:sz w:val="20"/>
                <w:szCs w:val="20"/>
              </w:rPr>
              <w:t>Jaundibinātie (</w:t>
            </w:r>
            <w:r w:rsidRPr="003C1B12">
              <w:rPr>
                <w:rFonts w:ascii="Times New Roman" w:hAnsi="Times New Roman" w:cs="Times New Roman"/>
                <w:i/>
                <w:sz w:val="20"/>
                <w:szCs w:val="20"/>
              </w:rPr>
              <w:t>spin-off</w:t>
            </w:r>
            <w:r w:rsidRPr="003C1B12">
              <w:rPr>
                <w:rFonts w:ascii="Times New Roman" w:hAnsi="Times New Roman" w:cs="Times New Roman"/>
                <w:sz w:val="20"/>
                <w:szCs w:val="20"/>
              </w:rPr>
              <w:t>)</w:t>
            </w:r>
            <w:r w:rsidRPr="003C1B12">
              <w:rPr>
                <w:rStyle w:val="FootnoteReference"/>
                <w:rFonts w:ascii="Times New Roman" w:hAnsi="Times New Roman" w:cs="Times New Roman"/>
                <w:sz w:val="20"/>
                <w:szCs w:val="20"/>
              </w:rPr>
              <w:footnoteReference w:id="18"/>
            </w:r>
            <w:r w:rsidRPr="003C1B12">
              <w:rPr>
                <w:rFonts w:ascii="Times New Roman" w:hAnsi="Times New Roman" w:cs="Times New Roman"/>
                <w:sz w:val="20"/>
                <w:szCs w:val="20"/>
              </w:rPr>
              <w:t xml:space="preserve"> uzņēmumi </w:t>
            </w:r>
          </w:p>
        </w:tc>
        <w:tc>
          <w:tcPr>
            <w:tcW w:w="4750" w:type="dxa"/>
          </w:tcPr>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Datu turētājs: KC</w:t>
            </w:r>
          </w:p>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Datu avots: atbalsta saņēmēju aptauja</w:t>
            </w:r>
          </w:p>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Datu iegūšanas metode: no KC</w:t>
            </w:r>
          </w:p>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Periods: reizi pusgadā (3-5 gadu pēc pētniecības projekta pabeigšanas)</w:t>
            </w:r>
          </w:p>
        </w:tc>
      </w:tr>
      <w:tr w:rsidR="004B301D" w:rsidRPr="003C1B12" w:rsidTr="00BA318B">
        <w:trPr>
          <w:jc w:val="center"/>
        </w:trPr>
        <w:tc>
          <w:tcPr>
            <w:tcW w:w="3892" w:type="dxa"/>
          </w:tcPr>
          <w:p w:rsidR="004B301D" w:rsidRPr="003C1B12" w:rsidRDefault="004B301D" w:rsidP="00E7769C">
            <w:pPr>
              <w:jc w:val="both"/>
              <w:rPr>
                <w:rFonts w:ascii="Times New Roman" w:hAnsi="Times New Roman" w:cs="Times New Roman"/>
                <w:sz w:val="20"/>
                <w:szCs w:val="20"/>
              </w:rPr>
            </w:pPr>
            <w:r w:rsidRPr="003C1B12">
              <w:rPr>
                <w:rFonts w:ascii="Times New Roman" w:hAnsi="Times New Roman" w:cs="Times New Roman"/>
                <w:sz w:val="20"/>
                <w:szCs w:val="20"/>
              </w:rPr>
              <w:t>Noslēgtie licences līgumi par komercializēšanu</w:t>
            </w:r>
          </w:p>
        </w:tc>
        <w:tc>
          <w:tcPr>
            <w:tcW w:w="4750" w:type="dxa"/>
          </w:tcPr>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Datu turētājs: KC</w:t>
            </w:r>
          </w:p>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Datu avots: atbalsta saņēmēju aptauja</w:t>
            </w:r>
          </w:p>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Datu iegūšanas metode: no KC</w:t>
            </w:r>
          </w:p>
          <w:p w:rsidR="004B301D" w:rsidRPr="003C1B12" w:rsidRDefault="004B301D" w:rsidP="00A10D88">
            <w:pPr>
              <w:jc w:val="both"/>
              <w:rPr>
                <w:rFonts w:ascii="Times New Roman" w:hAnsi="Times New Roman" w:cs="Times New Roman"/>
                <w:sz w:val="20"/>
                <w:szCs w:val="20"/>
              </w:rPr>
            </w:pPr>
            <w:r w:rsidRPr="003C1B12">
              <w:rPr>
                <w:rFonts w:ascii="Times New Roman" w:hAnsi="Times New Roman" w:cs="Times New Roman"/>
                <w:sz w:val="20"/>
                <w:szCs w:val="20"/>
              </w:rPr>
              <w:t>Periods: reizi pusgadā (3-5 gadu pēc pētniecības projekta pabeigšanas)</w:t>
            </w:r>
          </w:p>
        </w:tc>
      </w:tr>
      <w:tr w:rsidR="004B301D" w:rsidRPr="003C1B12" w:rsidTr="00BA318B">
        <w:trPr>
          <w:jc w:val="center"/>
        </w:trPr>
        <w:tc>
          <w:tcPr>
            <w:tcW w:w="3892" w:type="dxa"/>
          </w:tcPr>
          <w:p w:rsidR="004B301D" w:rsidRPr="003C1B12" w:rsidRDefault="004B301D" w:rsidP="009D370B">
            <w:pPr>
              <w:jc w:val="both"/>
              <w:rPr>
                <w:rFonts w:ascii="Times New Roman" w:hAnsi="Times New Roman" w:cs="Times New Roman"/>
                <w:sz w:val="20"/>
                <w:szCs w:val="20"/>
              </w:rPr>
            </w:pPr>
            <w:r w:rsidRPr="003C1B12">
              <w:rPr>
                <w:rFonts w:ascii="Times New Roman" w:hAnsi="Times New Roman" w:cs="Times New Roman"/>
                <w:sz w:val="20"/>
                <w:szCs w:val="20"/>
              </w:rPr>
              <w:t xml:space="preserve">Komersanta apgrozījums no pētniecības rezultātu ieviešanas saimnieciskajā darbībā vai komercializēšanas  </w:t>
            </w:r>
          </w:p>
        </w:tc>
        <w:tc>
          <w:tcPr>
            <w:tcW w:w="4750" w:type="dxa"/>
          </w:tcPr>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Datu turētājs: KC</w:t>
            </w:r>
          </w:p>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Datu avots: atbalsta saņēmēju aptauja</w:t>
            </w:r>
          </w:p>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Datu iegūšanas metode: no KC</w:t>
            </w:r>
          </w:p>
          <w:p w:rsidR="004B301D" w:rsidRPr="003C1B12" w:rsidRDefault="004B301D" w:rsidP="00A10D88">
            <w:pPr>
              <w:jc w:val="both"/>
              <w:rPr>
                <w:rFonts w:ascii="Times New Roman" w:hAnsi="Times New Roman" w:cs="Times New Roman"/>
                <w:sz w:val="20"/>
                <w:szCs w:val="20"/>
              </w:rPr>
            </w:pPr>
            <w:r w:rsidRPr="003C1B12">
              <w:rPr>
                <w:rFonts w:ascii="Times New Roman" w:hAnsi="Times New Roman" w:cs="Times New Roman"/>
                <w:sz w:val="20"/>
                <w:szCs w:val="20"/>
              </w:rPr>
              <w:t>Periods: reizi pusgadā (3-5 gadu pēc pētniecības projekta pabeigšanas)</w:t>
            </w:r>
          </w:p>
        </w:tc>
      </w:tr>
      <w:tr w:rsidR="004B301D" w:rsidRPr="003C1B12" w:rsidTr="00BA318B">
        <w:trPr>
          <w:jc w:val="center"/>
        </w:trPr>
        <w:tc>
          <w:tcPr>
            <w:tcW w:w="3892" w:type="dxa"/>
          </w:tcPr>
          <w:p w:rsidR="004B301D" w:rsidRPr="003C1B12" w:rsidRDefault="004B301D" w:rsidP="00714E8A">
            <w:pPr>
              <w:jc w:val="both"/>
              <w:rPr>
                <w:rFonts w:ascii="Times New Roman" w:hAnsi="Times New Roman" w:cs="Times New Roman"/>
                <w:sz w:val="20"/>
                <w:szCs w:val="20"/>
              </w:rPr>
            </w:pPr>
            <w:r w:rsidRPr="003C1B12">
              <w:rPr>
                <w:rFonts w:ascii="Times New Roman" w:hAnsi="Times New Roman" w:cs="Times New Roman"/>
                <w:sz w:val="20"/>
                <w:szCs w:val="20"/>
              </w:rPr>
              <w:t>Jaunradīto darba vietu skaits</w:t>
            </w:r>
          </w:p>
        </w:tc>
        <w:tc>
          <w:tcPr>
            <w:tcW w:w="4750" w:type="dxa"/>
          </w:tcPr>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Datu turētājs: KC</w:t>
            </w:r>
          </w:p>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Datu avots: atbalsta saņēmēju aptauja</w:t>
            </w:r>
          </w:p>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lastRenderedPageBreak/>
              <w:t>Datu iegūšanas metode: no KC</w:t>
            </w:r>
          </w:p>
          <w:p w:rsidR="004B301D" w:rsidRPr="003C1B12" w:rsidRDefault="004B301D" w:rsidP="00A10D88">
            <w:pPr>
              <w:jc w:val="both"/>
              <w:rPr>
                <w:rFonts w:ascii="Times New Roman" w:hAnsi="Times New Roman" w:cs="Times New Roman"/>
                <w:sz w:val="20"/>
                <w:szCs w:val="20"/>
              </w:rPr>
            </w:pPr>
            <w:r w:rsidRPr="003C1B12">
              <w:rPr>
                <w:rFonts w:ascii="Times New Roman" w:hAnsi="Times New Roman" w:cs="Times New Roman"/>
                <w:sz w:val="20"/>
                <w:szCs w:val="20"/>
              </w:rPr>
              <w:t>Periods: reizi pusgadā (3-5 gadu pēc pētniecības projekta pabeigšanas)</w:t>
            </w:r>
          </w:p>
        </w:tc>
      </w:tr>
      <w:tr w:rsidR="004B301D" w:rsidRPr="003C1B12" w:rsidTr="00AC4E0A">
        <w:trPr>
          <w:jc w:val="center"/>
        </w:trPr>
        <w:tc>
          <w:tcPr>
            <w:tcW w:w="8642" w:type="dxa"/>
            <w:gridSpan w:val="2"/>
          </w:tcPr>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b/>
                <w:sz w:val="20"/>
                <w:szCs w:val="20"/>
              </w:rPr>
              <w:lastRenderedPageBreak/>
              <w:t>Uzņēmējdarbības un zinātnes sektora sadarbības pieaugums</w:t>
            </w:r>
          </w:p>
        </w:tc>
      </w:tr>
      <w:tr w:rsidR="004B301D" w:rsidRPr="003C1B12" w:rsidTr="00BA318B">
        <w:trPr>
          <w:jc w:val="center"/>
        </w:trPr>
        <w:tc>
          <w:tcPr>
            <w:tcW w:w="3892" w:type="dxa"/>
          </w:tcPr>
          <w:p w:rsidR="004B301D" w:rsidRPr="003C1B12" w:rsidRDefault="004B301D" w:rsidP="00E7769C">
            <w:pPr>
              <w:jc w:val="both"/>
              <w:rPr>
                <w:rFonts w:ascii="Times New Roman" w:hAnsi="Times New Roman" w:cs="Times New Roman"/>
                <w:sz w:val="20"/>
                <w:szCs w:val="20"/>
              </w:rPr>
            </w:pPr>
            <w:r w:rsidRPr="003C1B12">
              <w:rPr>
                <w:rFonts w:ascii="Times New Roman" w:hAnsi="Times New Roman" w:cs="Times New Roman"/>
                <w:color w:val="000000" w:themeColor="text1"/>
                <w:sz w:val="20"/>
                <w:szCs w:val="20"/>
              </w:rPr>
              <w:t>Pētījumu projektu skaits un apjoms, kas ietver sadarbību starp komersantiem un zinātniskajām institūcijām</w:t>
            </w:r>
          </w:p>
        </w:tc>
        <w:tc>
          <w:tcPr>
            <w:tcW w:w="4750" w:type="dxa"/>
          </w:tcPr>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Datu turētājs: CFLA</w:t>
            </w:r>
          </w:p>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Datu avots: KC  projekta atskaites</w:t>
            </w:r>
          </w:p>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Datu iegūšanas metode: No KPF VIS</w:t>
            </w:r>
          </w:p>
          <w:p w:rsidR="004B301D" w:rsidRPr="003C1B12" w:rsidRDefault="004B301D" w:rsidP="00A10D88">
            <w:pPr>
              <w:jc w:val="both"/>
              <w:rPr>
                <w:rFonts w:ascii="Times New Roman" w:hAnsi="Times New Roman" w:cs="Times New Roman"/>
                <w:sz w:val="20"/>
                <w:szCs w:val="20"/>
              </w:rPr>
            </w:pPr>
            <w:r w:rsidRPr="003C1B12">
              <w:rPr>
                <w:rFonts w:ascii="Times New Roman" w:hAnsi="Times New Roman" w:cs="Times New Roman"/>
                <w:sz w:val="20"/>
                <w:szCs w:val="20"/>
              </w:rPr>
              <w:t>Periods: Atbalsta sniegšanas periods</w:t>
            </w:r>
          </w:p>
        </w:tc>
      </w:tr>
      <w:tr w:rsidR="004B301D" w:rsidRPr="003C1B12" w:rsidTr="00BA318B">
        <w:trPr>
          <w:jc w:val="center"/>
        </w:trPr>
        <w:tc>
          <w:tcPr>
            <w:tcW w:w="3892" w:type="dxa"/>
          </w:tcPr>
          <w:p w:rsidR="004B301D" w:rsidRPr="003C1B12" w:rsidRDefault="004B301D" w:rsidP="00E7769C">
            <w:pPr>
              <w:jc w:val="both"/>
              <w:rPr>
                <w:rFonts w:ascii="Times New Roman" w:hAnsi="Times New Roman" w:cs="Times New Roman"/>
                <w:sz w:val="20"/>
                <w:szCs w:val="20"/>
              </w:rPr>
            </w:pPr>
            <w:r w:rsidRPr="003C1B12">
              <w:rPr>
                <w:rFonts w:ascii="Times New Roman" w:hAnsi="Times New Roman" w:cs="Times New Roman"/>
                <w:color w:val="000000" w:themeColor="text1"/>
                <w:sz w:val="20"/>
                <w:szCs w:val="20"/>
              </w:rPr>
              <w:t>Pētījumu projektos iesaistīto doktorantu skaits</w:t>
            </w:r>
          </w:p>
        </w:tc>
        <w:tc>
          <w:tcPr>
            <w:tcW w:w="4750" w:type="dxa"/>
          </w:tcPr>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Datu turētājs: CFLA</w:t>
            </w:r>
          </w:p>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Datu avots: KC  projekta atskaites</w:t>
            </w:r>
          </w:p>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Datu iegūšanas metode: No KPF VIS</w:t>
            </w:r>
          </w:p>
          <w:p w:rsidR="004B301D" w:rsidRPr="003C1B12" w:rsidRDefault="004B301D" w:rsidP="00A10D88">
            <w:pPr>
              <w:jc w:val="both"/>
              <w:rPr>
                <w:rFonts w:ascii="Times New Roman" w:hAnsi="Times New Roman" w:cs="Times New Roman"/>
                <w:sz w:val="20"/>
                <w:szCs w:val="20"/>
              </w:rPr>
            </w:pPr>
            <w:r w:rsidRPr="003C1B12">
              <w:rPr>
                <w:rFonts w:ascii="Times New Roman" w:hAnsi="Times New Roman" w:cs="Times New Roman"/>
                <w:sz w:val="20"/>
                <w:szCs w:val="20"/>
              </w:rPr>
              <w:t>Periods: Atbalsta sniegšanas periods</w:t>
            </w:r>
          </w:p>
        </w:tc>
      </w:tr>
      <w:tr w:rsidR="004B301D" w:rsidRPr="003C1B12" w:rsidTr="00BA318B">
        <w:trPr>
          <w:jc w:val="center"/>
        </w:trPr>
        <w:tc>
          <w:tcPr>
            <w:tcW w:w="3892" w:type="dxa"/>
          </w:tcPr>
          <w:p w:rsidR="004B301D" w:rsidRPr="003C1B12" w:rsidRDefault="004B301D" w:rsidP="00241DD2">
            <w:pPr>
              <w:jc w:val="both"/>
              <w:rPr>
                <w:rFonts w:ascii="Times New Roman" w:hAnsi="Times New Roman" w:cs="Times New Roman"/>
                <w:sz w:val="20"/>
                <w:szCs w:val="20"/>
              </w:rPr>
            </w:pPr>
            <w:r w:rsidRPr="003C1B12">
              <w:rPr>
                <w:rFonts w:ascii="Times New Roman" w:hAnsi="Times New Roman" w:cs="Times New Roman"/>
                <w:sz w:val="20"/>
                <w:szCs w:val="20"/>
              </w:rPr>
              <w:t>Uzņēmuma un zinātniskās institūcijas pētnieku koppublikāciju skaits</w:t>
            </w:r>
          </w:p>
        </w:tc>
        <w:tc>
          <w:tcPr>
            <w:tcW w:w="4750" w:type="dxa"/>
          </w:tcPr>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Datu turētājs: CFLA</w:t>
            </w:r>
          </w:p>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Datu avots: KC  projekta atskaites</w:t>
            </w:r>
          </w:p>
          <w:p w:rsidR="004B301D" w:rsidRPr="003C1B12" w:rsidRDefault="004B301D" w:rsidP="00A10D88">
            <w:pPr>
              <w:rPr>
                <w:rFonts w:ascii="Times New Roman" w:hAnsi="Times New Roman" w:cs="Times New Roman"/>
                <w:sz w:val="20"/>
                <w:szCs w:val="20"/>
              </w:rPr>
            </w:pPr>
            <w:r w:rsidRPr="003C1B12">
              <w:rPr>
                <w:rFonts w:ascii="Times New Roman" w:hAnsi="Times New Roman" w:cs="Times New Roman"/>
                <w:sz w:val="20"/>
                <w:szCs w:val="20"/>
              </w:rPr>
              <w:t>Datu iegūšanas metode: No CFLA VIS</w:t>
            </w:r>
          </w:p>
          <w:p w:rsidR="004B301D" w:rsidRPr="003C1B12" w:rsidRDefault="004B301D" w:rsidP="00A10D88">
            <w:pPr>
              <w:jc w:val="both"/>
              <w:rPr>
                <w:rFonts w:ascii="Times New Roman" w:hAnsi="Times New Roman" w:cs="Times New Roman"/>
                <w:sz w:val="20"/>
                <w:szCs w:val="20"/>
              </w:rPr>
            </w:pPr>
            <w:r w:rsidRPr="003C1B12">
              <w:rPr>
                <w:rFonts w:ascii="Times New Roman" w:hAnsi="Times New Roman" w:cs="Times New Roman"/>
                <w:sz w:val="20"/>
                <w:szCs w:val="20"/>
              </w:rPr>
              <w:t>Periods: Atbalsta sniegšanas periods</w:t>
            </w:r>
          </w:p>
        </w:tc>
      </w:tr>
      <w:tr w:rsidR="00E26C17" w:rsidRPr="003C1B12" w:rsidTr="004B301D">
        <w:trPr>
          <w:jc w:val="center"/>
        </w:trPr>
        <w:tc>
          <w:tcPr>
            <w:tcW w:w="3892" w:type="dxa"/>
          </w:tcPr>
          <w:p w:rsidR="00E26C17" w:rsidRPr="003C1B12" w:rsidRDefault="00E26C17" w:rsidP="00241DD2">
            <w:pPr>
              <w:jc w:val="both"/>
              <w:rPr>
                <w:rFonts w:ascii="Times New Roman" w:hAnsi="Times New Roman" w:cs="Times New Roman"/>
                <w:sz w:val="20"/>
                <w:szCs w:val="20"/>
              </w:rPr>
            </w:pPr>
            <w:r w:rsidRPr="003C1B12">
              <w:rPr>
                <w:rFonts w:ascii="Times New Roman" w:hAnsi="Times New Roman" w:cs="Times New Roman"/>
                <w:sz w:val="20"/>
                <w:szCs w:val="20"/>
              </w:rPr>
              <w:t>To uzņēmumu skaits, kuri sadarbojas ar pētniecības institūcijām</w:t>
            </w:r>
          </w:p>
        </w:tc>
        <w:tc>
          <w:tcPr>
            <w:tcW w:w="4750" w:type="dxa"/>
          </w:tcPr>
          <w:p w:rsidR="00E26C17" w:rsidRPr="003C1B12" w:rsidRDefault="00E26C17" w:rsidP="00E26C17">
            <w:pPr>
              <w:rPr>
                <w:rFonts w:ascii="Times New Roman" w:hAnsi="Times New Roman" w:cs="Times New Roman"/>
                <w:sz w:val="20"/>
                <w:szCs w:val="20"/>
              </w:rPr>
            </w:pPr>
            <w:r w:rsidRPr="003C1B12">
              <w:rPr>
                <w:rFonts w:ascii="Times New Roman" w:hAnsi="Times New Roman" w:cs="Times New Roman"/>
                <w:sz w:val="20"/>
                <w:szCs w:val="20"/>
              </w:rPr>
              <w:t>Datu turētājs: CFLA</w:t>
            </w:r>
          </w:p>
          <w:p w:rsidR="00E26C17" w:rsidRPr="003C1B12" w:rsidRDefault="00E26C17" w:rsidP="00E26C17">
            <w:pPr>
              <w:rPr>
                <w:rFonts w:ascii="Times New Roman" w:hAnsi="Times New Roman" w:cs="Times New Roman"/>
                <w:sz w:val="20"/>
                <w:szCs w:val="20"/>
              </w:rPr>
            </w:pPr>
            <w:r w:rsidRPr="003C1B12">
              <w:rPr>
                <w:rFonts w:ascii="Times New Roman" w:hAnsi="Times New Roman" w:cs="Times New Roman"/>
                <w:sz w:val="20"/>
                <w:szCs w:val="20"/>
              </w:rPr>
              <w:t>Datu avots: KC  projekta atskaites</w:t>
            </w:r>
          </w:p>
          <w:p w:rsidR="00E26C17" w:rsidRPr="003C1B12" w:rsidRDefault="00E26C17" w:rsidP="00E26C17">
            <w:pPr>
              <w:rPr>
                <w:rFonts w:ascii="Times New Roman" w:hAnsi="Times New Roman" w:cs="Times New Roman"/>
                <w:sz w:val="20"/>
                <w:szCs w:val="20"/>
              </w:rPr>
            </w:pPr>
            <w:r w:rsidRPr="003C1B12">
              <w:rPr>
                <w:rFonts w:ascii="Times New Roman" w:hAnsi="Times New Roman" w:cs="Times New Roman"/>
                <w:sz w:val="20"/>
                <w:szCs w:val="20"/>
              </w:rPr>
              <w:t>Datu iegūšanas metode: No CFLA VIS</w:t>
            </w:r>
          </w:p>
          <w:p w:rsidR="00E26C17" w:rsidRPr="003C1B12" w:rsidRDefault="00E26C17" w:rsidP="00E26C17">
            <w:pPr>
              <w:rPr>
                <w:rFonts w:ascii="Times New Roman" w:hAnsi="Times New Roman" w:cs="Times New Roman"/>
                <w:sz w:val="20"/>
                <w:szCs w:val="20"/>
              </w:rPr>
            </w:pPr>
            <w:r w:rsidRPr="003C1B12">
              <w:rPr>
                <w:rFonts w:ascii="Times New Roman" w:hAnsi="Times New Roman" w:cs="Times New Roman"/>
                <w:sz w:val="20"/>
                <w:szCs w:val="20"/>
              </w:rPr>
              <w:t>Periods: Atbalsta sniegšanas periods</w:t>
            </w:r>
          </w:p>
        </w:tc>
      </w:tr>
    </w:tbl>
    <w:p w:rsidR="005402FB" w:rsidRPr="003C1B12" w:rsidRDefault="005402FB" w:rsidP="00C57F70">
      <w:pPr>
        <w:spacing w:after="0" w:line="240" w:lineRule="auto"/>
        <w:ind w:firstLine="709"/>
        <w:jc w:val="both"/>
        <w:rPr>
          <w:rFonts w:ascii="Times New Roman" w:hAnsi="Times New Roman" w:cs="Times New Roman"/>
          <w:sz w:val="24"/>
        </w:rPr>
      </w:pPr>
    </w:p>
    <w:p w:rsidR="00BF43AE" w:rsidRPr="003C1B12" w:rsidRDefault="00CB04D3" w:rsidP="00C57F70">
      <w:pPr>
        <w:spacing w:after="0" w:line="240" w:lineRule="auto"/>
        <w:ind w:firstLine="709"/>
        <w:jc w:val="both"/>
        <w:rPr>
          <w:rFonts w:ascii="Times New Roman" w:eastAsia="SimSun" w:hAnsi="Times New Roman" w:cs="Times New Roman"/>
          <w:bCs/>
          <w:sz w:val="24"/>
          <w:szCs w:val="24"/>
          <w:lang w:eastAsia="zh-CN" w:bidi="lo-LA"/>
        </w:rPr>
      </w:pPr>
      <w:r w:rsidRPr="003C1B12">
        <w:rPr>
          <w:rFonts w:ascii="Times New Roman" w:eastAsia="SimSun" w:hAnsi="Times New Roman" w:cs="Times New Roman"/>
          <w:bCs/>
          <w:sz w:val="24"/>
          <w:szCs w:val="24"/>
          <w:lang w:eastAsia="zh-CN" w:bidi="lo-LA"/>
        </w:rPr>
        <w:t>Lai datus varētu izmantot Viedās specializācijas stratēģijas investīciju programmu mo</w:t>
      </w:r>
      <w:r w:rsidR="008B64BB" w:rsidRPr="003C1B12">
        <w:rPr>
          <w:rFonts w:ascii="Times New Roman" w:eastAsia="SimSun" w:hAnsi="Times New Roman" w:cs="Times New Roman"/>
          <w:bCs/>
          <w:sz w:val="24"/>
          <w:szCs w:val="24"/>
          <w:lang w:eastAsia="zh-CN" w:bidi="lo-LA"/>
        </w:rPr>
        <w:t>nitoringa ietvaros to uzkrāšanā</w:t>
      </w:r>
      <w:r w:rsidRPr="003C1B12">
        <w:rPr>
          <w:rFonts w:ascii="Times New Roman" w:eastAsia="SimSun" w:hAnsi="Times New Roman" w:cs="Times New Roman"/>
          <w:bCs/>
          <w:sz w:val="24"/>
          <w:szCs w:val="24"/>
          <w:lang w:eastAsia="zh-CN" w:bidi="lo-LA"/>
        </w:rPr>
        <w:t xml:space="preserve"> jānodrošina, ka dati tiek apkopoti </w:t>
      </w:r>
      <w:r w:rsidRPr="003C1B12">
        <w:rPr>
          <w:rFonts w:ascii="Times New Roman" w:eastAsia="SimSun" w:hAnsi="Times New Roman" w:cs="Times New Roman"/>
          <w:sz w:val="24"/>
          <w:szCs w:val="24"/>
          <w:lang w:eastAsia="zh-CN" w:bidi="lo-LA"/>
        </w:rPr>
        <w:t xml:space="preserve">tautsaimniecības nozaru un OECD zinātņu nozaru un apakšnozaru griezumā, </w:t>
      </w:r>
      <w:r w:rsidRPr="003C1B12">
        <w:rPr>
          <w:rFonts w:ascii="Times New Roman" w:eastAsia="SimSun" w:hAnsi="Times New Roman" w:cs="Times New Roman"/>
          <w:bCs/>
          <w:sz w:val="24"/>
          <w:szCs w:val="24"/>
          <w:lang w:eastAsia="zh-CN" w:bidi="lo-LA"/>
        </w:rPr>
        <w:t>kas ļauj analizēt katras investīciju programmas ietekmi uz specializācijas jomu un tau</w:t>
      </w:r>
      <w:r w:rsidR="00321504" w:rsidRPr="003C1B12">
        <w:rPr>
          <w:rFonts w:ascii="Times New Roman" w:eastAsia="SimSun" w:hAnsi="Times New Roman" w:cs="Times New Roman"/>
          <w:bCs/>
          <w:sz w:val="24"/>
          <w:szCs w:val="24"/>
          <w:lang w:eastAsia="zh-CN" w:bidi="lo-LA"/>
        </w:rPr>
        <w:t>tsaimniecības nozaru attīstību.</w:t>
      </w:r>
    </w:p>
    <w:p w:rsidR="00CB04D3" w:rsidRPr="003C1B12" w:rsidRDefault="0062126C" w:rsidP="00C57F70">
      <w:pPr>
        <w:spacing w:after="0" w:line="240" w:lineRule="auto"/>
        <w:ind w:firstLine="709"/>
        <w:jc w:val="both"/>
        <w:rPr>
          <w:rFonts w:ascii="Times New Roman" w:hAnsi="Times New Roman" w:cs="Times New Roman"/>
          <w:sz w:val="24"/>
        </w:rPr>
      </w:pPr>
      <w:r w:rsidRPr="003C1B12">
        <w:rPr>
          <w:rFonts w:ascii="Times New Roman" w:eastAsia="SimSun" w:hAnsi="Times New Roman" w:cs="Times New Roman"/>
          <w:bCs/>
          <w:sz w:val="24"/>
          <w:szCs w:val="24"/>
          <w:lang w:eastAsia="zh-CN" w:bidi="lo-LA"/>
        </w:rPr>
        <w:t xml:space="preserve">Iznākuma rādītājiem nosaka plānotos indikatīvos mērķa rādītājus </w:t>
      </w:r>
      <w:r w:rsidR="007B5BD9" w:rsidRPr="003C1B12">
        <w:rPr>
          <w:rFonts w:ascii="Times New Roman" w:eastAsia="SimSun" w:hAnsi="Times New Roman" w:cs="Times New Roman"/>
          <w:bCs/>
          <w:sz w:val="24"/>
          <w:szCs w:val="24"/>
          <w:lang w:eastAsia="zh-CN" w:bidi="lo-LA"/>
        </w:rPr>
        <w:t>KC</w:t>
      </w:r>
      <w:r w:rsidRPr="003C1B12">
        <w:rPr>
          <w:rFonts w:ascii="Times New Roman" w:eastAsia="SimSun" w:hAnsi="Times New Roman" w:cs="Times New Roman"/>
          <w:bCs/>
          <w:sz w:val="24"/>
          <w:szCs w:val="24"/>
          <w:lang w:eastAsia="zh-CN" w:bidi="lo-LA"/>
        </w:rPr>
        <w:t xml:space="preserve"> un pētniecības projektu līmenī. Programmas īstenošanas un uzraudzības gaitā </w:t>
      </w:r>
      <w:r w:rsidR="007B5BD9" w:rsidRPr="003C1B12">
        <w:rPr>
          <w:rFonts w:ascii="Times New Roman" w:eastAsia="SimSun" w:hAnsi="Times New Roman" w:cs="Times New Roman"/>
          <w:bCs/>
          <w:sz w:val="24"/>
          <w:szCs w:val="24"/>
          <w:lang w:eastAsia="zh-CN" w:bidi="lo-LA"/>
        </w:rPr>
        <w:t>KC</w:t>
      </w:r>
      <w:r w:rsidRPr="003C1B12">
        <w:rPr>
          <w:rFonts w:ascii="Times New Roman" w:eastAsia="SimSun" w:hAnsi="Times New Roman" w:cs="Times New Roman"/>
          <w:bCs/>
          <w:sz w:val="24"/>
          <w:szCs w:val="24"/>
          <w:lang w:eastAsia="zh-CN" w:bidi="lo-LA"/>
        </w:rPr>
        <w:t>, CFL</w:t>
      </w:r>
      <w:r w:rsidR="002A2A63" w:rsidRPr="003C1B12">
        <w:rPr>
          <w:rFonts w:ascii="Times New Roman" w:eastAsia="SimSun" w:hAnsi="Times New Roman" w:cs="Times New Roman"/>
          <w:bCs/>
          <w:sz w:val="24"/>
          <w:szCs w:val="24"/>
          <w:lang w:eastAsia="zh-CN" w:bidi="lo-LA"/>
        </w:rPr>
        <w:t>A</w:t>
      </w:r>
      <w:r w:rsidRPr="003C1B12">
        <w:rPr>
          <w:rFonts w:ascii="Times New Roman" w:eastAsia="SimSun" w:hAnsi="Times New Roman" w:cs="Times New Roman"/>
          <w:bCs/>
          <w:sz w:val="24"/>
          <w:szCs w:val="24"/>
          <w:lang w:eastAsia="zh-CN" w:bidi="lo-LA"/>
        </w:rPr>
        <w:t xml:space="preserve">, </w:t>
      </w:r>
      <w:r w:rsidR="002A2A63" w:rsidRPr="003C1B12">
        <w:rPr>
          <w:rFonts w:ascii="Times New Roman" w:eastAsia="SimSun" w:hAnsi="Times New Roman" w:cs="Times New Roman"/>
          <w:bCs/>
          <w:sz w:val="24"/>
          <w:szCs w:val="24"/>
          <w:lang w:eastAsia="zh-CN" w:bidi="lo-LA"/>
        </w:rPr>
        <w:t>EM</w:t>
      </w:r>
      <w:r w:rsidRPr="003C1B12">
        <w:rPr>
          <w:rFonts w:ascii="Times New Roman" w:eastAsia="SimSun" w:hAnsi="Times New Roman" w:cs="Times New Roman"/>
          <w:bCs/>
          <w:sz w:val="24"/>
          <w:szCs w:val="24"/>
          <w:lang w:eastAsia="zh-CN" w:bidi="lo-LA"/>
        </w:rPr>
        <w:t xml:space="preserve"> seko līdzi mērķa rādītāju faktiskai izpildei. Iznākuma rādītājus </w:t>
      </w:r>
      <w:r w:rsidR="00321504" w:rsidRPr="003C1B12">
        <w:rPr>
          <w:rFonts w:ascii="Times New Roman" w:eastAsia="SimSun" w:hAnsi="Times New Roman" w:cs="Times New Roman"/>
          <w:bCs/>
          <w:sz w:val="24"/>
          <w:szCs w:val="24"/>
          <w:lang w:eastAsia="zh-CN" w:bidi="lo-LA"/>
        </w:rPr>
        <w:t>uzkrāj projekta līmenī un</w:t>
      </w:r>
      <w:r w:rsidR="002A2A63" w:rsidRPr="003C1B12">
        <w:rPr>
          <w:rFonts w:ascii="Times New Roman" w:eastAsia="SimSun" w:hAnsi="Times New Roman" w:cs="Times New Roman"/>
          <w:bCs/>
          <w:sz w:val="24"/>
          <w:szCs w:val="24"/>
          <w:lang w:eastAsia="zh-CN" w:bidi="lo-LA"/>
        </w:rPr>
        <w:t xml:space="preserve"> </w:t>
      </w:r>
      <w:r w:rsidR="007B5BD9" w:rsidRPr="003C1B12">
        <w:rPr>
          <w:rFonts w:ascii="Times New Roman" w:eastAsia="SimSun" w:hAnsi="Times New Roman" w:cs="Times New Roman"/>
          <w:bCs/>
          <w:sz w:val="24"/>
          <w:szCs w:val="24"/>
          <w:lang w:eastAsia="zh-CN" w:bidi="lo-LA"/>
        </w:rPr>
        <w:t>KC</w:t>
      </w:r>
      <w:r w:rsidR="002A2A63" w:rsidRPr="003C1B12">
        <w:rPr>
          <w:rFonts w:ascii="Times New Roman" w:eastAsia="SimSun" w:hAnsi="Times New Roman" w:cs="Times New Roman"/>
          <w:bCs/>
          <w:sz w:val="24"/>
          <w:szCs w:val="24"/>
          <w:lang w:eastAsia="zh-CN" w:bidi="lo-LA"/>
        </w:rPr>
        <w:t xml:space="preserve"> tos </w:t>
      </w:r>
      <w:r w:rsidRPr="003C1B12">
        <w:rPr>
          <w:rFonts w:ascii="Times New Roman" w:eastAsia="SimSun" w:hAnsi="Times New Roman" w:cs="Times New Roman"/>
          <w:bCs/>
          <w:sz w:val="24"/>
          <w:szCs w:val="24"/>
          <w:lang w:eastAsia="zh-CN" w:bidi="lo-LA"/>
        </w:rPr>
        <w:t xml:space="preserve">apkopo pētniecības projektu īstenošanas laikā reizi ceturksnī iesniedzot starpposma atskaites. </w:t>
      </w:r>
      <w:r w:rsidR="00745AD5" w:rsidRPr="003C1B12">
        <w:rPr>
          <w:rFonts w:ascii="Times New Roman" w:eastAsia="SimSun" w:hAnsi="Times New Roman" w:cs="Times New Roman"/>
          <w:bCs/>
          <w:sz w:val="24"/>
          <w:szCs w:val="24"/>
          <w:lang w:eastAsia="zh-CN" w:bidi="lo-LA"/>
        </w:rPr>
        <w:t xml:space="preserve">Iznākuma </w:t>
      </w:r>
      <w:r w:rsidRPr="003C1B12">
        <w:rPr>
          <w:rFonts w:ascii="Times New Roman" w:eastAsia="SimSun" w:hAnsi="Times New Roman" w:cs="Times New Roman"/>
          <w:bCs/>
          <w:sz w:val="24"/>
          <w:szCs w:val="24"/>
          <w:lang w:eastAsia="zh-CN" w:bidi="lo-LA"/>
        </w:rPr>
        <w:t xml:space="preserve">rādītājus apkopo un uzkrāj 3-5 gadus (atbilstoši projektiem noteiktajam pēc uzraudzības periodam) pēc projektu ieviešanas </w:t>
      </w:r>
      <w:r w:rsidR="002A2A63" w:rsidRPr="003C1B12">
        <w:rPr>
          <w:rFonts w:ascii="Times New Roman" w:eastAsia="SimSun" w:hAnsi="Times New Roman" w:cs="Times New Roman"/>
          <w:bCs/>
          <w:sz w:val="24"/>
          <w:szCs w:val="24"/>
          <w:lang w:eastAsia="zh-CN" w:bidi="lo-LA"/>
        </w:rPr>
        <w:t xml:space="preserve">pabeigšanas un tos </w:t>
      </w:r>
      <w:r w:rsidR="007B5BD9" w:rsidRPr="003C1B12">
        <w:rPr>
          <w:rFonts w:ascii="Times New Roman" w:eastAsia="SimSun" w:hAnsi="Times New Roman" w:cs="Times New Roman"/>
          <w:bCs/>
          <w:sz w:val="24"/>
          <w:szCs w:val="24"/>
          <w:lang w:eastAsia="zh-CN" w:bidi="lo-LA"/>
        </w:rPr>
        <w:t>KC</w:t>
      </w:r>
      <w:r w:rsidR="002A2A63" w:rsidRPr="003C1B12">
        <w:rPr>
          <w:rFonts w:ascii="Times New Roman" w:eastAsia="SimSun" w:hAnsi="Times New Roman" w:cs="Times New Roman"/>
          <w:bCs/>
          <w:sz w:val="24"/>
          <w:szCs w:val="24"/>
          <w:lang w:eastAsia="zh-CN" w:bidi="lo-LA"/>
        </w:rPr>
        <w:t xml:space="preserve"> apkopo un iesniedz</w:t>
      </w:r>
      <w:r w:rsidRPr="003C1B12">
        <w:rPr>
          <w:rFonts w:ascii="Times New Roman" w:eastAsia="SimSun" w:hAnsi="Times New Roman" w:cs="Times New Roman"/>
          <w:bCs/>
          <w:sz w:val="24"/>
          <w:szCs w:val="24"/>
          <w:lang w:eastAsia="zh-CN" w:bidi="lo-LA"/>
        </w:rPr>
        <w:t xml:space="preserve"> </w:t>
      </w:r>
      <w:r w:rsidR="00CB04D3" w:rsidRPr="003C1B12">
        <w:rPr>
          <w:rFonts w:ascii="Times New Roman" w:eastAsia="SimSun" w:hAnsi="Times New Roman" w:cs="Times New Roman"/>
          <w:bCs/>
          <w:sz w:val="24"/>
          <w:szCs w:val="24"/>
          <w:lang w:eastAsia="zh-CN" w:bidi="lo-LA"/>
        </w:rPr>
        <w:t xml:space="preserve">vismaz reizi pusgadā CFLA un EM. </w:t>
      </w:r>
      <w:r w:rsidR="00745AD5" w:rsidRPr="003C1B12">
        <w:rPr>
          <w:rFonts w:ascii="Times New Roman" w:eastAsia="SimSun" w:hAnsi="Times New Roman" w:cs="Times New Roman"/>
          <w:bCs/>
          <w:sz w:val="24"/>
          <w:szCs w:val="24"/>
          <w:lang w:eastAsia="zh-CN" w:bidi="lo-LA"/>
        </w:rPr>
        <w:t xml:space="preserve">Iznākuma </w:t>
      </w:r>
      <w:r w:rsidR="002A2A63" w:rsidRPr="003C1B12">
        <w:rPr>
          <w:rFonts w:ascii="Times New Roman" w:eastAsia="SimSun" w:hAnsi="Times New Roman" w:cs="Times New Roman"/>
          <w:bCs/>
          <w:sz w:val="24"/>
          <w:szCs w:val="24"/>
          <w:lang w:eastAsia="zh-CN" w:bidi="lo-LA"/>
        </w:rPr>
        <w:t>rādītāji ir paredzēti tikai programmas ietekmes novērtēšanai un to nesasniegšanas rezultātā netiek piemērotas finanšu korekcijas pētniecības projektu atbalsta saņēmējiem.</w:t>
      </w:r>
    </w:p>
    <w:p w:rsidR="004C78F4" w:rsidRPr="003C1B12" w:rsidRDefault="004C78F4" w:rsidP="004C78F4">
      <w:pPr>
        <w:spacing w:after="0" w:line="240" w:lineRule="auto"/>
        <w:ind w:firstLine="709"/>
        <w:jc w:val="both"/>
        <w:rPr>
          <w:rFonts w:ascii="Times New Roman" w:hAnsi="Times New Roman" w:cs="Times New Roman"/>
          <w:sz w:val="24"/>
        </w:rPr>
      </w:pPr>
      <w:r w:rsidRPr="003C1B12">
        <w:rPr>
          <w:rFonts w:ascii="Times New Roman" w:hAnsi="Times New Roman" w:cs="Times New Roman"/>
          <w:sz w:val="24"/>
        </w:rPr>
        <w:t>Savukārt, lai novērtētu veikto ieguldījumu ietekmi uz atbalstīto komersantu saimniecisko darbību nepieciešams uzkrāt sekojošu informāciju par komersantiem, kas saņēmuši atbalstu:</w:t>
      </w:r>
    </w:p>
    <w:p w:rsidR="004C78F4" w:rsidRPr="003C1B12" w:rsidRDefault="004C78F4" w:rsidP="009D209C">
      <w:pPr>
        <w:pStyle w:val="ListParagraph"/>
        <w:numPr>
          <w:ilvl w:val="0"/>
          <w:numId w:val="31"/>
        </w:numPr>
        <w:spacing w:after="0" w:line="240" w:lineRule="auto"/>
        <w:jc w:val="both"/>
        <w:rPr>
          <w:rFonts w:ascii="Times New Roman" w:hAnsi="Times New Roman" w:cs="Times New Roman"/>
          <w:sz w:val="24"/>
        </w:rPr>
      </w:pPr>
      <w:r w:rsidRPr="003C1B12">
        <w:rPr>
          <w:rFonts w:ascii="Times New Roman" w:hAnsi="Times New Roman" w:cs="Times New Roman"/>
          <w:sz w:val="24"/>
        </w:rPr>
        <w:t>Apgrozījums</w:t>
      </w:r>
    </w:p>
    <w:p w:rsidR="004C78F4" w:rsidRPr="003C1B12" w:rsidRDefault="004C78F4" w:rsidP="009D209C">
      <w:pPr>
        <w:pStyle w:val="ListParagraph"/>
        <w:numPr>
          <w:ilvl w:val="0"/>
          <w:numId w:val="31"/>
        </w:numPr>
        <w:spacing w:after="0" w:line="240" w:lineRule="auto"/>
        <w:jc w:val="both"/>
        <w:rPr>
          <w:rFonts w:ascii="Times New Roman" w:hAnsi="Times New Roman" w:cs="Times New Roman"/>
          <w:sz w:val="24"/>
        </w:rPr>
      </w:pPr>
      <w:r w:rsidRPr="003C1B12">
        <w:rPr>
          <w:rFonts w:ascii="Times New Roman" w:hAnsi="Times New Roman" w:cs="Times New Roman"/>
          <w:sz w:val="24"/>
        </w:rPr>
        <w:t>Peļņa</w:t>
      </w:r>
    </w:p>
    <w:p w:rsidR="004C78F4" w:rsidRPr="003C1B12" w:rsidRDefault="004C78F4" w:rsidP="009D209C">
      <w:pPr>
        <w:pStyle w:val="ListParagraph"/>
        <w:numPr>
          <w:ilvl w:val="0"/>
          <w:numId w:val="31"/>
        </w:numPr>
        <w:spacing w:after="0" w:line="240" w:lineRule="auto"/>
        <w:jc w:val="both"/>
        <w:rPr>
          <w:rFonts w:ascii="Times New Roman" w:hAnsi="Times New Roman" w:cs="Times New Roman"/>
          <w:sz w:val="24"/>
        </w:rPr>
      </w:pPr>
      <w:r w:rsidRPr="003C1B12">
        <w:rPr>
          <w:rFonts w:ascii="Times New Roman" w:hAnsi="Times New Roman" w:cs="Times New Roman"/>
          <w:sz w:val="24"/>
        </w:rPr>
        <w:t>Investīcijas</w:t>
      </w:r>
    </w:p>
    <w:p w:rsidR="004C78F4" w:rsidRPr="003C1B12" w:rsidRDefault="004C78F4" w:rsidP="009D209C">
      <w:pPr>
        <w:pStyle w:val="ListParagraph"/>
        <w:numPr>
          <w:ilvl w:val="0"/>
          <w:numId w:val="31"/>
        </w:numPr>
        <w:spacing w:after="0" w:line="240" w:lineRule="auto"/>
        <w:jc w:val="both"/>
        <w:rPr>
          <w:rFonts w:ascii="Times New Roman" w:hAnsi="Times New Roman" w:cs="Times New Roman"/>
          <w:sz w:val="24"/>
        </w:rPr>
      </w:pPr>
      <w:r w:rsidRPr="003C1B12">
        <w:rPr>
          <w:rFonts w:ascii="Times New Roman" w:hAnsi="Times New Roman" w:cs="Times New Roman"/>
          <w:sz w:val="24"/>
        </w:rPr>
        <w:t>Darbinieku skaits</w:t>
      </w:r>
    </w:p>
    <w:p w:rsidR="004C78F4" w:rsidRPr="003C1B12" w:rsidRDefault="004C78F4" w:rsidP="009D209C">
      <w:pPr>
        <w:pStyle w:val="ListParagraph"/>
        <w:numPr>
          <w:ilvl w:val="0"/>
          <w:numId w:val="31"/>
        </w:numPr>
        <w:spacing w:after="0" w:line="240" w:lineRule="auto"/>
        <w:jc w:val="both"/>
        <w:rPr>
          <w:rFonts w:ascii="Times New Roman" w:hAnsi="Times New Roman" w:cs="Times New Roman"/>
          <w:sz w:val="24"/>
        </w:rPr>
      </w:pPr>
      <w:r w:rsidRPr="003C1B12">
        <w:rPr>
          <w:rFonts w:ascii="Times New Roman" w:hAnsi="Times New Roman" w:cs="Times New Roman"/>
          <w:sz w:val="24"/>
        </w:rPr>
        <w:t>Dibināšanas gads</w:t>
      </w:r>
    </w:p>
    <w:p w:rsidR="004C78F4" w:rsidRPr="003C1B12" w:rsidRDefault="004C78F4" w:rsidP="009D209C">
      <w:pPr>
        <w:pStyle w:val="ListParagraph"/>
        <w:numPr>
          <w:ilvl w:val="0"/>
          <w:numId w:val="31"/>
        </w:numPr>
        <w:spacing w:after="0" w:line="240" w:lineRule="auto"/>
        <w:jc w:val="both"/>
        <w:rPr>
          <w:rFonts w:ascii="Times New Roman" w:hAnsi="Times New Roman" w:cs="Times New Roman"/>
          <w:sz w:val="24"/>
        </w:rPr>
      </w:pPr>
      <w:r w:rsidRPr="003C1B12">
        <w:rPr>
          <w:rFonts w:ascii="Times New Roman" w:hAnsi="Times New Roman" w:cs="Times New Roman"/>
          <w:sz w:val="24"/>
        </w:rPr>
        <w:t xml:space="preserve">Pamatdarbības veids (NACE 2. </w:t>
      </w:r>
      <w:r w:rsidR="00460723" w:rsidRPr="003C1B12">
        <w:rPr>
          <w:rFonts w:ascii="Times New Roman" w:hAnsi="Times New Roman" w:cs="Times New Roman"/>
          <w:sz w:val="24"/>
        </w:rPr>
        <w:t>red.</w:t>
      </w:r>
      <w:r w:rsidRPr="003C1B12">
        <w:rPr>
          <w:rFonts w:ascii="Times New Roman" w:hAnsi="Times New Roman" w:cs="Times New Roman"/>
          <w:sz w:val="24"/>
        </w:rPr>
        <w:t>)</w:t>
      </w:r>
    </w:p>
    <w:p w:rsidR="004C78F4" w:rsidRPr="003C1B12" w:rsidRDefault="004C78F4" w:rsidP="009D209C">
      <w:pPr>
        <w:pStyle w:val="ListParagraph"/>
        <w:numPr>
          <w:ilvl w:val="0"/>
          <w:numId w:val="31"/>
        </w:numPr>
        <w:spacing w:after="0" w:line="240" w:lineRule="auto"/>
        <w:jc w:val="both"/>
        <w:rPr>
          <w:rFonts w:ascii="Times New Roman" w:hAnsi="Times New Roman" w:cs="Times New Roman"/>
          <w:sz w:val="24"/>
        </w:rPr>
      </w:pPr>
      <w:r w:rsidRPr="003C1B12">
        <w:rPr>
          <w:rFonts w:ascii="Times New Roman" w:hAnsi="Times New Roman" w:cs="Times New Roman"/>
          <w:sz w:val="24"/>
        </w:rPr>
        <w:t>Reģionālā piederība</w:t>
      </w:r>
    </w:p>
    <w:p w:rsidR="004C78F4" w:rsidRPr="003C1B12" w:rsidRDefault="004C78F4" w:rsidP="004C78F4">
      <w:pPr>
        <w:spacing w:after="0" w:line="240" w:lineRule="auto"/>
        <w:ind w:firstLine="720"/>
        <w:jc w:val="both"/>
        <w:rPr>
          <w:rFonts w:ascii="Times New Roman" w:hAnsi="Times New Roman" w:cs="Times New Roman"/>
          <w:sz w:val="24"/>
          <w:szCs w:val="24"/>
        </w:rPr>
      </w:pPr>
      <w:r w:rsidRPr="003C1B12">
        <w:rPr>
          <w:rFonts w:ascii="Times New Roman" w:hAnsi="Times New Roman" w:cs="Times New Roman"/>
          <w:sz w:val="24"/>
          <w:szCs w:val="24"/>
        </w:rPr>
        <w:t>Šos datus iegūst no U</w:t>
      </w:r>
      <w:r w:rsidR="0084384F" w:rsidRPr="003C1B12">
        <w:rPr>
          <w:rFonts w:ascii="Times New Roman" w:hAnsi="Times New Roman" w:cs="Times New Roman"/>
          <w:sz w:val="24"/>
          <w:szCs w:val="24"/>
        </w:rPr>
        <w:t xml:space="preserve">zņēmuma reģistra, </w:t>
      </w:r>
      <w:r w:rsidR="00864455" w:rsidRPr="003C1B12">
        <w:rPr>
          <w:rFonts w:ascii="Times New Roman" w:hAnsi="Times New Roman" w:cs="Times New Roman"/>
          <w:sz w:val="24"/>
          <w:szCs w:val="24"/>
        </w:rPr>
        <w:t>VID</w:t>
      </w:r>
      <w:r w:rsidRPr="003C1B12">
        <w:rPr>
          <w:rFonts w:ascii="Times New Roman" w:hAnsi="Times New Roman" w:cs="Times New Roman"/>
          <w:sz w:val="24"/>
          <w:szCs w:val="24"/>
        </w:rPr>
        <w:t xml:space="preserve"> vai citiem datu turētājiem (Lursoft,</w:t>
      </w:r>
      <w:r w:rsidR="0084384F" w:rsidRPr="003C1B12">
        <w:rPr>
          <w:rFonts w:ascii="Times New Roman" w:hAnsi="Times New Roman" w:cs="Times New Roman"/>
          <w:sz w:val="24"/>
          <w:szCs w:val="24"/>
        </w:rPr>
        <w:t xml:space="preserve"> Firmas.lv)</w:t>
      </w:r>
      <w:r w:rsidRPr="003C1B12">
        <w:rPr>
          <w:rFonts w:ascii="Times New Roman" w:hAnsi="Times New Roman" w:cs="Times New Roman"/>
          <w:sz w:val="24"/>
          <w:szCs w:val="24"/>
        </w:rPr>
        <w:t xml:space="preserve"> par katru atbalsta sniegšanas perioda gadu sākot ar gadu pirms atbalsta saņemšanas un 3-5 gadus pēc atb</w:t>
      </w:r>
      <w:r w:rsidR="0084384F" w:rsidRPr="003C1B12">
        <w:rPr>
          <w:rFonts w:ascii="Times New Roman" w:hAnsi="Times New Roman" w:cs="Times New Roman"/>
          <w:sz w:val="24"/>
          <w:szCs w:val="24"/>
        </w:rPr>
        <w:t>a</w:t>
      </w:r>
      <w:r w:rsidRPr="003C1B12">
        <w:rPr>
          <w:rFonts w:ascii="Times New Roman" w:hAnsi="Times New Roman" w:cs="Times New Roman"/>
          <w:sz w:val="24"/>
          <w:szCs w:val="24"/>
        </w:rPr>
        <w:t>lsta saņemšanas.</w:t>
      </w:r>
      <w:r w:rsidR="0084384F" w:rsidRPr="003C1B12">
        <w:rPr>
          <w:rFonts w:ascii="Times New Roman" w:hAnsi="Times New Roman" w:cs="Times New Roman"/>
          <w:sz w:val="24"/>
          <w:szCs w:val="24"/>
        </w:rPr>
        <w:t xml:space="preserve"> Datus izmanto, lai salīdzinātu izmaiņas atbalsta saņēmēja saimnieciskās darbības rādītājos pēc projektu rezultātu ieviešanas saimnieciskajā darbībā ar periodu pirms atbalsta saņemšanas un lai novērtētu veikto ieguldījumu ietekmi uz izmaiņām.</w:t>
      </w:r>
      <w:r w:rsidRPr="003C1B12">
        <w:rPr>
          <w:rFonts w:ascii="Times New Roman" w:hAnsi="Times New Roman" w:cs="Times New Roman"/>
          <w:sz w:val="24"/>
          <w:szCs w:val="24"/>
        </w:rPr>
        <w:t xml:space="preserve"> </w:t>
      </w:r>
    </w:p>
    <w:p w:rsidR="004C78F4" w:rsidRPr="003C1B12" w:rsidRDefault="004C78F4" w:rsidP="004C78F4">
      <w:pPr>
        <w:spacing w:after="0" w:line="240" w:lineRule="auto"/>
        <w:ind w:firstLine="720"/>
        <w:jc w:val="both"/>
        <w:rPr>
          <w:rFonts w:ascii="Times New Roman" w:hAnsi="Times New Roman" w:cs="Times New Roman"/>
          <w:sz w:val="24"/>
        </w:rPr>
      </w:pPr>
    </w:p>
    <w:p w:rsidR="00CB04D3" w:rsidRPr="003C1B12" w:rsidRDefault="00CB04D3">
      <w:pPr>
        <w:rPr>
          <w:rFonts w:ascii="Times New Roman" w:hAnsi="Times New Roman" w:cs="Times New Roman"/>
          <w:sz w:val="24"/>
        </w:rPr>
      </w:pPr>
      <w:r w:rsidRPr="003C1B12">
        <w:rPr>
          <w:rFonts w:ascii="Times New Roman" w:hAnsi="Times New Roman" w:cs="Times New Roman"/>
          <w:sz w:val="24"/>
        </w:rPr>
        <w:br w:type="page"/>
      </w:r>
    </w:p>
    <w:p w:rsidR="000643AC" w:rsidRPr="003C1B12" w:rsidRDefault="000643AC" w:rsidP="000643AC">
      <w:pPr>
        <w:pStyle w:val="Heading1"/>
        <w:spacing w:before="0" w:line="240" w:lineRule="auto"/>
        <w:rPr>
          <w:rFonts w:ascii="Times New Roman" w:hAnsi="Times New Roman" w:cs="Times New Roman"/>
          <w:color w:val="31849B" w:themeColor="accent5" w:themeShade="BF"/>
        </w:rPr>
      </w:pPr>
      <w:bookmarkStart w:id="39" w:name="_Toc427646478"/>
      <w:bookmarkStart w:id="40" w:name="_Toc427646564"/>
      <w:r w:rsidRPr="003C1B12">
        <w:rPr>
          <w:rFonts w:ascii="Times New Roman" w:hAnsi="Times New Roman" w:cs="Times New Roman"/>
          <w:color w:val="31849B" w:themeColor="accent5" w:themeShade="BF"/>
        </w:rPr>
        <w:lastRenderedPageBreak/>
        <w:t xml:space="preserve">5. Sinerģija ar citām </w:t>
      </w:r>
      <w:r w:rsidR="00AF2DF8" w:rsidRPr="003C1B12">
        <w:rPr>
          <w:rFonts w:ascii="Times New Roman" w:hAnsi="Times New Roman" w:cs="Times New Roman"/>
          <w:color w:val="31849B" w:themeColor="accent5" w:themeShade="BF"/>
        </w:rPr>
        <w:t xml:space="preserve">valsts </w:t>
      </w:r>
      <w:r w:rsidRPr="003C1B12">
        <w:rPr>
          <w:rFonts w:ascii="Times New Roman" w:hAnsi="Times New Roman" w:cs="Times New Roman"/>
          <w:color w:val="31849B" w:themeColor="accent5" w:themeShade="BF"/>
        </w:rPr>
        <w:t xml:space="preserve">atbalsta </w:t>
      </w:r>
      <w:r w:rsidR="00AF2DF8" w:rsidRPr="003C1B12">
        <w:rPr>
          <w:rFonts w:ascii="Times New Roman" w:hAnsi="Times New Roman" w:cs="Times New Roman"/>
          <w:color w:val="31849B" w:themeColor="accent5" w:themeShade="BF"/>
        </w:rPr>
        <w:t>iniciatīvām</w:t>
      </w:r>
      <w:bookmarkEnd w:id="39"/>
      <w:bookmarkEnd w:id="40"/>
    </w:p>
    <w:p w:rsidR="00234488" w:rsidRPr="003C1B12" w:rsidRDefault="00234488" w:rsidP="008B64BB">
      <w:pPr>
        <w:snapToGrid w:val="0"/>
        <w:spacing w:before="240" w:after="0" w:line="240" w:lineRule="auto"/>
        <w:ind w:firstLine="709"/>
        <w:jc w:val="both"/>
        <w:rPr>
          <w:rFonts w:ascii="Times New Roman" w:hAnsi="Times New Roman" w:cs="Times New Roman"/>
          <w:sz w:val="24"/>
          <w:szCs w:val="26"/>
        </w:rPr>
      </w:pPr>
      <w:r w:rsidRPr="003C1B12">
        <w:rPr>
          <w:rFonts w:ascii="Times New Roman" w:hAnsi="Times New Roman" w:cs="Times New Roman"/>
          <w:sz w:val="24"/>
          <w:szCs w:val="26"/>
        </w:rPr>
        <w:t xml:space="preserve">Viedās specializācijas stratēģijas ietvaros plānotie un īstenotie instrumenti izaugsmes atbalstam ietver </w:t>
      </w:r>
      <w:r w:rsidR="008C66E7" w:rsidRPr="003C1B12">
        <w:rPr>
          <w:rFonts w:ascii="Times New Roman" w:hAnsi="Times New Roman" w:cs="Times New Roman"/>
          <w:sz w:val="24"/>
          <w:szCs w:val="26"/>
        </w:rPr>
        <w:t xml:space="preserve">gan </w:t>
      </w:r>
      <w:r w:rsidRPr="003C1B12">
        <w:rPr>
          <w:rFonts w:ascii="Times New Roman" w:hAnsi="Times New Roman" w:cs="Times New Roman"/>
          <w:sz w:val="24"/>
          <w:szCs w:val="26"/>
        </w:rPr>
        <w:t>valsts budžeta</w:t>
      </w:r>
      <w:r w:rsidR="008C66E7" w:rsidRPr="003C1B12">
        <w:rPr>
          <w:rFonts w:ascii="Times New Roman" w:hAnsi="Times New Roman" w:cs="Times New Roman"/>
          <w:sz w:val="24"/>
          <w:szCs w:val="26"/>
        </w:rPr>
        <w:t>, gan</w:t>
      </w:r>
      <w:r w:rsidRPr="003C1B12">
        <w:rPr>
          <w:rFonts w:ascii="Times New Roman" w:hAnsi="Times New Roman" w:cs="Times New Roman"/>
          <w:sz w:val="24"/>
          <w:szCs w:val="26"/>
        </w:rPr>
        <w:t xml:space="preserve"> ārvalsts finanšu instrumentus, </w:t>
      </w:r>
      <w:r w:rsidR="008C66E7" w:rsidRPr="003C1B12">
        <w:rPr>
          <w:rFonts w:ascii="Times New Roman" w:hAnsi="Times New Roman" w:cs="Times New Roman"/>
          <w:sz w:val="24"/>
          <w:szCs w:val="26"/>
        </w:rPr>
        <w:t>kā arī</w:t>
      </w:r>
      <w:r w:rsidR="00321504" w:rsidRPr="003C1B12">
        <w:rPr>
          <w:rFonts w:ascii="Times New Roman" w:hAnsi="Times New Roman" w:cs="Times New Roman"/>
          <w:sz w:val="24"/>
          <w:szCs w:val="26"/>
        </w:rPr>
        <w:t xml:space="preserve"> nodokļu atvieglojumus. A</w:t>
      </w:r>
      <w:r w:rsidRPr="003C1B12">
        <w:rPr>
          <w:rFonts w:ascii="Times New Roman" w:hAnsi="Times New Roman" w:cs="Times New Roman"/>
          <w:sz w:val="24"/>
          <w:szCs w:val="26"/>
        </w:rPr>
        <w:t xml:space="preserve">ttēlā </w:t>
      </w:r>
      <w:r w:rsidR="00896B40" w:rsidRPr="003C1B12">
        <w:rPr>
          <w:rFonts w:ascii="Times New Roman" w:hAnsi="Times New Roman" w:cs="Times New Roman"/>
          <w:sz w:val="24"/>
          <w:szCs w:val="26"/>
        </w:rPr>
        <w:t>Nr.8</w:t>
      </w:r>
      <w:r w:rsidR="00321504" w:rsidRPr="003C1B12">
        <w:rPr>
          <w:rFonts w:ascii="Times New Roman" w:hAnsi="Times New Roman" w:cs="Times New Roman"/>
          <w:sz w:val="24"/>
          <w:szCs w:val="26"/>
        </w:rPr>
        <w:t xml:space="preserve"> </w:t>
      </w:r>
      <w:r w:rsidRPr="003C1B12">
        <w:rPr>
          <w:rFonts w:ascii="Times New Roman" w:hAnsi="Times New Roman" w:cs="Times New Roman"/>
          <w:sz w:val="24"/>
          <w:szCs w:val="26"/>
        </w:rPr>
        <w:t xml:space="preserve">atspoguļots </w:t>
      </w:r>
      <w:r w:rsidR="008C66E7" w:rsidRPr="003C1B12">
        <w:rPr>
          <w:rFonts w:ascii="Times New Roman" w:hAnsi="Times New Roman" w:cs="Times New Roman"/>
          <w:sz w:val="24"/>
          <w:szCs w:val="26"/>
        </w:rPr>
        <w:t xml:space="preserve">instrumentu </w:t>
      </w:r>
      <w:r w:rsidRPr="003C1B12">
        <w:rPr>
          <w:rFonts w:ascii="Times New Roman" w:hAnsi="Times New Roman" w:cs="Times New Roman"/>
          <w:sz w:val="24"/>
          <w:szCs w:val="26"/>
        </w:rPr>
        <w:t>kartējums, klasificējot instrumentus pēc to ieguldījuma 1) zinātnes konkurētspējas paaugstināšanā, 2) inovācijas kapacitātes stiprināšanā un 3) uzņēmējdarbības konkurētspējas paaugstināšanā.</w:t>
      </w:r>
    </w:p>
    <w:p w:rsidR="008C66E7" w:rsidRPr="003C1B12" w:rsidRDefault="008C66E7" w:rsidP="00234488">
      <w:pPr>
        <w:snapToGrid w:val="0"/>
        <w:spacing w:after="0" w:line="240" w:lineRule="auto"/>
        <w:ind w:firstLine="340"/>
        <w:jc w:val="both"/>
        <w:rPr>
          <w:rFonts w:ascii="Times New Roman" w:hAnsi="Times New Roman" w:cs="Times New Roman"/>
          <w:sz w:val="24"/>
          <w:szCs w:val="26"/>
        </w:rPr>
      </w:pPr>
    </w:p>
    <w:p w:rsidR="007A4CD3" w:rsidRPr="003C1B12" w:rsidRDefault="003007DA" w:rsidP="004B4060">
      <w:pPr>
        <w:spacing w:after="0"/>
        <w:jc w:val="center"/>
        <w:rPr>
          <w:rFonts w:ascii="Times New Roman" w:hAnsi="Times New Roman" w:cs="Times New Roman"/>
        </w:rPr>
      </w:pPr>
      <w:r w:rsidRPr="003C1B12">
        <w:rPr>
          <w:rFonts w:ascii="Times New Roman" w:hAnsi="Times New Roman" w:cs="Times New Roman"/>
          <w:noProof/>
          <w:lang w:eastAsia="lv-LV"/>
        </w:rPr>
        <w:drawing>
          <wp:inline distT="0" distB="0" distL="0" distR="0" wp14:anchorId="27C1D0BF" wp14:editId="5171F5F8">
            <wp:extent cx="5745814" cy="435292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57053" cy="4361439"/>
                    </a:xfrm>
                    <a:prstGeom prst="rect">
                      <a:avLst/>
                    </a:prstGeom>
                    <a:noFill/>
                  </pic:spPr>
                </pic:pic>
              </a:graphicData>
            </a:graphic>
          </wp:inline>
        </w:drawing>
      </w:r>
    </w:p>
    <w:p w:rsidR="00321504" w:rsidRPr="003C1B12" w:rsidRDefault="00321504" w:rsidP="00321504">
      <w:pPr>
        <w:snapToGrid w:val="0"/>
        <w:spacing w:after="120" w:line="240" w:lineRule="auto"/>
        <w:jc w:val="center"/>
        <w:rPr>
          <w:rFonts w:ascii="Times New Roman" w:hAnsi="Times New Roman" w:cs="Times New Roman"/>
          <w:sz w:val="24"/>
          <w:szCs w:val="26"/>
        </w:rPr>
      </w:pPr>
      <w:r w:rsidRPr="003C1B12">
        <w:rPr>
          <w:rFonts w:ascii="Times New Roman" w:hAnsi="Times New Roman" w:cs="Times New Roman"/>
          <w:sz w:val="24"/>
          <w:szCs w:val="26"/>
        </w:rPr>
        <w:t>Attēls Nr.</w:t>
      </w:r>
      <w:r w:rsidRPr="003C1B12">
        <w:rPr>
          <w:rFonts w:ascii="Times New Roman" w:hAnsi="Times New Roman" w:cs="Times New Roman"/>
          <w:sz w:val="24"/>
          <w:szCs w:val="26"/>
        </w:rPr>
        <w:fldChar w:fldCharType="begin"/>
      </w:r>
      <w:r w:rsidRPr="003C1B12">
        <w:rPr>
          <w:rFonts w:ascii="Times New Roman" w:hAnsi="Times New Roman" w:cs="Times New Roman"/>
          <w:sz w:val="24"/>
          <w:szCs w:val="26"/>
        </w:rPr>
        <w:instrText xml:space="preserve"> SEQ Attēls_Nr. \* ARABIC </w:instrText>
      </w:r>
      <w:r w:rsidRPr="003C1B12">
        <w:rPr>
          <w:rFonts w:ascii="Times New Roman" w:hAnsi="Times New Roman" w:cs="Times New Roman"/>
          <w:sz w:val="24"/>
          <w:szCs w:val="26"/>
        </w:rPr>
        <w:fldChar w:fldCharType="separate"/>
      </w:r>
      <w:r w:rsidR="00A379AF" w:rsidRPr="003C1B12">
        <w:rPr>
          <w:rFonts w:ascii="Times New Roman" w:hAnsi="Times New Roman" w:cs="Times New Roman"/>
          <w:noProof/>
          <w:sz w:val="24"/>
          <w:szCs w:val="26"/>
        </w:rPr>
        <w:t>8</w:t>
      </w:r>
      <w:r w:rsidRPr="003C1B12">
        <w:rPr>
          <w:rFonts w:ascii="Times New Roman" w:hAnsi="Times New Roman" w:cs="Times New Roman"/>
          <w:sz w:val="24"/>
          <w:szCs w:val="26"/>
        </w:rPr>
        <w:fldChar w:fldCharType="end"/>
      </w:r>
      <w:r w:rsidRPr="003C1B12">
        <w:rPr>
          <w:rFonts w:ascii="Times New Roman" w:hAnsi="Times New Roman" w:cs="Times New Roman"/>
          <w:sz w:val="24"/>
          <w:szCs w:val="26"/>
        </w:rPr>
        <w:t xml:space="preserve"> </w:t>
      </w:r>
      <w:r w:rsidR="00494120" w:rsidRPr="003C1B12">
        <w:rPr>
          <w:rFonts w:ascii="Times New Roman" w:hAnsi="Times New Roman" w:cs="Times New Roman"/>
          <w:sz w:val="24"/>
          <w:szCs w:val="26"/>
        </w:rPr>
        <w:t>–</w:t>
      </w:r>
      <w:r w:rsidRPr="003C1B12">
        <w:rPr>
          <w:rFonts w:ascii="Times New Roman" w:hAnsi="Times New Roman" w:cs="Times New Roman"/>
          <w:sz w:val="24"/>
          <w:szCs w:val="26"/>
        </w:rPr>
        <w:t xml:space="preserve"> </w:t>
      </w:r>
      <w:r w:rsidR="00494120" w:rsidRPr="003C1B12">
        <w:rPr>
          <w:rFonts w:ascii="Times New Roman" w:hAnsi="Times New Roman" w:cs="Times New Roman"/>
          <w:sz w:val="24"/>
          <w:szCs w:val="26"/>
        </w:rPr>
        <w:t>atbalsta instrumentu kartējums</w:t>
      </w:r>
      <w:r w:rsidR="00E04014" w:rsidRPr="003C1B12">
        <w:rPr>
          <w:rFonts w:ascii="Times New Roman" w:hAnsi="Times New Roman" w:cs="Times New Roman"/>
          <w:sz w:val="24"/>
          <w:szCs w:val="26"/>
        </w:rPr>
        <w:t xml:space="preserve"> saskaņā ar </w:t>
      </w:r>
      <w:r w:rsidR="00E60346" w:rsidRPr="003C1B12">
        <w:rPr>
          <w:rFonts w:ascii="Times New Roman" w:hAnsi="Times New Roman" w:cs="Times New Roman"/>
          <w:sz w:val="24"/>
          <w:szCs w:val="26"/>
        </w:rPr>
        <w:t>2015.gada 30.aprīlī saskaņoto darbības programmas “Izaugsme un nodarbinātība” papildinājumu</w:t>
      </w:r>
    </w:p>
    <w:p w:rsidR="00234488" w:rsidRPr="003C1B12" w:rsidRDefault="005E3697" w:rsidP="00321504">
      <w:pPr>
        <w:snapToGrid w:val="0"/>
        <w:spacing w:after="0" w:line="240" w:lineRule="auto"/>
        <w:ind w:firstLine="709"/>
        <w:jc w:val="both"/>
        <w:rPr>
          <w:rFonts w:ascii="Times New Roman" w:hAnsi="Times New Roman" w:cs="Times New Roman"/>
          <w:sz w:val="24"/>
          <w:szCs w:val="26"/>
        </w:rPr>
      </w:pPr>
      <w:r w:rsidRPr="003C1B12">
        <w:rPr>
          <w:rFonts w:ascii="Times New Roman" w:hAnsi="Times New Roman" w:cs="Times New Roman"/>
          <w:sz w:val="24"/>
          <w:szCs w:val="26"/>
        </w:rPr>
        <w:t>1.2.1.1.</w:t>
      </w:r>
      <w:r w:rsidR="008C66E7" w:rsidRPr="003C1B12">
        <w:rPr>
          <w:rFonts w:ascii="Times New Roman" w:hAnsi="Times New Roman" w:cs="Times New Roman"/>
          <w:sz w:val="24"/>
          <w:szCs w:val="26"/>
        </w:rPr>
        <w:t>pasākuma „Atbalsts jaunu produktu un tehnoloģiju izstrāde</w:t>
      </w:r>
      <w:r w:rsidR="00427B41" w:rsidRPr="003C1B12">
        <w:rPr>
          <w:rFonts w:ascii="Times New Roman" w:hAnsi="Times New Roman" w:cs="Times New Roman"/>
          <w:sz w:val="24"/>
          <w:szCs w:val="26"/>
        </w:rPr>
        <w:t xml:space="preserve">i </w:t>
      </w:r>
      <w:r w:rsidR="007B5BD9" w:rsidRPr="003C1B12">
        <w:rPr>
          <w:rFonts w:ascii="Times New Roman" w:hAnsi="Times New Roman" w:cs="Times New Roman"/>
          <w:sz w:val="24"/>
          <w:szCs w:val="26"/>
        </w:rPr>
        <w:t>KC</w:t>
      </w:r>
      <w:r w:rsidR="00427B41" w:rsidRPr="003C1B12">
        <w:rPr>
          <w:rFonts w:ascii="Times New Roman" w:hAnsi="Times New Roman" w:cs="Times New Roman"/>
          <w:sz w:val="24"/>
          <w:szCs w:val="26"/>
        </w:rPr>
        <w:t xml:space="preserve"> ietvaros” </w:t>
      </w:r>
      <w:r w:rsidR="008C66E7" w:rsidRPr="003C1B12">
        <w:rPr>
          <w:rFonts w:ascii="Times New Roman" w:hAnsi="Times New Roman" w:cs="Times New Roman"/>
          <w:sz w:val="24"/>
          <w:szCs w:val="26"/>
        </w:rPr>
        <w:t xml:space="preserve">vērtējams kā tiešas ietekmes atbalsta instruments un tas galvenokārt vērsts uz </w:t>
      </w:r>
      <w:r w:rsidR="00DF4019" w:rsidRPr="003C1B12">
        <w:rPr>
          <w:rFonts w:ascii="Times New Roman" w:hAnsi="Times New Roman" w:cs="Times New Roman"/>
          <w:sz w:val="24"/>
          <w:szCs w:val="26"/>
        </w:rPr>
        <w:t>inovācijas</w:t>
      </w:r>
      <w:r w:rsidR="00427B41" w:rsidRPr="003C1B12">
        <w:rPr>
          <w:rFonts w:ascii="Times New Roman" w:hAnsi="Times New Roman" w:cs="Times New Roman"/>
          <w:sz w:val="24"/>
          <w:szCs w:val="26"/>
        </w:rPr>
        <w:t xml:space="preserve"> </w:t>
      </w:r>
      <w:r w:rsidR="00DF4019" w:rsidRPr="003C1B12">
        <w:rPr>
          <w:rFonts w:ascii="Times New Roman" w:hAnsi="Times New Roman" w:cs="Times New Roman"/>
          <w:sz w:val="24"/>
          <w:szCs w:val="26"/>
        </w:rPr>
        <w:t>sistēmā</w:t>
      </w:r>
      <w:r w:rsidR="00427B41" w:rsidRPr="003C1B12">
        <w:rPr>
          <w:rFonts w:ascii="Times New Roman" w:hAnsi="Times New Roman" w:cs="Times New Roman"/>
          <w:sz w:val="24"/>
          <w:szCs w:val="26"/>
        </w:rPr>
        <w:t xml:space="preserve"> pastāvošās nepilnības</w:t>
      </w:r>
      <w:r w:rsidR="008C66E7" w:rsidRPr="003C1B12">
        <w:rPr>
          <w:rFonts w:ascii="Times New Roman" w:hAnsi="Times New Roman" w:cs="Times New Roman"/>
          <w:sz w:val="24"/>
          <w:szCs w:val="26"/>
        </w:rPr>
        <w:t xml:space="preserve"> - vāja sadarbība starp uzņēmējdarbības sektoru un zinātni, kā arī nepietiekoša radošā un intelektuālā kapitāla izmantošana inovāciju radīšanā - novēršanu.</w:t>
      </w:r>
    </w:p>
    <w:p w:rsidR="00D56836" w:rsidRPr="003C1B12" w:rsidRDefault="005E3697" w:rsidP="00321504">
      <w:pPr>
        <w:spacing w:after="0" w:line="240" w:lineRule="auto"/>
        <w:ind w:firstLine="709"/>
        <w:jc w:val="both"/>
        <w:rPr>
          <w:rFonts w:ascii="Times New Roman" w:hAnsi="Times New Roman" w:cs="Times New Roman"/>
          <w:sz w:val="24"/>
        </w:rPr>
      </w:pPr>
      <w:r w:rsidRPr="003C1B12">
        <w:rPr>
          <w:rFonts w:ascii="Times New Roman" w:hAnsi="Times New Roman" w:cs="Times New Roman"/>
          <w:sz w:val="24"/>
          <w:szCs w:val="24"/>
        </w:rPr>
        <w:t>1.2.1.1.</w:t>
      </w:r>
      <w:r w:rsidR="00D56836" w:rsidRPr="003C1B12">
        <w:rPr>
          <w:rFonts w:ascii="Times New Roman" w:hAnsi="Times New Roman" w:cs="Times New Roman"/>
          <w:sz w:val="24"/>
          <w:szCs w:val="24"/>
        </w:rPr>
        <w:t>pasākuma „Atbalsts jaunu produktu un tehnoloģiju izstrāde</w:t>
      </w:r>
      <w:r w:rsidR="00427B41" w:rsidRPr="003C1B12">
        <w:rPr>
          <w:rFonts w:ascii="Times New Roman" w:hAnsi="Times New Roman" w:cs="Times New Roman"/>
          <w:sz w:val="24"/>
          <w:szCs w:val="24"/>
        </w:rPr>
        <w:t xml:space="preserve">i </w:t>
      </w:r>
      <w:r w:rsidR="007B5BD9" w:rsidRPr="003C1B12">
        <w:rPr>
          <w:rFonts w:ascii="Times New Roman" w:hAnsi="Times New Roman" w:cs="Times New Roman"/>
          <w:sz w:val="24"/>
          <w:szCs w:val="24"/>
        </w:rPr>
        <w:t>KC</w:t>
      </w:r>
      <w:r w:rsidR="00427B41" w:rsidRPr="003C1B12">
        <w:rPr>
          <w:rFonts w:ascii="Times New Roman" w:hAnsi="Times New Roman" w:cs="Times New Roman"/>
          <w:sz w:val="24"/>
          <w:szCs w:val="24"/>
        </w:rPr>
        <w:t xml:space="preserve"> ietvaros” </w:t>
      </w:r>
      <w:r w:rsidR="00D56836" w:rsidRPr="003C1B12">
        <w:rPr>
          <w:rFonts w:ascii="Times New Roman" w:hAnsi="Times New Roman" w:cs="Times New Roman"/>
          <w:sz w:val="24"/>
          <w:szCs w:val="24"/>
        </w:rPr>
        <w:t>veidos sinerģiju ar sekojošam viedas specializācijas stratēģijas atbalsta instrumentiem</w:t>
      </w:r>
      <w:r w:rsidR="00D56836" w:rsidRPr="003C1B12">
        <w:rPr>
          <w:rFonts w:ascii="Times New Roman" w:hAnsi="Times New Roman" w:cs="Times New Roman"/>
          <w:sz w:val="24"/>
        </w:rPr>
        <w:t>:</w:t>
      </w:r>
    </w:p>
    <w:p w:rsidR="00AF2DF8" w:rsidRPr="003C1B12" w:rsidRDefault="00992398" w:rsidP="00112449">
      <w:pPr>
        <w:pStyle w:val="ListParagraph"/>
        <w:numPr>
          <w:ilvl w:val="0"/>
          <w:numId w:val="34"/>
        </w:numPr>
        <w:spacing w:after="0" w:line="240" w:lineRule="auto"/>
        <w:ind w:left="993" w:hanging="426"/>
        <w:jc w:val="both"/>
        <w:rPr>
          <w:rFonts w:ascii="Times New Roman" w:hAnsi="Times New Roman" w:cs="Times New Roman"/>
          <w:noProof/>
          <w:sz w:val="24"/>
          <w:szCs w:val="24"/>
        </w:rPr>
      </w:pPr>
      <w:r w:rsidRPr="003C1B12">
        <w:rPr>
          <w:rFonts w:ascii="Times New Roman" w:hAnsi="Times New Roman" w:cs="Times New Roman"/>
          <w:bCs/>
          <w:sz w:val="24"/>
          <w:szCs w:val="24"/>
        </w:rPr>
        <w:t>Valsts pētījumu programm</w:t>
      </w:r>
      <w:r w:rsidR="00AF2DF8" w:rsidRPr="003C1B12">
        <w:rPr>
          <w:rFonts w:ascii="Times New Roman" w:hAnsi="Times New Roman" w:cs="Times New Roman"/>
          <w:bCs/>
          <w:sz w:val="24"/>
          <w:szCs w:val="24"/>
        </w:rPr>
        <w:t>a</w:t>
      </w:r>
      <w:r w:rsidRPr="003C1B12">
        <w:rPr>
          <w:rFonts w:ascii="Times New Roman" w:hAnsi="Times New Roman" w:cs="Times New Roman"/>
          <w:bCs/>
          <w:sz w:val="24"/>
          <w:szCs w:val="24"/>
        </w:rPr>
        <w:t>s, Fundamentāl</w:t>
      </w:r>
      <w:r w:rsidR="00AF2DF8" w:rsidRPr="003C1B12">
        <w:rPr>
          <w:rFonts w:ascii="Times New Roman" w:hAnsi="Times New Roman" w:cs="Times New Roman"/>
          <w:bCs/>
          <w:sz w:val="24"/>
          <w:szCs w:val="24"/>
        </w:rPr>
        <w:t>ie</w:t>
      </w:r>
      <w:r w:rsidRPr="003C1B12">
        <w:rPr>
          <w:rFonts w:ascii="Times New Roman" w:hAnsi="Times New Roman" w:cs="Times New Roman"/>
          <w:bCs/>
          <w:sz w:val="24"/>
          <w:szCs w:val="24"/>
        </w:rPr>
        <w:t xml:space="preserve"> un li</w:t>
      </w:r>
      <w:r w:rsidR="00AF2DF8" w:rsidRPr="003C1B12">
        <w:rPr>
          <w:rFonts w:ascii="Times New Roman" w:hAnsi="Times New Roman" w:cs="Times New Roman"/>
          <w:bCs/>
          <w:sz w:val="24"/>
          <w:szCs w:val="24"/>
        </w:rPr>
        <w:t>e</w:t>
      </w:r>
      <w:r w:rsidRPr="003C1B12">
        <w:rPr>
          <w:rFonts w:ascii="Times New Roman" w:hAnsi="Times New Roman" w:cs="Times New Roman"/>
          <w:bCs/>
          <w:sz w:val="24"/>
          <w:szCs w:val="24"/>
        </w:rPr>
        <w:t>ti</w:t>
      </w:r>
      <w:r w:rsidR="00AF2DF8" w:rsidRPr="003C1B12">
        <w:rPr>
          <w:rFonts w:ascii="Times New Roman" w:hAnsi="Times New Roman" w:cs="Times New Roman"/>
          <w:bCs/>
          <w:sz w:val="24"/>
          <w:szCs w:val="24"/>
        </w:rPr>
        <w:t>šķie</w:t>
      </w:r>
      <w:r w:rsidRPr="003C1B12">
        <w:rPr>
          <w:rFonts w:ascii="Times New Roman" w:hAnsi="Times New Roman" w:cs="Times New Roman"/>
          <w:bCs/>
          <w:sz w:val="24"/>
          <w:szCs w:val="24"/>
        </w:rPr>
        <w:t xml:space="preserve"> pētījum</w:t>
      </w:r>
      <w:r w:rsidR="00AF2DF8" w:rsidRPr="003C1B12">
        <w:rPr>
          <w:rFonts w:ascii="Times New Roman" w:hAnsi="Times New Roman" w:cs="Times New Roman"/>
          <w:bCs/>
          <w:sz w:val="24"/>
          <w:szCs w:val="24"/>
        </w:rPr>
        <w:t>i</w:t>
      </w:r>
      <w:r w:rsidR="005E3697" w:rsidRPr="003C1B12">
        <w:rPr>
          <w:rFonts w:ascii="Times New Roman" w:hAnsi="Times New Roman" w:cs="Times New Roman"/>
          <w:bCs/>
          <w:sz w:val="24"/>
          <w:szCs w:val="24"/>
        </w:rPr>
        <w:t>, SAM 1.1.1.</w:t>
      </w:r>
      <w:r w:rsidRPr="003C1B12">
        <w:rPr>
          <w:rFonts w:ascii="Times New Roman" w:hAnsi="Times New Roman" w:cs="Times New Roman"/>
          <w:noProof/>
          <w:sz w:val="24"/>
          <w:szCs w:val="24"/>
        </w:rPr>
        <w:t xml:space="preserve">pasākumi </w:t>
      </w:r>
      <w:r w:rsidR="005E3697" w:rsidRPr="003C1B12">
        <w:rPr>
          <w:rFonts w:ascii="Times New Roman" w:hAnsi="Times New Roman" w:cs="Times New Roman"/>
          <w:noProof/>
          <w:sz w:val="24"/>
          <w:szCs w:val="24"/>
        </w:rPr>
        <w:t>„Praktiskas ievirzes pētījumi”</w:t>
      </w:r>
      <w:r w:rsidRPr="003C1B12">
        <w:rPr>
          <w:rFonts w:ascii="Times New Roman" w:hAnsi="Times New Roman" w:cs="Times New Roman"/>
          <w:noProof/>
          <w:sz w:val="24"/>
          <w:szCs w:val="24"/>
        </w:rPr>
        <w:t xml:space="preserve"> un „Granti</w:t>
      </w:r>
      <w:r w:rsidR="00427B41" w:rsidRPr="003C1B12">
        <w:rPr>
          <w:rFonts w:ascii="Times New Roman" w:hAnsi="Times New Roman" w:cs="Times New Roman"/>
          <w:noProof/>
          <w:sz w:val="24"/>
          <w:szCs w:val="24"/>
        </w:rPr>
        <w:t xml:space="preserve"> pēcdoktorantūras pētījumiem”. </w:t>
      </w:r>
      <w:r w:rsidRPr="003C1B12">
        <w:rPr>
          <w:rFonts w:ascii="Times New Roman" w:hAnsi="Times New Roman" w:cs="Times New Roman"/>
          <w:noProof/>
          <w:sz w:val="24"/>
          <w:szCs w:val="24"/>
        </w:rPr>
        <w:t>Min</w:t>
      </w:r>
      <w:r w:rsidR="00AF2DF8" w:rsidRPr="003C1B12">
        <w:rPr>
          <w:rFonts w:ascii="Times New Roman" w:hAnsi="Times New Roman" w:cs="Times New Roman"/>
          <w:noProof/>
          <w:sz w:val="24"/>
          <w:szCs w:val="24"/>
        </w:rPr>
        <w:t>ē</w:t>
      </w:r>
      <w:r w:rsidRPr="003C1B12">
        <w:rPr>
          <w:rFonts w:ascii="Times New Roman" w:hAnsi="Times New Roman" w:cs="Times New Roman"/>
          <w:noProof/>
          <w:sz w:val="24"/>
          <w:szCs w:val="24"/>
        </w:rPr>
        <w:t>tajo</w:t>
      </w:r>
      <w:r w:rsidR="00AF2DF8" w:rsidRPr="003C1B12">
        <w:rPr>
          <w:rFonts w:ascii="Times New Roman" w:hAnsi="Times New Roman" w:cs="Times New Roman"/>
          <w:noProof/>
          <w:sz w:val="24"/>
          <w:szCs w:val="24"/>
        </w:rPr>
        <w:t>s</w:t>
      </w:r>
      <w:r w:rsidRPr="003C1B12">
        <w:rPr>
          <w:rFonts w:ascii="Times New Roman" w:hAnsi="Times New Roman" w:cs="Times New Roman"/>
          <w:noProof/>
          <w:sz w:val="24"/>
          <w:szCs w:val="24"/>
        </w:rPr>
        <w:t xml:space="preserve"> insturmentos I</w:t>
      </w:r>
      <w:r w:rsidR="00AF2DF8" w:rsidRPr="003C1B12">
        <w:rPr>
          <w:rFonts w:ascii="Times New Roman" w:hAnsi="Times New Roman" w:cs="Times New Roman"/>
          <w:noProof/>
          <w:sz w:val="24"/>
          <w:szCs w:val="24"/>
        </w:rPr>
        <w:t>ZM</w:t>
      </w:r>
      <w:r w:rsidRPr="003C1B12">
        <w:rPr>
          <w:rFonts w:ascii="Times New Roman" w:hAnsi="Times New Roman" w:cs="Times New Roman"/>
          <w:noProof/>
          <w:sz w:val="24"/>
          <w:szCs w:val="24"/>
        </w:rPr>
        <w:t xml:space="preserve"> sniedz vai plano sniegt atbalstu zinātniskajām institūcijām un petnie</w:t>
      </w:r>
      <w:r w:rsidR="00427B41" w:rsidRPr="003C1B12">
        <w:rPr>
          <w:rFonts w:ascii="Times New Roman" w:hAnsi="Times New Roman" w:cs="Times New Roman"/>
          <w:noProof/>
          <w:sz w:val="24"/>
          <w:szCs w:val="24"/>
        </w:rPr>
        <w:t>ku grupām, jauniem zinatniekiem</w:t>
      </w:r>
      <w:r w:rsidRPr="003C1B12">
        <w:rPr>
          <w:rFonts w:ascii="Times New Roman" w:hAnsi="Times New Roman" w:cs="Times New Roman"/>
          <w:noProof/>
          <w:sz w:val="24"/>
          <w:szCs w:val="24"/>
        </w:rPr>
        <w:t xml:space="preserve"> zinantiski pētni</w:t>
      </w:r>
      <w:r w:rsidR="00AF2DF8" w:rsidRPr="003C1B12">
        <w:rPr>
          <w:rFonts w:ascii="Times New Roman" w:hAnsi="Times New Roman" w:cs="Times New Roman"/>
          <w:noProof/>
          <w:sz w:val="24"/>
          <w:szCs w:val="24"/>
        </w:rPr>
        <w:t>e</w:t>
      </w:r>
      <w:r w:rsidRPr="003C1B12">
        <w:rPr>
          <w:rFonts w:ascii="Times New Roman" w:hAnsi="Times New Roman" w:cs="Times New Roman"/>
          <w:noProof/>
          <w:sz w:val="24"/>
          <w:szCs w:val="24"/>
        </w:rPr>
        <w:t>c</w:t>
      </w:r>
      <w:r w:rsidR="00AF2DF8" w:rsidRPr="003C1B12">
        <w:rPr>
          <w:rFonts w:ascii="Times New Roman" w:hAnsi="Times New Roman" w:cs="Times New Roman"/>
          <w:noProof/>
          <w:sz w:val="24"/>
          <w:szCs w:val="24"/>
        </w:rPr>
        <w:t>i</w:t>
      </w:r>
      <w:r w:rsidRPr="003C1B12">
        <w:rPr>
          <w:rFonts w:ascii="Times New Roman" w:hAnsi="Times New Roman" w:cs="Times New Roman"/>
          <w:noProof/>
          <w:sz w:val="24"/>
          <w:szCs w:val="24"/>
        </w:rPr>
        <w:t xml:space="preserve">skajam darbam. Šo pētījumu reuzltātu ieviešanas viens no veidiem var paredzēt sadarbības vai komersantu individuālus pētījumus </w:t>
      </w:r>
      <w:r w:rsidR="007B5BD9" w:rsidRPr="003C1B12">
        <w:rPr>
          <w:rFonts w:ascii="Times New Roman" w:hAnsi="Times New Roman" w:cs="Times New Roman"/>
          <w:noProof/>
          <w:sz w:val="24"/>
          <w:szCs w:val="24"/>
        </w:rPr>
        <w:t>KC</w:t>
      </w:r>
      <w:r w:rsidRPr="003C1B12">
        <w:rPr>
          <w:rFonts w:ascii="Times New Roman" w:hAnsi="Times New Roman" w:cs="Times New Roman"/>
          <w:noProof/>
          <w:sz w:val="24"/>
          <w:szCs w:val="24"/>
        </w:rPr>
        <w:t xml:space="preserve"> ietvaros, lai zinātnisko institūciju jaunradītās zinašanas un tehnoloģiajs pielagotu konkrētu ražotāju tehnoloģiskajām iespējām un vajadzībām.</w:t>
      </w:r>
      <w:r w:rsidR="005D78FA" w:rsidRPr="003C1B12">
        <w:rPr>
          <w:rFonts w:ascii="Times New Roman" w:hAnsi="Times New Roman" w:cs="Times New Roman"/>
          <w:noProof/>
          <w:sz w:val="24"/>
          <w:szCs w:val="24"/>
        </w:rPr>
        <w:t xml:space="preserve"> </w:t>
      </w:r>
      <w:r w:rsidR="00D964BD" w:rsidRPr="003C1B12">
        <w:rPr>
          <w:rFonts w:ascii="Times New Roman" w:hAnsi="Times New Roman" w:cs="Times New Roman"/>
          <w:noProof/>
          <w:sz w:val="24"/>
          <w:szCs w:val="24"/>
        </w:rPr>
        <w:t>1.2.1.4</w:t>
      </w:r>
      <w:r w:rsidR="005E3697" w:rsidRPr="003C1B12">
        <w:rPr>
          <w:rFonts w:ascii="Times New Roman" w:hAnsi="Times New Roman" w:cs="Times New Roman"/>
          <w:noProof/>
          <w:sz w:val="24"/>
          <w:szCs w:val="24"/>
        </w:rPr>
        <w:t>.</w:t>
      </w:r>
      <w:r w:rsidR="008C57A5" w:rsidRPr="003C1B12">
        <w:rPr>
          <w:rFonts w:ascii="Times New Roman" w:hAnsi="Times New Roman" w:cs="Times New Roman"/>
          <w:noProof/>
          <w:sz w:val="24"/>
          <w:szCs w:val="24"/>
        </w:rPr>
        <w:t>pasākums</w:t>
      </w:r>
      <w:r w:rsidR="00D964BD" w:rsidRPr="003C1B12">
        <w:rPr>
          <w:rFonts w:ascii="Times New Roman" w:hAnsi="Times New Roman" w:cs="Times New Roman"/>
          <w:noProof/>
          <w:sz w:val="24"/>
          <w:szCs w:val="24"/>
        </w:rPr>
        <w:t xml:space="preserve"> </w:t>
      </w:r>
      <w:r w:rsidR="008C57A5" w:rsidRPr="003C1B12">
        <w:rPr>
          <w:rFonts w:ascii="Times New Roman" w:hAnsi="Times New Roman" w:cs="Times New Roman"/>
          <w:noProof/>
          <w:sz w:val="24"/>
          <w:szCs w:val="24"/>
        </w:rPr>
        <w:t>„</w:t>
      </w:r>
      <w:r w:rsidR="00D964BD" w:rsidRPr="003C1B12">
        <w:rPr>
          <w:rFonts w:ascii="Times New Roman" w:hAnsi="Times New Roman" w:cs="Times New Roman"/>
          <w:noProof/>
          <w:sz w:val="24"/>
          <w:szCs w:val="24"/>
        </w:rPr>
        <w:t>Atbalsts jaunu produktu ieviešanai ražošanā</w:t>
      </w:r>
      <w:r w:rsidR="008C57A5" w:rsidRPr="003C1B12">
        <w:rPr>
          <w:rFonts w:ascii="Times New Roman" w:hAnsi="Times New Roman" w:cs="Times New Roman"/>
          <w:noProof/>
          <w:sz w:val="24"/>
          <w:szCs w:val="24"/>
        </w:rPr>
        <w:t>”</w:t>
      </w:r>
      <w:r w:rsidR="00D964BD" w:rsidRPr="003C1B12">
        <w:rPr>
          <w:rFonts w:ascii="Times New Roman" w:hAnsi="Times New Roman" w:cs="Times New Roman"/>
          <w:noProof/>
          <w:sz w:val="24"/>
          <w:szCs w:val="24"/>
        </w:rPr>
        <w:t>.</w:t>
      </w:r>
      <w:r w:rsidR="008C57A5" w:rsidRPr="003C1B12">
        <w:rPr>
          <w:rFonts w:ascii="Times New Roman" w:hAnsi="Times New Roman" w:cs="Times New Roman"/>
          <w:noProof/>
          <w:sz w:val="24"/>
          <w:szCs w:val="24"/>
        </w:rPr>
        <w:t xml:space="preserve"> Pasākuma ietvaros tiks sniegts atbalsts komersantiem iekārtu iegādei jaunu produktu un tehnoloģiju ieviešanai ražošanā. </w:t>
      </w:r>
      <w:r w:rsidR="008C57A5" w:rsidRPr="003C1B12">
        <w:rPr>
          <w:rFonts w:ascii="Times New Roman" w:hAnsi="Times New Roman" w:cs="Times New Roman"/>
          <w:noProof/>
          <w:sz w:val="24"/>
          <w:szCs w:val="24"/>
        </w:rPr>
        <w:lastRenderedPageBreak/>
        <w:t xml:space="preserve">Pasākuma ietvaros komersanti, kas  </w:t>
      </w:r>
      <w:r w:rsidR="007B5BD9" w:rsidRPr="003C1B12">
        <w:rPr>
          <w:rFonts w:ascii="Times New Roman" w:hAnsi="Times New Roman" w:cs="Times New Roman"/>
          <w:noProof/>
          <w:sz w:val="24"/>
          <w:szCs w:val="24"/>
        </w:rPr>
        <w:t>KC</w:t>
      </w:r>
      <w:r w:rsidR="008C57A5" w:rsidRPr="003C1B12">
        <w:rPr>
          <w:rFonts w:ascii="Times New Roman" w:hAnsi="Times New Roman" w:cs="Times New Roman"/>
          <w:noProof/>
          <w:sz w:val="24"/>
          <w:szCs w:val="24"/>
        </w:rPr>
        <w:t xml:space="preserve"> pētījumu gaitā būs izstrādājuši produktus un tehnoloģijas varēs pretendēt uz atbalsta saņemšanu to ieviešanai. Ņemot vērā abu pasākumu laika grafiku, galvenokārt tie varētu būt pētījumu rezultāti, kas tiks sasniegti esošās </w:t>
      </w:r>
      <w:r w:rsidR="007B5BD9" w:rsidRPr="003C1B12">
        <w:rPr>
          <w:rFonts w:ascii="Times New Roman" w:hAnsi="Times New Roman" w:cs="Times New Roman"/>
          <w:noProof/>
          <w:sz w:val="24"/>
          <w:szCs w:val="24"/>
        </w:rPr>
        <w:t>KC</w:t>
      </w:r>
      <w:r w:rsidR="008C57A5" w:rsidRPr="003C1B12">
        <w:rPr>
          <w:rFonts w:ascii="Times New Roman" w:hAnsi="Times New Roman" w:cs="Times New Roman"/>
          <w:noProof/>
          <w:sz w:val="24"/>
          <w:szCs w:val="24"/>
        </w:rPr>
        <w:t xml:space="preserve"> programmas ietvaros.</w:t>
      </w:r>
      <w:r w:rsidR="00112449" w:rsidRPr="003C1B12">
        <w:rPr>
          <w:rFonts w:ascii="Times New Roman" w:hAnsi="Times New Roman" w:cs="Times New Roman"/>
          <w:noProof/>
          <w:sz w:val="24"/>
          <w:szCs w:val="24"/>
        </w:rPr>
        <w:t xml:space="preserve"> </w:t>
      </w:r>
    </w:p>
    <w:p w:rsidR="00D56836" w:rsidRPr="003C1B12" w:rsidRDefault="00AF2DF8" w:rsidP="004B4060">
      <w:pPr>
        <w:pStyle w:val="ListParagraph"/>
        <w:numPr>
          <w:ilvl w:val="0"/>
          <w:numId w:val="34"/>
        </w:numPr>
        <w:spacing w:after="0" w:line="240" w:lineRule="auto"/>
        <w:ind w:left="993" w:hanging="426"/>
        <w:jc w:val="both"/>
        <w:rPr>
          <w:rFonts w:ascii="Times New Roman" w:hAnsi="Times New Roman" w:cs="Times New Roman"/>
          <w:noProof/>
          <w:sz w:val="24"/>
          <w:szCs w:val="24"/>
        </w:rPr>
      </w:pPr>
      <w:r w:rsidRPr="003C1B12">
        <w:rPr>
          <w:rFonts w:ascii="Times New Roman" w:hAnsi="Times New Roman" w:cs="Times New Roman"/>
          <w:noProof/>
          <w:sz w:val="24"/>
          <w:szCs w:val="24"/>
        </w:rPr>
        <w:t>SAM 1.1.1.</w:t>
      </w:r>
      <w:r w:rsidR="004C34ED" w:rsidRPr="003C1B12">
        <w:rPr>
          <w:rFonts w:ascii="Times New Roman" w:hAnsi="Times New Roman" w:cs="Times New Roman"/>
          <w:noProof/>
          <w:sz w:val="24"/>
          <w:szCs w:val="24"/>
        </w:rPr>
        <w:t>4.</w:t>
      </w:r>
      <w:r w:rsidRPr="003C1B12">
        <w:rPr>
          <w:rFonts w:ascii="Times New Roman" w:hAnsi="Times New Roman" w:cs="Times New Roman"/>
          <w:noProof/>
          <w:sz w:val="24"/>
          <w:szCs w:val="24"/>
        </w:rPr>
        <w:t>pasākums „P&amp;A infrastruktūras attīstība”. Pasākuma ietvaros tiks attī</w:t>
      </w:r>
      <w:r w:rsidR="003154C8" w:rsidRPr="003C1B12">
        <w:rPr>
          <w:rFonts w:ascii="Times New Roman" w:hAnsi="Times New Roman" w:cs="Times New Roman"/>
          <w:noProof/>
          <w:sz w:val="24"/>
          <w:szCs w:val="24"/>
        </w:rPr>
        <w:t>stī</w:t>
      </w:r>
      <w:r w:rsidRPr="003C1B12">
        <w:rPr>
          <w:rFonts w:ascii="Times New Roman" w:hAnsi="Times New Roman" w:cs="Times New Roman"/>
          <w:noProof/>
          <w:sz w:val="24"/>
          <w:szCs w:val="24"/>
        </w:rPr>
        <w:t xml:space="preserve">ta pētniecības un produktu izstrādes  </w:t>
      </w:r>
      <w:r w:rsidR="003154C8" w:rsidRPr="003C1B12">
        <w:rPr>
          <w:rFonts w:ascii="Times New Roman" w:hAnsi="Times New Roman" w:cs="Times New Roman"/>
          <w:noProof/>
          <w:sz w:val="24"/>
          <w:szCs w:val="24"/>
        </w:rPr>
        <w:t xml:space="preserve">infrastruktūra </w:t>
      </w:r>
      <w:r w:rsidRPr="003C1B12">
        <w:rPr>
          <w:rFonts w:ascii="Times New Roman" w:hAnsi="Times New Roman" w:cs="Times New Roman"/>
          <w:noProof/>
          <w:sz w:val="24"/>
          <w:szCs w:val="24"/>
        </w:rPr>
        <w:t xml:space="preserve">viedās specilizācijas jomās. </w:t>
      </w:r>
      <w:r w:rsidR="005E3697" w:rsidRPr="003C1B12">
        <w:rPr>
          <w:rFonts w:ascii="Times New Roman" w:hAnsi="Times New Roman" w:cs="Times New Roman"/>
          <w:noProof/>
          <w:sz w:val="24"/>
          <w:szCs w:val="24"/>
        </w:rPr>
        <w:t>Planots, ka infrastruktūrai būs</w:t>
      </w:r>
      <w:r w:rsidRPr="003C1B12">
        <w:rPr>
          <w:rFonts w:ascii="Times New Roman" w:hAnsi="Times New Roman" w:cs="Times New Roman"/>
          <w:noProof/>
          <w:sz w:val="24"/>
          <w:szCs w:val="24"/>
        </w:rPr>
        <w:t xml:space="preserve"> atvērtas pieejas</w:t>
      </w:r>
      <w:r w:rsidR="003154C8" w:rsidRPr="003C1B12">
        <w:rPr>
          <w:rFonts w:ascii="Times New Roman" w:hAnsi="Times New Roman" w:cs="Times New Roman"/>
          <w:noProof/>
          <w:sz w:val="24"/>
          <w:szCs w:val="24"/>
        </w:rPr>
        <w:t xml:space="preserve"> un</w:t>
      </w:r>
      <w:r w:rsidRPr="003C1B12">
        <w:rPr>
          <w:rFonts w:ascii="Times New Roman" w:hAnsi="Times New Roman" w:cs="Times New Roman"/>
          <w:noProof/>
          <w:sz w:val="24"/>
          <w:szCs w:val="24"/>
        </w:rPr>
        <w:t xml:space="preserve"> </w:t>
      </w:r>
      <w:r w:rsidR="003154C8" w:rsidRPr="003C1B12">
        <w:rPr>
          <w:rFonts w:ascii="Times New Roman" w:hAnsi="Times New Roman" w:cs="Times New Roman"/>
          <w:noProof/>
          <w:sz w:val="24"/>
          <w:szCs w:val="24"/>
        </w:rPr>
        <w:t xml:space="preserve">daļa </w:t>
      </w:r>
      <w:r w:rsidRPr="003C1B12">
        <w:rPr>
          <w:rFonts w:ascii="Times New Roman" w:hAnsi="Times New Roman" w:cs="Times New Roman"/>
          <w:noProof/>
          <w:sz w:val="24"/>
          <w:szCs w:val="24"/>
        </w:rPr>
        <w:t>no tās tiks izmantota tehnoloģiju pārneses atbalstam, jaunu produktu izstrādei un komercpētniecības pakalpojumiem, sekmējot privātā sektora investīciju piesaisti, balstoties uz biznesa plānu ar pamatotu ekonomisko ietekmi</w:t>
      </w:r>
      <w:r w:rsidR="005E3697" w:rsidRPr="003C1B12">
        <w:rPr>
          <w:rFonts w:ascii="Times New Roman" w:hAnsi="Times New Roman" w:cs="Times New Roman"/>
          <w:noProof/>
          <w:sz w:val="24"/>
          <w:szCs w:val="24"/>
        </w:rPr>
        <w:t>. Līdz</w:t>
      </w:r>
      <w:r w:rsidRPr="003C1B12">
        <w:rPr>
          <w:rFonts w:ascii="Times New Roman" w:hAnsi="Times New Roman" w:cs="Times New Roman"/>
          <w:noProof/>
          <w:sz w:val="24"/>
          <w:szCs w:val="24"/>
        </w:rPr>
        <w:t xml:space="preserve"> ar to </w:t>
      </w:r>
      <w:r w:rsidR="007B5BD9" w:rsidRPr="003C1B12">
        <w:rPr>
          <w:rFonts w:ascii="Times New Roman" w:hAnsi="Times New Roman" w:cs="Times New Roman"/>
          <w:noProof/>
          <w:sz w:val="24"/>
          <w:szCs w:val="24"/>
        </w:rPr>
        <w:t>KC</w:t>
      </w:r>
      <w:r w:rsidRPr="003C1B12">
        <w:rPr>
          <w:rFonts w:ascii="Times New Roman" w:hAnsi="Times New Roman" w:cs="Times New Roman"/>
          <w:noProof/>
          <w:sz w:val="24"/>
          <w:szCs w:val="24"/>
        </w:rPr>
        <w:t xml:space="preserve"> un tā partneri varēs izmantot izveidoto infrastrukrtūru savu pētneicības darbu īstenošanai tādejādi stiprinot arī sadarbību starp komersantiem un zinantiskjām institūcijām.</w:t>
      </w:r>
    </w:p>
    <w:p w:rsidR="00BF6C80" w:rsidRPr="003C1B12" w:rsidRDefault="00BF6C80" w:rsidP="004B4060">
      <w:pPr>
        <w:pStyle w:val="ListParagraph"/>
        <w:numPr>
          <w:ilvl w:val="0"/>
          <w:numId w:val="34"/>
        </w:numPr>
        <w:spacing w:after="0" w:line="240" w:lineRule="auto"/>
        <w:ind w:left="993" w:hanging="426"/>
        <w:jc w:val="both"/>
        <w:rPr>
          <w:rFonts w:ascii="Times New Roman" w:hAnsi="Times New Roman" w:cs="Times New Roman"/>
          <w:noProof/>
          <w:sz w:val="24"/>
          <w:szCs w:val="24"/>
        </w:rPr>
      </w:pPr>
      <w:r w:rsidRPr="003C1B12">
        <w:rPr>
          <w:rFonts w:ascii="Times New Roman" w:hAnsi="Times New Roman" w:cs="Times New Roman"/>
          <w:sz w:val="24"/>
          <w:szCs w:val="24"/>
        </w:rPr>
        <w:t>SAM 1.1.1.3.pasākums “Inovāciju granti studentiem”. Pasākuma ietvaros studenti attīstīs prasmes un pilnveidos zināšanas sadarbībai ar privāto sektoru un lietišķo pētījumu izstrādē. Jauniegūtās zināšanas un prasmes studenti varēs izmantot turpinot karjeru KC vai KC dalībniekos.</w:t>
      </w:r>
    </w:p>
    <w:p w:rsidR="004B4060" w:rsidRPr="003C1B12" w:rsidRDefault="004B4060" w:rsidP="004B4060">
      <w:pPr>
        <w:spacing w:after="0" w:line="240" w:lineRule="auto"/>
        <w:ind w:firstLine="709"/>
        <w:jc w:val="both"/>
        <w:rPr>
          <w:rFonts w:ascii="Times New Roman" w:hAnsi="Times New Roman" w:cs="Times New Roman"/>
          <w:sz w:val="24"/>
          <w:szCs w:val="24"/>
        </w:rPr>
      </w:pPr>
    </w:p>
    <w:p w:rsidR="00D56836" w:rsidRPr="003C1B12" w:rsidRDefault="00D56836" w:rsidP="004B4060">
      <w:pPr>
        <w:spacing w:after="0" w:line="240" w:lineRule="auto"/>
        <w:ind w:firstLine="709"/>
        <w:jc w:val="both"/>
        <w:rPr>
          <w:rFonts w:ascii="Times New Roman" w:hAnsi="Times New Roman" w:cs="Times New Roman"/>
          <w:sz w:val="24"/>
          <w:szCs w:val="24"/>
        </w:rPr>
      </w:pPr>
      <w:r w:rsidRPr="003C1B12">
        <w:rPr>
          <w:rFonts w:ascii="Times New Roman" w:hAnsi="Times New Roman" w:cs="Times New Roman"/>
          <w:sz w:val="24"/>
          <w:szCs w:val="24"/>
        </w:rPr>
        <w:t>Vienlaicīgi iz</w:t>
      </w:r>
      <w:r w:rsidR="004B4060" w:rsidRPr="003C1B12">
        <w:rPr>
          <w:rFonts w:ascii="Times New Roman" w:hAnsi="Times New Roman" w:cs="Times New Roman"/>
          <w:sz w:val="24"/>
          <w:szCs w:val="24"/>
        </w:rPr>
        <w:t>strādājot un īstenojot 1.2.1.1.</w:t>
      </w:r>
      <w:r w:rsidRPr="003C1B12">
        <w:rPr>
          <w:rFonts w:ascii="Times New Roman" w:hAnsi="Times New Roman" w:cs="Times New Roman"/>
          <w:sz w:val="24"/>
          <w:szCs w:val="24"/>
        </w:rPr>
        <w:t xml:space="preserve">pasākuma „Atbalsts jaunu produktu un tehnoloģiju izstrādei </w:t>
      </w:r>
      <w:r w:rsidR="007B5BD9" w:rsidRPr="003C1B12">
        <w:rPr>
          <w:rFonts w:ascii="Times New Roman" w:hAnsi="Times New Roman" w:cs="Times New Roman"/>
          <w:sz w:val="24"/>
          <w:szCs w:val="24"/>
        </w:rPr>
        <w:t>KC</w:t>
      </w:r>
      <w:r w:rsidRPr="003C1B12">
        <w:rPr>
          <w:rFonts w:ascii="Times New Roman" w:hAnsi="Times New Roman" w:cs="Times New Roman"/>
          <w:sz w:val="24"/>
          <w:szCs w:val="24"/>
        </w:rPr>
        <w:t xml:space="preserve"> ietvaros”, lai nodrošinātu</w:t>
      </w:r>
      <w:r w:rsidR="00854265" w:rsidRPr="003C1B12">
        <w:rPr>
          <w:rFonts w:ascii="Times New Roman" w:hAnsi="Times New Roman" w:cs="Times New Roman"/>
          <w:sz w:val="24"/>
          <w:szCs w:val="24"/>
        </w:rPr>
        <w:t xml:space="preserve">, ka atbalsts projektu līmenī netiek piešķirts vienām un tām pašām izmaksām </w:t>
      </w:r>
      <w:r w:rsidRPr="003C1B12">
        <w:rPr>
          <w:rFonts w:ascii="Times New Roman" w:hAnsi="Times New Roman" w:cs="Times New Roman"/>
          <w:sz w:val="24"/>
          <w:szCs w:val="24"/>
        </w:rPr>
        <w:t xml:space="preserve">jānodrošina </w:t>
      </w:r>
      <w:r w:rsidR="00854265" w:rsidRPr="003C1B12">
        <w:rPr>
          <w:rFonts w:ascii="Times New Roman" w:hAnsi="Times New Roman" w:cs="Times New Roman"/>
          <w:sz w:val="24"/>
          <w:szCs w:val="24"/>
        </w:rPr>
        <w:t>demarkācija ar sekojošiem atbalsta instrumentiem:</w:t>
      </w:r>
    </w:p>
    <w:p w:rsidR="00112449" w:rsidRPr="003C1B12" w:rsidRDefault="004B4060" w:rsidP="00112449">
      <w:pPr>
        <w:pStyle w:val="ListParagraph"/>
        <w:numPr>
          <w:ilvl w:val="0"/>
          <w:numId w:val="34"/>
        </w:numPr>
        <w:spacing w:after="0" w:line="240" w:lineRule="auto"/>
        <w:ind w:left="993" w:hanging="426"/>
        <w:jc w:val="both"/>
        <w:rPr>
          <w:rFonts w:ascii="Times New Roman" w:hAnsi="Times New Roman" w:cs="Times New Roman"/>
          <w:noProof/>
          <w:sz w:val="24"/>
          <w:szCs w:val="24"/>
        </w:rPr>
      </w:pPr>
      <w:r w:rsidRPr="003C1B12">
        <w:rPr>
          <w:rFonts w:ascii="Times New Roman" w:hAnsi="Times New Roman" w:cs="Times New Roman"/>
          <w:noProof/>
          <w:sz w:val="24"/>
          <w:szCs w:val="24"/>
        </w:rPr>
        <w:t>SAM 1.1.1.</w:t>
      </w:r>
      <w:r w:rsidR="00F40B90" w:rsidRPr="003C1B12">
        <w:rPr>
          <w:rFonts w:ascii="Times New Roman" w:hAnsi="Times New Roman" w:cs="Times New Roman"/>
          <w:noProof/>
          <w:sz w:val="24"/>
          <w:szCs w:val="24"/>
        </w:rPr>
        <w:t>2.</w:t>
      </w:r>
      <w:r w:rsidR="00992398" w:rsidRPr="003C1B12">
        <w:rPr>
          <w:rFonts w:ascii="Times New Roman" w:hAnsi="Times New Roman" w:cs="Times New Roman"/>
          <w:noProof/>
          <w:sz w:val="24"/>
          <w:szCs w:val="24"/>
        </w:rPr>
        <w:t>pasākums</w:t>
      </w:r>
      <w:r w:rsidR="00854265" w:rsidRPr="003C1B12">
        <w:rPr>
          <w:rFonts w:ascii="Times New Roman" w:hAnsi="Times New Roman" w:cs="Times New Roman"/>
          <w:noProof/>
          <w:sz w:val="24"/>
          <w:szCs w:val="24"/>
        </w:rPr>
        <w:t xml:space="preserve"> </w:t>
      </w:r>
      <w:r w:rsidR="00992398" w:rsidRPr="003C1B12">
        <w:rPr>
          <w:rFonts w:ascii="Times New Roman" w:hAnsi="Times New Roman" w:cs="Times New Roman"/>
          <w:noProof/>
          <w:sz w:val="24"/>
          <w:szCs w:val="24"/>
        </w:rPr>
        <w:t>„</w:t>
      </w:r>
      <w:r w:rsidR="00F40B90" w:rsidRPr="003C1B12">
        <w:rPr>
          <w:rFonts w:ascii="Times New Roman" w:hAnsi="Times New Roman" w:cs="Times New Roman"/>
          <w:noProof/>
          <w:sz w:val="24"/>
          <w:szCs w:val="24"/>
        </w:rPr>
        <w:t>Pēcdoktorantūras pētniecības atbalsts</w:t>
      </w:r>
      <w:r w:rsidR="00992398" w:rsidRPr="003C1B12">
        <w:rPr>
          <w:rFonts w:ascii="Times New Roman" w:hAnsi="Times New Roman" w:cs="Times New Roman"/>
          <w:noProof/>
          <w:sz w:val="24"/>
          <w:szCs w:val="24"/>
        </w:rPr>
        <w:t>”</w:t>
      </w:r>
      <w:r w:rsidR="00854265" w:rsidRPr="003C1B12">
        <w:rPr>
          <w:rFonts w:ascii="Times New Roman" w:hAnsi="Times New Roman" w:cs="Times New Roman"/>
          <w:noProof/>
          <w:sz w:val="24"/>
          <w:szCs w:val="24"/>
        </w:rPr>
        <w:t xml:space="preserve">. IZM pasākuma ieviešanas nosacījumos paredz, ka daļai no pēcdoktorantūras pētījumu tiek piesaistīts privātais finansējums, t.sk. pētījums var tikt īstenots uzņēmumā. </w:t>
      </w:r>
      <w:r w:rsidR="00992398" w:rsidRPr="003C1B12">
        <w:rPr>
          <w:rFonts w:ascii="Times New Roman" w:hAnsi="Times New Roman" w:cs="Times New Roman"/>
          <w:noProof/>
          <w:sz w:val="24"/>
          <w:szCs w:val="24"/>
        </w:rPr>
        <w:t>Pasākuma nosacījumos tiks noteikts, ka piešķirto finansējumu pētījumiem attiecībā uz tām pašām attiecināmajām izmaksām nevar apvienot ar de minimis atbalstu vai citas atbalsta programmas vai individuālā atbalsta projekta piešķirto finansējumu.</w:t>
      </w:r>
      <w:r w:rsidR="00112449" w:rsidRPr="003C1B12">
        <w:rPr>
          <w:rFonts w:ascii="Times New Roman" w:hAnsi="Times New Roman" w:cs="Times New Roman"/>
          <w:noProof/>
          <w:sz w:val="24"/>
          <w:szCs w:val="24"/>
        </w:rPr>
        <w:t xml:space="preserve"> Ar šiem instrumentiem tiks nodrošināta demarkācija pēc tehnoloģijas gatavības līmeņiem – 1.1.1.pasākumā tiks īstenoti projekti 1.-4. tehnoloģijas gatavības līmenī, savukārt KC programmas ietvaros tiks īstenoti projekti 4.-7. tehnoloģiju gatavības līmenī. 4. tehnoloģiju gatavības līmenī tiks nodrošināta demarkācija projektu līmenī.</w:t>
      </w:r>
    </w:p>
    <w:p w:rsidR="00992398" w:rsidRPr="003C1B12" w:rsidRDefault="004B4060" w:rsidP="004B4060">
      <w:pPr>
        <w:pStyle w:val="ListParagraph"/>
        <w:numPr>
          <w:ilvl w:val="0"/>
          <w:numId w:val="34"/>
        </w:numPr>
        <w:spacing w:after="0" w:line="240" w:lineRule="auto"/>
        <w:ind w:left="993" w:hanging="426"/>
        <w:jc w:val="both"/>
        <w:rPr>
          <w:rFonts w:ascii="Times New Roman" w:hAnsi="Times New Roman" w:cs="Times New Roman"/>
          <w:noProof/>
          <w:sz w:val="24"/>
          <w:szCs w:val="24"/>
        </w:rPr>
      </w:pPr>
      <w:r w:rsidRPr="003C1B12">
        <w:rPr>
          <w:rFonts w:ascii="Times New Roman" w:hAnsi="Times New Roman" w:cs="Times New Roman"/>
          <w:noProof/>
          <w:sz w:val="24"/>
          <w:szCs w:val="24"/>
        </w:rPr>
        <w:t>SAM 1.1.1.</w:t>
      </w:r>
      <w:r w:rsidR="00F40B90" w:rsidRPr="003C1B12">
        <w:rPr>
          <w:rFonts w:ascii="Times New Roman" w:hAnsi="Times New Roman" w:cs="Times New Roman"/>
          <w:noProof/>
          <w:sz w:val="24"/>
          <w:szCs w:val="24"/>
        </w:rPr>
        <w:t>1.</w:t>
      </w:r>
      <w:r w:rsidR="00992398" w:rsidRPr="003C1B12">
        <w:rPr>
          <w:rFonts w:ascii="Times New Roman" w:hAnsi="Times New Roman" w:cs="Times New Roman"/>
          <w:noProof/>
          <w:sz w:val="24"/>
          <w:szCs w:val="24"/>
        </w:rPr>
        <w:t>pasākums „</w:t>
      </w:r>
      <w:r w:rsidR="008C57A5" w:rsidRPr="003C1B12">
        <w:rPr>
          <w:rFonts w:ascii="Times New Roman" w:hAnsi="Times New Roman" w:cs="Times New Roman"/>
          <w:noProof/>
          <w:sz w:val="24"/>
          <w:szCs w:val="24"/>
        </w:rPr>
        <w:t>Praktiskas ievirzes pētījumi</w:t>
      </w:r>
      <w:r w:rsidR="00992398" w:rsidRPr="003C1B12">
        <w:rPr>
          <w:rFonts w:ascii="Times New Roman" w:hAnsi="Times New Roman" w:cs="Times New Roman"/>
          <w:noProof/>
          <w:sz w:val="24"/>
          <w:szCs w:val="24"/>
        </w:rPr>
        <w:t>”</w:t>
      </w:r>
      <w:r w:rsidR="00854265" w:rsidRPr="003C1B12">
        <w:rPr>
          <w:rFonts w:ascii="Times New Roman" w:hAnsi="Times New Roman" w:cs="Times New Roman"/>
          <w:noProof/>
          <w:sz w:val="24"/>
          <w:szCs w:val="24"/>
        </w:rPr>
        <w:t xml:space="preserve">. IZM pasākuma ieviešanas nosacījumi paredz, ka atbalstīti tiks zinātnisko institūciju individuāli īstenotus projekti, kā arī zinātnisko institūciju un komersantu, kā arī komersantu pasāutīti līgumpētijumi. </w:t>
      </w:r>
      <w:r w:rsidR="00992398" w:rsidRPr="003C1B12">
        <w:rPr>
          <w:rFonts w:ascii="Times New Roman" w:hAnsi="Times New Roman" w:cs="Times New Roman"/>
          <w:noProof/>
          <w:sz w:val="24"/>
          <w:szCs w:val="24"/>
        </w:rPr>
        <w:t>Pasākuma nosacījumos tiks noteikts, ka piešķirto finansējumu pētījumiem attiecībā uz tām pašām attiecināmajām izmaksām nevar apvienot ar de minimis atbalstu vai citas atbalsta programmas vai individuālā atbalsta projekta piešķirto finansējumu.</w:t>
      </w:r>
      <w:r w:rsidR="00BF6C80" w:rsidRPr="003C1B12">
        <w:rPr>
          <w:rFonts w:ascii="Times New Roman" w:hAnsi="Times New Roman" w:cs="Times New Roman"/>
          <w:noProof/>
          <w:sz w:val="24"/>
          <w:szCs w:val="24"/>
        </w:rPr>
        <w:t xml:space="preserve"> Ar šiem instrumentiem tiks nodrošināta demarkācija pēc tehnoloģijas gatavības līmeņiem – 1.1.1.</w:t>
      </w:r>
      <w:r w:rsidR="00F40B90" w:rsidRPr="003C1B12">
        <w:rPr>
          <w:rFonts w:ascii="Times New Roman" w:hAnsi="Times New Roman" w:cs="Times New Roman"/>
          <w:noProof/>
          <w:sz w:val="24"/>
          <w:szCs w:val="24"/>
        </w:rPr>
        <w:t>1.</w:t>
      </w:r>
      <w:r w:rsidR="00BF6C80" w:rsidRPr="003C1B12">
        <w:rPr>
          <w:rFonts w:ascii="Times New Roman" w:hAnsi="Times New Roman" w:cs="Times New Roman"/>
          <w:noProof/>
          <w:sz w:val="24"/>
          <w:szCs w:val="24"/>
        </w:rPr>
        <w:t>pasākumā tiks īstenoti projekti 1.-4. tehnoloģijas gatavības līmenī, savukārt KC programmas ietvaros tiks īstenoti projekti 4.-7. tehnoloģiju gatavības līmenī. 4. tehnoloģiju gatavības līmenī tiks nodrošināta demarkācija projektu līmenī.</w:t>
      </w:r>
    </w:p>
    <w:p w:rsidR="00992398" w:rsidRPr="003C1B12" w:rsidRDefault="008C57A5" w:rsidP="004B4060">
      <w:pPr>
        <w:pStyle w:val="ListParagraph"/>
        <w:numPr>
          <w:ilvl w:val="0"/>
          <w:numId w:val="34"/>
        </w:numPr>
        <w:spacing w:after="0" w:line="240" w:lineRule="auto"/>
        <w:ind w:left="993" w:hanging="426"/>
        <w:jc w:val="both"/>
        <w:rPr>
          <w:rFonts w:ascii="Times New Roman" w:hAnsi="Times New Roman" w:cs="Times New Roman"/>
          <w:noProof/>
          <w:sz w:val="24"/>
          <w:szCs w:val="24"/>
        </w:rPr>
      </w:pPr>
      <w:r w:rsidRPr="003C1B12">
        <w:rPr>
          <w:rFonts w:ascii="Times New Roman" w:hAnsi="Times New Roman" w:cs="Times New Roman"/>
          <w:noProof/>
          <w:sz w:val="24"/>
          <w:szCs w:val="24"/>
        </w:rPr>
        <w:t xml:space="preserve"> </w:t>
      </w:r>
      <w:r w:rsidR="004B4060" w:rsidRPr="003C1B12">
        <w:rPr>
          <w:rFonts w:ascii="Times New Roman" w:hAnsi="Times New Roman" w:cs="Times New Roman"/>
          <w:noProof/>
          <w:sz w:val="24"/>
          <w:szCs w:val="24"/>
        </w:rPr>
        <w:t>1.2.1.3.</w:t>
      </w:r>
      <w:r w:rsidR="00D964BD" w:rsidRPr="003C1B12">
        <w:rPr>
          <w:rFonts w:ascii="Times New Roman" w:hAnsi="Times New Roman" w:cs="Times New Roman"/>
          <w:noProof/>
          <w:sz w:val="24"/>
          <w:szCs w:val="24"/>
        </w:rPr>
        <w:t>pasākums „Inovācijas vaučeri MVK”</w:t>
      </w:r>
      <w:r w:rsidR="00854265" w:rsidRPr="003C1B12">
        <w:rPr>
          <w:rFonts w:ascii="Times New Roman" w:hAnsi="Times New Roman" w:cs="Times New Roman"/>
          <w:noProof/>
          <w:sz w:val="24"/>
          <w:szCs w:val="24"/>
        </w:rPr>
        <w:t xml:space="preserve">. </w:t>
      </w:r>
      <w:r w:rsidR="00D964BD" w:rsidRPr="003C1B12">
        <w:rPr>
          <w:rFonts w:ascii="Times New Roman" w:hAnsi="Times New Roman" w:cs="Times New Roman"/>
          <w:noProof/>
          <w:sz w:val="24"/>
          <w:szCs w:val="24"/>
        </w:rPr>
        <w:t>P</w:t>
      </w:r>
      <w:r w:rsidR="00854265" w:rsidRPr="003C1B12">
        <w:rPr>
          <w:rFonts w:ascii="Times New Roman" w:hAnsi="Times New Roman" w:cs="Times New Roman"/>
          <w:noProof/>
          <w:sz w:val="24"/>
          <w:szCs w:val="24"/>
        </w:rPr>
        <w:t>asākuma</w:t>
      </w:r>
      <w:r w:rsidR="00D964BD" w:rsidRPr="003C1B12">
        <w:rPr>
          <w:rFonts w:ascii="Times New Roman" w:hAnsi="Times New Roman" w:cs="Times New Roman"/>
          <w:noProof/>
          <w:sz w:val="24"/>
          <w:szCs w:val="24"/>
        </w:rPr>
        <w:t xml:space="preserve"> </w:t>
      </w:r>
      <w:r w:rsidR="00854265" w:rsidRPr="003C1B12">
        <w:rPr>
          <w:rFonts w:ascii="Times New Roman" w:hAnsi="Times New Roman" w:cs="Times New Roman"/>
          <w:noProof/>
          <w:sz w:val="24"/>
          <w:szCs w:val="24"/>
        </w:rPr>
        <w:t>paredz</w:t>
      </w:r>
      <w:r w:rsidR="00D964BD" w:rsidRPr="003C1B12">
        <w:rPr>
          <w:rFonts w:ascii="Times New Roman" w:hAnsi="Times New Roman" w:cs="Times New Roman"/>
          <w:noProof/>
          <w:sz w:val="24"/>
          <w:szCs w:val="24"/>
        </w:rPr>
        <w:t xml:space="preserve"> paaugstināt sīko (mikro), mazo un vidējo komersantu inovācijas kapacitāti, sniedzot atbalstu produktu un tehnoloģiju pilnveidošanai un izstrādei nepieciešamo kompetenču un ārējās ekspertīzes iegādei no zinātniskām institūcijām, laboratorijām</w:t>
      </w:r>
      <w:r w:rsidR="00854265" w:rsidRPr="003C1B12">
        <w:rPr>
          <w:rFonts w:ascii="Times New Roman" w:hAnsi="Times New Roman" w:cs="Times New Roman"/>
          <w:noProof/>
          <w:sz w:val="24"/>
          <w:szCs w:val="24"/>
        </w:rPr>
        <w:t>,</w:t>
      </w:r>
      <w:r w:rsidR="00D964BD" w:rsidRPr="003C1B12">
        <w:rPr>
          <w:rFonts w:ascii="Times New Roman" w:hAnsi="Times New Roman" w:cs="Times New Roman"/>
          <w:noProof/>
          <w:sz w:val="24"/>
          <w:szCs w:val="24"/>
        </w:rPr>
        <w:t xml:space="preserve"> patentpilnvarotajiem  un citiem uzņēmumiem ar pieredzi produktu un tehnoloģiju izstrādē. Pasākums paredz atbalstu sniegt neliela apjoma projektiem līdz 25 000 -30 000 EUR. </w:t>
      </w:r>
      <w:r w:rsidR="00992398" w:rsidRPr="003C1B12">
        <w:rPr>
          <w:rFonts w:ascii="Times New Roman" w:hAnsi="Times New Roman" w:cs="Times New Roman"/>
          <w:noProof/>
          <w:sz w:val="24"/>
          <w:szCs w:val="24"/>
        </w:rPr>
        <w:t xml:space="preserve">Pasākuma nosacījumos tiks noteikts, ka piešķirto finansējumu pētījumiem attiecībā uz tām pašām attiecināmajām izmaksām nevar apvienot ar de </w:t>
      </w:r>
      <w:r w:rsidR="00992398" w:rsidRPr="003C1B12">
        <w:rPr>
          <w:rFonts w:ascii="Times New Roman" w:hAnsi="Times New Roman" w:cs="Times New Roman"/>
          <w:noProof/>
          <w:sz w:val="24"/>
          <w:szCs w:val="24"/>
        </w:rPr>
        <w:lastRenderedPageBreak/>
        <w:t>minimis atbalstu vai citas atbalsta programmas vai individuālā atbalsta projekta piešķirto finansējumu.</w:t>
      </w:r>
    </w:p>
    <w:p w:rsidR="00D964BD" w:rsidRPr="003C1B12" w:rsidRDefault="00D964BD" w:rsidP="004B4060">
      <w:pPr>
        <w:pStyle w:val="ListParagraph"/>
        <w:numPr>
          <w:ilvl w:val="0"/>
          <w:numId w:val="34"/>
        </w:numPr>
        <w:spacing w:after="0" w:line="240" w:lineRule="auto"/>
        <w:ind w:left="993" w:hanging="426"/>
        <w:jc w:val="both"/>
        <w:rPr>
          <w:rFonts w:ascii="Times New Roman" w:hAnsi="Times New Roman" w:cs="Times New Roman"/>
          <w:noProof/>
          <w:sz w:val="24"/>
          <w:szCs w:val="24"/>
        </w:rPr>
      </w:pPr>
      <w:r w:rsidRPr="003C1B12">
        <w:rPr>
          <w:rFonts w:ascii="Times New Roman" w:hAnsi="Times New Roman" w:cs="Times New Roman"/>
          <w:noProof/>
          <w:sz w:val="24"/>
          <w:szCs w:val="24"/>
        </w:rPr>
        <w:t xml:space="preserve">Uzņēmuma ienākuma nodokļa atvieglojumi par veiktajiem ieguldījumiem P&amp;A. Kopš 2014.gada 1.jūlija nodokļu maksātāji, tajā skaitā komersanti,  </w:t>
      </w:r>
      <w:r w:rsidR="00864455" w:rsidRPr="003C1B12">
        <w:rPr>
          <w:rFonts w:ascii="Times New Roman" w:hAnsi="Times New Roman" w:cs="Times New Roman"/>
          <w:noProof/>
          <w:sz w:val="24"/>
          <w:szCs w:val="24"/>
        </w:rPr>
        <w:t>P&amp;A</w:t>
      </w:r>
      <w:r w:rsidRPr="003C1B12">
        <w:rPr>
          <w:rFonts w:ascii="Times New Roman" w:hAnsi="Times New Roman" w:cs="Times New Roman"/>
          <w:noProof/>
          <w:sz w:val="24"/>
          <w:szCs w:val="24"/>
        </w:rPr>
        <w:t xml:space="preserve"> izmaksas var norakstīt trīskāršā apmērā tajā gadā, kad tās radušās, piemērojot vērtību palielinošu koeficientu – 3. Atvieglojums atteicās uz atsevišķām izmaksu pozīcijām, tajā skaitā uz izmaksām, kuras veido iepirktiem pētniecības organizāciju un laboratoriju pakalpojumi. Atvieglojuma nosacījumi </w:t>
      </w:r>
      <w:r w:rsidR="00854265" w:rsidRPr="003C1B12">
        <w:rPr>
          <w:rFonts w:ascii="Times New Roman" w:hAnsi="Times New Roman" w:cs="Times New Roman"/>
          <w:noProof/>
          <w:sz w:val="24"/>
          <w:szCs w:val="24"/>
        </w:rPr>
        <w:t xml:space="preserve">jau šobrīd </w:t>
      </w:r>
      <w:r w:rsidRPr="003C1B12">
        <w:rPr>
          <w:rFonts w:ascii="Times New Roman" w:hAnsi="Times New Roman" w:cs="Times New Roman"/>
          <w:noProof/>
          <w:sz w:val="24"/>
          <w:szCs w:val="24"/>
        </w:rPr>
        <w:t xml:space="preserve">paredz, ka novērtējot </w:t>
      </w:r>
      <w:r w:rsidR="00864455" w:rsidRPr="003C1B12">
        <w:rPr>
          <w:rFonts w:ascii="Times New Roman" w:hAnsi="Times New Roman" w:cs="Times New Roman"/>
          <w:noProof/>
          <w:sz w:val="24"/>
          <w:szCs w:val="24"/>
        </w:rPr>
        <w:t>P&amp;A</w:t>
      </w:r>
      <w:r w:rsidRPr="003C1B12">
        <w:rPr>
          <w:rFonts w:ascii="Times New Roman" w:hAnsi="Times New Roman" w:cs="Times New Roman"/>
          <w:noProof/>
          <w:sz w:val="24"/>
          <w:szCs w:val="24"/>
        </w:rPr>
        <w:t xml:space="preserve"> izdevumus, nodokļu maksātājs izdevumos neietver tā projekta izdevumus, par kuru ir saņemts valsts atbalsts, neatkarīgi no tā, vai atbalsts sniegts no valsts, pašvaldības vai Eiropas Savienības līdzekļiem.</w:t>
      </w:r>
    </w:p>
    <w:p w:rsidR="00970257" w:rsidRPr="003C1B12" w:rsidRDefault="00112449" w:rsidP="00F40B90">
      <w:pPr>
        <w:pStyle w:val="ListParagraph"/>
        <w:numPr>
          <w:ilvl w:val="0"/>
          <w:numId w:val="28"/>
        </w:numPr>
        <w:spacing w:after="0" w:line="240" w:lineRule="auto"/>
        <w:ind w:left="993"/>
        <w:jc w:val="both"/>
        <w:rPr>
          <w:rFonts w:ascii="Times New Roman" w:eastAsia="Calibri" w:hAnsi="Times New Roman" w:cs="Times New Roman"/>
          <w:sz w:val="24"/>
          <w:szCs w:val="24"/>
        </w:rPr>
      </w:pPr>
      <w:r w:rsidRPr="003C1B12">
        <w:rPr>
          <w:rFonts w:ascii="Times New Roman" w:hAnsi="Times New Roman" w:cs="Times New Roman"/>
          <w:noProof/>
          <w:sz w:val="24"/>
          <w:szCs w:val="24"/>
        </w:rPr>
        <w:t>1.2.1.4.pasākums „Atbalsts jaunu produktu ieviešanai ražošanā”. Demarkācija tiek nodrošināta pēc tehnoloģiju gatavības līmeņa</w:t>
      </w:r>
      <w:r w:rsidR="00970257" w:rsidRPr="003C1B12">
        <w:rPr>
          <w:rFonts w:ascii="Times New Roman" w:hAnsi="Times New Roman" w:cs="Times New Roman"/>
          <w:noProof/>
          <w:sz w:val="24"/>
          <w:szCs w:val="24"/>
        </w:rPr>
        <w:t xml:space="preserve"> un atbalstāmo darbību mērķa</w:t>
      </w:r>
      <w:r w:rsidRPr="003C1B12">
        <w:rPr>
          <w:rFonts w:ascii="Times New Roman" w:hAnsi="Times New Roman" w:cs="Times New Roman"/>
          <w:noProof/>
          <w:sz w:val="24"/>
          <w:szCs w:val="24"/>
        </w:rPr>
        <w:t>.</w:t>
      </w:r>
      <w:r w:rsidR="004B301D" w:rsidRPr="003C1B12">
        <w:rPr>
          <w:rFonts w:ascii="Times New Roman" w:hAnsi="Times New Roman" w:cs="Times New Roman"/>
          <w:noProof/>
          <w:sz w:val="24"/>
          <w:szCs w:val="24"/>
        </w:rPr>
        <w:t xml:space="preserve"> 1.2.1.4.pasākuma ietvaros</w:t>
      </w:r>
      <w:r w:rsidR="00970257" w:rsidRPr="003C1B12">
        <w:rPr>
          <w:rFonts w:ascii="Times New Roman" w:hAnsi="Times New Roman" w:cs="Times New Roman"/>
          <w:noProof/>
          <w:sz w:val="24"/>
          <w:szCs w:val="24"/>
        </w:rPr>
        <w:t xml:space="preserve"> projekti tiks atbalstīti ja tie atbildīs 8. tehnoloģiju gatavības līmenī</w:t>
      </w:r>
      <w:r w:rsidR="004B301D" w:rsidRPr="003C1B12">
        <w:rPr>
          <w:rFonts w:ascii="Times New Roman" w:hAnsi="Times New Roman" w:cs="Times New Roman"/>
          <w:noProof/>
          <w:sz w:val="24"/>
          <w:szCs w:val="24"/>
        </w:rPr>
        <w:t xml:space="preserve"> </w:t>
      </w:r>
      <w:r w:rsidR="00970257" w:rsidRPr="003C1B12">
        <w:rPr>
          <w:rFonts w:ascii="Times New Roman" w:hAnsi="Times New Roman" w:cs="Times New Roman"/>
          <w:noProof/>
          <w:sz w:val="24"/>
          <w:szCs w:val="24"/>
        </w:rPr>
        <w:t>un darbību</w:t>
      </w:r>
      <w:r w:rsidR="004B301D" w:rsidRPr="003C1B12">
        <w:rPr>
          <w:rFonts w:ascii="Times New Roman" w:hAnsi="Times New Roman" w:cs="Times New Roman"/>
          <w:noProof/>
          <w:sz w:val="24"/>
          <w:szCs w:val="24"/>
        </w:rPr>
        <w:t xml:space="preserve"> m</w:t>
      </w:r>
      <w:r w:rsidR="00970257" w:rsidRPr="003C1B12">
        <w:rPr>
          <w:rFonts w:ascii="Times New Roman" w:hAnsi="Times New Roman" w:cs="Times New Roman"/>
          <w:noProof/>
          <w:sz w:val="24"/>
          <w:szCs w:val="24"/>
        </w:rPr>
        <w:t>ērķ</w:t>
      </w:r>
      <w:r w:rsidR="004B301D" w:rsidRPr="003C1B12">
        <w:rPr>
          <w:rFonts w:ascii="Times New Roman" w:hAnsi="Times New Roman" w:cs="Times New Roman"/>
          <w:noProof/>
          <w:sz w:val="24"/>
          <w:szCs w:val="24"/>
        </w:rPr>
        <w:t xml:space="preserve">is </w:t>
      </w:r>
      <w:r w:rsidR="00970257" w:rsidRPr="003C1B12">
        <w:rPr>
          <w:rFonts w:ascii="Times New Roman" w:hAnsi="Times New Roman" w:cs="Times New Roman"/>
          <w:noProof/>
          <w:sz w:val="24"/>
          <w:szCs w:val="24"/>
        </w:rPr>
        <w:t>būs</w:t>
      </w:r>
      <w:r w:rsidR="004B301D" w:rsidRPr="003C1B12">
        <w:rPr>
          <w:rFonts w:ascii="Times New Roman" w:hAnsi="Times New Roman" w:cs="Times New Roman"/>
          <w:noProof/>
          <w:sz w:val="24"/>
          <w:szCs w:val="24"/>
        </w:rPr>
        <w:t xml:space="preserve"> s</w:t>
      </w:r>
      <w:r w:rsidR="00970257" w:rsidRPr="003C1B12">
        <w:rPr>
          <w:rFonts w:ascii="Times New Roman" w:hAnsi="Times New Roman" w:cs="Times New Roman"/>
          <w:noProof/>
          <w:sz w:val="24"/>
          <w:szCs w:val="24"/>
        </w:rPr>
        <w:t>ek</w:t>
      </w:r>
      <w:r w:rsidR="004B301D" w:rsidRPr="003C1B12">
        <w:rPr>
          <w:rFonts w:ascii="Times New Roman" w:hAnsi="Times New Roman" w:cs="Times New Roman"/>
          <w:noProof/>
          <w:sz w:val="24"/>
          <w:szCs w:val="24"/>
        </w:rPr>
        <w:t>mēt jaunu produk</w:t>
      </w:r>
      <w:r w:rsidR="00970257" w:rsidRPr="003C1B12">
        <w:rPr>
          <w:rFonts w:ascii="Times New Roman" w:hAnsi="Times New Roman" w:cs="Times New Roman"/>
          <w:noProof/>
          <w:sz w:val="24"/>
          <w:szCs w:val="24"/>
        </w:rPr>
        <w:t>t</w:t>
      </w:r>
      <w:r w:rsidR="004B301D" w:rsidRPr="003C1B12">
        <w:rPr>
          <w:rFonts w:ascii="Times New Roman" w:hAnsi="Times New Roman" w:cs="Times New Roman"/>
          <w:noProof/>
          <w:sz w:val="24"/>
          <w:szCs w:val="24"/>
        </w:rPr>
        <w:t>u tehnoloģiju ievi</w:t>
      </w:r>
      <w:r w:rsidR="00970257" w:rsidRPr="003C1B12">
        <w:rPr>
          <w:rFonts w:ascii="Times New Roman" w:hAnsi="Times New Roman" w:cs="Times New Roman"/>
          <w:noProof/>
          <w:sz w:val="24"/>
          <w:szCs w:val="24"/>
        </w:rPr>
        <w:t>e</w:t>
      </w:r>
      <w:r w:rsidR="004B301D" w:rsidRPr="003C1B12">
        <w:rPr>
          <w:rFonts w:ascii="Times New Roman" w:hAnsi="Times New Roman" w:cs="Times New Roman"/>
          <w:noProof/>
          <w:sz w:val="24"/>
          <w:szCs w:val="24"/>
        </w:rPr>
        <w:t>šanu</w:t>
      </w:r>
      <w:r w:rsidR="00970257" w:rsidRPr="003C1B12">
        <w:rPr>
          <w:rFonts w:ascii="Times New Roman" w:hAnsi="Times New Roman" w:cs="Times New Roman"/>
          <w:noProof/>
          <w:sz w:val="24"/>
          <w:szCs w:val="24"/>
        </w:rPr>
        <w:t xml:space="preserve"> ražošanā</w:t>
      </w:r>
      <w:r w:rsidR="004B301D" w:rsidRPr="003C1B12">
        <w:rPr>
          <w:rFonts w:ascii="Times New Roman" w:hAnsi="Times New Roman" w:cs="Times New Roman"/>
          <w:noProof/>
          <w:sz w:val="24"/>
          <w:szCs w:val="24"/>
        </w:rPr>
        <w:t xml:space="preserve"> konkr</w:t>
      </w:r>
      <w:r w:rsidR="00970257" w:rsidRPr="003C1B12">
        <w:rPr>
          <w:rFonts w:ascii="Times New Roman" w:hAnsi="Times New Roman" w:cs="Times New Roman"/>
          <w:noProof/>
          <w:sz w:val="24"/>
          <w:szCs w:val="24"/>
        </w:rPr>
        <w:t>ē</w:t>
      </w:r>
      <w:r w:rsidR="004B301D" w:rsidRPr="003C1B12">
        <w:rPr>
          <w:rFonts w:ascii="Times New Roman" w:hAnsi="Times New Roman" w:cs="Times New Roman"/>
          <w:noProof/>
          <w:sz w:val="24"/>
          <w:szCs w:val="24"/>
        </w:rPr>
        <w:t>tā komersantā</w:t>
      </w:r>
      <w:r w:rsidR="00970257" w:rsidRPr="003C1B12">
        <w:rPr>
          <w:rFonts w:ascii="Times New Roman" w:hAnsi="Times New Roman" w:cs="Times New Roman"/>
          <w:noProof/>
          <w:sz w:val="24"/>
          <w:szCs w:val="24"/>
        </w:rPr>
        <w:t xml:space="preserve">. Savukārts </w:t>
      </w:r>
      <w:r w:rsidR="00970257" w:rsidRPr="003C1B12">
        <w:rPr>
          <w:rFonts w:ascii="Times New Roman" w:hAnsi="Times New Roman" w:cs="Times New Roman"/>
          <w:noProof/>
          <w:sz w:val="24"/>
          <w:szCs w:val="24"/>
          <w:lang w:eastAsia="lv-LV"/>
        </w:rPr>
        <w:t>1.2.</w:t>
      </w:r>
      <w:r w:rsidR="00970257" w:rsidRPr="003C1B12">
        <w:rPr>
          <w:rFonts w:ascii="Times New Roman" w:hAnsi="Times New Roman" w:cs="Times New Roman"/>
          <w:sz w:val="24"/>
          <w:szCs w:val="24"/>
        </w:rPr>
        <w:t>1.1.</w:t>
      </w:r>
      <w:r w:rsidR="00970257" w:rsidRPr="003C1B12">
        <w:rPr>
          <w:rFonts w:ascii="Times New Roman" w:hAnsi="Times New Roman" w:cs="Times New Roman"/>
          <w:sz w:val="24"/>
        </w:rPr>
        <w:t xml:space="preserve">pasākuma </w:t>
      </w:r>
      <w:r w:rsidR="00970257" w:rsidRPr="003C1B12">
        <w:rPr>
          <w:rFonts w:ascii="Times New Roman" w:hAnsi="Times New Roman" w:cs="Times New Roman"/>
          <w:noProof/>
          <w:sz w:val="24"/>
          <w:szCs w:val="24"/>
        </w:rPr>
        <w:t xml:space="preserve">ietvaros projekti tiks atbalstīti ja tie </w:t>
      </w:r>
      <w:r w:rsidR="00970257" w:rsidRPr="003C1B12">
        <w:rPr>
          <w:rFonts w:ascii="Times New Roman" w:hAnsi="Times New Roman" w:cs="Times New Roman"/>
          <w:sz w:val="24"/>
          <w:szCs w:val="24"/>
        </w:rPr>
        <w:t>atbildīs 4.-</w:t>
      </w:r>
      <w:r w:rsidR="005E3A5D" w:rsidRPr="003C1B12">
        <w:rPr>
          <w:rFonts w:ascii="Times New Roman" w:hAnsi="Times New Roman" w:cs="Times New Roman"/>
          <w:sz w:val="24"/>
          <w:szCs w:val="24"/>
        </w:rPr>
        <w:t>7</w:t>
      </w:r>
      <w:r w:rsidR="00970257" w:rsidRPr="003C1B12">
        <w:rPr>
          <w:rFonts w:ascii="Times New Roman" w:hAnsi="Times New Roman" w:cs="Times New Roman"/>
          <w:sz w:val="24"/>
          <w:szCs w:val="24"/>
        </w:rPr>
        <w:t xml:space="preserve">. tehnoloģiju gatavības līmenī </w:t>
      </w:r>
      <w:r w:rsidR="005E3A5D" w:rsidRPr="003C1B12">
        <w:rPr>
          <w:rFonts w:ascii="Times New Roman" w:hAnsi="Times New Roman" w:cs="Times New Roman"/>
          <w:sz w:val="24"/>
          <w:szCs w:val="24"/>
        </w:rPr>
        <w:t>vai</w:t>
      </w:r>
      <w:r w:rsidR="00970257" w:rsidRPr="003C1B12">
        <w:rPr>
          <w:rFonts w:ascii="Times New Roman" w:hAnsi="Times New Roman" w:cs="Times New Roman"/>
          <w:sz w:val="24"/>
          <w:szCs w:val="24"/>
        </w:rPr>
        <w:t xml:space="preserve"> darbību mērķis paredzēs izveidot jaunu pētniecības un produktu attīstībai nepieciešamo infrastruktūru, nodrošinot piekļuvi šai infrastruktūrai vai ar infrastruktūru sniegtiem pētniecības pakalpojumiem vairākiem komersantiem.</w:t>
      </w:r>
      <w:r w:rsidR="00FB3D4A" w:rsidRPr="003C1B12">
        <w:rPr>
          <w:rFonts w:ascii="Times New Roman" w:hAnsi="Times New Roman" w:cs="Times New Roman"/>
          <w:sz w:val="24"/>
          <w:szCs w:val="24"/>
        </w:rPr>
        <w:t xml:space="preserve"> KC programmas ietvaros nav plānots iegādāties ražošanas iekārtas vai eksperimentālās ražošanas iekārtas, bet pētniecības un inovāciju attīstības iekārtas.</w:t>
      </w:r>
    </w:p>
    <w:p w:rsidR="00112449" w:rsidRPr="003C1B12" w:rsidRDefault="00112449" w:rsidP="00BA318B">
      <w:pPr>
        <w:pStyle w:val="ListParagraph"/>
        <w:spacing w:after="0" w:line="240" w:lineRule="auto"/>
        <w:ind w:left="993"/>
        <w:jc w:val="both"/>
        <w:rPr>
          <w:rFonts w:ascii="Times New Roman" w:hAnsi="Times New Roman" w:cs="Times New Roman"/>
          <w:noProof/>
          <w:sz w:val="24"/>
          <w:szCs w:val="24"/>
        </w:rPr>
      </w:pPr>
    </w:p>
    <w:p w:rsidR="00D56836" w:rsidRPr="003C1B12" w:rsidRDefault="00D56836" w:rsidP="00273E02">
      <w:pPr>
        <w:spacing w:after="0" w:line="240" w:lineRule="auto"/>
        <w:jc w:val="both"/>
        <w:rPr>
          <w:rFonts w:ascii="Times New Roman" w:hAnsi="Times New Roman" w:cs="Times New Roman"/>
          <w:sz w:val="24"/>
        </w:rPr>
      </w:pPr>
    </w:p>
    <w:p w:rsidR="00DF4019" w:rsidRPr="003C1B12" w:rsidRDefault="00DF4019" w:rsidP="00273E02">
      <w:pPr>
        <w:spacing w:after="0" w:line="240" w:lineRule="auto"/>
        <w:jc w:val="both"/>
        <w:rPr>
          <w:rFonts w:ascii="Times New Roman" w:hAnsi="Times New Roman" w:cs="Times New Roman"/>
          <w:sz w:val="24"/>
        </w:rPr>
      </w:pPr>
    </w:p>
    <w:p w:rsidR="00DF4019" w:rsidRPr="003C1B12" w:rsidRDefault="00DF4019" w:rsidP="00DF4019">
      <w:pPr>
        <w:rPr>
          <w:rFonts w:ascii="Times New Roman" w:hAnsi="Times New Roman" w:cs="Times New Roman"/>
          <w:sz w:val="24"/>
        </w:rPr>
      </w:pPr>
      <w:r w:rsidRPr="003C1B12">
        <w:rPr>
          <w:rFonts w:ascii="Times New Roman" w:hAnsi="Times New Roman" w:cs="Times New Roman"/>
          <w:sz w:val="24"/>
        </w:rPr>
        <w:br w:type="page"/>
      </w:r>
    </w:p>
    <w:p w:rsidR="00A1256F" w:rsidRPr="003C1B12" w:rsidRDefault="00541863" w:rsidP="003C1663">
      <w:pPr>
        <w:pStyle w:val="Heading1"/>
        <w:spacing w:before="0" w:after="120" w:line="240" w:lineRule="auto"/>
        <w:jc w:val="right"/>
        <w:rPr>
          <w:rFonts w:ascii="Times New Roman" w:hAnsi="Times New Roman" w:cs="Times New Roman"/>
          <w:color w:val="31849B" w:themeColor="accent5" w:themeShade="BF"/>
          <w:sz w:val="28"/>
        </w:rPr>
      </w:pPr>
      <w:bookmarkStart w:id="41" w:name="_Toc427646479"/>
      <w:bookmarkStart w:id="42" w:name="_Toc427646565"/>
      <w:r w:rsidRPr="003C1B12">
        <w:rPr>
          <w:rFonts w:ascii="Times New Roman" w:hAnsi="Times New Roman" w:cs="Times New Roman"/>
          <w:color w:val="31849B" w:themeColor="accent5" w:themeShade="BF"/>
          <w:sz w:val="28"/>
        </w:rPr>
        <w:lastRenderedPageBreak/>
        <w:t>Pielikums Nr.1</w:t>
      </w:r>
      <w:bookmarkEnd w:id="41"/>
      <w:bookmarkEnd w:id="42"/>
    </w:p>
    <w:tbl>
      <w:tblPr>
        <w:tblStyle w:val="TableGrid"/>
        <w:tblW w:w="9498" w:type="dxa"/>
        <w:tblInd w:w="-34" w:type="dxa"/>
        <w:tblLayout w:type="fixed"/>
        <w:tblLook w:val="04A0" w:firstRow="1" w:lastRow="0" w:firstColumn="1" w:lastColumn="0" w:noHBand="0" w:noVBand="1"/>
      </w:tblPr>
      <w:tblGrid>
        <w:gridCol w:w="1560"/>
        <w:gridCol w:w="4536"/>
        <w:gridCol w:w="992"/>
        <w:gridCol w:w="2410"/>
      </w:tblGrid>
      <w:tr w:rsidR="007A12E3" w:rsidRPr="003C1B12" w:rsidTr="00F342CD">
        <w:tc>
          <w:tcPr>
            <w:tcW w:w="1560" w:type="dxa"/>
          </w:tcPr>
          <w:p w:rsidR="00541863" w:rsidRPr="003C1B12" w:rsidRDefault="00541863" w:rsidP="002807FF">
            <w:pPr>
              <w:jc w:val="center"/>
              <w:rPr>
                <w:rFonts w:ascii="Times New Roman" w:hAnsi="Times New Roman" w:cs="Times New Roman"/>
                <w:b/>
                <w:sz w:val="20"/>
                <w:szCs w:val="20"/>
              </w:rPr>
            </w:pPr>
            <w:r w:rsidRPr="003C1B12">
              <w:rPr>
                <w:rFonts w:ascii="Times New Roman" w:hAnsi="Times New Roman" w:cs="Times New Roman"/>
                <w:b/>
                <w:bCs/>
                <w:kern w:val="24"/>
                <w:sz w:val="20"/>
                <w:szCs w:val="20"/>
              </w:rPr>
              <w:t>Specializācijas jomas</w:t>
            </w:r>
          </w:p>
        </w:tc>
        <w:tc>
          <w:tcPr>
            <w:tcW w:w="4536" w:type="dxa"/>
          </w:tcPr>
          <w:p w:rsidR="00541863" w:rsidRPr="003C1B12" w:rsidRDefault="00541863" w:rsidP="002807FF">
            <w:pPr>
              <w:jc w:val="center"/>
              <w:rPr>
                <w:rFonts w:ascii="Times New Roman" w:hAnsi="Times New Roman" w:cs="Times New Roman"/>
                <w:b/>
                <w:sz w:val="20"/>
                <w:szCs w:val="20"/>
              </w:rPr>
            </w:pPr>
            <w:r w:rsidRPr="003C1B12">
              <w:rPr>
                <w:rFonts w:ascii="Times New Roman" w:hAnsi="Times New Roman" w:cs="Times New Roman"/>
                <w:b/>
                <w:sz w:val="20"/>
                <w:szCs w:val="20"/>
              </w:rPr>
              <w:t>Industrijas potenciālās specializācijas nišas 2014.gada diskusiju skatījumā</w:t>
            </w:r>
            <w:r w:rsidR="00271FE6" w:rsidRPr="003C1B12">
              <w:rPr>
                <w:rStyle w:val="FootnoteReference"/>
                <w:rFonts w:ascii="Times New Roman" w:hAnsi="Times New Roman" w:cs="Times New Roman"/>
                <w:b/>
                <w:sz w:val="20"/>
                <w:szCs w:val="20"/>
              </w:rPr>
              <w:footnoteReference w:id="19"/>
            </w:r>
          </w:p>
        </w:tc>
        <w:tc>
          <w:tcPr>
            <w:tcW w:w="992" w:type="dxa"/>
          </w:tcPr>
          <w:p w:rsidR="00541863" w:rsidRPr="003C1B12" w:rsidRDefault="007B5BD9" w:rsidP="00541863">
            <w:pPr>
              <w:jc w:val="center"/>
              <w:rPr>
                <w:rFonts w:ascii="Times New Roman" w:hAnsi="Times New Roman" w:cs="Times New Roman"/>
                <w:b/>
                <w:sz w:val="20"/>
                <w:szCs w:val="20"/>
              </w:rPr>
            </w:pPr>
            <w:r w:rsidRPr="003C1B12">
              <w:rPr>
                <w:rFonts w:ascii="Times New Roman" w:hAnsi="Times New Roman" w:cs="Times New Roman"/>
                <w:b/>
                <w:sz w:val="20"/>
                <w:szCs w:val="20"/>
              </w:rPr>
              <w:t>KC</w:t>
            </w:r>
          </w:p>
        </w:tc>
        <w:tc>
          <w:tcPr>
            <w:tcW w:w="2410" w:type="dxa"/>
          </w:tcPr>
          <w:p w:rsidR="00541863" w:rsidRPr="003C1B12" w:rsidRDefault="007B5BD9" w:rsidP="00541863">
            <w:pPr>
              <w:jc w:val="center"/>
              <w:rPr>
                <w:rFonts w:ascii="Times New Roman" w:hAnsi="Times New Roman" w:cs="Times New Roman"/>
                <w:b/>
                <w:sz w:val="20"/>
                <w:szCs w:val="20"/>
              </w:rPr>
            </w:pPr>
            <w:r w:rsidRPr="003C1B12">
              <w:rPr>
                <w:rFonts w:ascii="Times New Roman" w:hAnsi="Times New Roman" w:cs="Times New Roman"/>
                <w:b/>
                <w:sz w:val="20"/>
                <w:szCs w:val="20"/>
              </w:rPr>
              <w:t>KC</w:t>
            </w:r>
            <w:r w:rsidR="00541863" w:rsidRPr="003C1B12">
              <w:rPr>
                <w:rFonts w:ascii="Times New Roman" w:hAnsi="Times New Roman" w:cs="Times New Roman"/>
                <w:b/>
                <w:sz w:val="20"/>
                <w:szCs w:val="20"/>
              </w:rPr>
              <w:t xml:space="preserve"> pētījumu virzieni</w:t>
            </w:r>
          </w:p>
        </w:tc>
      </w:tr>
      <w:tr w:rsidR="007A12E3" w:rsidRPr="003C1B12" w:rsidTr="00F342CD">
        <w:trPr>
          <w:trHeight w:val="938"/>
        </w:trPr>
        <w:tc>
          <w:tcPr>
            <w:tcW w:w="1560" w:type="dxa"/>
            <w:vMerge w:val="restart"/>
          </w:tcPr>
          <w:p w:rsidR="00541863" w:rsidRPr="003C1B12" w:rsidRDefault="00541863" w:rsidP="002807FF">
            <w:pPr>
              <w:pStyle w:val="ListParagraph"/>
              <w:ind w:left="0"/>
              <w:rPr>
                <w:rFonts w:ascii="Times New Roman" w:hAnsi="Times New Roman" w:cs="Times New Roman"/>
                <w:sz w:val="20"/>
                <w:szCs w:val="20"/>
              </w:rPr>
            </w:pPr>
            <w:r w:rsidRPr="003C1B12">
              <w:rPr>
                <w:rFonts w:ascii="Times New Roman" w:hAnsi="Times New Roman" w:cs="Times New Roman"/>
                <w:bCs/>
                <w:kern w:val="24"/>
                <w:sz w:val="20"/>
                <w:szCs w:val="20"/>
              </w:rPr>
              <w:t>1.</w:t>
            </w:r>
            <w:r w:rsidR="005E3697" w:rsidRPr="003C1B12">
              <w:rPr>
                <w:rFonts w:ascii="Times New Roman" w:hAnsi="Times New Roman" w:cs="Times New Roman"/>
                <w:bCs/>
                <w:kern w:val="24"/>
                <w:sz w:val="20"/>
                <w:szCs w:val="20"/>
              </w:rPr>
              <w:t>Zināšanu ietilpīga bioekonomika</w:t>
            </w:r>
          </w:p>
        </w:tc>
        <w:tc>
          <w:tcPr>
            <w:tcW w:w="4536" w:type="dxa"/>
            <w:vMerge w:val="restart"/>
          </w:tcPr>
          <w:p w:rsidR="00541863" w:rsidRPr="003C1B12" w:rsidRDefault="00541863" w:rsidP="002807FF">
            <w:pPr>
              <w:rPr>
                <w:rFonts w:ascii="Times New Roman" w:hAnsi="Times New Roman" w:cs="Times New Roman"/>
                <w:sz w:val="20"/>
                <w:szCs w:val="20"/>
              </w:rPr>
            </w:pPr>
            <w:r w:rsidRPr="003C1B12">
              <w:rPr>
                <w:rFonts w:ascii="Times New Roman" w:hAnsi="Times New Roman" w:cs="Times New Roman"/>
                <w:sz w:val="20"/>
                <w:szCs w:val="20"/>
              </w:rPr>
              <w:t>Ilgtspējīga un produktīva meža audzēšana mainīgos klimata apstākļos; Inovatīvu augstas pievienotās vērtības nišas produktu izstrāde no koksnes</w:t>
            </w:r>
          </w:p>
          <w:p w:rsidR="00541863" w:rsidRPr="003C1B12" w:rsidRDefault="00541863" w:rsidP="002807FF">
            <w:pPr>
              <w:rPr>
                <w:rFonts w:ascii="Times New Roman" w:hAnsi="Times New Roman" w:cs="Times New Roman"/>
                <w:sz w:val="20"/>
                <w:szCs w:val="20"/>
              </w:rPr>
            </w:pPr>
            <w:r w:rsidRPr="003C1B12">
              <w:rPr>
                <w:rFonts w:ascii="Times New Roman" w:hAnsi="Times New Roman" w:cs="Times New Roman"/>
                <w:sz w:val="20"/>
                <w:szCs w:val="20"/>
              </w:rPr>
              <w:t xml:space="preserve">Koksnes biomasas pilnīga izmantošana ķīmiskajai pārstrādei un enerģijai; </w:t>
            </w:r>
          </w:p>
          <w:p w:rsidR="00541863" w:rsidRPr="003C1B12" w:rsidRDefault="00541863" w:rsidP="002807FF">
            <w:pPr>
              <w:rPr>
                <w:rFonts w:ascii="Times New Roman" w:hAnsi="Times New Roman" w:cs="Times New Roman"/>
                <w:sz w:val="20"/>
                <w:szCs w:val="20"/>
              </w:rPr>
            </w:pPr>
            <w:r w:rsidRPr="003C1B12">
              <w:rPr>
                <w:rFonts w:ascii="Times New Roman" w:hAnsi="Times New Roman" w:cs="Times New Roman"/>
                <w:sz w:val="20"/>
                <w:szCs w:val="20"/>
              </w:rPr>
              <w:t xml:space="preserve">Inovatīvas, riskus mazinošas augu un dzīvnieku  audzēšanas tehnoloģijas; </w:t>
            </w:r>
          </w:p>
          <w:p w:rsidR="00541863" w:rsidRPr="003C1B12" w:rsidRDefault="00541863" w:rsidP="002807FF">
            <w:pPr>
              <w:rPr>
                <w:rFonts w:ascii="Times New Roman" w:hAnsi="Times New Roman" w:cs="Times New Roman"/>
                <w:sz w:val="20"/>
                <w:szCs w:val="20"/>
              </w:rPr>
            </w:pPr>
            <w:r w:rsidRPr="003C1B12">
              <w:rPr>
                <w:rFonts w:ascii="Times New Roman" w:hAnsi="Times New Roman" w:cs="Times New Roman"/>
                <w:sz w:val="20"/>
                <w:szCs w:val="20"/>
              </w:rPr>
              <w:t>Inovatīvu augstas pievienotās vērtības nišas produktu izstrāde no tradicionālām un  netradicionālām lauksaimniecības augu  un dzīvnieku izejvielām; augu un dzīvnieku audzēšanas un pārstrādes blakusproduktu izmantošanas tehnoloģiskie risinājumi; Pārtikas drošība.</w:t>
            </w:r>
          </w:p>
        </w:tc>
        <w:tc>
          <w:tcPr>
            <w:tcW w:w="992" w:type="dxa"/>
          </w:tcPr>
          <w:p w:rsidR="00541863" w:rsidRPr="003C1B12" w:rsidRDefault="00541863" w:rsidP="002807FF">
            <w:pPr>
              <w:pStyle w:val="ListParagraph"/>
              <w:ind w:left="0"/>
              <w:rPr>
                <w:rFonts w:ascii="Times New Roman" w:hAnsi="Times New Roman" w:cs="Times New Roman"/>
                <w:bCs/>
                <w:kern w:val="24"/>
                <w:sz w:val="20"/>
                <w:szCs w:val="20"/>
              </w:rPr>
            </w:pPr>
            <w:r w:rsidRPr="003C1B12">
              <w:rPr>
                <w:rFonts w:ascii="Times New Roman" w:hAnsi="Times New Roman" w:cs="Times New Roman"/>
                <w:sz w:val="20"/>
                <w:szCs w:val="20"/>
              </w:rPr>
              <w:t>MNKC</w:t>
            </w:r>
          </w:p>
          <w:p w:rsidR="00541863" w:rsidRPr="003C1B12" w:rsidRDefault="00541863" w:rsidP="002807FF">
            <w:pPr>
              <w:rPr>
                <w:rFonts w:ascii="Times New Roman" w:hAnsi="Times New Roman" w:cs="Times New Roman"/>
                <w:sz w:val="20"/>
                <w:szCs w:val="20"/>
              </w:rPr>
            </w:pPr>
          </w:p>
        </w:tc>
        <w:tc>
          <w:tcPr>
            <w:tcW w:w="2410" w:type="dxa"/>
          </w:tcPr>
          <w:p w:rsidR="00541863" w:rsidRPr="003C1B12" w:rsidRDefault="00541863" w:rsidP="005E3697">
            <w:pPr>
              <w:pStyle w:val="ListParagraph"/>
              <w:numPr>
                <w:ilvl w:val="0"/>
                <w:numId w:val="13"/>
              </w:numPr>
              <w:autoSpaceDE w:val="0"/>
              <w:autoSpaceDN w:val="0"/>
              <w:adjustRightInd w:val="0"/>
              <w:rPr>
                <w:rFonts w:ascii="Times New Roman" w:hAnsi="Times New Roman" w:cs="Times New Roman"/>
                <w:sz w:val="20"/>
                <w:szCs w:val="20"/>
              </w:rPr>
            </w:pPr>
            <w:r w:rsidRPr="003C1B12">
              <w:rPr>
                <w:rFonts w:ascii="Times New Roman" w:hAnsi="Times New Roman" w:cs="Times New Roman"/>
                <w:sz w:val="20"/>
                <w:szCs w:val="20"/>
              </w:rPr>
              <w:t>Jauni koksnes materiāli un tehnoloģijas</w:t>
            </w:r>
          </w:p>
          <w:p w:rsidR="00541863" w:rsidRPr="003C1B12" w:rsidRDefault="00541863" w:rsidP="005E3697">
            <w:pPr>
              <w:pStyle w:val="ListParagraph"/>
              <w:numPr>
                <w:ilvl w:val="0"/>
                <w:numId w:val="13"/>
              </w:numPr>
              <w:autoSpaceDE w:val="0"/>
              <w:autoSpaceDN w:val="0"/>
              <w:adjustRightInd w:val="0"/>
              <w:rPr>
                <w:rFonts w:ascii="Times New Roman" w:hAnsi="Times New Roman" w:cs="Times New Roman"/>
                <w:sz w:val="20"/>
                <w:szCs w:val="20"/>
              </w:rPr>
            </w:pPr>
            <w:r w:rsidRPr="003C1B12">
              <w:rPr>
                <w:rFonts w:ascii="Times New Roman" w:hAnsi="Times New Roman" w:cs="Times New Roman"/>
                <w:sz w:val="20"/>
                <w:szCs w:val="20"/>
              </w:rPr>
              <w:t>Meža kapitālvērtības palielināšana</w:t>
            </w:r>
          </w:p>
          <w:p w:rsidR="00541863" w:rsidRPr="003C1B12" w:rsidRDefault="00541863" w:rsidP="005E3697">
            <w:pPr>
              <w:rPr>
                <w:rFonts w:ascii="Times New Roman" w:hAnsi="Times New Roman" w:cs="Times New Roman"/>
                <w:sz w:val="20"/>
                <w:szCs w:val="20"/>
              </w:rPr>
            </w:pPr>
          </w:p>
        </w:tc>
      </w:tr>
      <w:tr w:rsidR="007A12E3" w:rsidRPr="003C1B12" w:rsidTr="00F342CD">
        <w:trPr>
          <w:trHeight w:val="615"/>
        </w:trPr>
        <w:tc>
          <w:tcPr>
            <w:tcW w:w="1560" w:type="dxa"/>
            <w:vMerge/>
          </w:tcPr>
          <w:p w:rsidR="00541863" w:rsidRPr="003C1B12" w:rsidRDefault="00541863" w:rsidP="002807FF">
            <w:pPr>
              <w:pStyle w:val="ListParagraph"/>
              <w:ind w:left="0"/>
              <w:rPr>
                <w:rFonts w:ascii="Times New Roman" w:hAnsi="Times New Roman" w:cs="Times New Roman"/>
                <w:bCs/>
                <w:kern w:val="24"/>
                <w:sz w:val="20"/>
                <w:szCs w:val="20"/>
              </w:rPr>
            </w:pPr>
          </w:p>
        </w:tc>
        <w:tc>
          <w:tcPr>
            <w:tcW w:w="4536" w:type="dxa"/>
            <w:vMerge/>
          </w:tcPr>
          <w:p w:rsidR="00541863" w:rsidRPr="003C1B12" w:rsidRDefault="00541863" w:rsidP="002807FF">
            <w:pPr>
              <w:rPr>
                <w:rFonts w:ascii="Times New Roman" w:hAnsi="Times New Roman" w:cs="Times New Roman"/>
                <w:sz w:val="20"/>
                <w:szCs w:val="20"/>
              </w:rPr>
            </w:pPr>
          </w:p>
        </w:tc>
        <w:tc>
          <w:tcPr>
            <w:tcW w:w="992" w:type="dxa"/>
          </w:tcPr>
          <w:p w:rsidR="00541863" w:rsidRPr="003C1B12" w:rsidRDefault="00541863" w:rsidP="002807FF">
            <w:pPr>
              <w:rPr>
                <w:rFonts w:ascii="Times New Roman" w:hAnsi="Times New Roman" w:cs="Times New Roman"/>
                <w:sz w:val="20"/>
                <w:szCs w:val="20"/>
              </w:rPr>
            </w:pPr>
            <w:r w:rsidRPr="003C1B12">
              <w:rPr>
                <w:rFonts w:ascii="Times New Roman" w:hAnsi="Times New Roman" w:cs="Times New Roman"/>
                <w:sz w:val="20"/>
                <w:szCs w:val="20"/>
              </w:rPr>
              <w:t>VBBKC</w:t>
            </w:r>
          </w:p>
        </w:tc>
        <w:tc>
          <w:tcPr>
            <w:tcW w:w="2410" w:type="dxa"/>
          </w:tcPr>
          <w:p w:rsidR="00541863" w:rsidRPr="003C1B12" w:rsidRDefault="00541863" w:rsidP="00427B41">
            <w:pPr>
              <w:pStyle w:val="ListParagraph"/>
              <w:numPr>
                <w:ilvl w:val="0"/>
                <w:numId w:val="13"/>
              </w:numPr>
              <w:autoSpaceDE w:val="0"/>
              <w:autoSpaceDN w:val="0"/>
              <w:adjustRightInd w:val="0"/>
              <w:rPr>
                <w:rFonts w:ascii="Times New Roman" w:hAnsi="Times New Roman" w:cs="Times New Roman"/>
                <w:sz w:val="20"/>
                <w:szCs w:val="20"/>
              </w:rPr>
            </w:pPr>
            <w:r w:rsidRPr="003C1B12">
              <w:rPr>
                <w:rFonts w:ascii="Times New Roman" w:hAnsi="Times New Roman" w:cs="Times New Roman"/>
                <w:sz w:val="20"/>
                <w:szCs w:val="20"/>
              </w:rPr>
              <w:t>Bioenerģētika</w:t>
            </w:r>
          </w:p>
          <w:p w:rsidR="00541863" w:rsidRPr="003C1B12" w:rsidRDefault="00541863" w:rsidP="00427B41">
            <w:pPr>
              <w:pStyle w:val="ListParagraph"/>
              <w:numPr>
                <w:ilvl w:val="0"/>
                <w:numId w:val="13"/>
              </w:numPr>
              <w:autoSpaceDE w:val="0"/>
              <w:autoSpaceDN w:val="0"/>
              <w:adjustRightInd w:val="0"/>
              <w:rPr>
                <w:rFonts w:ascii="Times New Roman" w:hAnsi="Times New Roman" w:cs="Times New Roman"/>
                <w:sz w:val="20"/>
                <w:szCs w:val="20"/>
              </w:rPr>
            </w:pPr>
            <w:r w:rsidRPr="003C1B12">
              <w:rPr>
                <w:rFonts w:ascii="Times New Roman" w:hAnsi="Times New Roman" w:cs="Times New Roman"/>
                <w:sz w:val="20"/>
                <w:szCs w:val="20"/>
              </w:rPr>
              <w:t>Biomasas ķīmiskā pārstrāde</w:t>
            </w:r>
          </w:p>
        </w:tc>
      </w:tr>
      <w:tr w:rsidR="007A12E3" w:rsidRPr="003C1B12" w:rsidTr="00F342CD">
        <w:tc>
          <w:tcPr>
            <w:tcW w:w="1560" w:type="dxa"/>
            <w:vMerge w:val="restart"/>
          </w:tcPr>
          <w:p w:rsidR="00541863" w:rsidRPr="003C1B12" w:rsidRDefault="00541863" w:rsidP="002807FF">
            <w:pPr>
              <w:rPr>
                <w:rFonts w:ascii="Times New Roman" w:hAnsi="Times New Roman" w:cs="Times New Roman"/>
                <w:sz w:val="20"/>
                <w:szCs w:val="20"/>
              </w:rPr>
            </w:pPr>
            <w:r w:rsidRPr="003C1B12">
              <w:rPr>
                <w:rFonts w:ascii="Times New Roman" w:hAnsi="Times New Roman" w:cs="Times New Roman"/>
                <w:bCs/>
                <w:kern w:val="24"/>
                <w:sz w:val="20"/>
                <w:szCs w:val="20"/>
              </w:rPr>
              <w:t xml:space="preserve">2.Biomedicīna, medicīnas tehnoloģijas, </w:t>
            </w:r>
            <w:r w:rsidR="005E3697" w:rsidRPr="003C1B12">
              <w:rPr>
                <w:rFonts w:ascii="Times New Roman" w:hAnsi="Times New Roman" w:cs="Times New Roman"/>
                <w:bCs/>
                <w:kern w:val="24"/>
                <w:sz w:val="20"/>
                <w:szCs w:val="20"/>
              </w:rPr>
              <w:t>biofarmācija un biotehnoloģijas</w:t>
            </w:r>
          </w:p>
        </w:tc>
        <w:tc>
          <w:tcPr>
            <w:tcW w:w="4536" w:type="dxa"/>
            <w:vMerge w:val="restart"/>
          </w:tcPr>
          <w:p w:rsidR="00541863" w:rsidRPr="003C1B12" w:rsidRDefault="00541863" w:rsidP="009D209C">
            <w:pPr>
              <w:pStyle w:val="ListParagraph"/>
              <w:numPr>
                <w:ilvl w:val="0"/>
                <w:numId w:val="10"/>
              </w:numPr>
              <w:ind w:left="157" w:hanging="152"/>
              <w:jc w:val="both"/>
              <w:rPr>
                <w:rFonts w:ascii="Times New Roman" w:hAnsi="Times New Roman" w:cs="Times New Roman"/>
                <w:sz w:val="20"/>
                <w:szCs w:val="20"/>
              </w:rPr>
            </w:pPr>
            <w:r w:rsidRPr="003C1B12">
              <w:rPr>
                <w:rFonts w:ascii="Times New Roman" w:hAnsi="Times New Roman" w:cs="Times New Roman"/>
                <w:sz w:val="20"/>
                <w:szCs w:val="20"/>
              </w:rPr>
              <w:t xml:space="preserve">Farmaceitisko un bioaktīvo vielu iegūšanas </w:t>
            </w:r>
            <w:r w:rsidR="00460723" w:rsidRPr="003C1B12">
              <w:rPr>
                <w:rFonts w:ascii="Times New Roman" w:hAnsi="Times New Roman" w:cs="Times New Roman"/>
                <w:sz w:val="20"/>
                <w:szCs w:val="20"/>
              </w:rPr>
              <w:t>ķīmiskās</w:t>
            </w:r>
            <w:r w:rsidRPr="003C1B12">
              <w:rPr>
                <w:rFonts w:ascii="Times New Roman" w:hAnsi="Times New Roman" w:cs="Times New Roman"/>
                <w:sz w:val="20"/>
                <w:szCs w:val="20"/>
              </w:rPr>
              <w:t xml:space="preserve"> un biotehnoloģiskās metodes un produkti;</w:t>
            </w:r>
          </w:p>
          <w:p w:rsidR="00541863" w:rsidRPr="003C1B12" w:rsidRDefault="00541863" w:rsidP="009D209C">
            <w:pPr>
              <w:pStyle w:val="ListParagraph"/>
              <w:numPr>
                <w:ilvl w:val="0"/>
                <w:numId w:val="10"/>
              </w:numPr>
              <w:ind w:left="157" w:hanging="152"/>
              <w:jc w:val="both"/>
              <w:rPr>
                <w:rFonts w:ascii="Times New Roman" w:hAnsi="Times New Roman" w:cs="Times New Roman"/>
                <w:sz w:val="20"/>
                <w:szCs w:val="20"/>
              </w:rPr>
            </w:pPr>
            <w:r w:rsidRPr="003C1B12">
              <w:rPr>
                <w:rFonts w:ascii="Times New Roman" w:hAnsi="Times New Roman" w:cs="Times New Roman"/>
                <w:sz w:val="20"/>
                <w:szCs w:val="20"/>
              </w:rPr>
              <w:t>Jaunu un esošo humāno un veterināro zāļu izstrāde un izpēte;</w:t>
            </w:r>
          </w:p>
          <w:p w:rsidR="00541863" w:rsidRPr="003C1B12" w:rsidRDefault="00541863" w:rsidP="009D209C">
            <w:pPr>
              <w:pStyle w:val="ListParagraph"/>
              <w:numPr>
                <w:ilvl w:val="0"/>
                <w:numId w:val="10"/>
              </w:numPr>
              <w:ind w:left="157" w:hanging="152"/>
              <w:jc w:val="both"/>
              <w:rPr>
                <w:rFonts w:ascii="Times New Roman" w:hAnsi="Times New Roman" w:cs="Times New Roman"/>
                <w:sz w:val="20"/>
                <w:szCs w:val="20"/>
              </w:rPr>
            </w:pPr>
            <w:r w:rsidRPr="003C1B12">
              <w:rPr>
                <w:rFonts w:ascii="Times New Roman" w:hAnsi="Times New Roman" w:cs="Times New Roman"/>
                <w:sz w:val="20"/>
                <w:szCs w:val="20"/>
              </w:rPr>
              <w:t>Molekulārās un individualizētās ārstēšanas un diagnostikas metodes un šūnu tehnoloģijas;</w:t>
            </w:r>
          </w:p>
          <w:p w:rsidR="00541863" w:rsidRPr="003C1B12" w:rsidRDefault="00541863" w:rsidP="009D209C">
            <w:pPr>
              <w:pStyle w:val="ListParagraph"/>
              <w:numPr>
                <w:ilvl w:val="0"/>
                <w:numId w:val="10"/>
              </w:numPr>
              <w:ind w:left="157" w:hanging="152"/>
              <w:jc w:val="both"/>
              <w:rPr>
                <w:rFonts w:ascii="Times New Roman" w:hAnsi="Times New Roman" w:cs="Times New Roman"/>
                <w:sz w:val="20"/>
                <w:szCs w:val="20"/>
              </w:rPr>
            </w:pPr>
            <w:r w:rsidRPr="003C1B12">
              <w:rPr>
                <w:rFonts w:ascii="Times New Roman" w:hAnsi="Times New Roman" w:cs="Times New Roman"/>
                <w:sz w:val="20"/>
                <w:szCs w:val="20"/>
              </w:rPr>
              <w:t>Funkcionālā pārtika, ārstnieciskā kosmētika un bioaktīvi dabas vielu produkti.</w:t>
            </w:r>
          </w:p>
        </w:tc>
        <w:tc>
          <w:tcPr>
            <w:tcW w:w="992" w:type="dxa"/>
          </w:tcPr>
          <w:p w:rsidR="00541863" w:rsidRPr="003C1B12" w:rsidRDefault="00541863" w:rsidP="002807FF">
            <w:pPr>
              <w:rPr>
                <w:rFonts w:ascii="Times New Roman" w:hAnsi="Times New Roman" w:cs="Times New Roman"/>
                <w:sz w:val="20"/>
                <w:szCs w:val="20"/>
              </w:rPr>
            </w:pPr>
            <w:r w:rsidRPr="003C1B12">
              <w:rPr>
                <w:rFonts w:ascii="Times New Roman" w:hAnsi="Times New Roman" w:cs="Times New Roman"/>
                <w:sz w:val="20"/>
                <w:szCs w:val="20"/>
              </w:rPr>
              <w:t>PCCCL</w:t>
            </w:r>
          </w:p>
        </w:tc>
        <w:tc>
          <w:tcPr>
            <w:tcW w:w="2410" w:type="dxa"/>
          </w:tcPr>
          <w:p w:rsidR="00541863" w:rsidRPr="003C1B12" w:rsidRDefault="00541863" w:rsidP="005E3697">
            <w:pPr>
              <w:pStyle w:val="ListParagraph"/>
              <w:numPr>
                <w:ilvl w:val="0"/>
                <w:numId w:val="12"/>
              </w:numPr>
              <w:autoSpaceDE w:val="0"/>
              <w:autoSpaceDN w:val="0"/>
              <w:adjustRightInd w:val="0"/>
              <w:rPr>
                <w:rFonts w:ascii="Times New Roman" w:hAnsi="Times New Roman" w:cs="Times New Roman"/>
                <w:sz w:val="20"/>
                <w:szCs w:val="20"/>
              </w:rPr>
            </w:pPr>
            <w:r w:rsidRPr="003C1B12">
              <w:rPr>
                <w:rFonts w:ascii="Times New Roman" w:hAnsi="Times New Roman" w:cs="Times New Roman"/>
                <w:sz w:val="20"/>
                <w:szCs w:val="20"/>
              </w:rPr>
              <w:t>Sintētisko zāļu izstrāde</w:t>
            </w:r>
          </w:p>
          <w:p w:rsidR="00541863" w:rsidRPr="003C1B12" w:rsidRDefault="00541863" w:rsidP="005E3697">
            <w:pPr>
              <w:pStyle w:val="Default"/>
              <w:numPr>
                <w:ilvl w:val="0"/>
                <w:numId w:val="12"/>
              </w:numPr>
              <w:rPr>
                <w:color w:val="auto"/>
                <w:sz w:val="20"/>
                <w:szCs w:val="20"/>
              </w:rPr>
            </w:pPr>
            <w:r w:rsidRPr="003C1B12">
              <w:rPr>
                <w:color w:val="auto"/>
                <w:sz w:val="20"/>
                <w:szCs w:val="20"/>
              </w:rPr>
              <w:t>Biotehnoloģisko un dabas vielu zāļu un kosmētisko līdzekļu izstrāde</w:t>
            </w:r>
          </w:p>
          <w:p w:rsidR="00541863" w:rsidRPr="003C1B12" w:rsidRDefault="00541863" w:rsidP="005E3697">
            <w:pPr>
              <w:pStyle w:val="ListParagraph"/>
              <w:numPr>
                <w:ilvl w:val="0"/>
                <w:numId w:val="12"/>
              </w:numPr>
              <w:tabs>
                <w:tab w:val="left" w:pos="2460"/>
              </w:tabs>
              <w:rPr>
                <w:rFonts w:ascii="Times New Roman" w:hAnsi="Times New Roman" w:cs="Times New Roman"/>
                <w:sz w:val="20"/>
                <w:szCs w:val="20"/>
              </w:rPr>
            </w:pPr>
            <w:r w:rsidRPr="003C1B12">
              <w:rPr>
                <w:rFonts w:ascii="Times New Roman" w:hAnsi="Times New Roman" w:cs="Times New Roman"/>
                <w:sz w:val="20"/>
                <w:szCs w:val="20"/>
              </w:rPr>
              <w:t>Zāļu drošības, efektivitātes un kvalitātes izpēte</w:t>
            </w:r>
          </w:p>
        </w:tc>
      </w:tr>
      <w:tr w:rsidR="007A12E3" w:rsidRPr="003C1B12" w:rsidTr="00F342CD">
        <w:tc>
          <w:tcPr>
            <w:tcW w:w="1560" w:type="dxa"/>
            <w:vMerge/>
          </w:tcPr>
          <w:p w:rsidR="00541863" w:rsidRPr="003C1B12" w:rsidRDefault="00541863" w:rsidP="002807FF">
            <w:pPr>
              <w:rPr>
                <w:rFonts w:ascii="Times New Roman" w:hAnsi="Times New Roman" w:cs="Times New Roman"/>
                <w:bCs/>
                <w:kern w:val="24"/>
                <w:sz w:val="20"/>
                <w:szCs w:val="20"/>
              </w:rPr>
            </w:pPr>
          </w:p>
        </w:tc>
        <w:tc>
          <w:tcPr>
            <w:tcW w:w="4536" w:type="dxa"/>
            <w:vMerge/>
          </w:tcPr>
          <w:p w:rsidR="00541863" w:rsidRPr="003C1B12" w:rsidRDefault="00541863" w:rsidP="002807FF">
            <w:pPr>
              <w:pStyle w:val="ListParagraph"/>
              <w:ind w:left="157"/>
              <w:jc w:val="both"/>
              <w:rPr>
                <w:rFonts w:ascii="Times New Roman" w:hAnsi="Times New Roman" w:cs="Times New Roman"/>
                <w:sz w:val="20"/>
                <w:szCs w:val="20"/>
              </w:rPr>
            </w:pPr>
          </w:p>
        </w:tc>
        <w:tc>
          <w:tcPr>
            <w:tcW w:w="992" w:type="dxa"/>
          </w:tcPr>
          <w:p w:rsidR="00541863" w:rsidRPr="003C1B12" w:rsidRDefault="00541863" w:rsidP="002807FF">
            <w:pPr>
              <w:rPr>
                <w:rFonts w:ascii="Times New Roman" w:hAnsi="Times New Roman" w:cs="Times New Roman"/>
                <w:sz w:val="20"/>
                <w:szCs w:val="20"/>
              </w:rPr>
            </w:pPr>
            <w:r w:rsidRPr="003C1B12">
              <w:rPr>
                <w:rFonts w:ascii="Times New Roman" w:hAnsi="Times New Roman" w:cs="Times New Roman"/>
                <w:sz w:val="20"/>
                <w:szCs w:val="20"/>
              </w:rPr>
              <w:t>VBBKC</w:t>
            </w:r>
          </w:p>
        </w:tc>
        <w:tc>
          <w:tcPr>
            <w:tcW w:w="2410" w:type="dxa"/>
          </w:tcPr>
          <w:p w:rsidR="00541863" w:rsidRPr="003C1B12" w:rsidRDefault="00541863" w:rsidP="005E3697">
            <w:pPr>
              <w:pStyle w:val="ListParagraph"/>
              <w:numPr>
                <w:ilvl w:val="0"/>
                <w:numId w:val="12"/>
              </w:numPr>
              <w:autoSpaceDE w:val="0"/>
              <w:autoSpaceDN w:val="0"/>
              <w:adjustRightInd w:val="0"/>
              <w:rPr>
                <w:rFonts w:ascii="Times New Roman" w:hAnsi="Times New Roman" w:cs="Times New Roman"/>
                <w:sz w:val="20"/>
                <w:szCs w:val="20"/>
              </w:rPr>
            </w:pPr>
            <w:r w:rsidRPr="003C1B12">
              <w:rPr>
                <w:rFonts w:ascii="Times New Roman" w:hAnsi="Times New Roman" w:cs="Times New Roman"/>
                <w:sz w:val="20"/>
                <w:szCs w:val="20"/>
              </w:rPr>
              <w:t>Biotehnoloģija</w:t>
            </w:r>
          </w:p>
        </w:tc>
      </w:tr>
      <w:tr w:rsidR="007A12E3" w:rsidRPr="003C1B12" w:rsidTr="00F342CD">
        <w:tc>
          <w:tcPr>
            <w:tcW w:w="1560" w:type="dxa"/>
            <w:vMerge w:val="restart"/>
          </w:tcPr>
          <w:p w:rsidR="00541863" w:rsidRPr="003C1B12" w:rsidRDefault="00541863" w:rsidP="002807FF">
            <w:pPr>
              <w:rPr>
                <w:rFonts w:ascii="Times New Roman" w:hAnsi="Times New Roman" w:cs="Times New Roman"/>
                <w:sz w:val="20"/>
                <w:szCs w:val="20"/>
              </w:rPr>
            </w:pPr>
            <w:r w:rsidRPr="003C1B12">
              <w:rPr>
                <w:rFonts w:ascii="Times New Roman" w:hAnsi="Times New Roman" w:cs="Times New Roman"/>
                <w:bCs/>
                <w:kern w:val="24"/>
                <w:sz w:val="20"/>
                <w:szCs w:val="20"/>
              </w:rPr>
              <w:t>3.Viedie materiāli, tehnoloģijas un inženiersistēmas</w:t>
            </w:r>
          </w:p>
        </w:tc>
        <w:tc>
          <w:tcPr>
            <w:tcW w:w="4536" w:type="dxa"/>
            <w:vMerge w:val="restart"/>
          </w:tcPr>
          <w:p w:rsidR="00541863" w:rsidRPr="003C1B12" w:rsidRDefault="00541863" w:rsidP="002807FF">
            <w:pPr>
              <w:rPr>
                <w:rFonts w:ascii="Times New Roman" w:hAnsi="Times New Roman" w:cs="Times New Roman"/>
                <w:sz w:val="20"/>
                <w:szCs w:val="20"/>
              </w:rPr>
            </w:pPr>
            <w:r w:rsidRPr="003C1B12">
              <w:rPr>
                <w:rFonts w:ascii="Times New Roman" w:hAnsi="Times New Roman" w:cs="Times New Roman"/>
                <w:sz w:val="20"/>
                <w:szCs w:val="20"/>
              </w:rPr>
              <w:t xml:space="preserve">1. Implantu materiāli, kompozītmateriāli, plānie slāņi un pārklājumi, iekārtas, mehānismi un darba mašīnas, stikla šķiedras izstrādājumi un viedie materiālus uz stikla šķiedras bāzes. </w:t>
            </w:r>
          </w:p>
        </w:tc>
        <w:tc>
          <w:tcPr>
            <w:tcW w:w="992" w:type="dxa"/>
          </w:tcPr>
          <w:p w:rsidR="00541863" w:rsidRPr="003C1B12" w:rsidRDefault="00541863" w:rsidP="002807FF">
            <w:pPr>
              <w:rPr>
                <w:rFonts w:ascii="Times New Roman" w:hAnsi="Times New Roman" w:cs="Times New Roman"/>
                <w:sz w:val="20"/>
                <w:szCs w:val="20"/>
              </w:rPr>
            </w:pPr>
            <w:r w:rsidRPr="003C1B12">
              <w:rPr>
                <w:rFonts w:ascii="Times New Roman" w:hAnsi="Times New Roman" w:cs="Times New Roman"/>
                <w:sz w:val="20"/>
                <w:szCs w:val="20"/>
              </w:rPr>
              <w:t>VBBKC</w:t>
            </w:r>
          </w:p>
        </w:tc>
        <w:tc>
          <w:tcPr>
            <w:tcW w:w="2410" w:type="dxa"/>
          </w:tcPr>
          <w:p w:rsidR="00541863" w:rsidRPr="003C1B12" w:rsidRDefault="00541863" w:rsidP="005E3697">
            <w:pPr>
              <w:pStyle w:val="ListParagraph"/>
              <w:numPr>
                <w:ilvl w:val="0"/>
                <w:numId w:val="36"/>
              </w:numPr>
              <w:autoSpaceDE w:val="0"/>
              <w:autoSpaceDN w:val="0"/>
              <w:adjustRightInd w:val="0"/>
              <w:rPr>
                <w:rFonts w:ascii="Times New Roman" w:hAnsi="Times New Roman" w:cs="Times New Roman"/>
                <w:sz w:val="20"/>
                <w:szCs w:val="20"/>
              </w:rPr>
            </w:pPr>
            <w:r w:rsidRPr="003C1B12">
              <w:rPr>
                <w:rFonts w:ascii="Times New Roman" w:hAnsi="Times New Roman" w:cs="Times New Roman"/>
                <w:sz w:val="20"/>
                <w:szCs w:val="20"/>
              </w:rPr>
              <w:t>Nanotehnoloģijas</w:t>
            </w:r>
          </w:p>
        </w:tc>
      </w:tr>
      <w:tr w:rsidR="007A12E3" w:rsidRPr="003C1B12" w:rsidTr="00F342CD">
        <w:tc>
          <w:tcPr>
            <w:tcW w:w="1560" w:type="dxa"/>
            <w:vMerge/>
          </w:tcPr>
          <w:p w:rsidR="00541863" w:rsidRPr="003C1B12" w:rsidRDefault="00541863" w:rsidP="002807FF">
            <w:pPr>
              <w:rPr>
                <w:rFonts w:ascii="Times New Roman" w:hAnsi="Times New Roman" w:cs="Times New Roman"/>
                <w:bCs/>
                <w:kern w:val="24"/>
                <w:sz w:val="20"/>
                <w:szCs w:val="20"/>
              </w:rPr>
            </w:pPr>
          </w:p>
        </w:tc>
        <w:tc>
          <w:tcPr>
            <w:tcW w:w="4536" w:type="dxa"/>
            <w:vMerge/>
          </w:tcPr>
          <w:p w:rsidR="00541863" w:rsidRPr="003C1B12" w:rsidRDefault="00541863" w:rsidP="002807FF">
            <w:pPr>
              <w:rPr>
                <w:rFonts w:ascii="Times New Roman" w:hAnsi="Times New Roman" w:cs="Times New Roman"/>
                <w:sz w:val="20"/>
                <w:szCs w:val="20"/>
              </w:rPr>
            </w:pPr>
          </w:p>
        </w:tc>
        <w:tc>
          <w:tcPr>
            <w:tcW w:w="992" w:type="dxa"/>
          </w:tcPr>
          <w:p w:rsidR="00541863" w:rsidRPr="003C1B12" w:rsidRDefault="00541863" w:rsidP="002807FF">
            <w:pPr>
              <w:rPr>
                <w:rFonts w:ascii="Times New Roman" w:hAnsi="Times New Roman" w:cs="Times New Roman"/>
                <w:sz w:val="20"/>
                <w:szCs w:val="20"/>
              </w:rPr>
            </w:pPr>
            <w:r w:rsidRPr="003C1B12">
              <w:rPr>
                <w:rFonts w:ascii="Times New Roman" w:hAnsi="Times New Roman" w:cs="Times New Roman"/>
                <w:sz w:val="20"/>
                <w:szCs w:val="20"/>
              </w:rPr>
              <w:t>LEO KC</w:t>
            </w:r>
          </w:p>
        </w:tc>
        <w:tc>
          <w:tcPr>
            <w:tcW w:w="2410" w:type="dxa"/>
          </w:tcPr>
          <w:p w:rsidR="00541863" w:rsidRPr="003C1B12" w:rsidRDefault="005E3697" w:rsidP="005E3697">
            <w:pPr>
              <w:pStyle w:val="ListParagraph"/>
              <w:numPr>
                <w:ilvl w:val="0"/>
                <w:numId w:val="36"/>
              </w:numPr>
              <w:autoSpaceDE w:val="0"/>
              <w:autoSpaceDN w:val="0"/>
              <w:adjustRightInd w:val="0"/>
              <w:rPr>
                <w:rFonts w:ascii="Times New Roman" w:hAnsi="Times New Roman" w:cs="Times New Roman"/>
                <w:sz w:val="20"/>
                <w:szCs w:val="20"/>
              </w:rPr>
            </w:pPr>
            <w:r w:rsidRPr="003C1B12">
              <w:rPr>
                <w:rFonts w:ascii="Times New Roman" w:hAnsi="Times New Roman" w:cs="Times New Roman"/>
                <w:sz w:val="20"/>
                <w:szCs w:val="20"/>
              </w:rPr>
              <w:t xml:space="preserve">1) </w:t>
            </w:r>
            <w:r w:rsidR="00541863" w:rsidRPr="003C1B12">
              <w:rPr>
                <w:rFonts w:ascii="Times New Roman" w:hAnsi="Times New Roman" w:cs="Times New Roman"/>
                <w:sz w:val="20"/>
                <w:szCs w:val="20"/>
              </w:rPr>
              <w:t>Elektronika un elektrotehnikas industriālās tehnoloģijas</w:t>
            </w:r>
          </w:p>
          <w:p w:rsidR="00541863" w:rsidRPr="003C1B12" w:rsidRDefault="00541863" w:rsidP="005E3697">
            <w:pPr>
              <w:pStyle w:val="ListParagraph"/>
              <w:numPr>
                <w:ilvl w:val="0"/>
                <w:numId w:val="36"/>
              </w:numPr>
              <w:autoSpaceDE w:val="0"/>
              <w:autoSpaceDN w:val="0"/>
              <w:adjustRightInd w:val="0"/>
              <w:rPr>
                <w:rFonts w:ascii="Times New Roman" w:hAnsi="Times New Roman" w:cs="Times New Roman"/>
                <w:sz w:val="20"/>
                <w:szCs w:val="20"/>
              </w:rPr>
            </w:pPr>
            <w:r w:rsidRPr="003C1B12">
              <w:rPr>
                <w:rFonts w:ascii="Times New Roman" w:hAnsi="Times New Roman" w:cs="Times New Roman"/>
                <w:sz w:val="20"/>
                <w:szCs w:val="20"/>
              </w:rPr>
              <w:t>2) Satelīttehnoloģijas</w:t>
            </w:r>
          </w:p>
        </w:tc>
      </w:tr>
      <w:tr w:rsidR="007A12E3" w:rsidRPr="003C1B12" w:rsidTr="00F342CD">
        <w:tc>
          <w:tcPr>
            <w:tcW w:w="1560" w:type="dxa"/>
            <w:vMerge/>
          </w:tcPr>
          <w:p w:rsidR="00541863" w:rsidRPr="003C1B12" w:rsidRDefault="00541863" w:rsidP="002807FF">
            <w:pPr>
              <w:rPr>
                <w:rFonts w:ascii="Times New Roman" w:hAnsi="Times New Roman" w:cs="Times New Roman"/>
                <w:bCs/>
                <w:kern w:val="24"/>
                <w:sz w:val="20"/>
                <w:szCs w:val="20"/>
              </w:rPr>
            </w:pPr>
          </w:p>
        </w:tc>
        <w:tc>
          <w:tcPr>
            <w:tcW w:w="4536" w:type="dxa"/>
            <w:vMerge/>
          </w:tcPr>
          <w:p w:rsidR="00541863" w:rsidRPr="003C1B12" w:rsidRDefault="00541863" w:rsidP="002807FF">
            <w:pPr>
              <w:rPr>
                <w:rFonts w:ascii="Times New Roman" w:hAnsi="Times New Roman" w:cs="Times New Roman"/>
                <w:sz w:val="20"/>
                <w:szCs w:val="20"/>
              </w:rPr>
            </w:pPr>
          </w:p>
        </w:tc>
        <w:tc>
          <w:tcPr>
            <w:tcW w:w="992" w:type="dxa"/>
          </w:tcPr>
          <w:p w:rsidR="00541863" w:rsidRPr="003C1B12" w:rsidRDefault="00541863" w:rsidP="002807FF">
            <w:pPr>
              <w:rPr>
                <w:rFonts w:ascii="Times New Roman" w:hAnsi="Times New Roman" w:cs="Times New Roman"/>
                <w:sz w:val="20"/>
                <w:szCs w:val="20"/>
              </w:rPr>
            </w:pPr>
            <w:r w:rsidRPr="003C1B12">
              <w:rPr>
                <w:rFonts w:ascii="Times New Roman" w:hAnsi="Times New Roman" w:cs="Times New Roman"/>
                <w:sz w:val="20"/>
                <w:szCs w:val="20"/>
              </w:rPr>
              <w:t>TMNKC</w:t>
            </w:r>
          </w:p>
        </w:tc>
        <w:tc>
          <w:tcPr>
            <w:tcW w:w="2410" w:type="dxa"/>
          </w:tcPr>
          <w:p w:rsidR="00541863" w:rsidRPr="003C1B12" w:rsidRDefault="00541863" w:rsidP="005E3697">
            <w:pPr>
              <w:pStyle w:val="ListParagraph"/>
              <w:numPr>
                <w:ilvl w:val="0"/>
                <w:numId w:val="36"/>
              </w:numPr>
              <w:autoSpaceDE w:val="0"/>
              <w:autoSpaceDN w:val="0"/>
              <w:adjustRightInd w:val="0"/>
              <w:rPr>
                <w:rFonts w:ascii="Times New Roman" w:hAnsi="Times New Roman" w:cs="Times New Roman"/>
                <w:sz w:val="20"/>
                <w:szCs w:val="20"/>
              </w:rPr>
            </w:pPr>
            <w:r w:rsidRPr="003C1B12">
              <w:rPr>
                <w:rFonts w:ascii="Times New Roman" w:hAnsi="Times New Roman" w:cs="Times New Roman"/>
                <w:sz w:val="20"/>
                <w:szCs w:val="20"/>
              </w:rPr>
              <w:t>Transporta integrētā mašīnbūve</w:t>
            </w:r>
          </w:p>
        </w:tc>
      </w:tr>
      <w:tr w:rsidR="007A12E3" w:rsidRPr="003C1B12" w:rsidTr="00F342CD">
        <w:tc>
          <w:tcPr>
            <w:tcW w:w="1560" w:type="dxa"/>
            <w:vMerge/>
          </w:tcPr>
          <w:p w:rsidR="00541863" w:rsidRPr="003C1B12" w:rsidRDefault="00541863" w:rsidP="002807FF">
            <w:pPr>
              <w:rPr>
                <w:rFonts w:ascii="Times New Roman" w:hAnsi="Times New Roman" w:cs="Times New Roman"/>
                <w:bCs/>
                <w:kern w:val="24"/>
                <w:sz w:val="20"/>
                <w:szCs w:val="20"/>
              </w:rPr>
            </w:pPr>
          </w:p>
        </w:tc>
        <w:tc>
          <w:tcPr>
            <w:tcW w:w="4536" w:type="dxa"/>
            <w:vMerge/>
          </w:tcPr>
          <w:p w:rsidR="00541863" w:rsidRPr="003C1B12" w:rsidRDefault="00541863" w:rsidP="002807FF">
            <w:pPr>
              <w:rPr>
                <w:rFonts w:ascii="Times New Roman" w:hAnsi="Times New Roman" w:cs="Times New Roman"/>
                <w:sz w:val="20"/>
                <w:szCs w:val="20"/>
              </w:rPr>
            </w:pPr>
          </w:p>
        </w:tc>
        <w:tc>
          <w:tcPr>
            <w:tcW w:w="992" w:type="dxa"/>
          </w:tcPr>
          <w:p w:rsidR="00541863" w:rsidRPr="003C1B12" w:rsidRDefault="00541863" w:rsidP="002807FF">
            <w:pPr>
              <w:rPr>
                <w:rFonts w:ascii="Times New Roman" w:hAnsi="Times New Roman" w:cs="Times New Roman"/>
                <w:sz w:val="20"/>
                <w:szCs w:val="20"/>
              </w:rPr>
            </w:pPr>
            <w:r w:rsidRPr="003C1B12">
              <w:rPr>
                <w:rFonts w:ascii="Times New Roman" w:hAnsi="Times New Roman" w:cs="Times New Roman"/>
                <w:sz w:val="20"/>
                <w:szCs w:val="20"/>
              </w:rPr>
              <w:t>PCCCL</w:t>
            </w:r>
          </w:p>
        </w:tc>
        <w:tc>
          <w:tcPr>
            <w:tcW w:w="2410" w:type="dxa"/>
          </w:tcPr>
          <w:p w:rsidR="00541863" w:rsidRPr="003C1B12" w:rsidRDefault="00541863" w:rsidP="005E3697">
            <w:pPr>
              <w:pStyle w:val="ListParagraph"/>
              <w:numPr>
                <w:ilvl w:val="0"/>
                <w:numId w:val="36"/>
              </w:numPr>
              <w:autoSpaceDE w:val="0"/>
              <w:autoSpaceDN w:val="0"/>
              <w:adjustRightInd w:val="0"/>
              <w:rPr>
                <w:rFonts w:ascii="Times New Roman" w:hAnsi="Times New Roman" w:cs="Times New Roman"/>
                <w:sz w:val="20"/>
                <w:szCs w:val="20"/>
              </w:rPr>
            </w:pPr>
            <w:r w:rsidRPr="003C1B12">
              <w:rPr>
                <w:rFonts w:ascii="Times New Roman" w:hAnsi="Times New Roman" w:cs="Times New Roman"/>
                <w:sz w:val="20"/>
                <w:szCs w:val="20"/>
              </w:rPr>
              <w:t>Energotaupošo un videi draudzīgo ķ</w:t>
            </w:r>
            <w:r w:rsidR="005E3697" w:rsidRPr="003C1B12">
              <w:rPr>
                <w:rFonts w:ascii="Times New Roman" w:hAnsi="Times New Roman" w:cs="Times New Roman"/>
                <w:sz w:val="20"/>
                <w:szCs w:val="20"/>
              </w:rPr>
              <w:t xml:space="preserve">īmijas produktu un tehnoloģiju izstrāde (pētījumi paredz </w:t>
            </w:r>
            <w:r w:rsidRPr="003C1B12">
              <w:rPr>
                <w:rFonts w:ascii="Times New Roman" w:hAnsi="Times New Roman" w:cs="Times New Roman"/>
                <w:sz w:val="20"/>
                <w:szCs w:val="20"/>
              </w:rPr>
              <w:t>jaunu kompozītmateriālu izstrādi)</w:t>
            </w:r>
          </w:p>
        </w:tc>
      </w:tr>
      <w:tr w:rsidR="007A12E3" w:rsidRPr="003C1B12" w:rsidTr="00F342CD">
        <w:trPr>
          <w:trHeight w:val="496"/>
        </w:trPr>
        <w:tc>
          <w:tcPr>
            <w:tcW w:w="1560" w:type="dxa"/>
            <w:vMerge/>
          </w:tcPr>
          <w:p w:rsidR="00541863" w:rsidRPr="003C1B12" w:rsidRDefault="00541863" w:rsidP="002807FF">
            <w:pPr>
              <w:rPr>
                <w:rFonts w:ascii="Times New Roman" w:hAnsi="Times New Roman" w:cs="Times New Roman"/>
                <w:bCs/>
                <w:kern w:val="24"/>
                <w:sz w:val="20"/>
                <w:szCs w:val="20"/>
              </w:rPr>
            </w:pPr>
          </w:p>
        </w:tc>
        <w:tc>
          <w:tcPr>
            <w:tcW w:w="4536" w:type="dxa"/>
            <w:vMerge/>
          </w:tcPr>
          <w:p w:rsidR="00541863" w:rsidRPr="003C1B12" w:rsidRDefault="00541863" w:rsidP="002807FF">
            <w:pPr>
              <w:rPr>
                <w:rFonts w:ascii="Times New Roman" w:hAnsi="Times New Roman" w:cs="Times New Roman"/>
                <w:sz w:val="20"/>
                <w:szCs w:val="20"/>
              </w:rPr>
            </w:pPr>
          </w:p>
        </w:tc>
        <w:tc>
          <w:tcPr>
            <w:tcW w:w="992" w:type="dxa"/>
          </w:tcPr>
          <w:p w:rsidR="00541863" w:rsidRPr="003C1B12" w:rsidRDefault="00541863" w:rsidP="002807FF">
            <w:pPr>
              <w:rPr>
                <w:rFonts w:ascii="Times New Roman" w:hAnsi="Times New Roman" w:cs="Times New Roman"/>
                <w:sz w:val="20"/>
                <w:szCs w:val="20"/>
              </w:rPr>
            </w:pPr>
            <w:r w:rsidRPr="003C1B12">
              <w:rPr>
                <w:rFonts w:ascii="Times New Roman" w:hAnsi="Times New Roman" w:cs="Times New Roman"/>
                <w:sz w:val="20"/>
                <w:szCs w:val="20"/>
              </w:rPr>
              <w:t>MNKC</w:t>
            </w:r>
          </w:p>
        </w:tc>
        <w:tc>
          <w:tcPr>
            <w:tcW w:w="2410" w:type="dxa"/>
          </w:tcPr>
          <w:p w:rsidR="00541863" w:rsidRPr="003C1B12" w:rsidRDefault="00541863" w:rsidP="005E3697">
            <w:pPr>
              <w:pStyle w:val="ListParagraph"/>
              <w:numPr>
                <w:ilvl w:val="0"/>
                <w:numId w:val="36"/>
              </w:numPr>
              <w:autoSpaceDE w:val="0"/>
              <w:autoSpaceDN w:val="0"/>
              <w:adjustRightInd w:val="0"/>
              <w:rPr>
                <w:rFonts w:ascii="Times New Roman" w:hAnsi="Times New Roman" w:cs="Times New Roman"/>
                <w:sz w:val="20"/>
                <w:szCs w:val="20"/>
              </w:rPr>
            </w:pPr>
            <w:r w:rsidRPr="003C1B12">
              <w:rPr>
                <w:rFonts w:ascii="Times New Roman" w:hAnsi="Times New Roman" w:cs="Times New Roman"/>
                <w:sz w:val="20"/>
                <w:szCs w:val="20"/>
              </w:rPr>
              <w:t>Jauni koksnes materiāli un tehnoloģijas</w:t>
            </w:r>
          </w:p>
        </w:tc>
      </w:tr>
      <w:tr w:rsidR="007A12E3" w:rsidRPr="003C1B12" w:rsidTr="00F342CD">
        <w:tc>
          <w:tcPr>
            <w:tcW w:w="1560" w:type="dxa"/>
            <w:vMerge w:val="restart"/>
          </w:tcPr>
          <w:p w:rsidR="00541863" w:rsidRPr="003C1B12" w:rsidRDefault="00541863" w:rsidP="002807FF">
            <w:pPr>
              <w:rPr>
                <w:rFonts w:ascii="Times New Roman" w:hAnsi="Times New Roman" w:cs="Times New Roman"/>
                <w:sz w:val="20"/>
                <w:szCs w:val="20"/>
              </w:rPr>
            </w:pPr>
            <w:r w:rsidRPr="003C1B12">
              <w:rPr>
                <w:rFonts w:ascii="Times New Roman" w:hAnsi="Times New Roman" w:cs="Times New Roman"/>
                <w:bCs/>
                <w:kern w:val="24"/>
                <w:sz w:val="20"/>
                <w:szCs w:val="20"/>
              </w:rPr>
              <w:t>4.Viedā enerģētika.</w:t>
            </w:r>
          </w:p>
        </w:tc>
        <w:tc>
          <w:tcPr>
            <w:tcW w:w="4536" w:type="dxa"/>
            <w:vMerge w:val="restart"/>
          </w:tcPr>
          <w:p w:rsidR="00541863" w:rsidRPr="003C1B12" w:rsidRDefault="00541863" w:rsidP="002807FF">
            <w:pPr>
              <w:rPr>
                <w:rFonts w:ascii="Times New Roman" w:hAnsi="Times New Roman" w:cs="Times New Roman"/>
                <w:sz w:val="20"/>
                <w:szCs w:val="20"/>
              </w:rPr>
            </w:pPr>
            <w:r w:rsidRPr="003C1B12">
              <w:rPr>
                <w:rFonts w:ascii="Times New Roman" w:hAnsi="Times New Roman" w:cs="Times New Roman"/>
                <w:sz w:val="20"/>
                <w:szCs w:val="20"/>
              </w:rPr>
              <w:t>Resursu cenas; Energoresursu patēriņa intensitāte; ES klimata un enerģētikas ietvars 2030.</w:t>
            </w:r>
          </w:p>
        </w:tc>
        <w:tc>
          <w:tcPr>
            <w:tcW w:w="992" w:type="dxa"/>
          </w:tcPr>
          <w:p w:rsidR="00541863" w:rsidRPr="003C1B12" w:rsidRDefault="00541863" w:rsidP="002807FF">
            <w:pPr>
              <w:rPr>
                <w:rFonts w:ascii="Times New Roman" w:hAnsi="Times New Roman" w:cs="Times New Roman"/>
                <w:sz w:val="20"/>
                <w:szCs w:val="20"/>
              </w:rPr>
            </w:pPr>
            <w:r w:rsidRPr="003C1B12">
              <w:rPr>
                <w:rFonts w:ascii="Times New Roman" w:hAnsi="Times New Roman" w:cs="Times New Roman"/>
                <w:sz w:val="20"/>
                <w:szCs w:val="20"/>
              </w:rPr>
              <w:t>TMNKC</w:t>
            </w:r>
          </w:p>
        </w:tc>
        <w:tc>
          <w:tcPr>
            <w:tcW w:w="2410" w:type="dxa"/>
          </w:tcPr>
          <w:p w:rsidR="00541863" w:rsidRPr="003C1B12" w:rsidRDefault="00541863" w:rsidP="00A07650">
            <w:pPr>
              <w:pStyle w:val="ListParagraph"/>
              <w:numPr>
                <w:ilvl w:val="0"/>
                <w:numId w:val="37"/>
              </w:numPr>
              <w:autoSpaceDE w:val="0"/>
              <w:autoSpaceDN w:val="0"/>
              <w:adjustRightInd w:val="0"/>
              <w:rPr>
                <w:rFonts w:ascii="Times New Roman" w:hAnsi="Times New Roman" w:cs="Times New Roman"/>
                <w:sz w:val="20"/>
                <w:szCs w:val="20"/>
              </w:rPr>
            </w:pPr>
            <w:r w:rsidRPr="003C1B12">
              <w:rPr>
                <w:rFonts w:ascii="Times New Roman" w:hAnsi="Times New Roman" w:cs="Times New Roman"/>
                <w:sz w:val="20"/>
                <w:szCs w:val="20"/>
              </w:rPr>
              <w:t xml:space="preserve">Transporta integrētā mašīnbūve </w:t>
            </w:r>
            <w:r w:rsidR="003D5183" w:rsidRPr="003C1B12">
              <w:rPr>
                <w:rFonts w:ascii="Times New Roman" w:hAnsi="Times New Roman" w:cs="Times New Roman"/>
                <w:sz w:val="20"/>
                <w:szCs w:val="20"/>
              </w:rPr>
              <w:t>(atsevišķi projekti)</w:t>
            </w:r>
          </w:p>
        </w:tc>
      </w:tr>
      <w:tr w:rsidR="007A12E3" w:rsidRPr="003C1B12" w:rsidTr="00F342CD">
        <w:trPr>
          <w:trHeight w:val="465"/>
        </w:trPr>
        <w:tc>
          <w:tcPr>
            <w:tcW w:w="1560" w:type="dxa"/>
            <w:vMerge/>
          </w:tcPr>
          <w:p w:rsidR="00541863" w:rsidRPr="003C1B12" w:rsidRDefault="00541863" w:rsidP="002807FF">
            <w:pPr>
              <w:rPr>
                <w:rFonts w:ascii="Times New Roman" w:hAnsi="Times New Roman" w:cs="Times New Roman"/>
                <w:bCs/>
                <w:kern w:val="24"/>
                <w:sz w:val="20"/>
                <w:szCs w:val="20"/>
              </w:rPr>
            </w:pPr>
          </w:p>
        </w:tc>
        <w:tc>
          <w:tcPr>
            <w:tcW w:w="4536" w:type="dxa"/>
            <w:vMerge/>
          </w:tcPr>
          <w:p w:rsidR="00541863" w:rsidRPr="003C1B12" w:rsidRDefault="00541863" w:rsidP="002807FF">
            <w:pPr>
              <w:rPr>
                <w:rFonts w:ascii="Times New Roman" w:hAnsi="Times New Roman" w:cs="Times New Roman"/>
                <w:sz w:val="20"/>
                <w:szCs w:val="20"/>
              </w:rPr>
            </w:pPr>
          </w:p>
        </w:tc>
        <w:tc>
          <w:tcPr>
            <w:tcW w:w="992" w:type="dxa"/>
          </w:tcPr>
          <w:p w:rsidR="00541863" w:rsidRPr="003C1B12" w:rsidRDefault="00541863" w:rsidP="002807FF">
            <w:pPr>
              <w:rPr>
                <w:rFonts w:ascii="Times New Roman" w:hAnsi="Times New Roman" w:cs="Times New Roman"/>
                <w:sz w:val="20"/>
                <w:szCs w:val="20"/>
              </w:rPr>
            </w:pPr>
            <w:r w:rsidRPr="003C1B12">
              <w:rPr>
                <w:rFonts w:ascii="Times New Roman" w:hAnsi="Times New Roman" w:cs="Times New Roman"/>
                <w:sz w:val="20"/>
                <w:szCs w:val="20"/>
              </w:rPr>
              <w:t>VBBKC</w:t>
            </w:r>
          </w:p>
        </w:tc>
        <w:tc>
          <w:tcPr>
            <w:tcW w:w="2410" w:type="dxa"/>
          </w:tcPr>
          <w:p w:rsidR="00541863" w:rsidRPr="003C1B12" w:rsidRDefault="00541863" w:rsidP="00A07650">
            <w:pPr>
              <w:pStyle w:val="ListParagraph"/>
              <w:numPr>
                <w:ilvl w:val="0"/>
                <w:numId w:val="37"/>
              </w:numPr>
              <w:autoSpaceDE w:val="0"/>
              <w:autoSpaceDN w:val="0"/>
              <w:adjustRightInd w:val="0"/>
              <w:rPr>
                <w:rFonts w:ascii="Times New Roman" w:hAnsi="Times New Roman" w:cs="Times New Roman"/>
                <w:sz w:val="20"/>
                <w:szCs w:val="20"/>
              </w:rPr>
            </w:pPr>
            <w:r w:rsidRPr="003C1B12">
              <w:rPr>
                <w:rFonts w:ascii="Times New Roman" w:hAnsi="Times New Roman" w:cs="Times New Roman"/>
                <w:sz w:val="20"/>
                <w:szCs w:val="20"/>
              </w:rPr>
              <w:t>Bioenerģētika</w:t>
            </w:r>
          </w:p>
          <w:p w:rsidR="00541863" w:rsidRPr="003C1B12" w:rsidRDefault="00541863" w:rsidP="00A07650">
            <w:pPr>
              <w:pStyle w:val="ListParagraph"/>
              <w:numPr>
                <w:ilvl w:val="0"/>
                <w:numId w:val="37"/>
              </w:numPr>
              <w:autoSpaceDE w:val="0"/>
              <w:autoSpaceDN w:val="0"/>
              <w:adjustRightInd w:val="0"/>
              <w:rPr>
                <w:rFonts w:ascii="Times New Roman" w:hAnsi="Times New Roman" w:cs="Times New Roman"/>
                <w:sz w:val="20"/>
                <w:szCs w:val="20"/>
              </w:rPr>
            </w:pPr>
            <w:r w:rsidRPr="003C1B12">
              <w:rPr>
                <w:rFonts w:ascii="Times New Roman" w:hAnsi="Times New Roman" w:cs="Times New Roman"/>
                <w:sz w:val="20"/>
                <w:szCs w:val="20"/>
              </w:rPr>
              <w:t>Vide</w:t>
            </w:r>
            <w:r w:rsidR="003D5183" w:rsidRPr="003C1B12">
              <w:rPr>
                <w:rFonts w:ascii="Times New Roman" w:hAnsi="Times New Roman" w:cs="Times New Roman"/>
                <w:sz w:val="20"/>
                <w:szCs w:val="20"/>
              </w:rPr>
              <w:t xml:space="preserve"> (atsevišķi projekti)</w:t>
            </w:r>
          </w:p>
        </w:tc>
      </w:tr>
      <w:tr w:rsidR="007A12E3" w:rsidRPr="003C1B12" w:rsidTr="00F342CD">
        <w:trPr>
          <w:trHeight w:val="557"/>
        </w:trPr>
        <w:tc>
          <w:tcPr>
            <w:tcW w:w="1560" w:type="dxa"/>
            <w:vMerge w:val="restart"/>
          </w:tcPr>
          <w:p w:rsidR="00541863" w:rsidRPr="003C1B12" w:rsidRDefault="00541863" w:rsidP="002807FF">
            <w:pPr>
              <w:pStyle w:val="ListParagraph"/>
              <w:ind w:left="0"/>
              <w:rPr>
                <w:rFonts w:ascii="Times New Roman" w:hAnsi="Times New Roman" w:cs="Times New Roman"/>
                <w:sz w:val="20"/>
                <w:szCs w:val="20"/>
              </w:rPr>
            </w:pPr>
            <w:r w:rsidRPr="003C1B12">
              <w:rPr>
                <w:rFonts w:ascii="Times New Roman" w:hAnsi="Times New Roman" w:cs="Times New Roman"/>
                <w:bCs/>
                <w:kern w:val="24"/>
                <w:sz w:val="20"/>
                <w:szCs w:val="20"/>
              </w:rPr>
              <w:t>5.</w:t>
            </w:r>
            <w:r w:rsidR="00F61EB2" w:rsidRPr="003C1B12">
              <w:rPr>
                <w:rFonts w:ascii="Times New Roman" w:hAnsi="Times New Roman" w:cs="Times New Roman"/>
                <w:bCs/>
                <w:kern w:val="24"/>
                <w:sz w:val="20"/>
                <w:szCs w:val="20"/>
              </w:rPr>
              <w:t>IKT</w:t>
            </w:r>
            <w:r w:rsidRPr="003C1B12">
              <w:rPr>
                <w:rFonts w:ascii="Times New Roman" w:hAnsi="Times New Roman" w:cs="Times New Roman"/>
                <w:bCs/>
                <w:kern w:val="24"/>
                <w:sz w:val="20"/>
                <w:szCs w:val="20"/>
              </w:rPr>
              <w:t>.</w:t>
            </w:r>
          </w:p>
          <w:p w:rsidR="00541863" w:rsidRPr="003C1B12" w:rsidRDefault="00541863" w:rsidP="002807FF">
            <w:pPr>
              <w:rPr>
                <w:rFonts w:ascii="Times New Roman" w:hAnsi="Times New Roman" w:cs="Times New Roman"/>
                <w:sz w:val="20"/>
                <w:szCs w:val="20"/>
              </w:rPr>
            </w:pPr>
          </w:p>
        </w:tc>
        <w:tc>
          <w:tcPr>
            <w:tcW w:w="4536" w:type="dxa"/>
            <w:vMerge w:val="restart"/>
          </w:tcPr>
          <w:p w:rsidR="00541863" w:rsidRPr="003C1B12" w:rsidRDefault="00541863" w:rsidP="002807FF">
            <w:pPr>
              <w:rPr>
                <w:rFonts w:ascii="Times New Roman" w:hAnsi="Times New Roman" w:cs="Times New Roman"/>
                <w:sz w:val="20"/>
                <w:szCs w:val="20"/>
              </w:rPr>
            </w:pPr>
            <w:r w:rsidRPr="003C1B12">
              <w:rPr>
                <w:rFonts w:ascii="Times New Roman" w:hAnsi="Times New Roman" w:cs="Times New Roman"/>
                <w:sz w:val="20"/>
                <w:szCs w:val="20"/>
              </w:rPr>
              <w:t>Inovatīva zināšanu pārvaldība, sistēmu modelēšanas un programmatūras izstrādes metodes un rīki; inovatīvi nozaru IKT aparatūras (</w:t>
            </w:r>
            <w:r w:rsidRPr="003C1B12">
              <w:rPr>
                <w:rFonts w:ascii="Times New Roman" w:hAnsi="Times New Roman" w:cs="Times New Roman"/>
                <w:i/>
                <w:sz w:val="20"/>
                <w:szCs w:val="20"/>
              </w:rPr>
              <w:t>hardware</w:t>
            </w:r>
            <w:r w:rsidRPr="003C1B12">
              <w:rPr>
                <w:rFonts w:ascii="Times New Roman" w:hAnsi="Times New Roman" w:cs="Times New Roman"/>
                <w:sz w:val="20"/>
                <w:szCs w:val="20"/>
              </w:rPr>
              <w:t>) un programmatūras (</w:t>
            </w:r>
            <w:r w:rsidRPr="003C1B12">
              <w:rPr>
                <w:rFonts w:ascii="Times New Roman" w:hAnsi="Times New Roman" w:cs="Times New Roman"/>
                <w:i/>
                <w:sz w:val="20"/>
                <w:szCs w:val="20"/>
              </w:rPr>
              <w:t>software</w:t>
            </w:r>
            <w:r w:rsidRPr="003C1B12">
              <w:rPr>
                <w:rFonts w:ascii="Times New Roman" w:hAnsi="Times New Roman" w:cs="Times New Roman"/>
                <w:sz w:val="20"/>
                <w:szCs w:val="20"/>
              </w:rPr>
              <w:t>) lietojumi; kiberfizikālās sistēmas, valodu tehnoloģijas un semantiskais tīmeklis; lielapjoma datu un zināšanu infrastruktūra; informācijas drošība un kvantu datori; datorsistēmu testēšanas metodes.</w:t>
            </w:r>
          </w:p>
        </w:tc>
        <w:tc>
          <w:tcPr>
            <w:tcW w:w="992" w:type="dxa"/>
          </w:tcPr>
          <w:p w:rsidR="00541863" w:rsidRPr="003C1B12" w:rsidRDefault="00541863" w:rsidP="002807FF">
            <w:pPr>
              <w:rPr>
                <w:rFonts w:ascii="Times New Roman" w:hAnsi="Times New Roman" w:cs="Times New Roman"/>
                <w:sz w:val="20"/>
                <w:szCs w:val="20"/>
              </w:rPr>
            </w:pPr>
            <w:r w:rsidRPr="003C1B12">
              <w:rPr>
                <w:rFonts w:ascii="Times New Roman" w:hAnsi="Times New Roman" w:cs="Times New Roman"/>
                <w:sz w:val="20"/>
                <w:szCs w:val="20"/>
              </w:rPr>
              <w:t>ITKC</w:t>
            </w:r>
          </w:p>
        </w:tc>
        <w:tc>
          <w:tcPr>
            <w:tcW w:w="2410" w:type="dxa"/>
          </w:tcPr>
          <w:p w:rsidR="005E3697" w:rsidRPr="003C1B12" w:rsidRDefault="00541863" w:rsidP="00D9091F">
            <w:pPr>
              <w:pStyle w:val="ListParagraph"/>
              <w:numPr>
                <w:ilvl w:val="0"/>
                <w:numId w:val="38"/>
              </w:numPr>
              <w:autoSpaceDE w:val="0"/>
              <w:autoSpaceDN w:val="0"/>
              <w:adjustRightInd w:val="0"/>
              <w:rPr>
                <w:rFonts w:ascii="Times New Roman" w:hAnsi="Times New Roman" w:cs="Times New Roman"/>
                <w:sz w:val="20"/>
                <w:szCs w:val="20"/>
              </w:rPr>
            </w:pPr>
            <w:r w:rsidRPr="003C1B12">
              <w:rPr>
                <w:rFonts w:ascii="Times New Roman" w:hAnsi="Times New Roman" w:cs="Times New Roman"/>
                <w:sz w:val="20"/>
                <w:szCs w:val="20"/>
              </w:rPr>
              <w:t>Biznesa procesu analīzes tehnoloģijas</w:t>
            </w:r>
          </w:p>
          <w:p w:rsidR="00541863" w:rsidRPr="003C1B12" w:rsidRDefault="00541863" w:rsidP="00D9091F">
            <w:pPr>
              <w:pStyle w:val="ListParagraph"/>
              <w:numPr>
                <w:ilvl w:val="0"/>
                <w:numId w:val="38"/>
              </w:numPr>
              <w:autoSpaceDE w:val="0"/>
              <w:autoSpaceDN w:val="0"/>
              <w:adjustRightInd w:val="0"/>
              <w:rPr>
                <w:rFonts w:ascii="Times New Roman" w:hAnsi="Times New Roman" w:cs="Times New Roman"/>
                <w:sz w:val="20"/>
                <w:szCs w:val="20"/>
              </w:rPr>
            </w:pPr>
            <w:r w:rsidRPr="003C1B12">
              <w:rPr>
                <w:rFonts w:ascii="Times New Roman" w:hAnsi="Times New Roman" w:cs="Times New Roman"/>
                <w:sz w:val="20"/>
                <w:szCs w:val="20"/>
              </w:rPr>
              <w:t>Dabīgās valodas tehnoloģijas</w:t>
            </w:r>
          </w:p>
        </w:tc>
      </w:tr>
      <w:tr w:rsidR="007A12E3" w:rsidRPr="003C1B12" w:rsidTr="00F342CD">
        <w:tc>
          <w:tcPr>
            <w:tcW w:w="1560" w:type="dxa"/>
            <w:vMerge/>
          </w:tcPr>
          <w:p w:rsidR="00541863" w:rsidRPr="003C1B12" w:rsidRDefault="00541863" w:rsidP="002807FF">
            <w:pPr>
              <w:rPr>
                <w:rFonts w:ascii="Times New Roman" w:hAnsi="Times New Roman" w:cs="Times New Roman"/>
                <w:sz w:val="20"/>
                <w:szCs w:val="20"/>
              </w:rPr>
            </w:pPr>
          </w:p>
        </w:tc>
        <w:tc>
          <w:tcPr>
            <w:tcW w:w="4536" w:type="dxa"/>
            <w:vMerge/>
          </w:tcPr>
          <w:p w:rsidR="00541863" w:rsidRPr="003C1B12" w:rsidRDefault="00541863" w:rsidP="002807FF">
            <w:pPr>
              <w:rPr>
                <w:rFonts w:ascii="Times New Roman" w:hAnsi="Times New Roman" w:cs="Times New Roman"/>
                <w:sz w:val="20"/>
                <w:szCs w:val="20"/>
              </w:rPr>
            </w:pPr>
          </w:p>
        </w:tc>
        <w:tc>
          <w:tcPr>
            <w:tcW w:w="992" w:type="dxa"/>
          </w:tcPr>
          <w:p w:rsidR="00541863" w:rsidRPr="003C1B12" w:rsidRDefault="00541863" w:rsidP="002807FF">
            <w:pPr>
              <w:rPr>
                <w:rFonts w:ascii="Times New Roman" w:hAnsi="Times New Roman" w:cs="Times New Roman"/>
                <w:sz w:val="20"/>
                <w:szCs w:val="20"/>
              </w:rPr>
            </w:pPr>
            <w:r w:rsidRPr="003C1B12">
              <w:rPr>
                <w:rFonts w:ascii="Times New Roman" w:hAnsi="Times New Roman" w:cs="Times New Roman"/>
                <w:sz w:val="20"/>
                <w:szCs w:val="20"/>
              </w:rPr>
              <w:t>LEO KC</w:t>
            </w:r>
          </w:p>
        </w:tc>
        <w:tc>
          <w:tcPr>
            <w:tcW w:w="2410" w:type="dxa"/>
          </w:tcPr>
          <w:p w:rsidR="00541863" w:rsidRPr="003C1B12" w:rsidRDefault="00541863" w:rsidP="00D9091F">
            <w:pPr>
              <w:pStyle w:val="ListParagraph"/>
              <w:numPr>
                <w:ilvl w:val="0"/>
                <w:numId w:val="38"/>
              </w:numPr>
              <w:autoSpaceDE w:val="0"/>
              <w:autoSpaceDN w:val="0"/>
              <w:adjustRightInd w:val="0"/>
              <w:rPr>
                <w:rFonts w:ascii="Times New Roman" w:hAnsi="Times New Roman" w:cs="Times New Roman"/>
                <w:sz w:val="20"/>
                <w:szCs w:val="20"/>
              </w:rPr>
            </w:pPr>
            <w:r w:rsidRPr="003C1B12">
              <w:rPr>
                <w:rFonts w:ascii="Times New Roman" w:hAnsi="Times New Roman" w:cs="Times New Roman"/>
                <w:sz w:val="20"/>
                <w:szCs w:val="20"/>
              </w:rPr>
              <w:t>Elektronika un elektrotehnikas industriālās tehnoloģijas</w:t>
            </w:r>
          </w:p>
          <w:p w:rsidR="00541863" w:rsidRPr="003C1B12" w:rsidRDefault="00541863" w:rsidP="00D9091F">
            <w:pPr>
              <w:pStyle w:val="ListParagraph"/>
              <w:numPr>
                <w:ilvl w:val="0"/>
                <w:numId w:val="38"/>
              </w:numPr>
              <w:autoSpaceDE w:val="0"/>
              <w:autoSpaceDN w:val="0"/>
              <w:adjustRightInd w:val="0"/>
              <w:rPr>
                <w:rFonts w:ascii="Times New Roman" w:hAnsi="Times New Roman" w:cs="Times New Roman"/>
                <w:sz w:val="20"/>
                <w:szCs w:val="20"/>
              </w:rPr>
            </w:pPr>
            <w:r w:rsidRPr="003C1B12">
              <w:rPr>
                <w:rFonts w:ascii="Times New Roman" w:hAnsi="Times New Roman" w:cs="Times New Roman"/>
                <w:sz w:val="20"/>
                <w:szCs w:val="20"/>
              </w:rPr>
              <w:lastRenderedPageBreak/>
              <w:t>Satelīttehnoloģijas</w:t>
            </w:r>
          </w:p>
        </w:tc>
      </w:tr>
    </w:tbl>
    <w:p w:rsidR="00DF4019" w:rsidRPr="003C1B12" w:rsidRDefault="00DF4019">
      <w:pPr>
        <w:rPr>
          <w:rFonts w:ascii="Times New Roman" w:hAnsi="Times New Roman" w:cs="Times New Roman"/>
        </w:rPr>
      </w:pPr>
      <w:r w:rsidRPr="003C1B12">
        <w:rPr>
          <w:rFonts w:ascii="Times New Roman" w:hAnsi="Times New Roman" w:cs="Times New Roman"/>
        </w:rPr>
        <w:lastRenderedPageBreak/>
        <w:br w:type="page"/>
      </w:r>
    </w:p>
    <w:p w:rsidR="009D499E" w:rsidRPr="003C1B12" w:rsidRDefault="009D499E" w:rsidP="003C1663">
      <w:pPr>
        <w:pStyle w:val="Heading1"/>
        <w:spacing w:before="0" w:after="120" w:line="240" w:lineRule="auto"/>
        <w:jc w:val="right"/>
        <w:rPr>
          <w:rFonts w:ascii="Times New Roman" w:hAnsi="Times New Roman" w:cs="Times New Roman"/>
          <w:color w:val="31849B" w:themeColor="accent5" w:themeShade="BF"/>
          <w:sz w:val="28"/>
        </w:rPr>
      </w:pPr>
      <w:bookmarkStart w:id="43" w:name="_Toc427646480"/>
      <w:bookmarkStart w:id="44" w:name="_Toc427646566"/>
      <w:r w:rsidRPr="003C1B12">
        <w:rPr>
          <w:rFonts w:ascii="Times New Roman" w:hAnsi="Times New Roman" w:cs="Times New Roman"/>
          <w:color w:val="31849B" w:themeColor="accent5" w:themeShade="BF"/>
          <w:sz w:val="28"/>
        </w:rPr>
        <w:lastRenderedPageBreak/>
        <w:t>Pielikums Nr.2</w:t>
      </w:r>
      <w:bookmarkEnd w:id="43"/>
      <w:bookmarkEnd w:id="44"/>
    </w:p>
    <w:tbl>
      <w:tblPr>
        <w:tblStyle w:val="TableGrid"/>
        <w:tblW w:w="9072" w:type="dxa"/>
        <w:tblInd w:w="108" w:type="dxa"/>
        <w:tblLayout w:type="fixed"/>
        <w:tblLook w:val="04A0" w:firstRow="1" w:lastRow="0" w:firstColumn="1" w:lastColumn="0" w:noHBand="0" w:noVBand="1"/>
      </w:tblPr>
      <w:tblGrid>
        <w:gridCol w:w="1560"/>
        <w:gridCol w:w="3118"/>
        <w:gridCol w:w="1843"/>
        <w:gridCol w:w="2551"/>
      </w:tblGrid>
      <w:tr w:rsidR="0008527B" w:rsidRPr="003C1B12" w:rsidTr="000F074A">
        <w:tc>
          <w:tcPr>
            <w:tcW w:w="1560" w:type="dxa"/>
          </w:tcPr>
          <w:p w:rsidR="0008527B" w:rsidRPr="003C1B12" w:rsidRDefault="0008527B" w:rsidP="009D499E">
            <w:pPr>
              <w:jc w:val="center"/>
              <w:rPr>
                <w:rFonts w:ascii="Times New Roman" w:hAnsi="Times New Roman" w:cs="Times New Roman"/>
                <w:b/>
                <w:sz w:val="20"/>
                <w:szCs w:val="20"/>
              </w:rPr>
            </w:pPr>
            <w:r w:rsidRPr="003C1B12">
              <w:rPr>
                <w:rFonts w:ascii="Times New Roman" w:hAnsi="Times New Roman" w:cs="Times New Roman"/>
                <w:b/>
                <w:bCs/>
                <w:color w:val="000000"/>
                <w:kern w:val="24"/>
                <w:sz w:val="20"/>
                <w:szCs w:val="20"/>
              </w:rPr>
              <w:t>Specializācijas jomas</w:t>
            </w:r>
          </w:p>
        </w:tc>
        <w:tc>
          <w:tcPr>
            <w:tcW w:w="3118" w:type="dxa"/>
          </w:tcPr>
          <w:p w:rsidR="0008527B" w:rsidRPr="003C1B12" w:rsidRDefault="0008527B" w:rsidP="009D499E">
            <w:pPr>
              <w:jc w:val="center"/>
              <w:rPr>
                <w:rFonts w:ascii="Times New Roman" w:hAnsi="Times New Roman" w:cs="Times New Roman"/>
                <w:b/>
                <w:sz w:val="20"/>
                <w:szCs w:val="20"/>
              </w:rPr>
            </w:pPr>
            <w:r w:rsidRPr="003C1B12">
              <w:rPr>
                <w:rFonts w:ascii="Times New Roman" w:hAnsi="Times New Roman" w:cs="Times New Roman"/>
                <w:b/>
                <w:sz w:val="20"/>
                <w:szCs w:val="20"/>
              </w:rPr>
              <w:t>Industrijas potenciālās specializācijas nišas 2014.gada diskusiju skatījumā</w:t>
            </w:r>
            <w:r w:rsidR="001E5CFC" w:rsidRPr="003C1B12">
              <w:rPr>
                <w:rStyle w:val="FootnoteReference"/>
                <w:rFonts w:ascii="Times New Roman" w:hAnsi="Times New Roman" w:cs="Times New Roman"/>
                <w:b/>
                <w:sz w:val="20"/>
                <w:szCs w:val="20"/>
              </w:rPr>
              <w:footnoteReference w:id="20"/>
            </w:r>
          </w:p>
        </w:tc>
        <w:tc>
          <w:tcPr>
            <w:tcW w:w="1843" w:type="dxa"/>
          </w:tcPr>
          <w:p w:rsidR="0008527B" w:rsidRPr="003C1B12" w:rsidRDefault="0008527B" w:rsidP="009D499E">
            <w:pPr>
              <w:jc w:val="center"/>
              <w:rPr>
                <w:rFonts w:ascii="Times New Roman" w:hAnsi="Times New Roman" w:cs="Times New Roman"/>
                <w:b/>
                <w:sz w:val="20"/>
                <w:szCs w:val="20"/>
              </w:rPr>
            </w:pPr>
            <w:r w:rsidRPr="003C1B12">
              <w:rPr>
                <w:rFonts w:ascii="Times New Roman" w:hAnsi="Times New Roman" w:cs="Times New Roman"/>
                <w:b/>
                <w:bCs/>
                <w:color w:val="000000"/>
                <w:kern w:val="24"/>
                <w:sz w:val="20"/>
                <w:szCs w:val="20"/>
              </w:rPr>
              <w:t>Specializācijas jomas</w:t>
            </w:r>
            <w:r w:rsidRPr="003C1B12">
              <w:rPr>
                <w:rFonts w:ascii="Times New Roman" w:hAnsi="Times New Roman" w:cs="Times New Roman"/>
                <w:b/>
                <w:sz w:val="20"/>
                <w:szCs w:val="20"/>
              </w:rPr>
              <w:t xml:space="preserve"> apakšjoma</w:t>
            </w:r>
          </w:p>
        </w:tc>
        <w:tc>
          <w:tcPr>
            <w:tcW w:w="2551" w:type="dxa"/>
          </w:tcPr>
          <w:p w:rsidR="009D499E" w:rsidRPr="003C1B12" w:rsidRDefault="0008527B" w:rsidP="009D499E">
            <w:pPr>
              <w:jc w:val="center"/>
              <w:rPr>
                <w:rFonts w:ascii="Times New Roman" w:hAnsi="Times New Roman" w:cs="Times New Roman"/>
                <w:b/>
                <w:sz w:val="20"/>
                <w:szCs w:val="20"/>
              </w:rPr>
            </w:pPr>
            <w:r w:rsidRPr="003C1B12">
              <w:rPr>
                <w:rFonts w:ascii="Times New Roman" w:hAnsi="Times New Roman" w:cs="Times New Roman"/>
                <w:b/>
                <w:sz w:val="20"/>
                <w:szCs w:val="20"/>
              </w:rPr>
              <w:t>Potenciālais</w:t>
            </w:r>
          </w:p>
          <w:p w:rsidR="0008527B" w:rsidRPr="003C1B12" w:rsidRDefault="007B5BD9" w:rsidP="009D499E">
            <w:pPr>
              <w:jc w:val="center"/>
              <w:rPr>
                <w:rFonts w:ascii="Times New Roman" w:hAnsi="Times New Roman" w:cs="Times New Roman"/>
                <w:b/>
                <w:sz w:val="20"/>
                <w:szCs w:val="20"/>
              </w:rPr>
            </w:pPr>
            <w:r w:rsidRPr="003C1B12">
              <w:rPr>
                <w:rFonts w:ascii="Times New Roman" w:hAnsi="Times New Roman" w:cs="Times New Roman"/>
                <w:b/>
                <w:sz w:val="20"/>
                <w:szCs w:val="20"/>
              </w:rPr>
              <w:t>KC</w:t>
            </w:r>
          </w:p>
        </w:tc>
      </w:tr>
      <w:tr w:rsidR="0008527B" w:rsidRPr="003C1B12" w:rsidTr="000F074A">
        <w:trPr>
          <w:trHeight w:val="1196"/>
        </w:trPr>
        <w:tc>
          <w:tcPr>
            <w:tcW w:w="1560" w:type="dxa"/>
            <w:vMerge w:val="restart"/>
          </w:tcPr>
          <w:p w:rsidR="0008527B" w:rsidRPr="003C1B12" w:rsidRDefault="0008527B" w:rsidP="00273E02">
            <w:pPr>
              <w:pStyle w:val="ListParagraph"/>
              <w:ind w:left="0"/>
              <w:rPr>
                <w:rFonts w:ascii="Times New Roman" w:hAnsi="Times New Roman" w:cs="Times New Roman"/>
                <w:sz w:val="20"/>
                <w:szCs w:val="20"/>
              </w:rPr>
            </w:pPr>
            <w:r w:rsidRPr="003C1B12">
              <w:rPr>
                <w:rFonts w:ascii="Times New Roman" w:hAnsi="Times New Roman" w:cs="Times New Roman"/>
                <w:bCs/>
                <w:kern w:val="24"/>
                <w:sz w:val="20"/>
                <w:szCs w:val="20"/>
              </w:rPr>
              <w:t>1.Zināšanu ietilpīga bioekonomika.</w:t>
            </w:r>
          </w:p>
          <w:p w:rsidR="0008527B" w:rsidRPr="003C1B12" w:rsidRDefault="0008527B" w:rsidP="00273E02">
            <w:pPr>
              <w:pStyle w:val="ListParagraph"/>
              <w:ind w:left="0"/>
              <w:rPr>
                <w:rFonts w:ascii="Times New Roman" w:hAnsi="Times New Roman" w:cs="Times New Roman"/>
                <w:bCs/>
                <w:kern w:val="24"/>
                <w:sz w:val="20"/>
                <w:szCs w:val="20"/>
              </w:rPr>
            </w:pPr>
          </w:p>
          <w:p w:rsidR="0008527B" w:rsidRPr="003C1B12" w:rsidRDefault="0008527B" w:rsidP="00273E02">
            <w:pPr>
              <w:pStyle w:val="ListParagraph"/>
              <w:ind w:left="0"/>
              <w:rPr>
                <w:rFonts w:ascii="Times New Roman" w:hAnsi="Times New Roman" w:cs="Times New Roman"/>
                <w:bCs/>
                <w:kern w:val="24"/>
                <w:sz w:val="20"/>
                <w:szCs w:val="20"/>
              </w:rPr>
            </w:pPr>
          </w:p>
          <w:p w:rsidR="0008527B" w:rsidRPr="003C1B12" w:rsidRDefault="0008527B" w:rsidP="00273E02">
            <w:pPr>
              <w:pStyle w:val="ListParagraph"/>
              <w:ind w:left="0"/>
              <w:rPr>
                <w:rFonts w:ascii="Times New Roman" w:hAnsi="Times New Roman" w:cs="Times New Roman"/>
                <w:sz w:val="20"/>
                <w:szCs w:val="20"/>
              </w:rPr>
            </w:pPr>
          </w:p>
        </w:tc>
        <w:tc>
          <w:tcPr>
            <w:tcW w:w="3118" w:type="dxa"/>
          </w:tcPr>
          <w:p w:rsidR="0008527B" w:rsidRPr="003C1B12" w:rsidRDefault="0008527B" w:rsidP="00273E02">
            <w:pPr>
              <w:rPr>
                <w:rFonts w:ascii="Times New Roman" w:hAnsi="Times New Roman" w:cs="Times New Roman"/>
                <w:sz w:val="20"/>
                <w:szCs w:val="20"/>
              </w:rPr>
            </w:pPr>
            <w:r w:rsidRPr="003C1B12">
              <w:rPr>
                <w:rFonts w:ascii="Times New Roman" w:hAnsi="Times New Roman" w:cs="Times New Roman"/>
                <w:sz w:val="20"/>
                <w:szCs w:val="20"/>
              </w:rPr>
              <w:t>Ilgtspējīga un produktīva meža audzēšana mainīgos klimata apstākļos; Inovatīvu augstas pievienotās vērtības nišas produktu izstrāde no koksnes</w:t>
            </w:r>
          </w:p>
          <w:p w:rsidR="0008527B" w:rsidRPr="003C1B12" w:rsidRDefault="0008527B" w:rsidP="00273E02">
            <w:pPr>
              <w:rPr>
                <w:rFonts w:ascii="Times New Roman" w:hAnsi="Times New Roman" w:cs="Times New Roman"/>
                <w:sz w:val="20"/>
                <w:szCs w:val="20"/>
              </w:rPr>
            </w:pPr>
            <w:r w:rsidRPr="003C1B12">
              <w:rPr>
                <w:rFonts w:ascii="Times New Roman" w:hAnsi="Times New Roman" w:cs="Times New Roman"/>
                <w:sz w:val="20"/>
                <w:szCs w:val="20"/>
              </w:rPr>
              <w:t xml:space="preserve">Koksnes biomasas pilnīga izmantošana ķīmiskajai pārstrādei un enerģijai; </w:t>
            </w:r>
          </w:p>
        </w:tc>
        <w:tc>
          <w:tcPr>
            <w:tcW w:w="1843" w:type="dxa"/>
          </w:tcPr>
          <w:p w:rsidR="009D499E" w:rsidRPr="003C1B12" w:rsidRDefault="009D499E" w:rsidP="00273E02">
            <w:pPr>
              <w:pStyle w:val="Normal1"/>
              <w:rPr>
                <w:rFonts w:ascii="Times New Roman" w:hAnsi="Times New Roman" w:cs="Times New Roman"/>
                <w:color w:val="000000" w:themeColor="text1"/>
                <w:sz w:val="20"/>
                <w:szCs w:val="20"/>
              </w:rPr>
            </w:pPr>
            <w:r w:rsidRPr="003C1B12">
              <w:rPr>
                <w:rFonts w:ascii="Times New Roman" w:hAnsi="Times New Roman" w:cs="Times New Roman"/>
                <w:bCs/>
                <w:kern w:val="24"/>
                <w:sz w:val="20"/>
                <w:szCs w:val="20"/>
              </w:rPr>
              <w:t>Inovatīvi risinājumi mežsaimniecība</w:t>
            </w:r>
            <w:r w:rsidR="001B78E6" w:rsidRPr="003C1B12">
              <w:rPr>
                <w:rFonts w:ascii="Times New Roman" w:hAnsi="Times New Roman" w:cs="Times New Roman"/>
                <w:bCs/>
                <w:kern w:val="24"/>
                <w:sz w:val="20"/>
                <w:szCs w:val="20"/>
              </w:rPr>
              <w:t>i</w:t>
            </w:r>
            <w:r w:rsidRPr="003C1B12">
              <w:rPr>
                <w:rFonts w:ascii="Times New Roman" w:hAnsi="Times New Roman" w:cs="Times New Roman"/>
                <w:bCs/>
                <w:kern w:val="24"/>
                <w:sz w:val="20"/>
                <w:szCs w:val="20"/>
              </w:rPr>
              <w:t xml:space="preserve"> un kokapstrād</w:t>
            </w:r>
            <w:r w:rsidR="001B78E6" w:rsidRPr="003C1B12">
              <w:rPr>
                <w:rFonts w:ascii="Times New Roman" w:hAnsi="Times New Roman" w:cs="Times New Roman"/>
                <w:bCs/>
                <w:kern w:val="24"/>
                <w:sz w:val="20"/>
                <w:szCs w:val="20"/>
              </w:rPr>
              <w:t>ē</w:t>
            </w:r>
          </w:p>
          <w:p w:rsidR="0008527B" w:rsidRPr="003C1B12" w:rsidRDefault="0008527B" w:rsidP="00273E02">
            <w:pPr>
              <w:pStyle w:val="ListParagraph"/>
              <w:ind w:left="0"/>
              <w:rPr>
                <w:rFonts w:ascii="Times New Roman" w:hAnsi="Times New Roman" w:cs="Times New Roman"/>
                <w:sz w:val="20"/>
                <w:szCs w:val="20"/>
              </w:rPr>
            </w:pPr>
          </w:p>
        </w:tc>
        <w:tc>
          <w:tcPr>
            <w:tcW w:w="2551" w:type="dxa"/>
          </w:tcPr>
          <w:p w:rsidR="0008527B" w:rsidRPr="003C1B12" w:rsidRDefault="00015126" w:rsidP="00015126">
            <w:pPr>
              <w:pStyle w:val="ListParagraph"/>
              <w:autoSpaceDE w:val="0"/>
              <w:autoSpaceDN w:val="0"/>
              <w:adjustRightInd w:val="0"/>
              <w:ind w:left="34"/>
              <w:rPr>
                <w:rFonts w:ascii="Times New Roman" w:hAnsi="Times New Roman" w:cs="Times New Roman"/>
                <w:sz w:val="20"/>
                <w:szCs w:val="20"/>
              </w:rPr>
            </w:pPr>
            <w:r w:rsidRPr="003C1B12">
              <w:rPr>
                <w:rFonts w:ascii="Times New Roman" w:hAnsi="Times New Roman" w:cs="Times New Roman"/>
                <w:sz w:val="20"/>
                <w:szCs w:val="20"/>
              </w:rPr>
              <w:t>MN</w:t>
            </w:r>
            <w:r w:rsidR="0008527B" w:rsidRPr="003C1B12">
              <w:rPr>
                <w:rFonts w:ascii="Times New Roman" w:hAnsi="Times New Roman" w:cs="Times New Roman"/>
                <w:sz w:val="20"/>
                <w:szCs w:val="20"/>
              </w:rPr>
              <w:t>KC</w:t>
            </w:r>
            <w:r w:rsidRPr="003C1B12">
              <w:rPr>
                <w:rFonts w:ascii="Times New Roman" w:hAnsi="Times New Roman" w:cs="Times New Roman"/>
                <w:sz w:val="20"/>
                <w:szCs w:val="20"/>
              </w:rPr>
              <w:t>, mazinot ilgtermiņa pētījumu (meža audzēšana) īpatsvaru un palielinot pētījumu īpatsvaru, kas vērsti uz inovatīvu produktu izstrādi</w:t>
            </w:r>
            <w:r w:rsidR="000F074A" w:rsidRPr="003C1B12">
              <w:rPr>
                <w:rFonts w:ascii="Times New Roman" w:hAnsi="Times New Roman" w:cs="Times New Roman"/>
                <w:sz w:val="20"/>
                <w:szCs w:val="20"/>
              </w:rPr>
              <w:t>.</w:t>
            </w:r>
          </w:p>
        </w:tc>
      </w:tr>
      <w:tr w:rsidR="0008527B" w:rsidRPr="003C1B12" w:rsidTr="000F074A">
        <w:trPr>
          <w:trHeight w:val="930"/>
        </w:trPr>
        <w:tc>
          <w:tcPr>
            <w:tcW w:w="1560" w:type="dxa"/>
            <w:vMerge/>
          </w:tcPr>
          <w:p w:rsidR="0008527B" w:rsidRPr="003C1B12" w:rsidRDefault="0008527B" w:rsidP="00273E02">
            <w:pPr>
              <w:pStyle w:val="ListParagraph"/>
              <w:ind w:left="0"/>
              <w:rPr>
                <w:rFonts w:ascii="Times New Roman" w:hAnsi="Times New Roman" w:cs="Times New Roman"/>
                <w:bCs/>
                <w:kern w:val="24"/>
                <w:sz w:val="20"/>
                <w:szCs w:val="20"/>
              </w:rPr>
            </w:pPr>
          </w:p>
        </w:tc>
        <w:tc>
          <w:tcPr>
            <w:tcW w:w="3118" w:type="dxa"/>
          </w:tcPr>
          <w:p w:rsidR="0008527B" w:rsidRPr="003C1B12" w:rsidRDefault="0008527B" w:rsidP="00273E02">
            <w:pPr>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rPr>
              <w:t xml:space="preserve">Inovatīvas, riskus mazinošas augu un dzīvnieku  audzēšanas tehnoloģijas; </w:t>
            </w:r>
          </w:p>
          <w:p w:rsidR="0008527B" w:rsidRPr="003C1B12" w:rsidRDefault="0008527B" w:rsidP="00273E02">
            <w:pPr>
              <w:rPr>
                <w:rFonts w:ascii="Times New Roman" w:hAnsi="Times New Roman" w:cs="Times New Roman"/>
                <w:sz w:val="20"/>
                <w:szCs w:val="20"/>
              </w:rPr>
            </w:pPr>
            <w:r w:rsidRPr="003C1B12">
              <w:rPr>
                <w:rFonts w:ascii="Times New Roman" w:hAnsi="Times New Roman" w:cs="Times New Roman"/>
                <w:color w:val="000000" w:themeColor="text1"/>
                <w:sz w:val="20"/>
                <w:szCs w:val="20"/>
              </w:rPr>
              <w:t>Inovatīvu augstas pievienotās vērtības nišas produktu izstrāde no tradicionālām un  netradicionālām lauksaimniecības augu  un dzīvnieku izejvielām; augu un dzīvnieku audzēšanas un pārstrādes blakusproduktu izmantošanas tehnoloģiskie risinājumi; Pārtikas drošība.</w:t>
            </w:r>
          </w:p>
        </w:tc>
        <w:tc>
          <w:tcPr>
            <w:tcW w:w="1843" w:type="dxa"/>
          </w:tcPr>
          <w:p w:rsidR="0008527B" w:rsidRPr="003C1B12" w:rsidRDefault="00EF5460" w:rsidP="00273E02">
            <w:pPr>
              <w:rPr>
                <w:rFonts w:ascii="Times New Roman" w:hAnsi="Times New Roman" w:cs="Times New Roman"/>
                <w:sz w:val="20"/>
                <w:szCs w:val="20"/>
              </w:rPr>
            </w:pPr>
            <w:r w:rsidRPr="003C1B12">
              <w:rPr>
                <w:rFonts w:ascii="Times New Roman" w:hAnsi="Times New Roman" w:cs="Times New Roman"/>
                <w:bCs/>
                <w:kern w:val="24"/>
                <w:sz w:val="20"/>
                <w:szCs w:val="20"/>
              </w:rPr>
              <w:t>I</w:t>
            </w:r>
            <w:r w:rsidR="009D499E" w:rsidRPr="003C1B12">
              <w:rPr>
                <w:rFonts w:ascii="Times New Roman" w:hAnsi="Times New Roman" w:cs="Times New Roman"/>
                <w:bCs/>
                <w:kern w:val="24"/>
                <w:sz w:val="20"/>
                <w:szCs w:val="20"/>
              </w:rPr>
              <w:t>novatīvi risinājumi lauksaimniecība</w:t>
            </w:r>
            <w:r w:rsidR="001B78E6" w:rsidRPr="003C1B12">
              <w:rPr>
                <w:rFonts w:ascii="Times New Roman" w:hAnsi="Times New Roman" w:cs="Times New Roman"/>
                <w:bCs/>
                <w:kern w:val="24"/>
                <w:sz w:val="20"/>
                <w:szCs w:val="20"/>
              </w:rPr>
              <w:t>i</w:t>
            </w:r>
            <w:r w:rsidR="009D499E" w:rsidRPr="003C1B12">
              <w:rPr>
                <w:rFonts w:ascii="Times New Roman" w:hAnsi="Times New Roman" w:cs="Times New Roman"/>
                <w:bCs/>
                <w:kern w:val="24"/>
                <w:sz w:val="20"/>
                <w:szCs w:val="20"/>
              </w:rPr>
              <w:t xml:space="preserve"> un pārtikas ražošanai</w:t>
            </w:r>
          </w:p>
        </w:tc>
        <w:tc>
          <w:tcPr>
            <w:tcW w:w="2551" w:type="dxa"/>
          </w:tcPr>
          <w:p w:rsidR="0008527B" w:rsidRPr="003C1B12" w:rsidRDefault="003504A5" w:rsidP="007B5BD9">
            <w:pPr>
              <w:autoSpaceDE w:val="0"/>
              <w:autoSpaceDN w:val="0"/>
              <w:adjustRightInd w:val="0"/>
              <w:rPr>
                <w:rFonts w:ascii="Times New Roman" w:hAnsi="Times New Roman" w:cs="Times New Roman"/>
                <w:sz w:val="20"/>
                <w:szCs w:val="20"/>
              </w:rPr>
            </w:pPr>
            <w:r w:rsidRPr="003C1B12">
              <w:rPr>
                <w:rFonts w:ascii="Times New Roman" w:hAnsi="Times New Roman" w:cs="Times New Roman"/>
                <w:sz w:val="20"/>
                <w:szCs w:val="20"/>
              </w:rPr>
              <w:t>Sadarbībā ar nozares asociāciju un komersantiem j</w:t>
            </w:r>
            <w:r w:rsidR="009D499E" w:rsidRPr="003C1B12">
              <w:rPr>
                <w:rFonts w:ascii="Times New Roman" w:hAnsi="Times New Roman" w:cs="Times New Roman"/>
                <w:sz w:val="20"/>
                <w:szCs w:val="20"/>
              </w:rPr>
              <w:t>āveido jauns</w:t>
            </w:r>
            <w:r w:rsidR="007A12E3" w:rsidRPr="003C1B12">
              <w:rPr>
                <w:rFonts w:ascii="Times New Roman" w:hAnsi="Times New Roman" w:cs="Times New Roman"/>
                <w:sz w:val="20"/>
                <w:szCs w:val="20"/>
              </w:rPr>
              <w:t xml:space="preserve"> </w:t>
            </w:r>
            <w:r w:rsidR="007B5BD9" w:rsidRPr="003C1B12">
              <w:rPr>
                <w:rFonts w:ascii="Times New Roman" w:hAnsi="Times New Roman" w:cs="Times New Roman"/>
                <w:sz w:val="20"/>
                <w:szCs w:val="20"/>
              </w:rPr>
              <w:t>KC</w:t>
            </w:r>
            <w:r w:rsidR="000F074A" w:rsidRPr="003C1B12">
              <w:rPr>
                <w:rFonts w:ascii="Times New Roman" w:hAnsi="Times New Roman" w:cs="Times New Roman"/>
                <w:sz w:val="20"/>
                <w:szCs w:val="20"/>
              </w:rPr>
              <w:t>.</w:t>
            </w:r>
          </w:p>
        </w:tc>
      </w:tr>
      <w:tr w:rsidR="0008527B" w:rsidRPr="003C1B12" w:rsidTr="000F074A">
        <w:trPr>
          <w:trHeight w:val="1610"/>
        </w:trPr>
        <w:tc>
          <w:tcPr>
            <w:tcW w:w="1560" w:type="dxa"/>
          </w:tcPr>
          <w:p w:rsidR="0008527B" w:rsidRPr="003C1B12" w:rsidRDefault="0008527B" w:rsidP="00273E02">
            <w:pPr>
              <w:rPr>
                <w:rFonts w:ascii="Times New Roman" w:hAnsi="Times New Roman" w:cs="Times New Roman"/>
                <w:sz w:val="20"/>
                <w:szCs w:val="20"/>
              </w:rPr>
            </w:pPr>
            <w:r w:rsidRPr="003C1B12">
              <w:rPr>
                <w:rFonts w:ascii="Times New Roman" w:hAnsi="Times New Roman" w:cs="Times New Roman"/>
                <w:bCs/>
                <w:kern w:val="24"/>
                <w:sz w:val="20"/>
                <w:szCs w:val="20"/>
              </w:rPr>
              <w:t>2.Biomedicīna, medicīnas tehnoloģijas, biofarmācija un biotehnoloģijas.</w:t>
            </w:r>
          </w:p>
        </w:tc>
        <w:tc>
          <w:tcPr>
            <w:tcW w:w="3118" w:type="dxa"/>
          </w:tcPr>
          <w:p w:rsidR="0008527B" w:rsidRPr="003C1B12" w:rsidRDefault="0008527B" w:rsidP="00273E02">
            <w:pPr>
              <w:rPr>
                <w:rFonts w:ascii="Times New Roman" w:hAnsi="Times New Roman" w:cs="Times New Roman"/>
                <w:sz w:val="20"/>
                <w:szCs w:val="20"/>
              </w:rPr>
            </w:pPr>
            <w:r w:rsidRPr="003C1B12">
              <w:rPr>
                <w:rFonts w:ascii="Times New Roman" w:hAnsi="Times New Roman" w:cs="Times New Roman"/>
                <w:sz w:val="20"/>
                <w:szCs w:val="20"/>
              </w:rPr>
              <w:t xml:space="preserve">Farmaceitisko un bioaktīvo vielu iegūšanas </w:t>
            </w:r>
            <w:r w:rsidR="00460723" w:rsidRPr="003C1B12">
              <w:rPr>
                <w:rFonts w:ascii="Times New Roman" w:hAnsi="Times New Roman" w:cs="Times New Roman"/>
                <w:sz w:val="20"/>
                <w:szCs w:val="20"/>
              </w:rPr>
              <w:t>ķīmiskās</w:t>
            </w:r>
            <w:r w:rsidRPr="003C1B12">
              <w:rPr>
                <w:rFonts w:ascii="Times New Roman" w:hAnsi="Times New Roman" w:cs="Times New Roman"/>
                <w:sz w:val="20"/>
                <w:szCs w:val="20"/>
              </w:rPr>
              <w:t xml:space="preserve"> un biotehnoloģiskās metodes un produkti;</w:t>
            </w:r>
          </w:p>
          <w:p w:rsidR="0008527B" w:rsidRPr="003C1B12" w:rsidRDefault="0008527B" w:rsidP="00273E02">
            <w:pPr>
              <w:rPr>
                <w:rFonts w:ascii="Times New Roman" w:hAnsi="Times New Roman" w:cs="Times New Roman"/>
                <w:sz w:val="20"/>
                <w:szCs w:val="20"/>
              </w:rPr>
            </w:pPr>
            <w:r w:rsidRPr="003C1B12">
              <w:rPr>
                <w:rFonts w:ascii="Times New Roman" w:hAnsi="Times New Roman" w:cs="Times New Roman"/>
                <w:sz w:val="20"/>
                <w:szCs w:val="20"/>
              </w:rPr>
              <w:t>Jaunu un esošo humāno un veterināro zāļu izstrāde un izpēte;</w:t>
            </w:r>
          </w:p>
          <w:p w:rsidR="0008527B" w:rsidRPr="003C1B12" w:rsidRDefault="0008527B" w:rsidP="00273E02">
            <w:pPr>
              <w:rPr>
                <w:rFonts w:ascii="Times New Roman" w:hAnsi="Times New Roman" w:cs="Times New Roman"/>
                <w:color w:val="000000" w:themeColor="text1"/>
                <w:sz w:val="20"/>
                <w:szCs w:val="20"/>
              </w:rPr>
            </w:pPr>
            <w:r w:rsidRPr="003C1B12">
              <w:rPr>
                <w:rFonts w:ascii="Times New Roman" w:hAnsi="Times New Roman" w:cs="Times New Roman"/>
                <w:color w:val="000000" w:themeColor="text1"/>
                <w:sz w:val="20"/>
                <w:szCs w:val="20"/>
              </w:rPr>
              <w:t>Molekulārās un individualizētās ārstēšanas un diagnostikas metodes un šūnu tehnoloģijas;</w:t>
            </w:r>
          </w:p>
          <w:p w:rsidR="0008527B" w:rsidRPr="003C1B12" w:rsidRDefault="0008527B" w:rsidP="00273E02">
            <w:pPr>
              <w:rPr>
                <w:rFonts w:ascii="Times New Roman" w:hAnsi="Times New Roman" w:cs="Times New Roman"/>
                <w:sz w:val="20"/>
                <w:szCs w:val="20"/>
              </w:rPr>
            </w:pPr>
            <w:r w:rsidRPr="003C1B12">
              <w:rPr>
                <w:rFonts w:ascii="Times New Roman" w:hAnsi="Times New Roman" w:cs="Times New Roman"/>
                <w:sz w:val="20"/>
                <w:szCs w:val="20"/>
              </w:rPr>
              <w:t>Funkcionālā pārtika, ārstnieciskā kosmētika un bioaktīvi dabas vielu produkti.</w:t>
            </w:r>
          </w:p>
        </w:tc>
        <w:tc>
          <w:tcPr>
            <w:tcW w:w="1843" w:type="dxa"/>
          </w:tcPr>
          <w:p w:rsidR="0008527B" w:rsidRPr="003C1B12" w:rsidRDefault="0008527B" w:rsidP="00273E02">
            <w:pPr>
              <w:rPr>
                <w:rFonts w:ascii="Times New Roman" w:hAnsi="Times New Roman" w:cs="Times New Roman"/>
                <w:sz w:val="20"/>
                <w:szCs w:val="20"/>
              </w:rPr>
            </w:pPr>
            <w:r w:rsidRPr="003C1B12">
              <w:rPr>
                <w:rFonts w:ascii="Times New Roman" w:hAnsi="Times New Roman" w:cs="Times New Roman"/>
                <w:sz w:val="20"/>
                <w:szCs w:val="20"/>
              </w:rPr>
              <w:t>-</w:t>
            </w:r>
          </w:p>
        </w:tc>
        <w:tc>
          <w:tcPr>
            <w:tcW w:w="2551" w:type="dxa"/>
          </w:tcPr>
          <w:p w:rsidR="0008527B" w:rsidRPr="003C1B12" w:rsidRDefault="0008527B" w:rsidP="00273E02">
            <w:pPr>
              <w:tabs>
                <w:tab w:val="left" w:pos="2460"/>
              </w:tabs>
              <w:rPr>
                <w:rFonts w:ascii="Times New Roman" w:hAnsi="Times New Roman" w:cs="Times New Roman"/>
                <w:sz w:val="20"/>
                <w:szCs w:val="20"/>
              </w:rPr>
            </w:pPr>
            <w:r w:rsidRPr="003C1B12">
              <w:rPr>
                <w:rFonts w:ascii="Times New Roman" w:hAnsi="Times New Roman" w:cs="Times New Roman"/>
                <w:sz w:val="20"/>
                <w:szCs w:val="20"/>
              </w:rPr>
              <w:t>PCCCL</w:t>
            </w:r>
            <w:r w:rsidR="009D499E" w:rsidRPr="003C1B12">
              <w:rPr>
                <w:rFonts w:ascii="Times New Roman" w:hAnsi="Times New Roman" w:cs="Times New Roman"/>
                <w:sz w:val="20"/>
                <w:szCs w:val="20"/>
              </w:rPr>
              <w:t xml:space="preserve">, </w:t>
            </w:r>
            <w:r w:rsidR="003504A5" w:rsidRPr="003C1B12">
              <w:rPr>
                <w:rFonts w:ascii="Times New Roman" w:hAnsi="Times New Roman" w:cs="Times New Roman"/>
                <w:sz w:val="20"/>
                <w:szCs w:val="20"/>
              </w:rPr>
              <w:t>paplašinot sadarbības part</w:t>
            </w:r>
            <w:r w:rsidR="007A12E3" w:rsidRPr="003C1B12">
              <w:rPr>
                <w:rFonts w:ascii="Times New Roman" w:hAnsi="Times New Roman" w:cs="Times New Roman"/>
                <w:sz w:val="20"/>
                <w:szCs w:val="20"/>
              </w:rPr>
              <w:t>n</w:t>
            </w:r>
            <w:r w:rsidR="003504A5" w:rsidRPr="003C1B12">
              <w:rPr>
                <w:rFonts w:ascii="Times New Roman" w:hAnsi="Times New Roman" w:cs="Times New Roman"/>
                <w:sz w:val="20"/>
                <w:szCs w:val="20"/>
              </w:rPr>
              <w:t>erus un pētniecības virzienus ar medicīnas virzienu.</w:t>
            </w:r>
          </w:p>
          <w:p w:rsidR="003504A5" w:rsidRPr="003C1B12" w:rsidRDefault="003504A5" w:rsidP="000F074A">
            <w:pPr>
              <w:tabs>
                <w:tab w:val="left" w:pos="2460"/>
              </w:tabs>
              <w:rPr>
                <w:rFonts w:ascii="Times New Roman" w:hAnsi="Times New Roman" w:cs="Times New Roman"/>
                <w:sz w:val="20"/>
                <w:szCs w:val="20"/>
              </w:rPr>
            </w:pPr>
            <w:r w:rsidRPr="003C1B12">
              <w:rPr>
                <w:rFonts w:ascii="Times New Roman" w:hAnsi="Times New Roman" w:cs="Times New Roman"/>
                <w:sz w:val="20"/>
                <w:szCs w:val="20"/>
              </w:rPr>
              <w:t>Iespējams</w:t>
            </w:r>
            <w:r w:rsidR="001B78E6" w:rsidRPr="003C1B12">
              <w:rPr>
                <w:rFonts w:ascii="Times New Roman" w:hAnsi="Times New Roman" w:cs="Times New Roman"/>
                <w:sz w:val="20"/>
                <w:szCs w:val="20"/>
              </w:rPr>
              <w:t>,</w:t>
            </w:r>
            <w:r w:rsidRPr="003C1B12">
              <w:rPr>
                <w:rFonts w:ascii="Times New Roman" w:hAnsi="Times New Roman" w:cs="Times New Roman"/>
                <w:sz w:val="20"/>
                <w:szCs w:val="20"/>
              </w:rPr>
              <w:t xml:space="preserve"> nodalot uz pārtikas jomu funkcionālās pārtikas risinājumus.</w:t>
            </w:r>
            <w:r w:rsidR="00015126" w:rsidRPr="003C1B12">
              <w:rPr>
                <w:rFonts w:ascii="Times New Roman" w:hAnsi="Times New Roman" w:cs="Times New Roman"/>
                <w:sz w:val="20"/>
                <w:szCs w:val="20"/>
              </w:rPr>
              <w:t xml:space="preserve"> </w:t>
            </w:r>
            <w:r w:rsidR="000F074A" w:rsidRPr="003C1B12">
              <w:rPr>
                <w:rFonts w:ascii="Times New Roman" w:hAnsi="Times New Roman" w:cs="Times New Roman"/>
                <w:sz w:val="20"/>
                <w:szCs w:val="20"/>
              </w:rPr>
              <w:t xml:space="preserve">Novirzot esošās buvķīmijas un materiālu izstrādes tēmas </w:t>
            </w:r>
            <w:r w:rsidR="00015126" w:rsidRPr="003C1B12">
              <w:rPr>
                <w:rFonts w:ascii="Times New Roman" w:hAnsi="Times New Roman" w:cs="Times New Roman"/>
                <w:sz w:val="20"/>
                <w:szCs w:val="20"/>
              </w:rPr>
              <w:t xml:space="preserve">uz </w:t>
            </w:r>
            <w:r w:rsidR="000F074A" w:rsidRPr="003C1B12">
              <w:rPr>
                <w:rFonts w:ascii="Times New Roman" w:hAnsi="Times New Roman" w:cs="Times New Roman"/>
                <w:sz w:val="20"/>
                <w:szCs w:val="20"/>
              </w:rPr>
              <w:t xml:space="preserve">viedo </w:t>
            </w:r>
            <w:r w:rsidR="00015126" w:rsidRPr="003C1B12">
              <w:rPr>
                <w:rFonts w:ascii="Times New Roman" w:hAnsi="Times New Roman" w:cs="Times New Roman"/>
                <w:sz w:val="20"/>
                <w:szCs w:val="20"/>
              </w:rPr>
              <w:t>materiālu</w:t>
            </w:r>
            <w:r w:rsidR="000F074A" w:rsidRPr="003C1B12">
              <w:rPr>
                <w:rFonts w:ascii="Times New Roman" w:hAnsi="Times New Roman" w:cs="Times New Roman"/>
                <w:sz w:val="20"/>
                <w:szCs w:val="20"/>
              </w:rPr>
              <w:t xml:space="preserve"> apkaš</w:t>
            </w:r>
            <w:r w:rsidR="00015126" w:rsidRPr="003C1B12">
              <w:rPr>
                <w:rFonts w:ascii="Times New Roman" w:hAnsi="Times New Roman" w:cs="Times New Roman"/>
                <w:sz w:val="20"/>
                <w:szCs w:val="20"/>
              </w:rPr>
              <w:t>jomu</w:t>
            </w:r>
            <w:r w:rsidR="000F074A" w:rsidRPr="003C1B12">
              <w:rPr>
                <w:rFonts w:ascii="Times New Roman" w:hAnsi="Times New Roman" w:cs="Times New Roman"/>
                <w:sz w:val="20"/>
                <w:szCs w:val="20"/>
              </w:rPr>
              <w:t>.</w:t>
            </w:r>
            <w:r w:rsidR="00015126" w:rsidRPr="003C1B12">
              <w:rPr>
                <w:rFonts w:ascii="Times New Roman" w:hAnsi="Times New Roman" w:cs="Times New Roman"/>
                <w:sz w:val="20"/>
                <w:szCs w:val="20"/>
              </w:rPr>
              <w:t xml:space="preserve"> </w:t>
            </w:r>
          </w:p>
        </w:tc>
      </w:tr>
      <w:tr w:rsidR="0008527B" w:rsidRPr="003C1B12" w:rsidTr="000F074A">
        <w:trPr>
          <w:trHeight w:val="519"/>
        </w:trPr>
        <w:tc>
          <w:tcPr>
            <w:tcW w:w="1560" w:type="dxa"/>
            <w:vMerge w:val="restart"/>
          </w:tcPr>
          <w:p w:rsidR="0008527B" w:rsidRPr="003C1B12" w:rsidRDefault="0008527B" w:rsidP="00273E02">
            <w:pPr>
              <w:rPr>
                <w:rFonts w:ascii="Times New Roman" w:hAnsi="Times New Roman" w:cs="Times New Roman"/>
                <w:sz w:val="20"/>
                <w:szCs w:val="20"/>
              </w:rPr>
            </w:pPr>
            <w:r w:rsidRPr="003C1B12">
              <w:rPr>
                <w:rFonts w:ascii="Times New Roman" w:hAnsi="Times New Roman" w:cs="Times New Roman"/>
                <w:bCs/>
                <w:kern w:val="24"/>
                <w:sz w:val="20"/>
                <w:szCs w:val="20"/>
              </w:rPr>
              <w:t>3.Viedie materiāli, tehnoloģijas un inženiersistēmas</w:t>
            </w:r>
          </w:p>
        </w:tc>
        <w:tc>
          <w:tcPr>
            <w:tcW w:w="3118" w:type="dxa"/>
          </w:tcPr>
          <w:p w:rsidR="0008527B" w:rsidRPr="003C1B12" w:rsidRDefault="0008527B" w:rsidP="00273E02">
            <w:pPr>
              <w:rPr>
                <w:rFonts w:ascii="Times New Roman" w:hAnsi="Times New Roman" w:cs="Times New Roman"/>
                <w:sz w:val="20"/>
                <w:szCs w:val="20"/>
              </w:rPr>
            </w:pPr>
            <w:r w:rsidRPr="003C1B12">
              <w:rPr>
                <w:rFonts w:ascii="Times New Roman" w:hAnsi="Times New Roman" w:cs="Times New Roman"/>
                <w:color w:val="000000"/>
                <w:sz w:val="20"/>
                <w:szCs w:val="20"/>
              </w:rPr>
              <w:t xml:space="preserve">Implantu materiāli, kompozītmateriāli, plānie slāņi un pārklājumi, stikla šķiedras izstrādājumi un viedie materiālus uz stikla šķiedras bāzes. </w:t>
            </w:r>
          </w:p>
        </w:tc>
        <w:tc>
          <w:tcPr>
            <w:tcW w:w="1843" w:type="dxa"/>
          </w:tcPr>
          <w:p w:rsidR="0008527B" w:rsidRPr="003C1B12" w:rsidRDefault="009D499E" w:rsidP="00273E02">
            <w:pPr>
              <w:rPr>
                <w:rFonts w:ascii="Times New Roman" w:hAnsi="Times New Roman" w:cs="Times New Roman"/>
                <w:sz w:val="20"/>
                <w:szCs w:val="20"/>
              </w:rPr>
            </w:pPr>
            <w:r w:rsidRPr="003C1B12">
              <w:rPr>
                <w:rFonts w:ascii="Times New Roman" w:hAnsi="Times New Roman" w:cs="Times New Roman"/>
                <w:sz w:val="20"/>
                <w:szCs w:val="20"/>
              </w:rPr>
              <w:t>Viedie materiāli</w:t>
            </w:r>
          </w:p>
        </w:tc>
        <w:tc>
          <w:tcPr>
            <w:tcW w:w="2551" w:type="dxa"/>
          </w:tcPr>
          <w:p w:rsidR="0008527B" w:rsidRPr="003C1B12" w:rsidRDefault="009D499E" w:rsidP="000F074A">
            <w:pPr>
              <w:autoSpaceDE w:val="0"/>
              <w:autoSpaceDN w:val="0"/>
              <w:adjustRightInd w:val="0"/>
              <w:rPr>
                <w:rFonts w:ascii="Times New Roman" w:hAnsi="Times New Roman" w:cs="Times New Roman"/>
                <w:sz w:val="20"/>
                <w:szCs w:val="20"/>
              </w:rPr>
            </w:pPr>
            <w:r w:rsidRPr="003C1B12">
              <w:rPr>
                <w:rFonts w:ascii="Times New Roman" w:hAnsi="Times New Roman" w:cs="Times New Roman"/>
                <w:sz w:val="20"/>
                <w:szCs w:val="20"/>
              </w:rPr>
              <w:t>VBBKC, pārskatot esošās pētniecības programmas   un koncentrējot tās noteiktā jomā</w:t>
            </w:r>
            <w:r w:rsidR="00015126" w:rsidRPr="003C1B12">
              <w:rPr>
                <w:rFonts w:ascii="Times New Roman" w:hAnsi="Times New Roman" w:cs="Times New Roman"/>
                <w:sz w:val="20"/>
                <w:szCs w:val="20"/>
              </w:rPr>
              <w:t>.</w:t>
            </w:r>
            <w:r w:rsidRPr="003C1B12">
              <w:rPr>
                <w:rFonts w:ascii="Times New Roman" w:hAnsi="Times New Roman" w:cs="Times New Roman"/>
                <w:sz w:val="20"/>
                <w:szCs w:val="20"/>
              </w:rPr>
              <w:t xml:space="preserve">  </w:t>
            </w:r>
          </w:p>
        </w:tc>
      </w:tr>
      <w:tr w:rsidR="0008527B" w:rsidRPr="003C1B12" w:rsidTr="000F074A">
        <w:trPr>
          <w:trHeight w:val="278"/>
        </w:trPr>
        <w:tc>
          <w:tcPr>
            <w:tcW w:w="1560" w:type="dxa"/>
            <w:vMerge/>
          </w:tcPr>
          <w:p w:rsidR="0008527B" w:rsidRPr="003C1B12" w:rsidRDefault="0008527B" w:rsidP="00273E02">
            <w:pPr>
              <w:rPr>
                <w:rFonts w:ascii="Times New Roman" w:hAnsi="Times New Roman" w:cs="Times New Roman"/>
                <w:bCs/>
                <w:kern w:val="24"/>
                <w:sz w:val="20"/>
                <w:szCs w:val="20"/>
              </w:rPr>
            </w:pPr>
          </w:p>
        </w:tc>
        <w:tc>
          <w:tcPr>
            <w:tcW w:w="3118" w:type="dxa"/>
          </w:tcPr>
          <w:p w:rsidR="0008527B" w:rsidRPr="003C1B12" w:rsidRDefault="0008527B" w:rsidP="00273E02">
            <w:pPr>
              <w:rPr>
                <w:rFonts w:ascii="Times New Roman" w:hAnsi="Times New Roman" w:cs="Times New Roman"/>
                <w:color w:val="000000"/>
                <w:sz w:val="20"/>
                <w:szCs w:val="20"/>
              </w:rPr>
            </w:pPr>
            <w:r w:rsidRPr="003C1B12">
              <w:rPr>
                <w:rFonts w:ascii="Times New Roman" w:hAnsi="Times New Roman" w:cs="Times New Roman"/>
                <w:color w:val="000000"/>
                <w:sz w:val="20"/>
                <w:szCs w:val="20"/>
              </w:rPr>
              <w:t>Iekārtas, mehānismi un darba mašīnas</w:t>
            </w:r>
          </w:p>
        </w:tc>
        <w:tc>
          <w:tcPr>
            <w:tcW w:w="1843" w:type="dxa"/>
          </w:tcPr>
          <w:p w:rsidR="0008527B" w:rsidRPr="003C1B12" w:rsidRDefault="009D499E" w:rsidP="00273E02">
            <w:pPr>
              <w:rPr>
                <w:rFonts w:ascii="Times New Roman" w:hAnsi="Times New Roman" w:cs="Times New Roman"/>
                <w:sz w:val="20"/>
                <w:szCs w:val="20"/>
              </w:rPr>
            </w:pPr>
            <w:r w:rsidRPr="003C1B12">
              <w:rPr>
                <w:rFonts w:ascii="Times New Roman" w:hAnsi="Times New Roman" w:cs="Times New Roman"/>
                <w:color w:val="000000" w:themeColor="text1"/>
                <w:sz w:val="20"/>
                <w:szCs w:val="20"/>
              </w:rPr>
              <w:t xml:space="preserve">Modernas ražošanas </w:t>
            </w:r>
            <w:r w:rsidRPr="003C1B12">
              <w:rPr>
                <w:rFonts w:ascii="Times New Roman" w:hAnsi="Times New Roman" w:cs="Times New Roman"/>
                <w:bCs/>
                <w:kern w:val="24"/>
                <w:sz w:val="20"/>
                <w:szCs w:val="20"/>
              </w:rPr>
              <w:t>tehnoloģijas un inženiersistēmas</w:t>
            </w:r>
          </w:p>
        </w:tc>
        <w:tc>
          <w:tcPr>
            <w:tcW w:w="2551" w:type="dxa"/>
          </w:tcPr>
          <w:p w:rsidR="0008527B" w:rsidRPr="003C1B12" w:rsidRDefault="009D499E" w:rsidP="000F074A">
            <w:pPr>
              <w:tabs>
                <w:tab w:val="left" w:pos="2460"/>
              </w:tabs>
              <w:rPr>
                <w:rFonts w:ascii="Times New Roman" w:hAnsi="Times New Roman" w:cs="Times New Roman"/>
                <w:sz w:val="20"/>
                <w:szCs w:val="20"/>
              </w:rPr>
            </w:pPr>
            <w:r w:rsidRPr="003C1B12">
              <w:rPr>
                <w:rFonts w:ascii="Times New Roman" w:hAnsi="Times New Roman" w:cs="Times New Roman"/>
                <w:sz w:val="20"/>
                <w:szCs w:val="20"/>
              </w:rPr>
              <w:t>TMKC</w:t>
            </w:r>
            <w:r w:rsidR="000F074A" w:rsidRPr="003C1B12">
              <w:rPr>
                <w:rFonts w:ascii="Times New Roman" w:hAnsi="Times New Roman" w:cs="Times New Roman"/>
                <w:sz w:val="20"/>
                <w:szCs w:val="20"/>
              </w:rPr>
              <w:t>, paplašinot iesaistīto nozaru asociāciju un līdz ar to iesaistīto komersantu loku.</w:t>
            </w:r>
          </w:p>
        </w:tc>
      </w:tr>
      <w:tr w:rsidR="0008527B" w:rsidRPr="003C1B12" w:rsidTr="000F074A">
        <w:trPr>
          <w:trHeight w:val="557"/>
        </w:trPr>
        <w:tc>
          <w:tcPr>
            <w:tcW w:w="1560" w:type="dxa"/>
          </w:tcPr>
          <w:p w:rsidR="0008527B" w:rsidRPr="003C1B12" w:rsidRDefault="0008527B" w:rsidP="00273E02">
            <w:pPr>
              <w:rPr>
                <w:rFonts w:ascii="Times New Roman" w:hAnsi="Times New Roman" w:cs="Times New Roman"/>
                <w:sz w:val="20"/>
                <w:szCs w:val="20"/>
              </w:rPr>
            </w:pPr>
            <w:r w:rsidRPr="003C1B12">
              <w:rPr>
                <w:rFonts w:ascii="Times New Roman" w:hAnsi="Times New Roman" w:cs="Times New Roman"/>
                <w:bCs/>
                <w:kern w:val="24"/>
                <w:sz w:val="20"/>
                <w:szCs w:val="20"/>
              </w:rPr>
              <w:t>4.Viedā enerģētika.</w:t>
            </w:r>
          </w:p>
        </w:tc>
        <w:tc>
          <w:tcPr>
            <w:tcW w:w="3118" w:type="dxa"/>
          </w:tcPr>
          <w:p w:rsidR="0008527B" w:rsidRPr="003C1B12" w:rsidRDefault="0008527B" w:rsidP="00273E02">
            <w:pPr>
              <w:rPr>
                <w:rFonts w:ascii="Times New Roman" w:hAnsi="Times New Roman" w:cs="Times New Roman"/>
                <w:sz w:val="20"/>
                <w:szCs w:val="20"/>
              </w:rPr>
            </w:pPr>
            <w:r w:rsidRPr="003C1B12">
              <w:rPr>
                <w:rFonts w:ascii="Times New Roman" w:hAnsi="Times New Roman" w:cs="Times New Roman"/>
                <w:sz w:val="20"/>
                <w:szCs w:val="20"/>
              </w:rPr>
              <w:t>Resursu cenas; Energoresursu patēriņa intensitāte; ES klimata un enerģētikas ietvars 2030.</w:t>
            </w:r>
          </w:p>
        </w:tc>
        <w:tc>
          <w:tcPr>
            <w:tcW w:w="1843" w:type="dxa"/>
          </w:tcPr>
          <w:p w:rsidR="0008527B" w:rsidRPr="003C1B12" w:rsidRDefault="000743CD" w:rsidP="00273E02">
            <w:pPr>
              <w:rPr>
                <w:rFonts w:ascii="Times New Roman" w:hAnsi="Times New Roman" w:cs="Times New Roman"/>
                <w:sz w:val="20"/>
                <w:szCs w:val="20"/>
              </w:rPr>
            </w:pPr>
            <w:r w:rsidRPr="003C1B12">
              <w:rPr>
                <w:rFonts w:ascii="Times New Roman" w:hAnsi="Times New Roman" w:cs="Times New Roman"/>
                <w:sz w:val="20"/>
                <w:szCs w:val="20"/>
              </w:rPr>
              <w:t>Viedā enerģētika</w:t>
            </w:r>
          </w:p>
        </w:tc>
        <w:tc>
          <w:tcPr>
            <w:tcW w:w="2551" w:type="dxa"/>
          </w:tcPr>
          <w:p w:rsidR="0008527B" w:rsidRPr="003C1B12" w:rsidRDefault="0029230A" w:rsidP="00EF5460">
            <w:pPr>
              <w:autoSpaceDE w:val="0"/>
              <w:autoSpaceDN w:val="0"/>
              <w:adjustRightInd w:val="0"/>
              <w:rPr>
                <w:rFonts w:ascii="Times New Roman" w:hAnsi="Times New Roman" w:cs="Times New Roman"/>
                <w:sz w:val="20"/>
                <w:szCs w:val="20"/>
              </w:rPr>
            </w:pPr>
            <w:r w:rsidRPr="003C1B12">
              <w:rPr>
                <w:rFonts w:ascii="Times New Roman" w:hAnsi="Times New Roman" w:cs="Times New Roman"/>
                <w:sz w:val="20"/>
                <w:szCs w:val="20"/>
              </w:rPr>
              <w:t>Sadarbībā ar nozares asociāciju un komersantiem jāveido jauns KC.</w:t>
            </w:r>
          </w:p>
        </w:tc>
      </w:tr>
      <w:tr w:rsidR="0008527B" w:rsidRPr="003C1B12" w:rsidTr="000F074A">
        <w:trPr>
          <w:trHeight w:val="557"/>
        </w:trPr>
        <w:tc>
          <w:tcPr>
            <w:tcW w:w="1560" w:type="dxa"/>
            <w:vMerge w:val="restart"/>
          </w:tcPr>
          <w:p w:rsidR="0008527B" w:rsidRPr="003C1B12" w:rsidRDefault="0008527B" w:rsidP="009D499E">
            <w:pPr>
              <w:pStyle w:val="ListParagraph"/>
              <w:ind w:left="0"/>
              <w:rPr>
                <w:rFonts w:ascii="Times New Roman" w:hAnsi="Times New Roman" w:cs="Times New Roman"/>
                <w:sz w:val="20"/>
                <w:szCs w:val="20"/>
              </w:rPr>
            </w:pPr>
            <w:r w:rsidRPr="003C1B12">
              <w:rPr>
                <w:rFonts w:ascii="Times New Roman" w:hAnsi="Times New Roman" w:cs="Times New Roman"/>
                <w:bCs/>
                <w:kern w:val="24"/>
                <w:sz w:val="20"/>
                <w:szCs w:val="20"/>
              </w:rPr>
              <w:t>5.</w:t>
            </w:r>
            <w:r w:rsidR="00F61EB2" w:rsidRPr="003C1B12">
              <w:rPr>
                <w:rFonts w:ascii="Times New Roman" w:hAnsi="Times New Roman" w:cs="Times New Roman"/>
                <w:bCs/>
                <w:kern w:val="24"/>
                <w:sz w:val="20"/>
                <w:szCs w:val="20"/>
              </w:rPr>
              <w:t>IKT</w:t>
            </w:r>
            <w:r w:rsidRPr="003C1B12">
              <w:rPr>
                <w:rFonts w:ascii="Times New Roman" w:hAnsi="Times New Roman" w:cs="Times New Roman"/>
                <w:bCs/>
                <w:kern w:val="24"/>
                <w:sz w:val="20"/>
                <w:szCs w:val="20"/>
              </w:rPr>
              <w:t>.</w:t>
            </w:r>
          </w:p>
          <w:p w:rsidR="0008527B" w:rsidRPr="003C1B12" w:rsidRDefault="0008527B" w:rsidP="009D499E">
            <w:pPr>
              <w:rPr>
                <w:rFonts w:ascii="Times New Roman" w:hAnsi="Times New Roman" w:cs="Times New Roman"/>
                <w:sz w:val="20"/>
                <w:szCs w:val="20"/>
              </w:rPr>
            </w:pPr>
          </w:p>
        </w:tc>
        <w:tc>
          <w:tcPr>
            <w:tcW w:w="3118" w:type="dxa"/>
          </w:tcPr>
          <w:p w:rsidR="0008527B" w:rsidRPr="003C1B12" w:rsidRDefault="0008527B" w:rsidP="0008527B">
            <w:pPr>
              <w:rPr>
                <w:rFonts w:ascii="Times New Roman" w:hAnsi="Times New Roman" w:cs="Times New Roman"/>
                <w:sz w:val="20"/>
                <w:szCs w:val="20"/>
              </w:rPr>
            </w:pPr>
            <w:r w:rsidRPr="003C1B12">
              <w:rPr>
                <w:rFonts w:ascii="Times New Roman" w:hAnsi="Times New Roman" w:cs="Times New Roman"/>
                <w:sz w:val="20"/>
                <w:szCs w:val="20"/>
              </w:rPr>
              <w:t xml:space="preserve">Inovatīva zināšanu pārvaldība, sistēmu modelēšanas un programmatūras izstrādes metodes un rīki; kiberfizikālās sistēmas, valodu tehnoloģijas un semantiskais tīmeklis; </w:t>
            </w:r>
            <w:r w:rsidRPr="003C1B12">
              <w:rPr>
                <w:rFonts w:ascii="Times New Roman" w:hAnsi="Times New Roman" w:cs="Times New Roman"/>
                <w:color w:val="000000" w:themeColor="text1"/>
                <w:sz w:val="20"/>
                <w:szCs w:val="20"/>
              </w:rPr>
              <w:t>lielapjoma datu un zināšanu infrastruktūra; informācijas drošība un kvantu datori;</w:t>
            </w:r>
            <w:r w:rsidRPr="003C1B12">
              <w:rPr>
                <w:rFonts w:ascii="Times New Roman" w:hAnsi="Times New Roman" w:cs="Times New Roman"/>
                <w:sz w:val="20"/>
                <w:szCs w:val="20"/>
              </w:rPr>
              <w:t xml:space="preserve"> datorsistēmu testēšanas metodes.</w:t>
            </w:r>
          </w:p>
        </w:tc>
        <w:tc>
          <w:tcPr>
            <w:tcW w:w="1843" w:type="dxa"/>
          </w:tcPr>
          <w:p w:rsidR="0008527B" w:rsidRPr="003C1B12" w:rsidRDefault="00F61EB2" w:rsidP="009D499E">
            <w:pPr>
              <w:rPr>
                <w:rFonts w:ascii="Times New Roman" w:hAnsi="Times New Roman" w:cs="Times New Roman"/>
                <w:sz w:val="20"/>
                <w:szCs w:val="20"/>
              </w:rPr>
            </w:pPr>
            <w:r w:rsidRPr="003C1B12">
              <w:rPr>
                <w:rFonts w:ascii="Times New Roman" w:hAnsi="Times New Roman" w:cs="Times New Roman"/>
                <w:bCs/>
                <w:kern w:val="24"/>
                <w:sz w:val="20"/>
                <w:szCs w:val="20"/>
              </w:rPr>
              <w:t>IKT</w:t>
            </w:r>
          </w:p>
        </w:tc>
        <w:tc>
          <w:tcPr>
            <w:tcW w:w="2551" w:type="dxa"/>
          </w:tcPr>
          <w:p w:rsidR="0008527B" w:rsidRPr="003C1B12" w:rsidRDefault="0008527B" w:rsidP="000F074A">
            <w:pPr>
              <w:autoSpaceDE w:val="0"/>
              <w:autoSpaceDN w:val="0"/>
              <w:adjustRightInd w:val="0"/>
              <w:rPr>
                <w:rFonts w:ascii="Times New Roman" w:hAnsi="Times New Roman" w:cs="Times New Roman"/>
                <w:sz w:val="20"/>
                <w:szCs w:val="20"/>
                <w:u w:val="single"/>
              </w:rPr>
            </w:pPr>
            <w:r w:rsidRPr="003C1B12">
              <w:rPr>
                <w:rFonts w:ascii="Times New Roman" w:hAnsi="Times New Roman" w:cs="Times New Roman"/>
                <w:sz w:val="20"/>
                <w:szCs w:val="20"/>
              </w:rPr>
              <w:t>ITKC</w:t>
            </w:r>
            <w:r w:rsidR="000F074A" w:rsidRPr="003C1B12">
              <w:rPr>
                <w:rFonts w:ascii="Times New Roman" w:hAnsi="Times New Roman" w:cs="Times New Roman"/>
                <w:sz w:val="20"/>
                <w:szCs w:val="20"/>
              </w:rPr>
              <w:t>, paplašinot pētniecības virzienus.</w:t>
            </w:r>
          </w:p>
        </w:tc>
      </w:tr>
      <w:tr w:rsidR="0008527B" w:rsidRPr="003949EA" w:rsidTr="000F074A">
        <w:trPr>
          <w:trHeight w:val="557"/>
        </w:trPr>
        <w:tc>
          <w:tcPr>
            <w:tcW w:w="1560" w:type="dxa"/>
            <w:vMerge/>
          </w:tcPr>
          <w:p w:rsidR="0008527B" w:rsidRPr="003C1B12" w:rsidRDefault="0008527B" w:rsidP="009D499E">
            <w:pPr>
              <w:pStyle w:val="ListParagraph"/>
              <w:ind w:left="0"/>
              <w:rPr>
                <w:rFonts w:ascii="Times New Roman" w:hAnsi="Times New Roman" w:cs="Times New Roman"/>
                <w:bCs/>
                <w:kern w:val="24"/>
                <w:sz w:val="20"/>
                <w:szCs w:val="20"/>
              </w:rPr>
            </w:pPr>
          </w:p>
        </w:tc>
        <w:tc>
          <w:tcPr>
            <w:tcW w:w="3118" w:type="dxa"/>
          </w:tcPr>
          <w:p w:rsidR="0008527B" w:rsidRPr="003C1B12" w:rsidRDefault="0008527B" w:rsidP="009D499E">
            <w:pPr>
              <w:rPr>
                <w:rFonts w:ascii="Times New Roman" w:hAnsi="Times New Roman" w:cs="Times New Roman"/>
                <w:sz w:val="20"/>
                <w:szCs w:val="20"/>
              </w:rPr>
            </w:pPr>
            <w:r w:rsidRPr="003C1B12">
              <w:rPr>
                <w:rFonts w:ascii="Times New Roman" w:hAnsi="Times New Roman" w:cs="Times New Roman"/>
                <w:sz w:val="20"/>
                <w:szCs w:val="20"/>
              </w:rPr>
              <w:t>inovatīvi nozaru IKT aparatūras (</w:t>
            </w:r>
            <w:r w:rsidRPr="003C1B12">
              <w:rPr>
                <w:rFonts w:ascii="Times New Roman" w:hAnsi="Times New Roman" w:cs="Times New Roman"/>
                <w:i/>
                <w:sz w:val="20"/>
                <w:szCs w:val="20"/>
              </w:rPr>
              <w:t>hardware</w:t>
            </w:r>
            <w:r w:rsidRPr="003C1B12">
              <w:rPr>
                <w:rFonts w:ascii="Times New Roman" w:hAnsi="Times New Roman" w:cs="Times New Roman"/>
                <w:sz w:val="20"/>
                <w:szCs w:val="20"/>
              </w:rPr>
              <w:t>) un programmatūras (</w:t>
            </w:r>
            <w:r w:rsidRPr="003C1B12">
              <w:rPr>
                <w:rFonts w:ascii="Times New Roman" w:hAnsi="Times New Roman" w:cs="Times New Roman"/>
                <w:i/>
                <w:sz w:val="20"/>
                <w:szCs w:val="20"/>
              </w:rPr>
              <w:t>software</w:t>
            </w:r>
            <w:r w:rsidRPr="003C1B12">
              <w:rPr>
                <w:rFonts w:ascii="Times New Roman" w:hAnsi="Times New Roman" w:cs="Times New Roman"/>
                <w:sz w:val="20"/>
                <w:szCs w:val="20"/>
              </w:rPr>
              <w:t>) lietojumi;</w:t>
            </w:r>
          </w:p>
        </w:tc>
        <w:tc>
          <w:tcPr>
            <w:tcW w:w="1843" w:type="dxa"/>
          </w:tcPr>
          <w:p w:rsidR="0008527B" w:rsidRPr="003C1B12" w:rsidRDefault="0008527B" w:rsidP="009D499E">
            <w:pPr>
              <w:rPr>
                <w:rFonts w:ascii="Times New Roman" w:hAnsi="Times New Roman" w:cs="Times New Roman"/>
                <w:sz w:val="20"/>
                <w:szCs w:val="20"/>
              </w:rPr>
            </w:pPr>
            <w:r w:rsidRPr="003C1B12">
              <w:rPr>
                <w:rFonts w:ascii="Times New Roman" w:hAnsi="Times New Roman" w:cs="Times New Roman"/>
                <w:sz w:val="20"/>
                <w:szCs w:val="20"/>
              </w:rPr>
              <w:t>Aparātbūve</w:t>
            </w:r>
            <w:r w:rsidR="005640D5" w:rsidRPr="003C1B12">
              <w:rPr>
                <w:rFonts w:ascii="Times New Roman" w:hAnsi="Times New Roman" w:cs="Times New Roman"/>
                <w:sz w:val="20"/>
                <w:szCs w:val="20"/>
              </w:rPr>
              <w:t xml:space="preserve"> (elektronika)</w:t>
            </w:r>
          </w:p>
        </w:tc>
        <w:tc>
          <w:tcPr>
            <w:tcW w:w="2551" w:type="dxa"/>
          </w:tcPr>
          <w:p w:rsidR="0008527B" w:rsidRPr="003949EA" w:rsidRDefault="00015126" w:rsidP="007A38C6">
            <w:pPr>
              <w:autoSpaceDE w:val="0"/>
              <w:autoSpaceDN w:val="0"/>
              <w:adjustRightInd w:val="0"/>
              <w:rPr>
                <w:rFonts w:ascii="Times New Roman" w:hAnsi="Times New Roman" w:cs="Times New Roman"/>
                <w:sz w:val="20"/>
                <w:szCs w:val="20"/>
              </w:rPr>
            </w:pPr>
            <w:r w:rsidRPr="003C1B12">
              <w:rPr>
                <w:rFonts w:ascii="Times New Roman" w:hAnsi="Times New Roman" w:cs="Times New Roman"/>
                <w:sz w:val="20"/>
                <w:szCs w:val="20"/>
              </w:rPr>
              <w:t>LEO</w:t>
            </w:r>
            <w:r w:rsidR="0008527B" w:rsidRPr="003C1B12">
              <w:rPr>
                <w:rFonts w:ascii="Times New Roman" w:hAnsi="Times New Roman" w:cs="Times New Roman"/>
                <w:sz w:val="20"/>
                <w:szCs w:val="20"/>
              </w:rPr>
              <w:t>KC</w:t>
            </w:r>
            <w:r w:rsidR="000F074A" w:rsidRPr="003C1B12">
              <w:rPr>
                <w:rFonts w:ascii="Times New Roman" w:hAnsi="Times New Roman" w:cs="Times New Roman"/>
                <w:sz w:val="20"/>
                <w:szCs w:val="20"/>
              </w:rPr>
              <w:t>, izvērtējot sat</w:t>
            </w:r>
            <w:r w:rsidR="007A38C6" w:rsidRPr="003C1B12">
              <w:rPr>
                <w:rFonts w:ascii="Times New Roman" w:hAnsi="Times New Roman" w:cs="Times New Roman"/>
                <w:sz w:val="20"/>
                <w:szCs w:val="20"/>
              </w:rPr>
              <w:t>elī</w:t>
            </w:r>
            <w:r w:rsidR="000F074A" w:rsidRPr="003C1B12">
              <w:rPr>
                <w:rFonts w:ascii="Times New Roman" w:hAnsi="Times New Roman" w:cs="Times New Roman"/>
                <w:sz w:val="20"/>
                <w:szCs w:val="20"/>
              </w:rPr>
              <w:t>ttehnoloģiju pētījuma virziena pētījumu atbilstību</w:t>
            </w:r>
            <w:bookmarkStart w:id="45" w:name="_GoBack"/>
            <w:bookmarkEnd w:id="45"/>
            <w:r w:rsidR="000F074A">
              <w:rPr>
                <w:rFonts w:ascii="Times New Roman" w:hAnsi="Times New Roman" w:cs="Times New Roman"/>
                <w:sz w:val="20"/>
                <w:szCs w:val="20"/>
              </w:rPr>
              <w:t xml:space="preserve"> </w:t>
            </w:r>
          </w:p>
        </w:tc>
      </w:tr>
    </w:tbl>
    <w:p w:rsidR="00896B40" w:rsidRPr="003949EA" w:rsidRDefault="00896B40">
      <w:pPr>
        <w:rPr>
          <w:rFonts w:ascii="Times New Roman" w:hAnsi="Times New Roman" w:cs="Times New Roman"/>
        </w:rPr>
      </w:pPr>
    </w:p>
    <w:sectPr w:rsidR="00896B40" w:rsidRPr="003949EA" w:rsidSect="00273E02">
      <w:headerReference w:type="default" r:id="rId22"/>
      <w:footerReference w:type="default" r:id="rId23"/>
      <w:headerReference w:type="first" r:id="rId24"/>
      <w:pgSz w:w="11906" w:h="16838"/>
      <w:pgMar w:top="1134" w:right="1134" w:bottom="1134" w:left="1701"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2FF" w:rsidRDefault="00FC32FF" w:rsidP="000C4557">
      <w:pPr>
        <w:spacing w:after="0" w:line="240" w:lineRule="auto"/>
      </w:pPr>
      <w:r>
        <w:separator/>
      </w:r>
    </w:p>
  </w:endnote>
  <w:endnote w:type="continuationSeparator" w:id="0">
    <w:p w:rsidR="00FC32FF" w:rsidRDefault="00FC32FF" w:rsidP="000C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Candara">
    <w:panose1 w:val="020E0502030303020204"/>
    <w:charset w:val="BA"/>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474680"/>
      <w:docPartObj>
        <w:docPartGallery w:val="Page Numbers (Bottom of Page)"/>
        <w:docPartUnique/>
      </w:docPartObj>
    </w:sdtPr>
    <w:sdtEndPr>
      <w:rPr>
        <w:noProof/>
      </w:rPr>
    </w:sdtEndPr>
    <w:sdtContent>
      <w:p w:rsidR="00FD128F" w:rsidRDefault="00FD128F">
        <w:pPr>
          <w:pStyle w:val="Footer"/>
          <w:jc w:val="center"/>
        </w:pPr>
        <w:r w:rsidRPr="00A370F3">
          <w:rPr>
            <w:rFonts w:ascii="Times New Roman" w:hAnsi="Times New Roman" w:cs="Times New Roman"/>
          </w:rPr>
          <w:fldChar w:fldCharType="begin"/>
        </w:r>
        <w:r w:rsidRPr="00A370F3">
          <w:rPr>
            <w:rFonts w:ascii="Times New Roman" w:hAnsi="Times New Roman" w:cs="Times New Roman"/>
          </w:rPr>
          <w:instrText xml:space="preserve"> PAGE   \* MERGEFORMAT </w:instrText>
        </w:r>
        <w:r w:rsidRPr="00A370F3">
          <w:rPr>
            <w:rFonts w:ascii="Times New Roman" w:hAnsi="Times New Roman" w:cs="Times New Roman"/>
          </w:rPr>
          <w:fldChar w:fldCharType="separate"/>
        </w:r>
        <w:r w:rsidR="003C1B12">
          <w:rPr>
            <w:rFonts w:ascii="Times New Roman" w:hAnsi="Times New Roman" w:cs="Times New Roman"/>
            <w:noProof/>
          </w:rPr>
          <w:t>27</w:t>
        </w:r>
        <w:r w:rsidRPr="00A370F3">
          <w:rPr>
            <w:rFonts w:ascii="Times New Roman" w:hAnsi="Times New Roman" w:cs="Times New Roman"/>
            <w:noProof/>
          </w:rPr>
          <w:fldChar w:fldCharType="end"/>
        </w:r>
      </w:p>
    </w:sdtContent>
  </w:sdt>
  <w:p w:rsidR="00FD128F" w:rsidRDefault="00FD12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2FF" w:rsidRDefault="00FC32FF" w:rsidP="000C4557">
      <w:pPr>
        <w:spacing w:after="0" w:line="240" w:lineRule="auto"/>
      </w:pPr>
      <w:r>
        <w:separator/>
      </w:r>
    </w:p>
  </w:footnote>
  <w:footnote w:type="continuationSeparator" w:id="0">
    <w:p w:rsidR="00FC32FF" w:rsidRDefault="00FC32FF" w:rsidP="000C4557">
      <w:pPr>
        <w:spacing w:after="0" w:line="240" w:lineRule="auto"/>
      </w:pPr>
      <w:r>
        <w:continuationSeparator/>
      </w:r>
    </w:p>
  </w:footnote>
  <w:footnote w:id="1">
    <w:p w:rsidR="00FD128F" w:rsidRDefault="00FD128F">
      <w:pPr>
        <w:pStyle w:val="FootnoteText"/>
      </w:pPr>
      <w:r>
        <w:rPr>
          <w:rStyle w:val="FootnoteReference"/>
        </w:rPr>
        <w:footnoteRef/>
      </w:r>
      <w:r>
        <w:t>1.1.n</w:t>
      </w:r>
      <w:r w:rsidRPr="004859E8">
        <w:rPr>
          <w:rFonts w:ascii="Times New Roman" w:hAnsi="Times New Roman" w:cs="Times New Roman"/>
        </w:rPr>
        <w:t xml:space="preserve">odaļas sagatavošanā izmantota informācija no </w:t>
      </w:r>
      <w:r>
        <w:rPr>
          <w:rFonts w:ascii="Times New Roman" w:hAnsi="Times New Roman" w:cs="Times New Roman"/>
        </w:rPr>
        <w:t>EM</w:t>
      </w:r>
      <w:r w:rsidRPr="004859E8">
        <w:rPr>
          <w:rFonts w:ascii="Times New Roman" w:hAnsi="Times New Roman" w:cs="Times New Roman"/>
        </w:rPr>
        <w:t xml:space="preserve"> publicētā</w:t>
      </w:r>
      <w:r w:rsidRPr="004859E8">
        <w:rPr>
          <w:rFonts w:ascii="Times New Roman" w:hAnsi="Times New Roman" w:cs="Times New Roman"/>
          <w:b/>
        </w:rPr>
        <w:t xml:space="preserve"> </w:t>
      </w:r>
      <w:r w:rsidRPr="004859E8">
        <w:rPr>
          <w:rStyle w:val="Strong"/>
          <w:rFonts w:ascii="Times New Roman" w:hAnsi="Times New Roman" w:cs="Times New Roman"/>
          <w:b w:val="0"/>
          <w:color w:val="000000"/>
          <w:bdr w:val="none" w:sz="0" w:space="0" w:color="auto" w:frame="1"/>
          <w:shd w:val="clear" w:color="auto" w:fill="FFFFFF"/>
        </w:rPr>
        <w:t>Ziņojum</w:t>
      </w:r>
      <w:r>
        <w:rPr>
          <w:rStyle w:val="Strong"/>
          <w:rFonts w:ascii="Times New Roman" w:hAnsi="Times New Roman" w:cs="Times New Roman"/>
          <w:b w:val="0"/>
          <w:color w:val="000000"/>
          <w:bdr w:val="none" w:sz="0" w:space="0" w:color="auto" w:frame="1"/>
          <w:shd w:val="clear" w:color="auto" w:fill="FFFFFF"/>
        </w:rPr>
        <w:t>a</w:t>
      </w:r>
      <w:r w:rsidRPr="004859E8">
        <w:rPr>
          <w:rStyle w:val="Strong"/>
          <w:rFonts w:ascii="Times New Roman" w:hAnsi="Times New Roman" w:cs="Times New Roman"/>
          <w:b w:val="0"/>
          <w:color w:val="000000"/>
          <w:bdr w:val="none" w:sz="0" w:space="0" w:color="auto" w:frame="1"/>
          <w:shd w:val="clear" w:color="auto" w:fill="FFFFFF"/>
        </w:rPr>
        <w:t xml:space="preserve"> par Latvijas tautsaimniecības attīstību </w:t>
      </w:r>
      <w:hyperlink r:id="rId1" w:history="1">
        <w:r w:rsidRPr="00C674F1">
          <w:rPr>
            <w:rStyle w:val="Hyperlink"/>
            <w:rFonts w:ascii="Times New Roman" w:hAnsi="Times New Roman" w:cs="Times New Roman"/>
            <w:bdr w:val="none" w:sz="0" w:space="0" w:color="auto" w:frame="1"/>
            <w:shd w:val="clear" w:color="auto" w:fill="FFFFFF"/>
          </w:rPr>
          <w:t>https://www.em.gov.lv/files/tautsaimniecibas_attistiba/2014_dec_lv.pdf</w:t>
        </w:r>
      </w:hyperlink>
      <w:r>
        <w:rPr>
          <w:rStyle w:val="Strong"/>
          <w:rFonts w:ascii="Times New Roman" w:hAnsi="Times New Roman" w:cs="Times New Roman"/>
          <w:b w:val="0"/>
          <w:color w:val="000000"/>
          <w:bdr w:val="none" w:sz="0" w:space="0" w:color="auto" w:frame="1"/>
          <w:shd w:val="clear" w:color="auto" w:fill="FFFFFF"/>
        </w:rPr>
        <w:t xml:space="preserve"> </w:t>
      </w:r>
    </w:p>
  </w:footnote>
  <w:footnote w:id="2">
    <w:p w:rsidR="00FD128F" w:rsidRPr="00460723" w:rsidRDefault="00FD128F" w:rsidP="00392252">
      <w:r w:rsidRPr="00460723">
        <w:rPr>
          <w:rStyle w:val="FootnoteReference"/>
          <w:rFonts w:ascii="Times New Roman" w:hAnsi="Times New Roman" w:cs="Times New Roman"/>
          <w:sz w:val="20"/>
          <w:szCs w:val="20"/>
        </w:rPr>
        <w:footnoteRef/>
      </w:r>
      <w:r w:rsidRPr="00460723">
        <w:rPr>
          <w:rFonts w:ascii="Times New Roman" w:hAnsi="Times New Roman" w:cs="Times New Roman"/>
          <w:sz w:val="20"/>
          <w:szCs w:val="20"/>
        </w:rPr>
        <w:t xml:space="preserve"> </w:t>
      </w:r>
      <w:hyperlink r:id="rId2" w:history="1">
        <w:r w:rsidRPr="00460723">
          <w:rPr>
            <w:rStyle w:val="Hyperlink"/>
            <w:rFonts w:ascii="Times New Roman" w:hAnsi="Times New Roman" w:cs="Times New Roman"/>
            <w:sz w:val="20"/>
            <w:szCs w:val="20"/>
          </w:rPr>
          <w:t>http://ec.europa.eu/growth/industry/innovation/facts-figures/scoreboards/index_en.htm</w:t>
        </w:r>
      </w:hyperlink>
      <w:r w:rsidRPr="00460723">
        <w:rPr>
          <w:rFonts w:ascii="Times New Roman" w:hAnsi="Times New Roman" w:cs="Times New Roman"/>
          <w:sz w:val="20"/>
          <w:szCs w:val="20"/>
        </w:rPr>
        <w:t xml:space="preserve"> </w:t>
      </w:r>
    </w:p>
  </w:footnote>
  <w:footnote w:id="3">
    <w:p w:rsidR="00FD128F" w:rsidRPr="00460723" w:rsidRDefault="00FD128F" w:rsidP="003E49FD">
      <w:pPr>
        <w:pStyle w:val="FootnoteText"/>
        <w:rPr>
          <w:rFonts w:ascii="Times New Roman" w:hAnsi="Times New Roman" w:cs="Times New Roman"/>
        </w:rPr>
      </w:pPr>
      <w:r w:rsidRPr="00460723">
        <w:rPr>
          <w:rStyle w:val="FootnoteReference"/>
          <w:rFonts w:ascii="Times New Roman" w:hAnsi="Times New Roman" w:cs="Times New Roman"/>
        </w:rPr>
        <w:footnoteRef/>
      </w:r>
      <w:r w:rsidRPr="00460723">
        <w:rPr>
          <w:rFonts w:ascii="Times New Roman" w:hAnsi="Times New Roman" w:cs="Times New Roman"/>
        </w:rPr>
        <w:t xml:space="preserve"> </w:t>
      </w:r>
      <w:r>
        <w:rPr>
          <w:rFonts w:ascii="Times New Roman" w:hAnsi="Times New Roman" w:cs="Times New Roman"/>
        </w:rPr>
        <w:t>Pilna laika ekvivalents</w:t>
      </w:r>
    </w:p>
  </w:footnote>
  <w:footnote w:id="4">
    <w:p w:rsidR="00FD128F" w:rsidRPr="00A35BE7" w:rsidRDefault="00FD128F">
      <w:pPr>
        <w:pStyle w:val="FootnoteText"/>
      </w:pPr>
      <w:r w:rsidRPr="00A35BE7">
        <w:rPr>
          <w:rStyle w:val="FootnoteReference"/>
        </w:rPr>
        <w:footnoteRef/>
      </w:r>
      <w:r w:rsidRPr="00A35BE7">
        <w:t xml:space="preserve"> </w:t>
      </w:r>
      <w:r w:rsidRPr="00A35BE7">
        <w:rPr>
          <w:rFonts w:ascii="Times New Roman" w:hAnsi="Times New Roman" w:cs="Times New Roman"/>
        </w:rPr>
        <w:t>Viens komersants var būt ieskaitīt</w:t>
      </w:r>
      <w:r>
        <w:rPr>
          <w:rFonts w:ascii="Times New Roman" w:hAnsi="Times New Roman" w:cs="Times New Roman"/>
        </w:rPr>
        <w:t>s</w:t>
      </w:r>
      <w:r w:rsidRPr="00A35BE7">
        <w:rPr>
          <w:rFonts w:ascii="Times New Roman" w:hAnsi="Times New Roman" w:cs="Times New Roman"/>
        </w:rPr>
        <w:t xml:space="preserve"> vairākas reizes, ja ir bijis iesaistīts dažādos KC.</w:t>
      </w:r>
    </w:p>
  </w:footnote>
  <w:footnote w:id="5">
    <w:p w:rsidR="00FD128F" w:rsidRDefault="00FD128F">
      <w:pPr>
        <w:pStyle w:val="FootnoteText"/>
      </w:pPr>
      <w:r w:rsidRPr="00A35BE7">
        <w:rPr>
          <w:rStyle w:val="FootnoteReference"/>
        </w:rPr>
        <w:footnoteRef/>
      </w:r>
      <w:r w:rsidRPr="00A35BE7">
        <w:t xml:space="preserve"> </w:t>
      </w:r>
      <w:r w:rsidRPr="00A35BE7">
        <w:rPr>
          <w:rFonts w:ascii="Times New Roman" w:hAnsi="Times New Roman" w:cs="Times New Roman"/>
        </w:rPr>
        <w:t>Viens partneris var būt ieskaitīts vairākas reizes, ja ir bijis iesaistīt</w:t>
      </w:r>
      <w:r>
        <w:rPr>
          <w:rFonts w:ascii="Times New Roman" w:hAnsi="Times New Roman" w:cs="Times New Roman"/>
        </w:rPr>
        <w:t>s</w:t>
      </w:r>
      <w:r w:rsidRPr="00A35BE7">
        <w:rPr>
          <w:rFonts w:ascii="Times New Roman" w:hAnsi="Times New Roman" w:cs="Times New Roman"/>
        </w:rPr>
        <w:t xml:space="preserve"> dažādos KC.</w:t>
      </w:r>
    </w:p>
  </w:footnote>
  <w:footnote w:id="6">
    <w:p w:rsidR="00FD128F" w:rsidRDefault="00FD128F">
      <w:pPr>
        <w:pStyle w:val="FootnoteText"/>
      </w:pPr>
      <w:r>
        <w:rPr>
          <w:rStyle w:val="FootnoteReference"/>
        </w:rPr>
        <w:footnoteRef/>
      </w:r>
      <w:r>
        <w:t xml:space="preserve"> </w:t>
      </w:r>
      <w:r w:rsidRPr="00BA318B">
        <w:rPr>
          <w:rFonts w:ascii="Times New Roman" w:hAnsi="Times New Roman" w:cs="Times New Roman"/>
        </w:rPr>
        <w:t>Pilna laika ekvivalents</w:t>
      </w:r>
    </w:p>
  </w:footnote>
  <w:footnote w:id="7">
    <w:p w:rsidR="00FD128F" w:rsidRPr="00460723" w:rsidRDefault="00FD128F">
      <w:pPr>
        <w:pStyle w:val="FootnoteText"/>
      </w:pPr>
      <w:r w:rsidRPr="00460723">
        <w:rPr>
          <w:rStyle w:val="FootnoteReference"/>
        </w:rPr>
        <w:footnoteRef/>
      </w:r>
      <w:r w:rsidRPr="00460723">
        <w:t xml:space="preserve"> </w:t>
      </w:r>
      <w:r>
        <w:rPr>
          <w:rFonts w:ascii="Times New Roman" w:hAnsi="Times New Roman" w:cs="Times New Roman"/>
        </w:rPr>
        <w:t>Unikālo doktorantu skaits</w:t>
      </w:r>
    </w:p>
  </w:footnote>
  <w:footnote w:id="8">
    <w:p w:rsidR="00FD128F" w:rsidRDefault="00FD128F">
      <w:pPr>
        <w:pStyle w:val="FootnoteText"/>
      </w:pPr>
      <w:r>
        <w:rPr>
          <w:rStyle w:val="FootnoteReference"/>
        </w:rPr>
        <w:footnoteRef/>
      </w:r>
      <w:r>
        <w:t xml:space="preserve"> </w:t>
      </w:r>
      <w:r w:rsidRPr="00D3496C">
        <w:t xml:space="preserve">Ar </w:t>
      </w:r>
      <w:r w:rsidRPr="00D3496C">
        <w:rPr>
          <w:rFonts w:ascii="Times New Roman" w:hAnsi="Times New Roman" w:cs="Times New Roman"/>
        </w:rPr>
        <w:t>pētījumu rezultātu iekšēju izmantošanu tiek apzīmēti gadījumi</w:t>
      </w:r>
      <w:r>
        <w:rPr>
          <w:rFonts w:ascii="Times New Roman" w:hAnsi="Times New Roman" w:cs="Times New Roman"/>
        </w:rPr>
        <w:t>,</w:t>
      </w:r>
      <w:r w:rsidRPr="00D3496C">
        <w:rPr>
          <w:rFonts w:ascii="Times New Roman" w:hAnsi="Times New Roman" w:cs="Times New Roman"/>
        </w:rPr>
        <w:t xml:space="preserve"> kad pētījumu rezultāti tiek ieviesti komersantā, kas ir īstenojis vai pasūtījis pētījumu.</w:t>
      </w:r>
      <w:r>
        <w:rPr>
          <w:rFonts w:ascii="Times New Roman" w:hAnsi="Times New Roman" w:cs="Times New Roman"/>
          <w:sz w:val="24"/>
          <w:szCs w:val="24"/>
        </w:rPr>
        <w:t xml:space="preserve"> </w:t>
      </w:r>
    </w:p>
  </w:footnote>
  <w:footnote w:id="9">
    <w:p w:rsidR="00FD128F" w:rsidRDefault="00FD128F">
      <w:pPr>
        <w:pStyle w:val="FootnoteText"/>
      </w:pPr>
      <w:r>
        <w:rPr>
          <w:rStyle w:val="FootnoteReference"/>
        </w:rPr>
        <w:footnoteRef/>
      </w:r>
      <w:r>
        <w:t xml:space="preserve"> </w:t>
      </w:r>
      <w:r w:rsidRPr="00D3496C">
        <w:rPr>
          <w:rFonts w:ascii="Times New Roman" w:hAnsi="Times New Roman" w:cs="Times New Roman"/>
        </w:rPr>
        <w:t>MNKC nav izvērtējama periodā rādīti norādītie rezultāti, jo galvenokārt īsteno nozares pētījumus un to rezultāti tiek plaši izplatīti konferencēs un citos informācijas avotos. Vienlaicīgi centrā dominē vidēja termiņa pētījumi, kuri vēl nav pabeigti.</w:t>
      </w:r>
      <w:r>
        <w:t xml:space="preserve"> </w:t>
      </w:r>
    </w:p>
  </w:footnote>
  <w:footnote w:id="10">
    <w:p w:rsidR="00FD128F" w:rsidRDefault="00FD128F" w:rsidP="003E04A7">
      <w:pPr>
        <w:pStyle w:val="FootnoteText"/>
        <w:jc w:val="both"/>
      </w:pPr>
      <w:r>
        <w:rPr>
          <w:rStyle w:val="FootnoteReference"/>
        </w:rPr>
        <w:footnoteRef/>
      </w:r>
      <w:r>
        <w:t xml:space="preserve"> </w:t>
      </w:r>
      <w:r w:rsidRPr="00460723">
        <w:rPr>
          <w:rFonts w:ascii="Times New Roman" w:hAnsi="Times New Roman" w:cs="Times New Roman"/>
        </w:rPr>
        <w:t>Informatīv</w:t>
      </w:r>
      <w:r>
        <w:rPr>
          <w:rFonts w:ascii="Times New Roman" w:hAnsi="Times New Roman" w:cs="Times New Roman"/>
        </w:rPr>
        <w:t>ais</w:t>
      </w:r>
      <w:r w:rsidRPr="00460723">
        <w:rPr>
          <w:rFonts w:ascii="Times New Roman" w:hAnsi="Times New Roman" w:cs="Times New Roman"/>
        </w:rPr>
        <w:t xml:space="preserve"> ziņojum</w:t>
      </w:r>
      <w:r>
        <w:rPr>
          <w:rFonts w:ascii="Times New Roman" w:hAnsi="Times New Roman" w:cs="Times New Roman"/>
        </w:rPr>
        <w:t>s</w:t>
      </w:r>
      <w:r w:rsidRPr="00460723">
        <w:rPr>
          <w:rFonts w:ascii="Times New Roman" w:hAnsi="Times New Roman" w:cs="Times New Roman"/>
        </w:rPr>
        <w:t xml:space="preserve"> „Par Zinātnes, tehnoloģiju attīstības un inovācijas pamatnostādņu 2014.-2020.gadam ieviešanas rīcības plāna, kas ietver Viedās specializācijas stratēģijas pasākumu plānu un rezultātu rādītāju sistēmas aprakstu, izstrādes progresu”</w:t>
      </w:r>
    </w:p>
  </w:footnote>
  <w:footnote w:id="11">
    <w:p w:rsidR="00FD128F" w:rsidRPr="00460723" w:rsidRDefault="00FD128F" w:rsidP="00374A7E">
      <w:pPr>
        <w:pStyle w:val="FootnoteText"/>
        <w:jc w:val="both"/>
      </w:pPr>
      <w:r w:rsidRPr="00460723">
        <w:rPr>
          <w:rStyle w:val="FootnoteReference"/>
        </w:rPr>
        <w:footnoteRef/>
      </w:r>
      <w:r w:rsidRPr="00460723">
        <w:t xml:space="preserve"> </w:t>
      </w:r>
      <w:r w:rsidRPr="00460723">
        <w:rPr>
          <w:rFonts w:ascii="Times New Roman" w:hAnsi="Times New Roman" w:cs="Times New Roman"/>
        </w:rPr>
        <w:t>Informatīvā ziņojuma „Par Zinātnes, tehnoloģiju attīstības un inovācijas pamatnostādņu 2014.-2020.gadam ieviešanas rīcības plāna, kas ietver Viedās specializācijas stratēģijas pasākumu plānu un rezultātu rādītāju sistēmas aprakstu, izstrādes progresu” 2.tabulā.</w:t>
      </w:r>
    </w:p>
  </w:footnote>
  <w:footnote w:id="12">
    <w:p w:rsidR="00FD128F" w:rsidRPr="00757337" w:rsidRDefault="00FD128F" w:rsidP="00CA182A">
      <w:pPr>
        <w:pStyle w:val="FootnoteText"/>
        <w:rPr>
          <w:rFonts w:ascii="Times New Roman" w:hAnsi="Times New Roman" w:cs="Times New Roman"/>
        </w:rPr>
      </w:pPr>
      <w:r w:rsidRPr="00757337">
        <w:rPr>
          <w:rStyle w:val="FootnoteReference"/>
          <w:rFonts w:ascii="Times New Roman" w:hAnsi="Times New Roman" w:cs="Times New Roman"/>
        </w:rPr>
        <w:footnoteRef/>
      </w:r>
      <w:r w:rsidRPr="00757337">
        <w:rPr>
          <w:rFonts w:ascii="Times New Roman" w:hAnsi="Times New Roman" w:cs="Times New Roman"/>
        </w:rPr>
        <w:t xml:space="preserve"> Reviews of Regional Innovation Regions and Innovation Policy, OECD, 2011.</w:t>
      </w:r>
    </w:p>
  </w:footnote>
  <w:footnote w:id="13">
    <w:p w:rsidR="00FD128F" w:rsidRDefault="00FD128F" w:rsidP="00CA182A">
      <w:pPr>
        <w:spacing w:after="0" w:line="240" w:lineRule="auto"/>
        <w:rPr>
          <w:rFonts w:ascii="Times New Roman" w:hAnsi="Times New Roman" w:cs="Times New Roman"/>
          <w:sz w:val="20"/>
          <w:szCs w:val="20"/>
        </w:rPr>
      </w:pPr>
      <w:r w:rsidRPr="00757337">
        <w:rPr>
          <w:rStyle w:val="FootnoteReference"/>
          <w:rFonts w:ascii="Times New Roman" w:hAnsi="Times New Roman" w:cs="Times New Roman"/>
          <w:sz w:val="20"/>
          <w:szCs w:val="20"/>
        </w:rPr>
        <w:footnoteRef/>
      </w:r>
      <w:r w:rsidRPr="00757337">
        <w:rPr>
          <w:rFonts w:ascii="Times New Roman" w:hAnsi="Times New Roman" w:cs="Times New Roman"/>
          <w:sz w:val="20"/>
          <w:szCs w:val="20"/>
        </w:rPr>
        <w:t xml:space="preserve"> International cooperation of</w:t>
      </w:r>
      <w:r>
        <w:rPr>
          <w:rFonts w:ascii="Times New Roman" w:hAnsi="Times New Roman" w:cs="Times New Roman"/>
          <w:sz w:val="20"/>
          <w:szCs w:val="20"/>
        </w:rPr>
        <w:t xml:space="preserve"> </w:t>
      </w:r>
      <w:r w:rsidRPr="00757337">
        <w:rPr>
          <w:rFonts w:ascii="Times New Roman" w:hAnsi="Times New Roman" w:cs="Times New Roman"/>
          <w:sz w:val="20"/>
          <w:szCs w:val="20"/>
        </w:rPr>
        <w:t>Competence Research Centres</w:t>
      </w:r>
      <w:r>
        <w:rPr>
          <w:rFonts w:ascii="Times New Roman" w:hAnsi="Times New Roman" w:cs="Times New Roman"/>
          <w:sz w:val="20"/>
          <w:szCs w:val="20"/>
        </w:rPr>
        <w:t xml:space="preserve"> </w:t>
      </w:r>
      <w:r w:rsidRPr="00757337">
        <w:rPr>
          <w:rFonts w:ascii="Times New Roman" w:hAnsi="Times New Roman" w:cs="Times New Roman"/>
          <w:sz w:val="20"/>
          <w:szCs w:val="20"/>
        </w:rPr>
        <w:t xml:space="preserve">Final Report of the COMPERA joint </w:t>
      </w:r>
      <w:r>
        <w:rPr>
          <w:rFonts w:ascii="Times New Roman" w:hAnsi="Times New Roman" w:cs="Times New Roman"/>
          <w:sz w:val="20"/>
          <w:szCs w:val="20"/>
        </w:rPr>
        <w:t xml:space="preserve">  </w:t>
      </w:r>
      <w:r w:rsidRPr="00757337">
        <w:rPr>
          <w:rFonts w:ascii="Times New Roman" w:hAnsi="Times New Roman" w:cs="Times New Roman"/>
          <w:sz w:val="20"/>
          <w:szCs w:val="20"/>
        </w:rPr>
        <w:t>study</w:t>
      </w:r>
      <w:r>
        <w:rPr>
          <w:rFonts w:ascii="Times New Roman" w:hAnsi="Times New Roman" w:cs="Times New Roman"/>
          <w:sz w:val="20"/>
          <w:szCs w:val="20"/>
        </w:rPr>
        <w:t xml:space="preserve"> </w:t>
      </w:r>
      <w:hyperlink r:id="rId3" w:history="1">
        <w:r w:rsidRPr="00757337">
          <w:rPr>
            <w:rStyle w:val="Hyperlink"/>
            <w:rFonts w:ascii="Times New Roman" w:hAnsi="Times New Roman" w:cs="Times New Roman"/>
            <w:sz w:val="20"/>
            <w:szCs w:val="20"/>
          </w:rPr>
          <w:t>http://www.iwt.be/sites/default/files/varia/iwt_studie66.pdf</w:t>
        </w:r>
      </w:hyperlink>
      <w:r>
        <w:rPr>
          <w:rFonts w:ascii="Times New Roman" w:hAnsi="Times New Roman" w:cs="Times New Roman"/>
          <w:sz w:val="20"/>
          <w:szCs w:val="20"/>
        </w:rPr>
        <w:t>;</w:t>
      </w:r>
      <w:r w:rsidRPr="00757337">
        <w:rPr>
          <w:rFonts w:ascii="Times New Roman" w:hAnsi="Times New Roman" w:cs="Times New Roman"/>
          <w:sz w:val="20"/>
          <w:szCs w:val="20"/>
        </w:rPr>
        <w:t xml:space="preserve"> </w:t>
      </w:r>
    </w:p>
    <w:p w:rsidR="00FD128F" w:rsidRDefault="00FD128F" w:rsidP="00CA182A">
      <w:pPr>
        <w:spacing w:after="0" w:line="240" w:lineRule="auto"/>
      </w:pPr>
      <w:r w:rsidRPr="00757337">
        <w:rPr>
          <w:rFonts w:ascii="Times New Roman" w:hAnsi="Times New Roman" w:cs="Times New Roman"/>
          <w:sz w:val="20"/>
          <w:szCs w:val="20"/>
        </w:rPr>
        <w:t>Report on Monitoring and Evaluation of</w:t>
      </w:r>
      <w:r>
        <w:rPr>
          <w:rFonts w:ascii="Times New Roman" w:hAnsi="Times New Roman" w:cs="Times New Roman"/>
          <w:sz w:val="20"/>
          <w:szCs w:val="20"/>
        </w:rPr>
        <w:t xml:space="preserve"> </w:t>
      </w:r>
      <w:r w:rsidRPr="00757337">
        <w:rPr>
          <w:rFonts w:ascii="Times New Roman" w:hAnsi="Times New Roman" w:cs="Times New Roman"/>
          <w:sz w:val="20"/>
          <w:szCs w:val="20"/>
        </w:rPr>
        <w:t>Competence Research Centres (CRC)</w:t>
      </w:r>
      <w:r>
        <w:rPr>
          <w:rFonts w:ascii="Times New Roman" w:hAnsi="Times New Roman" w:cs="Times New Roman"/>
          <w:sz w:val="20"/>
          <w:szCs w:val="20"/>
        </w:rPr>
        <w:t xml:space="preserve">,2011 </w:t>
      </w:r>
      <w:hyperlink r:id="rId4" w:history="1">
        <w:r w:rsidRPr="00E75829">
          <w:rPr>
            <w:rStyle w:val="Hyperlink"/>
            <w:rFonts w:ascii="Times New Roman" w:hAnsi="Times New Roman" w:cs="Times New Roman"/>
            <w:sz w:val="20"/>
            <w:szCs w:val="20"/>
          </w:rPr>
          <w:t>http://www.iwt.be/sites/default/files/varia/iwt_studie69.pdf</w:t>
        </w:r>
      </w:hyperlink>
      <w:r>
        <w:rPr>
          <w:rFonts w:ascii="Times New Roman" w:hAnsi="Times New Roman" w:cs="Times New Roman"/>
          <w:sz w:val="20"/>
          <w:szCs w:val="20"/>
        </w:rPr>
        <w:t xml:space="preserve"> .</w:t>
      </w:r>
    </w:p>
  </w:footnote>
  <w:footnote w:id="14">
    <w:p w:rsidR="00FD128F" w:rsidRDefault="00FD128F">
      <w:pPr>
        <w:pStyle w:val="FootnoteText"/>
      </w:pPr>
      <w:r w:rsidRPr="00975E4C">
        <w:rPr>
          <w:rStyle w:val="FootnoteReference"/>
        </w:rPr>
        <w:footnoteRef/>
      </w:r>
      <w:r w:rsidRPr="00975E4C">
        <w:t xml:space="preserve"> </w:t>
      </w:r>
      <w:r w:rsidRPr="00BA318B">
        <w:rPr>
          <w:rFonts w:ascii="Times New Roman" w:hAnsi="Times New Roman" w:cs="Times New Roman"/>
        </w:rPr>
        <w:t>Tehnoloģiju gatavības līmeņu vērtēšanai var izmantot ISO standartu: 16290:2013(en) “Space systems — Definition of the Technology Readiness Levels (TRLs) and their criteria of assessment” (</w:t>
      </w:r>
      <w:hyperlink r:id="rId5" w:anchor="iso:std:iso:16290:ed-1:v1:en" w:history="1">
        <w:r w:rsidRPr="00BA318B">
          <w:rPr>
            <w:rStyle w:val="Hyperlink"/>
            <w:rFonts w:ascii="Times New Roman" w:hAnsi="Times New Roman" w:cs="Times New Roman"/>
          </w:rPr>
          <w:t>https://www.iso.org/obp/ui/#iso:std:iso:16290:ed-1:v1:en</w:t>
        </w:r>
      </w:hyperlink>
      <w:r w:rsidRPr="00BA318B">
        <w:rPr>
          <w:rFonts w:ascii="Times New Roman" w:hAnsi="Times New Roman" w:cs="Times New Roman"/>
        </w:rPr>
        <w:t>).</w:t>
      </w:r>
    </w:p>
  </w:footnote>
  <w:footnote w:id="15">
    <w:p w:rsidR="00FD128F" w:rsidRPr="00F26204" w:rsidRDefault="00FD128F" w:rsidP="00F26204">
      <w:pPr>
        <w:pStyle w:val="FootnoteText"/>
        <w:jc w:val="both"/>
        <w:rPr>
          <w:rFonts w:ascii="Times New Roman" w:hAnsi="Times New Roman" w:cs="Times New Roman"/>
        </w:rPr>
      </w:pPr>
      <w:r w:rsidRPr="007A12E3">
        <w:rPr>
          <w:rStyle w:val="FootnoteReference"/>
          <w:rFonts w:ascii="Times New Roman" w:hAnsi="Times New Roman" w:cs="Times New Roman"/>
        </w:rPr>
        <w:footnoteRef/>
      </w:r>
      <w:r w:rsidRPr="007A12E3">
        <w:rPr>
          <w:rFonts w:ascii="Times New Roman" w:hAnsi="Times New Roman" w:cs="Times New Roman"/>
        </w:rPr>
        <w:t xml:space="preserve"> Tehnoloģiju gatavības līmeņu iedalījums: </w:t>
      </w:r>
      <w:r w:rsidRPr="007A12E3">
        <w:rPr>
          <w:rFonts w:ascii="Times New Roman" w:eastAsiaTheme="minorHAnsi" w:hAnsi="Times New Roman" w:cs="Times New Roman"/>
          <w:lang w:eastAsia="en-US"/>
        </w:rPr>
        <w:t>TRL 1 – Izzināti dabas likumi: zinātniskā pētījuma rezultāti ļauj uzsākt lietišķās pētniecības un tehnoloģijas attīstības darbus; TRL 2 – Formulēta tehnoloģijas koncepcija; TRL 3 – Koncepcijas eksperimentālā pārbaude; TRL 4 – Tehnoloģijas validācija laboratorijas vidē; TRL 5 – Tehnoloģijas validācija mākslīgi radītā vidē; TRL 6 – Tehnoloģijas demonstrācijā mākslīgi radītā vidē; TRL 7 –demonstrācija reālās darbības vidē; TRL 8 – Sistēma ir pabeigta un pārbaudīta; TRL 9 – Sekmīga sistēmas ekspluatācija.</w:t>
      </w:r>
    </w:p>
  </w:footnote>
  <w:footnote w:id="16">
    <w:p w:rsidR="00FD128F" w:rsidRPr="003949EA" w:rsidRDefault="00FD128F" w:rsidP="001F0B1E">
      <w:pPr>
        <w:spacing w:after="0" w:line="240" w:lineRule="auto"/>
        <w:jc w:val="both"/>
        <w:rPr>
          <w:rFonts w:ascii="Times New Roman" w:hAnsi="Times New Roman" w:cs="Times New Roman"/>
          <w:sz w:val="24"/>
          <w:szCs w:val="24"/>
        </w:rPr>
      </w:pPr>
      <w:r>
        <w:rPr>
          <w:rStyle w:val="FootnoteReference"/>
        </w:rPr>
        <w:footnoteRef/>
      </w:r>
      <w:r>
        <w:t xml:space="preserve"> </w:t>
      </w:r>
      <w:r w:rsidRPr="001F0B1E">
        <w:rPr>
          <w:rFonts w:ascii="Times New Roman" w:hAnsi="Times New Roman" w:cs="Times New Roman"/>
          <w:sz w:val="20"/>
          <w:szCs w:val="20"/>
        </w:rPr>
        <w:t>ERAF finansējuma samazinājumam par 5 milj. EUR</w:t>
      </w:r>
      <w:r>
        <w:rPr>
          <w:rFonts w:ascii="Times New Roman" w:hAnsi="Times New Roman" w:cs="Times New Roman"/>
          <w:sz w:val="20"/>
          <w:szCs w:val="20"/>
        </w:rPr>
        <w:t>,</w:t>
      </w:r>
      <w:r w:rsidRPr="001F0B1E">
        <w:rPr>
          <w:rFonts w:ascii="Times New Roman" w:hAnsi="Times New Roman" w:cs="Times New Roman"/>
          <w:sz w:val="20"/>
          <w:szCs w:val="20"/>
        </w:rPr>
        <w:t xml:space="preserve"> salīdzinot ar sākotnēji plānoto finansējumu nei</w:t>
      </w:r>
      <w:r>
        <w:rPr>
          <w:rFonts w:ascii="Times New Roman" w:hAnsi="Times New Roman" w:cs="Times New Roman"/>
          <w:sz w:val="20"/>
          <w:szCs w:val="20"/>
        </w:rPr>
        <w:t>etekmē rezultatīvo rādītāju pasē</w:t>
      </w:r>
      <w:r w:rsidRPr="001F0B1E">
        <w:rPr>
          <w:rFonts w:ascii="Times New Roman" w:hAnsi="Times New Roman" w:cs="Times New Roman"/>
          <w:sz w:val="20"/>
          <w:szCs w:val="20"/>
        </w:rPr>
        <w:t>s</w:t>
      </w:r>
      <w:r>
        <w:rPr>
          <w:rFonts w:ascii="Times New Roman" w:hAnsi="Times New Roman" w:cs="Times New Roman"/>
          <w:sz w:val="20"/>
          <w:szCs w:val="20"/>
        </w:rPr>
        <w:t xml:space="preserve"> noteiktos indikatorus</w:t>
      </w:r>
      <w:r w:rsidRPr="001F0B1E">
        <w:rPr>
          <w:rFonts w:ascii="Times New Roman" w:hAnsi="Times New Roman" w:cs="Times New Roman"/>
          <w:sz w:val="20"/>
          <w:szCs w:val="20"/>
        </w:rPr>
        <w:t xml:space="preserve">, kā arī DPP noteikto mērķu un rezultātu </w:t>
      </w:r>
      <w:r>
        <w:rPr>
          <w:rFonts w:ascii="Times New Roman" w:hAnsi="Times New Roman" w:cs="Times New Roman"/>
          <w:sz w:val="20"/>
          <w:szCs w:val="20"/>
        </w:rPr>
        <w:t>rādītājus</w:t>
      </w:r>
      <w:r w:rsidRPr="001F0B1E">
        <w:rPr>
          <w:rFonts w:ascii="Times New Roman" w:hAnsi="Times New Roman" w:cs="Times New Roman"/>
          <w:sz w:val="20"/>
          <w:szCs w:val="20"/>
        </w:rPr>
        <w:t>.</w:t>
      </w:r>
    </w:p>
    <w:p w:rsidR="00FD128F" w:rsidRDefault="00FD128F">
      <w:pPr>
        <w:pStyle w:val="FootnoteText"/>
      </w:pPr>
    </w:p>
  </w:footnote>
  <w:footnote w:id="17">
    <w:p w:rsidR="00FD128F" w:rsidRDefault="00FD128F">
      <w:pPr>
        <w:pStyle w:val="FootnoteText"/>
      </w:pPr>
      <w:r>
        <w:rPr>
          <w:rStyle w:val="FootnoteReference"/>
        </w:rPr>
        <w:footnoteRef/>
      </w:r>
      <w:r>
        <w:t xml:space="preserve"> </w:t>
      </w:r>
      <w:r w:rsidRPr="00D548EA">
        <w:rPr>
          <w:rFonts w:ascii="Times New Roman" w:hAnsi="Times New Roman" w:cs="Times New Roman"/>
        </w:rPr>
        <w:t>Kohēzijas politikas fondu vadības informācijas sistēma 2014.-2020.gadam</w:t>
      </w:r>
    </w:p>
  </w:footnote>
  <w:footnote w:id="18">
    <w:p w:rsidR="00FD128F" w:rsidRDefault="00FD128F" w:rsidP="00E16D22">
      <w:pPr>
        <w:pStyle w:val="FootnoteText"/>
        <w:jc w:val="both"/>
      </w:pPr>
      <w:r>
        <w:rPr>
          <w:rStyle w:val="FootnoteReference"/>
        </w:rPr>
        <w:footnoteRef/>
      </w:r>
      <w:r>
        <w:t xml:space="preserve"> </w:t>
      </w:r>
      <w:r w:rsidRPr="00714E8A">
        <w:rPr>
          <w:rFonts w:ascii="Times New Roman" w:hAnsi="Times New Roman" w:cs="Times New Roman"/>
        </w:rPr>
        <w:t>Spin-off uzņēmums ir uzņēmums, kas tiek veidots ar mērķi komercializēt KC ietvaros radītos pētījumu rezultātus un tam tiek nodotas tiesības uz jaunradīto intelektuālo īpašu</w:t>
      </w:r>
      <w:r>
        <w:rPr>
          <w:rFonts w:ascii="Times New Roman" w:hAnsi="Times New Roman" w:cs="Times New Roman"/>
        </w:rPr>
        <w:t>mu</w:t>
      </w:r>
      <w:r w:rsidRPr="00714E8A">
        <w:rPr>
          <w:rFonts w:ascii="Times New Roman" w:hAnsi="Times New Roman" w:cs="Times New Roman"/>
        </w:rPr>
        <w:t>, ko tas tālāk izmanto savā saimnieciskajā darbībā</w:t>
      </w:r>
      <w:r>
        <w:rPr>
          <w:rFonts w:ascii="Times New Roman" w:hAnsi="Times New Roman" w:cs="Times New Roman"/>
        </w:rPr>
        <w:t>.</w:t>
      </w:r>
    </w:p>
  </w:footnote>
  <w:footnote w:id="19">
    <w:p w:rsidR="00FD128F" w:rsidRDefault="00FD128F">
      <w:pPr>
        <w:pStyle w:val="FootnoteText"/>
      </w:pPr>
      <w:r>
        <w:rPr>
          <w:rStyle w:val="FootnoteReference"/>
        </w:rPr>
        <w:footnoteRef/>
      </w:r>
      <w:r>
        <w:t xml:space="preserve"> Valsts izglītības attīstības aģentūras un Izglītības un Zinātnes ministrijas kopīgi rīkotās diskusijas 16.04.2014, 23.04.2014., 29.04.2014., 09.05.2014., 16.05.2014., 26.05.2014., 05.06.2014., 10.07.2014. un 15.10.2014.</w:t>
      </w:r>
    </w:p>
  </w:footnote>
  <w:footnote w:id="20">
    <w:p w:rsidR="00FD128F" w:rsidRDefault="00FD128F">
      <w:pPr>
        <w:pStyle w:val="FootnoteText"/>
      </w:pPr>
      <w:r>
        <w:rPr>
          <w:rStyle w:val="FootnoteReference"/>
        </w:rPr>
        <w:footnoteRef/>
      </w:r>
      <w:r>
        <w:t xml:space="preserve"> </w:t>
      </w:r>
      <w:r w:rsidRPr="001E5CFC">
        <w:t xml:space="preserve">  Valsts izglītības attīstības aģentūras un Izglītības un Zinātnes ministrijas kopīgi rīkotās diskusijas 16.04.2014, 23.04.2014., 29.04.2014., 09.05.2014., 16.05.2014., 26.05.2014., 05.06.2014., 10.07.2014. un 15.10.2014.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28F" w:rsidRDefault="00FD128F" w:rsidP="00220B5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28F" w:rsidRDefault="00FD128F" w:rsidP="00220B5B">
    <w:pPr>
      <w:pStyle w:val="Header"/>
      <w:jc w:val="center"/>
    </w:pPr>
    <w:r w:rsidRPr="00B40627">
      <w:rPr>
        <w:rFonts w:ascii="Times New Roman" w:hAnsi="Times New Roman" w:cs="Times New Roman"/>
        <w:b/>
        <w:noProof/>
        <w:sz w:val="28"/>
        <w:szCs w:val="28"/>
        <w:lang w:eastAsia="lv-LV"/>
      </w:rPr>
      <w:drawing>
        <wp:inline distT="0" distB="0" distL="0" distR="0" wp14:anchorId="77D6EA1A" wp14:editId="0ADFDB4A">
          <wp:extent cx="1495425" cy="1652088"/>
          <wp:effectExtent l="0" t="0" r="0" b="5715"/>
          <wp:docPr id="13" name="Picture 13" descr="C:\Users\SilinsJ\Pictures\New Picture (5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insJ\Pictures\New Picture (58).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165208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55C4"/>
    <w:multiLevelType w:val="multilevel"/>
    <w:tmpl w:val="F2BEF402"/>
    <w:lvl w:ilvl="0">
      <w:start w:val="1"/>
      <w:numFmt w:val="decimal"/>
      <w:pStyle w:val="HE1F"/>
      <w:lvlText w:val="%1."/>
      <w:lvlJc w:val="left"/>
      <w:pPr>
        <w:ind w:left="1080" w:hanging="360"/>
      </w:pPr>
      <w:rPr>
        <w:rFonts w:hint="default"/>
      </w:rPr>
    </w:lvl>
    <w:lvl w:ilvl="1">
      <w:start w:val="1"/>
      <w:numFmt w:val="decimal"/>
      <w:pStyle w:val="HE2F"/>
      <w:isLgl/>
      <w:lvlText w:val="%1.%2."/>
      <w:lvlJc w:val="left"/>
      <w:pPr>
        <w:ind w:left="1699" w:hanging="630"/>
      </w:pPr>
      <w:rPr>
        <w:rFonts w:hint="default"/>
      </w:rPr>
    </w:lvl>
    <w:lvl w:ilvl="2">
      <w:start w:val="1"/>
      <w:numFmt w:val="decimal"/>
      <w:pStyle w:val="HE3F"/>
      <w:isLgl/>
      <w:lvlText w:val="%1.%2.%3."/>
      <w:lvlJc w:val="left"/>
      <w:pPr>
        <w:ind w:left="2138" w:hanging="720"/>
      </w:pPr>
      <w:rPr>
        <w:rFonts w:hint="default"/>
      </w:rPr>
    </w:lvl>
    <w:lvl w:ilvl="3">
      <w:start w:val="1"/>
      <w:numFmt w:val="decimal"/>
      <w:pStyle w:val="HE4F"/>
      <w:isLgl/>
      <w:lvlText w:val="%1.%2.%3.%4."/>
      <w:lvlJc w:val="left"/>
      <w:pPr>
        <w:ind w:left="2487"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45" w:hanging="1080"/>
      </w:pPr>
      <w:rPr>
        <w:rFonts w:hint="default"/>
      </w:rPr>
    </w:lvl>
    <w:lvl w:ilvl="6">
      <w:start w:val="1"/>
      <w:numFmt w:val="decimal"/>
      <w:isLgl/>
      <w:lvlText w:val="%1.%2.%3.%4.%5.%6.%7."/>
      <w:lvlJc w:val="left"/>
      <w:pPr>
        <w:ind w:left="4254" w:hanging="1440"/>
      </w:pPr>
      <w:rPr>
        <w:rFonts w:hint="default"/>
      </w:rPr>
    </w:lvl>
    <w:lvl w:ilvl="7">
      <w:start w:val="1"/>
      <w:numFmt w:val="decimal"/>
      <w:isLgl/>
      <w:lvlText w:val="%1.%2.%3.%4.%5.%6.%7.%8."/>
      <w:lvlJc w:val="left"/>
      <w:pPr>
        <w:ind w:left="4603" w:hanging="1440"/>
      </w:pPr>
      <w:rPr>
        <w:rFonts w:hint="default"/>
      </w:rPr>
    </w:lvl>
    <w:lvl w:ilvl="8">
      <w:start w:val="1"/>
      <w:numFmt w:val="decimal"/>
      <w:isLgl/>
      <w:lvlText w:val="%1.%2.%3.%4.%5.%6.%7.%8.%9."/>
      <w:lvlJc w:val="left"/>
      <w:pPr>
        <w:ind w:left="5312" w:hanging="1800"/>
      </w:pPr>
      <w:rPr>
        <w:rFonts w:hint="default"/>
      </w:rPr>
    </w:lvl>
  </w:abstractNum>
  <w:abstractNum w:abstractNumId="1">
    <w:nsid w:val="001A147B"/>
    <w:multiLevelType w:val="hybridMultilevel"/>
    <w:tmpl w:val="E52C4E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03F0C48"/>
    <w:multiLevelType w:val="hybridMultilevel"/>
    <w:tmpl w:val="C2B2B54E"/>
    <w:lvl w:ilvl="0" w:tplc="04260001">
      <w:start w:val="1"/>
      <w:numFmt w:val="bullet"/>
      <w:lvlText w:val=""/>
      <w:lvlJc w:val="left"/>
      <w:pPr>
        <w:ind w:left="1077" w:hanging="360"/>
      </w:pPr>
      <w:rPr>
        <w:rFonts w:ascii="Symbol" w:hAnsi="Symbol" w:hint="default"/>
      </w:rPr>
    </w:lvl>
    <w:lvl w:ilvl="1" w:tplc="04260003">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3">
    <w:nsid w:val="034A4F75"/>
    <w:multiLevelType w:val="hybridMultilevel"/>
    <w:tmpl w:val="3E2A5B2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nsid w:val="07BE329B"/>
    <w:multiLevelType w:val="hybridMultilevel"/>
    <w:tmpl w:val="54C8DC0E"/>
    <w:lvl w:ilvl="0" w:tplc="04260001">
      <w:start w:val="1"/>
      <w:numFmt w:val="bullet"/>
      <w:lvlText w:val=""/>
      <w:lvlJc w:val="left"/>
      <w:pPr>
        <w:tabs>
          <w:tab w:val="num" w:pos="360"/>
        </w:tabs>
        <w:ind w:left="360" w:hanging="360"/>
      </w:pPr>
      <w:rPr>
        <w:rFonts w:ascii="Symbol" w:hAnsi="Symbol" w:hint="default"/>
      </w:rPr>
    </w:lvl>
    <w:lvl w:ilvl="1" w:tplc="A372E27E">
      <w:start w:val="2257"/>
      <w:numFmt w:val="bullet"/>
      <w:lvlText w:val=""/>
      <w:lvlJc w:val="left"/>
      <w:pPr>
        <w:tabs>
          <w:tab w:val="num" w:pos="1080"/>
        </w:tabs>
        <w:ind w:left="1080" w:hanging="360"/>
      </w:pPr>
      <w:rPr>
        <w:rFonts w:ascii="Wingdings" w:hAnsi="Wingdings" w:hint="default"/>
      </w:rPr>
    </w:lvl>
    <w:lvl w:ilvl="2" w:tplc="AD6A29B6" w:tentative="1">
      <w:start w:val="1"/>
      <w:numFmt w:val="bullet"/>
      <w:lvlText w:val=""/>
      <w:lvlJc w:val="left"/>
      <w:pPr>
        <w:tabs>
          <w:tab w:val="num" w:pos="1800"/>
        </w:tabs>
        <w:ind w:left="1800" w:hanging="360"/>
      </w:pPr>
      <w:rPr>
        <w:rFonts w:ascii="Wingdings" w:hAnsi="Wingdings" w:hint="default"/>
      </w:rPr>
    </w:lvl>
    <w:lvl w:ilvl="3" w:tplc="8C529706" w:tentative="1">
      <w:start w:val="1"/>
      <w:numFmt w:val="bullet"/>
      <w:lvlText w:val=""/>
      <w:lvlJc w:val="left"/>
      <w:pPr>
        <w:tabs>
          <w:tab w:val="num" w:pos="2520"/>
        </w:tabs>
        <w:ind w:left="2520" w:hanging="360"/>
      </w:pPr>
      <w:rPr>
        <w:rFonts w:ascii="Wingdings" w:hAnsi="Wingdings" w:hint="default"/>
      </w:rPr>
    </w:lvl>
    <w:lvl w:ilvl="4" w:tplc="4B020878" w:tentative="1">
      <w:start w:val="1"/>
      <w:numFmt w:val="bullet"/>
      <w:lvlText w:val=""/>
      <w:lvlJc w:val="left"/>
      <w:pPr>
        <w:tabs>
          <w:tab w:val="num" w:pos="3240"/>
        </w:tabs>
        <w:ind w:left="3240" w:hanging="360"/>
      </w:pPr>
      <w:rPr>
        <w:rFonts w:ascii="Wingdings" w:hAnsi="Wingdings" w:hint="default"/>
      </w:rPr>
    </w:lvl>
    <w:lvl w:ilvl="5" w:tplc="38EAC276" w:tentative="1">
      <w:start w:val="1"/>
      <w:numFmt w:val="bullet"/>
      <w:lvlText w:val=""/>
      <w:lvlJc w:val="left"/>
      <w:pPr>
        <w:tabs>
          <w:tab w:val="num" w:pos="3960"/>
        </w:tabs>
        <w:ind w:left="3960" w:hanging="360"/>
      </w:pPr>
      <w:rPr>
        <w:rFonts w:ascii="Wingdings" w:hAnsi="Wingdings" w:hint="default"/>
      </w:rPr>
    </w:lvl>
    <w:lvl w:ilvl="6" w:tplc="C7B4BDD8" w:tentative="1">
      <w:start w:val="1"/>
      <w:numFmt w:val="bullet"/>
      <w:lvlText w:val=""/>
      <w:lvlJc w:val="left"/>
      <w:pPr>
        <w:tabs>
          <w:tab w:val="num" w:pos="4680"/>
        </w:tabs>
        <w:ind w:left="4680" w:hanging="360"/>
      </w:pPr>
      <w:rPr>
        <w:rFonts w:ascii="Wingdings" w:hAnsi="Wingdings" w:hint="default"/>
      </w:rPr>
    </w:lvl>
    <w:lvl w:ilvl="7" w:tplc="795E8B0C" w:tentative="1">
      <w:start w:val="1"/>
      <w:numFmt w:val="bullet"/>
      <w:lvlText w:val=""/>
      <w:lvlJc w:val="left"/>
      <w:pPr>
        <w:tabs>
          <w:tab w:val="num" w:pos="5400"/>
        </w:tabs>
        <w:ind w:left="5400" w:hanging="360"/>
      </w:pPr>
      <w:rPr>
        <w:rFonts w:ascii="Wingdings" w:hAnsi="Wingdings" w:hint="default"/>
      </w:rPr>
    </w:lvl>
    <w:lvl w:ilvl="8" w:tplc="E5EA0622" w:tentative="1">
      <w:start w:val="1"/>
      <w:numFmt w:val="bullet"/>
      <w:lvlText w:val=""/>
      <w:lvlJc w:val="left"/>
      <w:pPr>
        <w:tabs>
          <w:tab w:val="num" w:pos="6120"/>
        </w:tabs>
        <w:ind w:left="6120" w:hanging="360"/>
      </w:pPr>
      <w:rPr>
        <w:rFonts w:ascii="Wingdings" w:hAnsi="Wingdings" w:hint="default"/>
      </w:rPr>
    </w:lvl>
  </w:abstractNum>
  <w:abstractNum w:abstractNumId="5">
    <w:nsid w:val="0EF15A04"/>
    <w:multiLevelType w:val="hybridMultilevel"/>
    <w:tmpl w:val="243C84A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nsid w:val="13CA66C2"/>
    <w:multiLevelType w:val="hybridMultilevel"/>
    <w:tmpl w:val="A32C4488"/>
    <w:lvl w:ilvl="0" w:tplc="96F80EA2">
      <w:start w:val="201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16317C3E"/>
    <w:multiLevelType w:val="hybridMultilevel"/>
    <w:tmpl w:val="6BE238F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nsid w:val="18924969"/>
    <w:multiLevelType w:val="hybridMultilevel"/>
    <w:tmpl w:val="23306990"/>
    <w:lvl w:ilvl="0" w:tplc="66647672">
      <w:start w:val="1"/>
      <w:numFmt w:val="bullet"/>
      <w:lvlText w:val="•"/>
      <w:lvlJc w:val="left"/>
      <w:pPr>
        <w:ind w:left="1429" w:hanging="360"/>
      </w:pPr>
      <w:rPr>
        <w:rFonts w:ascii="Arial" w:hAnsi="Aria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nsid w:val="1A1F4599"/>
    <w:multiLevelType w:val="hybridMultilevel"/>
    <w:tmpl w:val="85CEAA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1B5A13D3"/>
    <w:multiLevelType w:val="hybridMultilevel"/>
    <w:tmpl w:val="8FF2B8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1C535DEF"/>
    <w:multiLevelType w:val="hybridMultilevel"/>
    <w:tmpl w:val="C54CA11A"/>
    <w:lvl w:ilvl="0" w:tplc="04260011">
      <w:start w:val="1"/>
      <w:numFmt w:val="decimal"/>
      <w:lvlText w:val="%1)"/>
      <w:lvlJc w:val="left"/>
      <w:pPr>
        <w:ind w:left="360" w:hanging="360"/>
      </w:pPr>
      <w:rPr>
        <w:rFonts w:hint="default"/>
        <w:u w:val="none"/>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nsid w:val="1C6B6260"/>
    <w:multiLevelType w:val="hybridMultilevel"/>
    <w:tmpl w:val="707EF296"/>
    <w:lvl w:ilvl="0" w:tplc="66647672">
      <w:start w:val="1"/>
      <w:numFmt w:val="bullet"/>
      <w:lvlText w:val="•"/>
      <w:lvlJc w:val="left"/>
      <w:pPr>
        <w:ind w:left="360" w:hanging="360"/>
      </w:pPr>
      <w:rPr>
        <w:rFonts w:ascii="Arial" w:hAnsi="Aria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nsid w:val="203E11EF"/>
    <w:multiLevelType w:val="multilevel"/>
    <w:tmpl w:val="8904CC36"/>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nsid w:val="24AD38E1"/>
    <w:multiLevelType w:val="hybridMultilevel"/>
    <w:tmpl w:val="B4C8DAA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nsid w:val="2A5372FA"/>
    <w:multiLevelType w:val="hybridMultilevel"/>
    <w:tmpl w:val="79902480"/>
    <w:lvl w:ilvl="0" w:tplc="66647672">
      <w:start w:val="1"/>
      <w:numFmt w:val="bullet"/>
      <w:lvlText w:val="•"/>
      <w:lvlJc w:val="left"/>
      <w:pPr>
        <w:ind w:left="360" w:hanging="360"/>
      </w:pPr>
      <w:rPr>
        <w:rFonts w:ascii="Arial" w:hAnsi="Aria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nsid w:val="2C2969DA"/>
    <w:multiLevelType w:val="hybridMultilevel"/>
    <w:tmpl w:val="DA7C5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DC6944"/>
    <w:multiLevelType w:val="hybridMultilevel"/>
    <w:tmpl w:val="3E2A5B2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nsid w:val="33BE47E0"/>
    <w:multiLevelType w:val="hybridMultilevel"/>
    <w:tmpl w:val="ECB47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3454273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65D5DEB"/>
    <w:multiLevelType w:val="hybridMultilevel"/>
    <w:tmpl w:val="ABDE1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39B104ED"/>
    <w:multiLevelType w:val="hybridMultilevel"/>
    <w:tmpl w:val="3D36C7AA"/>
    <w:lvl w:ilvl="0" w:tplc="66647672">
      <w:start w:val="1"/>
      <w:numFmt w:val="bullet"/>
      <w:lvlText w:val="•"/>
      <w:lvlJc w:val="left"/>
      <w:pPr>
        <w:ind w:left="360" w:hanging="360"/>
      </w:pPr>
      <w:rPr>
        <w:rFonts w:ascii="Arial" w:hAnsi="Aria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nsid w:val="3B3407CE"/>
    <w:multiLevelType w:val="hybridMultilevel"/>
    <w:tmpl w:val="364A2876"/>
    <w:lvl w:ilvl="0" w:tplc="66647672">
      <w:start w:val="1"/>
      <w:numFmt w:val="bullet"/>
      <w:lvlText w:val="•"/>
      <w:lvlJc w:val="left"/>
      <w:pPr>
        <w:ind w:left="360" w:hanging="360"/>
      </w:pPr>
      <w:rPr>
        <w:rFonts w:ascii="Arial" w:hAnsi="Aria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nsid w:val="3C012BE1"/>
    <w:multiLevelType w:val="hybridMultilevel"/>
    <w:tmpl w:val="08645D5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nsid w:val="404605A7"/>
    <w:multiLevelType w:val="hybridMultilevel"/>
    <w:tmpl w:val="FBE4EBD2"/>
    <w:lvl w:ilvl="0" w:tplc="66647672">
      <w:start w:val="1"/>
      <w:numFmt w:val="bullet"/>
      <w:lvlText w:val="•"/>
      <w:lvlJc w:val="left"/>
      <w:pPr>
        <w:tabs>
          <w:tab w:val="num" w:pos="360"/>
        </w:tabs>
        <w:ind w:left="360" w:hanging="360"/>
      </w:pPr>
      <w:rPr>
        <w:rFonts w:ascii="Arial" w:hAnsi="Arial" w:hint="default"/>
      </w:rPr>
    </w:lvl>
    <w:lvl w:ilvl="1" w:tplc="58427440">
      <w:start w:val="1"/>
      <w:numFmt w:val="bullet"/>
      <w:lvlText w:val="•"/>
      <w:lvlJc w:val="left"/>
      <w:pPr>
        <w:tabs>
          <w:tab w:val="num" w:pos="1080"/>
        </w:tabs>
        <w:ind w:left="1080" w:hanging="360"/>
      </w:pPr>
      <w:rPr>
        <w:rFonts w:ascii="Arial" w:hAnsi="Arial" w:hint="default"/>
      </w:rPr>
    </w:lvl>
    <w:lvl w:ilvl="2" w:tplc="232CB5CA" w:tentative="1">
      <w:start w:val="1"/>
      <w:numFmt w:val="bullet"/>
      <w:lvlText w:val="•"/>
      <w:lvlJc w:val="left"/>
      <w:pPr>
        <w:tabs>
          <w:tab w:val="num" w:pos="1800"/>
        </w:tabs>
        <w:ind w:left="1800" w:hanging="360"/>
      </w:pPr>
      <w:rPr>
        <w:rFonts w:ascii="Arial" w:hAnsi="Arial" w:hint="default"/>
      </w:rPr>
    </w:lvl>
    <w:lvl w:ilvl="3" w:tplc="AD423D94" w:tentative="1">
      <w:start w:val="1"/>
      <w:numFmt w:val="bullet"/>
      <w:lvlText w:val="•"/>
      <w:lvlJc w:val="left"/>
      <w:pPr>
        <w:tabs>
          <w:tab w:val="num" w:pos="2520"/>
        </w:tabs>
        <w:ind w:left="2520" w:hanging="360"/>
      </w:pPr>
      <w:rPr>
        <w:rFonts w:ascii="Arial" w:hAnsi="Arial" w:hint="default"/>
      </w:rPr>
    </w:lvl>
    <w:lvl w:ilvl="4" w:tplc="B88EA55E" w:tentative="1">
      <w:start w:val="1"/>
      <w:numFmt w:val="bullet"/>
      <w:lvlText w:val="•"/>
      <w:lvlJc w:val="left"/>
      <w:pPr>
        <w:tabs>
          <w:tab w:val="num" w:pos="3240"/>
        </w:tabs>
        <w:ind w:left="3240" w:hanging="360"/>
      </w:pPr>
      <w:rPr>
        <w:rFonts w:ascii="Arial" w:hAnsi="Arial" w:hint="default"/>
      </w:rPr>
    </w:lvl>
    <w:lvl w:ilvl="5" w:tplc="97BCA8E0" w:tentative="1">
      <w:start w:val="1"/>
      <w:numFmt w:val="bullet"/>
      <w:lvlText w:val="•"/>
      <w:lvlJc w:val="left"/>
      <w:pPr>
        <w:tabs>
          <w:tab w:val="num" w:pos="3960"/>
        </w:tabs>
        <w:ind w:left="3960" w:hanging="360"/>
      </w:pPr>
      <w:rPr>
        <w:rFonts w:ascii="Arial" w:hAnsi="Arial" w:hint="default"/>
      </w:rPr>
    </w:lvl>
    <w:lvl w:ilvl="6" w:tplc="49A21C98" w:tentative="1">
      <w:start w:val="1"/>
      <w:numFmt w:val="bullet"/>
      <w:lvlText w:val="•"/>
      <w:lvlJc w:val="left"/>
      <w:pPr>
        <w:tabs>
          <w:tab w:val="num" w:pos="4680"/>
        </w:tabs>
        <w:ind w:left="4680" w:hanging="360"/>
      </w:pPr>
      <w:rPr>
        <w:rFonts w:ascii="Arial" w:hAnsi="Arial" w:hint="default"/>
      </w:rPr>
    </w:lvl>
    <w:lvl w:ilvl="7" w:tplc="742C417C" w:tentative="1">
      <w:start w:val="1"/>
      <w:numFmt w:val="bullet"/>
      <w:lvlText w:val="•"/>
      <w:lvlJc w:val="left"/>
      <w:pPr>
        <w:tabs>
          <w:tab w:val="num" w:pos="5400"/>
        </w:tabs>
        <w:ind w:left="5400" w:hanging="360"/>
      </w:pPr>
      <w:rPr>
        <w:rFonts w:ascii="Arial" w:hAnsi="Arial" w:hint="default"/>
      </w:rPr>
    </w:lvl>
    <w:lvl w:ilvl="8" w:tplc="89F2907E" w:tentative="1">
      <w:start w:val="1"/>
      <w:numFmt w:val="bullet"/>
      <w:lvlText w:val="•"/>
      <w:lvlJc w:val="left"/>
      <w:pPr>
        <w:tabs>
          <w:tab w:val="num" w:pos="6120"/>
        </w:tabs>
        <w:ind w:left="6120" w:hanging="360"/>
      </w:pPr>
      <w:rPr>
        <w:rFonts w:ascii="Arial" w:hAnsi="Arial" w:hint="default"/>
      </w:rPr>
    </w:lvl>
  </w:abstractNum>
  <w:abstractNum w:abstractNumId="25">
    <w:nsid w:val="413E27A4"/>
    <w:multiLevelType w:val="hybridMultilevel"/>
    <w:tmpl w:val="CFD0F49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428F3C46"/>
    <w:multiLevelType w:val="hybridMultilevel"/>
    <w:tmpl w:val="30DA764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nsid w:val="43C17E3C"/>
    <w:multiLevelType w:val="hybridMultilevel"/>
    <w:tmpl w:val="207A38D2"/>
    <w:lvl w:ilvl="0" w:tplc="66647672">
      <w:start w:val="1"/>
      <w:numFmt w:val="bullet"/>
      <w:lvlText w:val="•"/>
      <w:lvlJc w:val="left"/>
      <w:pPr>
        <w:ind w:left="1429" w:hanging="360"/>
      </w:pPr>
      <w:rPr>
        <w:rFonts w:ascii="Arial" w:hAnsi="Aria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8">
    <w:nsid w:val="4AC4089C"/>
    <w:multiLevelType w:val="hybridMultilevel"/>
    <w:tmpl w:val="F896384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4E171E6E"/>
    <w:multiLevelType w:val="hybridMultilevel"/>
    <w:tmpl w:val="3CEEC4FE"/>
    <w:lvl w:ilvl="0" w:tplc="66647672">
      <w:start w:val="1"/>
      <w:numFmt w:val="bullet"/>
      <w:lvlText w:val="•"/>
      <w:lvlJc w:val="left"/>
      <w:pPr>
        <w:ind w:left="360" w:hanging="360"/>
      </w:pPr>
      <w:rPr>
        <w:rFonts w:ascii="Arial" w:hAnsi="Aria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nsid w:val="4FC61FD9"/>
    <w:multiLevelType w:val="hybridMultilevel"/>
    <w:tmpl w:val="7E3C47B4"/>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1">
    <w:nsid w:val="50F20F62"/>
    <w:multiLevelType w:val="hybridMultilevel"/>
    <w:tmpl w:val="C1CC3AE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nsid w:val="55630A25"/>
    <w:multiLevelType w:val="hybridMultilevel"/>
    <w:tmpl w:val="B6822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567809F8"/>
    <w:multiLevelType w:val="multilevel"/>
    <w:tmpl w:val="A4EA374C"/>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7023D79"/>
    <w:multiLevelType w:val="hybridMultilevel"/>
    <w:tmpl w:val="FBD6D54E"/>
    <w:lvl w:ilvl="0" w:tplc="66647672">
      <w:start w:val="1"/>
      <w:numFmt w:val="bullet"/>
      <w:lvlText w:val="•"/>
      <w:lvlJc w:val="left"/>
      <w:pPr>
        <w:ind w:left="360" w:hanging="360"/>
      </w:pPr>
      <w:rPr>
        <w:rFonts w:ascii="Arial" w:hAnsi="Aria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5">
    <w:nsid w:val="5A4A0030"/>
    <w:multiLevelType w:val="hybridMultilevel"/>
    <w:tmpl w:val="3E2A5B2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nsid w:val="5F476220"/>
    <w:multiLevelType w:val="hybridMultilevel"/>
    <w:tmpl w:val="7298BA1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nsid w:val="647358E6"/>
    <w:multiLevelType w:val="hybridMultilevel"/>
    <w:tmpl w:val="8CFE715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nsid w:val="660220E5"/>
    <w:multiLevelType w:val="hybridMultilevel"/>
    <w:tmpl w:val="A6B609B8"/>
    <w:lvl w:ilvl="0" w:tplc="8E189CD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6AEE044A"/>
    <w:multiLevelType w:val="hybridMultilevel"/>
    <w:tmpl w:val="A066DB26"/>
    <w:lvl w:ilvl="0" w:tplc="66647672">
      <w:start w:val="1"/>
      <w:numFmt w:val="bullet"/>
      <w:lvlText w:val="•"/>
      <w:lvlJc w:val="left"/>
      <w:pPr>
        <w:ind w:left="360" w:hanging="360"/>
      </w:pPr>
      <w:rPr>
        <w:rFonts w:ascii="Arial" w:hAnsi="Aria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0">
    <w:nsid w:val="6CCA5B82"/>
    <w:multiLevelType w:val="hybridMultilevel"/>
    <w:tmpl w:val="71CC33E4"/>
    <w:lvl w:ilvl="0" w:tplc="04260001">
      <w:start w:val="1"/>
      <w:numFmt w:val="bullet"/>
      <w:lvlText w:val=""/>
      <w:lvlJc w:val="left"/>
      <w:pPr>
        <w:ind w:left="1080"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nsid w:val="6E4756B3"/>
    <w:multiLevelType w:val="multilevel"/>
    <w:tmpl w:val="C5F86962"/>
    <w:lvl w:ilvl="0">
      <w:start w:val="2"/>
      <w:numFmt w:val="decimal"/>
      <w:lvlText w:val="%1."/>
      <w:lvlJc w:val="left"/>
      <w:pPr>
        <w:ind w:left="360" w:hanging="360"/>
      </w:pPr>
      <w:rPr>
        <w:rFonts w:hint="default"/>
        <w:b w:val="0"/>
        <w:sz w:val="24"/>
      </w:rPr>
    </w:lvl>
    <w:lvl w:ilvl="1">
      <w:start w:val="3"/>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42">
    <w:nsid w:val="6E645301"/>
    <w:multiLevelType w:val="hybridMultilevel"/>
    <w:tmpl w:val="26D06288"/>
    <w:lvl w:ilvl="0" w:tplc="66647672">
      <w:start w:val="1"/>
      <w:numFmt w:val="bullet"/>
      <w:lvlText w:val="•"/>
      <w:lvlJc w:val="left"/>
      <w:pPr>
        <w:tabs>
          <w:tab w:val="num" w:pos="360"/>
        </w:tabs>
        <w:ind w:left="36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4">
    <w:nsid w:val="6FBD0353"/>
    <w:multiLevelType w:val="hybridMultilevel"/>
    <w:tmpl w:val="5652F29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5">
    <w:nsid w:val="72D35BC3"/>
    <w:multiLevelType w:val="hybridMultilevel"/>
    <w:tmpl w:val="FE0CCBE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6">
    <w:nsid w:val="73235240"/>
    <w:multiLevelType w:val="hybridMultilevel"/>
    <w:tmpl w:val="3E2A5B2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7">
    <w:nsid w:val="782A2AAB"/>
    <w:multiLevelType w:val="hybridMultilevel"/>
    <w:tmpl w:val="239ECCDC"/>
    <w:lvl w:ilvl="0" w:tplc="C0AC208A">
      <w:start w:val="1"/>
      <w:numFmt w:val="bullet"/>
      <w:lvlText w:val="•"/>
      <w:lvlJc w:val="left"/>
      <w:pPr>
        <w:tabs>
          <w:tab w:val="num" w:pos="720"/>
        </w:tabs>
        <w:ind w:left="720" w:hanging="360"/>
      </w:pPr>
      <w:rPr>
        <w:rFonts w:ascii="Arial" w:hAnsi="Arial" w:hint="default"/>
      </w:rPr>
    </w:lvl>
    <w:lvl w:ilvl="1" w:tplc="CB121B80">
      <w:start w:val="2768"/>
      <w:numFmt w:val="bullet"/>
      <w:lvlText w:val="•"/>
      <w:lvlJc w:val="left"/>
      <w:pPr>
        <w:tabs>
          <w:tab w:val="num" w:pos="1440"/>
        </w:tabs>
        <w:ind w:left="1440" w:hanging="360"/>
      </w:pPr>
      <w:rPr>
        <w:rFonts w:ascii="Arial" w:hAnsi="Arial" w:hint="default"/>
      </w:rPr>
    </w:lvl>
    <w:lvl w:ilvl="2" w:tplc="52D2C704" w:tentative="1">
      <w:start w:val="1"/>
      <w:numFmt w:val="bullet"/>
      <w:lvlText w:val="•"/>
      <w:lvlJc w:val="left"/>
      <w:pPr>
        <w:tabs>
          <w:tab w:val="num" w:pos="2160"/>
        </w:tabs>
        <w:ind w:left="2160" w:hanging="360"/>
      </w:pPr>
      <w:rPr>
        <w:rFonts w:ascii="Arial" w:hAnsi="Arial" w:hint="default"/>
      </w:rPr>
    </w:lvl>
    <w:lvl w:ilvl="3" w:tplc="8EEA2640" w:tentative="1">
      <w:start w:val="1"/>
      <w:numFmt w:val="bullet"/>
      <w:lvlText w:val="•"/>
      <w:lvlJc w:val="left"/>
      <w:pPr>
        <w:tabs>
          <w:tab w:val="num" w:pos="2880"/>
        </w:tabs>
        <w:ind w:left="2880" w:hanging="360"/>
      </w:pPr>
      <w:rPr>
        <w:rFonts w:ascii="Arial" w:hAnsi="Arial" w:hint="default"/>
      </w:rPr>
    </w:lvl>
    <w:lvl w:ilvl="4" w:tplc="C130DA58" w:tentative="1">
      <w:start w:val="1"/>
      <w:numFmt w:val="bullet"/>
      <w:lvlText w:val="•"/>
      <w:lvlJc w:val="left"/>
      <w:pPr>
        <w:tabs>
          <w:tab w:val="num" w:pos="3600"/>
        </w:tabs>
        <w:ind w:left="3600" w:hanging="360"/>
      </w:pPr>
      <w:rPr>
        <w:rFonts w:ascii="Arial" w:hAnsi="Arial" w:hint="default"/>
      </w:rPr>
    </w:lvl>
    <w:lvl w:ilvl="5" w:tplc="DFF8C426" w:tentative="1">
      <w:start w:val="1"/>
      <w:numFmt w:val="bullet"/>
      <w:lvlText w:val="•"/>
      <w:lvlJc w:val="left"/>
      <w:pPr>
        <w:tabs>
          <w:tab w:val="num" w:pos="4320"/>
        </w:tabs>
        <w:ind w:left="4320" w:hanging="360"/>
      </w:pPr>
      <w:rPr>
        <w:rFonts w:ascii="Arial" w:hAnsi="Arial" w:hint="default"/>
      </w:rPr>
    </w:lvl>
    <w:lvl w:ilvl="6" w:tplc="701414C2" w:tentative="1">
      <w:start w:val="1"/>
      <w:numFmt w:val="bullet"/>
      <w:lvlText w:val="•"/>
      <w:lvlJc w:val="left"/>
      <w:pPr>
        <w:tabs>
          <w:tab w:val="num" w:pos="5040"/>
        </w:tabs>
        <w:ind w:left="5040" w:hanging="360"/>
      </w:pPr>
      <w:rPr>
        <w:rFonts w:ascii="Arial" w:hAnsi="Arial" w:hint="default"/>
      </w:rPr>
    </w:lvl>
    <w:lvl w:ilvl="7" w:tplc="C038B59E" w:tentative="1">
      <w:start w:val="1"/>
      <w:numFmt w:val="bullet"/>
      <w:lvlText w:val="•"/>
      <w:lvlJc w:val="left"/>
      <w:pPr>
        <w:tabs>
          <w:tab w:val="num" w:pos="5760"/>
        </w:tabs>
        <w:ind w:left="5760" w:hanging="360"/>
      </w:pPr>
      <w:rPr>
        <w:rFonts w:ascii="Arial" w:hAnsi="Arial" w:hint="default"/>
      </w:rPr>
    </w:lvl>
    <w:lvl w:ilvl="8" w:tplc="16401CF2" w:tentative="1">
      <w:start w:val="1"/>
      <w:numFmt w:val="bullet"/>
      <w:lvlText w:val="•"/>
      <w:lvlJc w:val="left"/>
      <w:pPr>
        <w:tabs>
          <w:tab w:val="num" w:pos="6480"/>
        </w:tabs>
        <w:ind w:left="6480" w:hanging="360"/>
      </w:pPr>
      <w:rPr>
        <w:rFonts w:ascii="Arial" w:hAnsi="Arial" w:hint="default"/>
      </w:rPr>
    </w:lvl>
  </w:abstractNum>
  <w:num w:numId="1">
    <w:abstractNumId w:val="26"/>
  </w:num>
  <w:num w:numId="2">
    <w:abstractNumId w:val="31"/>
  </w:num>
  <w:num w:numId="3">
    <w:abstractNumId w:val="24"/>
  </w:num>
  <w:num w:numId="4">
    <w:abstractNumId w:val="7"/>
  </w:num>
  <w:num w:numId="5">
    <w:abstractNumId w:val="44"/>
  </w:num>
  <w:num w:numId="6">
    <w:abstractNumId w:val="37"/>
  </w:num>
  <w:num w:numId="7">
    <w:abstractNumId w:val="5"/>
  </w:num>
  <w:num w:numId="8">
    <w:abstractNumId w:val="40"/>
  </w:num>
  <w:num w:numId="9">
    <w:abstractNumId w:val="4"/>
  </w:num>
  <w:num w:numId="10">
    <w:abstractNumId w:val="16"/>
  </w:num>
  <w:num w:numId="11">
    <w:abstractNumId w:val="11"/>
  </w:num>
  <w:num w:numId="12">
    <w:abstractNumId w:val="17"/>
  </w:num>
  <w:num w:numId="13">
    <w:abstractNumId w:val="36"/>
  </w:num>
  <w:num w:numId="14">
    <w:abstractNumId w:val="23"/>
  </w:num>
  <w:num w:numId="15">
    <w:abstractNumId w:val="45"/>
  </w:num>
  <w:num w:numId="16">
    <w:abstractNumId w:val="0"/>
  </w:num>
  <w:num w:numId="17">
    <w:abstractNumId w:val="43"/>
  </w:num>
  <w:num w:numId="18">
    <w:abstractNumId w:val="14"/>
  </w:num>
  <w:num w:numId="19">
    <w:abstractNumId w:val="13"/>
  </w:num>
  <w:num w:numId="20">
    <w:abstractNumId w:val="2"/>
  </w:num>
  <w:num w:numId="21">
    <w:abstractNumId w:val="30"/>
  </w:num>
  <w:num w:numId="22">
    <w:abstractNumId w:val="42"/>
  </w:num>
  <w:num w:numId="23">
    <w:abstractNumId w:val="21"/>
  </w:num>
  <w:num w:numId="24">
    <w:abstractNumId w:val="28"/>
  </w:num>
  <w:num w:numId="25">
    <w:abstractNumId w:val="47"/>
  </w:num>
  <w:num w:numId="26">
    <w:abstractNumId w:val="25"/>
  </w:num>
  <w:num w:numId="27">
    <w:abstractNumId w:val="39"/>
  </w:num>
  <w:num w:numId="28">
    <w:abstractNumId w:val="34"/>
  </w:num>
  <w:num w:numId="29">
    <w:abstractNumId w:val="8"/>
  </w:num>
  <w:num w:numId="30">
    <w:abstractNumId w:val="29"/>
  </w:num>
  <w:num w:numId="31">
    <w:abstractNumId w:val="27"/>
  </w:num>
  <w:num w:numId="32">
    <w:abstractNumId w:val="15"/>
  </w:num>
  <w:num w:numId="33">
    <w:abstractNumId w:val="12"/>
  </w:num>
  <w:num w:numId="34">
    <w:abstractNumId w:val="22"/>
  </w:num>
  <w:num w:numId="35">
    <w:abstractNumId w:val="1"/>
  </w:num>
  <w:num w:numId="36">
    <w:abstractNumId w:val="35"/>
  </w:num>
  <w:num w:numId="37">
    <w:abstractNumId w:val="46"/>
  </w:num>
  <w:num w:numId="38">
    <w:abstractNumId w:val="3"/>
  </w:num>
  <w:num w:numId="39">
    <w:abstractNumId w:val="33"/>
  </w:num>
  <w:num w:numId="40">
    <w:abstractNumId w:val="20"/>
  </w:num>
  <w:num w:numId="41">
    <w:abstractNumId w:val="6"/>
  </w:num>
  <w:num w:numId="42">
    <w:abstractNumId w:val="10"/>
  </w:num>
  <w:num w:numId="43">
    <w:abstractNumId w:val="18"/>
  </w:num>
  <w:num w:numId="44">
    <w:abstractNumId w:val="32"/>
  </w:num>
  <w:num w:numId="45">
    <w:abstractNumId w:val="19"/>
  </w:num>
  <w:num w:numId="46">
    <w:abstractNumId w:val="41"/>
  </w:num>
  <w:num w:numId="47">
    <w:abstractNumId w:val="38"/>
  </w:num>
  <w:num w:numId="48">
    <w:abstractNumId w:val="9"/>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spars Purmalietis">
    <w15:presenceInfo w15:providerId="AD" w15:userId="S-1-5-21-734147818-1251574435-2103723179-5225"/>
  </w15:person>
  <w15:person w15:author="Una Vanaga">
    <w15:presenceInfo w15:providerId="AD" w15:userId="S-1-5-21-734147818-1251574435-2103723179-1423"/>
  </w15:person>
  <w15:person w15:author="Skaidrīte Rancāne-Slavinska">
    <w15:presenceInfo w15:providerId="AD" w15:userId="S-1-5-21-734147818-1251574435-2103723179-2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FA0"/>
    <w:rsid w:val="00002784"/>
    <w:rsid w:val="00006070"/>
    <w:rsid w:val="00015126"/>
    <w:rsid w:val="00022CC6"/>
    <w:rsid w:val="00024DD8"/>
    <w:rsid w:val="00030D4A"/>
    <w:rsid w:val="000328FA"/>
    <w:rsid w:val="00033D9B"/>
    <w:rsid w:val="000346D6"/>
    <w:rsid w:val="0004011B"/>
    <w:rsid w:val="00054170"/>
    <w:rsid w:val="00056018"/>
    <w:rsid w:val="00060BE2"/>
    <w:rsid w:val="00061C04"/>
    <w:rsid w:val="000643AC"/>
    <w:rsid w:val="00070FF8"/>
    <w:rsid w:val="000743CD"/>
    <w:rsid w:val="000744AF"/>
    <w:rsid w:val="00077414"/>
    <w:rsid w:val="0008527B"/>
    <w:rsid w:val="00085787"/>
    <w:rsid w:val="00085804"/>
    <w:rsid w:val="0009305B"/>
    <w:rsid w:val="00094990"/>
    <w:rsid w:val="000952CD"/>
    <w:rsid w:val="000968EB"/>
    <w:rsid w:val="00097ADF"/>
    <w:rsid w:val="000A1A24"/>
    <w:rsid w:val="000A6181"/>
    <w:rsid w:val="000B05A6"/>
    <w:rsid w:val="000B071A"/>
    <w:rsid w:val="000B2A30"/>
    <w:rsid w:val="000B69E1"/>
    <w:rsid w:val="000C4557"/>
    <w:rsid w:val="000C5723"/>
    <w:rsid w:val="000C736B"/>
    <w:rsid w:val="000D166C"/>
    <w:rsid w:val="000D2B87"/>
    <w:rsid w:val="000E3BBF"/>
    <w:rsid w:val="000F074A"/>
    <w:rsid w:val="000F654B"/>
    <w:rsid w:val="00112449"/>
    <w:rsid w:val="001130BB"/>
    <w:rsid w:val="001150C9"/>
    <w:rsid w:val="001312F3"/>
    <w:rsid w:val="0013243A"/>
    <w:rsid w:val="00141783"/>
    <w:rsid w:val="001421EA"/>
    <w:rsid w:val="00163738"/>
    <w:rsid w:val="00165DF8"/>
    <w:rsid w:val="001755F6"/>
    <w:rsid w:val="0018013F"/>
    <w:rsid w:val="0018059D"/>
    <w:rsid w:val="001829B2"/>
    <w:rsid w:val="00185035"/>
    <w:rsid w:val="0018604C"/>
    <w:rsid w:val="001943B2"/>
    <w:rsid w:val="001971A5"/>
    <w:rsid w:val="001A0EA5"/>
    <w:rsid w:val="001A3EC3"/>
    <w:rsid w:val="001B3117"/>
    <w:rsid w:val="001B4264"/>
    <w:rsid w:val="001B7038"/>
    <w:rsid w:val="001B78E6"/>
    <w:rsid w:val="001C17F9"/>
    <w:rsid w:val="001C2A73"/>
    <w:rsid w:val="001C5765"/>
    <w:rsid w:val="001D381F"/>
    <w:rsid w:val="001D47A0"/>
    <w:rsid w:val="001D75C1"/>
    <w:rsid w:val="001E32CE"/>
    <w:rsid w:val="001E5CFC"/>
    <w:rsid w:val="001F0B1E"/>
    <w:rsid w:val="001F3543"/>
    <w:rsid w:val="001F41D4"/>
    <w:rsid w:val="00205A56"/>
    <w:rsid w:val="00210A57"/>
    <w:rsid w:val="002146C6"/>
    <w:rsid w:val="0021547B"/>
    <w:rsid w:val="00220B5B"/>
    <w:rsid w:val="00224854"/>
    <w:rsid w:val="00225D23"/>
    <w:rsid w:val="00234488"/>
    <w:rsid w:val="00241368"/>
    <w:rsid w:val="00241DD2"/>
    <w:rsid w:val="00243171"/>
    <w:rsid w:val="00247D63"/>
    <w:rsid w:val="0025163B"/>
    <w:rsid w:val="00254B64"/>
    <w:rsid w:val="00266814"/>
    <w:rsid w:val="00271FE6"/>
    <w:rsid w:val="00273E02"/>
    <w:rsid w:val="00274FB6"/>
    <w:rsid w:val="00277CA1"/>
    <w:rsid w:val="002807FF"/>
    <w:rsid w:val="00285DBF"/>
    <w:rsid w:val="00287B0C"/>
    <w:rsid w:val="00290417"/>
    <w:rsid w:val="0029150F"/>
    <w:rsid w:val="0029230A"/>
    <w:rsid w:val="00295B51"/>
    <w:rsid w:val="002A2A63"/>
    <w:rsid w:val="002A51FE"/>
    <w:rsid w:val="002A5EF0"/>
    <w:rsid w:val="002B0764"/>
    <w:rsid w:val="002B2ABA"/>
    <w:rsid w:val="002B4935"/>
    <w:rsid w:val="002B6E07"/>
    <w:rsid w:val="002B7786"/>
    <w:rsid w:val="002C5D5B"/>
    <w:rsid w:val="002D0909"/>
    <w:rsid w:val="002D4287"/>
    <w:rsid w:val="002E08C4"/>
    <w:rsid w:val="002E3AD0"/>
    <w:rsid w:val="002E7A09"/>
    <w:rsid w:val="002E7E8E"/>
    <w:rsid w:val="003007DA"/>
    <w:rsid w:val="00300F4C"/>
    <w:rsid w:val="00301AD8"/>
    <w:rsid w:val="00305841"/>
    <w:rsid w:val="00312524"/>
    <w:rsid w:val="00314B75"/>
    <w:rsid w:val="003154C8"/>
    <w:rsid w:val="00321504"/>
    <w:rsid w:val="003234A2"/>
    <w:rsid w:val="00323A77"/>
    <w:rsid w:val="00323DBF"/>
    <w:rsid w:val="00323E50"/>
    <w:rsid w:val="003266A5"/>
    <w:rsid w:val="00333FFC"/>
    <w:rsid w:val="00336A5B"/>
    <w:rsid w:val="00347944"/>
    <w:rsid w:val="003504A5"/>
    <w:rsid w:val="003510AE"/>
    <w:rsid w:val="00367BAE"/>
    <w:rsid w:val="0037377A"/>
    <w:rsid w:val="00374A7E"/>
    <w:rsid w:val="00377196"/>
    <w:rsid w:val="00377892"/>
    <w:rsid w:val="00380216"/>
    <w:rsid w:val="00392252"/>
    <w:rsid w:val="00393C59"/>
    <w:rsid w:val="003949EA"/>
    <w:rsid w:val="0039709F"/>
    <w:rsid w:val="003B0A62"/>
    <w:rsid w:val="003B17F0"/>
    <w:rsid w:val="003B18FF"/>
    <w:rsid w:val="003B4C7A"/>
    <w:rsid w:val="003C1663"/>
    <w:rsid w:val="003C1B12"/>
    <w:rsid w:val="003C201C"/>
    <w:rsid w:val="003D0AA8"/>
    <w:rsid w:val="003D5183"/>
    <w:rsid w:val="003D549C"/>
    <w:rsid w:val="003E04A7"/>
    <w:rsid w:val="003E49FD"/>
    <w:rsid w:val="003E4F3B"/>
    <w:rsid w:val="003F7A6B"/>
    <w:rsid w:val="0040331E"/>
    <w:rsid w:val="004232E5"/>
    <w:rsid w:val="00427B41"/>
    <w:rsid w:val="00431663"/>
    <w:rsid w:val="00445F62"/>
    <w:rsid w:val="00450B39"/>
    <w:rsid w:val="00460723"/>
    <w:rsid w:val="00464468"/>
    <w:rsid w:val="00466114"/>
    <w:rsid w:val="00471A50"/>
    <w:rsid w:val="0047269B"/>
    <w:rsid w:val="0048159D"/>
    <w:rsid w:val="00482A80"/>
    <w:rsid w:val="004859E8"/>
    <w:rsid w:val="0049282A"/>
    <w:rsid w:val="0049380D"/>
    <w:rsid w:val="00494120"/>
    <w:rsid w:val="004A2BF1"/>
    <w:rsid w:val="004A483A"/>
    <w:rsid w:val="004B045E"/>
    <w:rsid w:val="004B301D"/>
    <w:rsid w:val="004B4060"/>
    <w:rsid w:val="004B4EEC"/>
    <w:rsid w:val="004B51C7"/>
    <w:rsid w:val="004B5CE3"/>
    <w:rsid w:val="004C0FB9"/>
    <w:rsid w:val="004C10B9"/>
    <w:rsid w:val="004C34ED"/>
    <w:rsid w:val="004C64B3"/>
    <w:rsid w:val="004C78F4"/>
    <w:rsid w:val="004D33AD"/>
    <w:rsid w:val="004D61AD"/>
    <w:rsid w:val="004D7CF1"/>
    <w:rsid w:val="004E3275"/>
    <w:rsid w:val="004E4280"/>
    <w:rsid w:val="004E548D"/>
    <w:rsid w:val="004E585E"/>
    <w:rsid w:val="004E7918"/>
    <w:rsid w:val="004F251C"/>
    <w:rsid w:val="004F390F"/>
    <w:rsid w:val="004F53B8"/>
    <w:rsid w:val="004F7F2A"/>
    <w:rsid w:val="00512ED8"/>
    <w:rsid w:val="00515D51"/>
    <w:rsid w:val="005266D7"/>
    <w:rsid w:val="005402FB"/>
    <w:rsid w:val="00541863"/>
    <w:rsid w:val="00552C71"/>
    <w:rsid w:val="005640D5"/>
    <w:rsid w:val="005743A1"/>
    <w:rsid w:val="005746EA"/>
    <w:rsid w:val="00576A9E"/>
    <w:rsid w:val="005821E5"/>
    <w:rsid w:val="00592BE4"/>
    <w:rsid w:val="005933D6"/>
    <w:rsid w:val="005945C9"/>
    <w:rsid w:val="00596FA0"/>
    <w:rsid w:val="005B6342"/>
    <w:rsid w:val="005B639A"/>
    <w:rsid w:val="005B7012"/>
    <w:rsid w:val="005C1C31"/>
    <w:rsid w:val="005C2FDD"/>
    <w:rsid w:val="005C4ED0"/>
    <w:rsid w:val="005D01BB"/>
    <w:rsid w:val="005D2D54"/>
    <w:rsid w:val="005D78FA"/>
    <w:rsid w:val="005E046E"/>
    <w:rsid w:val="005E05CA"/>
    <w:rsid w:val="005E216A"/>
    <w:rsid w:val="005E3697"/>
    <w:rsid w:val="005E3A5D"/>
    <w:rsid w:val="00616C76"/>
    <w:rsid w:val="00617FF7"/>
    <w:rsid w:val="0062126C"/>
    <w:rsid w:val="00623637"/>
    <w:rsid w:val="00625CEF"/>
    <w:rsid w:val="0063038C"/>
    <w:rsid w:val="00630D3D"/>
    <w:rsid w:val="00632716"/>
    <w:rsid w:val="00632F65"/>
    <w:rsid w:val="00635048"/>
    <w:rsid w:val="00640D08"/>
    <w:rsid w:val="0064114E"/>
    <w:rsid w:val="006520C5"/>
    <w:rsid w:val="00660DF3"/>
    <w:rsid w:val="006647D8"/>
    <w:rsid w:val="00667E0D"/>
    <w:rsid w:val="0067072E"/>
    <w:rsid w:val="00672DC2"/>
    <w:rsid w:val="006749E4"/>
    <w:rsid w:val="00675138"/>
    <w:rsid w:val="006838B9"/>
    <w:rsid w:val="00693682"/>
    <w:rsid w:val="006946AB"/>
    <w:rsid w:val="006977C0"/>
    <w:rsid w:val="006A5C0D"/>
    <w:rsid w:val="006A6944"/>
    <w:rsid w:val="006B0D4C"/>
    <w:rsid w:val="006B1CB2"/>
    <w:rsid w:val="006D1431"/>
    <w:rsid w:val="006D4FAE"/>
    <w:rsid w:val="006D5710"/>
    <w:rsid w:val="006D7FC3"/>
    <w:rsid w:val="006E1C36"/>
    <w:rsid w:val="006E2791"/>
    <w:rsid w:val="006E7E40"/>
    <w:rsid w:val="006F5D95"/>
    <w:rsid w:val="006F7E49"/>
    <w:rsid w:val="007008E0"/>
    <w:rsid w:val="007022F7"/>
    <w:rsid w:val="00704811"/>
    <w:rsid w:val="00705985"/>
    <w:rsid w:val="00714E8A"/>
    <w:rsid w:val="007260D6"/>
    <w:rsid w:val="007311F7"/>
    <w:rsid w:val="00731725"/>
    <w:rsid w:val="00745AD5"/>
    <w:rsid w:val="007464D4"/>
    <w:rsid w:val="00750279"/>
    <w:rsid w:val="007563B2"/>
    <w:rsid w:val="0076269A"/>
    <w:rsid w:val="00763329"/>
    <w:rsid w:val="00773A1F"/>
    <w:rsid w:val="00773ACD"/>
    <w:rsid w:val="00777BBC"/>
    <w:rsid w:val="007824AA"/>
    <w:rsid w:val="007866D5"/>
    <w:rsid w:val="00791522"/>
    <w:rsid w:val="007937F8"/>
    <w:rsid w:val="007A02E9"/>
    <w:rsid w:val="007A12E3"/>
    <w:rsid w:val="007A38C6"/>
    <w:rsid w:val="007A403C"/>
    <w:rsid w:val="007A45A2"/>
    <w:rsid w:val="007A4CD3"/>
    <w:rsid w:val="007B1DC1"/>
    <w:rsid w:val="007B54C3"/>
    <w:rsid w:val="007B5BD9"/>
    <w:rsid w:val="007B5F3F"/>
    <w:rsid w:val="007F536B"/>
    <w:rsid w:val="00826F8B"/>
    <w:rsid w:val="00833F46"/>
    <w:rsid w:val="00835584"/>
    <w:rsid w:val="0083582E"/>
    <w:rsid w:val="0084384F"/>
    <w:rsid w:val="00844519"/>
    <w:rsid w:val="0084457F"/>
    <w:rsid w:val="00854265"/>
    <w:rsid w:val="00863B23"/>
    <w:rsid w:val="00864455"/>
    <w:rsid w:val="00877F0B"/>
    <w:rsid w:val="008834E9"/>
    <w:rsid w:val="00887EE9"/>
    <w:rsid w:val="0089256B"/>
    <w:rsid w:val="0089418F"/>
    <w:rsid w:val="00896B40"/>
    <w:rsid w:val="008A367A"/>
    <w:rsid w:val="008A43BE"/>
    <w:rsid w:val="008B64BB"/>
    <w:rsid w:val="008C0597"/>
    <w:rsid w:val="008C09B3"/>
    <w:rsid w:val="008C57A5"/>
    <w:rsid w:val="008C66E7"/>
    <w:rsid w:val="008E57C7"/>
    <w:rsid w:val="008E6428"/>
    <w:rsid w:val="008F7E3F"/>
    <w:rsid w:val="0090589F"/>
    <w:rsid w:val="00910554"/>
    <w:rsid w:val="00914087"/>
    <w:rsid w:val="00921EB7"/>
    <w:rsid w:val="009220F5"/>
    <w:rsid w:val="00927417"/>
    <w:rsid w:val="0092759C"/>
    <w:rsid w:val="00932D0A"/>
    <w:rsid w:val="00933575"/>
    <w:rsid w:val="00933CBF"/>
    <w:rsid w:val="00936AA1"/>
    <w:rsid w:val="009400A5"/>
    <w:rsid w:val="00946A56"/>
    <w:rsid w:val="00947217"/>
    <w:rsid w:val="00951700"/>
    <w:rsid w:val="009530B8"/>
    <w:rsid w:val="00957231"/>
    <w:rsid w:val="00957858"/>
    <w:rsid w:val="00970257"/>
    <w:rsid w:val="00973E7A"/>
    <w:rsid w:val="00975E4C"/>
    <w:rsid w:val="00976D71"/>
    <w:rsid w:val="009803DD"/>
    <w:rsid w:val="00991A1B"/>
    <w:rsid w:val="00992398"/>
    <w:rsid w:val="00992526"/>
    <w:rsid w:val="009945D3"/>
    <w:rsid w:val="00994E00"/>
    <w:rsid w:val="00995BDA"/>
    <w:rsid w:val="009A2B7F"/>
    <w:rsid w:val="009B45B0"/>
    <w:rsid w:val="009C3DC3"/>
    <w:rsid w:val="009C7194"/>
    <w:rsid w:val="009D209C"/>
    <w:rsid w:val="009D370B"/>
    <w:rsid w:val="009D499E"/>
    <w:rsid w:val="009D5135"/>
    <w:rsid w:val="009D7B7A"/>
    <w:rsid w:val="009E0BFF"/>
    <w:rsid w:val="009E7E2D"/>
    <w:rsid w:val="009F00B1"/>
    <w:rsid w:val="00A06B71"/>
    <w:rsid w:val="00A07650"/>
    <w:rsid w:val="00A10116"/>
    <w:rsid w:val="00A10D88"/>
    <w:rsid w:val="00A1256F"/>
    <w:rsid w:val="00A15AB9"/>
    <w:rsid w:val="00A20996"/>
    <w:rsid w:val="00A22798"/>
    <w:rsid w:val="00A228A1"/>
    <w:rsid w:val="00A26899"/>
    <w:rsid w:val="00A31E74"/>
    <w:rsid w:val="00A35BE7"/>
    <w:rsid w:val="00A35F24"/>
    <w:rsid w:val="00A370F3"/>
    <w:rsid w:val="00A379AF"/>
    <w:rsid w:val="00A37D33"/>
    <w:rsid w:val="00A451C8"/>
    <w:rsid w:val="00A4642C"/>
    <w:rsid w:val="00A528BF"/>
    <w:rsid w:val="00A56D1C"/>
    <w:rsid w:val="00A56EC5"/>
    <w:rsid w:val="00A65633"/>
    <w:rsid w:val="00A84197"/>
    <w:rsid w:val="00A912F2"/>
    <w:rsid w:val="00A96D90"/>
    <w:rsid w:val="00A97CF9"/>
    <w:rsid w:val="00AA16F7"/>
    <w:rsid w:val="00AA7475"/>
    <w:rsid w:val="00AC195F"/>
    <w:rsid w:val="00AC4E0A"/>
    <w:rsid w:val="00AD451A"/>
    <w:rsid w:val="00AD5239"/>
    <w:rsid w:val="00AD68FD"/>
    <w:rsid w:val="00AE6CF3"/>
    <w:rsid w:val="00AF2DF8"/>
    <w:rsid w:val="00B02785"/>
    <w:rsid w:val="00B05A12"/>
    <w:rsid w:val="00B1058C"/>
    <w:rsid w:val="00B10CCB"/>
    <w:rsid w:val="00B11D95"/>
    <w:rsid w:val="00B14BBF"/>
    <w:rsid w:val="00B16675"/>
    <w:rsid w:val="00B22703"/>
    <w:rsid w:val="00B24AD6"/>
    <w:rsid w:val="00B278EA"/>
    <w:rsid w:val="00B33DC4"/>
    <w:rsid w:val="00B34D4A"/>
    <w:rsid w:val="00B40F0A"/>
    <w:rsid w:val="00B4191A"/>
    <w:rsid w:val="00B52112"/>
    <w:rsid w:val="00B53010"/>
    <w:rsid w:val="00B65001"/>
    <w:rsid w:val="00B73270"/>
    <w:rsid w:val="00B7418B"/>
    <w:rsid w:val="00B878CF"/>
    <w:rsid w:val="00BA318B"/>
    <w:rsid w:val="00BC1FD3"/>
    <w:rsid w:val="00BC248E"/>
    <w:rsid w:val="00BC4BBD"/>
    <w:rsid w:val="00BD33E1"/>
    <w:rsid w:val="00BD7C05"/>
    <w:rsid w:val="00BE6327"/>
    <w:rsid w:val="00BE6E8D"/>
    <w:rsid w:val="00BF3284"/>
    <w:rsid w:val="00BF43AE"/>
    <w:rsid w:val="00BF6C80"/>
    <w:rsid w:val="00C115F9"/>
    <w:rsid w:val="00C150C4"/>
    <w:rsid w:val="00C2598D"/>
    <w:rsid w:val="00C34D21"/>
    <w:rsid w:val="00C36F85"/>
    <w:rsid w:val="00C40EEF"/>
    <w:rsid w:val="00C4180C"/>
    <w:rsid w:val="00C42A65"/>
    <w:rsid w:val="00C477ED"/>
    <w:rsid w:val="00C53126"/>
    <w:rsid w:val="00C567DF"/>
    <w:rsid w:val="00C57F70"/>
    <w:rsid w:val="00C60A7F"/>
    <w:rsid w:val="00C637D8"/>
    <w:rsid w:val="00C74DDC"/>
    <w:rsid w:val="00C74EE0"/>
    <w:rsid w:val="00C764F5"/>
    <w:rsid w:val="00C77735"/>
    <w:rsid w:val="00C779CC"/>
    <w:rsid w:val="00C87680"/>
    <w:rsid w:val="00C87EA9"/>
    <w:rsid w:val="00C910BE"/>
    <w:rsid w:val="00C928D2"/>
    <w:rsid w:val="00C95A76"/>
    <w:rsid w:val="00CA182A"/>
    <w:rsid w:val="00CA78C6"/>
    <w:rsid w:val="00CA7F80"/>
    <w:rsid w:val="00CB04D3"/>
    <w:rsid w:val="00CB5B86"/>
    <w:rsid w:val="00CC0996"/>
    <w:rsid w:val="00CD40E2"/>
    <w:rsid w:val="00CD6630"/>
    <w:rsid w:val="00CD727D"/>
    <w:rsid w:val="00CD7339"/>
    <w:rsid w:val="00CE3406"/>
    <w:rsid w:val="00CE661E"/>
    <w:rsid w:val="00CF6FE3"/>
    <w:rsid w:val="00D0217D"/>
    <w:rsid w:val="00D03EA5"/>
    <w:rsid w:val="00D129C8"/>
    <w:rsid w:val="00D25428"/>
    <w:rsid w:val="00D2747A"/>
    <w:rsid w:val="00D3496C"/>
    <w:rsid w:val="00D544AD"/>
    <w:rsid w:val="00D56836"/>
    <w:rsid w:val="00D570FF"/>
    <w:rsid w:val="00D65100"/>
    <w:rsid w:val="00D6521C"/>
    <w:rsid w:val="00D65269"/>
    <w:rsid w:val="00D72C91"/>
    <w:rsid w:val="00D735A6"/>
    <w:rsid w:val="00D779A9"/>
    <w:rsid w:val="00D85D74"/>
    <w:rsid w:val="00D87A58"/>
    <w:rsid w:val="00D908EF"/>
    <w:rsid w:val="00D9091F"/>
    <w:rsid w:val="00D934C1"/>
    <w:rsid w:val="00D9567E"/>
    <w:rsid w:val="00D964BD"/>
    <w:rsid w:val="00DC2696"/>
    <w:rsid w:val="00DC5247"/>
    <w:rsid w:val="00DC7607"/>
    <w:rsid w:val="00DC7BB7"/>
    <w:rsid w:val="00DD1A27"/>
    <w:rsid w:val="00DD43BE"/>
    <w:rsid w:val="00DD64AD"/>
    <w:rsid w:val="00DE443D"/>
    <w:rsid w:val="00DE4CE0"/>
    <w:rsid w:val="00DE6815"/>
    <w:rsid w:val="00DF4019"/>
    <w:rsid w:val="00DF55D5"/>
    <w:rsid w:val="00DF68BF"/>
    <w:rsid w:val="00E04014"/>
    <w:rsid w:val="00E0712A"/>
    <w:rsid w:val="00E10620"/>
    <w:rsid w:val="00E12EB3"/>
    <w:rsid w:val="00E16B5D"/>
    <w:rsid w:val="00E16D22"/>
    <w:rsid w:val="00E26C17"/>
    <w:rsid w:val="00E272A1"/>
    <w:rsid w:val="00E273E4"/>
    <w:rsid w:val="00E31663"/>
    <w:rsid w:val="00E34544"/>
    <w:rsid w:val="00E35575"/>
    <w:rsid w:val="00E410EB"/>
    <w:rsid w:val="00E41D78"/>
    <w:rsid w:val="00E4558F"/>
    <w:rsid w:val="00E46D47"/>
    <w:rsid w:val="00E47D84"/>
    <w:rsid w:val="00E60346"/>
    <w:rsid w:val="00E7769C"/>
    <w:rsid w:val="00E8155F"/>
    <w:rsid w:val="00E826A0"/>
    <w:rsid w:val="00E82FE3"/>
    <w:rsid w:val="00E868C4"/>
    <w:rsid w:val="00EB1E75"/>
    <w:rsid w:val="00EB4A0A"/>
    <w:rsid w:val="00EB7184"/>
    <w:rsid w:val="00EC2B0D"/>
    <w:rsid w:val="00EC33D8"/>
    <w:rsid w:val="00EC62C4"/>
    <w:rsid w:val="00EC66C9"/>
    <w:rsid w:val="00ED086F"/>
    <w:rsid w:val="00ED08A4"/>
    <w:rsid w:val="00EE164A"/>
    <w:rsid w:val="00EF27E1"/>
    <w:rsid w:val="00EF5460"/>
    <w:rsid w:val="00EF67F0"/>
    <w:rsid w:val="00F012DC"/>
    <w:rsid w:val="00F0176E"/>
    <w:rsid w:val="00F046A6"/>
    <w:rsid w:val="00F05F7E"/>
    <w:rsid w:val="00F071BD"/>
    <w:rsid w:val="00F15070"/>
    <w:rsid w:val="00F16BB4"/>
    <w:rsid w:val="00F25AB9"/>
    <w:rsid w:val="00F26204"/>
    <w:rsid w:val="00F2649A"/>
    <w:rsid w:val="00F342CD"/>
    <w:rsid w:val="00F34CD7"/>
    <w:rsid w:val="00F358AA"/>
    <w:rsid w:val="00F40B90"/>
    <w:rsid w:val="00F441F6"/>
    <w:rsid w:val="00F533E7"/>
    <w:rsid w:val="00F55CFC"/>
    <w:rsid w:val="00F57448"/>
    <w:rsid w:val="00F61238"/>
    <w:rsid w:val="00F61EB2"/>
    <w:rsid w:val="00F64A21"/>
    <w:rsid w:val="00F70CA8"/>
    <w:rsid w:val="00F80F41"/>
    <w:rsid w:val="00F8352F"/>
    <w:rsid w:val="00F8514D"/>
    <w:rsid w:val="00F8568E"/>
    <w:rsid w:val="00F9174C"/>
    <w:rsid w:val="00F97258"/>
    <w:rsid w:val="00FA57EE"/>
    <w:rsid w:val="00FB1AC8"/>
    <w:rsid w:val="00FB3D4A"/>
    <w:rsid w:val="00FB55B8"/>
    <w:rsid w:val="00FB55C6"/>
    <w:rsid w:val="00FB5D68"/>
    <w:rsid w:val="00FB5EE7"/>
    <w:rsid w:val="00FC32FF"/>
    <w:rsid w:val="00FD058F"/>
    <w:rsid w:val="00FD10E9"/>
    <w:rsid w:val="00FD11A8"/>
    <w:rsid w:val="00FD128F"/>
    <w:rsid w:val="00FE40AB"/>
    <w:rsid w:val="00FE474C"/>
    <w:rsid w:val="00FF1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557"/>
    <w:rPr>
      <w:rFonts w:eastAsiaTheme="minorEastAsia"/>
      <w:lang w:eastAsia="zh-TW"/>
    </w:rPr>
  </w:style>
  <w:style w:type="paragraph" w:styleId="Heading1">
    <w:name w:val="heading 1"/>
    <w:basedOn w:val="Normal"/>
    <w:next w:val="Normal"/>
    <w:link w:val="Heading1Char"/>
    <w:uiPriority w:val="9"/>
    <w:qFormat/>
    <w:rsid w:val="000C45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C455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557"/>
    <w:rPr>
      <w:rFonts w:asciiTheme="majorHAnsi" w:eastAsiaTheme="majorEastAsia" w:hAnsiTheme="majorHAnsi" w:cstheme="majorBidi"/>
      <w:color w:val="365F91" w:themeColor="accent1" w:themeShade="BF"/>
      <w:sz w:val="32"/>
      <w:szCs w:val="32"/>
      <w:lang w:eastAsia="zh-TW"/>
    </w:rPr>
  </w:style>
  <w:style w:type="character" w:customStyle="1" w:styleId="Heading2Char">
    <w:name w:val="Heading 2 Char"/>
    <w:basedOn w:val="DefaultParagraphFont"/>
    <w:link w:val="Heading2"/>
    <w:uiPriority w:val="9"/>
    <w:rsid w:val="000C4557"/>
    <w:rPr>
      <w:rFonts w:asciiTheme="majorHAnsi" w:eastAsiaTheme="majorEastAsia" w:hAnsiTheme="majorHAnsi" w:cstheme="majorBidi"/>
      <w:color w:val="365F91" w:themeColor="accent1" w:themeShade="BF"/>
      <w:sz w:val="26"/>
      <w:szCs w:val="26"/>
      <w:lang w:eastAsia="zh-TW"/>
    </w:rPr>
  </w:style>
  <w:style w:type="paragraph" w:styleId="ListParagraph">
    <w:name w:val="List Paragraph"/>
    <w:aliases w:val="2"/>
    <w:basedOn w:val="Normal"/>
    <w:link w:val="ListParagraphChar"/>
    <w:uiPriority w:val="34"/>
    <w:qFormat/>
    <w:rsid w:val="000C4557"/>
    <w:pPr>
      <w:ind w:left="720"/>
      <w:contextualSpacing/>
    </w:pPr>
  </w:style>
  <w:style w:type="table" w:styleId="TableGrid">
    <w:name w:val="Table Grid"/>
    <w:basedOn w:val="TableNormal"/>
    <w:uiPriority w:val="59"/>
    <w:rsid w:val="000C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4557"/>
    <w:rPr>
      <w:color w:val="0000FF" w:themeColor="hyperlink"/>
      <w:u w:val="single"/>
    </w:rPr>
  </w:style>
  <w:style w:type="paragraph" w:styleId="TOCHeading">
    <w:name w:val="TOC Heading"/>
    <w:basedOn w:val="Heading1"/>
    <w:next w:val="Normal"/>
    <w:uiPriority w:val="39"/>
    <w:unhideWhenUsed/>
    <w:qFormat/>
    <w:rsid w:val="000C4557"/>
    <w:pPr>
      <w:spacing w:line="259" w:lineRule="auto"/>
      <w:outlineLvl w:val="9"/>
    </w:pPr>
    <w:rPr>
      <w:lang w:val="en-US" w:eastAsia="en-US"/>
    </w:rPr>
  </w:style>
  <w:style w:type="paragraph" w:styleId="TOC1">
    <w:name w:val="toc 1"/>
    <w:basedOn w:val="Normal"/>
    <w:next w:val="Normal"/>
    <w:autoRedefine/>
    <w:uiPriority w:val="39"/>
    <w:unhideWhenUsed/>
    <w:rsid w:val="0018013F"/>
    <w:pPr>
      <w:tabs>
        <w:tab w:val="right" w:leader="dot" w:pos="9061"/>
      </w:tabs>
      <w:spacing w:after="100"/>
    </w:pPr>
  </w:style>
  <w:style w:type="paragraph" w:styleId="TOC2">
    <w:name w:val="toc 2"/>
    <w:basedOn w:val="Normal"/>
    <w:next w:val="Normal"/>
    <w:autoRedefine/>
    <w:uiPriority w:val="39"/>
    <w:unhideWhenUsed/>
    <w:rsid w:val="000C4557"/>
    <w:pPr>
      <w:spacing w:after="100"/>
      <w:ind w:left="220"/>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uiPriority w:val="99"/>
    <w:unhideWhenUsed/>
    <w:rsid w:val="000C4557"/>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single spa Char"/>
    <w:basedOn w:val="DefaultParagraphFont"/>
    <w:link w:val="FootnoteText"/>
    <w:uiPriority w:val="99"/>
    <w:rsid w:val="000C4557"/>
    <w:rPr>
      <w:rFonts w:eastAsiaTheme="minorEastAsia"/>
      <w:sz w:val="20"/>
      <w:szCs w:val="20"/>
      <w:lang w:eastAsia="zh-TW"/>
    </w:rPr>
  </w:style>
  <w:style w:type="character" w:styleId="FootnoteReference">
    <w:name w:val="footnote reference"/>
    <w:aliases w:val="Footnote Reference Number,SUPERS,Footnote symbol,Footnote Refernece,ftref,Footnote Reference Superscript,stylish,BVI fnr,Fußnotenzeichen_Raxen,callout,Odwołanie przypisu,Footnotes refss,Ref,de nota al pie,Times 10 Point,fr,E"/>
    <w:basedOn w:val="DefaultParagraphFont"/>
    <w:uiPriority w:val="99"/>
    <w:unhideWhenUsed/>
    <w:rsid w:val="000C4557"/>
    <w:rPr>
      <w:vertAlign w:val="superscript"/>
    </w:rPr>
  </w:style>
  <w:style w:type="paragraph" w:styleId="Header">
    <w:name w:val="header"/>
    <w:basedOn w:val="Normal"/>
    <w:link w:val="HeaderChar"/>
    <w:uiPriority w:val="99"/>
    <w:unhideWhenUsed/>
    <w:rsid w:val="000C45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4557"/>
    <w:rPr>
      <w:rFonts w:eastAsiaTheme="minorEastAsia"/>
      <w:lang w:eastAsia="zh-TW"/>
    </w:rPr>
  </w:style>
  <w:style w:type="paragraph" w:styleId="Footer">
    <w:name w:val="footer"/>
    <w:basedOn w:val="Normal"/>
    <w:link w:val="FooterChar"/>
    <w:uiPriority w:val="99"/>
    <w:unhideWhenUsed/>
    <w:rsid w:val="000C45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4557"/>
    <w:rPr>
      <w:rFonts w:eastAsiaTheme="minorEastAsia"/>
      <w:lang w:eastAsia="zh-TW"/>
    </w:rPr>
  </w:style>
  <w:style w:type="character" w:styleId="CommentReference">
    <w:name w:val="annotation reference"/>
    <w:basedOn w:val="DefaultParagraphFont"/>
    <w:unhideWhenUsed/>
    <w:rsid w:val="000C4557"/>
    <w:rPr>
      <w:sz w:val="16"/>
      <w:szCs w:val="16"/>
    </w:rPr>
  </w:style>
  <w:style w:type="paragraph" w:styleId="CommentText">
    <w:name w:val="annotation text"/>
    <w:basedOn w:val="Normal"/>
    <w:link w:val="CommentTextChar"/>
    <w:unhideWhenUsed/>
    <w:rsid w:val="000C4557"/>
    <w:pPr>
      <w:spacing w:line="240" w:lineRule="auto"/>
    </w:pPr>
    <w:rPr>
      <w:sz w:val="20"/>
      <w:szCs w:val="20"/>
    </w:rPr>
  </w:style>
  <w:style w:type="character" w:customStyle="1" w:styleId="CommentTextChar">
    <w:name w:val="Comment Text Char"/>
    <w:basedOn w:val="DefaultParagraphFont"/>
    <w:link w:val="CommentText"/>
    <w:rsid w:val="000C4557"/>
    <w:rPr>
      <w:rFonts w:eastAsiaTheme="minorEastAsia"/>
      <w:sz w:val="20"/>
      <w:szCs w:val="20"/>
      <w:lang w:eastAsia="zh-TW"/>
    </w:rPr>
  </w:style>
  <w:style w:type="paragraph" w:styleId="CommentSubject">
    <w:name w:val="annotation subject"/>
    <w:basedOn w:val="CommentText"/>
    <w:next w:val="CommentText"/>
    <w:link w:val="CommentSubjectChar"/>
    <w:uiPriority w:val="99"/>
    <w:semiHidden/>
    <w:unhideWhenUsed/>
    <w:rsid w:val="000C4557"/>
    <w:rPr>
      <w:b/>
      <w:bCs/>
    </w:rPr>
  </w:style>
  <w:style w:type="character" w:customStyle="1" w:styleId="CommentSubjectChar">
    <w:name w:val="Comment Subject Char"/>
    <w:basedOn w:val="CommentTextChar"/>
    <w:link w:val="CommentSubject"/>
    <w:uiPriority w:val="99"/>
    <w:semiHidden/>
    <w:rsid w:val="000C4557"/>
    <w:rPr>
      <w:rFonts w:eastAsiaTheme="minorEastAsia"/>
      <w:b/>
      <w:bCs/>
      <w:sz w:val="20"/>
      <w:szCs w:val="20"/>
      <w:lang w:eastAsia="zh-TW"/>
    </w:rPr>
  </w:style>
  <w:style w:type="paragraph" w:styleId="BalloonText">
    <w:name w:val="Balloon Text"/>
    <w:basedOn w:val="Normal"/>
    <w:link w:val="BalloonTextChar"/>
    <w:uiPriority w:val="99"/>
    <w:semiHidden/>
    <w:unhideWhenUsed/>
    <w:rsid w:val="000C4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557"/>
    <w:rPr>
      <w:rFonts w:ascii="Segoe UI" w:eastAsiaTheme="minorEastAsia" w:hAnsi="Segoe UI" w:cs="Segoe UI"/>
      <w:sz w:val="18"/>
      <w:szCs w:val="18"/>
      <w:lang w:eastAsia="zh-TW"/>
    </w:rPr>
  </w:style>
  <w:style w:type="paragraph" w:customStyle="1" w:styleId="tv2131">
    <w:name w:val="tv2131"/>
    <w:basedOn w:val="Normal"/>
    <w:rsid w:val="000C4557"/>
    <w:pPr>
      <w:spacing w:after="0" w:line="360" w:lineRule="auto"/>
      <w:ind w:firstLine="230"/>
    </w:pPr>
    <w:rPr>
      <w:rFonts w:ascii="Times New Roman" w:eastAsia="Times New Roman" w:hAnsi="Times New Roman" w:cs="Times New Roman"/>
      <w:color w:val="414142"/>
      <w:sz w:val="15"/>
      <w:szCs w:val="15"/>
      <w:lang w:eastAsia="zh-CN" w:bidi="lo-LA"/>
    </w:rPr>
  </w:style>
  <w:style w:type="paragraph" w:customStyle="1" w:styleId="Default">
    <w:name w:val="Default"/>
    <w:rsid w:val="000C455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C4557"/>
    <w:pPr>
      <w:spacing w:after="0" w:line="240" w:lineRule="auto"/>
    </w:pPr>
    <w:rPr>
      <w:rFonts w:eastAsiaTheme="minorEastAsia"/>
      <w:lang w:eastAsia="zh-TW"/>
    </w:rPr>
  </w:style>
  <w:style w:type="paragraph" w:styleId="NormalWeb">
    <w:name w:val="Normal (Web)"/>
    <w:aliases w:val="sākums"/>
    <w:basedOn w:val="Normal"/>
    <w:uiPriority w:val="99"/>
    <w:unhideWhenUsed/>
    <w:rsid w:val="000C4557"/>
    <w:pPr>
      <w:spacing w:before="100" w:beforeAutospacing="1" w:after="100" w:afterAutospacing="1" w:line="240" w:lineRule="auto"/>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0C4557"/>
    <w:rPr>
      <w:color w:val="800080" w:themeColor="followedHyperlink"/>
      <w:u w:val="single"/>
    </w:rPr>
  </w:style>
  <w:style w:type="character" w:customStyle="1" w:styleId="apple-converted-space">
    <w:name w:val="apple-converted-space"/>
    <w:basedOn w:val="DefaultParagraphFont"/>
    <w:rsid w:val="000C4557"/>
  </w:style>
  <w:style w:type="paragraph" w:customStyle="1" w:styleId="ColorfulList-Accent11">
    <w:name w:val="Colorful List - Accent 11"/>
    <w:basedOn w:val="Normal"/>
    <w:uiPriority w:val="34"/>
    <w:qFormat/>
    <w:rsid w:val="000C4557"/>
    <w:pPr>
      <w:spacing w:after="0" w:line="240" w:lineRule="auto"/>
      <w:ind w:left="720"/>
      <w:contextualSpacing/>
      <w:jc w:val="both"/>
    </w:pPr>
    <w:rPr>
      <w:rFonts w:ascii="Times New Roman" w:eastAsia="Times New Roman" w:hAnsi="Times New Roman" w:cs="Times New Roman"/>
      <w:sz w:val="24"/>
      <w:szCs w:val="20"/>
      <w:lang w:eastAsia="en-US"/>
    </w:rPr>
  </w:style>
  <w:style w:type="paragraph" w:styleId="Bibliography">
    <w:name w:val="Bibliography"/>
    <w:basedOn w:val="Normal"/>
    <w:next w:val="Normal"/>
    <w:uiPriority w:val="37"/>
    <w:semiHidden/>
    <w:unhideWhenUsed/>
    <w:rsid w:val="000C4557"/>
  </w:style>
  <w:style w:type="paragraph" w:styleId="Caption">
    <w:name w:val="caption"/>
    <w:basedOn w:val="Normal"/>
    <w:next w:val="Normal"/>
    <w:uiPriority w:val="35"/>
    <w:qFormat/>
    <w:rsid w:val="000C4557"/>
    <w:pPr>
      <w:spacing w:after="0" w:line="240" w:lineRule="auto"/>
      <w:jc w:val="both"/>
    </w:pPr>
    <w:rPr>
      <w:rFonts w:ascii="Times New Roman" w:eastAsia="Times New Roman" w:hAnsi="Times New Roman" w:cs="Times New Roman"/>
      <w:b/>
      <w:bCs/>
      <w:sz w:val="20"/>
      <w:szCs w:val="20"/>
      <w:lang w:eastAsia="en-US"/>
    </w:rPr>
  </w:style>
  <w:style w:type="character" w:customStyle="1" w:styleId="ListParagraphChar">
    <w:name w:val="List Paragraph Char"/>
    <w:aliases w:val="2 Char"/>
    <w:link w:val="ListParagraph"/>
    <w:uiPriority w:val="34"/>
    <w:rsid w:val="000C4557"/>
    <w:rPr>
      <w:rFonts w:eastAsiaTheme="minorEastAsia"/>
      <w:lang w:eastAsia="zh-TW"/>
    </w:rPr>
  </w:style>
  <w:style w:type="paragraph" w:styleId="NoSpacing">
    <w:name w:val="No Spacing"/>
    <w:uiPriority w:val="1"/>
    <w:qFormat/>
    <w:rsid w:val="000C4557"/>
    <w:pPr>
      <w:spacing w:after="0" w:line="240" w:lineRule="auto"/>
    </w:pPr>
    <w:rPr>
      <w:rFonts w:eastAsiaTheme="minorEastAsia"/>
      <w:lang w:eastAsia="zh-TW"/>
    </w:rPr>
  </w:style>
  <w:style w:type="paragraph" w:customStyle="1" w:styleId="Standard">
    <w:name w:val="Standard"/>
    <w:rsid w:val="000C4557"/>
    <w:pPr>
      <w:suppressAutoHyphens/>
      <w:autoSpaceDN w:val="0"/>
      <w:spacing w:after="0" w:line="240" w:lineRule="auto"/>
      <w:textAlignment w:val="baseline"/>
    </w:pPr>
    <w:rPr>
      <w:rFonts w:ascii="Times New Roman" w:eastAsia="Calibri" w:hAnsi="Times New Roman" w:cs="Times New Roman"/>
      <w:kern w:val="3"/>
      <w:sz w:val="24"/>
    </w:rPr>
  </w:style>
  <w:style w:type="paragraph" w:customStyle="1" w:styleId="9pirmstab3">
    <w:name w:val="9_pirms_tab_3"/>
    <w:basedOn w:val="Normal"/>
    <w:rsid w:val="000C4557"/>
    <w:pPr>
      <w:tabs>
        <w:tab w:val="left" w:pos="3259"/>
        <w:tab w:val="left" w:pos="4200"/>
        <w:tab w:val="left" w:pos="5141"/>
        <w:tab w:val="left" w:pos="6082"/>
        <w:tab w:val="left" w:pos="7022"/>
        <w:tab w:val="left" w:pos="7963"/>
        <w:tab w:val="left" w:pos="8870"/>
        <w:tab w:val="left" w:pos="9794"/>
        <w:tab w:val="left" w:pos="10718"/>
        <w:tab w:val="left" w:pos="11659"/>
        <w:tab w:val="left" w:pos="13171"/>
      </w:tabs>
      <w:spacing w:after="60" w:line="240" w:lineRule="auto"/>
      <w:jc w:val="center"/>
    </w:pPr>
    <w:rPr>
      <w:rFonts w:ascii="Times New Roman" w:eastAsia="Times New Roman" w:hAnsi="Times New Roman" w:cs="Times New Roman"/>
      <w:color w:val="000000"/>
      <w:sz w:val="18"/>
      <w:szCs w:val="20"/>
      <w:lang w:eastAsia="en-US"/>
    </w:rPr>
  </w:style>
  <w:style w:type="paragraph" w:customStyle="1" w:styleId="Normal1">
    <w:name w:val="Normal1"/>
    <w:rsid w:val="000C4557"/>
    <w:pPr>
      <w:spacing w:after="0" w:line="240" w:lineRule="auto"/>
    </w:pPr>
    <w:rPr>
      <w:rFonts w:ascii="Calibri" w:eastAsia="Calibri" w:hAnsi="Calibri" w:cs="Calibri"/>
      <w:color w:val="000000"/>
      <w:lang w:eastAsia="lv-LV"/>
    </w:rPr>
  </w:style>
  <w:style w:type="character" w:customStyle="1" w:styleId="st">
    <w:name w:val="st"/>
    <w:basedOn w:val="DefaultParagraphFont"/>
    <w:rsid w:val="000C4557"/>
  </w:style>
  <w:style w:type="paragraph" w:customStyle="1" w:styleId="HE5F">
    <w:name w:val="HE5 F"/>
    <w:basedOn w:val="Normal"/>
    <w:qFormat/>
    <w:rsid w:val="000C4557"/>
    <w:pPr>
      <w:keepNext/>
      <w:keepLines/>
      <w:spacing w:before="240" w:after="120" w:line="240" w:lineRule="auto"/>
      <w:outlineLvl w:val="1"/>
    </w:pPr>
    <w:rPr>
      <w:rFonts w:ascii="Times New Roman" w:eastAsia="Times New Roman" w:hAnsi="Times New Roman" w:cs="Times New Roman"/>
      <w:b/>
      <w:bCs/>
      <w:sz w:val="24"/>
      <w:szCs w:val="24"/>
      <w:lang w:eastAsia="en-US"/>
    </w:rPr>
  </w:style>
  <w:style w:type="table" w:customStyle="1" w:styleId="TableGrid1">
    <w:name w:val="Table Grid1"/>
    <w:basedOn w:val="TableNormal"/>
    <w:next w:val="TableGrid"/>
    <w:uiPriority w:val="59"/>
    <w:rsid w:val="000C4557"/>
    <w:pPr>
      <w:spacing w:after="0" w:line="240" w:lineRule="auto"/>
    </w:pPr>
    <w:rPr>
      <w:rFonts w:ascii="Times New Roman" w:eastAsia="Calibri"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2485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336A5B"/>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MediumGrid3-Accent4">
    <w:name w:val="Medium Grid 3 Accent 4"/>
    <w:basedOn w:val="TableNormal"/>
    <w:uiPriority w:val="69"/>
    <w:rsid w:val="00B24AD6"/>
    <w:pPr>
      <w:spacing w:after="0" w:line="240" w:lineRule="auto"/>
    </w:pPr>
    <w:rPr>
      <w:rFonts w:ascii="Candara" w:eastAsia="Times New Roman" w:hAnsi="Candara" w:cs="Times New Roman"/>
      <w:sz w:val="16"/>
      <w:szCs w:val="20"/>
      <w:lang w:eastAsia="lv-LV"/>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paragraph" w:styleId="BodyTextIndent2">
    <w:name w:val="Body Text Indent 2"/>
    <w:basedOn w:val="Normal"/>
    <w:link w:val="BodyTextIndent2Char"/>
    <w:unhideWhenUsed/>
    <w:rsid w:val="00B24AD6"/>
    <w:pPr>
      <w:spacing w:after="120" w:line="480" w:lineRule="auto"/>
      <w:ind w:left="283"/>
    </w:pPr>
    <w:rPr>
      <w:rFonts w:ascii="Times New Roman" w:eastAsia="Times New Roman" w:hAnsi="Times New Roman" w:cs="Times New Roman"/>
      <w:sz w:val="24"/>
      <w:szCs w:val="24"/>
      <w:lang w:val="en-GB" w:eastAsia="en-US"/>
    </w:rPr>
  </w:style>
  <w:style w:type="character" w:customStyle="1" w:styleId="BodyTextIndent2Char">
    <w:name w:val="Body Text Indent 2 Char"/>
    <w:basedOn w:val="DefaultParagraphFont"/>
    <w:link w:val="BodyTextIndent2"/>
    <w:rsid w:val="00B24AD6"/>
    <w:rPr>
      <w:rFonts w:ascii="Times New Roman" w:eastAsia="Times New Roman" w:hAnsi="Times New Roman" w:cs="Times New Roman"/>
      <w:sz w:val="24"/>
      <w:szCs w:val="24"/>
      <w:lang w:val="en-GB"/>
    </w:rPr>
  </w:style>
  <w:style w:type="table" w:styleId="LightList-Accent5">
    <w:name w:val="Light List Accent 5"/>
    <w:basedOn w:val="TableNormal"/>
    <w:uiPriority w:val="61"/>
    <w:rsid w:val="00B24AD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Taksts11">
    <w:name w:val="Taksts_11"/>
    <w:basedOn w:val="Normal"/>
    <w:rsid w:val="007464D4"/>
    <w:pPr>
      <w:spacing w:after="0" w:line="240" w:lineRule="auto"/>
      <w:ind w:firstLine="567"/>
      <w:jc w:val="both"/>
    </w:pPr>
    <w:rPr>
      <w:rFonts w:ascii="Times New Roman" w:eastAsia="Times New Roman" w:hAnsi="Times New Roman" w:cs="Times New Roman"/>
      <w:sz w:val="24"/>
      <w:szCs w:val="20"/>
      <w:lang w:val="en-US" w:eastAsia="en-US"/>
    </w:rPr>
  </w:style>
  <w:style w:type="paragraph" w:customStyle="1" w:styleId="HE1F">
    <w:name w:val="HE1 F"/>
    <w:basedOn w:val="Normal"/>
    <w:qFormat/>
    <w:rsid w:val="00DC7607"/>
    <w:pPr>
      <w:keepNext/>
      <w:keepLines/>
      <w:numPr>
        <w:numId w:val="16"/>
      </w:numPr>
      <w:spacing w:before="120" w:after="240" w:line="240" w:lineRule="auto"/>
      <w:ind w:left="1077" w:hanging="357"/>
      <w:jc w:val="center"/>
      <w:outlineLvl w:val="1"/>
    </w:pPr>
    <w:rPr>
      <w:rFonts w:ascii="Times New Roman" w:eastAsia="Times New Roman" w:hAnsi="Times New Roman" w:cs="Times New Roman"/>
      <w:b/>
      <w:bCs/>
      <w:sz w:val="28"/>
      <w:szCs w:val="28"/>
      <w:lang w:eastAsia="en-US"/>
    </w:rPr>
  </w:style>
  <w:style w:type="paragraph" w:customStyle="1" w:styleId="HE2F">
    <w:name w:val="HE2 F"/>
    <w:basedOn w:val="HE1F"/>
    <w:qFormat/>
    <w:rsid w:val="00DC7607"/>
    <w:pPr>
      <w:numPr>
        <w:ilvl w:val="1"/>
      </w:numPr>
      <w:ind w:left="425" w:hanging="425"/>
      <w:jc w:val="left"/>
    </w:pPr>
  </w:style>
  <w:style w:type="paragraph" w:customStyle="1" w:styleId="HE3F">
    <w:name w:val="HE3 F"/>
    <w:basedOn w:val="HE2F"/>
    <w:qFormat/>
    <w:rsid w:val="00DC7607"/>
    <w:pPr>
      <w:numPr>
        <w:ilvl w:val="2"/>
      </w:numPr>
      <w:spacing w:before="240"/>
      <w:ind w:left="992" w:hanging="992"/>
    </w:pPr>
  </w:style>
  <w:style w:type="paragraph" w:customStyle="1" w:styleId="HE4F">
    <w:name w:val="HE4 F"/>
    <w:basedOn w:val="HE3F"/>
    <w:qFormat/>
    <w:rsid w:val="00DC7607"/>
    <w:pPr>
      <w:numPr>
        <w:ilvl w:val="3"/>
      </w:numPr>
    </w:pPr>
    <w:rPr>
      <w:sz w:val="24"/>
      <w:szCs w:val="24"/>
    </w:rPr>
  </w:style>
  <w:style w:type="paragraph" w:customStyle="1" w:styleId="NumberedF">
    <w:name w:val="Numbered F"/>
    <w:basedOn w:val="ListParagraph"/>
    <w:link w:val="NumberedFChar"/>
    <w:qFormat/>
    <w:rsid w:val="00DE4CE0"/>
    <w:pPr>
      <w:numPr>
        <w:numId w:val="17"/>
      </w:numPr>
      <w:spacing w:before="120" w:after="120" w:line="300" w:lineRule="auto"/>
      <w:jc w:val="both"/>
    </w:pPr>
    <w:rPr>
      <w:rFonts w:ascii="Calibri" w:eastAsia="Times New Roman" w:hAnsi="Calibri" w:cs="Arial Unicode MS"/>
      <w:sz w:val="24"/>
      <w:szCs w:val="24"/>
      <w:lang w:eastAsia="zh-CN" w:bidi="lo-LA"/>
    </w:rPr>
  </w:style>
  <w:style w:type="character" w:customStyle="1" w:styleId="NumberedFChar">
    <w:name w:val="Numbered F Char"/>
    <w:link w:val="NumberedF"/>
    <w:rsid w:val="00DE4CE0"/>
    <w:rPr>
      <w:rFonts w:ascii="Calibri" w:eastAsia="Times New Roman" w:hAnsi="Calibri" w:cs="Arial Unicode MS"/>
      <w:sz w:val="24"/>
      <w:szCs w:val="24"/>
      <w:lang w:eastAsia="zh-CN" w:bidi="lo-LA"/>
    </w:rPr>
  </w:style>
  <w:style w:type="paragraph" w:customStyle="1" w:styleId="tvhtml">
    <w:name w:val="tv_html"/>
    <w:basedOn w:val="Normal"/>
    <w:rsid w:val="00374A7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C95A76"/>
    <w:pPr>
      <w:spacing w:after="120"/>
    </w:pPr>
  </w:style>
  <w:style w:type="character" w:customStyle="1" w:styleId="BodyTextChar">
    <w:name w:val="Body Text Char"/>
    <w:basedOn w:val="DefaultParagraphFont"/>
    <w:link w:val="BodyText"/>
    <w:uiPriority w:val="99"/>
    <w:semiHidden/>
    <w:rsid w:val="00C95A76"/>
    <w:rPr>
      <w:rFonts w:eastAsiaTheme="minorEastAsia"/>
      <w:lang w:eastAsia="zh-TW"/>
    </w:rPr>
  </w:style>
  <w:style w:type="character" w:styleId="Strong">
    <w:name w:val="Strong"/>
    <w:basedOn w:val="DefaultParagraphFont"/>
    <w:uiPriority w:val="22"/>
    <w:qFormat/>
    <w:rsid w:val="004859E8"/>
    <w:rPr>
      <w:b/>
      <w:bCs/>
    </w:rPr>
  </w:style>
  <w:style w:type="paragraph" w:customStyle="1" w:styleId="mt-translation">
    <w:name w:val="mt-translation"/>
    <w:basedOn w:val="Normal"/>
    <w:rsid w:val="00CA182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557"/>
    <w:rPr>
      <w:rFonts w:eastAsiaTheme="minorEastAsia"/>
      <w:lang w:eastAsia="zh-TW"/>
    </w:rPr>
  </w:style>
  <w:style w:type="paragraph" w:styleId="Heading1">
    <w:name w:val="heading 1"/>
    <w:basedOn w:val="Normal"/>
    <w:next w:val="Normal"/>
    <w:link w:val="Heading1Char"/>
    <w:uiPriority w:val="9"/>
    <w:qFormat/>
    <w:rsid w:val="000C45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C455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557"/>
    <w:rPr>
      <w:rFonts w:asciiTheme="majorHAnsi" w:eastAsiaTheme="majorEastAsia" w:hAnsiTheme="majorHAnsi" w:cstheme="majorBidi"/>
      <w:color w:val="365F91" w:themeColor="accent1" w:themeShade="BF"/>
      <w:sz w:val="32"/>
      <w:szCs w:val="32"/>
      <w:lang w:eastAsia="zh-TW"/>
    </w:rPr>
  </w:style>
  <w:style w:type="character" w:customStyle="1" w:styleId="Heading2Char">
    <w:name w:val="Heading 2 Char"/>
    <w:basedOn w:val="DefaultParagraphFont"/>
    <w:link w:val="Heading2"/>
    <w:uiPriority w:val="9"/>
    <w:rsid w:val="000C4557"/>
    <w:rPr>
      <w:rFonts w:asciiTheme="majorHAnsi" w:eastAsiaTheme="majorEastAsia" w:hAnsiTheme="majorHAnsi" w:cstheme="majorBidi"/>
      <w:color w:val="365F91" w:themeColor="accent1" w:themeShade="BF"/>
      <w:sz w:val="26"/>
      <w:szCs w:val="26"/>
      <w:lang w:eastAsia="zh-TW"/>
    </w:rPr>
  </w:style>
  <w:style w:type="paragraph" w:styleId="ListParagraph">
    <w:name w:val="List Paragraph"/>
    <w:aliases w:val="2"/>
    <w:basedOn w:val="Normal"/>
    <w:link w:val="ListParagraphChar"/>
    <w:uiPriority w:val="34"/>
    <w:qFormat/>
    <w:rsid w:val="000C4557"/>
    <w:pPr>
      <w:ind w:left="720"/>
      <w:contextualSpacing/>
    </w:pPr>
  </w:style>
  <w:style w:type="table" w:styleId="TableGrid">
    <w:name w:val="Table Grid"/>
    <w:basedOn w:val="TableNormal"/>
    <w:uiPriority w:val="59"/>
    <w:rsid w:val="000C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4557"/>
    <w:rPr>
      <w:color w:val="0000FF" w:themeColor="hyperlink"/>
      <w:u w:val="single"/>
    </w:rPr>
  </w:style>
  <w:style w:type="paragraph" w:styleId="TOCHeading">
    <w:name w:val="TOC Heading"/>
    <w:basedOn w:val="Heading1"/>
    <w:next w:val="Normal"/>
    <w:uiPriority w:val="39"/>
    <w:unhideWhenUsed/>
    <w:qFormat/>
    <w:rsid w:val="000C4557"/>
    <w:pPr>
      <w:spacing w:line="259" w:lineRule="auto"/>
      <w:outlineLvl w:val="9"/>
    </w:pPr>
    <w:rPr>
      <w:lang w:val="en-US" w:eastAsia="en-US"/>
    </w:rPr>
  </w:style>
  <w:style w:type="paragraph" w:styleId="TOC1">
    <w:name w:val="toc 1"/>
    <w:basedOn w:val="Normal"/>
    <w:next w:val="Normal"/>
    <w:autoRedefine/>
    <w:uiPriority w:val="39"/>
    <w:unhideWhenUsed/>
    <w:rsid w:val="0018013F"/>
    <w:pPr>
      <w:tabs>
        <w:tab w:val="right" w:leader="dot" w:pos="9061"/>
      </w:tabs>
      <w:spacing w:after="100"/>
    </w:pPr>
  </w:style>
  <w:style w:type="paragraph" w:styleId="TOC2">
    <w:name w:val="toc 2"/>
    <w:basedOn w:val="Normal"/>
    <w:next w:val="Normal"/>
    <w:autoRedefine/>
    <w:uiPriority w:val="39"/>
    <w:unhideWhenUsed/>
    <w:rsid w:val="000C4557"/>
    <w:pPr>
      <w:spacing w:after="100"/>
      <w:ind w:left="220"/>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uiPriority w:val="99"/>
    <w:unhideWhenUsed/>
    <w:rsid w:val="000C4557"/>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single spa Char"/>
    <w:basedOn w:val="DefaultParagraphFont"/>
    <w:link w:val="FootnoteText"/>
    <w:uiPriority w:val="99"/>
    <w:rsid w:val="000C4557"/>
    <w:rPr>
      <w:rFonts w:eastAsiaTheme="minorEastAsia"/>
      <w:sz w:val="20"/>
      <w:szCs w:val="20"/>
      <w:lang w:eastAsia="zh-TW"/>
    </w:rPr>
  </w:style>
  <w:style w:type="character" w:styleId="FootnoteReference">
    <w:name w:val="footnote reference"/>
    <w:aliases w:val="Footnote Reference Number,SUPERS,Footnote symbol,Footnote Refernece,ftref,Footnote Reference Superscript,stylish,BVI fnr,Fußnotenzeichen_Raxen,callout,Odwołanie przypisu,Footnotes refss,Ref,de nota al pie,Times 10 Point,fr,E"/>
    <w:basedOn w:val="DefaultParagraphFont"/>
    <w:uiPriority w:val="99"/>
    <w:unhideWhenUsed/>
    <w:rsid w:val="000C4557"/>
    <w:rPr>
      <w:vertAlign w:val="superscript"/>
    </w:rPr>
  </w:style>
  <w:style w:type="paragraph" w:styleId="Header">
    <w:name w:val="header"/>
    <w:basedOn w:val="Normal"/>
    <w:link w:val="HeaderChar"/>
    <w:uiPriority w:val="99"/>
    <w:unhideWhenUsed/>
    <w:rsid w:val="000C45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4557"/>
    <w:rPr>
      <w:rFonts w:eastAsiaTheme="minorEastAsia"/>
      <w:lang w:eastAsia="zh-TW"/>
    </w:rPr>
  </w:style>
  <w:style w:type="paragraph" w:styleId="Footer">
    <w:name w:val="footer"/>
    <w:basedOn w:val="Normal"/>
    <w:link w:val="FooterChar"/>
    <w:uiPriority w:val="99"/>
    <w:unhideWhenUsed/>
    <w:rsid w:val="000C45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4557"/>
    <w:rPr>
      <w:rFonts w:eastAsiaTheme="minorEastAsia"/>
      <w:lang w:eastAsia="zh-TW"/>
    </w:rPr>
  </w:style>
  <w:style w:type="character" w:styleId="CommentReference">
    <w:name w:val="annotation reference"/>
    <w:basedOn w:val="DefaultParagraphFont"/>
    <w:unhideWhenUsed/>
    <w:rsid w:val="000C4557"/>
    <w:rPr>
      <w:sz w:val="16"/>
      <w:szCs w:val="16"/>
    </w:rPr>
  </w:style>
  <w:style w:type="paragraph" w:styleId="CommentText">
    <w:name w:val="annotation text"/>
    <w:basedOn w:val="Normal"/>
    <w:link w:val="CommentTextChar"/>
    <w:unhideWhenUsed/>
    <w:rsid w:val="000C4557"/>
    <w:pPr>
      <w:spacing w:line="240" w:lineRule="auto"/>
    </w:pPr>
    <w:rPr>
      <w:sz w:val="20"/>
      <w:szCs w:val="20"/>
    </w:rPr>
  </w:style>
  <w:style w:type="character" w:customStyle="1" w:styleId="CommentTextChar">
    <w:name w:val="Comment Text Char"/>
    <w:basedOn w:val="DefaultParagraphFont"/>
    <w:link w:val="CommentText"/>
    <w:rsid w:val="000C4557"/>
    <w:rPr>
      <w:rFonts w:eastAsiaTheme="minorEastAsia"/>
      <w:sz w:val="20"/>
      <w:szCs w:val="20"/>
      <w:lang w:eastAsia="zh-TW"/>
    </w:rPr>
  </w:style>
  <w:style w:type="paragraph" w:styleId="CommentSubject">
    <w:name w:val="annotation subject"/>
    <w:basedOn w:val="CommentText"/>
    <w:next w:val="CommentText"/>
    <w:link w:val="CommentSubjectChar"/>
    <w:uiPriority w:val="99"/>
    <w:semiHidden/>
    <w:unhideWhenUsed/>
    <w:rsid w:val="000C4557"/>
    <w:rPr>
      <w:b/>
      <w:bCs/>
    </w:rPr>
  </w:style>
  <w:style w:type="character" w:customStyle="1" w:styleId="CommentSubjectChar">
    <w:name w:val="Comment Subject Char"/>
    <w:basedOn w:val="CommentTextChar"/>
    <w:link w:val="CommentSubject"/>
    <w:uiPriority w:val="99"/>
    <w:semiHidden/>
    <w:rsid w:val="000C4557"/>
    <w:rPr>
      <w:rFonts w:eastAsiaTheme="minorEastAsia"/>
      <w:b/>
      <w:bCs/>
      <w:sz w:val="20"/>
      <w:szCs w:val="20"/>
      <w:lang w:eastAsia="zh-TW"/>
    </w:rPr>
  </w:style>
  <w:style w:type="paragraph" w:styleId="BalloonText">
    <w:name w:val="Balloon Text"/>
    <w:basedOn w:val="Normal"/>
    <w:link w:val="BalloonTextChar"/>
    <w:uiPriority w:val="99"/>
    <w:semiHidden/>
    <w:unhideWhenUsed/>
    <w:rsid w:val="000C4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557"/>
    <w:rPr>
      <w:rFonts w:ascii="Segoe UI" w:eastAsiaTheme="minorEastAsia" w:hAnsi="Segoe UI" w:cs="Segoe UI"/>
      <w:sz w:val="18"/>
      <w:szCs w:val="18"/>
      <w:lang w:eastAsia="zh-TW"/>
    </w:rPr>
  </w:style>
  <w:style w:type="paragraph" w:customStyle="1" w:styleId="tv2131">
    <w:name w:val="tv2131"/>
    <w:basedOn w:val="Normal"/>
    <w:rsid w:val="000C4557"/>
    <w:pPr>
      <w:spacing w:after="0" w:line="360" w:lineRule="auto"/>
      <w:ind w:firstLine="230"/>
    </w:pPr>
    <w:rPr>
      <w:rFonts w:ascii="Times New Roman" w:eastAsia="Times New Roman" w:hAnsi="Times New Roman" w:cs="Times New Roman"/>
      <w:color w:val="414142"/>
      <w:sz w:val="15"/>
      <w:szCs w:val="15"/>
      <w:lang w:eastAsia="zh-CN" w:bidi="lo-LA"/>
    </w:rPr>
  </w:style>
  <w:style w:type="paragraph" w:customStyle="1" w:styleId="Default">
    <w:name w:val="Default"/>
    <w:rsid w:val="000C455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C4557"/>
    <w:pPr>
      <w:spacing w:after="0" w:line="240" w:lineRule="auto"/>
    </w:pPr>
    <w:rPr>
      <w:rFonts w:eastAsiaTheme="minorEastAsia"/>
      <w:lang w:eastAsia="zh-TW"/>
    </w:rPr>
  </w:style>
  <w:style w:type="paragraph" w:styleId="NormalWeb">
    <w:name w:val="Normal (Web)"/>
    <w:aliases w:val="sākums"/>
    <w:basedOn w:val="Normal"/>
    <w:uiPriority w:val="99"/>
    <w:unhideWhenUsed/>
    <w:rsid w:val="000C4557"/>
    <w:pPr>
      <w:spacing w:before="100" w:beforeAutospacing="1" w:after="100" w:afterAutospacing="1" w:line="240" w:lineRule="auto"/>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0C4557"/>
    <w:rPr>
      <w:color w:val="800080" w:themeColor="followedHyperlink"/>
      <w:u w:val="single"/>
    </w:rPr>
  </w:style>
  <w:style w:type="character" w:customStyle="1" w:styleId="apple-converted-space">
    <w:name w:val="apple-converted-space"/>
    <w:basedOn w:val="DefaultParagraphFont"/>
    <w:rsid w:val="000C4557"/>
  </w:style>
  <w:style w:type="paragraph" w:customStyle="1" w:styleId="ColorfulList-Accent11">
    <w:name w:val="Colorful List - Accent 11"/>
    <w:basedOn w:val="Normal"/>
    <w:uiPriority w:val="34"/>
    <w:qFormat/>
    <w:rsid w:val="000C4557"/>
    <w:pPr>
      <w:spacing w:after="0" w:line="240" w:lineRule="auto"/>
      <w:ind w:left="720"/>
      <w:contextualSpacing/>
      <w:jc w:val="both"/>
    </w:pPr>
    <w:rPr>
      <w:rFonts w:ascii="Times New Roman" w:eastAsia="Times New Roman" w:hAnsi="Times New Roman" w:cs="Times New Roman"/>
      <w:sz w:val="24"/>
      <w:szCs w:val="20"/>
      <w:lang w:eastAsia="en-US"/>
    </w:rPr>
  </w:style>
  <w:style w:type="paragraph" w:styleId="Bibliography">
    <w:name w:val="Bibliography"/>
    <w:basedOn w:val="Normal"/>
    <w:next w:val="Normal"/>
    <w:uiPriority w:val="37"/>
    <w:semiHidden/>
    <w:unhideWhenUsed/>
    <w:rsid w:val="000C4557"/>
  </w:style>
  <w:style w:type="paragraph" w:styleId="Caption">
    <w:name w:val="caption"/>
    <w:basedOn w:val="Normal"/>
    <w:next w:val="Normal"/>
    <w:uiPriority w:val="35"/>
    <w:qFormat/>
    <w:rsid w:val="000C4557"/>
    <w:pPr>
      <w:spacing w:after="0" w:line="240" w:lineRule="auto"/>
      <w:jc w:val="both"/>
    </w:pPr>
    <w:rPr>
      <w:rFonts w:ascii="Times New Roman" w:eastAsia="Times New Roman" w:hAnsi="Times New Roman" w:cs="Times New Roman"/>
      <w:b/>
      <w:bCs/>
      <w:sz w:val="20"/>
      <w:szCs w:val="20"/>
      <w:lang w:eastAsia="en-US"/>
    </w:rPr>
  </w:style>
  <w:style w:type="character" w:customStyle="1" w:styleId="ListParagraphChar">
    <w:name w:val="List Paragraph Char"/>
    <w:aliases w:val="2 Char"/>
    <w:link w:val="ListParagraph"/>
    <w:uiPriority w:val="34"/>
    <w:rsid w:val="000C4557"/>
    <w:rPr>
      <w:rFonts w:eastAsiaTheme="minorEastAsia"/>
      <w:lang w:eastAsia="zh-TW"/>
    </w:rPr>
  </w:style>
  <w:style w:type="paragraph" w:styleId="NoSpacing">
    <w:name w:val="No Spacing"/>
    <w:uiPriority w:val="1"/>
    <w:qFormat/>
    <w:rsid w:val="000C4557"/>
    <w:pPr>
      <w:spacing w:after="0" w:line="240" w:lineRule="auto"/>
    </w:pPr>
    <w:rPr>
      <w:rFonts w:eastAsiaTheme="minorEastAsia"/>
      <w:lang w:eastAsia="zh-TW"/>
    </w:rPr>
  </w:style>
  <w:style w:type="paragraph" w:customStyle="1" w:styleId="Standard">
    <w:name w:val="Standard"/>
    <w:rsid w:val="000C4557"/>
    <w:pPr>
      <w:suppressAutoHyphens/>
      <w:autoSpaceDN w:val="0"/>
      <w:spacing w:after="0" w:line="240" w:lineRule="auto"/>
      <w:textAlignment w:val="baseline"/>
    </w:pPr>
    <w:rPr>
      <w:rFonts w:ascii="Times New Roman" w:eastAsia="Calibri" w:hAnsi="Times New Roman" w:cs="Times New Roman"/>
      <w:kern w:val="3"/>
      <w:sz w:val="24"/>
    </w:rPr>
  </w:style>
  <w:style w:type="paragraph" w:customStyle="1" w:styleId="9pirmstab3">
    <w:name w:val="9_pirms_tab_3"/>
    <w:basedOn w:val="Normal"/>
    <w:rsid w:val="000C4557"/>
    <w:pPr>
      <w:tabs>
        <w:tab w:val="left" w:pos="3259"/>
        <w:tab w:val="left" w:pos="4200"/>
        <w:tab w:val="left" w:pos="5141"/>
        <w:tab w:val="left" w:pos="6082"/>
        <w:tab w:val="left" w:pos="7022"/>
        <w:tab w:val="left" w:pos="7963"/>
        <w:tab w:val="left" w:pos="8870"/>
        <w:tab w:val="left" w:pos="9794"/>
        <w:tab w:val="left" w:pos="10718"/>
        <w:tab w:val="left" w:pos="11659"/>
        <w:tab w:val="left" w:pos="13171"/>
      </w:tabs>
      <w:spacing w:after="60" w:line="240" w:lineRule="auto"/>
      <w:jc w:val="center"/>
    </w:pPr>
    <w:rPr>
      <w:rFonts w:ascii="Times New Roman" w:eastAsia="Times New Roman" w:hAnsi="Times New Roman" w:cs="Times New Roman"/>
      <w:color w:val="000000"/>
      <w:sz w:val="18"/>
      <w:szCs w:val="20"/>
      <w:lang w:eastAsia="en-US"/>
    </w:rPr>
  </w:style>
  <w:style w:type="paragraph" w:customStyle="1" w:styleId="Normal1">
    <w:name w:val="Normal1"/>
    <w:rsid w:val="000C4557"/>
    <w:pPr>
      <w:spacing w:after="0" w:line="240" w:lineRule="auto"/>
    </w:pPr>
    <w:rPr>
      <w:rFonts w:ascii="Calibri" w:eastAsia="Calibri" w:hAnsi="Calibri" w:cs="Calibri"/>
      <w:color w:val="000000"/>
      <w:lang w:eastAsia="lv-LV"/>
    </w:rPr>
  </w:style>
  <w:style w:type="character" w:customStyle="1" w:styleId="st">
    <w:name w:val="st"/>
    <w:basedOn w:val="DefaultParagraphFont"/>
    <w:rsid w:val="000C4557"/>
  </w:style>
  <w:style w:type="paragraph" w:customStyle="1" w:styleId="HE5F">
    <w:name w:val="HE5 F"/>
    <w:basedOn w:val="Normal"/>
    <w:qFormat/>
    <w:rsid w:val="000C4557"/>
    <w:pPr>
      <w:keepNext/>
      <w:keepLines/>
      <w:spacing w:before="240" w:after="120" w:line="240" w:lineRule="auto"/>
      <w:outlineLvl w:val="1"/>
    </w:pPr>
    <w:rPr>
      <w:rFonts w:ascii="Times New Roman" w:eastAsia="Times New Roman" w:hAnsi="Times New Roman" w:cs="Times New Roman"/>
      <w:b/>
      <w:bCs/>
      <w:sz w:val="24"/>
      <w:szCs w:val="24"/>
      <w:lang w:eastAsia="en-US"/>
    </w:rPr>
  </w:style>
  <w:style w:type="table" w:customStyle="1" w:styleId="TableGrid1">
    <w:name w:val="Table Grid1"/>
    <w:basedOn w:val="TableNormal"/>
    <w:next w:val="TableGrid"/>
    <w:uiPriority w:val="59"/>
    <w:rsid w:val="000C4557"/>
    <w:pPr>
      <w:spacing w:after="0" w:line="240" w:lineRule="auto"/>
    </w:pPr>
    <w:rPr>
      <w:rFonts w:ascii="Times New Roman" w:eastAsia="Calibri"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2485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336A5B"/>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MediumGrid3-Accent4">
    <w:name w:val="Medium Grid 3 Accent 4"/>
    <w:basedOn w:val="TableNormal"/>
    <w:uiPriority w:val="69"/>
    <w:rsid w:val="00B24AD6"/>
    <w:pPr>
      <w:spacing w:after="0" w:line="240" w:lineRule="auto"/>
    </w:pPr>
    <w:rPr>
      <w:rFonts w:ascii="Candara" w:eastAsia="Times New Roman" w:hAnsi="Candara" w:cs="Times New Roman"/>
      <w:sz w:val="16"/>
      <w:szCs w:val="20"/>
      <w:lang w:eastAsia="lv-LV"/>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paragraph" w:styleId="BodyTextIndent2">
    <w:name w:val="Body Text Indent 2"/>
    <w:basedOn w:val="Normal"/>
    <w:link w:val="BodyTextIndent2Char"/>
    <w:unhideWhenUsed/>
    <w:rsid w:val="00B24AD6"/>
    <w:pPr>
      <w:spacing w:after="120" w:line="480" w:lineRule="auto"/>
      <w:ind w:left="283"/>
    </w:pPr>
    <w:rPr>
      <w:rFonts w:ascii="Times New Roman" w:eastAsia="Times New Roman" w:hAnsi="Times New Roman" w:cs="Times New Roman"/>
      <w:sz w:val="24"/>
      <w:szCs w:val="24"/>
      <w:lang w:val="en-GB" w:eastAsia="en-US"/>
    </w:rPr>
  </w:style>
  <w:style w:type="character" w:customStyle="1" w:styleId="BodyTextIndent2Char">
    <w:name w:val="Body Text Indent 2 Char"/>
    <w:basedOn w:val="DefaultParagraphFont"/>
    <w:link w:val="BodyTextIndent2"/>
    <w:rsid w:val="00B24AD6"/>
    <w:rPr>
      <w:rFonts w:ascii="Times New Roman" w:eastAsia="Times New Roman" w:hAnsi="Times New Roman" w:cs="Times New Roman"/>
      <w:sz w:val="24"/>
      <w:szCs w:val="24"/>
      <w:lang w:val="en-GB"/>
    </w:rPr>
  </w:style>
  <w:style w:type="table" w:styleId="LightList-Accent5">
    <w:name w:val="Light List Accent 5"/>
    <w:basedOn w:val="TableNormal"/>
    <w:uiPriority w:val="61"/>
    <w:rsid w:val="00B24AD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Taksts11">
    <w:name w:val="Taksts_11"/>
    <w:basedOn w:val="Normal"/>
    <w:rsid w:val="007464D4"/>
    <w:pPr>
      <w:spacing w:after="0" w:line="240" w:lineRule="auto"/>
      <w:ind w:firstLine="567"/>
      <w:jc w:val="both"/>
    </w:pPr>
    <w:rPr>
      <w:rFonts w:ascii="Times New Roman" w:eastAsia="Times New Roman" w:hAnsi="Times New Roman" w:cs="Times New Roman"/>
      <w:sz w:val="24"/>
      <w:szCs w:val="20"/>
      <w:lang w:val="en-US" w:eastAsia="en-US"/>
    </w:rPr>
  </w:style>
  <w:style w:type="paragraph" w:customStyle="1" w:styleId="HE1F">
    <w:name w:val="HE1 F"/>
    <w:basedOn w:val="Normal"/>
    <w:qFormat/>
    <w:rsid w:val="00DC7607"/>
    <w:pPr>
      <w:keepNext/>
      <w:keepLines/>
      <w:numPr>
        <w:numId w:val="16"/>
      </w:numPr>
      <w:spacing w:before="120" w:after="240" w:line="240" w:lineRule="auto"/>
      <w:ind w:left="1077" w:hanging="357"/>
      <w:jc w:val="center"/>
      <w:outlineLvl w:val="1"/>
    </w:pPr>
    <w:rPr>
      <w:rFonts w:ascii="Times New Roman" w:eastAsia="Times New Roman" w:hAnsi="Times New Roman" w:cs="Times New Roman"/>
      <w:b/>
      <w:bCs/>
      <w:sz w:val="28"/>
      <w:szCs w:val="28"/>
      <w:lang w:eastAsia="en-US"/>
    </w:rPr>
  </w:style>
  <w:style w:type="paragraph" w:customStyle="1" w:styleId="HE2F">
    <w:name w:val="HE2 F"/>
    <w:basedOn w:val="HE1F"/>
    <w:qFormat/>
    <w:rsid w:val="00DC7607"/>
    <w:pPr>
      <w:numPr>
        <w:ilvl w:val="1"/>
      </w:numPr>
      <w:ind w:left="425" w:hanging="425"/>
      <w:jc w:val="left"/>
    </w:pPr>
  </w:style>
  <w:style w:type="paragraph" w:customStyle="1" w:styleId="HE3F">
    <w:name w:val="HE3 F"/>
    <w:basedOn w:val="HE2F"/>
    <w:qFormat/>
    <w:rsid w:val="00DC7607"/>
    <w:pPr>
      <w:numPr>
        <w:ilvl w:val="2"/>
      </w:numPr>
      <w:spacing w:before="240"/>
      <w:ind w:left="992" w:hanging="992"/>
    </w:pPr>
  </w:style>
  <w:style w:type="paragraph" w:customStyle="1" w:styleId="HE4F">
    <w:name w:val="HE4 F"/>
    <w:basedOn w:val="HE3F"/>
    <w:qFormat/>
    <w:rsid w:val="00DC7607"/>
    <w:pPr>
      <w:numPr>
        <w:ilvl w:val="3"/>
      </w:numPr>
    </w:pPr>
    <w:rPr>
      <w:sz w:val="24"/>
      <w:szCs w:val="24"/>
    </w:rPr>
  </w:style>
  <w:style w:type="paragraph" w:customStyle="1" w:styleId="NumberedF">
    <w:name w:val="Numbered F"/>
    <w:basedOn w:val="ListParagraph"/>
    <w:link w:val="NumberedFChar"/>
    <w:qFormat/>
    <w:rsid w:val="00DE4CE0"/>
    <w:pPr>
      <w:numPr>
        <w:numId w:val="17"/>
      </w:numPr>
      <w:spacing w:before="120" w:after="120" w:line="300" w:lineRule="auto"/>
      <w:jc w:val="both"/>
    </w:pPr>
    <w:rPr>
      <w:rFonts w:ascii="Calibri" w:eastAsia="Times New Roman" w:hAnsi="Calibri" w:cs="Arial Unicode MS"/>
      <w:sz w:val="24"/>
      <w:szCs w:val="24"/>
      <w:lang w:eastAsia="zh-CN" w:bidi="lo-LA"/>
    </w:rPr>
  </w:style>
  <w:style w:type="character" w:customStyle="1" w:styleId="NumberedFChar">
    <w:name w:val="Numbered F Char"/>
    <w:link w:val="NumberedF"/>
    <w:rsid w:val="00DE4CE0"/>
    <w:rPr>
      <w:rFonts w:ascii="Calibri" w:eastAsia="Times New Roman" w:hAnsi="Calibri" w:cs="Arial Unicode MS"/>
      <w:sz w:val="24"/>
      <w:szCs w:val="24"/>
      <w:lang w:eastAsia="zh-CN" w:bidi="lo-LA"/>
    </w:rPr>
  </w:style>
  <w:style w:type="paragraph" w:customStyle="1" w:styleId="tvhtml">
    <w:name w:val="tv_html"/>
    <w:basedOn w:val="Normal"/>
    <w:rsid w:val="00374A7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C95A76"/>
    <w:pPr>
      <w:spacing w:after="120"/>
    </w:pPr>
  </w:style>
  <w:style w:type="character" w:customStyle="1" w:styleId="BodyTextChar">
    <w:name w:val="Body Text Char"/>
    <w:basedOn w:val="DefaultParagraphFont"/>
    <w:link w:val="BodyText"/>
    <w:uiPriority w:val="99"/>
    <w:semiHidden/>
    <w:rsid w:val="00C95A76"/>
    <w:rPr>
      <w:rFonts w:eastAsiaTheme="minorEastAsia"/>
      <w:lang w:eastAsia="zh-TW"/>
    </w:rPr>
  </w:style>
  <w:style w:type="character" w:styleId="Strong">
    <w:name w:val="Strong"/>
    <w:basedOn w:val="DefaultParagraphFont"/>
    <w:uiPriority w:val="22"/>
    <w:qFormat/>
    <w:rsid w:val="004859E8"/>
    <w:rPr>
      <w:b/>
      <w:bCs/>
    </w:rPr>
  </w:style>
  <w:style w:type="paragraph" w:customStyle="1" w:styleId="mt-translation">
    <w:name w:val="mt-translation"/>
    <w:basedOn w:val="Normal"/>
    <w:rsid w:val="00CA182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938">
      <w:bodyDiv w:val="1"/>
      <w:marLeft w:val="0"/>
      <w:marRight w:val="0"/>
      <w:marTop w:val="0"/>
      <w:marBottom w:val="0"/>
      <w:divBdr>
        <w:top w:val="none" w:sz="0" w:space="0" w:color="auto"/>
        <w:left w:val="none" w:sz="0" w:space="0" w:color="auto"/>
        <w:bottom w:val="none" w:sz="0" w:space="0" w:color="auto"/>
        <w:right w:val="none" w:sz="0" w:space="0" w:color="auto"/>
      </w:divBdr>
    </w:div>
    <w:div w:id="55710414">
      <w:bodyDiv w:val="1"/>
      <w:marLeft w:val="0"/>
      <w:marRight w:val="0"/>
      <w:marTop w:val="0"/>
      <w:marBottom w:val="0"/>
      <w:divBdr>
        <w:top w:val="none" w:sz="0" w:space="0" w:color="auto"/>
        <w:left w:val="none" w:sz="0" w:space="0" w:color="auto"/>
        <w:bottom w:val="none" w:sz="0" w:space="0" w:color="auto"/>
        <w:right w:val="none" w:sz="0" w:space="0" w:color="auto"/>
      </w:divBdr>
      <w:divsChild>
        <w:div w:id="1737778346">
          <w:marLeft w:val="547"/>
          <w:marRight w:val="0"/>
          <w:marTop w:val="77"/>
          <w:marBottom w:val="0"/>
          <w:divBdr>
            <w:top w:val="none" w:sz="0" w:space="0" w:color="auto"/>
            <w:left w:val="none" w:sz="0" w:space="0" w:color="auto"/>
            <w:bottom w:val="none" w:sz="0" w:space="0" w:color="auto"/>
            <w:right w:val="none" w:sz="0" w:space="0" w:color="auto"/>
          </w:divBdr>
        </w:div>
      </w:divsChild>
    </w:div>
    <w:div w:id="224949167">
      <w:bodyDiv w:val="1"/>
      <w:marLeft w:val="0"/>
      <w:marRight w:val="0"/>
      <w:marTop w:val="0"/>
      <w:marBottom w:val="0"/>
      <w:divBdr>
        <w:top w:val="none" w:sz="0" w:space="0" w:color="auto"/>
        <w:left w:val="none" w:sz="0" w:space="0" w:color="auto"/>
        <w:bottom w:val="none" w:sz="0" w:space="0" w:color="auto"/>
        <w:right w:val="none" w:sz="0" w:space="0" w:color="auto"/>
      </w:divBdr>
    </w:div>
    <w:div w:id="260188586">
      <w:bodyDiv w:val="1"/>
      <w:marLeft w:val="0"/>
      <w:marRight w:val="0"/>
      <w:marTop w:val="0"/>
      <w:marBottom w:val="0"/>
      <w:divBdr>
        <w:top w:val="none" w:sz="0" w:space="0" w:color="auto"/>
        <w:left w:val="none" w:sz="0" w:space="0" w:color="auto"/>
        <w:bottom w:val="none" w:sz="0" w:space="0" w:color="auto"/>
        <w:right w:val="none" w:sz="0" w:space="0" w:color="auto"/>
      </w:divBdr>
      <w:divsChild>
        <w:div w:id="987397993">
          <w:marLeft w:val="1843"/>
          <w:marRight w:val="0"/>
          <w:marTop w:val="0"/>
          <w:marBottom w:val="0"/>
          <w:divBdr>
            <w:top w:val="none" w:sz="0" w:space="0" w:color="auto"/>
            <w:left w:val="none" w:sz="0" w:space="0" w:color="auto"/>
            <w:bottom w:val="none" w:sz="0" w:space="0" w:color="auto"/>
            <w:right w:val="none" w:sz="0" w:space="0" w:color="auto"/>
          </w:divBdr>
        </w:div>
        <w:div w:id="999580905">
          <w:marLeft w:val="1843"/>
          <w:marRight w:val="0"/>
          <w:marTop w:val="0"/>
          <w:marBottom w:val="0"/>
          <w:divBdr>
            <w:top w:val="none" w:sz="0" w:space="0" w:color="auto"/>
            <w:left w:val="none" w:sz="0" w:space="0" w:color="auto"/>
            <w:bottom w:val="none" w:sz="0" w:space="0" w:color="auto"/>
            <w:right w:val="none" w:sz="0" w:space="0" w:color="auto"/>
          </w:divBdr>
        </w:div>
        <w:div w:id="725107510">
          <w:marLeft w:val="1843"/>
          <w:marRight w:val="0"/>
          <w:marTop w:val="0"/>
          <w:marBottom w:val="0"/>
          <w:divBdr>
            <w:top w:val="none" w:sz="0" w:space="0" w:color="auto"/>
            <w:left w:val="none" w:sz="0" w:space="0" w:color="auto"/>
            <w:bottom w:val="none" w:sz="0" w:space="0" w:color="auto"/>
            <w:right w:val="none" w:sz="0" w:space="0" w:color="auto"/>
          </w:divBdr>
        </w:div>
      </w:divsChild>
    </w:div>
    <w:div w:id="306739720">
      <w:bodyDiv w:val="1"/>
      <w:marLeft w:val="0"/>
      <w:marRight w:val="0"/>
      <w:marTop w:val="0"/>
      <w:marBottom w:val="0"/>
      <w:divBdr>
        <w:top w:val="none" w:sz="0" w:space="0" w:color="auto"/>
        <w:left w:val="none" w:sz="0" w:space="0" w:color="auto"/>
        <w:bottom w:val="none" w:sz="0" w:space="0" w:color="auto"/>
        <w:right w:val="none" w:sz="0" w:space="0" w:color="auto"/>
      </w:divBdr>
      <w:divsChild>
        <w:div w:id="1976597390">
          <w:marLeft w:val="0"/>
          <w:marRight w:val="0"/>
          <w:marTop w:val="0"/>
          <w:marBottom w:val="0"/>
          <w:divBdr>
            <w:top w:val="none" w:sz="0" w:space="0" w:color="auto"/>
            <w:left w:val="none" w:sz="0" w:space="0" w:color="auto"/>
            <w:bottom w:val="none" w:sz="0" w:space="0" w:color="auto"/>
            <w:right w:val="none" w:sz="0" w:space="0" w:color="auto"/>
          </w:divBdr>
        </w:div>
        <w:div w:id="696540970">
          <w:marLeft w:val="0"/>
          <w:marRight w:val="0"/>
          <w:marTop w:val="0"/>
          <w:marBottom w:val="0"/>
          <w:divBdr>
            <w:top w:val="none" w:sz="0" w:space="0" w:color="auto"/>
            <w:left w:val="none" w:sz="0" w:space="0" w:color="auto"/>
            <w:bottom w:val="none" w:sz="0" w:space="0" w:color="auto"/>
            <w:right w:val="none" w:sz="0" w:space="0" w:color="auto"/>
          </w:divBdr>
        </w:div>
        <w:div w:id="1967353657">
          <w:marLeft w:val="0"/>
          <w:marRight w:val="0"/>
          <w:marTop w:val="0"/>
          <w:marBottom w:val="0"/>
          <w:divBdr>
            <w:top w:val="none" w:sz="0" w:space="0" w:color="auto"/>
            <w:left w:val="none" w:sz="0" w:space="0" w:color="auto"/>
            <w:bottom w:val="none" w:sz="0" w:space="0" w:color="auto"/>
            <w:right w:val="none" w:sz="0" w:space="0" w:color="auto"/>
          </w:divBdr>
        </w:div>
      </w:divsChild>
    </w:div>
    <w:div w:id="381294148">
      <w:bodyDiv w:val="1"/>
      <w:marLeft w:val="0"/>
      <w:marRight w:val="0"/>
      <w:marTop w:val="0"/>
      <w:marBottom w:val="0"/>
      <w:divBdr>
        <w:top w:val="none" w:sz="0" w:space="0" w:color="auto"/>
        <w:left w:val="none" w:sz="0" w:space="0" w:color="auto"/>
        <w:bottom w:val="none" w:sz="0" w:space="0" w:color="auto"/>
        <w:right w:val="none" w:sz="0" w:space="0" w:color="auto"/>
      </w:divBdr>
      <w:divsChild>
        <w:div w:id="846677315">
          <w:marLeft w:val="446"/>
          <w:marRight w:val="0"/>
          <w:marTop w:val="0"/>
          <w:marBottom w:val="0"/>
          <w:divBdr>
            <w:top w:val="none" w:sz="0" w:space="0" w:color="auto"/>
            <w:left w:val="none" w:sz="0" w:space="0" w:color="auto"/>
            <w:bottom w:val="none" w:sz="0" w:space="0" w:color="auto"/>
            <w:right w:val="none" w:sz="0" w:space="0" w:color="auto"/>
          </w:divBdr>
        </w:div>
        <w:div w:id="1472288745">
          <w:marLeft w:val="446"/>
          <w:marRight w:val="0"/>
          <w:marTop w:val="0"/>
          <w:marBottom w:val="0"/>
          <w:divBdr>
            <w:top w:val="none" w:sz="0" w:space="0" w:color="auto"/>
            <w:left w:val="none" w:sz="0" w:space="0" w:color="auto"/>
            <w:bottom w:val="none" w:sz="0" w:space="0" w:color="auto"/>
            <w:right w:val="none" w:sz="0" w:space="0" w:color="auto"/>
          </w:divBdr>
        </w:div>
        <w:div w:id="733237501">
          <w:marLeft w:val="446"/>
          <w:marRight w:val="0"/>
          <w:marTop w:val="0"/>
          <w:marBottom w:val="0"/>
          <w:divBdr>
            <w:top w:val="none" w:sz="0" w:space="0" w:color="auto"/>
            <w:left w:val="none" w:sz="0" w:space="0" w:color="auto"/>
            <w:bottom w:val="none" w:sz="0" w:space="0" w:color="auto"/>
            <w:right w:val="none" w:sz="0" w:space="0" w:color="auto"/>
          </w:divBdr>
        </w:div>
        <w:div w:id="630788339">
          <w:marLeft w:val="446"/>
          <w:marRight w:val="0"/>
          <w:marTop w:val="0"/>
          <w:marBottom w:val="0"/>
          <w:divBdr>
            <w:top w:val="none" w:sz="0" w:space="0" w:color="auto"/>
            <w:left w:val="none" w:sz="0" w:space="0" w:color="auto"/>
            <w:bottom w:val="none" w:sz="0" w:space="0" w:color="auto"/>
            <w:right w:val="none" w:sz="0" w:space="0" w:color="auto"/>
          </w:divBdr>
        </w:div>
        <w:div w:id="1412240885">
          <w:marLeft w:val="446"/>
          <w:marRight w:val="0"/>
          <w:marTop w:val="0"/>
          <w:marBottom w:val="0"/>
          <w:divBdr>
            <w:top w:val="none" w:sz="0" w:space="0" w:color="auto"/>
            <w:left w:val="none" w:sz="0" w:space="0" w:color="auto"/>
            <w:bottom w:val="none" w:sz="0" w:space="0" w:color="auto"/>
            <w:right w:val="none" w:sz="0" w:space="0" w:color="auto"/>
          </w:divBdr>
        </w:div>
        <w:div w:id="794450071">
          <w:marLeft w:val="446"/>
          <w:marRight w:val="0"/>
          <w:marTop w:val="0"/>
          <w:marBottom w:val="0"/>
          <w:divBdr>
            <w:top w:val="none" w:sz="0" w:space="0" w:color="auto"/>
            <w:left w:val="none" w:sz="0" w:space="0" w:color="auto"/>
            <w:bottom w:val="none" w:sz="0" w:space="0" w:color="auto"/>
            <w:right w:val="none" w:sz="0" w:space="0" w:color="auto"/>
          </w:divBdr>
        </w:div>
        <w:div w:id="1913588377">
          <w:marLeft w:val="446"/>
          <w:marRight w:val="0"/>
          <w:marTop w:val="0"/>
          <w:marBottom w:val="0"/>
          <w:divBdr>
            <w:top w:val="none" w:sz="0" w:space="0" w:color="auto"/>
            <w:left w:val="none" w:sz="0" w:space="0" w:color="auto"/>
            <w:bottom w:val="none" w:sz="0" w:space="0" w:color="auto"/>
            <w:right w:val="none" w:sz="0" w:space="0" w:color="auto"/>
          </w:divBdr>
        </w:div>
      </w:divsChild>
    </w:div>
    <w:div w:id="386339557">
      <w:bodyDiv w:val="1"/>
      <w:marLeft w:val="0"/>
      <w:marRight w:val="0"/>
      <w:marTop w:val="0"/>
      <w:marBottom w:val="0"/>
      <w:divBdr>
        <w:top w:val="none" w:sz="0" w:space="0" w:color="auto"/>
        <w:left w:val="none" w:sz="0" w:space="0" w:color="auto"/>
        <w:bottom w:val="none" w:sz="0" w:space="0" w:color="auto"/>
        <w:right w:val="none" w:sz="0" w:space="0" w:color="auto"/>
      </w:divBdr>
      <w:divsChild>
        <w:div w:id="954947951">
          <w:marLeft w:val="1426"/>
          <w:marRight w:val="0"/>
          <w:marTop w:val="0"/>
          <w:marBottom w:val="0"/>
          <w:divBdr>
            <w:top w:val="none" w:sz="0" w:space="0" w:color="auto"/>
            <w:left w:val="none" w:sz="0" w:space="0" w:color="auto"/>
            <w:bottom w:val="none" w:sz="0" w:space="0" w:color="auto"/>
            <w:right w:val="none" w:sz="0" w:space="0" w:color="auto"/>
          </w:divBdr>
        </w:div>
      </w:divsChild>
    </w:div>
    <w:div w:id="653147863">
      <w:bodyDiv w:val="1"/>
      <w:marLeft w:val="0"/>
      <w:marRight w:val="0"/>
      <w:marTop w:val="0"/>
      <w:marBottom w:val="0"/>
      <w:divBdr>
        <w:top w:val="none" w:sz="0" w:space="0" w:color="auto"/>
        <w:left w:val="none" w:sz="0" w:space="0" w:color="auto"/>
        <w:bottom w:val="none" w:sz="0" w:space="0" w:color="auto"/>
        <w:right w:val="none" w:sz="0" w:space="0" w:color="auto"/>
      </w:divBdr>
      <w:divsChild>
        <w:div w:id="1293831091">
          <w:marLeft w:val="734"/>
          <w:marRight w:val="0"/>
          <w:marTop w:val="77"/>
          <w:marBottom w:val="0"/>
          <w:divBdr>
            <w:top w:val="none" w:sz="0" w:space="0" w:color="auto"/>
            <w:left w:val="none" w:sz="0" w:space="0" w:color="auto"/>
            <w:bottom w:val="none" w:sz="0" w:space="0" w:color="auto"/>
            <w:right w:val="none" w:sz="0" w:space="0" w:color="auto"/>
          </w:divBdr>
        </w:div>
      </w:divsChild>
    </w:div>
    <w:div w:id="756094075">
      <w:bodyDiv w:val="1"/>
      <w:marLeft w:val="0"/>
      <w:marRight w:val="0"/>
      <w:marTop w:val="0"/>
      <w:marBottom w:val="0"/>
      <w:divBdr>
        <w:top w:val="none" w:sz="0" w:space="0" w:color="auto"/>
        <w:left w:val="none" w:sz="0" w:space="0" w:color="auto"/>
        <w:bottom w:val="none" w:sz="0" w:space="0" w:color="auto"/>
        <w:right w:val="none" w:sz="0" w:space="0" w:color="auto"/>
      </w:divBdr>
      <w:divsChild>
        <w:div w:id="1931771782">
          <w:marLeft w:val="446"/>
          <w:marRight w:val="0"/>
          <w:marTop w:val="0"/>
          <w:marBottom w:val="0"/>
          <w:divBdr>
            <w:top w:val="none" w:sz="0" w:space="0" w:color="auto"/>
            <w:left w:val="none" w:sz="0" w:space="0" w:color="auto"/>
            <w:bottom w:val="none" w:sz="0" w:space="0" w:color="auto"/>
            <w:right w:val="none" w:sz="0" w:space="0" w:color="auto"/>
          </w:divBdr>
        </w:div>
        <w:div w:id="1227836863">
          <w:marLeft w:val="446"/>
          <w:marRight w:val="0"/>
          <w:marTop w:val="0"/>
          <w:marBottom w:val="0"/>
          <w:divBdr>
            <w:top w:val="none" w:sz="0" w:space="0" w:color="auto"/>
            <w:left w:val="none" w:sz="0" w:space="0" w:color="auto"/>
            <w:bottom w:val="none" w:sz="0" w:space="0" w:color="auto"/>
            <w:right w:val="none" w:sz="0" w:space="0" w:color="auto"/>
          </w:divBdr>
        </w:div>
      </w:divsChild>
    </w:div>
    <w:div w:id="828130283">
      <w:bodyDiv w:val="1"/>
      <w:marLeft w:val="0"/>
      <w:marRight w:val="0"/>
      <w:marTop w:val="0"/>
      <w:marBottom w:val="0"/>
      <w:divBdr>
        <w:top w:val="none" w:sz="0" w:space="0" w:color="auto"/>
        <w:left w:val="none" w:sz="0" w:space="0" w:color="auto"/>
        <w:bottom w:val="none" w:sz="0" w:space="0" w:color="auto"/>
        <w:right w:val="none" w:sz="0" w:space="0" w:color="auto"/>
      </w:divBdr>
      <w:divsChild>
        <w:div w:id="823156638">
          <w:marLeft w:val="547"/>
          <w:marRight w:val="0"/>
          <w:marTop w:val="86"/>
          <w:marBottom w:val="0"/>
          <w:divBdr>
            <w:top w:val="none" w:sz="0" w:space="0" w:color="auto"/>
            <w:left w:val="none" w:sz="0" w:space="0" w:color="auto"/>
            <w:bottom w:val="none" w:sz="0" w:space="0" w:color="auto"/>
            <w:right w:val="none" w:sz="0" w:space="0" w:color="auto"/>
          </w:divBdr>
        </w:div>
        <w:div w:id="1759204774">
          <w:marLeft w:val="547"/>
          <w:marRight w:val="0"/>
          <w:marTop w:val="86"/>
          <w:marBottom w:val="0"/>
          <w:divBdr>
            <w:top w:val="none" w:sz="0" w:space="0" w:color="auto"/>
            <w:left w:val="none" w:sz="0" w:space="0" w:color="auto"/>
            <w:bottom w:val="none" w:sz="0" w:space="0" w:color="auto"/>
            <w:right w:val="none" w:sz="0" w:space="0" w:color="auto"/>
          </w:divBdr>
        </w:div>
        <w:div w:id="17857602">
          <w:marLeft w:val="1742"/>
          <w:marRight w:val="0"/>
          <w:marTop w:val="86"/>
          <w:marBottom w:val="0"/>
          <w:divBdr>
            <w:top w:val="none" w:sz="0" w:space="0" w:color="auto"/>
            <w:left w:val="none" w:sz="0" w:space="0" w:color="auto"/>
            <w:bottom w:val="none" w:sz="0" w:space="0" w:color="auto"/>
            <w:right w:val="none" w:sz="0" w:space="0" w:color="auto"/>
          </w:divBdr>
        </w:div>
        <w:div w:id="392850790">
          <w:marLeft w:val="1742"/>
          <w:marRight w:val="0"/>
          <w:marTop w:val="86"/>
          <w:marBottom w:val="0"/>
          <w:divBdr>
            <w:top w:val="none" w:sz="0" w:space="0" w:color="auto"/>
            <w:left w:val="none" w:sz="0" w:space="0" w:color="auto"/>
            <w:bottom w:val="none" w:sz="0" w:space="0" w:color="auto"/>
            <w:right w:val="none" w:sz="0" w:space="0" w:color="auto"/>
          </w:divBdr>
        </w:div>
        <w:div w:id="2047634659">
          <w:marLeft w:val="1742"/>
          <w:marRight w:val="0"/>
          <w:marTop w:val="86"/>
          <w:marBottom w:val="0"/>
          <w:divBdr>
            <w:top w:val="none" w:sz="0" w:space="0" w:color="auto"/>
            <w:left w:val="none" w:sz="0" w:space="0" w:color="auto"/>
            <w:bottom w:val="none" w:sz="0" w:space="0" w:color="auto"/>
            <w:right w:val="none" w:sz="0" w:space="0" w:color="auto"/>
          </w:divBdr>
        </w:div>
        <w:div w:id="870534526">
          <w:marLeft w:val="547"/>
          <w:marRight w:val="0"/>
          <w:marTop w:val="86"/>
          <w:marBottom w:val="0"/>
          <w:divBdr>
            <w:top w:val="none" w:sz="0" w:space="0" w:color="auto"/>
            <w:left w:val="none" w:sz="0" w:space="0" w:color="auto"/>
            <w:bottom w:val="none" w:sz="0" w:space="0" w:color="auto"/>
            <w:right w:val="none" w:sz="0" w:space="0" w:color="auto"/>
          </w:divBdr>
        </w:div>
        <w:div w:id="1074011438">
          <w:marLeft w:val="547"/>
          <w:marRight w:val="0"/>
          <w:marTop w:val="86"/>
          <w:marBottom w:val="0"/>
          <w:divBdr>
            <w:top w:val="none" w:sz="0" w:space="0" w:color="auto"/>
            <w:left w:val="none" w:sz="0" w:space="0" w:color="auto"/>
            <w:bottom w:val="none" w:sz="0" w:space="0" w:color="auto"/>
            <w:right w:val="none" w:sz="0" w:space="0" w:color="auto"/>
          </w:divBdr>
        </w:div>
        <w:div w:id="1669285240">
          <w:marLeft w:val="547"/>
          <w:marRight w:val="0"/>
          <w:marTop w:val="86"/>
          <w:marBottom w:val="0"/>
          <w:divBdr>
            <w:top w:val="none" w:sz="0" w:space="0" w:color="auto"/>
            <w:left w:val="none" w:sz="0" w:space="0" w:color="auto"/>
            <w:bottom w:val="none" w:sz="0" w:space="0" w:color="auto"/>
            <w:right w:val="none" w:sz="0" w:space="0" w:color="auto"/>
          </w:divBdr>
        </w:div>
        <w:div w:id="1833445306">
          <w:marLeft w:val="547"/>
          <w:marRight w:val="0"/>
          <w:marTop w:val="86"/>
          <w:marBottom w:val="0"/>
          <w:divBdr>
            <w:top w:val="none" w:sz="0" w:space="0" w:color="auto"/>
            <w:left w:val="none" w:sz="0" w:space="0" w:color="auto"/>
            <w:bottom w:val="none" w:sz="0" w:space="0" w:color="auto"/>
            <w:right w:val="none" w:sz="0" w:space="0" w:color="auto"/>
          </w:divBdr>
        </w:div>
      </w:divsChild>
    </w:div>
    <w:div w:id="834606922">
      <w:bodyDiv w:val="1"/>
      <w:marLeft w:val="0"/>
      <w:marRight w:val="0"/>
      <w:marTop w:val="0"/>
      <w:marBottom w:val="0"/>
      <w:divBdr>
        <w:top w:val="none" w:sz="0" w:space="0" w:color="auto"/>
        <w:left w:val="none" w:sz="0" w:space="0" w:color="auto"/>
        <w:bottom w:val="none" w:sz="0" w:space="0" w:color="auto"/>
        <w:right w:val="none" w:sz="0" w:space="0" w:color="auto"/>
      </w:divBdr>
    </w:div>
    <w:div w:id="836120005">
      <w:bodyDiv w:val="1"/>
      <w:marLeft w:val="0"/>
      <w:marRight w:val="0"/>
      <w:marTop w:val="0"/>
      <w:marBottom w:val="0"/>
      <w:divBdr>
        <w:top w:val="none" w:sz="0" w:space="0" w:color="auto"/>
        <w:left w:val="none" w:sz="0" w:space="0" w:color="auto"/>
        <w:bottom w:val="none" w:sz="0" w:space="0" w:color="auto"/>
        <w:right w:val="none" w:sz="0" w:space="0" w:color="auto"/>
      </w:divBdr>
    </w:div>
    <w:div w:id="838277280">
      <w:bodyDiv w:val="1"/>
      <w:marLeft w:val="0"/>
      <w:marRight w:val="0"/>
      <w:marTop w:val="0"/>
      <w:marBottom w:val="0"/>
      <w:divBdr>
        <w:top w:val="none" w:sz="0" w:space="0" w:color="auto"/>
        <w:left w:val="none" w:sz="0" w:space="0" w:color="auto"/>
        <w:bottom w:val="none" w:sz="0" w:space="0" w:color="auto"/>
        <w:right w:val="none" w:sz="0" w:space="0" w:color="auto"/>
      </w:divBdr>
      <w:divsChild>
        <w:div w:id="1234781826">
          <w:marLeft w:val="547"/>
          <w:marRight w:val="0"/>
          <w:marTop w:val="77"/>
          <w:marBottom w:val="0"/>
          <w:divBdr>
            <w:top w:val="none" w:sz="0" w:space="0" w:color="auto"/>
            <w:left w:val="none" w:sz="0" w:space="0" w:color="auto"/>
            <w:bottom w:val="none" w:sz="0" w:space="0" w:color="auto"/>
            <w:right w:val="none" w:sz="0" w:space="0" w:color="auto"/>
          </w:divBdr>
        </w:div>
        <w:div w:id="900796925">
          <w:marLeft w:val="547"/>
          <w:marRight w:val="0"/>
          <w:marTop w:val="77"/>
          <w:marBottom w:val="0"/>
          <w:divBdr>
            <w:top w:val="none" w:sz="0" w:space="0" w:color="auto"/>
            <w:left w:val="none" w:sz="0" w:space="0" w:color="auto"/>
            <w:bottom w:val="none" w:sz="0" w:space="0" w:color="auto"/>
            <w:right w:val="none" w:sz="0" w:space="0" w:color="auto"/>
          </w:divBdr>
        </w:div>
        <w:div w:id="854534628">
          <w:marLeft w:val="547"/>
          <w:marRight w:val="0"/>
          <w:marTop w:val="77"/>
          <w:marBottom w:val="0"/>
          <w:divBdr>
            <w:top w:val="none" w:sz="0" w:space="0" w:color="auto"/>
            <w:left w:val="none" w:sz="0" w:space="0" w:color="auto"/>
            <w:bottom w:val="none" w:sz="0" w:space="0" w:color="auto"/>
            <w:right w:val="none" w:sz="0" w:space="0" w:color="auto"/>
          </w:divBdr>
        </w:div>
      </w:divsChild>
    </w:div>
    <w:div w:id="894313426">
      <w:bodyDiv w:val="1"/>
      <w:marLeft w:val="0"/>
      <w:marRight w:val="0"/>
      <w:marTop w:val="0"/>
      <w:marBottom w:val="0"/>
      <w:divBdr>
        <w:top w:val="none" w:sz="0" w:space="0" w:color="auto"/>
        <w:left w:val="none" w:sz="0" w:space="0" w:color="auto"/>
        <w:bottom w:val="none" w:sz="0" w:space="0" w:color="auto"/>
        <w:right w:val="none" w:sz="0" w:space="0" w:color="auto"/>
      </w:divBdr>
    </w:div>
    <w:div w:id="915362676">
      <w:bodyDiv w:val="1"/>
      <w:marLeft w:val="0"/>
      <w:marRight w:val="0"/>
      <w:marTop w:val="0"/>
      <w:marBottom w:val="0"/>
      <w:divBdr>
        <w:top w:val="none" w:sz="0" w:space="0" w:color="auto"/>
        <w:left w:val="none" w:sz="0" w:space="0" w:color="auto"/>
        <w:bottom w:val="none" w:sz="0" w:space="0" w:color="auto"/>
        <w:right w:val="none" w:sz="0" w:space="0" w:color="auto"/>
      </w:divBdr>
    </w:div>
    <w:div w:id="920135967">
      <w:bodyDiv w:val="1"/>
      <w:marLeft w:val="0"/>
      <w:marRight w:val="0"/>
      <w:marTop w:val="0"/>
      <w:marBottom w:val="0"/>
      <w:divBdr>
        <w:top w:val="none" w:sz="0" w:space="0" w:color="auto"/>
        <w:left w:val="none" w:sz="0" w:space="0" w:color="auto"/>
        <w:bottom w:val="none" w:sz="0" w:space="0" w:color="auto"/>
        <w:right w:val="none" w:sz="0" w:space="0" w:color="auto"/>
      </w:divBdr>
    </w:div>
    <w:div w:id="967005205">
      <w:bodyDiv w:val="1"/>
      <w:marLeft w:val="0"/>
      <w:marRight w:val="0"/>
      <w:marTop w:val="0"/>
      <w:marBottom w:val="0"/>
      <w:divBdr>
        <w:top w:val="none" w:sz="0" w:space="0" w:color="auto"/>
        <w:left w:val="none" w:sz="0" w:space="0" w:color="auto"/>
        <w:bottom w:val="none" w:sz="0" w:space="0" w:color="auto"/>
        <w:right w:val="none" w:sz="0" w:space="0" w:color="auto"/>
      </w:divBdr>
      <w:divsChild>
        <w:div w:id="1875922691">
          <w:marLeft w:val="1195"/>
          <w:marRight w:val="0"/>
          <w:marTop w:val="0"/>
          <w:marBottom w:val="0"/>
          <w:divBdr>
            <w:top w:val="none" w:sz="0" w:space="0" w:color="auto"/>
            <w:left w:val="none" w:sz="0" w:space="0" w:color="auto"/>
            <w:bottom w:val="none" w:sz="0" w:space="0" w:color="auto"/>
            <w:right w:val="none" w:sz="0" w:space="0" w:color="auto"/>
          </w:divBdr>
        </w:div>
      </w:divsChild>
    </w:div>
    <w:div w:id="1138692477">
      <w:bodyDiv w:val="1"/>
      <w:marLeft w:val="0"/>
      <w:marRight w:val="0"/>
      <w:marTop w:val="0"/>
      <w:marBottom w:val="0"/>
      <w:divBdr>
        <w:top w:val="none" w:sz="0" w:space="0" w:color="auto"/>
        <w:left w:val="none" w:sz="0" w:space="0" w:color="auto"/>
        <w:bottom w:val="none" w:sz="0" w:space="0" w:color="auto"/>
        <w:right w:val="none" w:sz="0" w:space="0" w:color="auto"/>
      </w:divBdr>
    </w:div>
    <w:div w:id="1217086228">
      <w:bodyDiv w:val="1"/>
      <w:marLeft w:val="0"/>
      <w:marRight w:val="0"/>
      <w:marTop w:val="0"/>
      <w:marBottom w:val="0"/>
      <w:divBdr>
        <w:top w:val="none" w:sz="0" w:space="0" w:color="auto"/>
        <w:left w:val="none" w:sz="0" w:space="0" w:color="auto"/>
        <w:bottom w:val="none" w:sz="0" w:space="0" w:color="auto"/>
        <w:right w:val="none" w:sz="0" w:space="0" w:color="auto"/>
      </w:divBdr>
    </w:div>
    <w:div w:id="1266184644">
      <w:bodyDiv w:val="1"/>
      <w:marLeft w:val="0"/>
      <w:marRight w:val="0"/>
      <w:marTop w:val="0"/>
      <w:marBottom w:val="0"/>
      <w:divBdr>
        <w:top w:val="none" w:sz="0" w:space="0" w:color="auto"/>
        <w:left w:val="none" w:sz="0" w:space="0" w:color="auto"/>
        <w:bottom w:val="none" w:sz="0" w:space="0" w:color="auto"/>
        <w:right w:val="none" w:sz="0" w:space="0" w:color="auto"/>
      </w:divBdr>
    </w:div>
    <w:div w:id="1305233975">
      <w:bodyDiv w:val="1"/>
      <w:marLeft w:val="0"/>
      <w:marRight w:val="0"/>
      <w:marTop w:val="0"/>
      <w:marBottom w:val="0"/>
      <w:divBdr>
        <w:top w:val="none" w:sz="0" w:space="0" w:color="auto"/>
        <w:left w:val="none" w:sz="0" w:space="0" w:color="auto"/>
        <w:bottom w:val="none" w:sz="0" w:space="0" w:color="auto"/>
        <w:right w:val="none" w:sz="0" w:space="0" w:color="auto"/>
      </w:divBdr>
    </w:div>
    <w:div w:id="1311327914">
      <w:bodyDiv w:val="1"/>
      <w:marLeft w:val="0"/>
      <w:marRight w:val="0"/>
      <w:marTop w:val="0"/>
      <w:marBottom w:val="0"/>
      <w:divBdr>
        <w:top w:val="none" w:sz="0" w:space="0" w:color="auto"/>
        <w:left w:val="none" w:sz="0" w:space="0" w:color="auto"/>
        <w:bottom w:val="none" w:sz="0" w:space="0" w:color="auto"/>
        <w:right w:val="none" w:sz="0" w:space="0" w:color="auto"/>
      </w:divBdr>
    </w:div>
    <w:div w:id="1341619827">
      <w:bodyDiv w:val="1"/>
      <w:marLeft w:val="0"/>
      <w:marRight w:val="0"/>
      <w:marTop w:val="0"/>
      <w:marBottom w:val="0"/>
      <w:divBdr>
        <w:top w:val="none" w:sz="0" w:space="0" w:color="auto"/>
        <w:left w:val="none" w:sz="0" w:space="0" w:color="auto"/>
        <w:bottom w:val="none" w:sz="0" w:space="0" w:color="auto"/>
        <w:right w:val="none" w:sz="0" w:space="0" w:color="auto"/>
      </w:divBdr>
      <w:divsChild>
        <w:div w:id="2079858605">
          <w:marLeft w:val="0"/>
          <w:marRight w:val="0"/>
          <w:marTop w:val="0"/>
          <w:marBottom w:val="0"/>
          <w:divBdr>
            <w:top w:val="none" w:sz="0" w:space="0" w:color="auto"/>
            <w:left w:val="none" w:sz="0" w:space="0" w:color="auto"/>
            <w:bottom w:val="none" w:sz="0" w:space="0" w:color="auto"/>
            <w:right w:val="none" w:sz="0" w:space="0" w:color="auto"/>
          </w:divBdr>
        </w:div>
        <w:div w:id="1046373544">
          <w:marLeft w:val="0"/>
          <w:marRight w:val="0"/>
          <w:marTop w:val="0"/>
          <w:marBottom w:val="0"/>
          <w:divBdr>
            <w:top w:val="none" w:sz="0" w:space="0" w:color="auto"/>
            <w:left w:val="none" w:sz="0" w:space="0" w:color="auto"/>
            <w:bottom w:val="none" w:sz="0" w:space="0" w:color="auto"/>
            <w:right w:val="none" w:sz="0" w:space="0" w:color="auto"/>
          </w:divBdr>
        </w:div>
        <w:div w:id="831914917">
          <w:marLeft w:val="0"/>
          <w:marRight w:val="0"/>
          <w:marTop w:val="0"/>
          <w:marBottom w:val="0"/>
          <w:divBdr>
            <w:top w:val="none" w:sz="0" w:space="0" w:color="auto"/>
            <w:left w:val="none" w:sz="0" w:space="0" w:color="auto"/>
            <w:bottom w:val="none" w:sz="0" w:space="0" w:color="auto"/>
            <w:right w:val="none" w:sz="0" w:space="0" w:color="auto"/>
          </w:divBdr>
        </w:div>
      </w:divsChild>
    </w:div>
    <w:div w:id="1451783576">
      <w:bodyDiv w:val="1"/>
      <w:marLeft w:val="0"/>
      <w:marRight w:val="0"/>
      <w:marTop w:val="0"/>
      <w:marBottom w:val="0"/>
      <w:divBdr>
        <w:top w:val="none" w:sz="0" w:space="0" w:color="auto"/>
        <w:left w:val="none" w:sz="0" w:space="0" w:color="auto"/>
        <w:bottom w:val="none" w:sz="0" w:space="0" w:color="auto"/>
        <w:right w:val="none" w:sz="0" w:space="0" w:color="auto"/>
      </w:divBdr>
      <w:divsChild>
        <w:div w:id="415056214">
          <w:marLeft w:val="1195"/>
          <w:marRight w:val="0"/>
          <w:marTop w:val="0"/>
          <w:marBottom w:val="0"/>
          <w:divBdr>
            <w:top w:val="none" w:sz="0" w:space="0" w:color="auto"/>
            <w:left w:val="none" w:sz="0" w:space="0" w:color="auto"/>
            <w:bottom w:val="none" w:sz="0" w:space="0" w:color="auto"/>
            <w:right w:val="none" w:sz="0" w:space="0" w:color="auto"/>
          </w:divBdr>
        </w:div>
        <w:div w:id="51272372">
          <w:marLeft w:val="1843"/>
          <w:marRight w:val="0"/>
          <w:marTop w:val="0"/>
          <w:marBottom w:val="0"/>
          <w:divBdr>
            <w:top w:val="none" w:sz="0" w:space="0" w:color="auto"/>
            <w:left w:val="none" w:sz="0" w:space="0" w:color="auto"/>
            <w:bottom w:val="none" w:sz="0" w:space="0" w:color="auto"/>
            <w:right w:val="none" w:sz="0" w:space="0" w:color="auto"/>
          </w:divBdr>
        </w:div>
        <w:div w:id="767820923">
          <w:marLeft w:val="1843"/>
          <w:marRight w:val="0"/>
          <w:marTop w:val="0"/>
          <w:marBottom w:val="0"/>
          <w:divBdr>
            <w:top w:val="none" w:sz="0" w:space="0" w:color="auto"/>
            <w:left w:val="none" w:sz="0" w:space="0" w:color="auto"/>
            <w:bottom w:val="none" w:sz="0" w:space="0" w:color="auto"/>
            <w:right w:val="none" w:sz="0" w:space="0" w:color="auto"/>
          </w:divBdr>
        </w:div>
        <w:div w:id="2138600506">
          <w:marLeft w:val="1843"/>
          <w:marRight w:val="0"/>
          <w:marTop w:val="0"/>
          <w:marBottom w:val="0"/>
          <w:divBdr>
            <w:top w:val="none" w:sz="0" w:space="0" w:color="auto"/>
            <w:left w:val="none" w:sz="0" w:space="0" w:color="auto"/>
            <w:bottom w:val="none" w:sz="0" w:space="0" w:color="auto"/>
            <w:right w:val="none" w:sz="0" w:space="0" w:color="auto"/>
          </w:divBdr>
        </w:div>
        <w:div w:id="1657100957">
          <w:marLeft w:val="1843"/>
          <w:marRight w:val="0"/>
          <w:marTop w:val="0"/>
          <w:marBottom w:val="0"/>
          <w:divBdr>
            <w:top w:val="none" w:sz="0" w:space="0" w:color="auto"/>
            <w:left w:val="none" w:sz="0" w:space="0" w:color="auto"/>
            <w:bottom w:val="none" w:sz="0" w:space="0" w:color="auto"/>
            <w:right w:val="none" w:sz="0" w:space="0" w:color="auto"/>
          </w:divBdr>
        </w:div>
        <w:div w:id="1357851666">
          <w:marLeft w:val="1195"/>
          <w:marRight w:val="0"/>
          <w:marTop w:val="0"/>
          <w:marBottom w:val="0"/>
          <w:divBdr>
            <w:top w:val="none" w:sz="0" w:space="0" w:color="auto"/>
            <w:left w:val="none" w:sz="0" w:space="0" w:color="auto"/>
            <w:bottom w:val="none" w:sz="0" w:space="0" w:color="auto"/>
            <w:right w:val="none" w:sz="0" w:space="0" w:color="auto"/>
          </w:divBdr>
        </w:div>
        <w:div w:id="5330112">
          <w:marLeft w:val="1195"/>
          <w:marRight w:val="0"/>
          <w:marTop w:val="0"/>
          <w:marBottom w:val="0"/>
          <w:divBdr>
            <w:top w:val="none" w:sz="0" w:space="0" w:color="auto"/>
            <w:left w:val="none" w:sz="0" w:space="0" w:color="auto"/>
            <w:bottom w:val="none" w:sz="0" w:space="0" w:color="auto"/>
            <w:right w:val="none" w:sz="0" w:space="0" w:color="auto"/>
          </w:divBdr>
        </w:div>
        <w:div w:id="821040695">
          <w:marLeft w:val="1195"/>
          <w:marRight w:val="0"/>
          <w:marTop w:val="0"/>
          <w:marBottom w:val="0"/>
          <w:divBdr>
            <w:top w:val="none" w:sz="0" w:space="0" w:color="auto"/>
            <w:left w:val="none" w:sz="0" w:space="0" w:color="auto"/>
            <w:bottom w:val="none" w:sz="0" w:space="0" w:color="auto"/>
            <w:right w:val="none" w:sz="0" w:space="0" w:color="auto"/>
          </w:divBdr>
        </w:div>
        <w:div w:id="1463230894">
          <w:marLeft w:val="1195"/>
          <w:marRight w:val="0"/>
          <w:marTop w:val="0"/>
          <w:marBottom w:val="0"/>
          <w:divBdr>
            <w:top w:val="none" w:sz="0" w:space="0" w:color="auto"/>
            <w:left w:val="none" w:sz="0" w:space="0" w:color="auto"/>
            <w:bottom w:val="none" w:sz="0" w:space="0" w:color="auto"/>
            <w:right w:val="none" w:sz="0" w:space="0" w:color="auto"/>
          </w:divBdr>
        </w:div>
        <w:div w:id="1622611834">
          <w:marLeft w:val="1195"/>
          <w:marRight w:val="0"/>
          <w:marTop w:val="0"/>
          <w:marBottom w:val="0"/>
          <w:divBdr>
            <w:top w:val="none" w:sz="0" w:space="0" w:color="auto"/>
            <w:left w:val="none" w:sz="0" w:space="0" w:color="auto"/>
            <w:bottom w:val="none" w:sz="0" w:space="0" w:color="auto"/>
            <w:right w:val="none" w:sz="0" w:space="0" w:color="auto"/>
          </w:divBdr>
        </w:div>
        <w:div w:id="2002543354">
          <w:marLeft w:val="1195"/>
          <w:marRight w:val="0"/>
          <w:marTop w:val="0"/>
          <w:marBottom w:val="0"/>
          <w:divBdr>
            <w:top w:val="none" w:sz="0" w:space="0" w:color="auto"/>
            <w:left w:val="none" w:sz="0" w:space="0" w:color="auto"/>
            <w:bottom w:val="none" w:sz="0" w:space="0" w:color="auto"/>
            <w:right w:val="none" w:sz="0" w:space="0" w:color="auto"/>
          </w:divBdr>
        </w:div>
        <w:div w:id="199711741">
          <w:marLeft w:val="1195"/>
          <w:marRight w:val="0"/>
          <w:marTop w:val="0"/>
          <w:marBottom w:val="0"/>
          <w:divBdr>
            <w:top w:val="none" w:sz="0" w:space="0" w:color="auto"/>
            <w:left w:val="none" w:sz="0" w:space="0" w:color="auto"/>
            <w:bottom w:val="none" w:sz="0" w:space="0" w:color="auto"/>
            <w:right w:val="none" w:sz="0" w:space="0" w:color="auto"/>
          </w:divBdr>
        </w:div>
        <w:div w:id="418719235">
          <w:marLeft w:val="1195"/>
          <w:marRight w:val="0"/>
          <w:marTop w:val="0"/>
          <w:marBottom w:val="0"/>
          <w:divBdr>
            <w:top w:val="none" w:sz="0" w:space="0" w:color="auto"/>
            <w:left w:val="none" w:sz="0" w:space="0" w:color="auto"/>
            <w:bottom w:val="none" w:sz="0" w:space="0" w:color="auto"/>
            <w:right w:val="none" w:sz="0" w:space="0" w:color="auto"/>
          </w:divBdr>
        </w:div>
      </w:divsChild>
    </w:div>
    <w:div w:id="1523468463">
      <w:bodyDiv w:val="1"/>
      <w:marLeft w:val="0"/>
      <w:marRight w:val="0"/>
      <w:marTop w:val="0"/>
      <w:marBottom w:val="0"/>
      <w:divBdr>
        <w:top w:val="none" w:sz="0" w:space="0" w:color="auto"/>
        <w:left w:val="none" w:sz="0" w:space="0" w:color="auto"/>
        <w:bottom w:val="none" w:sz="0" w:space="0" w:color="auto"/>
        <w:right w:val="none" w:sz="0" w:space="0" w:color="auto"/>
      </w:divBdr>
      <w:divsChild>
        <w:div w:id="1504323409">
          <w:marLeft w:val="1195"/>
          <w:marRight w:val="0"/>
          <w:marTop w:val="0"/>
          <w:marBottom w:val="0"/>
          <w:divBdr>
            <w:top w:val="none" w:sz="0" w:space="0" w:color="auto"/>
            <w:left w:val="none" w:sz="0" w:space="0" w:color="auto"/>
            <w:bottom w:val="none" w:sz="0" w:space="0" w:color="auto"/>
            <w:right w:val="none" w:sz="0" w:space="0" w:color="auto"/>
          </w:divBdr>
        </w:div>
      </w:divsChild>
    </w:div>
    <w:div w:id="1542480548">
      <w:bodyDiv w:val="1"/>
      <w:marLeft w:val="0"/>
      <w:marRight w:val="0"/>
      <w:marTop w:val="0"/>
      <w:marBottom w:val="0"/>
      <w:divBdr>
        <w:top w:val="none" w:sz="0" w:space="0" w:color="auto"/>
        <w:left w:val="none" w:sz="0" w:space="0" w:color="auto"/>
        <w:bottom w:val="none" w:sz="0" w:space="0" w:color="auto"/>
        <w:right w:val="none" w:sz="0" w:space="0" w:color="auto"/>
      </w:divBdr>
      <w:divsChild>
        <w:div w:id="344787503">
          <w:marLeft w:val="547"/>
          <w:marRight w:val="0"/>
          <w:marTop w:val="77"/>
          <w:marBottom w:val="0"/>
          <w:divBdr>
            <w:top w:val="none" w:sz="0" w:space="0" w:color="auto"/>
            <w:left w:val="none" w:sz="0" w:space="0" w:color="auto"/>
            <w:bottom w:val="none" w:sz="0" w:space="0" w:color="auto"/>
            <w:right w:val="none" w:sz="0" w:space="0" w:color="auto"/>
          </w:divBdr>
        </w:div>
        <w:div w:id="1252082989">
          <w:marLeft w:val="547"/>
          <w:marRight w:val="0"/>
          <w:marTop w:val="77"/>
          <w:marBottom w:val="0"/>
          <w:divBdr>
            <w:top w:val="none" w:sz="0" w:space="0" w:color="auto"/>
            <w:left w:val="none" w:sz="0" w:space="0" w:color="auto"/>
            <w:bottom w:val="none" w:sz="0" w:space="0" w:color="auto"/>
            <w:right w:val="none" w:sz="0" w:space="0" w:color="auto"/>
          </w:divBdr>
        </w:div>
        <w:div w:id="985933660">
          <w:marLeft w:val="1742"/>
          <w:marRight w:val="0"/>
          <w:marTop w:val="77"/>
          <w:marBottom w:val="0"/>
          <w:divBdr>
            <w:top w:val="none" w:sz="0" w:space="0" w:color="auto"/>
            <w:left w:val="none" w:sz="0" w:space="0" w:color="auto"/>
            <w:bottom w:val="none" w:sz="0" w:space="0" w:color="auto"/>
            <w:right w:val="none" w:sz="0" w:space="0" w:color="auto"/>
          </w:divBdr>
        </w:div>
        <w:div w:id="1650279923">
          <w:marLeft w:val="1742"/>
          <w:marRight w:val="0"/>
          <w:marTop w:val="77"/>
          <w:marBottom w:val="0"/>
          <w:divBdr>
            <w:top w:val="none" w:sz="0" w:space="0" w:color="auto"/>
            <w:left w:val="none" w:sz="0" w:space="0" w:color="auto"/>
            <w:bottom w:val="none" w:sz="0" w:space="0" w:color="auto"/>
            <w:right w:val="none" w:sz="0" w:space="0" w:color="auto"/>
          </w:divBdr>
        </w:div>
        <w:div w:id="2131049652">
          <w:marLeft w:val="1742"/>
          <w:marRight w:val="0"/>
          <w:marTop w:val="77"/>
          <w:marBottom w:val="0"/>
          <w:divBdr>
            <w:top w:val="none" w:sz="0" w:space="0" w:color="auto"/>
            <w:left w:val="none" w:sz="0" w:space="0" w:color="auto"/>
            <w:bottom w:val="none" w:sz="0" w:space="0" w:color="auto"/>
            <w:right w:val="none" w:sz="0" w:space="0" w:color="auto"/>
          </w:divBdr>
        </w:div>
      </w:divsChild>
    </w:div>
    <w:div w:id="1562717426">
      <w:bodyDiv w:val="1"/>
      <w:marLeft w:val="0"/>
      <w:marRight w:val="0"/>
      <w:marTop w:val="0"/>
      <w:marBottom w:val="0"/>
      <w:divBdr>
        <w:top w:val="none" w:sz="0" w:space="0" w:color="auto"/>
        <w:left w:val="none" w:sz="0" w:space="0" w:color="auto"/>
        <w:bottom w:val="none" w:sz="0" w:space="0" w:color="auto"/>
        <w:right w:val="none" w:sz="0" w:space="0" w:color="auto"/>
      </w:divBdr>
      <w:divsChild>
        <w:div w:id="1042559745">
          <w:marLeft w:val="1195"/>
          <w:marRight w:val="0"/>
          <w:marTop w:val="60"/>
          <w:marBottom w:val="60"/>
          <w:divBdr>
            <w:top w:val="none" w:sz="0" w:space="0" w:color="auto"/>
            <w:left w:val="none" w:sz="0" w:space="0" w:color="auto"/>
            <w:bottom w:val="none" w:sz="0" w:space="0" w:color="auto"/>
            <w:right w:val="none" w:sz="0" w:space="0" w:color="auto"/>
          </w:divBdr>
        </w:div>
        <w:div w:id="1588807777">
          <w:marLeft w:val="1195"/>
          <w:marRight w:val="0"/>
          <w:marTop w:val="60"/>
          <w:marBottom w:val="60"/>
          <w:divBdr>
            <w:top w:val="none" w:sz="0" w:space="0" w:color="auto"/>
            <w:left w:val="none" w:sz="0" w:space="0" w:color="auto"/>
            <w:bottom w:val="none" w:sz="0" w:space="0" w:color="auto"/>
            <w:right w:val="none" w:sz="0" w:space="0" w:color="auto"/>
          </w:divBdr>
        </w:div>
        <w:div w:id="1685937084">
          <w:marLeft w:val="1195"/>
          <w:marRight w:val="0"/>
          <w:marTop w:val="60"/>
          <w:marBottom w:val="60"/>
          <w:divBdr>
            <w:top w:val="none" w:sz="0" w:space="0" w:color="auto"/>
            <w:left w:val="none" w:sz="0" w:space="0" w:color="auto"/>
            <w:bottom w:val="none" w:sz="0" w:space="0" w:color="auto"/>
            <w:right w:val="none" w:sz="0" w:space="0" w:color="auto"/>
          </w:divBdr>
        </w:div>
      </w:divsChild>
    </w:div>
    <w:div w:id="1685088973">
      <w:bodyDiv w:val="1"/>
      <w:marLeft w:val="0"/>
      <w:marRight w:val="0"/>
      <w:marTop w:val="0"/>
      <w:marBottom w:val="0"/>
      <w:divBdr>
        <w:top w:val="none" w:sz="0" w:space="0" w:color="auto"/>
        <w:left w:val="none" w:sz="0" w:space="0" w:color="auto"/>
        <w:bottom w:val="none" w:sz="0" w:space="0" w:color="auto"/>
        <w:right w:val="none" w:sz="0" w:space="0" w:color="auto"/>
      </w:divBdr>
      <w:divsChild>
        <w:div w:id="867258973">
          <w:marLeft w:val="734"/>
          <w:marRight w:val="0"/>
          <w:marTop w:val="77"/>
          <w:marBottom w:val="0"/>
          <w:divBdr>
            <w:top w:val="none" w:sz="0" w:space="0" w:color="auto"/>
            <w:left w:val="none" w:sz="0" w:space="0" w:color="auto"/>
            <w:bottom w:val="none" w:sz="0" w:space="0" w:color="auto"/>
            <w:right w:val="none" w:sz="0" w:space="0" w:color="auto"/>
          </w:divBdr>
        </w:div>
      </w:divsChild>
    </w:div>
    <w:div w:id="1774326597">
      <w:bodyDiv w:val="1"/>
      <w:marLeft w:val="0"/>
      <w:marRight w:val="0"/>
      <w:marTop w:val="0"/>
      <w:marBottom w:val="0"/>
      <w:divBdr>
        <w:top w:val="none" w:sz="0" w:space="0" w:color="auto"/>
        <w:left w:val="none" w:sz="0" w:space="0" w:color="auto"/>
        <w:bottom w:val="none" w:sz="0" w:space="0" w:color="auto"/>
        <w:right w:val="none" w:sz="0" w:space="0" w:color="auto"/>
      </w:divBdr>
    </w:div>
    <w:div w:id="1797068778">
      <w:bodyDiv w:val="1"/>
      <w:marLeft w:val="0"/>
      <w:marRight w:val="0"/>
      <w:marTop w:val="0"/>
      <w:marBottom w:val="0"/>
      <w:divBdr>
        <w:top w:val="none" w:sz="0" w:space="0" w:color="auto"/>
        <w:left w:val="none" w:sz="0" w:space="0" w:color="auto"/>
        <w:bottom w:val="none" w:sz="0" w:space="0" w:color="auto"/>
        <w:right w:val="none" w:sz="0" w:space="0" w:color="auto"/>
      </w:divBdr>
      <w:divsChild>
        <w:div w:id="871116055">
          <w:marLeft w:val="1426"/>
          <w:marRight w:val="0"/>
          <w:marTop w:val="67"/>
          <w:marBottom w:val="0"/>
          <w:divBdr>
            <w:top w:val="none" w:sz="0" w:space="0" w:color="auto"/>
            <w:left w:val="none" w:sz="0" w:space="0" w:color="auto"/>
            <w:bottom w:val="none" w:sz="0" w:space="0" w:color="auto"/>
            <w:right w:val="none" w:sz="0" w:space="0" w:color="auto"/>
          </w:divBdr>
        </w:div>
      </w:divsChild>
    </w:div>
    <w:div w:id="1829513215">
      <w:bodyDiv w:val="1"/>
      <w:marLeft w:val="0"/>
      <w:marRight w:val="0"/>
      <w:marTop w:val="0"/>
      <w:marBottom w:val="0"/>
      <w:divBdr>
        <w:top w:val="none" w:sz="0" w:space="0" w:color="auto"/>
        <w:left w:val="none" w:sz="0" w:space="0" w:color="auto"/>
        <w:bottom w:val="none" w:sz="0" w:space="0" w:color="auto"/>
        <w:right w:val="none" w:sz="0" w:space="0" w:color="auto"/>
      </w:divBdr>
    </w:div>
    <w:div w:id="1848983097">
      <w:bodyDiv w:val="1"/>
      <w:marLeft w:val="0"/>
      <w:marRight w:val="0"/>
      <w:marTop w:val="0"/>
      <w:marBottom w:val="0"/>
      <w:divBdr>
        <w:top w:val="none" w:sz="0" w:space="0" w:color="auto"/>
        <w:left w:val="none" w:sz="0" w:space="0" w:color="auto"/>
        <w:bottom w:val="none" w:sz="0" w:space="0" w:color="auto"/>
        <w:right w:val="none" w:sz="0" w:space="0" w:color="auto"/>
      </w:divBdr>
      <w:divsChild>
        <w:div w:id="1898590924">
          <w:marLeft w:val="446"/>
          <w:marRight w:val="0"/>
          <w:marTop w:val="77"/>
          <w:marBottom w:val="0"/>
          <w:divBdr>
            <w:top w:val="none" w:sz="0" w:space="0" w:color="auto"/>
            <w:left w:val="none" w:sz="0" w:space="0" w:color="auto"/>
            <w:bottom w:val="none" w:sz="0" w:space="0" w:color="auto"/>
            <w:right w:val="none" w:sz="0" w:space="0" w:color="auto"/>
          </w:divBdr>
        </w:div>
        <w:div w:id="1666086698">
          <w:marLeft w:val="1656"/>
          <w:marRight w:val="0"/>
          <w:marTop w:val="77"/>
          <w:marBottom w:val="0"/>
          <w:divBdr>
            <w:top w:val="none" w:sz="0" w:space="0" w:color="auto"/>
            <w:left w:val="none" w:sz="0" w:space="0" w:color="auto"/>
            <w:bottom w:val="none" w:sz="0" w:space="0" w:color="auto"/>
            <w:right w:val="none" w:sz="0" w:space="0" w:color="auto"/>
          </w:divBdr>
        </w:div>
        <w:div w:id="1833527748">
          <w:marLeft w:val="1656"/>
          <w:marRight w:val="0"/>
          <w:marTop w:val="77"/>
          <w:marBottom w:val="0"/>
          <w:divBdr>
            <w:top w:val="none" w:sz="0" w:space="0" w:color="auto"/>
            <w:left w:val="none" w:sz="0" w:space="0" w:color="auto"/>
            <w:bottom w:val="none" w:sz="0" w:space="0" w:color="auto"/>
            <w:right w:val="none" w:sz="0" w:space="0" w:color="auto"/>
          </w:divBdr>
        </w:div>
        <w:div w:id="185870585">
          <w:marLeft w:val="1656"/>
          <w:marRight w:val="0"/>
          <w:marTop w:val="77"/>
          <w:marBottom w:val="0"/>
          <w:divBdr>
            <w:top w:val="none" w:sz="0" w:space="0" w:color="auto"/>
            <w:left w:val="none" w:sz="0" w:space="0" w:color="auto"/>
            <w:bottom w:val="none" w:sz="0" w:space="0" w:color="auto"/>
            <w:right w:val="none" w:sz="0" w:space="0" w:color="auto"/>
          </w:divBdr>
        </w:div>
      </w:divsChild>
    </w:div>
    <w:div w:id="1873692676">
      <w:bodyDiv w:val="1"/>
      <w:marLeft w:val="0"/>
      <w:marRight w:val="0"/>
      <w:marTop w:val="0"/>
      <w:marBottom w:val="0"/>
      <w:divBdr>
        <w:top w:val="none" w:sz="0" w:space="0" w:color="auto"/>
        <w:left w:val="none" w:sz="0" w:space="0" w:color="auto"/>
        <w:bottom w:val="none" w:sz="0" w:space="0" w:color="auto"/>
        <w:right w:val="none" w:sz="0" w:space="0" w:color="auto"/>
      </w:divBdr>
    </w:div>
    <w:div w:id="1976445438">
      <w:bodyDiv w:val="1"/>
      <w:marLeft w:val="0"/>
      <w:marRight w:val="0"/>
      <w:marTop w:val="0"/>
      <w:marBottom w:val="0"/>
      <w:divBdr>
        <w:top w:val="none" w:sz="0" w:space="0" w:color="auto"/>
        <w:left w:val="none" w:sz="0" w:space="0" w:color="auto"/>
        <w:bottom w:val="none" w:sz="0" w:space="0" w:color="auto"/>
        <w:right w:val="none" w:sz="0" w:space="0" w:color="auto"/>
      </w:divBdr>
      <w:divsChild>
        <w:div w:id="1322386519">
          <w:marLeft w:val="446"/>
          <w:marRight w:val="0"/>
          <w:marTop w:val="72"/>
          <w:marBottom w:val="0"/>
          <w:divBdr>
            <w:top w:val="none" w:sz="0" w:space="0" w:color="auto"/>
            <w:left w:val="none" w:sz="0" w:space="0" w:color="auto"/>
            <w:bottom w:val="none" w:sz="0" w:space="0" w:color="auto"/>
            <w:right w:val="none" w:sz="0" w:space="0" w:color="auto"/>
          </w:divBdr>
        </w:div>
        <w:div w:id="987322816">
          <w:marLeft w:val="1195"/>
          <w:marRight w:val="0"/>
          <w:marTop w:val="72"/>
          <w:marBottom w:val="0"/>
          <w:divBdr>
            <w:top w:val="none" w:sz="0" w:space="0" w:color="auto"/>
            <w:left w:val="none" w:sz="0" w:space="0" w:color="auto"/>
            <w:bottom w:val="none" w:sz="0" w:space="0" w:color="auto"/>
            <w:right w:val="none" w:sz="0" w:space="0" w:color="auto"/>
          </w:divBdr>
        </w:div>
        <w:div w:id="1797676775">
          <w:marLeft w:val="1195"/>
          <w:marRight w:val="0"/>
          <w:marTop w:val="72"/>
          <w:marBottom w:val="0"/>
          <w:divBdr>
            <w:top w:val="none" w:sz="0" w:space="0" w:color="auto"/>
            <w:left w:val="none" w:sz="0" w:space="0" w:color="auto"/>
            <w:bottom w:val="none" w:sz="0" w:space="0" w:color="auto"/>
            <w:right w:val="none" w:sz="0" w:space="0" w:color="auto"/>
          </w:divBdr>
        </w:div>
        <w:div w:id="2142725242">
          <w:marLeft w:val="1195"/>
          <w:marRight w:val="0"/>
          <w:marTop w:val="72"/>
          <w:marBottom w:val="0"/>
          <w:divBdr>
            <w:top w:val="none" w:sz="0" w:space="0" w:color="auto"/>
            <w:left w:val="none" w:sz="0" w:space="0" w:color="auto"/>
            <w:bottom w:val="none" w:sz="0" w:space="0" w:color="auto"/>
            <w:right w:val="none" w:sz="0" w:space="0" w:color="auto"/>
          </w:divBdr>
        </w:div>
        <w:div w:id="1530069565">
          <w:marLeft w:val="1195"/>
          <w:marRight w:val="0"/>
          <w:marTop w:val="72"/>
          <w:marBottom w:val="0"/>
          <w:divBdr>
            <w:top w:val="none" w:sz="0" w:space="0" w:color="auto"/>
            <w:left w:val="none" w:sz="0" w:space="0" w:color="auto"/>
            <w:bottom w:val="none" w:sz="0" w:space="0" w:color="auto"/>
            <w:right w:val="none" w:sz="0" w:space="0" w:color="auto"/>
          </w:divBdr>
        </w:div>
      </w:divsChild>
    </w:div>
    <w:div w:id="2045592680">
      <w:bodyDiv w:val="1"/>
      <w:marLeft w:val="0"/>
      <w:marRight w:val="0"/>
      <w:marTop w:val="0"/>
      <w:marBottom w:val="0"/>
      <w:divBdr>
        <w:top w:val="none" w:sz="0" w:space="0" w:color="auto"/>
        <w:left w:val="none" w:sz="0" w:space="0" w:color="auto"/>
        <w:bottom w:val="none" w:sz="0" w:space="0" w:color="auto"/>
        <w:right w:val="none" w:sz="0" w:space="0" w:color="auto"/>
      </w:divBdr>
      <w:divsChild>
        <w:div w:id="751316688">
          <w:marLeft w:val="734"/>
          <w:marRight w:val="0"/>
          <w:marTop w:val="77"/>
          <w:marBottom w:val="0"/>
          <w:divBdr>
            <w:top w:val="none" w:sz="0" w:space="0" w:color="auto"/>
            <w:left w:val="none" w:sz="0" w:space="0" w:color="auto"/>
            <w:bottom w:val="none" w:sz="0" w:space="0" w:color="auto"/>
            <w:right w:val="none" w:sz="0" w:space="0" w:color="auto"/>
          </w:divBdr>
        </w:div>
      </w:divsChild>
    </w:div>
    <w:div w:id="2069643936">
      <w:bodyDiv w:val="1"/>
      <w:marLeft w:val="0"/>
      <w:marRight w:val="0"/>
      <w:marTop w:val="0"/>
      <w:marBottom w:val="0"/>
      <w:divBdr>
        <w:top w:val="none" w:sz="0" w:space="0" w:color="auto"/>
        <w:left w:val="none" w:sz="0" w:space="0" w:color="auto"/>
        <w:bottom w:val="none" w:sz="0" w:space="0" w:color="auto"/>
        <w:right w:val="none" w:sz="0" w:space="0" w:color="auto"/>
      </w:divBdr>
    </w:div>
    <w:div w:id="2114013084">
      <w:bodyDiv w:val="1"/>
      <w:marLeft w:val="0"/>
      <w:marRight w:val="0"/>
      <w:marTop w:val="0"/>
      <w:marBottom w:val="0"/>
      <w:divBdr>
        <w:top w:val="none" w:sz="0" w:space="0" w:color="auto"/>
        <w:left w:val="none" w:sz="0" w:space="0" w:color="auto"/>
        <w:bottom w:val="none" w:sz="0" w:space="0" w:color="auto"/>
        <w:right w:val="none" w:sz="0" w:space="0" w:color="auto"/>
      </w:divBdr>
    </w:div>
    <w:div w:id="2122140608">
      <w:bodyDiv w:val="1"/>
      <w:marLeft w:val="0"/>
      <w:marRight w:val="0"/>
      <w:marTop w:val="0"/>
      <w:marBottom w:val="0"/>
      <w:divBdr>
        <w:top w:val="none" w:sz="0" w:space="0" w:color="auto"/>
        <w:left w:val="none" w:sz="0" w:space="0" w:color="auto"/>
        <w:bottom w:val="none" w:sz="0" w:space="0" w:color="auto"/>
        <w:right w:val="none" w:sz="0" w:space="0" w:color="auto"/>
      </w:divBdr>
      <w:divsChild>
        <w:div w:id="954756669">
          <w:marLeft w:val="547"/>
          <w:marRight w:val="0"/>
          <w:marTop w:val="77"/>
          <w:marBottom w:val="0"/>
          <w:divBdr>
            <w:top w:val="none" w:sz="0" w:space="0" w:color="auto"/>
            <w:left w:val="none" w:sz="0" w:space="0" w:color="auto"/>
            <w:bottom w:val="none" w:sz="0" w:space="0" w:color="auto"/>
            <w:right w:val="none" w:sz="0" w:space="0" w:color="auto"/>
          </w:divBdr>
        </w:div>
        <w:div w:id="173230272">
          <w:marLeft w:val="547"/>
          <w:marRight w:val="0"/>
          <w:marTop w:val="77"/>
          <w:marBottom w:val="0"/>
          <w:divBdr>
            <w:top w:val="none" w:sz="0" w:space="0" w:color="auto"/>
            <w:left w:val="none" w:sz="0" w:space="0" w:color="auto"/>
            <w:bottom w:val="none" w:sz="0" w:space="0" w:color="auto"/>
            <w:right w:val="none" w:sz="0" w:space="0" w:color="auto"/>
          </w:divBdr>
        </w:div>
      </w:divsChild>
    </w:div>
    <w:div w:id="214211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yperlink" Target="http://www.bmbf.de/en/20741.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http://www.likumi.lv/doc.php?id=209078" TargetMode="External"/><Relationship Id="rId17" Type="http://schemas.openxmlformats.org/officeDocument/2006/relationships/hyperlink" Target="https://www.ffg.at/en/comet-competence-centers-excellent-technologi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ur-lex.europa.eu/eli/reg/2014/651?locale=LV" TargetMode="Externa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s://www.iso.org/obp/ui/"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header" Target="header1.xm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iwt.be/sites/default/files/varia/iwt_studie66.pdf" TargetMode="External"/><Relationship Id="rId2" Type="http://schemas.openxmlformats.org/officeDocument/2006/relationships/hyperlink" Target="http://ec.europa.eu/growth/industry/innovation/facts-figures/scoreboards/index_en.htm" TargetMode="External"/><Relationship Id="rId1" Type="http://schemas.openxmlformats.org/officeDocument/2006/relationships/hyperlink" Target="https://www.em.gov.lv/files/tautsaimniecibas_attistiba/2014_dec_lv.pdf" TargetMode="External"/><Relationship Id="rId5" Type="http://schemas.openxmlformats.org/officeDocument/2006/relationships/hyperlink" Target="https://www.iso.org/obp/ui/" TargetMode="External"/><Relationship Id="rId4" Type="http://schemas.openxmlformats.org/officeDocument/2006/relationships/hyperlink" Target="http://www.iwt.be/sites/default/files/varia/iwt_studie6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VanagaU\AppData\Local\Microsoft\Windows\Temporary%20Internet%20Files\Content.Outlook\TVNYYUGL\inovativo%20uz&#326;emumu%20ipatsvars%20LV.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VanagaU\AppData\Local\Microsoft\Windows\Temporary%20Internet%20Files\Content.Outlook\TVNYYUGL\Copy%20of%20Copy%20of%20KC_Z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VanagaU\AppData\Local\Microsoft\Windows\Temporary%20Internet%20Files\Content.Outlook\TVNYYUGL\Copy%20of%20Copy%20of%20KC_Z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My%20Documents\Inovacijas\2015\BERD%20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8753425916811542"/>
          <c:y val="7.0583017400602702E-2"/>
          <c:w val="0.41873249416506064"/>
          <c:h val="0.78181169194128508"/>
        </c:manualLayout>
      </c:layout>
      <c:radarChart>
        <c:radarStyle val="marker"/>
        <c:varyColors val="0"/>
        <c:ser>
          <c:idx val="0"/>
          <c:order val="0"/>
          <c:tx>
            <c:strRef>
              <c:f>Sheet1!$A$2</c:f>
              <c:strCache>
                <c:ptCount val="1"/>
                <c:pt idx="0">
                  <c:v>Latvija</c:v>
                </c:pt>
              </c:strCache>
            </c:strRef>
          </c:tx>
          <c:spPr>
            <a:ln w="50800">
              <a:solidFill>
                <a:srgbClr val="C00000"/>
              </a:solidFill>
            </a:ln>
          </c:spPr>
          <c:marker>
            <c:spPr>
              <a:solidFill>
                <a:srgbClr val="FF0000"/>
              </a:solidFill>
            </c:spPr>
          </c:marker>
          <c:dPt>
            <c:idx val="1"/>
            <c:marker>
              <c:symbol val="diamond"/>
              <c:size val="11"/>
            </c:marker>
            <c:bubble3D val="0"/>
          </c:dPt>
          <c:cat>
            <c:strRef>
              <c:f>Sheet1!$B$1:$I$1</c:f>
              <c:strCache>
                <c:ptCount val="8"/>
                <c:pt idx="0">
                  <c:v>Cilvēkresursi</c:v>
                </c:pt>
                <c:pt idx="1">
                  <c:v>Atvērta, izcila, pievilcīga pētniecības sistēma</c:v>
                </c:pt>
                <c:pt idx="2">
                  <c:v>Finansējums un atbalsts</c:v>
                </c:pt>
                <c:pt idx="3">
                  <c:v>Uzņēmumu investīcijas</c:v>
                </c:pt>
                <c:pt idx="4">
                  <c:v>Sadarbība un uzņēmējdarbība</c:v>
                </c:pt>
                <c:pt idx="5">
                  <c:v>Intelektuālais īpašums</c:v>
                </c:pt>
                <c:pt idx="6">
                  <c:v>Inovatīvie uzņēmumi</c:v>
                </c:pt>
                <c:pt idx="7">
                  <c:v>Ekonomiskie efekti / rezultāti</c:v>
                </c:pt>
              </c:strCache>
            </c:strRef>
          </c:cat>
          <c:val>
            <c:numRef>
              <c:f>Sheet1!$B$2:$I$2</c:f>
              <c:numCache>
                <c:formatCode>General</c:formatCode>
                <c:ptCount val="8"/>
                <c:pt idx="0">
                  <c:v>0.58599999999999997</c:v>
                </c:pt>
                <c:pt idx="1">
                  <c:v>0.10199999999999999</c:v>
                </c:pt>
                <c:pt idx="2">
                  <c:v>0.32600000000000001</c:v>
                </c:pt>
                <c:pt idx="3">
                  <c:v>0.41499999999999998</c:v>
                </c:pt>
                <c:pt idx="4">
                  <c:v>8.7999999999999995E-2</c:v>
                </c:pt>
                <c:pt idx="5">
                  <c:v>0.36799999999999999</c:v>
                </c:pt>
                <c:pt idx="6">
                  <c:v>9.0999999999999998E-2</c:v>
                </c:pt>
                <c:pt idx="7">
                  <c:v>0.26100000000000001</c:v>
                </c:pt>
              </c:numCache>
            </c:numRef>
          </c:val>
        </c:ser>
        <c:ser>
          <c:idx val="1"/>
          <c:order val="1"/>
          <c:tx>
            <c:strRef>
              <c:f>Sheet1!$A$3</c:f>
              <c:strCache>
                <c:ptCount val="1"/>
                <c:pt idx="0">
                  <c:v>Igaunija</c:v>
                </c:pt>
              </c:strCache>
            </c:strRef>
          </c:tx>
          <c:spPr>
            <a:ln>
              <a:solidFill>
                <a:schemeClr val="tx2">
                  <a:lumMod val="60000"/>
                  <a:lumOff val="40000"/>
                </a:schemeClr>
              </a:solidFill>
            </a:ln>
          </c:spPr>
          <c:marker>
            <c:symbol val="square"/>
            <c:size val="7"/>
            <c:spPr>
              <a:solidFill>
                <a:schemeClr val="tx2">
                  <a:lumMod val="40000"/>
                  <a:lumOff val="60000"/>
                </a:schemeClr>
              </a:solidFill>
            </c:spPr>
          </c:marker>
          <c:cat>
            <c:strRef>
              <c:f>Sheet1!$B$1:$I$1</c:f>
              <c:strCache>
                <c:ptCount val="8"/>
                <c:pt idx="0">
                  <c:v>Cilvēkresursi</c:v>
                </c:pt>
                <c:pt idx="1">
                  <c:v>Atvērta, izcila, pievilcīga pētniecības sistēma</c:v>
                </c:pt>
                <c:pt idx="2">
                  <c:v>Finansējums un atbalsts</c:v>
                </c:pt>
                <c:pt idx="3">
                  <c:v>Uzņēmumu investīcijas</c:v>
                </c:pt>
                <c:pt idx="4">
                  <c:v>Sadarbība un uzņēmējdarbība</c:v>
                </c:pt>
                <c:pt idx="5">
                  <c:v>Intelektuālais īpašums</c:v>
                </c:pt>
                <c:pt idx="6">
                  <c:v>Inovatīvie uzņēmumi</c:v>
                </c:pt>
                <c:pt idx="7">
                  <c:v>Ekonomiskie efekti / rezultāti</c:v>
                </c:pt>
              </c:strCache>
            </c:strRef>
          </c:cat>
          <c:val>
            <c:numRef>
              <c:f>Sheet1!$B$3:$I$3</c:f>
              <c:numCache>
                <c:formatCode>General</c:formatCode>
                <c:ptCount val="8"/>
                <c:pt idx="0">
                  <c:v>0.59699999999999998</c:v>
                </c:pt>
                <c:pt idx="1">
                  <c:v>0.37</c:v>
                </c:pt>
                <c:pt idx="2">
                  <c:v>0.83699999999999997</c:v>
                </c:pt>
                <c:pt idx="3">
                  <c:v>0.61399999999999999</c:v>
                </c:pt>
                <c:pt idx="4">
                  <c:v>0.46500000000000002</c:v>
                </c:pt>
                <c:pt idx="5">
                  <c:v>0.59599999999999997</c:v>
                </c:pt>
                <c:pt idx="6">
                  <c:v>0.375</c:v>
                </c:pt>
                <c:pt idx="7">
                  <c:v>0.374</c:v>
                </c:pt>
              </c:numCache>
            </c:numRef>
          </c:val>
        </c:ser>
        <c:ser>
          <c:idx val="2"/>
          <c:order val="2"/>
          <c:tx>
            <c:strRef>
              <c:f>Sheet1!$A$4</c:f>
              <c:strCache>
                <c:ptCount val="1"/>
                <c:pt idx="0">
                  <c:v>Lietuva</c:v>
                </c:pt>
              </c:strCache>
            </c:strRef>
          </c:tx>
          <c:cat>
            <c:strRef>
              <c:f>Sheet1!$B$1:$I$1</c:f>
              <c:strCache>
                <c:ptCount val="8"/>
                <c:pt idx="0">
                  <c:v>Cilvēkresursi</c:v>
                </c:pt>
                <c:pt idx="1">
                  <c:v>Atvērta, izcila, pievilcīga pētniecības sistēma</c:v>
                </c:pt>
                <c:pt idx="2">
                  <c:v>Finansējums un atbalsts</c:v>
                </c:pt>
                <c:pt idx="3">
                  <c:v>Uzņēmumu investīcijas</c:v>
                </c:pt>
                <c:pt idx="4">
                  <c:v>Sadarbība un uzņēmējdarbība</c:v>
                </c:pt>
                <c:pt idx="5">
                  <c:v>Intelektuālais īpašums</c:v>
                </c:pt>
                <c:pt idx="6">
                  <c:v>Inovatīvie uzņēmumi</c:v>
                </c:pt>
                <c:pt idx="7">
                  <c:v>Ekonomiskie efekti / rezultāti</c:v>
                </c:pt>
              </c:strCache>
            </c:strRef>
          </c:cat>
          <c:val>
            <c:numRef>
              <c:f>Sheet1!$B$4:$I$4</c:f>
              <c:numCache>
                <c:formatCode>General</c:formatCode>
                <c:ptCount val="8"/>
                <c:pt idx="0">
                  <c:v>0.72199999999999998</c:v>
                </c:pt>
                <c:pt idx="1">
                  <c:v>0.17499999999999999</c:v>
                </c:pt>
                <c:pt idx="2">
                  <c:v>0.63</c:v>
                </c:pt>
                <c:pt idx="3">
                  <c:v>0.34699999999999998</c:v>
                </c:pt>
                <c:pt idx="4">
                  <c:v>0.17399999999999999</c:v>
                </c:pt>
                <c:pt idx="5">
                  <c:v>0.25800000000000001</c:v>
                </c:pt>
                <c:pt idx="6">
                  <c:v>0.11</c:v>
                </c:pt>
                <c:pt idx="7">
                  <c:v>0.17699999999999999</c:v>
                </c:pt>
              </c:numCache>
            </c:numRef>
          </c:val>
        </c:ser>
        <c:ser>
          <c:idx val="3"/>
          <c:order val="3"/>
          <c:tx>
            <c:strRef>
              <c:f>Sheet1!$A$5</c:f>
              <c:strCache>
                <c:ptCount val="1"/>
                <c:pt idx="0">
                  <c:v>ES vidēji</c:v>
                </c:pt>
              </c:strCache>
            </c:strRef>
          </c:tx>
          <c:cat>
            <c:strRef>
              <c:f>Sheet1!$B$1:$I$1</c:f>
              <c:strCache>
                <c:ptCount val="8"/>
                <c:pt idx="0">
                  <c:v>Cilvēkresursi</c:v>
                </c:pt>
                <c:pt idx="1">
                  <c:v>Atvērta, izcila, pievilcīga pētniecības sistēma</c:v>
                </c:pt>
                <c:pt idx="2">
                  <c:v>Finansējums un atbalsts</c:v>
                </c:pt>
                <c:pt idx="3">
                  <c:v>Uzņēmumu investīcijas</c:v>
                </c:pt>
                <c:pt idx="4">
                  <c:v>Sadarbība un uzņēmējdarbība</c:v>
                </c:pt>
                <c:pt idx="5">
                  <c:v>Intelektuālais īpašums</c:v>
                </c:pt>
                <c:pt idx="6">
                  <c:v>Inovatīvie uzņēmumi</c:v>
                </c:pt>
                <c:pt idx="7">
                  <c:v>Ekonomiskie efekti / rezultāti</c:v>
                </c:pt>
              </c:strCache>
            </c:strRef>
          </c:cat>
          <c:val>
            <c:numRef>
              <c:f>Sheet1!$B$5:$I$5</c:f>
              <c:numCache>
                <c:formatCode>General</c:formatCode>
                <c:ptCount val="8"/>
                <c:pt idx="0">
                  <c:v>0.59799999999999998</c:v>
                </c:pt>
                <c:pt idx="1">
                  <c:v>0.54200000000000004</c:v>
                </c:pt>
                <c:pt idx="2">
                  <c:v>0.55600000000000005</c:v>
                </c:pt>
                <c:pt idx="3">
                  <c:v>0.45400000000000001</c:v>
                </c:pt>
                <c:pt idx="4">
                  <c:v>0.47299999999999998</c:v>
                </c:pt>
                <c:pt idx="5">
                  <c:v>0.624</c:v>
                </c:pt>
                <c:pt idx="6">
                  <c:v>0.505</c:v>
                </c:pt>
                <c:pt idx="7">
                  <c:v>0.60099999999999998</c:v>
                </c:pt>
              </c:numCache>
            </c:numRef>
          </c:val>
        </c:ser>
        <c:dLbls>
          <c:showLegendKey val="0"/>
          <c:showVal val="0"/>
          <c:showCatName val="0"/>
          <c:showSerName val="0"/>
          <c:showPercent val="0"/>
          <c:showBubbleSize val="0"/>
        </c:dLbls>
        <c:axId val="131030400"/>
        <c:axId val="131744896"/>
      </c:radarChart>
      <c:catAx>
        <c:axId val="131030400"/>
        <c:scaling>
          <c:orientation val="minMax"/>
        </c:scaling>
        <c:delete val="0"/>
        <c:axPos val="b"/>
        <c:majorGridlines/>
        <c:numFmt formatCode="General" sourceLinked="0"/>
        <c:majorTickMark val="out"/>
        <c:minorTickMark val="none"/>
        <c:tickLblPos val="nextTo"/>
        <c:txPr>
          <a:bodyPr/>
          <a:lstStyle/>
          <a:p>
            <a:pPr>
              <a:defRPr sz="1000" b="0">
                <a:latin typeface="Times New Roman" panose="02020603050405020304" pitchFamily="18" charset="0"/>
                <a:cs typeface="Times New Roman" panose="02020603050405020304" pitchFamily="18" charset="0"/>
              </a:defRPr>
            </a:pPr>
            <a:endParaRPr lang="lv-LV"/>
          </a:p>
        </c:txPr>
        <c:crossAx val="131744896"/>
        <c:crosses val="autoZero"/>
        <c:auto val="1"/>
        <c:lblAlgn val="ctr"/>
        <c:lblOffset val="100"/>
        <c:noMultiLvlLbl val="0"/>
      </c:catAx>
      <c:valAx>
        <c:axId val="131744896"/>
        <c:scaling>
          <c:orientation val="minMax"/>
        </c:scaling>
        <c:delete val="1"/>
        <c:axPos val="l"/>
        <c:majorGridlines/>
        <c:numFmt formatCode="General" sourceLinked="1"/>
        <c:majorTickMark val="cross"/>
        <c:minorTickMark val="none"/>
        <c:tickLblPos val="nextTo"/>
        <c:crossAx val="131030400"/>
        <c:crosses val="autoZero"/>
        <c:crossBetween val="between"/>
      </c:valAx>
      <c:spPr>
        <a:ln>
          <a:prstDash val="sysDot"/>
        </a:ln>
      </c:spPr>
    </c:plotArea>
    <c:legend>
      <c:legendPos val="b"/>
      <c:layout>
        <c:manualLayout>
          <c:xMode val="edge"/>
          <c:yMode val="edge"/>
          <c:x val="0.16027777777777777"/>
          <c:y val="0.9114036526684165"/>
          <c:w val="0.65166666666666662"/>
          <c:h val="6.5448199183435404E-2"/>
        </c:manualLayout>
      </c:layout>
      <c:overlay val="0"/>
      <c:txPr>
        <a:bodyPr/>
        <a:lstStyle/>
        <a:p>
          <a:pPr>
            <a:defRPr sz="1000">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Sheet1!$C$1</c:f>
              <c:strCache>
                <c:ptCount val="1"/>
                <c:pt idx="0">
                  <c:v>Inovatīvo uzņēmumu īpatsvars Latvijā</c:v>
                </c:pt>
              </c:strCache>
            </c:strRef>
          </c:tx>
          <c:invertIfNegative val="0"/>
          <c:dLbls>
            <c:dLbl>
              <c:idx val="0"/>
              <c:layout>
                <c:manualLayout>
                  <c:x val="-2.8189664159489307E-3"/>
                  <c:y val="0.2398694036034326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8169701378984E-3"/>
                  <c:y val="0.17030879754970576"/>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1267880551593806E-2"/>
                  <c:y val="0.33443646819471051"/>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6339402757969032E-3"/>
                  <c:y val="0.1890465019243944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Sheet1!$C$2:$F$2</c:f>
              <c:numCache>
                <c:formatCode>General</c:formatCode>
                <c:ptCount val="4"/>
                <c:pt idx="0">
                  <c:v>2006</c:v>
                </c:pt>
                <c:pt idx="1">
                  <c:v>2008</c:v>
                </c:pt>
                <c:pt idx="2">
                  <c:v>2010</c:v>
                </c:pt>
                <c:pt idx="3">
                  <c:v>2012</c:v>
                </c:pt>
              </c:numCache>
            </c:numRef>
          </c:cat>
          <c:val>
            <c:numRef>
              <c:f>Sheet1!$C$3:$F$3</c:f>
              <c:numCache>
                <c:formatCode>General</c:formatCode>
                <c:ptCount val="4"/>
                <c:pt idx="0">
                  <c:v>24.5</c:v>
                </c:pt>
                <c:pt idx="1">
                  <c:v>25</c:v>
                </c:pt>
                <c:pt idx="2">
                  <c:v>29.9</c:v>
                </c:pt>
                <c:pt idx="3">
                  <c:v>30.4</c:v>
                </c:pt>
              </c:numCache>
            </c:numRef>
          </c:val>
        </c:ser>
        <c:dLbls>
          <c:showLegendKey val="0"/>
          <c:showVal val="0"/>
          <c:showCatName val="0"/>
          <c:showSerName val="0"/>
          <c:showPercent val="0"/>
          <c:showBubbleSize val="0"/>
        </c:dLbls>
        <c:gapWidth val="88"/>
        <c:axId val="131756800"/>
        <c:axId val="131758336"/>
      </c:barChart>
      <c:catAx>
        <c:axId val="131756800"/>
        <c:scaling>
          <c:orientation val="minMax"/>
        </c:scaling>
        <c:delete val="0"/>
        <c:axPos val="b"/>
        <c:numFmt formatCode="General" sourceLinked="1"/>
        <c:majorTickMark val="none"/>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lv-LV"/>
          </a:p>
        </c:txPr>
        <c:crossAx val="131758336"/>
        <c:crosses val="autoZero"/>
        <c:auto val="1"/>
        <c:lblAlgn val="ctr"/>
        <c:lblOffset val="100"/>
        <c:noMultiLvlLbl val="0"/>
      </c:catAx>
      <c:valAx>
        <c:axId val="131758336"/>
        <c:scaling>
          <c:orientation val="minMax"/>
          <c:min val="20"/>
        </c:scaling>
        <c:delete val="0"/>
        <c:axPos val="l"/>
        <c:majorGridlines/>
        <c:numFmt formatCode="General" sourceLinked="1"/>
        <c:majorTickMark val="none"/>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lv-LV"/>
          </a:p>
        </c:txPr>
        <c:crossAx val="131756800"/>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bar"/>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Sheet1!$A$2:$A$12</c:f>
              <c:strCache>
                <c:ptCount val="11"/>
                <c:pt idx="0">
                  <c:v>Kokapstrāde </c:v>
                </c:pt>
                <c:pt idx="1">
                  <c:v>Papīra ražošana un poligrāfija</c:v>
                </c:pt>
                <c:pt idx="2">
                  <c:v>Vieglā rūpniecība</c:v>
                </c:pt>
                <c:pt idx="3">
                  <c:v>Transportlīdzekļu ražošana </c:v>
                </c:pt>
                <c:pt idx="4">
                  <c:v>Pārējās apstrādes rūpniecības nozares</c:v>
                </c:pt>
                <c:pt idx="5">
                  <c:v>Nemetālisko minerālu izstrādājumu ražošana</c:v>
                </c:pt>
                <c:pt idx="6">
                  <c:v>Pārtikas un dzērienu ražošana</c:v>
                </c:pt>
                <c:pt idx="7">
                  <c:v>Metālu un metālu izstrādājumu ražošana</c:v>
                </c:pt>
                <c:pt idx="8">
                  <c:v>Ķīmiskā rūpniecība un tās saskarnozares </c:v>
                </c:pt>
                <c:pt idx="9">
                  <c:v>Elektrisko un optisko iekārtu ražošana</c:v>
                </c:pt>
                <c:pt idx="10">
                  <c:v>Mašīnu un iekārtu ražošana</c:v>
                </c:pt>
              </c:strCache>
            </c:strRef>
          </c:cat>
          <c:val>
            <c:numRef>
              <c:f>Sheet1!$B$2:$B$12</c:f>
              <c:numCache>
                <c:formatCode>0.0</c:formatCode>
                <c:ptCount val="11"/>
                <c:pt idx="0">
                  <c:v>16.317016317016318</c:v>
                </c:pt>
                <c:pt idx="1">
                  <c:v>19.540229885057471</c:v>
                </c:pt>
                <c:pt idx="2">
                  <c:v>23.611111111111111</c:v>
                </c:pt>
                <c:pt idx="3">
                  <c:v>29.629629629629626</c:v>
                </c:pt>
                <c:pt idx="4">
                  <c:v>30.2</c:v>
                </c:pt>
                <c:pt idx="5">
                  <c:v>32.584269662921351</c:v>
                </c:pt>
                <c:pt idx="6">
                  <c:v>33.132530120481931</c:v>
                </c:pt>
                <c:pt idx="7">
                  <c:v>34.653465346534652</c:v>
                </c:pt>
                <c:pt idx="8">
                  <c:v>50.4</c:v>
                </c:pt>
                <c:pt idx="9">
                  <c:v>52.941176470588239</c:v>
                </c:pt>
                <c:pt idx="10">
                  <c:v>65.957446808510639</c:v>
                </c:pt>
              </c:numCache>
            </c:numRef>
          </c:val>
        </c:ser>
        <c:dLbls>
          <c:showLegendKey val="0"/>
          <c:showVal val="0"/>
          <c:showCatName val="0"/>
          <c:showSerName val="0"/>
          <c:showPercent val="0"/>
          <c:showBubbleSize val="0"/>
        </c:dLbls>
        <c:gapWidth val="150"/>
        <c:axId val="132597632"/>
        <c:axId val="132599168"/>
      </c:barChart>
      <c:catAx>
        <c:axId val="132597632"/>
        <c:scaling>
          <c:orientation val="minMax"/>
        </c:scaling>
        <c:delete val="0"/>
        <c:axPos val="l"/>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32599168"/>
        <c:crossesAt val="0"/>
        <c:auto val="1"/>
        <c:lblAlgn val="ctr"/>
        <c:lblOffset val="100"/>
        <c:noMultiLvlLbl val="0"/>
      </c:catAx>
      <c:valAx>
        <c:axId val="132599168"/>
        <c:scaling>
          <c:orientation val="minMax"/>
        </c:scaling>
        <c:delete val="0"/>
        <c:axPos val="b"/>
        <c:majorGridlines/>
        <c:numFmt formatCode="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32597632"/>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21442639643472378"/>
          <c:y val="5.2972256972551326E-2"/>
          <c:w val="0.43280050170719808"/>
          <c:h val="0.9141393774376334"/>
        </c:manualLayout>
      </c:layout>
      <c:pieChart>
        <c:varyColors val="1"/>
        <c:ser>
          <c:idx val="0"/>
          <c:order val="0"/>
          <c:tx>
            <c:strRef>
              <c:f>Sheet1!$B$1</c:f>
              <c:strCache>
                <c:ptCount val="1"/>
                <c:pt idx="0">
                  <c:v>Kompetences centru piesaistītais uzņēmējdarbības sektora P&amp;A  finsējums (% no kopējā programmā piesaistīta uzņēmējdarbības sektora finansējuma </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Sheet1!$A$2:$A$7</c:f>
              <c:strCache>
                <c:ptCount val="6"/>
                <c:pt idx="0">
                  <c:v>ITKC</c:v>
                </c:pt>
                <c:pt idx="1">
                  <c:v>MNKC</c:v>
                </c:pt>
                <c:pt idx="2">
                  <c:v>PCCCL</c:v>
                </c:pt>
                <c:pt idx="3">
                  <c:v>LEO KC</c:v>
                </c:pt>
                <c:pt idx="4">
                  <c:v>VBBKC</c:v>
                </c:pt>
                <c:pt idx="5">
                  <c:v>TMKC</c:v>
                </c:pt>
              </c:strCache>
            </c:strRef>
          </c:cat>
          <c:val>
            <c:numRef>
              <c:f>Sheet1!$B$2:$B$7</c:f>
              <c:numCache>
                <c:formatCode>0.0</c:formatCode>
                <c:ptCount val="6"/>
                <c:pt idx="0">
                  <c:v>16.944604616798088</c:v>
                </c:pt>
                <c:pt idx="1">
                  <c:v>8.4981469984028646</c:v>
                </c:pt>
                <c:pt idx="2">
                  <c:v>11.797861342685104</c:v>
                </c:pt>
                <c:pt idx="3">
                  <c:v>12.968637782061057</c:v>
                </c:pt>
                <c:pt idx="4">
                  <c:v>11.521348967465922</c:v>
                </c:pt>
                <c:pt idx="5">
                  <c:v>38.269400292586965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594435165070188"/>
          <c:y val="0.28936303094308197"/>
          <c:w val="0.15789062581727265"/>
          <c:h val="0.59756760765313688"/>
        </c:manualLayout>
      </c:layout>
      <c:overlay val="0"/>
      <c:txPr>
        <a:bodyPr/>
        <a:lstStyle/>
        <a:p>
          <a:pPr>
            <a:defRPr>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spPr>
    <a:ln>
      <a:solidFill>
        <a:schemeClr val="bg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40570263931495E-2"/>
          <c:y val="2.026409260418801E-2"/>
          <c:w val="0.62242423371199995"/>
          <c:h val="0.9596984490239211"/>
        </c:manualLayout>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Sheet3!$B$3:$B$8</c:f>
              <c:strCache>
                <c:ptCount val="6"/>
                <c:pt idx="0">
                  <c:v>ITKC</c:v>
                </c:pt>
                <c:pt idx="1">
                  <c:v>MNKC</c:v>
                </c:pt>
                <c:pt idx="2">
                  <c:v>PCCCL</c:v>
                </c:pt>
                <c:pt idx="3">
                  <c:v>LEO KC</c:v>
                </c:pt>
                <c:pt idx="4">
                  <c:v>VBBKC</c:v>
                </c:pt>
                <c:pt idx="5">
                  <c:v>TMKC</c:v>
                </c:pt>
              </c:strCache>
            </c:strRef>
          </c:cat>
          <c:val>
            <c:numRef>
              <c:f>Sheet3!$C$3:$C$8</c:f>
              <c:numCache>
                <c:formatCode>0</c:formatCode>
                <c:ptCount val="6"/>
                <c:pt idx="0">
                  <c:v>26.47058823529412</c:v>
                </c:pt>
                <c:pt idx="1">
                  <c:v>18.627450980392158</c:v>
                </c:pt>
                <c:pt idx="2">
                  <c:v>8.8235294117647065</c:v>
                </c:pt>
                <c:pt idx="3">
                  <c:v>8.8235294117647065</c:v>
                </c:pt>
                <c:pt idx="4">
                  <c:v>27.450980392156865</c:v>
                </c:pt>
                <c:pt idx="5">
                  <c:v>9.8039215686274517</c:v>
                </c:pt>
              </c:numCache>
            </c:numRef>
          </c:val>
        </c:ser>
        <c:ser>
          <c:idx val="1"/>
          <c:order val="1"/>
          <c:cat>
            <c:strRef>
              <c:f>Sheet3!$B$3:$B$8</c:f>
              <c:strCache>
                <c:ptCount val="6"/>
                <c:pt idx="0">
                  <c:v>ITKC</c:v>
                </c:pt>
                <c:pt idx="1">
                  <c:v>MNKC</c:v>
                </c:pt>
                <c:pt idx="2">
                  <c:v>PCCCL</c:v>
                </c:pt>
                <c:pt idx="3">
                  <c:v>LEO KC</c:v>
                </c:pt>
                <c:pt idx="4">
                  <c:v>VBBKC</c:v>
                </c:pt>
                <c:pt idx="5">
                  <c:v>TMKC</c:v>
                </c:pt>
              </c:strCache>
            </c:strRef>
          </c:cat>
          <c:val>
            <c:numRef>
              <c:f>Sheet3!$D$3:$D$8</c:f>
              <c:numCache>
                <c:formatCode>0</c:formatCode>
                <c:ptCount val="6"/>
                <c:pt idx="0">
                  <c:v>27</c:v>
                </c:pt>
                <c:pt idx="1">
                  <c:v>19</c:v>
                </c:pt>
                <c:pt idx="2">
                  <c:v>9</c:v>
                </c:pt>
                <c:pt idx="3">
                  <c:v>9</c:v>
                </c:pt>
                <c:pt idx="4">
                  <c:v>28</c:v>
                </c:pt>
                <c:pt idx="5">
                  <c:v>10</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469002025184721E-2"/>
          <c:y val="2.7607666934901368E-2"/>
          <c:w val="0.62286123978911589"/>
          <c:h val="0.95199789074150887"/>
        </c:manualLayout>
      </c:layout>
      <c:pieChart>
        <c:varyColors val="1"/>
        <c:ser>
          <c:idx val="0"/>
          <c:order val="0"/>
          <c:dLbls>
            <c:dLbl>
              <c:idx val="2"/>
              <c:layout>
                <c:manualLayout>
                  <c:x val="7.9967799552212518E-2"/>
                  <c:y val="-5.269026582699137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Sheet3!$B$15:$B$20</c:f>
              <c:strCache>
                <c:ptCount val="6"/>
                <c:pt idx="0">
                  <c:v>ITKC</c:v>
                </c:pt>
                <c:pt idx="1">
                  <c:v>MNKC</c:v>
                </c:pt>
                <c:pt idx="2">
                  <c:v>PCCCL</c:v>
                </c:pt>
                <c:pt idx="3">
                  <c:v>LEO KC</c:v>
                </c:pt>
                <c:pt idx="4">
                  <c:v>VBBKC</c:v>
                </c:pt>
                <c:pt idx="5">
                  <c:v>TMKC</c:v>
                </c:pt>
              </c:strCache>
            </c:strRef>
          </c:cat>
          <c:val>
            <c:numRef>
              <c:f>Sheet3!$C$15:$C$20</c:f>
              <c:numCache>
                <c:formatCode>0</c:formatCode>
                <c:ptCount val="6"/>
                <c:pt idx="0">
                  <c:v>8.2618336950560423</c:v>
                </c:pt>
                <c:pt idx="1">
                  <c:v>58.751842928683097</c:v>
                </c:pt>
                <c:pt idx="2">
                  <c:v>2.5190508976722965</c:v>
                </c:pt>
                <c:pt idx="3">
                  <c:v>12.295386982191509</c:v>
                </c:pt>
                <c:pt idx="4">
                  <c:v>9.1121437221350678</c:v>
                </c:pt>
                <c:pt idx="5">
                  <c:v>9.0597417742619886</c:v>
                </c:pt>
              </c:numCache>
            </c:numRef>
          </c:val>
        </c:ser>
        <c:ser>
          <c:idx val="1"/>
          <c:order val="1"/>
          <c:cat>
            <c:strRef>
              <c:f>Sheet3!$B$15:$B$20</c:f>
              <c:strCache>
                <c:ptCount val="6"/>
                <c:pt idx="0">
                  <c:v>ITKC</c:v>
                </c:pt>
                <c:pt idx="1">
                  <c:v>MNKC</c:v>
                </c:pt>
                <c:pt idx="2">
                  <c:v>PCCCL</c:v>
                </c:pt>
                <c:pt idx="3">
                  <c:v>LEO KC</c:v>
                </c:pt>
                <c:pt idx="4">
                  <c:v>VBBKC</c:v>
                </c:pt>
                <c:pt idx="5">
                  <c:v>TMKC</c:v>
                </c:pt>
              </c:strCache>
            </c:strRef>
          </c:cat>
          <c:val>
            <c:numRef>
              <c:f>Sheet3!$D$15:$D$20</c:f>
              <c:numCache>
                <c:formatCode>#,##0.00</c:formatCode>
                <c:ptCount val="6"/>
                <c:pt idx="0">
                  <c:v>837045.5762126568</c:v>
                </c:pt>
                <c:pt idx="1">
                  <c:v>5952428</c:v>
                </c:pt>
                <c:pt idx="2">
                  <c:v>255217</c:v>
                </c:pt>
                <c:pt idx="3">
                  <c:v>1245704</c:v>
                </c:pt>
                <c:pt idx="4">
                  <c:v>923194.52000000014</c:v>
                </c:pt>
                <c:pt idx="5">
                  <c:v>917885.42999999993</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34925">
              <a:solidFill>
                <a:srgbClr val="005374"/>
              </a:solidFill>
            </a:ln>
          </c:spPr>
          <c:marker>
            <c:symbol val="none"/>
          </c:marker>
          <c:trendline>
            <c:name>y = 1,473e0,1330x</c:name>
            <c:spPr>
              <a:ln w="19050">
                <a:solidFill>
                  <a:schemeClr val="tx1">
                    <a:lumMod val="85000"/>
                    <a:lumOff val="15000"/>
                  </a:schemeClr>
                </a:solidFill>
                <a:prstDash val="dash"/>
              </a:ln>
            </c:spPr>
            <c:trendlineType val="exp"/>
            <c:intercept val="7.5"/>
            <c:dispRSqr val="0"/>
            <c:dispEq val="0"/>
          </c:trendline>
          <c:cat>
            <c:numRef>
              <c:f>Sheet1!$A$2:$A$25</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Sheet1!$B$2:$B$25</c:f>
              <c:numCache>
                <c:formatCode>General</c:formatCode>
                <c:ptCount val="24"/>
                <c:pt idx="0">
                  <c:v>12.1</c:v>
                </c:pt>
                <c:pt idx="1">
                  <c:v>11</c:v>
                </c:pt>
                <c:pt idx="2">
                  <c:v>14.1</c:v>
                </c:pt>
                <c:pt idx="3">
                  <c:v>11.8</c:v>
                </c:pt>
                <c:pt idx="4">
                  <c:v>19.600000000000001</c:v>
                </c:pt>
                <c:pt idx="5">
                  <c:v>29.3</c:v>
                </c:pt>
                <c:pt idx="6">
                  <c:v>56.1</c:v>
                </c:pt>
                <c:pt idx="7">
                  <c:v>40.700000000000003</c:v>
                </c:pt>
                <c:pt idx="8">
                  <c:v>35.4</c:v>
                </c:pt>
                <c:pt idx="9">
                  <c:v>31</c:v>
                </c:pt>
                <c:pt idx="10">
                  <c:v>40.6</c:v>
                </c:pt>
                <c:pt idx="11">
                  <c:v>39.299999999999997</c:v>
                </c:pt>
                <c:pt idx="12">
                  <c:v>32.9</c:v>
                </c:pt>
                <c:pt idx="13">
                  <c:v>39.4</c:v>
                </c:pt>
                <c:pt idx="23">
                  <c:v>265.68</c:v>
                </c:pt>
              </c:numCache>
            </c:numRef>
          </c:val>
          <c:smooth val="0"/>
        </c:ser>
        <c:dLbls>
          <c:showLegendKey val="0"/>
          <c:showVal val="0"/>
          <c:showCatName val="0"/>
          <c:showSerName val="0"/>
          <c:showPercent val="0"/>
          <c:showBubbleSize val="0"/>
        </c:dLbls>
        <c:marker val="1"/>
        <c:smooth val="0"/>
        <c:axId val="131975040"/>
        <c:axId val="131976576"/>
      </c:lineChart>
      <c:catAx>
        <c:axId val="131975040"/>
        <c:scaling>
          <c:orientation val="minMax"/>
        </c:scaling>
        <c:delete val="0"/>
        <c:axPos val="b"/>
        <c:numFmt formatCode="General" sourceLinked="1"/>
        <c:majorTickMark val="out"/>
        <c:minorTickMark val="none"/>
        <c:tickLblPos val="nextTo"/>
        <c:crossAx val="131976576"/>
        <c:crosses val="autoZero"/>
        <c:auto val="1"/>
        <c:lblAlgn val="ctr"/>
        <c:lblOffset val="100"/>
        <c:noMultiLvlLbl val="0"/>
      </c:catAx>
      <c:valAx>
        <c:axId val="131976576"/>
        <c:scaling>
          <c:orientation val="minMax"/>
        </c:scaling>
        <c:delete val="0"/>
        <c:axPos val="l"/>
        <c:majorGridlines/>
        <c:numFmt formatCode="General" sourceLinked="1"/>
        <c:majorTickMark val="out"/>
        <c:minorTickMark val="none"/>
        <c:tickLblPos val="nextTo"/>
        <c:crossAx val="13197504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D0D35-BBF4-4243-B1B6-93A84DB8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43</Pages>
  <Words>72563</Words>
  <Characters>41362</Characters>
  <Application>Microsoft Office Word</Application>
  <DocSecurity>0</DocSecurity>
  <Lines>344</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Siliņš</dc:creator>
  <cp:lastModifiedBy>Gatis Silovs</cp:lastModifiedBy>
  <cp:revision>26</cp:revision>
  <cp:lastPrinted>2015-05-21T08:44:00Z</cp:lastPrinted>
  <dcterms:created xsi:type="dcterms:W3CDTF">2015-11-04T14:58:00Z</dcterms:created>
  <dcterms:modified xsi:type="dcterms:W3CDTF">2015-11-25T09:15:00Z</dcterms:modified>
</cp:coreProperties>
</file>