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4C21B" w14:textId="77777777" w:rsidR="00091521" w:rsidRPr="00D61280" w:rsidRDefault="00091521" w:rsidP="00EA0C89">
      <w:pPr>
        <w:pStyle w:val="Heading1"/>
        <w:rPr>
          <w:rStyle w:val="normaltextrun"/>
          <w:rFonts w:asciiTheme="minorHAnsi" w:eastAsiaTheme="minorHAnsi" w:hAnsiTheme="minorHAnsi" w:cstheme="minorHAnsi"/>
          <w:sz w:val="24"/>
          <w:szCs w:val="22"/>
          <w:lang w:eastAsia="en-US"/>
        </w:rPr>
      </w:pPr>
      <w:bookmarkStart w:id="0" w:name="_Hlk10617350"/>
      <w:bookmarkStart w:id="1" w:name="_Toc10527191"/>
      <w:bookmarkStart w:id="2" w:name="_Toc520978793"/>
      <w:bookmarkStart w:id="3" w:name="_Toc527529414"/>
      <w:bookmarkEnd w:id="0"/>
      <w:r w:rsidRPr="00D61280">
        <w:rPr>
          <w:rStyle w:val="normaltextrun"/>
          <w:rFonts w:asciiTheme="minorHAnsi" w:hAnsiTheme="minorHAnsi" w:cstheme="minorHAnsi"/>
        </w:rPr>
        <w:t>PĀRSKATS UN PLĀNA IZVEIDES PROCESS</w:t>
      </w:r>
      <w:bookmarkEnd w:id="1"/>
      <w:r w:rsidRPr="00D61280">
        <w:rPr>
          <w:rStyle w:val="normaltextrun"/>
          <w:rFonts w:asciiTheme="minorHAnsi" w:hAnsiTheme="minorHAnsi" w:cstheme="minorHAnsi"/>
        </w:rPr>
        <w:t xml:space="preserve"> </w:t>
      </w:r>
    </w:p>
    <w:p w14:paraId="6BC78496" w14:textId="77777777" w:rsidR="00091521" w:rsidRPr="00D61280" w:rsidRDefault="00091521" w:rsidP="00EA0C89">
      <w:pPr>
        <w:pStyle w:val="Heading2"/>
        <w:spacing w:before="120" w:after="120" w:line="240" w:lineRule="auto"/>
        <w:ind w:left="567"/>
        <w:rPr>
          <w:rStyle w:val="normaltextrun"/>
          <w:rFonts w:asciiTheme="minorHAnsi" w:hAnsiTheme="minorHAnsi" w:cstheme="minorHAnsi"/>
        </w:rPr>
      </w:pPr>
      <w:bookmarkStart w:id="4" w:name="_Toc10527192"/>
      <w:r w:rsidRPr="00D61280">
        <w:rPr>
          <w:rStyle w:val="normaltextrun"/>
          <w:rFonts w:asciiTheme="minorHAnsi" w:hAnsiTheme="minorHAnsi" w:cstheme="minorHAnsi"/>
        </w:rPr>
        <w:t>Kopsavilkums</w:t>
      </w:r>
      <w:bookmarkEnd w:id="4"/>
    </w:p>
    <w:p w14:paraId="60365538" w14:textId="77777777" w:rsidR="00091521" w:rsidRPr="00D61280" w:rsidRDefault="00091521" w:rsidP="00EA0C89">
      <w:pPr>
        <w:pStyle w:val="Heading3"/>
        <w:rPr>
          <w:rFonts w:asciiTheme="minorHAnsi" w:hAnsiTheme="minorHAnsi" w:cstheme="minorHAnsi"/>
        </w:rPr>
      </w:pPr>
      <w:r w:rsidRPr="00D61280">
        <w:rPr>
          <w:rStyle w:val="normaltextrun"/>
          <w:rFonts w:asciiTheme="minorHAnsi" w:hAnsiTheme="minorHAnsi" w:cstheme="minorHAnsi"/>
        </w:rPr>
        <w:t>Plāna politiskais, ekonomiskais, </w:t>
      </w:r>
      <w:r w:rsidRPr="00D61280">
        <w:rPr>
          <w:rStyle w:val="spellingerror"/>
          <w:rFonts w:asciiTheme="minorHAnsi" w:hAnsiTheme="minorHAnsi" w:cstheme="minorHAnsi"/>
        </w:rPr>
        <w:t>vides aizsardzības</w:t>
      </w:r>
      <w:r w:rsidRPr="00D61280">
        <w:rPr>
          <w:rStyle w:val="normaltextrun"/>
          <w:rFonts w:asciiTheme="minorHAnsi" w:hAnsiTheme="minorHAnsi" w:cstheme="minorHAnsi"/>
        </w:rPr>
        <w:t> un sociālais konteksts</w:t>
      </w:r>
      <w:bookmarkEnd w:id="2"/>
      <w:bookmarkEnd w:id="3"/>
      <w:r w:rsidRPr="00D61280">
        <w:rPr>
          <w:rStyle w:val="eop"/>
          <w:rFonts w:asciiTheme="minorHAnsi" w:hAnsiTheme="minorHAnsi" w:cstheme="minorHAnsi"/>
        </w:rPr>
        <w:t> </w:t>
      </w:r>
    </w:p>
    <w:p w14:paraId="1F702062" w14:textId="77777777" w:rsidR="00091521" w:rsidRPr="00D61280" w:rsidRDefault="00091521" w:rsidP="00EA0C89">
      <w:pPr>
        <w:spacing w:before="120" w:after="120" w:line="240" w:lineRule="auto"/>
        <w:jc w:val="both"/>
        <w:rPr>
          <w:rFonts w:cstheme="minorHAnsi"/>
          <w:szCs w:val="24"/>
        </w:rPr>
      </w:pPr>
      <w:bookmarkStart w:id="5" w:name="_Hlk524704878"/>
      <w:r w:rsidRPr="00D61280">
        <w:rPr>
          <w:rFonts w:cstheme="minorHAnsi"/>
          <w:szCs w:val="24"/>
        </w:rPr>
        <w:t>Nacionālais enerģētikas un klimata plāns 2021.-2030.gadam (turpmāk – Plāns) ir dokuments ilgtermiņa termiņa politikas plānošanai, kas izstrādāts saskaņā ar Ministru kabineta 2016.gada 3.maija rīkojumu Nr.275 “Par Valdības rīcības plānu Deklarācijas par Māra Kučinska vadītā Ministru kabineta iecerēto darbību īstenošanai”</w:t>
      </w:r>
      <w:r w:rsidRPr="00D61280">
        <w:rPr>
          <w:rStyle w:val="FootnoteReference"/>
          <w:rFonts w:cstheme="minorHAnsi"/>
          <w:szCs w:val="24"/>
        </w:rPr>
        <w:footnoteReference w:id="1"/>
      </w:r>
      <w:r w:rsidRPr="00D61280">
        <w:rPr>
          <w:rFonts w:cstheme="minorHAnsi"/>
          <w:szCs w:val="24"/>
        </w:rPr>
        <w:t xml:space="preserve"> (deklarācijā dotā uzdevuma numurs 013, Pasākuma numurs 13.2) un Ministru kabineta 2019. gada 7.maija rīkojumu Nr. 210 “Par Valdības rīcības plānu Deklarācijas par Artura Krišjāņa Kariņa vadītā Ministru kabineta iecerēto darbību īstenošanai”</w:t>
      </w:r>
      <w:r w:rsidRPr="00D61280">
        <w:rPr>
          <w:rStyle w:val="FootnoteReference"/>
          <w:rFonts w:cstheme="minorHAnsi"/>
          <w:szCs w:val="24"/>
        </w:rPr>
        <w:footnoteReference w:id="2"/>
      </w:r>
      <w:r w:rsidRPr="00D61280">
        <w:rPr>
          <w:rFonts w:cstheme="minorHAnsi"/>
          <w:szCs w:val="24"/>
        </w:rPr>
        <w:t xml:space="preserve"> (deklarācijā dotā uzdevuma numurs 062, Pasākuma numurs 62.1).</w:t>
      </w:r>
    </w:p>
    <w:p w14:paraId="2B971DAE" w14:textId="77777777" w:rsidR="00091521" w:rsidRPr="00D61280" w:rsidRDefault="00091521" w:rsidP="00EA0C89">
      <w:pPr>
        <w:pStyle w:val="Default"/>
        <w:spacing w:before="120" w:after="120"/>
        <w:jc w:val="both"/>
        <w:rPr>
          <w:rFonts w:asciiTheme="minorHAnsi" w:hAnsiTheme="minorHAnsi" w:cstheme="minorHAnsi"/>
          <w:color w:val="auto"/>
        </w:rPr>
      </w:pPr>
      <w:r w:rsidRPr="00D61280">
        <w:rPr>
          <w:rFonts w:asciiTheme="minorHAnsi" w:hAnsiTheme="minorHAnsi" w:cstheme="minorHAnsi"/>
          <w:color w:val="auto"/>
        </w:rPr>
        <w:t xml:space="preserve">Eiropas Savienības (turpmāk – ES) līmenī Plāna izstrādi, kā arī Plāna saturu, tajā iekļaujamos nacionālos </w:t>
      </w:r>
      <w:proofErr w:type="spellStart"/>
      <w:r w:rsidRPr="00D61280">
        <w:rPr>
          <w:rFonts w:asciiTheme="minorHAnsi" w:hAnsiTheme="minorHAnsi" w:cstheme="minorHAnsi"/>
          <w:color w:val="auto"/>
        </w:rPr>
        <w:t>mērķrādītājus</w:t>
      </w:r>
      <w:proofErr w:type="spellEnd"/>
      <w:r w:rsidRPr="00D61280">
        <w:rPr>
          <w:rFonts w:asciiTheme="minorHAnsi" w:hAnsiTheme="minorHAnsi" w:cstheme="minorHAnsi"/>
          <w:color w:val="auto"/>
        </w:rPr>
        <w:t>, mērķus un devumus ES mērķu sasniegšanā, informāciju un datus, kā arī rezultatīvos rādītājus nosaka:</w:t>
      </w:r>
    </w:p>
    <w:p w14:paraId="5F5A5A06" w14:textId="77777777" w:rsidR="00091521" w:rsidRPr="00D61280" w:rsidRDefault="00091521" w:rsidP="00EA0C89">
      <w:pPr>
        <w:pStyle w:val="Default"/>
        <w:numPr>
          <w:ilvl w:val="0"/>
          <w:numId w:val="5"/>
        </w:numPr>
        <w:spacing w:before="120" w:after="120"/>
        <w:ind w:left="397" w:hanging="397"/>
        <w:jc w:val="both"/>
        <w:rPr>
          <w:rFonts w:asciiTheme="minorHAnsi" w:hAnsiTheme="minorHAnsi" w:cstheme="minorHAnsi"/>
          <w:color w:val="auto"/>
        </w:rPr>
      </w:pPr>
      <w:r w:rsidRPr="00D61280">
        <w:rPr>
          <w:rFonts w:asciiTheme="minorHAnsi" w:hAnsiTheme="minorHAnsi" w:cstheme="minorHAnsi"/>
          <w:color w:val="auto"/>
        </w:rPr>
        <w:t>Eiropadomes 2014.gada 24.oktobra secinājumi “Klimata un enerģētikas politikas satvars laikposmam līdz 2030.gadam” (turpmāk – KEPS2030)</w:t>
      </w:r>
      <w:r w:rsidRPr="00D61280">
        <w:rPr>
          <w:rStyle w:val="FootnoteReference"/>
          <w:rFonts w:asciiTheme="minorHAnsi" w:hAnsiTheme="minorHAnsi" w:cstheme="minorHAnsi"/>
          <w:color w:val="auto"/>
        </w:rPr>
        <w:footnoteReference w:id="3"/>
      </w:r>
      <w:r w:rsidRPr="00D61280">
        <w:rPr>
          <w:rFonts w:asciiTheme="minorHAnsi" w:hAnsiTheme="minorHAnsi" w:cstheme="minorHAnsi"/>
          <w:color w:val="auto"/>
        </w:rPr>
        <w:t>;</w:t>
      </w:r>
    </w:p>
    <w:p w14:paraId="283C92C4" w14:textId="77777777" w:rsidR="00091521" w:rsidRPr="00D61280" w:rsidRDefault="00091521" w:rsidP="00EA0C89">
      <w:pPr>
        <w:pStyle w:val="Default"/>
        <w:numPr>
          <w:ilvl w:val="0"/>
          <w:numId w:val="5"/>
        </w:numPr>
        <w:spacing w:before="120" w:after="120"/>
        <w:ind w:left="397" w:hanging="397"/>
        <w:jc w:val="both"/>
        <w:rPr>
          <w:rFonts w:asciiTheme="minorHAnsi" w:hAnsiTheme="minorHAnsi" w:cstheme="minorHAnsi"/>
          <w:color w:val="auto"/>
        </w:rPr>
      </w:pPr>
      <w:r w:rsidRPr="00D61280">
        <w:rPr>
          <w:rFonts w:asciiTheme="minorHAnsi" w:hAnsiTheme="minorHAnsi" w:cstheme="minorHAnsi"/>
          <w:color w:val="auto"/>
        </w:rPr>
        <w:t>Transporta, telekomunikāciju un enerģētikas padomes 2015.gada 26.novembra secinājumi “Enerģētikas Savienības pārvaldības sistēma”</w:t>
      </w:r>
      <w:r w:rsidRPr="00D61280">
        <w:rPr>
          <w:rStyle w:val="FootnoteReference"/>
          <w:rFonts w:asciiTheme="minorHAnsi" w:hAnsiTheme="minorHAnsi" w:cstheme="minorHAnsi"/>
          <w:color w:val="auto"/>
        </w:rPr>
        <w:footnoteReference w:id="4"/>
      </w:r>
      <w:r w:rsidRPr="00D61280">
        <w:rPr>
          <w:rFonts w:asciiTheme="minorHAnsi" w:hAnsiTheme="minorHAnsi" w:cstheme="minorHAnsi"/>
          <w:color w:val="auto"/>
        </w:rPr>
        <w:t>;</w:t>
      </w:r>
    </w:p>
    <w:p w14:paraId="36D722F9" w14:textId="0B86B5FD" w:rsidR="00091521" w:rsidRPr="00D61280" w:rsidRDefault="00091521" w:rsidP="00EA0C89">
      <w:pPr>
        <w:pStyle w:val="Default"/>
        <w:numPr>
          <w:ilvl w:val="0"/>
          <w:numId w:val="5"/>
        </w:numPr>
        <w:spacing w:before="120" w:after="120"/>
        <w:ind w:left="397" w:hanging="397"/>
        <w:jc w:val="both"/>
        <w:rPr>
          <w:rFonts w:asciiTheme="minorHAnsi" w:hAnsiTheme="minorHAnsi" w:cstheme="minorHAnsi"/>
          <w:color w:val="auto"/>
        </w:rPr>
      </w:pPr>
      <w:r w:rsidRPr="00D61280">
        <w:rPr>
          <w:rFonts w:asciiTheme="minorHAnsi" w:eastAsia="Calibri" w:hAnsiTheme="minorHAnsi" w:cstheme="minorHAnsi"/>
        </w:rPr>
        <w:t>Eiropas Parlamenta un Padomes 2018.gada 11.decembra regula Nr.2018/1999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 (turpmāk – Regula 2018/1999)</w:t>
      </w:r>
      <w:r w:rsidRPr="00D61280">
        <w:rPr>
          <w:rStyle w:val="FootnoteReference"/>
          <w:rFonts w:asciiTheme="minorHAnsi" w:eastAsia="Calibri" w:hAnsiTheme="minorHAnsi" w:cstheme="minorHAnsi"/>
        </w:rPr>
        <w:footnoteReference w:id="5"/>
      </w:r>
      <w:r w:rsidRPr="00D61280">
        <w:rPr>
          <w:rFonts w:asciiTheme="minorHAnsi" w:hAnsiTheme="minorHAnsi" w:cstheme="minorHAnsi"/>
          <w:color w:val="auto"/>
        </w:rPr>
        <w:t>.</w:t>
      </w:r>
    </w:p>
    <w:bookmarkEnd w:id="5"/>
    <w:p w14:paraId="76658604" w14:textId="77777777" w:rsidR="00091521" w:rsidRPr="00D61280" w:rsidRDefault="00091521" w:rsidP="00EA0C89">
      <w:pPr>
        <w:pStyle w:val="Default"/>
        <w:spacing w:before="120" w:after="120"/>
        <w:jc w:val="both"/>
        <w:rPr>
          <w:rFonts w:asciiTheme="minorHAnsi" w:hAnsiTheme="minorHAnsi" w:cstheme="minorHAnsi"/>
          <w:color w:val="auto"/>
        </w:rPr>
      </w:pPr>
      <w:r w:rsidRPr="00D61280">
        <w:rPr>
          <w:rFonts w:asciiTheme="minorHAnsi" w:hAnsiTheme="minorHAnsi" w:cstheme="minorHAnsi"/>
          <w:color w:val="auto"/>
        </w:rPr>
        <w:t>Katrā dalībvalstī un arī Latvijā Plāns tiek izstrādāts, lai sasniegtu ES noteiktos mērķus vai izteiktās starptautiskās apņemšanās:</w:t>
      </w:r>
    </w:p>
    <w:p w14:paraId="2FD3464F" w14:textId="5E104F80" w:rsidR="00091521" w:rsidRPr="00D61280" w:rsidRDefault="00091521" w:rsidP="00EA0C89">
      <w:pPr>
        <w:pStyle w:val="Default"/>
        <w:numPr>
          <w:ilvl w:val="0"/>
          <w:numId w:val="6"/>
        </w:numPr>
        <w:spacing w:before="120" w:after="120"/>
        <w:ind w:left="397" w:hanging="397"/>
        <w:jc w:val="both"/>
        <w:rPr>
          <w:rFonts w:asciiTheme="minorHAnsi" w:hAnsiTheme="minorHAnsi" w:cstheme="minorHAnsi"/>
          <w:color w:val="auto"/>
        </w:rPr>
      </w:pPr>
      <w:r w:rsidRPr="00D61280">
        <w:rPr>
          <w:rFonts w:asciiTheme="minorHAnsi" w:hAnsiTheme="minorHAnsi" w:cstheme="minorHAnsi"/>
          <w:color w:val="auto"/>
        </w:rPr>
        <w:t>ANO Vispārējās konvencijas par klimata pārmaiņām (turpmāk – Konvencija) Parīzes nolīguma ietvaros izteiktās apņemšanās 2030.gadam attiecībā uz klimata pārmaiņu mazināšanu –</w:t>
      </w:r>
      <w:r w:rsidR="00BB768B">
        <w:rPr>
          <w:rFonts w:asciiTheme="minorHAnsi" w:hAnsiTheme="minorHAnsi" w:cstheme="minorHAnsi"/>
          <w:color w:val="auto"/>
        </w:rPr>
        <w:t xml:space="preserve"> SEG</w:t>
      </w:r>
      <w:r w:rsidRPr="00D61280">
        <w:rPr>
          <w:rFonts w:asciiTheme="minorHAnsi" w:hAnsiTheme="minorHAnsi" w:cstheme="minorHAnsi"/>
          <w:color w:val="auto"/>
        </w:rPr>
        <w:t xml:space="preserve"> emisiju samazināšana un lielāka CO</w:t>
      </w:r>
      <w:r w:rsidRPr="00D61280">
        <w:rPr>
          <w:rFonts w:asciiTheme="minorHAnsi" w:hAnsiTheme="minorHAnsi" w:cstheme="minorHAnsi"/>
          <w:color w:val="auto"/>
          <w:vertAlign w:val="subscript"/>
        </w:rPr>
        <w:t>2</w:t>
      </w:r>
      <w:r w:rsidRPr="00D61280">
        <w:rPr>
          <w:rFonts w:asciiTheme="minorHAnsi" w:hAnsiTheme="minorHAnsi" w:cstheme="minorHAnsi"/>
          <w:color w:val="auto"/>
        </w:rPr>
        <w:t xml:space="preserve"> piesaiste visās nozarēs – izmaksu ziņā efektīvā veidā līdz 2030.gadam samazināt kopējās visu ES dalībvalstu SEG emisijas par vismaz 40% salīdzinot ar 1990.gadu.</w:t>
      </w:r>
    </w:p>
    <w:p w14:paraId="573D0C1B" w14:textId="52567F4A" w:rsidR="00091521" w:rsidRPr="00D61280" w:rsidRDefault="00091521" w:rsidP="00EA0C89">
      <w:pPr>
        <w:pStyle w:val="Default"/>
        <w:numPr>
          <w:ilvl w:val="0"/>
          <w:numId w:val="6"/>
        </w:numPr>
        <w:spacing w:before="120" w:after="120"/>
        <w:ind w:left="397" w:hanging="397"/>
        <w:jc w:val="both"/>
        <w:rPr>
          <w:rFonts w:asciiTheme="minorHAnsi" w:hAnsiTheme="minorHAnsi" w:cstheme="minorHAnsi"/>
          <w:color w:val="auto"/>
        </w:rPr>
      </w:pPr>
      <w:r w:rsidRPr="00D61280">
        <w:rPr>
          <w:rFonts w:asciiTheme="minorHAnsi" w:hAnsiTheme="minorHAnsi" w:cstheme="minorHAnsi"/>
          <w:color w:val="auto"/>
        </w:rPr>
        <w:t>ES “Ceļvedis virzībai uz konkurētspējīgu ekonomiku ar zemu oglekļa dioksīda emisiju līmeni 2050. g.”</w:t>
      </w:r>
      <w:r w:rsidRPr="00D61280">
        <w:rPr>
          <w:rStyle w:val="FootnoteReference"/>
          <w:rFonts w:asciiTheme="minorHAnsi" w:hAnsiTheme="minorHAnsi" w:cstheme="minorHAnsi"/>
          <w:color w:val="auto"/>
        </w:rPr>
        <w:footnoteReference w:id="6"/>
      </w:r>
      <w:r w:rsidRPr="00D61280">
        <w:rPr>
          <w:rFonts w:asciiTheme="minorHAnsi" w:hAnsiTheme="minorHAnsi" w:cstheme="minorHAnsi"/>
          <w:color w:val="auto"/>
        </w:rPr>
        <w:t xml:space="preserve"> – ES 2050.gadā ir gatava savā iekšienē samazināt kopējās ES dalībvalstu emisijas par 80-95% salīdzinājumā ar 1990.g</w:t>
      </w:r>
      <w:r w:rsidR="00BB768B">
        <w:rPr>
          <w:rFonts w:asciiTheme="minorHAnsi" w:hAnsiTheme="minorHAnsi" w:cstheme="minorHAnsi"/>
          <w:color w:val="auto"/>
        </w:rPr>
        <w:t>ada</w:t>
      </w:r>
      <w:r w:rsidRPr="00D61280">
        <w:rPr>
          <w:rFonts w:asciiTheme="minorHAnsi" w:hAnsiTheme="minorHAnsi" w:cstheme="minorHAnsi"/>
          <w:color w:val="auto"/>
        </w:rPr>
        <w:t xml:space="preserve"> līmeni, lai pārietu uz konkurētspējīgu ekonomiku ar zemu oglekļa dioksīda emisiju līmeni. </w:t>
      </w:r>
    </w:p>
    <w:p w14:paraId="5C06459E" w14:textId="77777777" w:rsidR="00091521" w:rsidRPr="00D61280" w:rsidRDefault="00091521" w:rsidP="00EA0C89">
      <w:pPr>
        <w:pStyle w:val="Default"/>
        <w:numPr>
          <w:ilvl w:val="0"/>
          <w:numId w:val="6"/>
        </w:numPr>
        <w:spacing w:before="120" w:after="120"/>
        <w:ind w:left="397" w:hanging="397"/>
        <w:jc w:val="both"/>
        <w:rPr>
          <w:rFonts w:asciiTheme="minorHAnsi" w:hAnsiTheme="minorHAnsi" w:cstheme="minorHAnsi"/>
          <w:color w:val="auto"/>
        </w:rPr>
      </w:pPr>
      <w:r w:rsidRPr="00D61280">
        <w:rPr>
          <w:rFonts w:asciiTheme="minorHAnsi" w:hAnsiTheme="minorHAnsi" w:cstheme="minorHAnsi"/>
          <w:color w:val="auto"/>
        </w:rPr>
        <w:lastRenderedPageBreak/>
        <w:t>ES “Tīra planēta visiem – Eiropas stratēģisks ilgtermiņa redzējums uz pārtikušu, modernu, konkurētspējīgu un klimatam neitrālu ekonomiku” – ES 2050.gadā ir gatava panākt “klimata neitralitāti”</w:t>
      </w:r>
      <w:r w:rsidRPr="00D61280">
        <w:rPr>
          <w:rStyle w:val="FootnoteReference"/>
          <w:rFonts w:asciiTheme="minorHAnsi" w:hAnsiTheme="minorHAnsi" w:cstheme="minorHAnsi"/>
          <w:color w:val="auto"/>
        </w:rPr>
        <w:footnoteReference w:id="7"/>
      </w:r>
      <w:r w:rsidRPr="00D61280">
        <w:rPr>
          <w:rFonts w:asciiTheme="minorHAnsi" w:hAnsiTheme="minorHAnsi" w:cstheme="minorHAnsi"/>
          <w:color w:val="auto"/>
        </w:rPr>
        <w:t xml:space="preserve">, kas nosaka ES kopējo SEG emisiju apjoma </w:t>
      </w:r>
      <w:r w:rsidRPr="00D61280">
        <w:rPr>
          <w:rFonts w:asciiTheme="minorHAnsi" w:hAnsiTheme="minorHAnsi" w:cstheme="minorHAnsi"/>
          <w:i/>
          <w:color w:val="auto"/>
        </w:rPr>
        <w:t>net-</w:t>
      </w:r>
      <w:proofErr w:type="spellStart"/>
      <w:r w:rsidRPr="00D61280">
        <w:rPr>
          <w:rFonts w:asciiTheme="minorHAnsi" w:hAnsiTheme="minorHAnsi" w:cstheme="minorHAnsi"/>
          <w:i/>
          <w:color w:val="auto"/>
        </w:rPr>
        <w:t>zero</w:t>
      </w:r>
      <w:proofErr w:type="spellEnd"/>
      <w:r w:rsidRPr="00D61280">
        <w:rPr>
          <w:rFonts w:asciiTheme="minorHAnsi" w:hAnsiTheme="minorHAnsi" w:cstheme="minorHAnsi"/>
          <w:color w:val="auto"/>
        </w:rPr>
        <w:t xml:space="preserve"> principu, kur kopumā radītais SEG emisiju apjoms tiek pilnībā nosegts ar radīto CO</w:t>
      </w:r>
      <w:r w:rsidRPr="00D61280">
        <w:rPr>
          <w:rFonts w:asciiTheme="minorHAnsi" w:hAnsiTheme="minorHAnsi" w:cstheme="minorHAnsi"/>
          <w:color w:val="auto"/>
          <w:vertAlign w:val="subscript"/>
        </w:rPr>
        <w:t>2</w:t>
      </w:r>
      <w:r w:rsidRPr="00D61280">
        <w:rPr>
          <w:rFonts w:asciiTheme="minorHAnsi" w:hAnsiTheme="minorHAnsi" w:cstheme="minorHAnsi"/>
          <w:color w:val="auto"/>
        </w:rPr>
        <w:t xml:space="preserve"> piesaisti vai, izmantojot noteiktas tehnoloģijas, netiek pieļauta radītā SEG emisiju apjoma izlaide.</w:t>
      </w:r>
    </w:p>
    <w:p w14:paraId="77A9A81F" w14:textId="77777777" w:rsidR="00091521" w:rsidRPr="00D61280" w:rsidRDefault="00091521" w:rsidP="00EA0C89">
      <w:pPr>
        <w:pStyle w:val="Default"/>
        <w:numPr>
          <w:ilvl w:val="0"/>
          <w:numId w:val="6"/>
        </w:numPr>
        <w:spacing w:before="120" w:after="120"/>
        <w:ind w:left="397" w:hanging="397"/>
        <w:jc w:val="both"/>
        <w:rPr>
          <w:rFonts w:asciiTheme="minorHAnsi" w:hAnsiTheme="minorHAnsi" w:cstheme="minorHAnsi"/>
          <w:color w:val="auto"/>
        </w:rPr>
      </w:pPr>
      <w:r w:rsidRPr="00D61280">
        <w:rPr>
          <w:rFonts w:asciiTheme="minorHAnsi" w:hAnsiTheme="minorHAnsi" w:cstheme="minorHAnsi"/>
          <w:color w:val="auto"/>
        </w:rPr>
        <w:t>KEPS2030.</w:t>
      </w:r>
    </w:p>
    <w:p w14:paraId="42A3926A" w14:textId="77777777" w:rsidR="00091521" w:rsidRPr="00D61280" w:rsidRDefault="00091521" w:rsidP="00EA0C89">
      <w:pPr>
        <w:spacing w:before="120" w:after="120" w:line="240" w:lineRule="auto"/>
        <w:jc w:val="both"/>
        <w:rPr>
          <w:rFonts w:eastAsia="Calibri" w:cstheme="minorHAnsi"/>
          <w:color w:val="000000"/>
          <w:szCs w:val="24"/>
        </w:rPr>
      </w:pPr>
      <w:r w:rsidRPr="00D61280">
        <w:rPr>
          <w:rFonts w:cstheme="minorHAnsi"/>
        </w:rPr>
        <w:t xml:space="preserve">Plāns ir politikas plānošanas dokuments, kas jāievieš ilgtermiņā, primāri ievērojot tautsaimniecības attīstības un enerģētikas un klimata mērķus. </w:t>
      </w:r>
      <w:r w:rsidRPr="00D61280">
        <w:rPr>
          <w:rFonts w:eastAsia="Calibri" w:cstheme="minorHAnsi"/>
          <w:bCs/>
          <w:szCs w:val="24"/>
        </w:rPr>
        <w:t>Tā kā Plāna izstrādi nosaka ES līmeņa dokuments – Regula Nr.2018/1999</w:t>
      </w:r>
      <w:r w:rsidRPr="00D61280">
        <w:rPr>
          <w:rFonts w:eastAsia="Calibri" w:cstheme="minorHAnsi"/>
          <w:color w:val="000000"/>
          <w:szCs w:val="24"/>
        </w:rPr>
        <w:t>, tad šis politikas plānošanas dokuments ir sagatavots, ievērojot Ministru kabineta 2014. gada 2. decembra noteikumu Nr.737 “Attīstības plānošanas dokumentu izstrādes un ietekmes izvērtēšanas noteikumi” 6.punktu, pēc iespējas Plānu izstrādājot atbilstoši šajos Ministru kabineta noteikumos noteiktajiem nosacījumiem politikas plānošanas dokumenta veidam – plāns.</w:t>
      </w:r>
    </w:p>
    <w:p w14:paraId="3CEC0785" w14:textId="3948AA47" w:rsidR="00091521" w:rsidRPr="00D61280" w:rsidRDefault="00091521" w:rsidP="00EA0C89">
      <w:pPr>
        <w:pStyle w:val="Heading3"/>
        <w:rPr>
          <w:rStyle w:val="eop"/>
          <w:rFonts w:asciiTheme="minorHAnsi" w:hAnsiTheme="minorHAnsi" w:cstheme="minorHAnsi"/>
        </w:rPr>
      </w:pPr>
      <w:bookmarkStart w:id="6" w:name="_Toc520978794"/>
      <w:bookmarkStart w:id="7" w:name="_Toc527529415"/>
      <w:r w:rsidRPr="00D61280">
        <w:rPr>
          <w:rStyle w:val="normaltextrun"/>
          <w:rFonts w:asciiTheme="minorHAnsi" w:hAnsiTheme="minorHAnsi" w:cstheme="minorHAnsi"/>
        </w:rPr>
        <w:t>Stratēģija attiecībā uz visām enerģētikas savienības dimensijām</w:t>
      </w:r>
      <w:bookmarkEnd w:id="6"/>
      <w:bookmarkEnd w:id="7"/>
    </w:p>
    <w:p w14:paraId="1E1C36EC" w14:textId="0DF958DE" w:rsidR="00091521" w:rsidRPr="00D61280" w:rsidRDefault="00091521" w:rsidP="00EA0C89">
      <w:pPr>
        <w:spacing w:before="120" w:after="120" w:line="240" w:lineRule="auto"/>
        <w:jc w:val="both"/>
        <w:rPr>
          <w:rFonts w:cstheme="minorHAnsi"/>
          <w:color w:val="000000" w:themeColor="text1"/>
          <w:szCs w:val="24"/>
          <w:shd w:val="clear" w:color="auto" w:fill="FFFFFF"/>
        </w:rPr>
      </w:pPr>
      <w:r w:rsidRPr="00D61280">
        <w:rPr>
          <w:rFonts w:cstheme="minorHAnsi"/>
          <w:szCs w:val="24"/>
        </w:rPr>
        <w:t xml:space="preserve">Plānā ir iekļauti visu </w:t>
      </w:r>
      <w:proofErr w:type="spellStart"/>
      <w:r w:rsidRPr="00D61280">
        <w:rPr>
          <w:rFonts w:cstheme="minorHAnsi"/>
          <w:szCs w:val="24"/>
        </w:rPr>
        <w:t>EnS</w:t>
      </w:r>
      <w:proofErr w:type="spellEnd"/>
      <w:r w:rsidRPr="00D61280">
        <w:rPr>
          <w:rFonts w:cstheme="minorHAnsi"/>
          <w:szCs w:val="24"/>
        </w:rPr>
        <w:t xml:space="preserve"> dimensiju mērķi un to sasniegšanai nepieciešamās </w:t>
      </w:r>
      <w:proofErr w:type="spellStart"/>
      <w:r w:rsidRPr="00D61280">
        <w:rPr>
          <w:rFonts w:cstheme="minorHAnsi"/>
          <w:szCs w:val="24"/>
        </w:rPr>
        <w:t>rīcībpolitikas</w:t>
      </w:r>
      <w:proofErr w:type="spellEnd"/>
      <w:r w:rsidRPr="00D61280">
        <w:rPr>
          <w:rFonts w:cstheme="minorHAnsi"/>
          <w:szCs w:val="24"/>
        </w:rPr>
        <w:t xml:space="preserve"> un pasākumi. </w:t>
      </w:r>
      <w:r w:rsidRPr="00D61280">
        <w:rPr>
          <w:rFonts w:cstheme="minorHAnsi"/>
          <w:color w:val="000000" w:themeColor="text1"/>
          <w:szCs w:val="24"/>
          <w:shd w:val="clear" w:color="auto" w:fill="FFFFFF"/>
        </w:rPr>
        <w:t>Joprojām turpinās diskusijas par ES dalībvalstīm pieejamo ES fondu apjomu, tai skaitā par KF finansējumu 2021.-2027.gada plānošanas periodam un atbalsta tvērumu. Latvijā Kohēzijas politikas finansējuma sadalījumu 2021.-2027.gada plānošanas periodam tiek plānots balstīt uz L</w:t>
      </w:r>
      <w:r w:rsidR="00BB768B">
        <w:rPr>
          <w:rFonts w:cstheme="minorHAnsi"/>
          <w:color w:val="000000" w:themeColor="text1"/>
          <w:szCs w:val="24"/>
          <w:shd w:val="clear" w:color="auto" w:fill="FFFFFF"/>
        </w:rPr>
        <w:t>NAP2027</w:t>
      </w:r>
      <w:r w:rsidRPr="00D61280">
        <w:rPr>
          <w:rFonts w:cstheme="minorHAnsi"/>
          <w:color w:val="000000" w:themeColor="text1"/>
          <w:szCs w:val="24"/>
          <w:shd w:val="clear" w:color="auto" w:fill="FFFFFF"/>
        </w:rPr>
        <w:t xml:space="preserve"> noteikto. Tāpēc Plānā minētais finansējuma avots atbalsta programmām, kuru īstenošanai plānots piesaistīt Kohēzijas politikas finansējumu ir indikatīvs.</w:t>
      </w:r>
    </w:p>
    <w:p w14:paraId="3B73C83D" w14:textId="60EC2FD1" w:rsidR="00091521" w:rsidRPr="00D61280" w:rsidRDefault="00BB768B" w:rsidP="00EA0C89">
      <w:pPr>
        <w:pStyle w:val="Heading3"/>
        <w:rPr>
          <w:rFonts w:asciiTheme="minorHAnsi" w:hAnsiTheme="minorHAnsi" w:cstheme="minorHAnsi"/>
          <w:shd w:val="clear" w:color="auto" w:fill="FFFFFF"/>
        </w:rPr>
      </w:pPr>
      <w:r>
        <w:rPr>
          <w:rFonts w:asciiTheme="minorHAnsi" w:hAnsiTheme="minorHAnsi" w:cstheme="minorHAnsi"/>
        </w:rPr>
        <w:t>P</w:t>
      </w:r>
      <w:r w:rsidR="00091521" w:rsidRPr="00D61280">
        <w:rPr>
          <w:rFonts w:asciiTheme="minorHAnsi" w:hAnsiTheme="minorHAnsi" w:cstheme="minorHAnsi"/>
        </w:rPr>
        <w:t>lāna galvenie mērķi</w:t>
      </w:r>
    </w:p>
    <w:bookmarkStart w:id="8" w:name="_Hlk519784759"/>
    <w:bookmarkStart w:id="9" w:name="_Hlk531553230"/>
    <w:p w14:paraId="63D59118" w14:textId="605C7C7B" w:rsidR="00091521" w:rsidRPr="00D61280" w:rsidRDefault="00091521" w:rsidP="00EA0C89">
      <w:pPr>
        <w:pStyle w:val="Caption"/>
        <w:rPr>
          <w:rFonts w:asciiTheme="minorHAnsi" w:hAnsiTheme="minorHAnsi" w:cstheme="minorHAnsi"/>
        </w:rPr>
      </w:pPr>
      <w:r w:rsidRPr="00D61280">
        <w:rPr>
          <w:rFonts w:asciiTheme="minorHAnsi" w:hAnsiTheme="minorHAnsi" w:cstheme="minorHAnsi"/>
        </w:rPr>
        <w:fldChar w:fldCharType="begin"/>
      </w:r>
      <w:r w:rsidRPr="00D61280">
        <w:rPr>
          <w:rFonts w:asciiTheme="minorHAnsi" w:hAnsiTheme="minorHAnsi" w:cstheme="minorHAnsi"/>
        </w:rPr>
        <w:instrText xml:space="preserve"> SEQ Tabula \* ARABIC </w:instrText>
      </w:r>
      <w:r w:rsidRPr="00D61280">
        <w:rPr>
          <w:rFonts w:asciiTheme="minorHAnsi" w:hAnsiTheme="minorHAnsi" w:cstheme="minorHAnsi"/>
        </w:rPr>
        <w:fldChar w:fldCharType="separate"/>
      </w:r>
      <w:bookmarkStart w:id="10" w:name="_Toc531333141"/>
      <w:r w:rsidRPr="00D61280">
        <w:rPr>
          <w:rFonts w:asciiTheme="minorHAnsi" w:hAnsiTheme="minorHAnsi" w:cstheme="minorHAnsi"/>
          <w:noProof/>
        </w:rPr>
        <w:t>1</w:t>
      </w:r>
      <w:r w:rsidRPr="00D61280">
        <w:rPr>
          <w:rFonts w:asciiTheme="minorHAnsi" w:hAnsiTheme="minorHAnsi" w:cstheme="minorHAnsi"/>
        </w:rPr>
        <w:fldChar w:fldCharType="end"/>
      </w:r>
      <w:r w:rsidRPr="00D61280">
        <w:rPr>
          <w:rFonts w:asciiTheme="minorHAnsi" w:hAnsiTheme="minorHAnsi" w:cstheme="minorHAnsi"/>
        </w:rPr>
        <w:t xml:space="preserve">. tabula. ES un Latvijas </w:t>
      </w:r>
      <w:proofErr w:type="spellStart"/>
      <w:r w:rsidRPr="00D61280">
        <w:rPr>
          <w:rFonts w:asciiTheme="minorHAnsi" w:hAnsiTheme="minorHAnsi" w:cstheme="minorHAnsi"/>
        </w:rPr>
        <w:t>EnS</w:t>
      </w:r>
      <w:proofErr w:type="spellEnd"/>
      <w:r w:rsidRPr="00D61280">
        <w:rPr>
          <w:rFonts w:asciiTheme="minorHAnsi" w:hAnsiTheme="minorHAnsi" w:cstheme="minorHAnsi"/>
        </w:rPr>
        <w:t xml:space="preserve"> dimensiju politikas rezultāti un to </w:t>
      </w:r>
      <w:r w:rsidR="00B7123A" w:rsidRPr="00D61280">
        <w:rPr>
          <w:rFonts w:asciiTheme="minorHAnsi" w:hAnsiTheme="minorHAnsi" w:cstheme="minorHAnsi"/>
        </w:rPr>
        <w:t xml:space="preserve">galvenie </w:t>
      </w:r>
      <w:r w:rsidRPr="00D61280">
        <w:rPr>
          <w:rFonts w:asciiTheme="minorHAnsi" w:hAnsiTheme="minorHAnsi" w:cstheme="minorHAnsi"/>
        </w:rPr>
        <w:t>rezultatīvie radītāji</w:t>
      </w:r>
      <w:bookmarkEnd w:id="10"/>
    </w:p>
    <w:tbl>
      <w:tblPr>
        <w:tblW w:w="98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999"/>
        <w:gridCol w:w="967"/>
        <w:gridCol w:w="1057"/>
        <w:gridCol w:w="1100"/>
        <w:gridCol w:w="1009"/>
      </w:tblGrid>
      <w:tr w:rsidR="000860FB" w:rsidRPr="00D61280" w14:paraId="1E401CC0" w14:textId="77777777" w:rsidTr="00BB768B">
        <w:trPr>
          <w:tblHeader/>
          <w:jc w:val="center"/>
        </w:trPr>
        <w:tc>
          <w:tcPr>
            <w:tcW w:w="4675" w:type="dxa"/>
            <w:vMerge w:val="restart"/>
            <w:shd w:val="clear" w:color="auto" w:fill="F2F2F2" w:themeFill="background1" w:themeFillShade="F2"/>
            <w:vAlign w:val="center"/>
          </w:tcPr>
          <w:p w14:paraId="132C23C2" w14:textId="77777777" w:rsidR="000860FB" w:rsidRPr="00D61280" w:rsidRDefault="000860FB" w:rsidP="00B65292">
            <w:pPr>
              <w:spacing w:after="0" w:line="240" w:lineRule="auto"/>
              <w:rPr>
                <w:rFonts w:cstheme="minorHAnsi"/>
                <w:b/>
                <w:color w:val="000000" w:themeColor="text1"/>
                <w:sz w:val="22"/>
              </w:rPr>
            </w:pPr>
            <w:bookmarkStart w:id="11" w:name="_Hlk531876169"/>
            <w:bookmarkStart w:id="12" w:name="_Hlk522202425"/>
            <w:bookmarkEnd w:id="8"/>
            <w:r w:rsidRPr="00D61280">
              <w:rPr>
                <w:rFonts w:cstheme="minorHAnsi"/>
                <w:b/>
                <w:color w:val="000000" w:themeColor="text1"/>
                <w:sz w:val="22"/>
              </w:rPr>
              <w:t>Politikas rezultāts katrā Plāna dimensijā</w:t>
            </w:r>
          </w:p>
        </w:tc>
        <w:tc>
          <w:tcPr>
            <w:tcW w:w="1966" w:type="dxa"/>
            <w:gridSpan w:val="2"/>
            <w:shd w:val="clear" w:color="auto" w:fill="F2F2F2" w:themeFill="background1" w:themeFillShade="F2"/>
            <w:vAlign w:val="center"/>
          </w:tcPr>
          <w:p w14:paraId="1F647B62" w14:textId="77777777" w:rsidR="000860FB" w:rsidRPr="00D61280" w:rsidRDefault="000860FB" w:rsidP="00B65292">
            <w:pPr>
              <w:spacing w:after="0" w:line="240" w:lineRule="auto"/>
              <w:jc w:val="center"/>
              <w:rPr>
                <w:rFonts w:cstheme="minorHAnsi"/>
                <w:b/>
                <w:color w:val="000000" w:themeColor="text1"/>
                <w:sz w:val="22"/>
              </w:rPr>
            </w:pPr>
            <w:r w:rsidRPr="00D61280">
              <w:rPr>
                <w:rFonts w:cstheme="minorHAnsi"/>
                <w:b/>
                <w:color w:val="000000" w:themeColor="text1"/>
                <w:sz w:val="22"/>
              </w:rPr>
              <w:t>ES</w:t>
            </w:r>
          </w:p>
        </w:tc>
        <w:tc>
          <w:tcPr>
            <w:tcW w:w="3166" w:type="dxa"/>
            <w:gridSpan w:val="3"/>
            <w:shd w:val="clear" w:color="auto" w:fill="F2F2F2" w:themeFill="background1" w:themeFillShade="F2"/>
            <w:vAlign w:val="center"/>
          </w:tcPr>
          <w:p w14:paraId="6CDE1107" w14:textId="68E5B0A1" w:rsidR="000860FB" w:rsidRPr="00D61280" w:rsidRDefault="000860FB" w:rsidP="00B65292">
            <w:pPr>
              <w:spacing w:after="0" w:line="240" w:lineRule="auto"/>
              <w:jc w:val="center"/>
              <w:rPr>
                <w:rFonts w:cstheme="minorHAnsi"/>
                <w:b/>
                <w:color w:val="000000" w:themeColor="text1"/>
                <w:sz w:val="22"/>
              </w:rPr>
            </w:pPr>
            <w:r w:rsidRPr="00D61280">
              <w:rPr>
                <w:rFonts w:cstheme="minorHAnsi"/>
                <w:b/>
                <w:color w:val="000000" w:themeColor="text1"/>
                <w:sz w:val="22"/>
              </w:rPr>
              <w:t>Latvija</w:t>
            </w:r>
          </w:p>
        </w:tc>
      </w:tr>
      <w:tr w:rsidR="000860FB" w:rsidRPr="00D61280" w14:paraId="55748A09" w14:textId="77777777" w:rsidTr="00BB768B">
        <w:trPr>
          <w:tblHeader/>
          <w:jc w:val="center"/>
        </w:trPr>
        <w:tc>
          <w:tcPr>
            <w:tcW w:w="4675" w:type="dxa"/>
            <w:vMerge/>
            <w:shd w:val="clear" w:color="auto" w:fill="F2F2F2" w:themeFill="background1" w:themeFillShade="F2"/>
            <w:vAlign w:val="center"/>
          </w:tcPr>
          <w:p w14:paraId="1C9BB81C" w14:textId="77777777" w:rsidR="000860FB" w:rsidRPr="00D61280" w:rsidRDefault="000860FB" w:rsidP="00B65292">
            <w:pPr>
              <w:spacing w:after="0" w:line="240" w:lineRule="auto"/>
              <w:rPr>
                <w:rFonts w:cstheme="minorHAnsi"/>
                <w:b/>
                <w:color w:val="000000" w:themeColor="text1"/>
                <w:sz w:val="22"/>
              </w:rPr>
            </w:pPr>
          </w:p>
        </w:tc>
        <w:tc>
          <w:tcPr>
            <w:tcW w:w="1966" w:type="dxa"/>
            <w:gridSpan w:val="2"/>
            <w:shd w:val="clear" w:color="auto" w:fill="F2F2F2" w:themeFill="background1" w:themeFillShade="F2"/>
            <w:vAlign w:val="center"/>
          </w:tcPr>
          <w:p w14:paraId="1CF2D328" w14:textId="2259FC9B" w:rsidR="000860FB" w:rsidRPr="00D61280" w:rsidRDefault="000860FB" w:rsidP="00B65292">
            <w:pPr>
              <w:spacing w:after="0" w:line="240" w:lineRule="auto"/>
              <w:jc w:val="center"/>
              <w:rPr>
                <w:rFonts w:cstheme="minorHAnsi"/>
                <w:b/>
                <w:color w:val="000000" w:themeColor="text1"/>
                <w:sz w:val="22"/>
              </w:rPr>
            </w:pPr>
            <w:r w:rsidRPr="00D61280">
              <w:rPr>
                <w:rFonts w:cstheme="minorHAnsi"/>
                <w:b/>
                <w:color w:val="000000" w:themeColor="text1"/>
                <w:sz w:val="22"/>
              </w:rPr>
              <w:t>mērķa vērtība</w:t>
            </w:r>
          </w:p>
        </w:tc>
        <w:tc>
          <w:tcPr>
            <w:tcW w:w="1057" w:type="dxa"/>
            <w:shd w:val="clear" w:color="auto" w:fill="F2F2F2" w:themeFill="background1" w:themeFillShade="F2"/>
            <w:vAlign w:val="center"/>
          </w:tcPr>
          <w:p w14:paraId="2A9B55DD" w14:textId="3D404A55" w:rsidR="000860FB" w:rsidRPr="00D61280" w:rsidRDefault="000860FB" w:rsidP="00B65292">
            <w:pPr>
              <w:spacing w:after="0" w:line="240" w:lineRule="auto"/>
              <w:jc w:val="center"/>
              <w:rPr>
                <w:rFonts w:cstheme="minorHAnsi"/>
                <w:b/>
                <w:color w:val="000000" w:themeColor="text1"/>
                <w:sz w:val="22"/>
              </w:rPr>
            </w:pPr>
            <w:r w:rsidRPr="00D61280">
              <w:rPr>
                <w:rFonts w:cstheme="minorHAnsi"/>
                <w:b/>
                <w:color w:val="000000" w:themeColor="text1"/>
                <w:sz w:val="22"/>
              </w:rPr>
              <w:t>faktiskā vērtība</w:t>
            </w:r>
          </w:p>
        </w:tc>
        <w:tc>
          <w:tcPr>
            <w:tcW w:w="2109" w:type="dxa"/>
            <w:gridSpan w:val="2"/>
            <w:shd w:val="clear" w:color="auto" w:fill="F2F2F2" w:themeFill="background1" w:themeFillShade="F2"/>
            <w:vAlign w:val="center"/>
          </w:tcPr>
          <w:p w14:paraId="2439B8D5" w14:textId="02025178" w:rsidR="000860FB" w:rsidRPr="00D61280" w:rsidRDefault="000860FB" w:rsidP="00B65292">
            <w:pPr>
              <w:spacing w:after="0" w:line="240" w:lineRule="auto"/>
              <w:jc w:val="center"/>
              <w:rPr>
                <w:rFonts w:cstheme="minorHAnsi"/>
                <w:b/>
                <w:color w:val="000000" w:themeColor="text1"/>
                <w:sz w:val="22"/>
              </w:rPr>
            </w:pPr>
            <w:r w:rsidRPr="00D61280">
              <w:rPr>
                <w:rFonts w:cstheme="minorHAnsi"/>
                <w:b/>
                <w:color w:val="000000" w:themeColor="text1"/>
                <w:sz w:val="22"/>
              </w:rPr>
              <w:t>mērķa vērtība</w:t>
            </w:r>
            <w:r w:rsidRPr="00D61280">
              <w:rPr>
                <w:rStyle w:val="FootnoteReference"/>
                <w:rFonts w:cstheme="minorHAnsi"/>
                <w:b/>
                <w:bCs/>
                <w:sz w:val="22"/>
              </w:rPr>
              <w:footnoteReference w:id="8"/>
            </w:r>
          </w:p>
        </w:tc>
      </w:tr>
      <w:tr w:rsidR="00BB768B" w:rsidRPr="00D61280" w14:paraId="6D015B4E" w14:textId="77777777" w:rsidTr="00BB768B">
        <w:trPr>
          <w:tblHeader/>
          <w:jc w:val="center"/>
        </w:trPr>
        <w:tc>
          <w:tcPr>
            <w:tcW w:w="4675" w:type="dxa"/>
            <w:vMerge/>
            <w:shd w:val="clear" w:color="auto" w:fill="F2F2F2" w:themeFill="background1" w:themeFillShade="F2"/>
            <w:vAlign w:val="center"/>
          </w:tcPr>
          <w:p w14:paraId="72E0601F" w14:textId="77777777" w:rsidR="000860FB" w:rsidRPr="00D61280" w:rsidRDefault="000860FB" w:rsidP="00B65292">
            <w:pPr>
              <w:spacing w:after="0" w:line="240" w:lineRule="auto"/>
              <w:rPr>
                <w:rFonts w:cstheme="minorHAnsi"/>
                <w:b/>
                <w:color w:val="000000" w:themeColor="text1"/>
                <w:sz w:val="22"/>
              </w:rPr>
            </w:pPr>
          </w:p>
        </w:tc>
        <w:tc>
          <w:tcPr>
            <w:tcW w:w="999" w:type="dxa"/>
            <w:shd w:val="clear" w:color="auto" w:fill="F2F2F2" w:themeFill="background1" w:themeFillShade="F2"/>
            <w:vAlign w:val="center"/>
          </w:tcPr>
          <w:p w14:paraId="24D471D6" w14:textId="77777777" w:rsidR="000860FB" w:rsidRPr="00D61280" w:rsidRDefault="000860FB" w:rsidP="00B65292">
            <w:pPr>
              <w:pStyle w:val="ListParagraph"/>
              <w:spacing w:after="0" w:line="240" w:lineRule="auto"/>
              <w:ind w:left="0"/>
              <w:contextualSpacing w:val="0"/>
              <w:jc w:val="center"/>
              <w:rPr>
                <w:rFonts w:cstheme="minorHAnsi"/>
                <w:b/>
                <w:color w:val="000000" w:themeColor="text1"/>
                <w:sz w:val="22"/>
              </w:rPr>
            </w:pPr>
            <w:r w:rsidRPr="00D61280">
              <w:rPr>
                <w:rFonts w:cstheme="minorHAnsi"/>
                <w:b/>
                <w:color w:val="000000" w:themeColor="text1"/>
                <w:sz w:val="22"/>
              </w:rPr>
              <w:t>2020</w:t>
            </w:r>
            <w:r w:rsidRPr="00D61280">
              <w:rPr>
                <w:rStyle w:val="FootnoteReference"/>
                <w:rFonts w:cstheme="minorHAnsi"/>
                <w:b/>
                <w:color w:val="000000" w:themeColor="text1"/>
                <w:sz w:val="22"/>
              </w:rPr>
              <w:footnoteReference w:id="9"/>
            </w:r>
          </w:p>
        </w:tc>
        <w:tc>
          <w:tcPr>
            <w:tcW w:w="967" w:type="dxa"/>
            <w:shd w:val="clear" w:color="auto" w:fill="F2F2F2" w:themeFill="background1" w:themeFillShade="F2"/>
            <w:vAlign w:val="center"/>
          </w:tcPr>
          <w:p w14:paraId="051FD9DD" w14:textId="77777777" w:rsidR="000860FB" w:rsidRPr="00D61280" w:rsidRDefault="000860FB" w:rsidP="00B65292">
            <w:pPr>
              <w:pStyle w:val="ListParagraph"/>
              <w:spacing w:after="0" w:line="240" w:lineRule="auto"/>
              <w:ind w:left="0"/>
              <w:contextualSpacing w:val="0"/>
              <w:jc w:val="center"/>
              <w:rPr>
                <w:rFonts w:cstheme="minorHAnsi"/>
                <w:b/>
                <w:color w:val="000000" w:themeColor="text1"/>
                <w:sz w:val="22"/>
              </w:rPr>
            </w:pPr>
            <w:r w:rsidRPr="00D61280">
              <w:rPr>
                <w:rFonts w:cstheme="minorHAnsi"/>
                <w:b/>
                <w:color w:val="000000" w:themeColor="text1"/>
                <w:sz w:val="22"/>
              </w:rPr>
              <w:t>2030</w:t>
            </w:r>
            <w:r w:rsidRPr="00D61280">
              <w:rPr>
                <w:rStyle w:val="FootnoteReference"/>
                <w:rFonts w:cstheme="minorHAnsi"/>
                <w:b/>
                <w:color w:val="000000" w:themeColor="text1"/>
                <w:sz w:val="22"/>
              </w:rPr>
              <w:footnoteReference w:id="10"/>
            </w:r>
          </w:p>
        </w:tc>
        <w:tc>
          <w:tcPr>
            <w:tcW w:w="1057" w:type="dxa"/>
            <w:shd w:val="clear" w:color="auto" w:fill="F2F2F2" w:themeFill="background1" w:themeFillShade="F2"/>
            <w:vAlign w:val="center"/>
          </w:tcPr>
          <w:p w14:paraId="39DA23B1" w14:textId="77777777" w:rsidR="000860FB" w:rsidRPr="00D61280" w:rsidRDefault="000860FB" w:rsidP="00B65292">
            <w:pPr>
              <w:spacing w:after="0" w:line="240" w:lineRule="auto"/>
              <w:jc w:val="center"/>
              <w:rPr>
                <w:rFonts w:cstheme="minorHAnsi"/>
                <w:b/>
                <w:color w:val="000000" w:themeColor="text1"/>
                <w:sz w:val="22"/>
              </w:rPr>
            </w:pPr>
            <w:r w:rsidRPr="00D61280">
              <w:rPr>
                <w:rFonts w:cstheme="minorHAnsi"/>
                <w:b/>
                <w:color w:val="000000" w:themeColor="text1"/>
                <w:sz w:val="22"/>
              </w:rPr>
              <w:t>2017</w:t>
            </w:r>
          </w:p>
        </w:tc>
        <w:tc>
          <w:tcPr>
            <w:tcW w:w="1100" w:type="dxa"/>
            <w:shd w:val="clear" w:color="auto" w:fill="F2F2F2" w:themeFill="background1" w:themeFillShade="F2"/>
            <w:vAlign w:val="center"/>
          </w:tcPr>
          <w:p w14:paraId="00980B61" w14:textId="77777777" w:rsidR="000860FB" w:rsidRPr="00D61280" w:rsidRDefault="000860FB" w:rsidP="00B65292">
            <w:pPr>
              <w:spacing w:after="0" w:line="240" w:lineRule="auto"/>
              <w:jc w:val="center"/>
              <w:rPr>
                <w:rFonts w:cstheme="minorHAnsi"/>
                <w:b/>
                <w:color w:val="000000" w:themeColor="text1"/>
                <w:sz w:val="22"/>
              </w:rPr>
            </w:pPr>
            <w:r w:rsidRPr="00D61280">
              <w:rPr>
                <w:rFonts w:cstheme="minorHAnsi"/>
                <w:b/>
                <w:color w:val="000000" w:themeColor="text1"/>
                <w:sz w:val="22"/>
              </w:rPr>
              <w:t>2020</w:t>
            </w:r>
          </w:p>
        </w:tc>
        <w:tc>
          <w:tcPr>
            <w:tcW w:w="1009" w:type="dxa"/>
            <w:shd w:val="clear" w:color="auto" w:fill="F2F2F2" w:themeFill="background1" w:themeFillShade="F2"/>
            <w:vAlign w:val="center"/>
          </w:tcPr>
          <w:p w14:paraId="63F9460D" w14:textId="77777777" w:rsidR="000860FB" w:rsidRPr="00D61280" w:rsidRDefault="000860FB" w:rsidP="00B65292">
            <w:pPr>
              <w:spacing w:after="0" w:line="240" w:lineRule="auto"/>
              <w:jc w:val="center"/>
              <w:rPr>
                <w:rFonts w:cstheme="minorHAnsi"/>
                <w:b/>
                <w:color w:val="000000" w:themeColor="text1"/>
                <w:sz w:val="22"/>
              </w:rPr>
            </w:pPr>
            <w:r w:rsidRPr="00D61280">
              <w:rPr>
                <w:rFonts w:cstheme="minorHAnsi"/>
                <w:b/>
                <w:color w:val="000000" w:themeColor="text1"/>
                <w:sz w:val="22"/>
              </w:rPr>
              <w:t>2030</w:t>
            </w:r>
          </w:p>
        </w:tc>
      </w:tr>
      <w:tr w:rsidR="000860FB" w:rsidRPr="00D61280" w14:paraId="4994E87D" w14:textId="77777777" w:rsidTr="00BB768B">
        <w:trPr>
          <w:jc w:val="center"/>
        </w:trPr>
        <w:tc>
          <w:tcPr>
            <w:tcW w:w="4675" w:type="dxa"/>
            <w:vAlign w:val="center"/>
          </w:tcPr>
          <w:p w14:paraId="6818AAEE" w14:textId="77777777" w:rsidR="000860FB" w:rsidRPr="00D61280" w:rsidRDefault="000860FB" w:rsidP="00B65292">
            <w:pPr>
              <w:spacing w:after="0" w:line="240" w:lineRule="auto"/>
              <w:rPr>
                <w:rFonts w:cstheme="minorHAnsi"/>
                <w:color w:val="000000" w:themeColor="text1"/>
                <w:szCs w:val="24"/>
              </w:rPr>
            </w:pPr>
            <w:r w:rsidRPr="00D61280">
              <w:rPr>
                <w:rFonts w:cstheme="minorHAnsi"/>
                <w:color w:val="000000" w:themeColor="text1"/>
                <w:szCs w:val="24"/>
              </w:rPr>
              <w:t>1.1. SEG emisiju samazināšanas mērķis (% pret 1990.g.)</w:t>
            </w:r>
          </w:p>
        </w:tc>
        <w:tc>
          <w:tcPr>
            <w:tcW w:w="999" w:type="dxa"/>
            <w:vAlign w:val="center"/>
          </w:tcPr>
          <w:p w14:paraId="1562665F"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-20</w:t>
            </w:r>
          </w:p>
        </w:tc>
        <w:tc>
          <w:tcPr>
            <w:tcW w:w="967" w:type="dxa"/>
            <w:vAlign w:val="center"/>
          </w:tcPr>
          <w:p w14:paraId="7AFE124A"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-40</w:t>
            </w:r>
          </w:p>
        </w:tc>
        <w:tc>
          <w:tcPr>
            <w:tcW w:w="1057" w:type="dxa"/>
            <w:vAlign w:val="center"/>
          </w:tcPr>
          <w:p w14:paraId="1911D9F7"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-57</w:t>
            </w:r>
          </w:p>
        </w:tc>
        <w:tc>
          <w:tcPr>
            <w:tcW w:w="1100" w:type="dxa"/>
            <w:vAlign w:val="center"/>
          </w:tcPr>
          <w:p w14:paraId="5CE3A05D"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w:t>
            </w:r>
          </w:p>
        </w:tc>
        <w:tc>
          <w:tcPr>
            <w:tcW w:w="1009" w:type="dxa"/>
            <w:shd w:val="clear" w:color="auto" w:fill="auto"/>
            <w:vAlign w:val="center"/>
          </w:tcPr>
          <w:p w14:paraId="238BE9CB" w14:textId="77777777" w:rsidR="000860FB" w:rsidRPr="00D61280" w:rsidRDefault="000860FB" w:rsidP="00B65292">
            <w:pPr>
              <w:spacing w:after="0" w:line="240" w:lineRule="auto"/>
              <w:jc w:val="center"/>
              <w:rPr>
                <w:rFonts w:cstheme="minorHAnsi"/>
                <w:bCs/>
                <w:iCs/>
                <w:color w:val="000000" w:themeColor="text1"/>
                <w:szCs w:val="24"/>
              </w:rPr>
            </w:pPr>
            <w:r w:rsidRPr="00D61280">
              <w:rPr>
                <w:rFonts w:cstheme="minorHAnsi"/>
                <w:bCs/>
                <w:iCs/>
                <w:color w:val="000000" w:themeColor="text1"/>
                <w:szCs w:val="24"/>
              </w:rPr>
              <w:t>-55</w:t>
            </w:r>
          </w:p>
        </w:tc>
      </w:tr>
      <w:tr w:rsidR="000860FB" w:rsidRPr="00D61280" w14:paraId="37A4D4B3" w14:textId="77777777" w:rsidTr="00BB768B">
        <w:trPr>
          <w:jc w:val="center"/>
        </w:trPr>
        <w:tc>
          <w:tcPr>
            <w:tcW w:w="4675" w:type="dxa"/>
            <w:vAlign w:val="center"/>
          </w:tcPr>
          <w:p w14:paraId="70A7D1C8" w14:textId="77777777" w:rsidR="000860FB" w:rsidRPr="00D61280" w:rsidRDefault="000860FB" w:rsidP="00B65292">
            <w:pPr>
              <w:spacing w:after="0" w:line="240" w:lineRule="auto"/>
              <w:rPr>
                <w:rFonts w:cstheme="minorHAnsi"/>
                <w:color w:val="000000" w:themeColor="text1"/>
                <w:szCs w:val="24"/>
              </w:rPr>
            </w:pPr>
            <w:r w:rsidRPr="00D61280">
              <w:rPr>
                <w:rFonts w:cstheme="minorHAnsi"/>
                <w:color w:val="000000" w:themeColor="text1"/>
                <w:szCs w:val="24"/>
              </w:rPr>
              <w:t>1.1.1. Ne-ETS darbības (% pret 2005.g.)</w:t>
            </w:r>
          </w:p>
        </w:tc>
        <w:tc>
          <w:tcPr>
            <w:tcW w:w="999" w:type="dxa"/>
            <w:vAlign w:val="center"/>
          </w:tcPr>
          <w:p w14:paraId="7127E5B5"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-10</w:t>
            </w:r>
          </w:p>
        </w:tc>
        <w:tc>
          <w:tcPr>
            <w:tcW w:w="967" w:type="dxa"/>
            <w:vAlign w:val="center"/>
          </w:tcPr>
          <w:p w14:paraId="22A43AEE"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-30</w:t>
            </w:r>
          </w:p>
        </w:tc>
        <w:tc>
          <w:tcPr>
            <w:tcW w:w="1057" w:type="dxa"/>
            <w:vAlign w:val="center"/>
          </w:tcPr>
          <w:p w14:paraId="638D4240"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+7</w:t>
            </w:r>
          </w:p>
        </w:tc>
        <w:tc>
          <w:tcPr>
            <w:tcW w:w="1100" w:type="dxa"/>
            <w:vAlign w:val="center"/>
          </w:tcPr>
          <w:p w14:paraId="3D3386AA"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+17</w:t>
            </w:r>
          </w:p>
        </w:tc>
        <w:tc>
          <w:tcPr>
            <w:tcW w:w="1009" w:type="dxa"/>
            <w:shd w:val="clear" w:color="auto" w:fill="auto"/>
            <w:vAlign w:val="center"/>
          </w:tcPr>
          <w:p w14:paraId="7CC1F36F"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-6</w:t>
            </w:r>
          </w:p>
        </w:tc>
      </w:tr>
      <w:tr w:rsidR="000860FB" w:rsidRPr="00D61280" w14:paraId="28406D0C" w14:textId="77777777" w:rsidTr="00BB768B">
        <w:trPr>
          <w:jc w:val="center"/>
        </w:trPr>
        <w:tc>
          <w:tcPr>
            <w:tcW w:w="4675" w:type="dxa"/>
            <w:vAlign w:val="center"/>
          </w:tcPr>
          <w:p w14:paraId="29065D3B" w14:textId="56EC5CA8" w:rsidR="000860FB" w:rsidRPr="00D61280" w:rsidRDefault="000860FB" w:rsidP="00B65292">
            <w:pPr>
              <w:spacing w:after="0" w:line="240" w:lineRule="auto"/>
              <w:rPr>
                <w:rFonts w:cstheme="minorHAnsi"/>
                <w:color w:val="000000" w:themeColor="text1"/>
                <w:szCs w:val="24"/>
              </w:rPr>
            </w:pPr>
            <w:r w:rsidRPr="00D61280">
              <w:rPr>
                <w:rFonts w:cstheme="minorHAnsi"/>
                <w:color w:val="000000" w:themeColor="text1"/>
                <w:szCs w:val="24"/>
              </w:rPr>
              <w:t>1.1.2. ZIZIMM uzskaites kategorijas (milj.t.)</w:t>
            </w:r>
          </w:p>
        </w:tc>
        <w:tc>
          <w:tcPr>
            <w:tcW w:w="999" w:type="dxa"/>
            <w:vAlign w:val="center"/>
          </w:tcPr>
          <w:p w14:paraId="74335D0C"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w:t>
            </w:r>
          </w:p>
        </w:tc>
        <w:tc>
          <w:tcPr>
            <w:tcW w:w="967" w:type="dxa"/>
            <w:vAlign w:val="center"/>
          </w:tcPr>
          <w:p w14:paraId="71859389"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0</w:t>
            </w:r>
          </w:p>
        </w:tc>
        <w:tc>
          <w:tcPr>
            <w:tcW w:w="1057" w:type="dxa"/>
            <w:vAlign w:val="center"/>
          </w:tcPr>
          <w:p w14:paraId="5C251FF6"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w:t>
            </w:r>
          </w:p>
        </w:tc>
        <w:tc>
          <w:tcPr>
            <w:tcW w:w="1100" w:type="dxa"/>
            <w:vAlign w:val="center"/>
          </w:tcPr>
          <w:p w14:paraId="174811D0"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0</w:t>
            </w:r>
          </w:p>
        </w:tc>
        <w:tc>
          <w:tcPr>
            <w:tcW w:w="1009" w:type="dxa"/>
            <w:shd w:val="clear" w:color="auto" w:fill="auto"/>
            <w:vAlign w:val="center"/>
          </w:tcPr>
          <w:p w14:paraId="42E00C30" w14:textId="77777777" w:rsidR="000860FB" w:rsidRPr="00D61280" w:rsidRDefault="000860FB" w:rsidP="00B65292">
            <w:pPr>
              <w:spacing w:after="0" w:line="240" w:lineRule="auto"/>
              <w:jc w:val="center"/>
              <w:rPr>
                <w:rFonts w:cstheme="minorHAnsi"/>
                <w:b/>
                <w:color w:val="000000" w:themeColor="text1"/>
                <w:szCs w:val="24"/>
              </w:rPr>
            </w:pPr>
            <w:r w:rsidRPr="00D61280">
              <w:rPr>
                <w:rFonts w:cstheme="minorHAnsi"/>
                <w:b/>
                <w:color w:val="000000" w:themeColor="text1"/>
                <w:szCs w:val="24"/>
              </w:rPr>
              <w:t>-3,1</w:t>
            </w:r>
          </w:p>
        </w:tc>
      </w:tr>
      <w:tr w:rsidR="000860FB" w:rsidRPr="00D61280" w14:paraId="6A557E40" w14:textId="77777777" w:rsidTr="00BB768B">
        <w:trPr>
          <w:jc w:val="center"/>
        </w:trPr>
        <w:tc>
          <w:tcPr>
            <w:tcW w:w="4675" w:type="dxa"/>
            <w:vAlign w:val="center"/>
          </w:tcPr>
          <w:p w14:paraId="4AA43682" w14:textId="77777777" w:rsidR="000860FB" w:rsidRPr="00D61280" w:rsidRDefault="000860FB" w:rsidP="00B65292">
            <w:pPr>
              <w:pStyle w:val="ListParagraph"/>
              <w:spacing w:after="0" w:line="240" w:lineRule="auto"/>
              <w:ind w:left="0"/>
              <w:contextualSpacing w:val="0"/>
              <w:rPr>
                <w:rFonts w:cstheme="minorHAnsi"/>
                <w:bCs/>
                <w:color w:val="000000" w:themeColor="text1"/>
                <w:szCs w:val="24"/>
              </w:rPr>
            </w:pPr>
            <w:r w:rsidRPr="00D61280">
              <w:rPr>
                <w:rFonts w:cstheme="minorHAnsi"/>
                <w:bCs/>
                <w:color w:val="000000" w:themeColor="text1"/>
                <w:szCs w:val="24"/>
              </w:rPr>
              <w:t xml:space="preserve">1.2. Enerģijas, kas ražota no AER īpatsvars </w:t>
            </w:r>
            <w:r w:rsidRPr="00D61280">
              <w:rPr>
                <w:rFonts w:cstheme="minorHAnsi"/>
                <w:color w:val="000000" w:themeColor="text1"/>
                <w:szCs w:val="24"/>
              </w:rPr>
              <w:t xml:space="preserve">enerģijas </w:t>
            </w:r>
            <w:r w:rsidRPr="00D61280">
              <w:rPr>
                <w:rFonts w:cstheme="minorHAnsi"/>
                <w:bCs/>
                <w:color w:val="000000" w:themeColor="text1"/>
                <w:szCs w:val="24"/>
              </w:rPr>
              <w:t xml:space="preserve">bruto </w:t>
            </w:r>
            <w:r w:rsidRPr="00D61280">
              <w:rPr>
                <w:rFonts w:cstheme="minorHAnsi"/>
                <w:color w:val="000000" w:themeColor="text1"/>
                <w:szCs w:val="24"/>
              </w:rPr>
              <w:t>gala patēriņā (%)</w:t>
            </w:r>
          </w:p>
        </w:tc>
        <w:tc>
          <w:tcPr>
            <w:tcW w:w="999" w:type="dxa"/>
            <w:vAlign w:val="center"/>
          </w:tcPr>
          <w:p w14:paraId="18CBE834"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20</w:t>
            </w:r>
          </w:p>
        </w:tc>
        <w:tc>
          <w:tcPr>
            <w:tcW w:w="967" w:type="dxa"/>
            <w:vAlign w:val="center"/>
          </w:tcPr>
          <w:p w14:paraId="6197D799"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32</w:t>
            </w:r>
          </w:p>
        </w:tc>
        <w:tc>
          <w:tcPr>
            <w:tcW w:w="1057" w:type="dxa"/>
            <w:vAlign w:val="center"/>
          </w:tcPr>
          <w:p w14:paraId="6CD7D587"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39</w:t>
            </w:r>
          </w:p>
        </w:tc>
        <w:tc>
          <w:tcPr>
            <w:tcW w:w="1100" w:type="dxa"/>
            <w:vAlign w:val="center"/>
          </w:tcPr>
          <w:p w14:paraId="2F279A13"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40</w:t>
            </w:r>
          </w:p>
        </w:tc>
        <w:tc>
          <w:tcPr>
            <w:tcW w:w="1009" w:type="dxa"/>
            <w:shd w:val="clear" w:color="auto" w:fill="auto"/>
            <w:vAlign w:val="center"/>
          </w:tcPr>
          <w:p w14:paraId="1D4E9276" w14:textId="2524FA11" w:rsidR="000860FB" w:rsidRPr="00D61280" w:rsidRDefault="000860FB" w:rsidP="00B65292">
            <w:pPr>
              <w:spacing w:after="0" w:line="240" w:lineRule="auto"/>
              <w:jc w:val="center"/>
              <w:rPr>
                <w:rFonts w:cstheme="minorHAnsi"/>
                <w:b/>
                <w:iCs/>
                <w:color w:val="000000" w:themeColor="text1"/>
                <w:szCs w:val="24"/>
              </w:rPr>
            </w:pPr>
            <w:r w:rsidRPr="00D61280">
              <w:rPr>
                <w:rFonts w:cstheme="minorHAnsi"/>
                <w:b/>
                <w:iCs/>
                <w:color w:val="000000" w:themeColor="text1"/>
                <w:szCs w:val="24"/>
              </w:rPr>
              <w:t>50</w:t>
            </w:r>
          </w:p>
        </w:tc>
      </w:tr>
      <w:tr w:rsidR="000860FB" w:rsidRPr="00D61280" w14:paraId="60C71B57" w14:textId="77777777" w:rsidTr="00BB768B">
        <w:trPr>
          <w:jc w:val="center"/>
        </w:trPr>
        <w:tc>
          <w:tcPr>
            <w:tcW w:w="4675" w:type="dxa"/>
            <w:vAlign w:val="center"/>
          </w:tcPr>
          <w:p w14:paraId="6CD93EBB" w14:textId="77777777" w:rsidR="000860FB" w:rsidRPr="00D61280" w:rsidRDefault="000860FB" w:rsidP="00B65292">
            <w:pPr>
              <w:pStyle w:val="ListParagraph"/>
              <w:spacing w:after="0" w:line="240" w:lineRule="auto"/>
              <w:ind w:left="0"/>
              <w:contextualSpacing w:val="0"/>
              <w:rPr>
                <w:rFonts w:cstheme="minorHAnsi"/>
                <w:bCs/>
                <w:color w:val="000000" w:themeColor="text1"/>
                <w:szCs w:val="24"/>
              </w:rPr>
            </w:pPr>
            <w:bookmarkStart w:id="13" w:name="_Hlk531876153"/>
            <w:r w:rsidRPr="00D61280">
              <w:rPr>
                <w:rFonts w:cstheme="minorHAnsi"/>
                <w:bCs/>
                <w:color w:val="000000" w:themeColor="text1"/>
                <w:szCs w:val="24"/>
              </w:rPr>
              <w:t xml:space="preserve">1.3. Enerģijas, kas ražota no AER, īpatsvars </w:t>
            </w:r>
            <w:r w:rsidRPr="00D61280">
              <w:rPr>
                <w:rFonts w:cstheme="minorHAnsi"/>
                <w:color w:val="000000" w:themeColor="text1"/>
                <w:szCs w:val="24"/>
              </w:rPr>
              <w:t xml:space="preserve">enerģijas </w:t>
            </w:r>
            <w:r w:rsidRPr="00D61280">
              <w:rPr>
                <w:rFonts w:cstheme="minorHAnsi"/>
                <w:bCs/>
                <w:color w:val="000000" w:themeColor="text1"/>
                <w:szCs w:val="24"/>
              </w:rPr>
              <w:t xml:space="preserve">bruto </w:t>
            </w:r>
            <w:proofErr w:type="spellStart"/>
            <w:r w:rsidRPr="00D61280">
              <w:rPr>
                <w:rFonts w:cstheme="minorHAnsi"/>
                <w:color w:val="000000" w:themeColor="text1"/>
                <w:szCs w:val="24"/>
              </w:rPr>
              <w:t>galapatēriņā</w:t>
            </w:r>
            <w:proofErr w:type="spellEnd"/>
            <w:r w:rsidRPr="00D61280">
              <w:rPr>
                <w:rFonts w:cstheme="minorHAnsi"/>
                <w:color w:val="000000" w:themeColor="text1"/>
                <w:szCs w:val="24"/>
              </w:rPr>
              <w:t xml:space="preserve"> transportā (%)</w:t>
            </w:r>
          </w:p>
        </w:tc>
        <w:tc>
          <w:tcPr>
            <w:tcW w:w="999" w:type="dxa"/>
            <w:vAlign w:val="center"/>
          </w:tcPr>
          <w:p w14:paraId="654871D6"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10</w:t>
            </w:r>
          </w:p>
        </w:tc>
        <w:tc>
          <w:tcPr>
            <w:tcW w:w="967" w:type="dxa"/>
            <w:vAlign w:val="center"/>
          </w:tcPr>
          <w:p w14:paraId="2743F9C8"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14</w:t>
            </w:r>
          </w:p>
        </w:tc>
        <w:tc>
          <w:tcPr>
            <w:tcW w:w="1057" w:type="dxa"/>
            <w:vAlign w:val="center"/>
          </w:tcPr>
          <w:p w14:paraId="1D4A591D"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2,5</w:t>
            </w:r>
          </w:p>
        </w:tc>
        <w:tc>
          <w:tcPr>
            <w:tcW w:w="1100" w:type="dxa"/>
            <w:vAlign w:val="center"/>
          </w:tcPr>
          <w:p w14:paraId="484981D4"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10</w:t>
            </w:r>
          </w:p>
        </w:tc>
        <w:tc>
          <w:tcPr>
            <w:tcW w:w="1009" w:type="dxa"/>
            <w:shd w:val="clear" w:color="auto" w:fill="auto"/>
            <w:vAlign w:val="center"/>
          </w:tcPr>
          <w:p w14:paraId="4706891E" w14:textId="5008BA10" w:rsidR="000860FB" w:rsidRPr="00D61280" w:rsidRDefault="000860FB" w:rsidP="00B65292">
            <w:pPr>
              <w:spacing w:after="0" w:line="240" w:lineRule="auto"/>
              <w:jc w:val="center"/>
              <w:rPr>
                <w:rFonts w:cstheme="minorHAnsi"/>
                <w:b/>
                <w:color w:val="000000" w:themeColor="text1"/>
                <w:szCs w:val="24"/>
              </w:rPr>
            </w:pPr>
            <w:r w:rsidRPr="00D61280">
              <w:rPr>
                <w:rFonts w:cstheme="minorHAnsi"/>
                <w:b/>
                <w:color w:val="000000" w:themeColor="text1"/>
                <w:szCs w:val="24"/>
              </w:rPr>
              <w:t>7</w:t>
            </w:r>
          </w:p>
        </w:tc>
      </w:tr>
      <w:tr w:rsidR="000860FB" w:rsidRPr="00D61280" w14:paraId="7A7436C1" w14:textId="77777777" w:rsidTr="00BB768B">
        <w:trPr>
          <w:jc w:val="center"/>
        </w:trPr>
        <w:tc>
          <w:tcPr>
            <w:tcW w:w="4675" w:type="dxa"/>
            <w:vAlign w:val="center"/>
          </w:tcPr>
          <w:p w14:paraId="5170B178" w14:textId="77777777" w:rsidR="000860FB" w:rsidRPr="00D61280" w:rsidRDefault="000860FB" w:rsidP="00B65292">
            <w:pPr>
              <w:pStyle w:val="ListParagraph"/>
              <w:spacing w:after="0" w:line="240" w:lineRule="auto"/>
              <w:ind w:left="0"/>
              <w:contextualSpacing w:val="0"/>
              <w:rPr>
                <w:rFonts w:cstheme="minorHAnsi"/>
                <w:bCs/>
                <w:color w:val="000000" w:themeColor="text1"/>
                <w:szCs w:val="24"/>
              </w:rPr>
            </w:pPr>
            <w:r w:rsidRPr="00D61280">
              <w:rPr>
                <w:rFonts w:cstheme="minorHAnsi"/>
                <w:bCs/>
                <w:color w:val="000000" w:themeColor="text1"/>
                <w:szCs w:val="24"/>
              </w:rPr>
              <w:t xml:space="preserve">1.4. Moderno biodegvielu īpatsvars enerģijas bruto </w:t>
            </w:r>
            <w:proofErr w:type="spellStart"/>
            <w:r w:rsidRPr="00D61280">
              <w:rPr>
                <w:rFonts w:cstheme="minorHAnsi"/>
                <w:bCs/>
                <w:color w:val="000000" w:themeColor="text1"/>
                <w:szCs w:val="24"/>
              </w:rPr>
              <w:t>galapatēriņā</w:t>
            </w:r>
            <w:proofErr w:type="spellEnd"/>
            <w:r w:rsidRPr="00D61280">
              <w:rPr>
                <w:rFonts w:cstheme="minorHAnsi"/>
                <w:bCs/>
                <w:color w:val="000000" w:themeColor="text1"/>
                <w:szCs w:val="24"/>
              </w:rPr>
              <w:t xml:space="preserve"> transportā (%)</w:t>
            </w:r>
          </w:p>
        </w:tc>
        <w:tc>
          <w:tcPr>
            <w:tcW w:w="999" w:type="dxa"/>
            <w:vAlign w:val="center"/>
          </w:tcPr>
          <w:p w14:paraId="6B5532C4"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w:t>
            </w:r>
          </w:p>
        </w:tc>
        <w:tc>
          <w:tcPr>
            <w:tcW w:w="967" w:type="dxa"/>
            <w:vAlign w:val="center"/>
          </w:tcPr>
          <w:p w14:paraId="3E8971CE"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3,5</w:t>
            </w:r>
          </w:p>
        </w:tc>
        <w:tc>
          <w:tcPr>
            <w:tcW w:w="1057" w:type="dxa"/>
            <w:vAlign w:val="center"/>
          </w:tcPr>
          <w:p w14:paraId="5636EBF8"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0</w:t>
            </w:r>
          </w:p>
        </w:tc>
        <w:tc>
          <w:tcPr>
            <w:tcW w:w="1100" w:type="dxa"/>
            <w:vAlign w:val="center"/>
          </w:tcPr>
          <w:p w14:paraId="14077AC3"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w:t>
            </w:r>
          </w:p>
        </w:tc>
        <w:tc>
          <w:tcPr>
            <w:tcW w:w="1009" w:type="dxa"/>
            <w:shd w:val="clear" w:color="auto" w:fill="auto"/>
            <w:vAlign w:val="center"/>
          </w:tcPr>
          <w:p w14:paraId="7DFD535E"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3,5</w:t>
            </w:r>
          </w:p>
        </w:tc>
      </w:tr>
      <w:tr w:rsidR="000860FB" w:rsidRPr="00D61280" w14:paraId="6ACE73BF" w14:textId="77777777" w:rsidTr="00BB768B">
        <w:trPr>
          <w:jc w:val="center"/>
        </w:trPr>
        <w:tc>
          <w:tcPr>
            <w:tcW w:w="4675" w:type="dxa"/>
            <w:vAlign w:val="center"/>
          </w:tcPr>
          <w:p w14:paraId="6F8A91D6" w14:textId="77777777" w:rsidR="000860FB" w:rsidRPr="00D61280" w:rsidRDefault="000860FB" w:rsidP="00B65292">
            <w:pPr>
              <w:pStyle w:val="ListParagraph"/>
              <w:spacing w:after="0" w:line="240" w:lineRule="auto"/>
              <w:ind w:left="0"/>
              <w:contextualSpacing w:val="0"/>
              <w:rPr>
                <w:rFonts w:cstheme="minorHAnsi"/>
                <w:bCs/>
                <w:color w:val="000000" w:themeColor="text1"/>
                <w:szCs w:val="24"/>
              </w:rPr>
            </w:pPr>
            <w:r w:rsidRPr="00D61280">
              <w:rPr>
                <w:rFonts w:cstheme="minorHAnsi"/>
                <w:bCs/>
                <w:color w:val="000000" w:themeColor="text1"/>
                <w:szCs w:val="24"/>
              </w:rPr>
              <w:t>2. Energoefektivitātes pieaugums (%)</w:t>
            </w:r>
          </w:p>
        </w:tc>
        <w:tc>
          <w:tcPr>
            <w:tcW w:w="999" w:type="dxa"/>
            <w:vAlign w:val="center"/>
          </w:tcPr>
          <w:p w14:paraId="3209B0DC"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20</w:t>
            </w:r>
          </w:p>
        </w:tc>
        <w:tc>
          <w:tcPr>
            <w:tcW w:w="967" w:type="dxa"/>
            <w:vAlign w:val="center"/>
          </w:tcPr>
          <w:p w14:paraId="38D2B3FA"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32,5</w:t>
            </w:r>
          </w:p>
        </w:tc>
        <w:tc>
          <w:tcPr>
            <w:tcW w:w="1057" w:type="dxa"/>
            <w:vAlign w:val="center"/>
          </w:tcPr>
          <w:p w14:paraId="293C8A19"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w:t>
            </w:r>
          </w:p>
        </w:tc>
        <w:tc>
          <w:tcPr>
            <w:tcW w:w="1100" w:type="dxa"/>
            <w:vAlign w:val="center"/>
          </w:tcPr>
          <w:p w14:paraId="128AB71A"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w:t>
            </w:r>
          </w:p>
        </w:tc>
        <w:tc>
          <w:tcPr>
            <w:tcW w:w="1009" w:type="dxa"/>
            <w:shd w:val="clear" w:color="auto" w:fill="auto"/>
            <w:vAlign w:val="center"/>
          </w:tcPr>
          <w:p w14:paraId="6E9F2800" w14:textId="77777777" w:rsidR="000860FB" w:rsidRPr="00D61280" w:rsidRDefault="000860FB" w:rsidP="00B65292">
            <w:pPr>
              <w:spacing w:after="0" w:line="240" w:lineRule="auto"/>
              <w:jc w:val="center"/>
              <w:rPr>
                <w:rFonts w:cstheme="minorHAnsi"/>
                <w:b/>
                <w:color w:val="000000" w:themeColor="text1"/>
                <w:szCs w:val="24"/>
              </w:rPr>
            </w:pPr>
            <w:r w:rsidRPr="00D61280">
              <w:rPr>
                <w:rFonts w:cstheme="minorHAnsi"/>
                <w:b/>
                <w:color w:val="000000" w:themeColor="text1"/>
                <w:szCs w:val="24"/>
              </w:rPr>
              <w:t>-</w:t>
            </w:r>
          </w:p>
        </w:tc>
      </w:tr>
      <w:tr w:rsidR="000860FB" w:rsidRPr="00D61280" w14:paraId="7EA68AB9" w14:textId="77777777" w:rsidTr="00BB768B">
        <w:trPr>
          <w:jc w:val="center"/>
        </w:trPr>
        <w:tc>
          <w:tcPr>
            <w:tcW w:w="4675" w:type="dxa"/>
            <w:vAlign w:val="center"/>
          </w:tcPr>
          <w:p w14:paraId="53B96B7A" w14:textId="3C6F7A6C" w:rsidR="000860FB" w:rsidRPr="00D61280" w:rsidRDefault="000860FB" w:rsidP="00B65292">
            <w:pPr>
              <w:pStyle w:val="ListParagraph"/>
              <w:spacing w:after="0" w:line="240" w:lineRule="auto"/>
              <w:ind w:left="0"/>
              <w:contextualSpacing w:val="0"/>
              <w:rPr>
                <w:rFonts w:cstheme="minorHAnsi"/>
                <w:color w:val="000000" w:themeColor="text1"/>
                <w:szCs w:val="24"/>
              </w:rPr>
            </w:pPr>
            <w:r w:rsidRPr="00D61280">
              <w:rPr>
                <w:rFonts w:cstheme="minorHAnsi"/>
                <w:color w:val="000000" w:themeColor="text1"/>
                <w:szCs w:val="24"/>
              </w:rPr>
              <w:t>2.1. Valsts obligātais mērķis – uzkrātais gala enerģijas ietaupījums (</w:t>
            </w:r>
            <w:proofErr w:type="spellStart"/>
            <w:r w:rsidRPr="00D61280">
              <w:rPr>
                <w:rFonts w:cstheme="minorHAnsi"/>
                <w:color w:val="000000" w:themeColor="text1"/>
                <w:szCs w:val="24"/>
              </w:rPr>
              <w:t>Mtoe</w:t>
            </w:r>
            <w:proofErr w:type="spellEnd"/>
            <w:r w:rsidRPr="00D61280">
              <w:rPr>
                <w:rFonts w:cstheme="minorHAnsi"/>
                <w:color w:val="000000" w:themeColor="text1"/>
                <w:szCs w:val="24"/>
              </w:rPr>
              <w:t>)</w:t>
            </w:r>
          </w:p>
        </w:tc>
        <w:tc>
          <w:tcPr>
            <w:tcW w:w="999" w:type="dxa"/>
            <w:vAlign w:val="center"/>
          </w:tcPr>
          <w:p w14:paraId="0B5D0595"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w:t>
            </w:r>
          </w:p>
        </w:tc>
        <w:tc>
          <w:tcPr>
            <w:tcW w:w="967" w:type="dxa"/>
            <w:vAlign w:val="center"/>
          </w:tcPr>
          <w:p w14:paraId="0AABEBF1"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w:t>
            </w:r>
          </w:p>
        </w:tc>
        <w:tc>
          <w:tcPr>
            <w:tcW w:w="1057" w:type="dxa"/>
            <w:vAlign w:val="center"/>
          </w:tcPr>
          <w:p w14:paraId="5B47C55D"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0,45</w:t>
            </w:r>
          </w:p>
        </w:tc>
        <w:tc>
          <w:tcPr>
            <w:tcW w:w="1100" w:type="dxa"/>
            <w:vAlign w:val="center"/>
          </w:tcPr>
          <w:p w14:paraId="6B6B62F1"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0,85</w:t>
            </w:r>
          </w:p>
        </w:tc>
        <w:tc>
          <w:tcPr>
            <w:tcW w:w="1009" w:type="dxa"/>
            <w:shd w:val="clear" w:color="auto" w:fill="auto"/>
            <w:vAlign w:val="center"/>
          </w:tcPr>
          <w:p w14:paraId="11BF9AE9" w14:textId="65A0643F" w:rsidR="000860FB" w:rsidRPr="00D61280" w:rsidRDefault="000860FB" w:rsidP="00B65292">
            <w:pPr>
              <w:spacing w:after="0" w:line="240" w:lineRule="auto"/>
              <w:jc w:val="center"/>
              <w:rPr>
                <w:rFonts w:cstheme="minorHAnsi"/>
                <w:b/>
                <w:iCs/>
                <w:color w:val="000000" w:themeColor="text1"/>
                <w:szCs w:val="24"/>
              </w:rPr>
            </w:pPr>
            <w:r w:rsidRPr="00D61280">
              <w:rPr>
                <w:rFonts w:cstheme="minorHAnsi"/>
                <w:b/>
                <w:iCs/>
                <w:szCs w:val="24"/>
              </w:rPr>
              <w:t>1,76</w:t>
            </w:r>
          </w:p>
        </w:tc>
      </w:tr>
      <w:bookmarkEnd w:id="11"/>
      <w:bookmarkEnd w:id="13"/>
      <w:tr w:rsidR="000860FB" w:rsidRPr="00D61280" w14:paraId="16384EA9" w14:textId="77777777" w:rsidTr="00BB768B">
        <w:trPr>
          <w:jc w:val="center"/>
        </w:trPr>
        <w:tc>
          <w:tcPr>
            <w:tcW w:w="4675" w:type="dxa"/>
            <w:vAlign w:val="center"/>
          </w:tcPr>
          <w:p w14:paraId="5624D03E" w14:textId="0BE0CA30" w:rsidR="000860FB" w:rsidRPr="00D61280" w:rsidRDefault="000860FB" w:rsidP="00B65292">
            <w:pPr>
              <w:pStyle w:val="ListParagraph"/>
              <w:spacing w:after="0" w:line="240" w:lineRule="auto"/>
              <w:ind w:left="0"/>
              <w:contextualSpacing w:val="0"/>
              <w:rPr>
                <w:rFonts w:cstheme="minorHAnsi"/>
                <w:color w:val="000000" w:themeColor="text1"/>
                <w:szCs w:val="24"/>
              </w:rPr>
            </w:pPr>
            <w:r w:rsidRPr="00D61280">
              <w:rPr>
                <w:rFonts w:eastAsia="Calibri" w:cstheme="minorHAnsi"/>
                <w:color w:val="000000" w:themeColor="text1"/>
                <w:szCs w:val="24"/>
              </w:rPr>
              <w:lastRenderedPageBreak/>
              <w:t xml:space="preserve">2.2. Ēku atjaunošanas mērķis (kopā renovēti, </w:t>
            </w:r>
            <w:r w:rsidRPr="00D61280">
              <w:rPr>
                <w:rFonts w:cstheme="minorHAnsi"/>
                <w:color w:val="000000" w:themeColor="text1"/>
                <w:szCs w:val="24"/>
              </w:rPr>
              <w:t>m</w:t>
            </w:r>
            <w:r w:rsidRPr="00D61280">
              <w:rPr>
                <w:rFonts w:cstheme="minorHAnsi"/>
                <w:color w:val="000000" w:themeColor="text1"/>
                <w:szCs w:val="24"/>
                <w:vertAlign w:val="superscript"/>
              </w:rPr>
              <w:t>2</w:t>
            </w:r>
            <w:r w:rsidRPr="00D61280">
              <w:rPr>
                <w:rFonts w:cstheme="minorHAnsi"/>
                <w:color w:val="000000" w:themeColor="text1"/>
                <w:szCs w:val="24"/>
              </w:rPr>
              <w:t>)</w:t>
            </w:r>
          </w:p>
        </w:tc>
        <w:tc>
          <w:tcPr>
            <w:tcW w:w="999" w:type="dxa"/>
            <w:vAlign w:val="center"/>
          </w:tcPr>
          <w:p w14:paraId="5D55D03C"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w:t>
            </w:r>
          </w:p>
        </w:tc>
        <w:tc>
          <w:tcPr>
            <w:tcW w:w="967" w:type="dxa"/>
            <w:vAlign w:val="center"/>
          </w:tcPr>
          <w:p w14:paraId="40227559"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w:t>
            </w:r>
          </w:p>
        </w:tc>
        <w:tc>
          <w:tcPr>
            <w:tcW w:w="1057" w:type="dxa"/>
            <w:vAlign w:val="center"/>
          </w:tcPr>
          <w:p w14:paraId="6D4DF4D8" w14:textId="0A94F4E8" w:rsidR="000860FB" w:rsidRPr="00D61280" w:rsidRDefault="000860FB" w:rsidP="00B65292">
            <w:pPr>
              <w:spacing w:after="0" w:line="240" w:lineRule="auto"/>
              <w:jc w:val="center"/>
              <w:rPr>
                <w:rFonts w:cstheme="minorHAnsi"/>
                <w:bCs/>
                <w:color w:val="000000" w:themeColor="text1"/>
                <w:szCs w:val="24"/>
              </w:rPr>
            </w:pPr>
            <w:r w:rsidRPr="00D61280">
              <w:rPr>
                <w:rFonts w:cstheme="minorHAnsi"/>
                <w:color w:val="000000" w:themeColor="text1"/>
                <w:szCs w:val="24"/>
              </w:rPr>
              <w:t>398 707</w:t>
            </w:r>
          </w:p>
        </w:tc>
        <w:tc>
          <w:tcPr>
            <w:tcW w:w="1100" w:type="dxa"/>
            <w:vAlign w:val="center"/>
          </w:tcPr>
          <w:p w14:paraId="62B6EEE3"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678 460</w:t>
            </w:r>
          </w:p>
        </w:tc>
        <w:tc>
          <w:tcPr>
            <w:tcW w:w="1009" w:type="dxa"/>
            <w:shd w:val="clear" w:color="auto" w:fill="auto"/>
            <w:vAlign w:val="center"/>
          </w:tcPr>
          <w:p w14:paraId="1EF77460" w14:textId="4DF8D4FA" w:rsidR="000860FB" w:rsidRPr="00D61280" w:rsidRDefault="000860FB" w:rsidP="00B65292">
            <w:pPr>
              <w:spacing w:after="0" w:line="240" w:lineRule="auto"/>
              <w:jc w:val="center"/>
              <w:rPr>
                <w:rFonts w:cstheme="minorHAnsi"/>
                <w:b/>
                <w:iCs/>
                <w:color w:val="000000" w:themeColor="text1"/>
                <w:szCs w:val="24"/>
              </w:rPr>
            </w:pPr>
            <w:r w:rsidRPr="00D61280">
              <w:rPr>
                <w:rFonts w:cstheme="minorHAnsi"/>
                <w:b/>
                <w:iCs/>
                <w:color w:val="000000" w:themeColor="text1"/>
                <w:szCs w:val="24"/>
              </w:rPr>
              <w:t>500 000</w:t>
            </w:r>
          </w:p>
        </w:tc>
      </w:tr>
      <w:tr w:rsidR="000860FB" w:rsidRPr="00D61280" w14:paraId="23741E1D" w14:textId="77777777" w:rsidTr="00BB768B">
        <w:trPr>
          <w:jc w:val="center"/>
        </w:trPr>
        <w:tc>
          <w:tcPr>
            <w:tcW w:w="4675" w:type="dxa"/>
            <w:vAlign w:val="center"/>
          </w:tcPr>
          <w:p w14:paraId="27DFA67B" w14:textId="65102319" w:rsidR="000860FB" w:rsidRPr="00D61280" w:rsidRDefault="000860FB" w:rsidP="00B65292">
            <w:pPr>
              <w:pStyle w:val="ListParagraph"/>
              <w:spacing w:after="0" w:line="240" w:lineRule="auto"/>
              <w:ind w:left="0"/>
              <w:contextualSpacing w:val="0"/>
              <w:rPr>
                <w:rFonts w:cstheme="minorHAnsi"/>
                <w:b/>
                <w:color w:val="000000" w:themeColor="text1"/>
                <w:szCs w:val="24"/>
              </w:rPr>
            </w:pPr>
            <w:r w:rsidRPr="00D61280">
              <w:rPr>
                <w:rFonts w:cstheme="minorHAnsi"/>
                <w:color w:val="000000" w:themeColor="text1"/>
                <w:szCs w:val="24"/>
              </w:rPr>
              <w:t xml:space="preserve">3. Importa īpatsvars bruto iekšzemes enerģijas patēriņā (t.sk. </w:t>
            </w:r>
            <w:proofErr w:type="spellStart"/>
            <w:r w:rsidRPr="00D61280">
              <w:rPr>
                <w:rFonts w:cstheme="minorHAnsi"/>
                <w:color w:val="000000" w:themeColor="text1"/>
                <w:szCs w:val="24"/>
              </w:rPr>
              <w:t>bunkurēšana</w:t>
            </w:r>
            <w:proofErr w:type="spellEnd"/>
            <w:r w:rsidRPr="00D61280">
              <w:rPr>
                <w:rFonts w:cstheme="minorHAnsi"/>
                <w:color w:val="000000" w:themeColor="text1"/>
                <w:szCs w:val="24"/>
              </w:rPr>
              <w:t>) (%)</w:t>
            </w:r>
          </w:p>
        </w:tc>
        <w:tc>
          <w:tcPr>
            <w:tcW w:w="999" w:type="dxa"/>
            <w:vAlign w:val="center"/>
          </w:tcPr>
          <w:p w14:paraId="4A0297DF"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w:t>
            </w:r>
          </w:p>
        </w:tc>
        <w:tc>
          <w:tcPr>
            <w:tcW w:w="967" w:type="dxa"/>
            <w:vAlign w:val="center"/>
          </w:tcPr>
          <w:p w14:paraId="60892206"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w:t>
            </w:r>
          </w:p>
        </w:tc>
        <w:tc>
          <w:tcPr>
            <w:tcW w:w="1057" w:type="dxa"/>
            <w:vAlign w:val="center"/>
          </w:tcPr>
          <w:p w14:paraId="61A27FDE" w14:textId="7FCCE570"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44,1</w:t>
            </w:r>
          </w:p>
        </w:tc>
        <w:tc>
          <w:tcPr>
            <w:tcW w:w="1100" w:type="dxa"/>
            <w:vAlign w:val="center"/>
          </w:tcPr>
          <w:p w14:paraId="321040BD"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44,1</w:t>
            </w:r>
          </w:p>
        </w:tc>
        <w:tc>
          <w:tcPr>
            <w:tcW w:w="1009" w:type="dxa"/>
            <w:shd w:val="clear" w:color="auto" w:fill="auto"/>
            <w:vAlign w:val="center"/>
          </w:tcPr>
          <w:p w14:paraId="34906B60" w14:textId="5BA12616" w:rsidR="000860FB" w:rsidRPr="00D61280" w:rsidRDefault="000860FB" w:rsidP="00B65292">
            <w:pPr>
              <w:spacing w:after="0" w:line="240" w:lineRule="auto"/>
              <w:jc w:val="center"/>
              <w:rPr>
                <w:rFonts w:cstheme="minorHAnsi"/>
                <w:b/>
                <w:iCs/>
                <w:color w:val="000000" w:themeColor="text1"/>
                <w:szCs w:val="24"/>
              </w:rPr>
            </w:pPr>
            <w:r w:rsidRPr="00D61280">
              <w:rPr>
                <w:rFonts w:cstheme="minorHAnsi"/>
                <w:b/>
                <w:iCs/>
                <w:color w:val="000000" w:themeColor="text1"/>
                <w:szCs w:val="24"/>
              </w:rPr>
              <w:t>30-40</w:t>
            </w:r>
          </w:p>
        </w:tc>
      </w:tr>
      <w:tr w:rsidR="000860FB" w:rsidRPr="00D61280" w14:paraId="08AE540C" w14:textId="77777777" w:rsidTr="00BB768B">
        <w:trPr>
          <w:jc w:val="center"/>
        </w:trPr>
        <w:tc>
          <w:tcPr>
            <w:tcW w:w="4675" w:type="dxa"/>
            <w:vAlign w:val="center"/>
          </w:tcPr>
          <w:p w14:paraId="38B40904" w14:textId="4B5D5376" w:rsidR="000860FB" w:rsidRPr="00D61280" w:rsidRDefault="000860FB" w:rsidP="00B65292">
            <w:pPr>
              <w:pStyle w:val="ListParagraph"/>
              <w:spacing w:after="0" w:line="240" w:lineRule="auto"/>
              <w:ind w:left="0"/>
              <w:contextualSpacing w:val="0"/>
              <w:rPr>
                <w:rFonts w:cstheme="minorHAnsi"/>
                <w:color w:val="000000" w:themeColor="text1"/>
                <w:szCs w:val="24"/>
              </w:rPr>
            </w:pPr>
            <w:r w:rsidRPr="00D61280">
              <w:rPr>
                <w:rFonts w:cstheme="minorHAnsi"/>
                <w:color w:val="000000" w:themeColor="text1"/>
                <w:szCs w:val="24"/>
              </w:rPr>
              <w:t xml:space="preserve">4. </w:t>
            </w:r>
            <w:proofErr w:type="spellStart"/>
            <w:r w:rsidRPr="00D61280">
              <w:rPr>
                <w:rFonts w:cstheme="minorHAnsi"/>
                <w:color w:val="000000" w:themeColor="text1"/>
                <w:szCs w:val="24"/>
              </w:rPr>
              <w:t>Starpsavienojumu</w:t>
            </w:r>
            <w:proofErr w:type="spellEnd"/>
            <w:r w:rsidRPr="00D61280">
              <w:rPr>
                <w:rFonts w:cstheme="minorHAnsi"/>
                <w:color w:val="000000" w:themeColor="text1"/>
                <w:szCs w:val="24"/>
              </w:rPr>
              <w:t xml:space="preserve"> jauda (% pret uzstādīto ģenerējošo jaudu)</w:t>
            </w:r>
          </w:p>
        </w:tc>
        <w:tc>
          <w:tcPr>
            <w:tcW w:w="999" w:type="dxa"/>
            <w:vAlign w:val="center"/>
          </w:tcPr>
          <w:p w14:paraId="6DCAA70E"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10</w:t>
            </w:r>
          </w:p>
        </w:tc>
        <w:tc>
          <w:tcPr>
            <w:tcW w:w="967" w:type="dxa"/>
            <w:vAlign w:val="center"/>
          </w:tcPr>
          <w:p w14:paraId="1277C4AA" w14:textId="77777777" w:rsidR="000860FB" w:rsidRPr="00D61280" w:rsidRDefault="000860FB" w:rsidP="00B65292">
            <w:pPr>
              <w:pStyle w:val="ListParagraph"/>
              <w:spacing w:after="0" w:line="240" w:lineRule="auto"/>
              <w:ind w:left="0"/>
              <w:contextualSpacing w:val="0"/>
              <w:jc w:val="center"/>
              <w:rPr>
                <w:rFonts w:cstheme="minorHAnsi"/>
                <w:bCs/>
                <w:color w:val="000000" w:themeColor="text1"/>
                <w:szCs w:val="24"/>
              </w:rPr>
            </w:pPr>
            <w:r w:rsidRPr="00D61280">
              <w:rPr>
                <w:rFonts w:cstheme="minorHAnsi"/>
                <w:bCs/>
                <w:color w:val="000000" w:themeColor="text1"/>
                <w:szCs w:val="24"/>
              </w:rPr>
              <w:t>15</w:t>
            </w:r>
          </w:p>
        </w:tc>
        <w:tc>
          <w:tcPr>
            <w:tcW w:w="1057" w:type="dxa"/>
            <w:vAlign w:val="center"/>
          </w:tcPr>
          <w:p w14:paraId="4E5E5E6E" w14:textId="139F485C" w:rsidR="000860FB" w:rsidRPr="00D61280" w:rsidRDefault="000860FB" w:rsidP="00B65292">
            <w:pPr>
              <w:spacing w:after="0" w:line="240" w:lineRule="auto"/>
              <w:jc w:val="center"/>
              <w:rPr>
                <w:rFonts w:cstheme="minorHAnsi"/>
                <w:b/>
                <w:color w:val="000000" w:themeColor="text1"/>
                <w:szCs w:val="24"/>
              </w:rPr>
            </w:pPr>
            <w:r w:rsidRPr="00D61280">
              <w:rPr>
                <w:rFonts w:cstheme="minorHAnsi"/>
                <w:b/>
                <w:color w:val="000000" w:themeColor="text1"/>
                <w:szCs w:val="24"/>
              </w:rPr>
              <w:t>60</w:t>
            </w:r>
          </w:p>
        </w:tc>
        <w:tc>
          <w:tcPr>
            <w:tcW w:w="1100" w:type="dxa"/>
            <w:vAlign w:val="center"/>
          </w:tcPr>
          <w:p w14:paraId="15597210" w14:textId="77777777"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10</w:t>
            </w:r>
          </w:p>
        </w:tc>
        <w:tc>
          <w:tcPr>
            <w:tcW w:w="1009" w:type="dxa"/>
            <w:shd w:val="clear" w:color="auto" w:fill="auto"/>
            <w:vAlign w:val="center"/>
          </w:tcPr>
          <w:p w14:paraId="237989F5" w14:textId="7F8296E7" w:rsidR="000860FB" w:rsidRPr="00D61280" w:rsidRDefault="000860FB" w:rsidP="00B65292">
            <w:pPr>
              <w:spacing w:after="0" w:line="240" w:lineRule="auto"/>
              <w:jc w:val="center"/>
              <w:rPr>
                <w:rFonts w:cstheme="minorHAnsi"/>
                <w:b/>
                <w:color w:val="000000" w:themeColor="text1"/>
                <w:szCs w:val="24"/>
              </w:rPr>
            </w:pPr>
            <w:r w:rsidRPr="00D61280">
              <w:rPr>
                <w:rFonts w:cstheme="minorHAnsi"/>
                <w:b/>
                <w:color w:val="000000" w:themeColor="text1"/>
                <w:szCs w:val="24"/>
              </w:rPr>
              <w:t>60</w:t>
            </w:r>
          </w:p>
        </w:tc>
      </w:tr>
      <w:tr w:rsidR="000860FB" w:rsidRPr="00D61280" w14:paraId="1819AC7B" w14:textId="77777777" w:rsidTr="00BB768B">
        <w:trPr>
          <w:jc w:val="center"/>
        </w:trPr>
        <w:tc>
          <w:tcPr>
            <w:tcW w:w="4675" w:type="dxa"/>
            <w:vAlign w:val="center"/>
          </w:tcPr>
          <w:p w14:paraId="7ED3761D" w14:textId="1B75C022" w:rsidR="000860FB" w:rsidRPr="00D61280" w:rsidRDefault="000860FB" w:rsidP="00B65292">
            <w:pPr>
              <w:pStyle w:val="ListParagraph"/>
              <w:spacing w:after="0" w:line="240" w:lineRule="auto"/>
              <w:ind w:left="0"/>
              <w:contextualSpacing w:val="0"/>
              <w:rPr>
                <w:rFonts w:cstheme="minorHAnsi"/>
                <w:color w:val="000000" w:themeColor="text1"/>
                <w:szCs w:val="24"/>
              </w:rPr>
            </w:pPr>
            <w:r w:rsidRPr="00D61280">
              <w:rPr>
                <w:rFonts w:cstheme="minorHAnsi"/>
                <w:color w:val="000000" w:themeColor="text1"/>
                <w:szCs w:val="24"/>
              </w:rPr>
              <w:t>5.1. Ieguldījumi P&amp;A (% no IKP)</w:t>
            </w:r>
          </w:p>
        </w:tc>
        <w:tc>
          <w:tcPr>
            <w:tcW w:w="999" w:type="dxa"/>
            <w:vAlign w:val="center"/>
          </w:tcPr>
          <w:p w14:paraId="116731DF" w14:textId="6194D084" w:rsidR="000860FB" w:rsidRPr="00AC142E" w:rsidRDefault="000860FB" w:rsidP="00B65292">
            <w:pPr>
              <w:pStyle w:val="ListParagraph"/>
              <w:spacing w:after="0" w:line="240" w:lineRule="auto"/>
              <w:ind w:left="0"/>
              <w:contextualSpacing w:val="0"/>
              <w:jc w:val="center"/>
              <w:rPr>
                <w:rFonts w:cstheme="minorHAnsi"/>
                <w:bCs/>
                <w:color w:val="000000" w:themeColor="text1"/>
                <w:szCs w:val="24"/>
              </w:rPr>
            </w:pPr>
            <w:r w:rsidRPr="00AC142E">
              <w:rPr>
                <w:rFonts w:cstheme="minorHAnsi"/>
                <w:bCs/>
                <w:color w:val="000000" w:themeColor="text1"/>
                <w:szCs w:val="24"/>
              </w:rPr>
              <w:t>-</w:t>
            </w:r>
          </w:p>
        </w:tc>
        <w:tc>
          <w:tcPr>
            <w:tcW w:w="967" w:type="dxa"/>
            <w:vAlign w:val="center"/>
          </w:tcPr>
          <w:p w14:paraId="3EF0EAE3" w14:textId="2510420E" w:rsidR="000860FB" w:rsidRPr="00AC142E" w:rsidRDefault="000860FB" w:rsidP="00B65292">
            <w:pPr>
              <w:pStyle w:val="ListParagraph"/>
              <w:spacing w:after="0" w:line="240" w:lineRule="auto"/>
              <w:ind w:left="0"/>
              <w:contextualSpacing w:val="0"/>
              <w:jc w:val="center"/>
              <w:rPr>
                <w:rFonts w:cstheme="minorHAnsi"/>
                <w:bCs/>
                <w:color w:val="000000" w:themeColor="text1"/>
                <w:szCs w:val="24"/>
              </w:rPr>
            </w:pPr>
            <w:r w:rsidRPr="00AC142E">
              <w:rPr>
                <w:rFonts w:cstheme="minorHAnsi"/>
                <w:bCs/>
                <w:color w:val="000000" w:themeColor="text1"/>
                <w:szCs w:val="24"/>
              </w:rPr>
              <w:t>-</w:t>
            </w:r>
          </w:p>
        </w:tc>
        <w:tc>
          <w:tcPr>
            <w:tcW w:w="1057" w:type="dxa"/>
            <w:vAlign w:val="center"/>
          </w:tcPr>
          <w:p w14:paraId="4FE86BE4" w14:textId="30238C4A" w:rsidR="000860FB" w:rsidRPr="00D61280" w:rsidRDefault="000860FB" w:rsidP="00B65292">
            <w:pPr>
              <w:spacing w:after="0" w:line="240" w:lineRule="auto"/>
              <w:jc w:val="center"/>
              <w:rPr>
                <w:rFonts w:cstheme="minorHAnsi"/>
                <w:szCs w:val="24"/>
              </w:rPr>
            </w:pPr>
            <w:r w:rsidRPr="00D61280">
              <w:rPr>
                <w:rFonts w:cstheme="minorHAnsi"/>
                <w:szCs w:val="24"/>
              </w:rPr>
              <w:t>0,51</w:t>
            </w:r>
          </w:p>
        </w:tc>
        <w:tc>
          <w:tcPr>
            <w:tcW w:w="1100" w:type="dxa"/>
            <w:vAlign w:val="center"/>
          </w:tcPr>
          <w:p w14:paraId="227FFB6C" w14:textId="09FC8468" w:rsidR="000860FB" w:rsidRPr="00D61280" w:rsidRDefault="000860FB" w:rsidP="00B65292">
            <w:pPr>
              <w:spacing w:after="0" w:line="240" w:lineRule="auto"/>
              <w:jc w:val="center"/>
              <w:rPr>
                <w:rFonts w:cstheme="minorHAnsi"/>
                <w:bCs/>
                <w:color w:val="000000" w:themeColor="text1"/>
                <w:szCs w:val="24"/>
              </w:rPr>
            </w:pPr>
            <w:r w:rsidRPr="00D61280">
              <w:rPr>
                <w:rFonts w:cstheme="minorHAnsi"/>
                <w:bCs/>
                <w:color w:val="000000" w:themeColor="text1"/>
                <w:szCs w:val="24"/>
              </w:rPr>
              <w:t>1,5</w:t>
            </w:r>
          </w:p>
        </w:tc>
        <w:tc>
          <w:tcPr>
            <w:tcW w:w="1009" w:type="dxa"/>
            <w:shd w:val="clear" w:color="auto" w:fill="auto"/>
            <w:vAlign w:val="center"/>
          </w:tcPr>
          <w:p w14:paraId="22DD1FCC" w14:textId="68D0D44D" w:rsidR="000860FB" w:rsidRPr="00C062AA" w:rsidRDefault="000860FB" w:rsidP="00B65292">
            <w:pPr>
              <w:spacing w:after="0" w:line="240" w:lineRule="auto"/>
              <w:jc w:val="center"/>
              <w:rPr>
                <w:rFonts w:cstheme="minorHAnsi"/>
                <w:b/>
                <w:iCs/>
                <w:color w:val="000000" w:themeColor="text1"/>
                <w:szCs w:val="24"/>
              </w:rPr>
            </w:pPr>
            <w:r w:rsidRPr="00C062AA">
              <w:rPr>
                <w:rFonts w:cstheme="minorHAnsi"/>
                <w:b/>
                <w:iCs/>
                <w:color w:val="000000" w:themeColor="text1"/>
                <w:szCs w:val="24"/>
              </w:rPr>
              <w:t>&gt;3</w:t>
            </w:r>
          </w:p>
        </w:tc>
      </w:tr>
      <w:tr w:rsidR="00AC142E" w:rsidRPr="00D61280" w14:paraId="45672D5C" w14:textId="77777777" w:rsidTr="00BB768B">
        <w:trPr>
          <w:jc w:val="center"/>
        </w:trPr>
        <w:tc>
          <w:tcPr>
            <w:tcW w:w="4675" w:type="dxa"/>
            <w:vAlign w:val="center"/>
          </w:tcPr>
          <w:p w14:paraId="45439364" w14:textId="56642C73" w:rsidR="00AC142E" w:rsidRPr="00D61280" w:rsidRDefault="00AC142E" w:rsidP="00B65292">
            <w:pPr>
              <w:pStyle w:val="ListParagraph"/>
              <w:spacing w:after="0" w:line="240" w:lineRule="auto"/>
              <w:ind w:left="0"/>
              <w:contextualSpacing w:val="0"/>
              <w:rPr>
                <w:rFonts w:cstheme="minorHAnsi"/>
                <w:color w:val="000000" w:themeColor="text1"/>
                <w:szCs w:val="24"/>
              </w:rPr>
            </w:pPr>
            <w:r>
              <w:rPr>
                <w:rFonts w:cstheme="minorHAnsi"/>
                <w:color w:val="000000" w:themeColor="text1"/>
                <w:szCs w:val="24"/>
              </w:rPr>
              <w:t xml:space="preserve">5.1.1. </w:t>
            </w:r>
            <w:r w:rsidRPr="00AC142E">
              <w:rPr>
                <w:rFonts w:cstheme="minorHAnsi"/>
                <w:color w:val="000000" w:themeColor="text1"/>
                <w:szCs w:val="24"/>
              </w:rPr>
              <w:t>Ieguldījumi P&amp;A</w:t>
            </w:r>
            <w:r>
              <w:rPr>
                <w:rFonts w:cstheme="minorHAnsi"/>
                <w:color w:val="000000" w:themeColor="text1"/>
                <w:szCs w:val="24"/>
              </w:rPr>
              <w:t xml:space="preserve"> Plāna </w:t>
            </w:r>
            <w:r w:rsidRPr="00AC142E">
              <w:rPr>
                <w:rFonts w:cstheme="minorHAnsi"/>
                <w:color w:val="000000" w:themeColor="text1"/>
                <w:szCs w:val="24"/>
              </w:rPr>
              <w:t>mērķu sasniegšanai  (% no kopējiem ieguldījumiem P&amp;A)</w:t>
            </w:r>
          </w:p>
        </w:tc>
        <w:tc>
          <w:tcPr>
            <w:tcW w:w="999" w:type="dxa"/>
            <w:vAlign w:val="center"/>
          </w:tcPr>
          <w:p w14:paraId="4C7A2B1C" w14:textId="5C0A186F" w:rsidR="00AC142E" w:rsidRPr="00AC142E" w:rsidRDefault="00AC142E" w:rsidP="00B65292">
            <w:pPr>
              <w:pStyle w:val="ListParagraph"/>
              <w:spacing w:after="0" w:line="240" w:lineRule="auto"/>
              <w:ind w:left="0"/>
              <w:contextualSpacing w:val="0"/>
              <w:jc w:val="center"/>
              <w:rPr>
                <w:rFonts w:cstheme="minorHAnsi"/>
                <w:bCs/>
                <w:color w:val="000000" w:themeColor="text1"/>
                <w:szCs w:val="24"/>
              </w:rPr>
            </w:pPr>
            <w:r w:rsidRPr="00AC142E">
              <w:rPr>
                <w:rFonts w:cstheme="minorHAnsi"/>
                <w:bCs/>
                <w:color w:val="000000" w:themeColor="text1"/>
                <w:szCs w:val="24"/>
              </w:rPr>
              <w:t>-</w:t>
            </w:r>
          </w:p>
        </w:tc>
        <w:tc>
          <w:tcPr>
            <w:tcW w:w="967" w:type="dxa"/>
            <w:vAlign w:val="center"/>
          </w:tcPr>
          <w:p w14:paraId="05D4AB77" w14:textId="0A58404E" w:rsidR="00AC142E" w:rsidRPr="00AC142E" w:rsidRDefault="00AC142E" w:rsidP="00B65292">
            <w:pPr>
              <w:pStyle w:val="ListParagraph"/>
              <w:spacing w:after="0" w:line="240" w:lineRule="auto"/>
              <w:ind w:left="0"/>
              <w:contextualSpacing w:val="0"/>
              <w:jc w:val="center"/>
              <w:rPr>
                <w:rFonts w:cstheme="minorHAnsi"/>
                <w:bCs/>
                <w:color w:val="000000" w:themeColor="text1"/>
                <w:szCs w:val="24"/>
              </w:rPr>
            </w:pPr>
            <w:r w:rsidRPr="00AC142E">
              <w:rPr>
                <w:rFonts w:cstheme="minorHAnsi"/>
                <w:bCs/>
                <w:color w:val="000000" w:themeColor="text1"/>
                <w:szCs w:val="24"/>
              </w:rPr>
              <w:t>-</w:t>
            </w:r>
          </w:p>
        </w:tc>
        <w:tc>
          <w:tcPr>
            <w:tcW w:w="1057" w:type="dxa"/>
            <w:vAlign w:val="center"/>
          </w:tcPr>
          <w:p w14:paraId="4AC2A2FC" w14:textId="76A7ABFA" w:rsidR="00AC142E" w:rsidRPr="00D61280" w:rsidRDefault="00AC142E" w:rsidP="00B65292">
            <w:pPr>
              <w:spacing w:after="0" w:line="240" w:lineRule="auto"/>
              <w:jc w:val="center"/>
              <w:rPr>
                <w:rFonts w:cstheme="minorHAnsi"/>
                <w:szCs w:val="24"/>
              </w:rPr>
            </w:pPr>
            <w:r>
              <w:rPr>
                <w:rFonts w:cstheme="minorHAnsi"/>
                <w:szCs w:val="24"/>
              </w:rPr>
              <w:t>-</w:t>
            </w:r>
          </w:p>
        </w:tc>
        <w:tc>
          <w:tcPr>
            <w:tcW w:w="1100" w:type="dxa"/>
            <w:vAlign w:val="center"/>
          </w:tcPr>
          <w:p w14:paraId="27F38493" w14:textId="197D8624" w:rsidR="00AC142E" w:rsidRPr="00D61280" w:rsidRDefault="00AC142E" w:rsidP="00B65292">
            <w:pPr>
              <w:spacing w:after="0" w:line="240" w:lineRule="auto"/>
              <w:jc w:val="center"/>
              <w:rPr>
                <w:rFonts w:cstheme="minorHAnsi"/>
                <w:bCs/>
                <w:color w:val="000000" w:themeColor="text1"/>
                <w:szCs w:val="24"/>
              </w:rPr>
            </w:pPr>
            <w:r>
              <w:rPr>
                <w:rFonts w:cstheme="minorHAnsi"/>
                <w:bCs/>
                <w:color w:val="000000" w:themeColor="text1"/>
                <w:szCs w:val="24"/>
              </w:rPr>
              <w:t>-</w:t>
            </w:r>
          </w:p>
        </w:tc>
        <w:tc>
          <w:tcPr>
            <w:tcW w:w="1009" w:type="dxa"/>
            <w:shd w:val="clear" w:color="auto" w:fill="auto"/>
            <w:vAlign w:val="center"/>
          </w:tcPr>
          <w:p w14:paraId="4431CBE0" w14:textId="5117E950" w:rsidR="00AC142E" w:rsidRPr="00C062AA" w:rsidRDefault="00AC142E" w:rsidP="00B65292">
            <w:pPr>
              <w:spacing w:after="0" w:line="240" w:lineRule="auto"/>
              <w:jc w:val="center"/>
              <w:rPr>
                <w:rFonts w:cstheme="minorHAnsi"/>
                <w:b/>
                <w:iCs/>
                <w:color w:val="000000" w:themeColor="text1"/>
                <w:szCs w:val="24"/>
              </w:rPr>
            </w:pPr>
            <w:r>
              <w:rPr>
                <w:rFonts w:cstheme="minorHAnsi"/>
                <w:b/>
                <w:iCs/>
                <w:color w:val="000000" w:themeColor="text1"/>
                <w:szCs w:val="24"/>
              </w:rPr>
              <w:t>&gt;25%</w:t>
            </w:r>
          </w:p>
        </w:tc>
      </w:tr>
      <w:tr w:rsidR="000860FB" w:rsidRPr="00D61280" w14:paraId="5A373AEE" w14:textId="77777777" w:rsidTr="00BB768B">
        <w:trPr>
          <w:jc w:val="center"/>
        </w:trPr>
        <w:tc>
          <w:tcPr>
            <w:tcW w:w="4675" w:type="dxa"/>
            <w:vAlign w:val="center"/>
          </w:tcPr>
          <w:p w14:paraId="3BE353BC" w14:textId="5098C00E" w:rsidR="000860FB" w:rsidRPr="00D61280" w:rsidRDefault="000860FB" w:rsidP="00B65292">
            <w:pPr>
              <w:pStyle w:val="ListParagraph"/>
              <w:spacing w:after="0" w:line="240" w:lineRule="auto"/>
              <w:ind w:left="0"/>
              <w:contextualSpacing w:val="0"/>
              <w:rPr>
                <w:rFonts w:cstheme="minorHAnsi"/>
                <w:color w:val="000000" w:themeColor="text1"/>
                <w:szCs w:val="24"/>
              </w:rPr>
            </w:pPr>
            <w:r w:rsidRPr="00D61280">
              <w:rPr>
                <w:rFonts w:cstheme="minorHAnsi"/>
                <w:color w:val="000000" w:themeColor="text1"/>
                <w:szCs w:val="24"/>
              </w:rPr>
              <w:t>5.2. Inovatīvu produktu apgrozījums (% no kopējā apgrozījuma)</w:t>
            </w:r>
          </w:p>
        </w:tc>
        <w:tc>
          <w:tcPr>
            <w:tcW w:w="999" w:type="dxa"/>
            <w:vAlign w:val="center"/>
          </w:tcPr>
          <w:p w14:paraId="1B103049" w14:textId="77777777" w:rsidR="000860FB" w:rsidRPr="00AC142E" w:rsidRDefault="000860FB" w:rsidP="00B65292">
            <w:pPr>
              <w:pStyle w:val="ListParagraph"/>
              <w:spacing w:after="0" w:line="240" w:lineRule="auto"/>
              <w:ind w:left="0"/>
              <w:contextualSpacing w:val="0"/>
              <w:jc w:val="center"/>
              <w:rPr>
                <w:rFonts w:cstheme="minorHAnsi"/>
                <w:bCs/>
                <w:color w:val="000000" w:themeColor="text1"/>
                <w:szCs w:val="24"/>
              </w:rPr>
            </w:pPr>
            <w:r w:rsidRPr="00AC142E">
              <w:rPr>
                <w:rFonts w:cstheme="minorHAnsi"/>
                <w:bCs/>
                <w:color w:val="000000" w:themeColor="text1"/>
                <w:szCs w:val="24"/>
              </w:rPr>
              <w:t>-</w:t>
            </w:r>
          </w:p>
        </w:tc>
        <w:tc>
          <w:tcPr>
            <w:tcW w:w="967" w:type="dxa"/>
            <w:vAlign w:val="center"/>
          </w:tcPr>
          <w:p w14:paraId="571923F4" w14:textId="77777777" w:rsidR="000860FB" w:rsidRPr="00AC142E" w:rsidRDefault="000860FB" w:rsidP="00B65292">
            <w:pPr>
              <w:pStyle w:val="ListParagraph"/>
              <w:spacing w:after="0" w:line="240" w:lineRule="auto"/>
              <w:ind w:left="0"/>
              <w:contextualSpacing w:val="0"/>
              <w:jc w:val="center"/>
              <w:rPr>
                <w:rFonts w:cstheme="minorHAnsi"/>
                <w:bCs/>
                <w:color w:val="000000" w:themeColor="text1"/>
                <w:szCs w:val="24"/>
              </w:rPr>
            </w:pPr>
            <w:r w:rsidRPr="00AC142E">
              <w:rPr>
                <w:rFonts w:cstheme="minorHAnsi"/>
                <w:bCs/>
                <w:color w:val="000000" w:themeColor="text1"/>
                <w:szCs w:val="24"/>
              </w:rPr>
              <w:t>-</w:t>
            </w:r>
          </w:p>
        </w:tc>
        <w:tc>
          <w:tcPr>
            <w:tcW w:w="1057" w:type="dxa"/>
            <w:vAlign w:val="center"/>
          </w:tcPr>
          <w:p w14:paraId="631F9DCC" w14:textId="6B0F3A0F" w:rsidR="000860FB" w:rsidRPr="00D61280" w:rsidRDefault="000860FB" w:rsidP="00B65292">
            <w:pPr>
              <w:spacing w:after="0" w:line="240" w:lineRule="auto"/>
              <w:jc w:val="center"/>
              <w:rPr>
                <w:rFonts w:cstheme="minorHAnsi"/>
                <w:i/>
                <w:color w:val="000000" w:themeColor="text1"/>
                <w:szCs w:val="24"/>
              </w:rPr>
            </w:pPr>
            <w:r w:rsidRPr="00D61280">
              <w:rPr>
                <w:rFonts w:cstheme="minorHAnsi"/>
                <w:szCs w:val="24"/>
              </w:rPr>
              <w:t>46,5</w:t>
            </w:r>
            <w:r w:rsidRPr="00D61280">
              <w:rPr>
                <w:rStyle w:val="FootnoteReference"/>
                <w:rFonts w:cstheme="minorHAnsi"/>
                <w:szCs w:val="24"/>
              </w:rPr>
              <w:footnoteReference w:id="11"/>
            </w:r>
          </w:p>
        </w:tc>
        <w:tc>
          <w:tcPr>
            <w:tcW w:w="1100" w:type="dxa"/>
            <w:vAlign w:val="center"/>
          </w:tcPr>
          <w:p w14:paraId="4EF592EB" w14:textId="77777777" w:rsidR="000860FB" w:rsidRPr="00D61280" w:rsidRDefault="000860FB" w:rsidP="00B65292">
            <w:pPr>
              <w:spacing w:after="0" w:line="240" w:lineRule="auto"/>
              <w:jc w:val="center"/>
              <w:rPr>
                <w:rFonts w:cstheme="minorHAnsi"/>
                <w:b/>
                <w:color w:val="000000" w:themeColor="text1"/>
                <w:szCs w:val="24"/>
              </w:rPr>
            </w:pPr>
            <w:r w:rsidRPr="00D61280">
              <w:rPr>
                <w:rFonts w:cstheme="minorHAnsi"/>
                <w:b/>
                <w:color w:val="000000" w:themeColor="text1"/>
                <w:szCs w:val="24"/>
              </w:rPr>
              <w:t>-</w:t>
            </w:r>
          </w:p>
        </w:tc>
        <w:tc>
          <w:tcPr>
            <w:tcW w:w="1009" w:type="dxa"/>
            <w:shd w:val="clear" w:color="auto" w:fill="auto"/>
            <w:vAlign w:val="center"/>
          </w:tcPr>
          <w:p w14:paraId="3E122C38" w14:textId="77777777" w:rsidR="000860FB" w:rsidRPr="00D61280" w:rsidRDefault="000860FB" w:rsidP="00B65292">
            <w:pPr>
              <w:spacing w:after="0" w:line="240" w:lineRule="auto"/>
              <w:jc w:val="center"/>
              <w:rPr>
                <w:rFonts w:cstheme="minorHAnsi"/>
                <w:bCs/>
                <w:iCs/>
                <w:color w:val="000000" w:themeColor="text1"/>
                <w:szCs w:val="24"/>
              </w:rPr>
            </w:pPr>
            <w:r w:rsidRPr="00D61280">
              <w:rPr>
                <w:rFonts w:cstheme="minorHAnsi"/>
                <w:bCs/>
                <w:iCs/>
                <w:color w:val="000000" w:themeColor="text1"/>
                <w:szCs w:val="24"/>
              </w:rPr>
              <w:t>&gt;14</w:t>
            </w:r>
          </w:p>
        </w:tc>
      </w:tr>
      <w:tr w:rsidR="000860FB" w:rsidRPr="00D61280" w14:paraId="6FB60B3A" w14:textId="77777777" w:rsidTr="00BB768B">
        <w:trPr>
          <w:jc w:val="center"/>
        </w:trPr>
        <w:tc>
          <w:tcPr>
            <w:tcW w:w="4675" w:type="dxa"/>
            <w:vAlign w:val="center"/>
          </w:tcPr>
          <w:p w14:paraId="738AF581" w14:textId="788339E0" w:rsidR="000860FB" w:rsidRPr="00D61280" w:rsidRDefault="000860FB" w:rsidP="00B65292">
            <w:pPr>
              <w:pStyle w:val="ListParagraph"/>
              <w:spacing w:after="0" w:line="240" w:lineRule="auto"/>
              <w:ind w:left="0"/>
              <w:contextualSpacing w:val="0"/>
              <w:rPr>
                <w:rFonts w:cstheme="minorHAnsi"/>
                <w:color w:val="000000" w:themeColor="text1"/>
                <w:szCs w:val="24"/>
              </w:rPr>
            </w:pPr>
            <w:r w:rsidRPr="00D61280">
              <w:rPr>
                <w:rFonts w:cstheme="minorHAnsi"/>
                <w:color w:val="000000" w:themeColor="text1"/>
                <w:szCs w:val="24"/>
              </w:rPr>
              <w:t>5.3. Globālās konkurētspējas indekss (vieta pasaulē)</w:t>
            </w:r>
          </w:p>
        </w:tc>
        <w:tc>
          <w:tcPr>
            <w:tcW w:w="999" w:type="dxa"/>
            <w:vAlign w:val="center"/>
          </w:tcPr>
          <w:p w14:paraId="34F95A1D" w14:textId="76BF26AE" w:rsidR="000860FB" w:rsidRPr="00AC142E" w:rsidRDefault="000860FB" w:rsidP="00B65292">
            <w:pPr>
              <w:pStyle w:val="ListParagraph"/>
              <w:spacing w:after="0" w:line="240" w:lineRule="auto"/>
              <w:ind w:left="0"/>
              <w:contextualSpacing w:val="0"/>
              <w:jc w:val="center"/>
              <w:rPr>
                <w:rFonts w:cstheme="minorHAnsi"/>
                <w:bCs/>
                <w:color w:val="000000" w:themeColor="text1"/>
                <w:szCs w:val="24"/>
              </w:rPr>
            </w:pPr>
            <w:r w:rsidRPr="00AC142E">
              <w:rPr>
                <w:rFonts w:cstheme="minorHAnsi"/>
                <w:bCs/>
                <w:color w:val="000000" w:themeColor="text1"/>
                <w:szCs w:val="24"/>
              </w:rPr>
              <w:t>-</w:t>
            </w:r>
          </w:p>
        </w:tc>
        <w:tc>
          <w:tcPr>
            <w:tcW w:w="967" w:type="dxa"/>
            <w:vAlign w:val="center"/>
          </w:tcPr>
          <w:p w14:paraId="5D02D4F0" w14:textId="1E3BCF6F" w:rsidR="000860FB" w:rsidRPr="00AC142E" w:rsidRDefault="000860FB" w:rsidP="00B65292">
            <w:pPr>
              <w:pStyle w:val="ListParagraph"/>
              <w:spacing w:after="0" w:line="240" w:lineRule="auto"/>
              <w:ind w:left="0"/>
              <w:contextualSpacing w:val="0"/>
              <w:jc w:val="center"/>
              <w:rPr>
                <w:rFonts w:cstheme="minorHAnsi"/>
                <w:bCs/>
                <w:color w:val="000000" w:themeColor="text1"/>
                <w:szCs w:val="24"/>
              </w:rPr>
            </w:pPr>
            <w:r w:rsidRPr="00AC142E">
              <w:rPr>
                <w:rFonts w:cstheme="minorHAnsi"/>
                <w:bCs/>
                <w:color w:val="000000" w:themeColor="text1"/>
                <w:szCs w:val="24"/>
              </w:rPr>
              <w:t>-</w:t>
            </w:r>
          </w:p>
        </w:tc>
        <w:tc>
          <w:tcPr>
            <w:tcW w:w="1057" w:type="dxa"/>
            <w:vAlign w:val="center"/>
          </w:tcPr>
          <w:p w14:paraId="06AB86C7" w14:textId="466EE9D7" w:rsidR="000860FB" w:rsidRPr="00D61280" w:rsidRDefault="000860FB" w:rsidP="00B65292">
            <w:pPr>
              <w:spacing w:after="0" w:line="240" w:lineRule="auto"/>
              <w:jc w:val="center"/>
              <w:rPr>
                <w:rFonts w:cstheme="minorHAnsi"/>
                <w:iCs/>
                <w:color w:val="000000" w:themeColor="text1"/>
                <w:szCs w:val="24"/>
              </w:rPr>
            </w:pPr>
            <w:r w:rsidRPr="00D61280">
              <w:rPr>
                <w:rFonts w:cstheme="minorHAnsi"/>
                <w:iCs/>
                <w:color w:val="000000" w:themeColor="text1"/>
                <w:szCs w:val="24"/>
              </w:rPr>
              <w:t>42</w:t>
            </w:r>
          </w:p>
        </w:tc>
        <w:tc>
          <w:tcPr>
            <w:tcW w:w="1100" w:type="dxa"/>
            <w:vAlign w:val="center"/>
          </w:tcPr>
          <w:p w14:paraId="7D5E27B4" w14:textId="280DB273" w:rsidR="000860FB" w:rsidRPr="00D61280" w:rsidRDefault="000860FB" w:rsidP="00B65292">
            <w:pPr>
              <w:spacing w:after="0" w:line="240" w:lineRule="auto"/>
              <w:jc w:val="center"/>
              <w:rPr>
                <w:rFonts w:cstheme="minorHAnsi"/>
                <w:b/>
                <w:color w:val="000000" w:themeColor="text1"/>
                <w:szCs w:val="24"/>
              </w:rPr>
            </w:pPr>
            <w:r w:rsidRPr="00D61280">
              <w:rPr>
                <w:rFonts w:cstheme="minorHAnsi"/>
                <w:b/>
                <w:color w:val="000000" w:themeColor="text1"/>
                <w:szCs w:val="24"/>
              </w:rPr>
              <w:t>-</w:t>
            </w:r>
          </w:p>
        </w:tc>
        <w:tc>
          <w:tcPr>
            <w:tcW w:w="1009" w:type="dxa"/>
            <w:shd w:val="clear" w:color="auto" w:fill="auto"/>
            <w:vAlign w:val="center"/>
          </w:tcPr>
          <w:p w14:paraId="20261310" w14:textId="30F21229" w:rsidR="000860FB" w:rsidRPr="00D61280" w:rsidRDefault="000860FB" w:rsidP="00B65292">
            <w:pPr>
              <w:spacing w:after="0" w:line="240" w:lineRule="auto"/>
              <w:jc w:val="center"/>
              <w:rPr>
                <w:rFonts w:cstheme="minorHAnsi"/>
                <w:bCs/>
                <w:iCs/>
                <w:color w:val="000000" w:themeColor="text1"/>
                <w:szCs w:val="24"/>
              </w:rPr>
            </w:pPr>
            <w:r w:rsidRPr="00D61280">
              <w:rPr>
                <w:rFonts w:cstheme="minorHAnsi"/>
                <w:bCs/>
                <w:iCs/>
                <w:color w:val="000000" w:themeColor="text1"/>
                <w:szCs w:val="24"/>
              </w:rPr>
              <w:t>&lt;42</w:t>
            </w:r>
          </w:p>
        </w:tc>
      </w:tr>
    </w:tbl>
    <w:p w14:paraId="7AD517D0" w14:textId="78DEE48F" w:rsidR="00CE27CD" w:rsidRDefault="00BB768B" w:rsidP="00BB768B">
      <w:pPr>
        <w:pStyle w:val="Default"/>
        <w:spacing w:before="120" w:after="120"/>
        <w:jc w:val="both"/>
        <w:rPr>
          <w:rFonts w:asciiTheme="minorHAnsi" w:hAnsiTheme="minorHAnsi" w:cstheme="minorHAnsi"/>
          <w:color w:val="auto"/>
        </w:rPr>
      </w:pPr>
      <w:bookmarkStart w:id="14" w:name="_Toc520978796"/>
      <w:bookmarkStart w:id="15" w:name="_Toc527529417"/>
      <w:bookmarkStart w:id="16" w:name="_Toc532909996"/>
      <w:bookmarkStart w:id="17" w:name="_Toc10527193"/>
      <w:bookmarkEnd w:id="9"/>
      <w:bookmarkEnd w:id="12"/>
      <w:r w:rsidRPr="00D61280">
        <w:rPr>
          <w:rFonts w:asciiTheme="minorHAnsi" w:hAnsiTheme="minorHAnsi" w:cstheme="minorHAnsi"/>
          <w:color w:val="auto"/>
        </w:rPr>
        <w:t>Plānā iekļautie pasākumi un tajā noteiktie principi tiek balstīti uz Līgumā par ES darbību noteiktā principa “piesārņotājs maksā” pilnīgu ieviešanu un īstenošanu.</w:t>
      </w:r>
      <w:r w:rsidR="00CE27CD">
        <w:rPr>
          <w:rFonts w:asciiTheme="minorHAnsi" w:hAnsiTheme="minorHAnsi" w:cstheme="minorHAnsi"/>
          <w:color w:val="auto"/>
        </w:rPr>
        <w:t xml:space="preserve"> “Piesārņotājs maksā” princips nozīmē praksi, ka tiem, kas rada piesārņojumu, ir arī </w:t>
      </w:r>
      <w:r w:rsidR="00CE27CD" w:rsidRPr="00CE27CD">
        <w:rPr>
          <w:rFonts w:asciiTheme="minorHAnsi" w:hAnsiTheme="minorHAnsi" w:cstheme="minorHAnsi"/>
          <w:color w:val="auto"/>
        </w:rPr>
        <w:t xml:space="preserve">jāsedz tā apsaimniekošanas izmaksas, lai novērstu kaitējumu cilvēku veselībai vai videi. </w:t>
      </w:r>
      <w:r w:rsidR="00CE27CD">
        <w:rPr>
          <w:rFonts w:asciiTheme="minorHAnsi" w:hAnsiTheme="minorHAnsi" w:cstheme="minorHAnsi"/>
          <w:color w:val="auto"/>
        </w:rPr>
        <w:t>Pēc būtības piesārņojumu rada galapatērētājs, jo patēriņa pieprasījums nodrošina un veicina piedāvājuma ražošanu. Līdz ar to tieši patērētājiem ir jābūt atbildīgiem par piesārņojuma administrēšanas – ierobežošana, mazināšana un kaitējuma cilvēka veselībai vai videi novēršana, izmaksām. Tomēr patērētājiem ir arī jābūt tiesīgiem saņemt precīzu informāciju par ar piesārņojuma administrēšanu saistītām izmaksām. Tādējādi “piesārņotājs maksā” princips nozīmē, ka ikviens resursa, tai skaitā, enerģijas, patērētājs un ražotājs, neatkarīgi no tā juridiskā statusa, sociālā stāvokļa, ir atbildīgs par jebkura veida emisijām vai piesārņojumu, kas radies patērējot konkrēto resursu vai no šī resursa ražojot produktu pašpatēriņam vai realizācijai citiem patērētājiem, kā arī ir tiesīgs zināt, kādā veidā minētās administrēšanas izmaksas tiek piemērotas un izlietotas.</w:t>
      </w:r>
    </w:p>
    <w:p w14:paraId="7D94F38E" w14:textId="10D783FC" w:rsidR="00091521" w:rsidRPr="00D61280" w:rsidRDefault="00091521" w:rsidP="00EA0C89">
      <w:pPr>
        <w:pStyle w:val="Heading2"/>
        <w:spacing w:before="120" w:after="120" w:line="240" w:lineRule="auto"/>
        <w:ind w:left="567"/>
        <w:rPr>
          <w:rFonts w:asciiTheme="minorHAnsi" w:hAnsiTheme="minorHAnsi" w:cstheme="minorHAnsi"/>
        </w:rPr>
      </w:pPr>
      <w:r w:rsidRPr="00D61280">
        <w:rPr>
          <w:rFonts w:asciiTheme="minorHAnsi" w:hAnsiTheme="minorHAnsi" w:cstheme="minorHAnsi"/>
        </w:rPr>
        <w:t xml:space="preserve">Pašreizējā </w:t>
      </w:r>
      <w:proofErr w:type="spellStart"/>
      <w:r w:rsidRPr="00D61280">
        <w:rPr>
          <w:rFonts w:asciiTheme="minorHAnsi" w:hAnsiTheme="minorHAnsi" w:cstheme="minorHAnsi"/>
        </w:rPr>
        <w:t>rīcībpolitikas</w:t>
      </w:r>
      <w:proofErr w:type="spellEnd"/>
      <w:r w:rsidRPr="00D61280">
        <w:rPr>
          <w:rFonts w:asciiTheme="minorHAnsi" w:hAnsiTheme="minorHAnsi" w:cstheme="minorHAnsi"/>
        </w:rPr>
        <w:t xml:space="preserve"> stāvokļa apskats</w:t>
      </w:r>
      <w:bookmarkEnd w:id="14"/>
      <w:bookmarkEnd w:id="15"/>
      <w:bookmarkEnd w:id="16"/>
      <w:bookmarkEnd w:id="17"/>
      <w:r w:rsidRPr="00D61280">
        <w:rPr>
          <w:rFonts w:asciiTheme="minorHAnsi" w:hAnsiTheme="minorHAnsi" w:cstheme="minorHAnsi"/>
        </w:rPr>
        <w:t xml:space="preserve"> </w:t>
      </w:r>
    </w:p>
    <w:p w14:paraId="56508A41" w14:textId="77777777" w:rsidR="00091521" w:rsidRPr="00D61280" w:rsidRDefault="00091521" w:rsidP="00EA0C89">
      <w:pPr>
        <w:pStyle w:val="Heading3"/>
        <w:rPr>
          <w:rStyle w:val="eop"/>
          <w:rFonts w:asciiTheme="minorHAnsi" w:hAnsiTheme="minorHAnsi" w:cstheme="minorHAnsi"/>
        </w:rPr>
      </w:pPr>
      <w:bookmarkStart w:id="18" w:name="_Toc520978797"/>
      <w:bookmarkStart w:id="19" w:name="_Toc527529418"/>
      <w:r w:rsidRPr="00D61280">
        <w:rPr>
          <w:rStyle w:val="normaltextrun"/>
          <w:rFonts w:asciiTheme="minorHAnsi" w:hAnsiTheme="minorHAnsi" w:cstheme="minorHAnsi"/>
        </w:rPr>
        <w:t xml:space="preserve">Latvijas  energosistēmas un </w:t>
      </w:r>
      <w:proofErr w:type="spellStart"/>
      <w:r w:rsidRPr="00D61280">
        <w:rPr>
          <w:rStyle w:val="normaltextrun"/>
          <w:rFonts w:asciiTheme="minorHAnsi" w:hAnsiTheme="minorHAnsi" w:cstheme="minorHAnsi"/>
        </w:rPr>
        <w:t>rīcībpolitikas</w:t>
      </w:r>
      <w:proofErr w:type="spellEnd"/>
      <w:r w:rsidRPr="00D61280">
        <w:rPr>
          <w:rStyle w:val="normaltextrun"/>
          <w:rFonts w:asciiTheme="minorHAnsi" w:hAnsiTheme="minorHAnsi" w:cstheme="minorHAnsi"/>
        </w:rPr>
        <w:t xml:space="preserve"> konteksts</w:t>
      </w:r>
      <w:bookmarkEnd w:id="18"/>
      <w:bookmarkEnd w:id="19"/>
      <w:r w:rsidRPr="00D61280">
        <w:rPr>
          <w:rStyle w:val="normaltextrun"/>
          <w:rFonts w:asciiTheme="minorHAnsi" w:hAnsiTheme="minorHAnsi" w:cstheme="minorHAnsi"/>
        </w:rPr>
        <w:t xml:space="preserve"> </w:t>
      </w:r>
    </w:p>
    <w:p w14:paraId="6AD4C4FD" w14:textId="77315C42" w:rsidR="00091521" w:rsidRPr="00D61280" w:rsidRDefault="00091521" w:rsidP="00EA0C89">
      <w:pPr>
        <w:autoSpaceDE w:val="0"/>
        <w:autoSpaceDN w:val="0"/>
        <w:adjustRightInd w:val="0"/>
        <w:spacing w:before="120" w:after="120" w:line="240" w:lineRule="auto"/>
        <w:jc w:val="both"/>
        <w:rPr>
          <w:rFonts w:cstheme="minorHAnsi"/>
          <w:szCs w:val="24"/>
        </w:rPr>
      </w:pPr>
      <w:r w:rsidRPr="00D61280">
        <w:rPr>
          <w:rFonts w:cstheme="minorHAnsi"/>
          <w:szCs w:val="24"/>
        </w:rPr>
        <w:t>ES mērogā enerģētikas politika periodam līdz 2050.gadam ir noteikta EK paziņojumā “Ceļvedis virzībai uz konkurētspējīgu ekonomiku ar zemu oglekļa dioksīda emisiju līmeni 2050. g.”</w:t>
      </w:r>
      <w:r w:rsidRPr="00D61280">
        <w:rPr>
          <w:rStyle w:val="FootnoteReference"/>
          <w:rFonts w:cstheme="minorHAnsi"/>
          <w:szCs w:val="24"/>
        </w:rPr>
        <w:footnoteReference w:id="12"/>
      </w:r>
      <w:r w:rsidRPr="00D61280">
        <w:rPr>
          <w:rStyle w:val="Heading2Char"/>
          <w:rFonts w:asciiTheme="minorHAnsi" w:hAnsiTheme="minorHAnsi" w:cstheme="minorHAnsi"/>
          <w:b w:val="0"/>
          <w:sz w:val="24"/>
          <w:szCs w:val="24"/>
        </w:rPr>
        <w:t xml:space="preserve">. </w:t>
      </w:r>
      <w:r w:rsidRPr="00D61280">
        <w:rPr>
          <w:rFonts w:cstheme="minorHAnsi"/>
          <w:szCs w:val="24"/>
        </w:rPr>
        <w:t>Savukārt periodam līdz 2030.gadam enerģētikas politika ir noteikta EK paziņojumā “Tīru enerģiju ikvienam Eiropā”</w:t>
      </w:r>
      <w:r w:rsidRPr="00D61280">
        <w:rPr>
          <w:rStyle w:val="FootnoteReference"/>
          <w:rFonts w:cstheme="minorHAnsi"/>
          <w:szCs w:val="24"/>
        </w:rPr>
        <w:footnoteReference w:id="13"/>
      </w:r>
      <w:r w:rsidRPr="00D61280">
        <w:rPr>
          <w:rFonts w:cstheme="minorHAnsi"/>
          <w:szCs w:val="24"/>
        </w:rPr>
        <w:t>. Plāns Latvijas attīstības sistēmas plānošanas ietvarā ir pakārtojams LIAS2030</w:t>
      </w:r>
      <w:r w:rsidR="00BB768B" w:rsidRPr="00D61280">
        <w:rPr>
          <w:rStyle w:val="FootnoteReference"/>
          <w:rFonts w:cstheme="minorHAnsi"/>
          <w:szCs w:val="24"/>
        </w:rPr>
        <w:footnoteReference w:id="14"/>
      </w:r>
      <w:r w:rsidRPr="00D61280">
        <w:rPr>
          <w:rFonts w:cstheme="minorHAnsi"/>
          <w:szCs w:val="24"/>
        </w:rPr>
        <w:t xml:space="preserve"> un </w:t>
      </w:r>
      <w:r w:rsidR="00BB768B">
        <w:rPr>
          <w:rFonts w:cstheme="minorHAnsi"/>
          <w:szCs w:val="24"/>
        </w:rPr>
        <w:t>L</w:t>
      </w:r>
      <w:r w:rsidRPr="00D61280">
        <w:rPr>
          <w:rFonts w:cstheme="minorHAnsi"/>
          <w:szCs w:val="24"/>
        </w:rPr>
        <w:t>NAP2027.</w:t>
      </w:r>
    </w:p>
    <w:p w14:paraId="7F9614E5" w14:textId="3D69986A" w:rsidR="00091521" w:rsidRPr="00D61280" w:rsidRDefault="00091521" w:rsidP="00EA0C89">
      <w:pPr>
        <w:autoSpaceDE w:val="0"/>
        <w:autoSpaceDN w:val="0"/>
        <w:adjustRightInd w:val="0"/>
        <w:spacing w:before="120" w:after="120" w:line="240" w:lineRule="auto"/>
        <w:jc w:val="both"/>
        <w:rPr>
          <w:rFonts w:cstheme="minorHAnsi"/>
          <w:szCs w:val="24"/>
        </w:rPr>
      </w:pPr>
      <w:r w:rsidRPr="00D61280">
        <w:rPr>
          <w:rFonts w:cstheme="minorHAnsi"/>
          <w:szCs w:val="24"/>
        </w:rPr>
        <w:t xml:space="preserve">Enerģētika ir viens no sektoriem, kas tieši ietekmē valsts ekonomikas izaugsmi un atsevišķās nozarēs, īpaši apstrādes rūpniecībā, veido ievērojamu daļu kopējās izmaksās. Rūpniecības izaugsmei svarīgākais faktors ir un būs ilgtspējīgi zemākā iespējamā enerģijas cena, kas ietver arī drošumu un kvalitāti. Enerģijas sektora attīstībai ir nepieciešamas ievērojamas investīcijas, </w:t>
      </w:r>
      <w:r w:rsidRPr="00D61280">
        <w:rPr>
          <w:rFonts w:cstheme="minorHAnsi"/>
          <w:szCs w:val="24"/>
        </w:rPr>
        <w:lastRenderedPageBreak/>
        <w:t xml:space="preserve">kuru piesaistei vajadzīga stabila un prognozējama investīciju vide. </w:t>
      </w:r>
      <w:r w:rsidR="0078586A">
        <w:rPr>
          <w:rFonts w:cstheme="minorHAnsi"/>
          <w:szCs w:val="24"/>
        </w:rPr>
        <w:t>Vienlaikus enerģētika, tai skaitā, rūpniecība un transports, ir viens no sektoriem, kuru pilnībā ietekmē patērētāja pieprasījums, kā arī patērētājam ir atbildība nozares izmaksu konkurētspējas nodrošināšanā.</w:t>
      </w:r>
    </w:p>
    <w:p w14:paraId="0A7E79E8" w14:textId="28059715" w:rsidR="00BD39E8" w:rsidRPr="00D61280" w:rsidRDefault="00BD39E8" w:rsidP="00EA0C89">
      <w:pPr>
        <w:spacing w:before="120" w:after="120" w:line="240" w:lineRule="auto"/>
        <w:jc w:val="center"/>
        <w:rPr>
          <w:rFonts w:cstheme="minorHAnsi"/>
          <w:szCs w:val="24"/>
        </w:rPr>
      </w:pPr>
      <w:r w:rsidRPr="00D61280">
        <w:rPr>
          <w:rFonts w:cstheme="minorHAnsi"/>
          <w:noProof/>
          <w:szCs w:val="24"/>
        </w:rPr>
        <w:drawing>
          <wp:inline distT="0" distB="0" distL="0" distR="0" wp14:anchorId="47422B9E" wp14:editId="01B13EAA">
            <wp:extent cx="4537075" cy="260139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1549" cy="2615427"/>
                    </a:xfrm>
                    <a:prstGeom prst="rect">
                      <a:avLst/>
                    </a:prstGeom>
                    <a:noFill/>
                  </pic:spPr>
                </pic:pic>
              </a:graphicData>
            </a:graphic>
          </wp:inline>
        </w:drawing>
      </w:r>
    </w:p>
    <w:p w14:paraId="31176198" w14:textId="0C484247" w:rsidR="00BD39E8" w:rsidRPr="00D61280" w:rsidRDefault="00BD39E8" w:rsidP="000B0478">
      <w:pPr>
        <w:pStyle w:val="Caption"/>
        <w:rPr>
          <w:rFonts w:asciiTheme="minorHAnsi" w:hAnsiTheme="minorHAnsi" w:cstheme="minorHAnsi"/>
        </w:rPr>
      </w:pPr>
      <w:r w:rsidRPr="00D61280">
        <w:rPr>
          <w:rFonts w:asciiTheme="minorHAnsi" w:hAnsiTheme="minorHAnsi" w:cstheme="minorHAnsi"/>
          <w:noProof/>
        </w:rPr>
        <w:fldChar w:fldCharType="begin"/>
      </w:r>
      <w:r w:rsidRPr="00D61280">
        <w:rPr>
          <w:rFonts w:asciiTheme="minorHAnsi" w:hAnsiTheme="minorHAnsi" w:cstheme="minorHAnsi"/>
          <w:noProof/>
        </w:rPr>
        <w:instrText xml:space="preserve"> SEQ Ilustrācija \* ARABIC </w:instrText>
      </w:r>
      <w:r w:rsidRPr="00D61280">
        <w:rPr>
          <w:rFonts w:asciiTheme="minorHAnsi" w:hAnsiTheme="minorHAnsi" w:cstheme="minorHAnsi"/>
          <w:noProof/>
        </w:rPr>
        <w:fldChar w:fldCharType="separate"/>
      </w:r>
      <w:bookmarkStart w:id="20" w:name="_Toc531333083"/>
      <w:r w:rsidRPr="00D61280">
        <w:rPr>
          <w:rFonts w:asciiTheme="minorHAnsi" w:hAnsiTheme="minorHAnsi" w:cstheme="minorHAnsi"/>
          <w:noProof/>
        </w:rPr>
        <w:t>1</w:t>
      </w:r>
      <w:r w:rsidRPr="00D61280">
        <w:rPr>
          <w:rFonts w:asciiTheme="minorHAnsi" w:hAnsiTheme="minorHAnsi" w:cstheme="minorHAnsi"/>
          <w:noProof/>
        </w:rPr>
        <w:fldChar w:fldCharType="end"/>
      </w:r>
      <w:r w:rsidRPr="00D61280">
        <w:rPr>
          <w:rFonts w:asciiTheme="minorHAnsi" w:hAnsiTheme="minorHAnsi" w:cstheme="minorHAnsi"/>
        </w:rPr>
        <w:t>. attēls. Kopēj</w:t>
      </w:r>
      <w:r w:rsidR="00C97146" w:rsidRPr="00D61280">
        <w:rPr>
          <w:rFonts w:asciiTheme="minorHAnsi" w:hAnsiTheme="minorHAnsi" w:cstheme="minorHAnsi"/>
        </w:rPr>
        <w:t xml:space="preserve">ā energoresursu </w:t>
      </w:r>
      <w:r w:rsidRPr="00D61280">
        <w:rPr>
          <w:rFonts w:asciiTheme="minorHAnsi" w:hAnsiTheme="minorHAnsi" w:cstheme="minorHAnsi"/>
        </w:rPr>
        <w:t xml:space="preserve">patēriņa un enerģijas </w:t>
      </w:r>
      <w:proofErr w:type="spellStart"/>
      <w:r w:rsidRPr="00D61280">
        <w:rPr>
          <w:rFonts w:asciiTheme="minorHAnsi" w:hAnsiTheme="minorHAnsi" w:cstheme="minorHAnsi"/>
        </w:rPr>
        <w:t>galapatēriņa</w:t>
      </w:r>
      <w:proofErr w:type="spellEnd"/>
      <w:r w:rsidRPr="00D61280">
        <w:rPr>
          <w:rFonts w:asciiTheme="minorHAnsi" w:hAnsiTheme="minorHAnsi" w:cstheme="minorHAnsi"/>
        </w:rPr>
        <w:t xml:space="preserve"> izmaiņas ES un Latvijā (1990=1)</w:t>
      </w:r>
      <w:r w:rsidRPr="00D61280">
        <w:rPr>
          <w:rStyle w:val="FootnoteReference"/>
          <w:rFonts w:asciiTheme="minorHAnsi" w:hAnsiTheme="minorHAnsi" w:cstheme="minorHAnsi"/>
          <w:b w:val="0"/>
        </w:rPr>
        <w:footnoteReference w:id="15"/>
      </w:r>
      <w:bookmarkEnd w:id="20"/>
    </w:p>
    <w:p w14:paraId="48534C90" w14:textId="716D285A" w:rsidR="00091521" w:rsidRPr="00D61280" w:rsidRDefault="00C97146" w:rsidP="000B0478">
      <w:pPr>
        <w:spacing w:before="120" w:after="120" w:line="240" w:lineRule="auto"/>
        <w:jc w:val="both"/>
        <w:rPr>
          <w:rFonts w:cstheme="minorHAnsi"/>
          <w:szCs w:val="24"/>
        </w:rPr>
      </w:pPr>
      <w:r w:rsidRPr="00D61280">
        <w:rPr>
          <w:rFonts w:cstheme="minorHAnsi"/>
          <w:szCs w:val="24"/>
        </w:rPr>
        <w:t>Kopējais energoresursu patēriņš 2017.gadā Latvijā bija 194,9 PJ, kas ir par 5,5 % vairāk nekā 2016.gadā</w:t>
      </w:r>
      <w:r w:rsidRPr="00D61280">
        <w:rPr>
          <w:rStyle w:val="FootnoteReference"/>
          <w:rFonts w:cstheme="minorHAnsi"/>
          <w:szCs w:val="24"/>
        </w:rPr>
        <w:footnoteReference w:id="16"/>
      </w:r>
      <w:r w:rsidRPr="00D61280">
        <w:rPr>
          <w:rFonts w:cstheme="minorHAnsi"/>
          <w:szCs w:val="24"/>
        </w:rPr>
        <w:t xml:space="preserve">. </w:t>
      </w:r>
      <w:r w:rsidR="00091521" w:rsidRPr="00D61280">
        <w:rPr>
          <w:rFonts w:cstheme="minorHAnsi"/>
          <w:szCs w:val="24"/>
        </w:rPr>
        <w:t>Pēdējos gados novērotas</w:t>
      </w:r>
      <w:r w:rsidRPr="00D61280">
        <w:rPr>
          <w:rFonts w:cstheme="minorHAnsi"/>
          <w:szCs w:val="24"/>
        </w:rPr>
        <w:t xml:space="preserve"> kopējā energoresursu </w:t>
      </w:r>
      <w:r w:rsidR="00091521" w:rsidRPr="00D61280">
        <w:rPr>
          <w:rFonts w:cstheme="minorHAnsi"/>
          <w:szCs w:val="24"/>
        </w:rPr>
        <w:t>patēriņa struktūras izmaiņas – samazinoties dabasgāzes patēriņa īpatsvaram, palielinās AER īpatsvars kopējā</w:t>
      </w:r>
      <w:r w:rsidRPr="00D61280">
        <w:rPr>
          <w:rFonts w:cstheme="minorHAnsi"/>
          <w:szCs w:val="24"/>
        </w:rPr>
        <w:t xml:space="preserve"> energoresursu </w:t>
      </w:r>
      <w:r w:rsidR="00091521" w:rsidRPr="00D61280">
        <w:rPr>
          <w:rFonts w:cstheme="minorHAnsi"/>
          <w:szCs w:val="24"/>
        </w:rPr>
        <w:t>patēriņā, kur desmit gadu laikā dabasgāzes patēriņa īpatsvars samazinājās par 4,2 %, un 2017. gadā</w:t>
      </w:r>
      <w:r w:rsidRPr="00D61280">
        <w:rPr>
          <w:rFonts w:cstheme="minorHAnsi"/>
          <w:szCs w:val="24"/>
        </w:rPr>
        <w:t xml:space="preserve"> tas bija </w:t>
      </w:r>
      <w:r w:rsidR="00091521" w:rsidRPr="00D61280">
        <w:rPr>
          <w:rFonts w:cstheme="minorHAnsi"/>
          <w:szCs w:val="24"/>
        </w:rPr>
        <w:t>23,4 %. Latvijā izmantojamie AER ir vietējie energoresursi, tāpēc, palielinoties AER kopējam patēriņam, ir samazinājusies Latvijas enerģētiskā atkarība</w:t>
      </w:r>
      <w:r w:rsidR="00091521" w:rsidRPr="00D61280">
        <w:rPr>
          <w:rStyle w:val="FootnoteReference"/>
          <w:rFonts w:cstheme="minorHAnsi"/>
          <w:szCs w:val="24"/>
        </w:rPr>
        <w:footnoteReference w:id="17"/>
      </w:r>
      <w:r w:rsidR="00091521" w:rsidRPr="00D61280">
        <w:rPr>
          <w:rFonts w:cstheme="minorHAnsi"/>
          <w:szCs w:val="24"/>
        </w:rPr>
        <w:t xml:space="preserve"> no importētiem energoresursiem no 63,9 % 2005. gadā līdz 44,1 % 2017.gadā</w:t>
      </w:r>
      <w:r w:rsidR="00091521" w:rsidRPr="00D61280">
        <w:rPr>
          <w:rStyle w:val="FootnoteReference"/>
          <w:rFonts w:cstheme="minorHAnsi"/>
          <w:szCs w:val="24"/>
        </w:rPr>
        <w:footnoteReference w:id="18"/>
      </w:r>
      <w:r w:rsidR="00091521" w:rsidRPr="00D61280">
        <w:rPr>
          <w:rFonts w:cstheme="minorHAnsi"/>
          <w:szCs w:val="24"/>
        </w:rPr>
        <w:t>.</w:t>
      </w:r>
    </w:p>
    <w:p w14:paraId="66DE058D" w14:textId="07E90827" w:rsidR="00C33F7C" w:rsidRPr="00D61280" w:rsidRDefault="0078586A" w:rsidP="00EA0C89">
      <w:pPr>
        <w:spacing w:before="120" w:after="120" w:line="240" w:lineRule="auto"/>
        <w:jc w:val="center"/>
        <w:rPr>
          <w:rFonts w:cstheme="minorHAnsi"/>
          <w:szCs w:val="24"/>
        </w:rPr>
      </w:pPr>
      <w:r>
        <w:rPr>
          <w:rFonts w:cstheme="minorHAnsi"/>
          <w:noProof/>
          <w:szCs w:val="24"/>
        </w:rPr>
        <w:drawing>
          <wp:inline distT="0" distB="0" distL="0" distR="0" wp14:anchorId="22E84181" wp14:editId="1E938FEB">
            <wp:extent cx="4533900" cy="2465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8266" cy="2472974"/>
                    </a:xfrm>
                    <a:prstGeom prst="rect">
                      <a:avLst/>
                    </a:prstGeom>
                    <a:noFill/>
                  </pic:spPr>
                </pic:pic>
              </a:graphicData>
            </a:graphic>
          </wp:inline>
        </w:drawing>
      </w:r>
    </w:p>
    <w:p w14:paraId="6E87F259" w14:textId="0D5D60D8" w:rsidR="00C33F7C" w:rsidRPr="00D61280" w:rsidRDefault="00C33F7C" w:rsidP="00EA0C89">
      <w:pPr>
        <w:pStyle w:val="Caption"/>
        <w:rPr>
          <w:rFonts w:asciiTheme="minorHAnsi" w:hAnsiTheme="minorHAnsi" w:cstheme="minorHAnsi"/>
        </w:rPr>
      </w:pPr>
      <w:r w:rsidRPr="00D61280">
        <w:rPr>
          <w:rFonts w:asciiTheme="minorHAnsi" w:hAnsiTheme="minorHAnsi" w:cstheme="minorHAnsi"/>
          <w:noProof/>
        </w:rPr>
        <w:lastRenderedPageBreak/>
        <w:fldChar w:fldCharType="begin"/>
      </w:r>
      <w:r w:rsidRPr="00D61280">
        <w:rPr>
          <w:rFonts w:asciiTheme="minorHAnsi" w:hAnsiTheme="minorHAnsi" w:cstheme="minorHAnsi"/>
          <w:noProof/>
        </w:rPr>
        <w:instrText xml:space="preserve"> SEQ Ilustrācija \* ARABIC </w:instrText>
      </w:r>
      <w:r w:rsidRPr="00D61280">
        <w:rPr>
          <w:rFonts w:asciiTheme="minorHAnsi" w:hAnsiTheme="minorHAnsi" w:cstheme="minorHAnsi"/>
          <w:noProof/>
        </w:rPr>
        <w:fldChar w:fldCharType="separate"/>
      </w:r>
      <w:r w:rsidRPr="00D61280">
        <w:rPr>
          <w:rFonts w:asciiTheme="minorHAnsi" w:hAnsiTheme="minorHAnsi" w:cstheme="minorHAnsi"/>
          <w:noProof/>
        </w:rPr>
        <w:t>2</w:t>
      </w:r>
      <w:r w:rsidRPr="00D61280">
        <w:rPr>
          <w:rFonts w:asciiTheme="minorHAnsi" w:hAnsiTheme="minorHAnsi" w:cstheme="minorHAnsi"/>
          <w:noProof/>
        </w:rPr>
        <w:fldChar w:fldCharType="end"/>
      </w:r>
      <w:r w:rsidRPr="00D61280">
        <w:rPr>
          <w:rFonts w:asciiTheme="minorHAnsi" w:hAnsiTheme="minorHAnsi" w:cstheme="minorHAnsi"/>
        </w:rPr>
        <w:t>. attēls. Latvijas un ES kopēj</w:t>
      </w:r>
      <w:r w:rsidR="00C97146" w:rsidRPr="00D61280">
        <w:rPr>
          <w:rFonts w:asciiTheme="minorHAnsi" w:hAnsiTheme="minorHAnsi" w:cstheme="minorHAnsi"/>
        </w:rPr>
        <w:t xml:space="preserve">ais energoresursu </w:t>
      </w:r>
      <w:r w:rsidRPr="00D61280">
        <w:rPr>
          <w:rFonts w:asciiTheme="minorHAnsi" w:hAnsiTheme="minorHAnsi" w:cstheme="minorHAnsi"/>
        </w:rPr>
        <w:t xml:space="preserve">patēriņš un enerģijas </w:t>
      </w:r>
      <w:proofErr w:type="spellStart"/>
      <w:r w:rsidRPr="00D61280">
        <w:rPr>
          <w:rFonts w:asciiTheme="minorHAnsi" w:hAnsiTheme="minorHAnsi" w:cstheme="minorHAnsi"/>
        </w:rPr>
        <w:t>galapatēriņš</w:t>
      </w:r>
      <w:proofErr w:type="spellEnd"/>
      <w:r w:rsidR="00C97146" w:rsidRPr="00D61280">
        <w:rPr>
          <w:rFonts w:asciiTheme="minorHAnsi" w:hAnsiTheme="minorHAnsi" w:cstheme="minorHAnsi"/>
        </w:rPr>
        <w:t xml:space="preserve">, </w:t>
      </w:r>
      <w:bookmarkStart w:id="21" w:name="_Toc531333085"/>
      <w:r w:rsidRPr="00D61280">
        <w:rPr>
          <w:rFonts w:asciiTheme="minorHAnsi" w:hAnsiTheme="minorHAnsi" w:cstheme="minorHAnsi"/>
        </w:rPr>
        <w:t xml:space="preserve">Latvijas un ES enerģijas </w:t>
      </w:r>
      <w:proofErr w:type="spellStart"/>
      <w:r w:rsidRPr="00D61280">
        <w:rPr>
          <w:rFonts w:asciiTheme="minorHAnsi" w:hAnsiTheme="minorHAnsi" w:cstheme="minorHAnsi"/>
        </w:rPr>
        <w:t>galapatēriņš</w:t>
      </w:r>
      <w:proofErr w:type="spellEnd"/>
      <w:r w:rsidRPr="00D61280">
        <w:rPr>
          <w:rFonts w:asciiTheme="minorHAnsi" w:hAnsiTheme="minorHAnsi" w:cstheme="minorHAnsi"/>
        </w:rPr>
        <w:t xml:space="preserve"> nozarēs 2017.g</w:t>
      </w:r>
      <w:r w:rsidR="00C97146" w:rsidRPr="00D61280">
        <w:rPr>
          <w:rFonts w:asciiTheme="minorHAnsi" w:hAnsiTheme="minorHAnsi" w:cstheme="minorHAnsi"/>
        </w:rPr>
        <w:t>.</w:t>
      </w:r>
      <w:r w:rsidRPr="00D61280">
        <w:rPr>
          <w:rFonts w:asciiTheme="minorHAnsi" w:hAnsiTheme="minorHAnsi" w:cstheme="minorHAnsi"/>
        </w:rPr>
        <w:t xml:space="preserve"> (%)</w:t>
      </w:r>
      <w:r w:rsidRPr="00D61280">
        <w:rPr>
          <w:rStyle w:val="FootnoteReference"/>
          <w:rFonts w:asciiTheme="minorHAnsi" w:hAnsiTheme="minorHAnsi" w:cstheme="minorHAnsi"/>
        </w:rPr>
        <w:footnoteReference w:id="19"/>
      </w:r>
      <w:bookmarkEnd w:id="21"/>
    </w:p>
    <w:p w14:paraId="3EAD0D73" w14:textId="1BF7067B" w:rsidR="00091521" w:rsidRPr="00D61280" w:rsidRDefault="00091521" w:rsidP="00EA0C89">
      <w:pPr>
        <w:spacing w:before="120" w:after="120" w:line="240" w:lineRule="auto"/>
        <w:jc w:val="both"/>
        <w:rPr>
          <w:rFonts w:cstheme="minorHAnsi"/>
          <w:szCs w:val="24"/>
        </w:rPr>
      </w:pPr>
      <w:r w:rsidRPr="00D61280">
        <w:rPr>
          <w:rFonts w:cstheme="minorHAnsi"/>
          <w:szCs w:val="24"/>
        </w:rPr>
        <w:t xml:space="preserve">Enerģijas </w:t>
      </w:r>
      <w:proofErr w:type="spellStart"/>
      <w:r w:rsidRPr="00D61280">
        <w:rPr>
          <w:rFonts w:cstheme="minorHAnsi"/>
          <w:szCs w:val="24"/>
        </w:rPr>
        <w:t>galapatēriņš</w:t>
      </w:r>
      <w:proofErr w:type="spellEnd"/>
      <w:r w:rsidRPr="00D61280">
        <w:rPr>
          <w:rFonts w:cstheme="minorHAnsi"/>
          <w:szCs w:val="24"/>
        </w:rPr>
        <w:t xml:space="preserve"> 2017.gadā ir diezgan būtiski palielinājies, salīdzinot ar 2015.gadu – 168 PJ, kas ir par 5,1 % vairāk nekā 2016.gadā. Lielākais enerģijas patērētājs 2016. un 2017.gadā ir transports, kas patērēja attiecīgi 30,4 % un 30 %, tad mājsaimniecības – 29 % un 29,2 % patēriņš, un rūpniecība – 20,8 % un 21 % patēriņš. Salīdzinot ar 2016. gadu, enerģijas </w:t>
      </w:r>
      <w:proofErr w:type="spellStart"/>
      <w:r w:rsidRPr="00D61280">
        <w:rPr>
          <w:rFonts w:cstheme="minorHAnsi"/>
          <w:szCs w:val="24"/>
        </w:rPr>
        <w:t>galapatēriņa</w:t>
      </w:r>
      <w:proofErr w:type="spellEnd"/>
      <w:r w:rsidRPr="00D61280">
        <w:rPr>
          <w:rFonts w:cstheme="minorHAnsi"/>
          <w:szCs w:val="24"/>
        </w:rPr>
        <w:t xml:space="preserve"> pieaugums 2017.gadā ir vērojams visos sektoros, kur vislielākais pieaugums 2017. gadā salīdzinot ar 2016.gadu – +11,9 %, bija lauksaimniecībā un mežsaimniecībā.</w:t>
      </w:r>
    </w:p>
    <w:p w14:paraId="20E83C85" w14:textId="3AAD0426" w:rsidR="00091521" w:rsidRPr="00D61280" w:rsidRDefault="00091521" w:rsidP="00C33F7C">
      <w:pPr>
        <w:pStyle w:val="Heading3"/>
        <w:rPr>
          <w:rFonts w:asciiTheme="minorHAnsi" w:hAnsiTheme="minorHAnsi" w:cstheme="minorHAnsi"/>
        </w:rPr>
      </w:pPr>
      <w:bookmarkStart w:id="22" w:name="_Toc520978798"/>
      <w:bookmarkStart w:id="23" w:name="_Toc527529421"/>
      <w:r w:rsidRPr="00D61280">
        <w:rPr>
          <w:rStyle w:val="normaltextrun"/>
          <w:rFonts w:asciiTheme="minorHAnsi" w:hAnsiTheme="minorHAnsi" w:cstheme="minorHAnsi"/>
        </w:rPr>
        <w:t>Pašreizējās enerģētikas un klimata </w:t>
      </w:r>
      <w:proofErr w:type="spellStart"/>
      <w:r w:rsidRPr="00D61280">
        <w:rPr>
          <w:rStyle w:val="spellingerror"/>
          <w:rFonts w:asciiTheme="minorHAnsi" w:hAnsiTheme="minorHAnsi" w:cstheme="minorHAnsi"/>
        </w:rPr>
        <w:t>rīcībpolitikas</w:t>
      </w:r>
      <w:proofErr w:type="spellEnd"/>
      <w:r w:rsidRPr="00D61280">
        <w:rPr>
          <w:rStyle w:val="normaltextrun"/>
          <w:rFonts w:asciiTheme="minorHAnsi" w:hAnsiTheme="minorHAnsi" w:cstheme="minorHAnsi"/>
        </w:rPr>
        <w:t> un pasākumi</w:t>
      </w:r>
      <w:bookmarkEnd w:id="22"/>
      <w:bookmarkEnd w:id="23"/>
      <w:r w:rsidRPr="00D61280">
        <w:rPr>
          <w:rStyle w:val="eop"/>
          <w:rFonts w:asciiTheme="minorHAnsi" w:hAnsiTheme="minorHAnsi" w:cstheme="minorHAnsi"/>
        </w:rPr>
        <w:t> </w:t>
      </w:r>
    </w:p>
    <w:p w14:paraId="08668A7E" w14:textId="77777777" w:rsidR="00091521" w:rsidRPr="00D61280" w:rsidRDefault="00091521" w:rsidP="00C33F7C">
      <w:pPr>
        <w:spacing w:before="120" w:after="120" w:line="240" w:lineRule="auto"/>
        <w:jc w:val="both"/>
        <w:rPr>
          <w:rFonts w:cstheme="minorHAnsi"/>
        </w:rPr>
      </w:pPr>
      <w:r w:rsidRPr="00D61280">
        <w:rPr>
          <w:rFonts w:cstheme="minorHAnsi"/>
        </w:rPr>
        <w:t xml:space="preserve">Plāna izstrādes un tajā iekļauto politiku un pasākumu kontekstu nosaka liels daudzums ES tiesību aktu, no kuriem galvenie ir: </w:t>
      </w:r>
    </w:p>
    <w:p w14:paraId="60DBC4E2"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rPr>
        <w:t>Regula 2018/1999;</w:t>
      </w:r>
    </w:p>
    <w:p w14:paraId="6A1D0C62"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szCs w:val="24"/>
        </w:rPr>
        <w:t>Eiropas Parlamenta un Padomes 2003. gada 13.oktobra direktīva Nr. 2003/87/EK, ar kuru nosaka sistēmu siltumnīcas efektu izraisošo gāzu emisijas kvotu tirdzniecībai Kopienā un groza Padomes Direktīvu 96/61/EK (turpmāk – Direktīva 2003/87/EK);</w:t>
      </w:r>
    </w:p>
    <w:p w14:paraId="7770F639"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szCs w:val="24"/>
        </w:rPr>
        <w:t>Eiropas Parlamenta un Padomes 2009. gada 23. aprīļa lēmums Nr. 406/2009/EK par dalībvalstu pasākumiem siltumnīcas efektu izraisošu gāzu emisiju samazināšanai, lai izpildītu Kopienas saistības siltumnīcas efektu izraisošu gāzu emisiju samazināšanas jomā līdz 2020. gadam (turpmāk – Lēmums 406/2009/EK);</w:t>
      </w:r>
    </w:p>
    <w:p w14:paraId="43A2D4C1"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szCs w:val="24"/>
        </w:rPr>
        <w:t>Eiropas Parlamenta un Padomes 2018.gada 30.maija regula Nr.2018/842 par saistošiem ikgadējiem siltumnīcefekta gāzu emisiju samazinājumiem, kas dalībvalstīm jāpanāk no 2021. līdz 2030. gadam un kas dod ieguldījumu rīcībā klimata politikas jomā, lai izpildītu Parīzes nolīgumā paredzētās saistības, un ar ko groza Regulu (ES) Nr. 525/2013 (turpmāk – Regula 2018/842);</w:t>
      </w:r>
    </w:p>
    <w:p w14:paraId="58C8C741"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szCs w:val="24"/>
        </w:rPr>
        <w:t>Eiropas Parlamenta un Padomes 2018.gada 30.maija regula Nr. 2018/841 par zemes izmantošanā, zemes izmantošanas maiņā un mežsaimniecībā radušos siltumnīcefekta gāzu emisiju un piesaistes iekļaušanu klimata un enerģētikas politikas satvarā laikposmam līdz 2030. gadam un ar ko groza Regulu (ES) Nr. 525/2013 un Lēmumu Nr. 529/2013/ES (turpmāk – Regula 2018/841);</w:t>
      </w:r>
    </w:p>
    <w:p w14:paraId="2990EBF8"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szCs w:val="24"/>
        </w:rPr>
        <w:t>Eiropas Parlamenta un Padomes 2009. gada 23. aprīļa direktīva Nr. 2009/28/EK par atjaunojamo energoresursu izmantošanas veicināšanu un ar ko groza un sekojoši atceļ Direktīvas 2001/77/EK un 2003/30/EK (turpmāk – Direktīva 2009/28/EK);</w:t>
      </w:r>
    </w:p>
    <w:p w14:paraId="37B95D64"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szCs w:val="24"/>
        </w:rPr>
        <w:t>Eiropas Parlamenta un Padomes 2018.gada 11.decembra direktīva Nr.2018/2001 par atjaunojamo energoresursu enerģijas izmantošanas veicināšanu (pārstrādāta redakcija)</w:t>
      </w:r>
      <w:r w:rsidRPr="00D61280">
        <w:rPr>
          <w:rStyle w:val="FootnoteReference"/>
          <w:rFonts w:eastAsia="Calibri" w:cstheme="minorHAnsi"/>
          <w:szCs w:val="24"/>
        </w:rPr>
        <w:footnoteReference w:id="20"/>
      </w:r>
      <w:r w:rsidRPr="00D61280">
        <w:rPr>
          <w:rFonts w:eastAsia="Calibri" w:cstheme="minorHAnsi"/>
          <w:szCs w:val="24"/>
        </w:rPr>
        <w:t xml:space="preserve"> (turpmāk – Direktīva 2018/2001);</w:t>
      </w:r>
    </w:p>
    <w:p w14:paraId="5D408611"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szCs w:val="24"/>
        </w:rPr>
        <w:t>Eiropas Parlamenta un Padomes 2012. gada 25.oktobra direktīva Nr. 2012/27/ES par energoefektivitāti, ar ko groza Direktīvas 2009/125/EK un 2010/30/ES un atceļ Direktīvas 2004/8/EK un 2006/32/EK (turpmāk – Direktīva 2012/27/ES);</w:t>
      </w:r>
    </w:p>
    <w:p w14:paraId="0F64119F"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szCs w:val="24"/>
        </w:rPr>
        <w:t>Eiropas Parlamenta un Padomes 2018.gada 11.decembra direktīva Nr.2018/2002, ar ko groza Direktīvu 2012/27/ES par energoefektivitāti</w:t>
      </w:r>
      <w:r w:rsidRPr="00D61280">
        <w:rPr>
          <w:rStyle w:val="FootnoteReference"/>
          <w:rFonts w:eastAsia="Calibri" w:cstheme="minorHAnsi"/>
          <w:szCs w:val="24"/>
        </w:rPr>
        <w:footnoteReference w:id="21"/>
      </w:r>
      <w:r w:rsidRPr="00D61280">
        <w:rPr>
          <w:rFonts w:eastAsia="Calibri" w:cstheme="minorHAnsi"/>
          <w:szCs w:val="24"/>
        </w:rPr>
        <w:t xml:space="preserve"> (turpmāk – Direktīva 2018/2002);</w:t>
      </w:r>
    </w:p>
    <w:p w14:paraId="0D04B344" w14:textId="77777777" w:rsidR="00091521" w:rsidRPr="00D61280" w:rsidRDefault="00091521" w:rsidP="00C33F7C">
      <w:pPr>
        <w:pStyle w:val="ListParagraph"/>
        <w:numPr>
          <w:ilvl w:val="0"/>
          <w:numId w:val="4"/>
        </w:numPr>
        <w:spacing w:before="120" w:after="120" w:line="240" w:lineRule="auto"/>
        <w:ind w:left="397" w:hanging="397"/>
        <w:contextualSpacing w:val="0"/>
        <w:jc w:val="both"/>
        <w:rPr>
          <w:rFonts w:cstheme="minorHAnsi"/>
        </w:rPr>
      </w:pPr>
      <w:r w:rsidRPr="00D61280">
        <w:rPr>
          <w:rFonts w:eastAsia="Calibri" w:cstheme="minorHAnsi"/>
          <w:szCs w:val="24"/>
        </w:rPr>
        <w:lastRenderedPageBreak/>
        <w:t>Eiropas Parlamenta un Padomes 2010. gada 19. maija direktīva Nr. 2010/31/ES par ēku energoefektivitāti (pārstrādāta versija) (turpmāk – Direktīva 2010/31/ES);</w:t>
      </w:r>
    </w:p>
    <w:p w14:paraId="085DFB84" w14:textId="77777777" w:rsidR="00091521" w:rsidRPr="00D61280" w:rsidRDefault="00091521" w:rsidP="00C33F7C">
      <w:pPr>
        <w:autoSpaceDE w:val="0"/>
        <w:autoSpaceDN w:val="0"/>
        <w:adjustRightInd w:val="0"/>
        <w:spacing w:before="120" w:after="120" w:line="240" w:lineRule="auto"/>
        <w:jc w:val="both"/>
        <w:rPr>
          <w:rFonts w:cstheme="minorHAnsi"/>
          <w:szCs w:val="24"/>
        </w:rPr>
      </w:pPr>
      <w:r w:rsidRPr="00D61280">
        <w:rPr>
          <w:rFonts w:cstheme="minorHAnsi"/>
          <w:szCs w:val="24"/>
        </w:rPr>
        <w:t xml:space="preserve">Latvijā pašlaik ir spēkā vairāki politikas plānošanas dokumenti (tai skaitā informatīvie ziņojumi), kas skar enerģētikas sektora attīstību un klimata pārmaiņu mazināšanas jautājumus, kuros ir noteikti enerģētikas sektora un klimata pārmaiņu mazināšanas mērķi un arī noteikta </w:t>
      </w:r>
      <w:proofErr w:type="spellStart"/>
      <w:r w:rsidRPr="00D61280">
        <w:rPr>
          <w:rFonts w:cstheme="minorHAnsi"/>
          <w:szCs w:val="24"/>
        </w:rPr>
        <w:t>rīcībpolitika</w:t>
      </w:r>
      <w:proofErr w:type="spellEnd"/>
      <w:r w:rsidRPr="00D61280">
        <w:rPr>
          <w:rFonts w:cstheme="minorHAnsi"/>
          <w:szCs w:val="24"/>
        </w:rPr>
        <w:t xml:space="preserve"> šo mērķu sasniegšanai.</w:t>
      </w:r>
    </w:p>
    <w:p w14:paraId="1886B931" w14:textId="77777777" w:rsidR="00091521" w:rsidRPr="00D61280" w:rsidRDefault="00091521" w:rsidP="00C33F7C">
      <w:pPr>
        <w:autoSpaceDE w:val="0"/>
        <w:autoSpaceDN w:val="0"/>
        <w:adjustRightInd w:val="0"/>
        <w:spacing w:before="120" w:after="120" w:line="240" w:lineRule="auto"/>
        <w:jc w:val="both"/>
        <w:rPr>
          <w:rFonts w:cstheme="minorHAnsi"/>
          <w:szCs w:val="24"/>
        </w:rPr>
      </w:pPr>
      <w:r w:rsidRPr="00D61280">
        <w:rPr>
          <w:rFonts w:cstheme="minorHAnsi"/>
          <w:szCs w:val="24"/>
        </w:rPr>
        <w:t>1) LIAS2030 ir noteikti šādi Plāna konteksta mērķi:</w:t>
      </w:r>
    </w:p>
    <w:p w14:paraId="037B5629" w14:textId="77777777" w:rsidR="00091521" w:rsidRPr="00D61280" w:rsidRDefault="00091521" w:rsidP="00C33F7C">
      <w:pPr>
        <w:pStyle w:val="ListParagraph"/>
        <w:numPr>
          <w:ilvl w:val="0"/>
          <w:numId w:val="2"/>
        </w:numPr>
        <w:autoSpaceDE w:val="0"/>
        <w:autoSpaceDN w:val="0"/>
        <w:adjustRightInd w:val="0"/>
        <w:spacing w:before="120" w:after="120" w:line="240" w:lineRule="auto"/>
        <w:ind w:left="397" w:hanging="397"/>
        <w:contextualSpacing w:val="0"/>
        <w:jc w:val="both"/>
        <w:rPr>
          <w:rFonts w:cstheme="minorHAnsi"/>
          <w:szCs w:val="24"/>
        </w:rPr>
      </w:pPr>
      <w:r w:rsidRPr="00D61280">
        <w:rPr>
          <w:rFonts w:cstheme="minorHAnsi"/>
          <w:szCs w:val="24"/>
        </w:rPr>
        <w:t xml:space="preserve">Nodrošināt valsts enerģētisko neatkarību, palielinot energoresursu </w:t>
      </w:r>
      <w:proofErr w:type="spellStart"/>
      <w:r w:rsidRPr="00D61280">
        <w:rPr>
          <w:rFonts w:cstheme="minorHAnsi"/>
          <w:szCs w:val="24"/>
        </w:rPr>
        <w:t>pašnodrošinājumu</w:t>
      </w:r>
      <w:proofErr w:type="spellEnd"/>
      <w:r w:rsidRPr="00D61280">
        <w:rPr>
          <w:rFonts w:cstheme="minorHAnsi"/>
          <w:szCs w:val="24"/>
        </w:rPr>
        <w:t xml:space="preserve"> un integrējoties ES enerģijas tīklos;</w:t>
      </w:r>
    </w:p>
    <w:p w14:paraId="2DA50FB4" w14:textId="77777777" w:rsidR="00091521" w:rsidRPr="00D61280" w:rsidRDefault="00091521" w:rsidP="00C33F7C">
      <w:pPr>
        <w:pStyle w:val="ListParagraph"/>
        <w:numPr>
          <w:ilvl w:val="0"/>
          <w:numId w:val="2"/>
        </w:numPr>
        <w:spacing w:before="120" w:after="120" w:line="240" w:lineRule="auto"/>
        <w:ind w:left="397" w:hanging="397"/>
        <w:contextualSpacing w:val="0"/>
        <w:jc w:val="both"/>
        <w:rPr>
          <w:rFonts w:cstheme="minorHAnsi"/>
          <w:szCs w:val="24"/>
        </w:rPr>
      </w:pPr>
      <w:r w:rsidRPr="00D61280">
        <w:rPr>
          <w:rFonts w:cstheme="minorHAnsi"/>
          <w:szCs w:val="24"/>
        </w:rPr>
        <w:t>Būt ES līderei dabas kapitāla saglabāšanā, palielināšanā un ilgtspējīgā izmantošanā;</w:t>
      </w:r>
    </w:p>
    <w:p w14:paraId="305837B2" w14:textId="77777777" w:rsidR="00091521" w:rsidRPr="00D61280" w:rsidRDefault="00091521" w:rsidP="00C33F7C">
      <w:pPr>
        <w:pStyle w:val="ListParagraph"/>
        <w:numPr>
          <w:ilvl w:val="0"/>
          <w:numId w:val="2"/>
        </w:numPr>
        <w:autoSpaceDE w:val="0"/>
        <w:autoSpaceDN w:val="0"/>
        <w:adjustRightInd w:val="0"/>
        <w:spacing w:before="120" w:after="120" w:line="240" w:lineRule="auto"/>
        <w:ind w:left="397" w:hanging="397"/>
        <w:contextualSpacing w:val="0"/>
        <w:jc w:val="both"/>
        <w:rPr>
          <w:rFonts w:cstheme="minorHAnsi"/>
          <w:szCs w:val="24"/>
        </w:rPr>
      </w:pPr>
      <w:r w:rsidRPr="00D61280">
        <w:rPr>
          <w:rFonts w:cstheme="minorHAnsi"/>
          <w:szCs w:val="24"/>
        </w:rPr>
        <w:t>Saglabāt Latvijas savdabību – daudzveidīgo dabas un kultūras mantojumu, tipiskās un unikālās ainavas.</w:t>
      </w:r>
    </w:p>
    <w:p w14:paraId="435D7032" w14:textId="77777777" w:rsidR="00091521" w:rsidRPr="00D61280" w:rsidRDefault="00091521" w:rsidP="00C33F7C">
      <w:pPr>
        <w:autoSpaceDE w:val="0"/>
        <w:autoSpaceDN w:val="0"/>
        <w:adjustRightInd w:val="0"/>
        <w:spacing w:before="120" w:after="120" w:line="240" w:lineRule="auto"/>
        <w:jc w:val="both"/>
        <w:rPr>
          <w:rFonts w:cstheme="minorHAnsi"/>
          <w:szCs w:val="24"/>
        </w:rPr>
      </w:pPr>
      <w:r w:rsidRPr="00D61280">
        <w:rPr>
          <w:rFonts w:cstheme="minorHAnsi"/>
          <w:szCs w:val="24"/>
        </w:rPr>
        <w:t xml:space="preserve">LIAS2030 ir noteikti skaitliski SEG emisiju samazināšanas, AER īpatsvara un </w:t>
      </w:r>
      <w:proofErr w:type="spellStart"/>
      <w:r w:rsidRPr="00D61280">
        <w:rPr>
          <w:rFonts w:cstheme="minorHAnsi"/>
          <w:szCs w:val="24"/>
        </w:rPr>
        <w:t>energointenstitātes</w:t>
      </w:r>
      <w:proofErr w:type="spellEnd"/>
      <w:r w:rsidRPr="00D61280">
        <w:rPr>
          <w:rFonts w:cstheme="minorHAnsi"/>
          <w:szCs w:val="24"/>
        </w:rPr>
        <w:t xml:space="preserve"> mērķi, kā arī inovāciju mērķi 2030.gadam.</w:t>
      </w:r>
    </w:p>
    <w:p w14:paraId="72A60168" w14:textId="29B791C0" w:rsidR="00091521" w:rsidRPr="00D61280" w:rsidRDefault="00091521" w:rsidP="00C33F7C">
      <w:pPr>
        <w:autoSpaceDE w:val="0"/>
        <w:autoSpaceDN w:val="0"/>
        <w:adjustRightInd w:val="0"/>
        <w:spacing w:before="120" w:after="120" w:line="240" w:lineRule="auto"/>
        <w:jc w:val="both"/>
        <w:rPr>
          <w:rFonts w:cstheme="minorHAnsi"/>
          <w:szCs w:val="24"/>
        </w:rPr>
      </w:pPr>
      <w:r w:rsidRPr="00D61280">
        <w:rPr>
          <w:rFonts w:cstheme="minorHAnsi"/>
          <w:szCs w:val="24"/>
        </w:rPr>
        <w:t>2) LNAP2020</w:t>
      </w:r>
      <w:r w:rsidR="00BB768B">
        <w:rPr>
          <w:rStyle w:val="FootnoteReference"/>
          <w:rFonts w:cstheme="minorHAnsi"/>
          <w:szCs w:val="24"/>
        </w:rPr>
        <w:footnoteReference w:id="22"/>
      </w:r>
      <w:r w:rsidRPr="00D61280">
        <w:rPr>
          <w:rFonts w:cstheme="minorHAnsi"/>
          <w:szCs w:val="24"/>
        </w:rPr>
        <w:t xml:space="preserve"> ir noteikti šādi Plāna konteksta mērķi:</w:t>
      </w:r>
    </w:p>
    <w:p w14:paraId="6590EB6A" w14:textId="77777777" w:rsidR="00091521" w:rsidRPr="00D61280" w:rsidRDefault="00091521" w:rsidP="00C33F7C">
      <w:pPr>
        <w:pStyle w:val="Default"/>
        <w:numPr>
          <w:ilvl w:val="0"/>
          <w:numId w:val="3"/>
        </w:numPr>
        <w:spacing w:before="120" w:after="120"/>
        <w:ind w:left="397" w:hanging="397"/>
        <w:jc w:val="both"/>
        <w:rPr>
          <w:rFonts w:asciiTheme="minorHAnsi" w:hAnsiTheme="minorHAnsi" w:cstheme="minorHAnsi"/>
          <w:iCs/>
        </w:rPr>
      </w:pPr>
      <w:r w:rsidRPr="00D61280">
        <w:rPr>
          <w:rFonts w:asciiTheme="minorHAnsi" w:hAnsiTheme="minorHAnsi" w:cstheme="minorHAnsi"/>
          <w:iCs/>
        </w:rPr>
        <w:t xml:space="preserve">Nodrošināt tautas saimniecībai nepieciešamo energoresursu ilgtspējīgu izmantošanu, veicinot resursu tirgu pieejamību, sektoru </w:t>
      </w:r>
      <w:proofErr w:type="spellStart"/>
      <w:r w:rsidRPr="00D61280">
        <w:rPr>
          <w:rFonts w:asciiTheme="minorHAnsi" w:hAnsiTheme="minorHAnsi" w:cstheme="minorHAnsi"/>
          <w:iCs/>
        </w:rPr>
        <w:t>energointensitātes</w:t>
      </w:r>
      <w:proofErr w:type="spellEnd"/>
      <w:r w:rsidRPr="00D61280">
        <w:rPr>
          <w:rFonts w:asciiTheme="minorHAnsi" w:hAnsiTheme="minorHAnsi" w:cstheme="minorHAnsi"/>
          <w:iCs/>
        </w:rPr>
        <w:t xml:space="preserve"> un emisiju intensitātes samazināšanos un vietējo AER īpatsvara palielināšanos kopējā patērētajā apjomā, fokusējoties uz konkurētspējīgām enerģijas cenām.</w:t>
      </w:r>
    </w:p>
    <w:p w14:paraId="03A42C6F" w14:textId="77777777" w:rsidR="00091521" w:rsidRPr="00D61280" w:rsidRDefault="00091521" w:rsidP="00C33F7C">
      <w:pPr>
        <w:pStyle w:val="Default"/>
        <w:numPr>
          <w:ilvl w:val="0"/>
          <w:numId w:val="3"/>
        </w:numPr>
        <w:spacing w:before="120" w:after="120"/>
        <w:ind w:left="397" w:hanging="397"/>
        <w:jc w:val="both"/>
        <w:rPr>
          <w:rFonts w:asciiTheme="minorHAnsi" w:hAnsiTheme="minorHAnsi" w:cstheme="minorHAnsi"/>
          <w:iCs/>
        </w:rPr>
      </w:pPr>
      <w:r w:rsidRPr="00D61280">
        <w:rPr>
          <w:rFonts w:asciiTheme="minorHAnsi" w:hAnsiTheme="minorHAnsi" w:cstheme="minorHAnsi"/>
          <w:iCs/>
        </w:rPr>
        <w:t>Saglabāt dabas kapitālu kā bāzi ilgtspējīgai ekonomiskajai izaugsmei un sekmēt tā ilgtspējīgu izmantošanu, mazinot dabas un cilvēka darbības radītos riskus vides kvalitātei.</w:t>
      </w:r>
    </w:p>
    <w:p w14:paraId="4C495984" w14:textId="77777777" w:rsidR="00091521" w:rsidRPr="00D61280" w:rsidRDefault="00091521" w:rsidP="00C33F7C">
      <w:pPr>
        <w:autoSpaceDE w:val="0"/>
        <w:autoSpaceDN w:val="0"/>
        <w:adjustRightInd w:val="0"/>
        <w:spacing w:before="120" w:after="120" w:line="240" w:lineRule="auto"/>
        <w:jc w:val="both"/>
        <w:rPr>
          <w:rFonts w:cstheme="minorHAnsi"/>
          <w:szCs w:val="24"/>
        </w:rPr>
      </w:pPr>
      <w:r w:rsidRPr="00D61280">
        <w:rPr>
          <w:rFonts w:cstheme="minorHAnsi"/>
          <w:szCs w:val="24"/>
        </w:rPr>
        <w:t xml:space="preserve">LNAP2020 ir noteikti skaitliski tautsaimniecības SEG emisiju intensitātes, AER īpatsvara un enerģijas patēriņa un </w:t>
      </w:r>
      <w:proofErr w:type="spellStart"/>
      <w:r w:rsidRPr="00D61280">
        <w:rPr>
          <w:rFonts w:cstheme="minorHAnsi"/>
          <w:szCs w:val="24"/>
        </w:rPr>
        <w:t>energoneatkarības</w:t>
      </w:r>
      <w:proofErr w:type="spellEnd"/>
      <w:r w:rsidRPr="00D61280">
        <w:rPr>
          <w:rFonts w:cstheme="minorHAnsi"/>
          <w:szCs w:val="24"/>
        </w:rPr>
        <w:t xml:space="preserve"> mērķi, kā arī lauksaimniecības, mežsaimniecības un atkritumu apsaimniekošanas mērķi 2020.gadam.</w:t>
      </w:r>
    </w:p>
    <w:p w14:paraId="34FC09D3" w14:textId="56399F62" w:rsidR="00091521" w:rsidRPr="00D61280" w:rsidRDefault="00091521" w:rsidP="00C33F7C">
      <w:pPr>
        <w:autoSpaceDE w:val="0"/>
        <w:autoSpaceDN w:val="0"/>
        <w:adjustRightInd w:val="0"/>
        <w:spacing w:before="120" w:after="120" w:line="240" w:lineRule="auto"/>
        <w:jc w:val="both"/>
        <w:rPr>
          <w:rFonts w:cstheme="minorHAnsi"/>
          <w:szCs w:val="24"/>
        </w:rPr>
      </w:pPr>
      <w:r w:rsidRPr="00D61280">
        <w:rPr>
          <w:rFonts w:cstheme="minorHAnsi"/>
          <w:szCs w:val="24"/>
        </w:rPr>
        <w:t>3) LEIS2030</w:t>
      </w:r>
      <w:r w:rsidR="00BB768B" w:rsidRPr="00D61280">
        <w:rPr>
          <w:rStyle w:val="FootnoteReference"/>
          <w:rFonts w:cstheme="minorHAnsi"/>
          <w:szCs w:val="24"/>
        </w:rPr>
        <w:footnoteReference w:id="23"/>
      </w:r>
      <w:r w:rsidRPr="00D61280">
        <w:rPr>
          <w:rFonts w:cstheme="minorHAnsi"/>
          <w:szCs w:val="24"/>
        </w:rPr>
        <w:t xml:space="preserve"> ir noteikts šāds Plāna konteksta mērķis:</w:t>
      </w:r>
    </w:p>
    <w:p w14:paraId="4411BA92" w14:textId="77777777" w:rsidR="00091521" w:rsidRPr="00D61280" w:rsidRDefault="00091521" w:rsidP="00C33F7C">
      <w:pPr>
        <w:pStyle w:val="Default"/>
        <w:numPr>
          <w:ilvl w:val="0"/>
          <w:numId w:val="3"/>
        </w:numPr>
        <w:spacing w:before="120" w:after="120"/>
        <w:ind w:left="397" w:hanging="397"/>
        <w:jc w:val="both"/>
        <w:rPr>
          <w:rFonts w:asciiTheme="minorHAnsi" w:hAnsiTheme="minorHAnsi" w:cstheme="minorHAnsi"/>
          <w:iCs/>
        </w:rPr>
      </w:pPr>
      <w:r w:rsidRPr="00D61280">
        <w:rPr>
          <w:rFonts w:asciiTheme="minorHAnsi" w:hAnsiTheme="minorHAnsi" w:cstheme="minorHAnsi"/>
          <w:iCs/>
        </w:rPr>
        <w:t>Konkurētspējīga ekonomika ar ilgtspējīgu enerģētiku un energoapgādes drošības paaugstināšanu.</w:t>
      </w:r>
    </w:p>
    <w:p w14:paraId="772F417C" w14:textId="77777777" w:rsidR="00091521" w:rsidRPr="00D61280" w:rsidRDefault="00091521" w:rsidP="00C33F7C">
      <w:pPr>
        <w:autoSpaceDE w:val="0"/>
        <w:autoSpaceDN w:val="0"/>
        <w:adjustRightInd w:val="0"/>
        <w:spacing w:before="120" w:after="120" w:line="240" w:lineRule="auto"/>
        <w:jc w:val="both"/>
        <w:rPr>
          <w:rFonts w:cstheme="minorHAnsi"/>
          <w:szCs w:val="24"/>
        </w:rPr>
      </w:pPr>
      <w:r w:rsidRPr="00D61280">
        <w:rPr>
          <w:rFonts w:cstheme="minorHAnsi"/>
          <w:szCs w:val="24"/>
        </w:rPr>
        <w:t>LEIS2030 ir noteikti skaitliski AER izmantošanas, enerģijas un energoresursu izmantošanas un importa īpatsvara neobligāti un nesaistoši mērķi 2030.gadam.</w:t>
      </w:r>
    </w:p>
    <w:p w14:paraId="6AF03911" w14:textId="77777777" w:rsidR="00091521" w:rsidRPr="00D61280" w:rsidRDefault="00091521" w:rsidP="00C33F7C">
      <w:pPr>
        <w:autoSpaceDE w:val="0"/>
        <w:autoSpaceDN w:val="0"/>
        <w:adjustRightInd w:val="0"/>
        <w:spacing w:before="120" w:after="120" w:line="240" w:lineRule="auto"/>
        <w:jc w:val="both"/>
        <w:rPr>
          <w:rFonts w:cstheme="minorHAnsi"/>
          <w:color w:val="000000" w:themeColor="text1"/>
          <w:szCs w:val="24"/>
        </w:rPr>
      </w:pPr>
      <w:r w:rsidRPr="00D61280">
        <w:rPr>
          <w:rFonts w:cstheme="minorHAnsi"/>
          <w:color w:val="000000" w:themeColor="text1"/>
          <w:szCs w:val="24"/>
        </w:rPr>
        <w:t xml:space="preserve">Plāna 1. pielikumā ir iekļauta detāla informācija par Plāna sasaisti ar Latvijas politikas plānošanas dokumentiem (tai skaitā, Informatīvajiem ziņojumiem) un ir sniegta detāla informācija par tajos noteiktajiem Plāna </w:t>
      </w:r>
      <w:proofErr w:type="spellStart"/>
      <w:r w:rsidRPr="00D61280">
        <w:rPr>
          <w:rFonts w:cstheme="minorHAnsi"/>
          <w:color w:val="000000" w:themeColor="text1"/>
          <w:szCs w:val="24"/>
        </w:rPr>
        <w:t>rīcībpolitikas</w:t>
      </w:r>
      <w:proofErr w:type="spellEnd"/>
      <w:r w:rsidRPr="00D61280">
        <w:rPr>
          <w:rFonts w:cstheme="minorHAnsi"/>
          <w:color w:val="000000" w:themeColor="text1"/>
          <w:szCs w:val="24"/>
        </w:rPr>
        <w:t xml:space="preserve"> konteksta mērķiem un galvenajiem rīcības virzieniem šo mērķu sasniegšanai.</w:t>
      </w:r>
      <w:bookmarkStart w:id="24" w:name="_Toc520978799"/>
    </w:p>
    <w:p w14:paraId="1CCA274E" w14:textId="77777777" w:rsidR="00091521" w:rsidRPr="00D61280" w:rsidRDefault="00091521" w:rsidP="00C33F7C">
      <w:pPr>
        <w:pStyle w:val="Heading3"/>
        <w:rPr>
          <w:rStyle w:val="eop"/>
          <w:rFonts w:asciiTheme="minorHAnsi" w:hAnsiTheme="minorHAnsi" w:cstheme="minorHAnsi"/>
          <w:color w:val="000000" w:themeColor="text1"/>
        </w:rPr>
      </w:pPr>
      <w:bookmarkStart w:id="25" w:name="_Toc527529424"/>
      <w:r w:rsidRPr="00D61280">
        <w:rPr>
          <w:rStyle w:val="normaltextrun"/>
          <w:rFonts w:asciiTheme="minorHAnsi" w:hAnsiTheme="minorHAnsi" w:cstheme="minorHAnsi"/>
          <w:color w:val="000000" w:themeColor="text1"/>
        </w:rPr>
        <w:t>Pārrobežu kontekstā svarīgie jautājumi</w:t>
      </w:r>
      <w:bookmarkEnd w:id="24"/>
      <w:bookmarkEnd w:id="25"/>
      <w:r w:rsidRPr="00D61280">
        <w:rPr>
          <w:rStyle w:val="eop"/>
          <w:rFonts w:asciiTheme="minorHAnsi" w:hAnsiTheme="minorHAnsi" w:cstheme="minorHAnsi"/>
          <w:color w:val="000000" w:themeColor="text1"/>
        </w:rPr>
        <w:t> </w:t>
      </w:r>
    </w:p>
    <w:p w14:paraId="1252A4FE" w14:textId="77777777" w:rsidR="00091521" w:rsidRPr="00D61280" w:rsidRDefault="00091521" w:rsidP="00C33F7C">
      <w:pPr>
        <w:spacing w:before="120" w:after="120" w:line="240" w:lineRule="auto"/>
        <w:jc w:val="both"/>
        <w:rPr>
          <w:rFonts w:cstheme="minorHAnsi"/>
          <w:color w:val="000000" w:themeColor="text1"/>
          <w:szCs w:val="24"/>
        </w:rPr>
      </w:pPr>
      <w:r w:rsidRPr="00D61280">
        <w:rPr>
          <w:rFonts w:cstheme="minorHAnsi"/>
          <w:color w:val="000000" w:themeColor="text1"/>
          <w:szCs w:val="24"/>
        </w:rPr>
        <w:t xml:space="preserve">Plāna kontekstā svarīgākie īstenotie pasākumi attiecas uz Baltijas enerģijas tirgus </w:t>
      </w:r>
      <w:proofErr w:type="spellStart"/>
      <w:r w:rsidRPr="00D61280">
        <w:rPr>
          <w:rFonts w:cstheme="minorHAnsi"/>
          <w:color w:val="000000" w:themeColor="text1"/>
          <w:szCs w:val="24"/>
        </w:rPr>
        <w:t>starpsavienojumiem</w:t>
      </w:r>
      <w:proofErr w:type="spellEnd"/>
      <w:r w:rsidRPr="00D61280">
        <w:rPr>
          <w:rFonts w:cstheme="minorHAnsi"/>
          <w:color w:val="000000" w:themeColor="text1"/>
          <w:szCs w:val="24"/>
        </w:rPr>
        <w:t xml:space="preserve"> un enerģētiskās drošības jautājumiem.</w:t>
      </w:r>
    </w:p>
    <w:p w14:paraId="07906CF5" w14:textId="77777777" w:rsidR="00091521" w:rsidRPr="00D61280" w:rsidRDefault="00091521" w:rsidP="00C33F7C">
      <w:pPr>
        <w:spacing w:before="120" w:after="120" w:line="240" w:lineRule="auto"/>
        <w:jc w:val="both"/>
        <w:rPr>
          <w:rFonts w:cstheme="minorHAnsi"/>
          <w:color w:val="000000" w:themeColor="text1"/>
          <w:szCs w:val="24"/>
        </w:rPr>
      </w:pPr>
      <w:r w:rsidRPr="00D61280">
        <w:rPr>
          <w:rFonts w:cstheme="minorHAnsi"/>
          <w:color w:val="000000" w:themeColor="text1"/>
          <w:szCs w:val="24"/>
        </w:rPr>
        <w:lastRenderedPageBreak/>
        <w:t xml:space="preserve">Pārrobežu kontekstā ir arī svarīgi Baltijas valstu starpā saskaņot tādus pasākumus, kas ietekmē ne tikai infrastruktūru un elektroenerģijas savienojamību, bet arī energoresursu </w:t>
      </w:r>
      <w:bookmarkStart w:id="26" w:name="_Hlk520283543"/>
      <w:r w:rsidRPr="00D61280">
        <w:rPr>
          <w:rFonts w:cstheme="minorHAnsi"/>
          <w:color w:val="000000" w:themeColor="text1"/>
          <w:szCs w:val="24"/>
        </w:rPr>
        <w:t>(gan fosilo energoresursu, gan biomasas un biodegvielas)</w:t>
      </w:r>
      <w:bookmarkEnd w:id="26"/>
      <w:r w:rsidRPr="00D61280">
        <w:rPr>
          <w:rFonts w:cstheme="minorHAnsi"/>
          <w:color w:val="000000" w:themeColor="text1"/>
          <w:szCs w:val="24"/>
        </w:rPr>
        <w:t xml:space="preserve"> plūsmu starp Baltijas valstīm.</w:t>
      </w:r>
    </w:p>
    <w:p w14:paraId="4AB0ADD3" w14:textId="77777777" w:rsidR="00091521" w:rsidRPr="00D61280" w:rsidRDefault="00091521" w:rsidP="00C33F7C">
      <w:pPr>
        <w:spacing w:before="120" w:after="120" w:line="240" w:lineRule="auto"/>
        <w:jc w:val="both"/>
        <w:rPr>
          <w:rFonts w:cstheme="minorHAnsi"/>
          <w:color w:val="000000" w:themeColor="text1"/>
          <w:szCs w:val="24"/>
        </w:rPr>
      </w:pPr>
      <w:r w:rsidRPr="00D61280">
        <w:rPr>
          <w:rFonts w:cstheme="minorHAnsi"/>
          <w:color w:val="000000" w:themeColor="text1"/>
          <w:szCs w:val="24"/>
        </w:rPr>
        <w:t xml:space="preserve">Dekarbonizācijas kontekstā ir ļoti svarīgi izveidot un uzturēt vienotu (harmonizētu) skatījumu uz dekarbonizācijas iespējām Baltijas valstīs un uz vienotu pieeju dekarbonizācijas pasākumu īstenošanā. Tomēr vienotās pieejas dekarbonizācijas pasākumu īstenošanai piemērošana varētu būt apgrūtināta dalībvalstu dažādās situācijas īpaši attiecībā uz enerģētikas struktūru un SEG emisiju galvenajiem avotiem, kur Latvijā ir vislielākais no visām Baltijas valstīm ne-ETS darbību SEG emisiju īpatsvars (2.lielākais ES dalībvalstīs) un ne-ETS darbību SEG emisiju apjomā dominē lauksaimniecības un transporta darbības, savukārt Igaunijā ne-ETS darbību SEG emisiju īpatsvars ir viens no zemākajiem ES dalībvalstu vidū ar dominējošām transporta emisijām. Lietuvas ne-ETS darbību SEG emisiju īpatsvars un to struktūra, kurā dominē transporta un lauksaimniecības sektori, ir vairāk līdzīga Latvijai kā Igaunijas. Tomēr visās trīs Baltijas valstīs transports ir viens no lielākajiem ne-ETS darbību SEG emisiju avotiem un līdz ar to būtu ieteicams veikt saskaņotas darbības tieši transporta sektora emisiju samazināšanai. </w:t>
      </w:r>
    </w:p>
    <w:p w14:paraId="770941AE" w14:textId="77777777" w:rsidR="00091521" w:rsidRPr="00D61280" w:rsidRDefault="00091521" w:rsidP="00C33F7C">
      <w:pPr>
        <w:pStyle w:val="Heading3"/>
        <w:rPr>
          <w:rStyle w:val="normaltextrun"/>
          <w:rFonts w:asciiTheme="minorHAnsi" w:hAnsiTheme="minorHAnsi" w:cstheme="minorHAnsi"/>
        </w:rPr>
      </w:pPr>
      <w:bookmarkStart w:id="27" w:name="_Toc520978800"/>
      <w:bookmarkStart w:id="28" w:name="_Toc527529425"/>
      <w:r w:rsidRPr="00D61280">
        <w:rPr>
          <w:rStyle w:val="normaltextrun"/>
          <w:rFonts w:asciiTheme="minorHAnsi" w:hAnsiTheme="minorHAnsi" w:cstheme="minorHAnsi"/>
        </w:rPr>
        <w:t xml:space="preserve">Nacionālo enerģētikas un klimata </w:t>
      </w:r>
      <w:proofErr w:type="spellStart"/>
      <w:r w:rsidRPr="00D61280">
        <w:rPr>
          <w:rStyle w:val="normaltextrun"/>
          <w:rFonts w:asciiTheme="minorHAnsi" w:hAnsiTheme="minorHAnsi" w:cstheme="minorHAnsi"/>
        </w:rPr>
        <w:t>rīcībpolitiku</w:t>
      </w:r>
      <w:proofErr w:type="spellEnd"/>
      <w:r w:rsidRPr="00D61280">
        <w:rPr>
          <w:rStyle w:val="normaltextrun"/>
          <w:rFonts w:asciiTheme="minorHAnsi" w:hAnsiTheme="minorHAnsi" w:cstheme="minorHAnsi"/>
        </w:rPr>
        <w:t xml:space="preserve"> īstenošanas administratīvā struktūra</w:t>
      </w:r>
      <w:bookmarkEnd w:id="27"/>
      <w:bookmarkEnd w:id="28"/>
      <w:r w:rsidRPr="00D61280">
        <w:rPr>
          <w:rStyle w:val="normaltextrun"/>
          <w:rFonts w:asciiTheme="minorHAnsi" w:hAnsiTheme="minorHAnsi" w:cstheme="minorHAnsi"/>
        </w:rPr>
        <w:t> </w:t>
      </w:r>
    </w:p>
    <w:p w14:paraId="39299BBC" w14:textId="77777777" w:rsidR="00091521" w:rsidRPr="00D61280" w:rsidRDefault="00091521" w:rsidP="00C33F7C">
      <w:pPr>
        <w:spacing w:before="120" w:after="120" w:line="240" w:lineRule="auto"/>
        <w:jc w:val="both"/>
        <w:rPr>
          <w:rFonts w:cstheme="minorHAnsi"/>
          <w:szCs w:val="24"/>
        </w:rPr>
      </w:pPr>
      <w:r w:rsidRPr="00D61280">
        <w:rPr>
          <w:rFonts w:cstheme="minorHAnsi"/>
          <w:szCs w:val="24"/>
        </w:rPr>
        <w:t>Nozaru ministriju kompetences tiek atrunātas ministriju nolikumos</w:t>
      </w:r>
      <w:r w:rsidRPr="00D61280">
        <w:rPr>
          <w:rStyle w:val="FootnoteReference"/>
          <w:rFonts w:cstheme="minorHAnsi"/>
          <w:szCs w:val="24"/>
        </w:rPr>
        <w:footnoteReference w:id="24"/>
      </w:r>
      <w:r w:rsidRPr="00D61280">
        <w:rPr>
          <w:rFonts w:cstheme="minorHAnsi"/>
          <w:szCs w:val="24"/>
        </w:rPr>
        <w:t>, kas tiek apstiprināti Ministru kabinetā (kā Ministru kabineta noteikumi).</w:t>
      </w:r>
    </w:p>
    <w:p w14:paraId="0C4847F4" w14:textId="77777777" w:rsidR="00091521" w:rsidRPr="00D61280" w:rsidRDefault="00091521" w:rsidP="00C33F7C">
      <w:pPr>
        <w:spacing w:before="120" w:after="120" w:line="240" w:lineRule="auto"/>
        <w:jc w:val="both"/>
        <w:rPr>
          <w:rFonts w:cstheme="minorHAnsi"/>
          <w:szCs w:val="24"/>
        </w:rPr>
      </w:pPr>
      <w:r w:rsidRPr="00D61280">
        <w:rPr>
          <w:rFonts w:cstheme="minorHAnsi"/>
          <w:szCs w:val="24"/>
        </w:rPr>
        <w:t>AER izmantošanas, energoefektivitātes veicināšanas kā arī enerģētiskās drošības un iekšējā enerģijas tirgus politikas izstrāde kopumā ir EM kompetence. SEG emisiju samazināšanas t.sk. CO</w:t>
      </w:r>
      <w:r w:rsidRPr="00D61280">
        <w:rPr>
          <w:rFonts w:cstheme="minorHAnsi"/>
          <w:szCs w:val="24"/>
          <w:vertAlign w:val="subscript"/>
        </w:rPr>
        <w:t>2</w:t>
      </w:r>
      <w:r w:rsidRPr="00D61280">
        <w:rPr>
          <w:rFonts w:cstheme="minorHAnsi"/>
          <w:szCs w:val="24"/>
        </w:rPr>
        <w:t>, apjoma nodrošināšanai politiku izstrādā VARAM. Savukārt izglītības un zinātnes jomā kompetentā iestāde Latvijā ir IZM, bet inovāciju un konkurētspējas jautājumi ir EM un VARAM kompetencē.</w:t>
      </w:r>
    </w:p>
    <w:p w14:paraId="452E6F99" w14:textId="77777777" w:rsidR="00091521" w:rsidRPr="00D61280" w:rsidRDefault="00091521" w:rsidP="00C33F7C">
      <w:pPr>
        <w:pStyle w:val="Heading2"/>
        <w:spacing w:before="120" w:after="120" w:line="240" w:lineRule="auto"/>
        <w:ind w:left="567"/>
        <w:rPr>
          <w:rFonts w:asciiTheme="minorHAnsi" w:hAnsiTheme="minorHAnsi" w:cstheme="minorHAnsi"/>
        </w:rPr>
      </w:pPr>
      <w:bookmarkStart w:id="29" w:name="_Toc520978801"/>
      <w:bookmarkStart w:id="30" w:name="_Toc527529426"/>
      <w:bookmarkStart w:id="31" w:name="_Toc532909997"/>
      <w:bookmarkStart w:id="32" w:name="_Toc10527194"/>
      <w:bookmarkStart w:id="33" w:name="_Hlk531554403"/>
      <w:r w:rsidRPr="00D61280">
        <w:rPr>
          <w:rFonts w:asciiTheme="minorHAnsi" w:hAnsiTheme="minorHAnsi" w:cstheme="minorHAnsi"/>
        </w:rPr>
        <w:t>Apspriede ar valsts un ES struktūrām, to iesaiste un attiecīgie rezultāti</w:t>
      </w:r>
      <w:bookmarkEnd w:id="29"/>
      <w:bookmarkEnd w:id="30"/>
      <w:bookmarkEnd w:id="31"/>
      <w:bookmarkEnd w:id="32"/>
      <w:r w:rsidRPr="00D61280">
        <w:rPr>
          <w:rFonts w:asciiTheme="minorHAnsi" w:hAnsiTheme="minorHAnsi" w:cstheme="minorHAnsi"/>
        </w:rPr>
        <w:t xml:space="preserve"> </w:t>
      </w:r>
    </w:p>
    <w:p w14:paraId="217C1999" w14:textId="517FC935" w:rsidR="00091521" w:rsidRPr="00D61280" w:rsidRDefault="00091521" w:rsidP="00C33F7C">
      <w:pPr>
        <w:spacing w:before="120" w:after="120" w:line="240" w:lineRule="auto"/>
        <w:jc w:val="both"/>
        <w:rPr>
          <w:rFonts w:cstheme="minorHAnsi"/>
        </w:rPr>
      </w:pPr>
      <w:r w:rsidRPr="00D61280">
        <w:rPr>
          <w:rFonts w:cstheme="minorHAnsi"/>
        </w:rPr>
        <w:t xml:space="preserve">Plāna projekta un Plāna </w:t>
      </w:r>
      <w:proofErr w:type="spellStart"/>
      <w:r w:rsidRPr="00D61280">
        <w:rPr>
          <w:rFonts w:cstheme="minorHAnsi"/>
        </w:rPr>
        <w:t>galaversijas</w:t>
      </w:r>
      <w:proofErr w:type="spellEnd"/>
      <w:r w:rsidRPr="00D61280">
        <w:rPr>
          <w:rFonts w:cstheme="minorHAnsi"/>
        </w:rPr>
        <w:t xml:space="preserve"> izstrādes laikā Plānā iekļautie nosacījumi – Plāna ilgtermiņa vīzija, mērķi, rīcības virzieni un pasākumi tika efektīvi apspriesti ar sabiedrību – vairākās Plānā iekļauto rīcības virzienu un pasākumu, kā arī Plānam kopumā veltītajos pasākumos, ar plānošanas reģioniem un pašvaldībām, kā arī nozaru un nevalstisko organizāciju pārstāvjiem. Saņemtie komentāri un ieteikumi iespēju robežās visām ministrijām sadarbojoties ir izvērtēti un iestrādāti Plānā. </w:t>
      </w:r>
    </w:p>
    <w:p w14:paraId="30EED454" w14:textId="5C7C350F" w:rsidR="00091521" w:rsidRPr="00D61280" w:rsidRDefault="00091521" w:rsidP="00C33F7C">
      <w:pPr>
        <w:spacing w:before="120" w:after="120" w:line="240" w:lineRule="auto"/>
        <w:jc w:val="both"/>
        <w:rPr>
          <w:rFonts w:cstheme="minorHAnsi"/>
        </w:rPr>
      </w:pPr>
      <w:r w:rsidRPr="00D61280">
        <w:rPr>
          <w:rFonts w:cstheme="minorHAnsi"/>
        </w:rPr>
        <w:t xml:space="preserve">Tāpat Plāna projektu izvērtēja vairākas nevalstiskās organizācijas. CEE </w:t>
      </w:r>
      <w:proofErr w:type="spellStart"/>
      <w:r w:rsidRPr="00D61280">
        <w:rPr>
          <w:rFonts w:cstheme="minorHAnsi"/>
        </w:rPr>
        <w:t>Bankwatch</w:t>
      </w:r>
      <w:proofErr w:type="spellEnd"/>
      <w:r w:rsidRPr="00D61280">
        <w:rPr>
          <w:rFonts w:cstheme="minorHAnsi"/>
        </w:rPr>
        <w:t xml:space="preserve"> </w:t>
      </w:r>
      <w:proofErr w:type="spellStart"/>
      <w:r w:rsidRPr="00D61280">
        <w:rPr>
          <w:rFonts w:cstheme="minorHAnsi"/>
        </w:rPr>
        <w:t>Network</w:t>
      </w:r>
      <w:proofErr w:type="spellEnd"/>
      <w:r w:rsidRPr="00D61280">
        <w:rPr>
          <w:rStyle w:val="FootnoteReference"/>
          <w:rFonts w:cstheme="minorHAnsi"/>
        </w:rPr>
        <w:footnoteReference w:id="25"/>
      </w:r>
      <w:r w:rsidRPr="00D61280">
        <w:rPr>
          <w:rFonts w:cstheme="minorHAnsi"/>
        </w:rPr>
        <w:t xml:space="preserve"> ierosināja paaugstināt </w:t>
      </w:r>
      <w:r w:rsidR="003518FA">
        <w:rPr>
          <w:rFonts w:cstheme="minorHAnsi"/>
        </w:rPr>
        <w:t>AER</w:t>
      </w:r>
      <w:r w:rsidRPr="00D61280">
        <w:rPr>
          <w:rFonts w:cstheme="minorHAnsi"/>
        </w:rPr>
        <w:t xml:space="preserve"> izmantošanas un energoefektivitātes uzlabošanas ambīcijas, kā arī izstrādāt atbilstošas politikas un pasākumus šo ambīciju sasniegšanai</w:t>
      </w:r>
      <w:r w:rsidR="003518FA">
        <w:rPr>
          <w:rFonts w:cstheme="minorHAnsi"/>
        </w:rPr>
        <w:t>. T</w:t>
      </w:r>
      <w:r w:rsidRPr="00D61280">
        <w:rPr>
          <w:rFonts w:cstheme="minorHAnsi"/>
        </w:rPr>
        <w:t xml:space="preserve">āpat </w:t>
      </w:r>
      <w:r w:rsidR="003518FA">
        <w:rPr>
          <w:rFonts w:cstheme="minorHAnsi"/>
        </w:rPr>
        <w:t>ir i</w:t>
      </w:r>
      <w:r w:rsidRPr="00D61280">
        <w:rPr>
          <w:rFonts w:cstheme="minorHAnsi"/>
        </w:rPr>
        <w:t>erosināts pārskatīt SEG emisiju samazināšanas pasākumus, kur nebūtu atbalstāma atkritumu sadedzināšana</w:t>
      </w:r>
      <w:r w:rsidR="003518FA">
        <w:rPr>
          <w:rFonts w:cstheme="minorHAnsi"/>
        </w:rPr>
        <w:t>, un ir norādīts</w:t>
      </w:r>
      <w:r w:rsidRPr="00D61280">
        <w:rPr>
          <w:rFonts w:cstheme="minorHAnsi"/>
        </w:rPr>
        <w:t>,</w:t>
      </w:r>
      <w:r w:rsidR="003518FA">
        <w:rPr>
          <w:rFonts w:cstheme="minorHAnsi"/>
        </w:rPr>
        <w:t xml:space="preserve"> lai arī paredzēts pakāpenisks dabasgāzes </w:t>
      </w:r>
      <w:proofErr w:type="spellStart"/>
      <w:r w:rsidR="003518FA">
        <w:rPr>
          <w:rFonts w:cstheme="minorHAnsi"/>
        </w:rPr>
        <w:t>galapatēriņa</w:t>
      </w:r>
      <w:proofErr w:type="spellEnd"/>
      <w:r w:rsidR="003518FA">
        <w:rPr>
          <w:rFonts w:cstheme="minorHAnsi"/>
        </w:rPr>
        <w:t xml:space="preserve"> samazinājums, nav noteikta mērķa pakāpeniski pārtraukt fosilas izcelsmes kurināmā izmantošanu</w:t>
      </w:r>
      <w:r w:rsidRPr="00D61280">
        <w:rPr>
          <w:rFonts w:cstheme="minorHAnsi"/>
        </w:rPr>
        <w:t xml:space="preserve">. </w:t>
      </w:r>
      <w:r w:rsidR="000860FB" w:rsidRPr="00D61280">
        <w:rPr>
          <w:rFonts w:cstheme="minorHAnsi"/>
        </w:rPr>
        <w:t>“</w:t>
      </w:r>
      <w:proofErr w:type="spellStart"/>
      <w:r w:rsidRPr="00D61280">
        <w:rPr>
          <w:rFonts w:cstheme="minorHAnsi"/>
        </w:rPr>
        <w:t>Ecologic</w:t>
      </w:r>
      <w:proofErr w:type="spellEnd"/>
      <w:r w:rsidRPr="00D61280">
        <w:rPr>
          <w:rFonts w:cstheme="minorHAnsi"/>
        </w:rPr>
        <w:t xml:space="preserve"> </w:t>
      </w:r>
      <w:proofErr w:type="spellStart"/>
      <w:r w:rsidRPr="00D61280">
        <w:rPr>
          <w:rFonts w:cstheme="minorHAnsi"/>
        </w:rPr>
        <w:t>Institute</w:t>
      </w:r>
      <w:proofErr w:type="spellEnd"/>
      <w:r w:rsidRPr="00D61280">
        <w:rPr>
          <w:rFonts w:cstheme="minorHAnsi"/>
        </w:rPr>
        <w:t xml:space="preserve"> un </w:t>
      </w:r>
      <w:proofErr w:type="spellStart"/>
      <w:r w:rsidRPr="00D61280">
        <w:rPr>
          <w:rFonts w:cstheme="minorHAnsi"/>
        </w:rPr>
        <w:t>Climact</w:t>
      </w:r>
      <w:proofErr w:type="spellEnd"/>
      <w:r w:rsidRPr="00D61280">
        <w:rPr>
          <w:rFonts w:cstheme="minorHAnsi"/>
        </w:rPr>
        <w:t xml:space="preserve"> </w:t>
      </w:r>
      <w:proofErr w:type="spellStart"/>
      <w:r w:rsidRPr="00D61280">
        <w:rPr>
          <w:rFonts w:cstheme="minorHAnsi"/>
        </w:rPr>
        <w:t>for</w:t>
      </w:r>
      <w:proofErr w:type="spellEnd"/>
      <w:r w:rsidRPr="00D61280">
        <w:rPr>
          <w:rFonts w:cstheme="minorHAnsi"/>
        </w:rPr>
        <w:t xml:space="preserve"> </w:t>
      </w:r>
      <w:proofErr w:type="spellStart"/>
      <w:r w:rsidRPr="00D61280">
        <w:rPr>
          <w:rFonts w:cstheme="minorHAnsi"/>
        </w:rPr>
        <w:t>the</w:t>
      </w:r>
      <w:proofErr w:type="spellEnd"/>
      <w:r w:rsidRPr="00D61280">
        <w:rPr>
          <w:rFonts w:cstheme="minorHAnsi"/>
        </w:rPr>
        <w:t xml:space="preserve"> </w:t>
      </w:r>
      <w:proofErr w:type="spellStart"/>
      <w:r w:rsidRPr="00D61280">
        <w:rPr>
          <w:rFonts w:cstheme="minorHAnsi"/>
        </w:rPr>
        <w:t>European</w:t>
      </w:r>
      <w:proofErr w:type="spellEnd"/>
      <w:r w:rsidRPr="00D61280">
        <w:rPr>
          <w:rFonts w:cstheme="minorHAnsi"/>
        </w:rPr>
        <w:t xml:space="preserve"> </w:t>
      </w:r>
      <w:proofErr w:type="spellStart"/>
      <w:r w:rsidRPr="00D61280">
        <w:rPr>
          <w:rFonts w:cstheme="minorHAnsi"/>
        </w:rPr>
        <w:t>Climate</w:t>
      </w:r>
      <w:proofErr w:type="spellEnd"/>
      <w:r w:rsidRPr="00D61280">
        <w:rPr>
          <w:rFonts w:cstheme="minorHAnsi"/>
        </w:rPr>
        <w:t xml:space="preserve"> </w:t>
      </w:r>
      <w:proofErr w:type="spellStart"/>
      <w:r w:rsidRPr="00D61280">
        <w:rPr>
          <w:rFonts w:cstheme="minorHAnsi"/>
        </w:rPr>
        <w:t>Foundation</w:t>
      </w:r>
      <w:proofErr w:type="spellEnd"/>
      <w:r w:rsidR="000860FB" w:rsidRPr="00D61280">
        <w:rPr>
          <w:rFonts w:cstheme="minorHAnsi"/>
        </w:rPr>
        <w:t xml:space="preserve">” </w:t>
      </w:r>
      <w:proofErr w:type="spellStart"/>
      <w:r w:rsidRPr="00D61280">
        <w:rPr>
          <w:rFonts w:cstheme="minorHAnsi"/>
        </w:rPr>
        <w:t>izvērtējumā</w:t>
      </w:r>
      <w:proofErr w:type="spellEnd"/>
      <w:r w:rsidRPr="00D61280">
        <w:rPr>
          <w:rStyle w:val="FootnoteReference"/>
          <w:rFonts w:cstheme="minorHAnsi"/>
        </w:rPr>
        <w:footnoteReference w:id="26"/>
      </w:r>
      <w:r w:rsidRPr="00D61280">
        <w:rPr>
          <w:rFonts w:cstheme="minorHAnsi"/>
        </w:rPr>
        <w:t xml:space="preserve"> Latvija tika ierindota 11.vietā no 28 ES dalībvalstīm, kur tika uzteikta sabiedrības iesaistes procesa norise, tāpat arī Plāna projektā iekļautā detālā informācija par </w:t>
      </w:r>
      <w:proofErr w:type="spellStart"/>
      <w:r w:rsidRPr="00D61280">
        <w:rPr>
          <w:rFonts w:cstheme="minorHAnsi"/>
        </w:rPr>
        <w:t>rīcībpolitikām</w:t>
      </w:r>
      <w:proofErr w:type="spellEnd"/>
      <w:r w:rsidRPr="00D61280">
        <w:rPr>
          <w:rFonts w:cstheme="minorHAnsi"/>
        </w:rPr>
        <w:t xml:space="preserve"> un pasākumiem un Plānā noteiktais 2030.gada kopējais Latvijas SEG emisiju samazināšanas mērķis. Tomēr negatīvi tika novērtēts 2030.gada ne-ETS darbību SEG emisiju samazināšanas </w:t>
      </w:r>
      <w:r w:rsidRPr="00D61280">
        <w:rPr>
          <w:rFonts w:cstheme="minorHAnsi"/>
        </w:rPr>
        <w:lastRenderedPageBreak/>
        <w:t xml:space="preserve">minimālais līmenis, kā arī informācijas trūkums par enerģijas subsīdiju izslēgšanas trūkumu un fosilās enerģijas izmantošanas beigšanu. CAN </w:t>
      </w:r>
      <w:proofErr w:type="spellStart"/>
      <w:r w:rsidRPr="00D61280">
        <w:rPr>
          <w:rFonts w:cstheme="minorHAnsi"/>
        </w:rPr>
        <w:t>Europe</w:t>
      </w:r>
      <w:proofErr w:type="spellEnd"/>
      <w:r w:rsidRPr="00D61280">
        <w:rPr>
          <w:rFonts w:cstheme="minorHAnsi"/>
        </w:rPr>
        <w:t xml:space="preserve"> </w:t>
      </w:r>
      <w:proofErr w:type="spellStart"/>
      <w:r w:rsidRPr="00D61280">
        <w:rPr>
          <w:rFonts w:cstheme="minorHAnsi"/>
        </w:rPr>
        <w:t>izvērtējumā</w:t>
      </w:r>
      <w:proofErr w:type="spellEnd"/>
      <w:r w:rsidRPr="00D61280">
        <w:rPr>
          <w:rStyle w:val="FootnoteReference"/>
          <w:rFonts w:cstheme="minorHAnsi"/>
        </w:rPr>
        <w:footnoteReference w:id="27"/>
      </w:r>
      <w:r w:rsidRPr="00D61280">
        <w:rPr>
          <w:rFonts w:cstheme="minorHAnsi"/>
        </w:rPr>
        <w:t xml:space="preserve"> </w:t>
      </w:r>
      <w:r w:rsidR="003518FA">
        <w:rPr>
          <w:rFonts w:cstheme="minorHAnsi"/>
        </w:rPr>
        <w:t xml:space="preserve">it </w:t>
      </w:r>
      <w:r w:rsidRPr="00D61280">
        <w:rPr>
          <w:rFonts w:cstheme="minorHAnsi"/>
        </w:rPr>
        <w:t xml:space="preserve">norādīts, ka Latvijai nav izstrādāta un netiek īstenota caurspīdīga un sistemātiska AER izmantošanas veicināšanas atbalsta politika, </w:t>
      </w:r>
      <w:r w:rsidR="003518FA">
        <w:rPr>
          <w:rFonts w:cstheme="minorHAnsi"/>
        </w:rPr>
        <w:t>kā arī norādīts, ka Plānā ir mērķis izmantot ne-fosilas izcelsmes gāzi, bet tajā pašā laikā nav mērķu neizmantot fosilas izcelsmes gāzi, kā arī nav iekļauta analīze par ne-fosilas izcelsmes gāzes potenciālu, tās ieguves izmaksām un investīciju apjomu infrastruktūrā tās uzglabāšanai un transportēšanai</w:t>
      </w:r>
      <w:r w:rsidRPr="00D61280">
        <w:rPr>
          <w:rFonts w:cstheme="minorHAnsi"/>
        </w:rPr>
        <w:t>.</w:t>
      </w:r>
      <w:bookmarkStart w:id="34" w:name="_GoBack"/>
      <w:bookmarkEnd w:id="34"/>
    </w:p>
    <w:p w14:paraId="55547ADF" w14:textId="77777777" w:rsidR="00091521" w:rsidRPr="00D61280" w:rsidRDefault="00091521" w:rsidP="00C33F7C">
      <w:pPr>
        <w:pStyle w:val="Heading3"/>
        <w:rPr>
          <w:rFonts w:asciiTheme="minorHAnsi" w:hAnsiTheme="minorHAnsi" w:cstheme="minorHAnsi"/>
        </w:rPr>
      </w:pPr>
      <w:bookmarkStart w:id="35" w:name="_Toc520978802"/>
      <w:bookmarkStart w:id="36" w:name="_Toc527529427"/>
      <w:r w:rsidRPr="00D61280">
        <w:rPr>
          <w:rFonts w:asciiTheme="minorHAnsi" w:hAnsiTheme="minorHAnsi" w:cstheme="minorHAnsi"/>
        </w:rPr>
        <w:t>Latvijas Republikas Saeimas un Ministru kabineta iesaiste</w:t>
      </w:r>
      <w:bookmarkEnd w:id="35"/>
      <w:bookmarkEnd w:id="36"/>
      <w:r w:rsidRPr="00D61280">
        <w:rPr>
          <w:rFonts w:asciiTheme="minorHAnsi" w:hAnsiTheme="minorHAnsi" w:cstheme="minorHAnsi"/>
        </w:rPr>
        <w:t xml:space="preserve"> </w:t>
      </w:r>
    </w:p>
    <w:p w14:paraId="24FAAD7B" w14:textId="77777777" w:rsidR="00091521" w:rsidRPr="00D61280" w:rsidRDefault="00091521" w:rsidP="00C33F7C">
      <w:pPr>
        <w:spacing w:before="120" w:after="120" w:line="240" w:lineRule="auto"/>
        <w:jc w:val="both"/>
        <w:rPr>
          <w:rFonts w:cstheme="minorHAnsi"/>
        </w:rPr>
      </w:pPr>
      <w:r w:rsidRPr="00D61280">
        <w:rPr>
          <w:rFonts w:cstheme="minorHAnsi"/>
        </w:rPr>
        <w:t xml:space="preserve">2018.gada 26.jūnijā Ministru kabinetā tika apstiprināts informatīvais ziņojums “Par Nacionālā enerģētikas un klimata plāna izstrādi” un Ministru kabineta sēdes </w:t>
      </w:r>
      <w:proofErr w:type="spellStart"/>
      <w:r w:rsidRPr="00D61280">
        <w:rPr>
          <w:rFonts w:cstheme="minorHAnsi"/>
        </w:rPr>
        <w:t>protokollēmums</w:t>
      </w:r>
      <w:proofErr w:type="spellEnd"/>
      <w:r w:rsidRPr="00D61280">
        <w:rPr>
          <w:rFonts w:cstheme="minorHAnsi"/>
        </w:rPr>
        <w:t xml:space="preserve"> “Informatīvais ziņojums "Par Nacionālā enerģētikas un klimata plāna izstrādi"” (Ministru kabineta 2018.gada 26.jūnija protokola Nr.30 50.§), kas noteica Plāna saturiskos elementus un laika ietvaru, kā arī Plāna izstrādes principus un informācijas sagatavošanas atbildības. Plāna izstrādes galvenie koordinatori ir Ekonomikas ministrija un Vides aizsardzības un reģionālās attīstības ministrija, un iesaistītas ir arī Ārlietu ministrija, Finanšu ministrija, Izglītības un zinātnes ministrija, Labklājības ministrija, Satiksmes ministrija, Zemkopības ministrija un Pārresoru koordinācijas centrs.</w:t>
      </w:r>
    </w:p>
    <w:p w14:paraId="3FDE13D0" w14:textId="77777777" w:rsidR="00091521" w:rsidRPr="00D61280" w:rsidRDefault="00091521" w:rsidP="00C33F7C">
      <w:pPr>
        <w:spacing w:before="120" w:after="120" w:line="240" w:lineRule="auto"/>
        <w:jc w:val="both"/>
        <w:rPr>
          <w:rFonts w:cstheme="minorHAnsi"/>
        </w:rPr>
      </w:pPr>
      <w:r w:rsidRPr="00D61280">
        <w:rPr>
          <w:rFonts w:cstheme="minorHAnsi"/>
        </w:rPr>
        <w:t>Plāna projekta iesniegšana Eiropas Komisijā tika apstiprināta Ministru kabinetā 2018.gada 18.decembra sēdē (sēdes protokola Nr.60 96.§). Saskaņā ar Latvijas attīstības plānošanas sistēmu Plāna projektu ir nepieciešams izsludināt Valsts sekretāru sanāksmē un apstiprināt Ministru kabinetā. Plāna projekta apstiprināšana Latvijas Republikas Saeimā nav paredzēta Latvijas attīstības plānošanas sistēmā un Latvijas normatīvajā regulējumā.</w:t>
      </w:r>
    </w:p>
    <w:p w14:paraId="45AADB05" w14:textId="77777777" w:rsidR="00091521" w:rsidRPr="00D61280" w:rsidRDefault="00091521" w:rsidP="00C33F7C">
      <w:pPr>
        <w:spacing w:before="120" w:after="120" w:line="240" w:lineRule="auto"/>
        <w:jc w:val="both"/>
        <w:rPr>
          <w:rFonts w:cstheme="minorHAnsi"/>
        </w:rPr>
      </w:pPr>
      <w:r w:rsidRPr="00D61280">
        <w:rPr>
          <w:rFonts w:cstheme="minorHAnsi"/>
        </w:rPr>
        <w:t xml:space="preserve">Plāna projekts 2019.gadā ir skatīts vairākās Latvijas Republikas Saeimas komisijās – Saeimas Ilgtspējīgas attīstības komisijā un Saeimas Eiropas lietu komisijā. Saeimas Eiropas lietu komisija ierosināja primāri izstrādāt nodokļu sloga samazinājuma risinājumus tiem iedzīvotājiem, kuri ir veikuši energoefektivitātes uzlabošanas pasākumus, kā arī kuri ir veicinājuši pašpatēriņu, tāpat tika lūgts iesniegt konkrētus un detalizētus risinājumus par ierosināto nodokļu palielināšanu, ja tāda tiek ierosināta, tāpat tika sniegts viedoklis, ka prioritāte ir energoefektivitātei un energoresursu cenu konkurētspējai, ka ir jānovērš likumdošanas šķēršļi </w:t>
      </w:r>
      <w:proofErr w:type="spellStart"/>
      <w:r w:rsidRPr="00D61280">
        <w:rPr>
          <w:rFonts w:cstheme="minorHAnsi"/>
        </w:rPr>
        <w:t>atkrastes</w:t>
      </w:r>
      <w:proofErr w:type="spellEnd"/>
      <w:r w:rsidRPr="00D61280">
        <w:rPr>
          <w:rFonts w:cstheme="minorHAnsi"/>
        </w:rPr>
        <w:t xml:space="preserve"> vēja parku attīstīšanai, ka ir aktīvāk jāatbalsta ESKO sistēma un Plānā ir jāiekļauj nosacījumi, kā mazināt augstā atkarība no Krievijas gāzes piegādēm, kas būtu izdarāms veidojot reģionālās nozīmes sašķidrinātās gāzes termināli, kas būtu savienots ar Inčukalna pazemes gāzes krātuvi. Saeimas Ilgtspējīgas attīstības komisijā tika sniegts viedoklis, ka Latvijas noteikti AER mērķi nav sasniedzami, ņemot vērā pieņemtos lēmumus par obligātā iepirkuma sistēmas atcelšanu, un tika ierosināts Plānā iekļaut konkrētus nosacījumus, kā tiek plānots sasniegt Latvijas AER mērķus bez spēkā esošajām atbalsta mehānismiem (attīstot citus AER veidus), un iekļaut šo pasākumu ietekmes </w:t>
      </w:r>
      <w:proofErr w:type="spellStart"/>
      <w:r w:rsidRPr="00D61280">
        <w:rPr>
          <w:rFonts w:cstheme="minorHAnsi"/>
        </w:rPr>
        <w:t>izvērtējumu</w:t>
      </w:r>
      <w:proofErr w:type="spellEnd"/>
      <w:r w:rsidRPr="00D61280">
        <w:rPr>
          <w:rFonts w:cstheme="minorHAnsi"/>
        </w:rPr>
        <w:t>, tāpat tika norādīts, ka Plāna projektā nav skaidri definēti mērķi attiecībā uz elektroenerģijas cenas konkurētspējas nodrošināšanu un tika ierosināts iekļaut cenas konkurētspējas definīciju un novērtēt visu piedāvāto pasākumu ietekmi uz elektroenerģijas cenu visā Plāna periodā.</w:t>
      </w:r>
    </w:p>
    <w:p w14:paraId="46A11B18" w14:textId="77777777" w:rsidR="00091521" w:rsidRPr="00D61280" w:rsidRDefault="00091521" w:rsidP="00C33F7C">
      <w:pPr>
        <w:pStyle w:val="Heading3"/>
        <w:rPr>
          <w:rFonts w:asciiTheme="minorHAnsi" w:hAnsiTheme="minorHAnsi" w:cstheme="minorHAnsi"/>
        </w:rPr>
      </w:pPr>
      <w:bookmarkStart w:id="37" w:name="_Toc520978803"/>
      <w:bookmarkStart w:id="38" w:name="_Toc527529428"/>
      <w:r w:rsidRPr="00D61280">
        <w:rPr>
          <w:rFonts w:asciiTheme="minorHAnsi" w:hAnsiTheme="minorHAnsi" w:cstheme="minorHAnsi"/>
        </w:rPr>
        <w:t>Vietējo un reģionālo iestāžu iesaiste</w:t>
      </w:r>
      <w:bookmarkEnd w:id="37"/>
      <w:bookmarkEnd w:id="38"/>
      <w:r w:rsidRPr="00D61280">
        <w:rPr>
          <w:rFonts w:asciiTheme="minorHAnsi" w:hAnsiTheme="minorHAnsi" w:cstheme="minorHAnsi"/>
        </w:rPr>
        <w:t xml:space="preserve">  </w:t>
      </w:r>
    </w:p>
    <w:p w14:paraId="2D993E1D" w14:textId="77777777" w:rsidR="00091521" w:rsidRPr="00D61280" w:rsidRDefault="00091521" w:rsidP="00C33F7C">
      <w:pPr>
        <w:spacing w:before="120" w:after="120" w:line="240" w:lineRule="auto"/>
        <w:jc w:val="both"/>
        <w:rPr>
          <w:rFonts w:cstheme="minorHAnsi"/>
        </w:rPr>
      </w:pPr>
      <w:r w:rsidRPr="00D61280">
        <w:rPr>
          <w:rFonts w:cstheme="minorHAnsi"/>
        </w:rPr>
        <w:t>2018.gadā tika nodrošināta aktīva sadarbība ar Rīgas plānošanas reģionu projekta “Nodrošināt neitrālu oglekļa emisiju reģionos līdz 2050. gadam” (C -TRACK-50) ietvaros.</w:t>
      </w:r>
    </w:p>
    <w:p w14:paraId="6AF0A291" w14:textId="77777777" w:rsidR="00091521" w:rsidRPr="00D61280" w:rsidRDefault="00091521" w:rsidP="00C33F7C">
      <w:pPr>
        <w:spacing w:before="120" w:after="120" w:line="240" w:lineRule="auto"/>
        <w:jc w:val="both"/>
        <w:rPr>
          <w:rFonts w:cstheme="minorHAnsi"/>
        </w:rPr>
      </w:pPr>
      <w:r w:rsidRPr="00D61280">
        <w:rPr>
          <w:rFonts w:cstheme="minorHAnsi"/>
        </w:rPr>
        <w:lastRenderedPageBreak/>
        <w:t>Tāpat Plāna izstrādes aktualitātes un tajā iekļaujamo nosacījumu īstenošanā nepieciešamā pašvaldību iesaiste tika pārrunāta ar visu Latvijas plānošanas reģionu pārstāvjiem.</w:t>
      </w:r>
    </w:p>
    <w:p w14:paraId="2C99922F" w14:textId="77777777" w:rsidR="00091521" w:rsidRPr="00D61280" w:rsidRDefault="00091521" w:rsidP="00C33F7C">
      <w:pPr>
        <w:spacing w:before="120" w:after="120" w:line="240" w:lineRule="auto"/>
        <w:jc w:val="both"/>
        <w:rPr>
          <w:rFonts w:cstheme="minorHAnsi"/>
        </w:rPr>
      </w:pPr>
      <w:r w:rsidRPr="00D61280">
        <w:rPr>
          <w:rFonts w:cstheme="minorHAnsi"/>
        </w:rPr>
        <w:t xml:space="preserve">Plānā iekļautie nosacījumi, rīcības virzieni un pasākumi tika prezentēti Latvijas pašvaldību savienībā, kā arī tika prezentēti Rīgas plānošana reģiona </w:t>
      </w:r>
      <w:proofErr w:type="spellStart"/>
      <w:r w:rsidRPr="00D61280">
        <w:rPr>
          <w:rFonts w:cstheme="minorHAnsi"/>
        </w:rPr>
        <w:t>Interreg</w:t>
      </w:r>
      <w:proofErr w:type="spellEnd"/>
      <w:r w:rsidRPr="00D61280">
        <w:rPr>
          <w:rFonts w:cstheme="minorHAnsi"/>
        </w:rPr>
        <w:t xml:space="preserve"> Baltijas jūras reģiona programmas 2014.-2020.gadam projekta “Co2mmunity” partneru sanāksmē, kur uzsvars tika likts uz enerģijas kopienām un enerģijas </w:t>
      </w:r>
      <w:proofErr w:type="spellStart"/>
      <w:r w:rsidRPr="00D61280">
        <w:rPr>
          <w:rFonts w:cstheme="minorHAnsi"/>
        </w:rPr>
        <w:t>pašražošanas</w:t>
      </w:r>
      <w:proofErr w:type="spellEnd"/>
      <w:r w:rsidRPr="00D61280">
        <w:rPr>
          <w:rFonts w:cstheme="minorHAnsi"/>
        </w:rPr>
        <w:t xml:space="preserve"> / pašpatēriņa veicināšanu.</w:t>
      </w:r>
    </w:p>
    <w:p w14:paraId="1A89D225" w14:textId="77777777" w:rsidR="00091521" w:rsidRPr="00D61280" w:rsidRDefault="00091521" w:rsidP="00C33F7C">
      <w:pPr>
        <w:pStyle w:val="Heading3"/>
        <w:rPr>
          <w:rFonts w:asciiTheme="minorHAnsi" w:hAnsiTheme="minorHAnsi" w:cstheme="minorHAnsi"/>
        </w:rPr>
      </w:pPr>
      <w:bookmarkStart w:id="39" w:name="_Toc520978804"/>
      <w:bookmarkStart w:id="40" w:name="_Toc527529429"/>
      <w:r w:rsidRPr="00D61280">
        <w:rPr>
          <w:rFonts w:asciiTheme="minorHAnsi" w:hAnsiTheme="minorHAnsi" w:cstheme="minorHAnsi"/>
        </w:rPr>
        <w:t>Apspriedes ar ieinteresētajām personām, sociālajiem partneriem, pilsoniskās sabiedrības iesaistīšana</w:t>
      </w:r>
      <w:bookmarkEnd w:id="39"/>
      <w:bookmarkEnd w:id="40"/>
      <w:r w:rsidRPr="00D61280">
        <w:rPr>
          <w:rFonts w:asciiTheme="minorHAnsi" w:hAnsiTheme="minorHAnsi" w:cstheme="minorHAnsi"/>
        </w:rPr>
        <w:t xml:space="preserve"> </w:t>
      </w:r>
    </w:p>
    <w:p w14:paraId="344F8A58" w14:textId="77777777" w:rsidR="00091521" w:rsidRPr="00D61280" w:rsidRDefault="00091521" w:rsidP="00C33F7C">
      <w:pPr>
        <w:spacing w:before="120" w:after="120" w:line="240" w:lineRule="auto"/>
        <w:jc w:val="both"/>
        <w:rPr>
          <w:rFonts w:cstheme="minorHAnsi"/>
        </w:rPr>
      </w:pPr>
      <w:r w:rsidRPr="00D61280">
        <w:rPr>
          <w:rFonts w:cstheme="minorHAnsi"/>
        </w:rPr>
        <w:t>Plāna izstrādes aktualitātes 2018.gada 31.augustā un 2018.gada 31.oktobrī tika prezentētas Ekonomikas ministrijas izveidotajā Tautsaimniecības padomes Enerģētikas komitejā</w:t>
      </w:r>
      <w:r w:rsidRPr="00D61280">
        <w:rPr>
          <w:rStyle w:val="FootnoteReference"/>
          <w:rFonts w:cstheme="minorHAnsi"/>
        </w:rPr>
        <w:footnoteReference w:id="28"/>
      </w:r>
      <w:r w:rsidRPr="00D61280">
        <w:rPr>
          <w:rFonts w:cstheme="minorHAnsi"/>
        </w:rPr>
        <w:t xml:space="preserve">, kurā cita starpā kā komitejas locekļi ir iesaistīti šādi sociālie partneri – Latvijas darba devēju konfederācija, Latvijas Tirdzniecības un rūpniecības kamera, Latvijas Pašvaldību savienība, Latvijas atjaunojamās enerģijas federācija, Latvijas Kokrūpniecības federācija, Latvijas Energoefektivitātes asociācija, Latvijas </w:t>
      </w:r>
      <w:proofErr w:type="spellStart"/>
      <w:r w:rsidRPr="00D61280">
        <w:rPr>
          <w:rFonts w:cstheme="minorHAnsi"/>
        </w:rPr>
        <w:t>Siltumuzņēmumu</w:t>
      </w:r>
      <w:proofErr w:type="spellEnd"/>
      <w:r w:rsidRPr="00D61280">
        <w:rPr>
          <w:rFonts w:cstheme="minorHAnsi"/>
        </w:rPr>
        <w:t xml:space="preserve"> asociācija u.c.</w:t>
      </w:r>
    </w:p>
    <w:p w14:paraId="6A7B0E95" w14:textId="77777777" w:rsidR="00091521" w:rsidRPr="00D61280" w:rsidRDefault="00091521" w:rsidP="00C33F7C">
      <w:pPr>
        <w:spacing w:before="120" w:after="120" w:line="240" w:lineRule="auto"/>
        <w:jc w:val="both"/>
        <w:rPr>
          <w:rFonts w:cstheme="minorHAnsi"/>
        </w:rPr>
      </w:pPr>
      <w:r w:rsidRPr="00D61280">
        <w:rPr>
          <w:rFonts w:cstheme="minorHAnsi"/>
        </w:rPr>
        <w:t xml:space="preserve">Tāpat 2018.gada laikā tika nodrošinātas konsultācijas ar dažādu nozaru komersantiem un nozaru asociācijām par Plāna projektā piedāvātajiem mērķu sasniegšanas pasākumiem, kur kopumā no nozares netika saņemti kritiska pasākumu neatbalstīšana, savukārt ieteiktie pasākumu uzlabojumi un priekšlikumi papildu pasākumiem iespēju robežās tika ņemti vērā. </w:t>
      </w:r>
    </w:p>
    <w:p w14:paraId="0DEB6850" w14:textId="77777777" w:rsidR="00091521" w:rsidRPr="00D61280" w:rsidRDefault="00091521" w:rsidP="00C33F7C">
      <w:pPr>
        <w:spacing w:before="120" w:after="120" w:line="240" w:lineRule="auto"/>
        <w:jc w:val="both"/>
        <w:rPr>
          <w:rFonts w:cstheme="minorHAnsi"/>
        </w:rPr>
      </w:pPr>
      <w:r w:rsidRPr="00D61280">
        <w:rPr>
          <w:rFonts w:cstheme="minorHAnsi"/>
        </w:rPr>
        <w:t>Plāna projekts 2018.gadā tika prezentēts vairākās konferencēs – 2018.gada 13.septembrī konferencē “Enerģētika 2018”, 2018.gada 10.oktobrī konferencē “Siltuma ražošanas ekonomika ilgtspējīgā valstī” un 2018.gada 18.oktobrī konferencē “Ziemeļvalstu un Baltijas valstu enerģētikas un klimata izaicinājumi. Mobilitāte un aprites ekonomika”.</w:t>
      </w:r>
    </w:p>
    <w:p w14:paraId="1B0D740C" w14:textId="77777777" w:rsidR="00091521" w:rsidRPr="00D61280" w:rsidRDefault="00091521" w:rsidP="00C33F7C">
      <w:pPr>
        <w:spacing w:before="120" w:after="120" w:line="240" w:lineRule="auto"/>
        <w:jc w:val="both"/>
        <w:rPr>
          <w:rFonts w:cstheme="minorHAnsi"/>
        </w:rPr>
      </w:pPr>
      <w:r w:rsidRPr="00D61280">
        <w:rPr>
          <w:rFonts w:cstheme="minorHAnsi"/>
        </w:rPr>
        <w:t>2018.gada 26.novembrī Ekonomikas ministrija organizēja plašu konferenci “Nacionālais enerģētikas un klimata plāns 2021.-2030.gadam – enerģētikas attīstība un klimata pārmaiņu mazināšana” plašākai sabiedrībai (apmēram 100 dalībnieku), kur diskusija notika par visām Plāna dimensijām un konferences dalībniekiem bija iespēja izteikt savus priekšlikumus, viedokli un komentārus. Konferences prezentācijas un video tiešraides ieraksts ir pieejams Ekonomikas ministrijas tīmekļa vietnē</w:t>
      </w:r>
      <w:r w:rsidRPr="00D61280">
        <w:rPr>
          <w:rStyle w:val="FootnoteReference"/>
          <w:rFonts w:cstheme="minorHAnsi"/>
        </w:rPr>
        <w:footnoteReference w:id="29"/>
      </w:r>
      <w:r w:rsidRPr="00D61280">
        <w:rPr>
          <w:rFonts w:cstheme="minorHAnsi"/>
        </w:rPr>
        <w:t>.</w:t>
      </w:r>
    </w:p>
    <w:p w14:paraId="6E299F90" w14:textId="09FB32EA" w:rsidR="00091521" w:rsidRPr="00D61280" w:rsidRDefault="00091521" w:rsidP="00C33F7C">
      <w:pPr>
        <w:spacing w:before="120" w:after="120" w:line="240" w:lineRule="auto"/>
        <w:jc w:val="both"/>
        <w:rPr>
          <w:rFonts w:cstheme="minorHAnsi"/>
        </w:rPr>
      </w:pPr>
      <w:r w:rsidRPr="00D61280">
        <w:rPr>
          <w:rFonts w:cstheme="minorHAnsi"/>
        </w:rPr>
        <w:t>2018.gada 17.septembrī Plāna projekta 1.redakcija tika publicēta Ekonomikas ministrijas tīmekļa vietnē sabiedrības līdzdalības nodrošināšanai. Savukārt Plāna projekta 2.redakcija tika publicēta Ekonomikas ministrijas tīmekļa vietnē 2018.gada 5.novembrī.</w:t>
      </w:r>
    </w:p>
    <w:p w14:paraId="04DCF54E" w14:textId="2E56D471" w:rsidR="000860FB" w:rsidRPr="00D61280" w:rsidRDefault="000860FB" w:rsidP="00C33F7C">
      <w:pPr>
        <w:spacing w:before="120" w:after="120" w:line="240" w:lineRule="auto"/>
        <w:jc w:val="both"/>
        <w:rPr>
          <w:rFonts w:cstheme="minorHAnsi"/>
        </w:rPr>
      </w:pPr>
      <w:r w:rsidRPr="00D61280">
        <w:rPr>
          <w:rFonts w:cstheme="minorHAnsi"/>
        </w:rPr>
        <w:t>Aktualizētā katras Plāna nodaļas redakcija tika publicēta Ekonomikas ministrijas mājas lapā 2019.gada jūnijā un septembrī, dodot sabiedrībai pietiekami daudz laika viedokļa sagatavošanai un iesniegšanai. Tāpat 2019.gadā tika organizēta konference Plāna plašākai prezentēšanai.</w:t>
      </w:r>
    </w:p>
    <w:p w14:paraId="5420B2E4" w14:textId="325EA5B2" w:rsidR="000860FB" w:rsidRPr="00D61280" w:rsidRDefault="000860FB" w:rsidP="00C33F7C">
      <w:pPr>
        <w:spacing w:before="120" w:after="120" w:line="240" w:lineRule="auto"/>
        <w:jc w:val="both"/>
        <w:rPr>
          <w:rFonts w:cstheme="minorHAnsi"/>
        </w:rPr>
      </w:pPr>
      <w:r w:rsidRPr="00D61280">
        <w:rPr>
          <w:rFonts w:cstheme="minorHAnsi"/>
        </w:rPr>
        <w:t>Sabiedrības viedoklis ir apkopots un publicēts Ekonomikas ministrijas mājas lapā</w:t>
      </w:r>
      <w:r w:rsidRPr="00D61280">
        <w:rPr>
          <w:rStyle w:val="FootnoteReference"/>
          <w:rFonts w:cstheme="minorHAnsi"/>
        </w:rPr>
        <w:footnoteReference w:id="30"/>
      </w:r>
      <w:r w:rsidRPr="00D61280">
        <w:rPr>
          <w:rFonts w:cstheme="minorHAnsi"/>
        </w:rPr>
        <w:t>, kur arī ir sniegts viedoklis, kā sabiedrības izteiktie komentāri ir ņemti vērā Plānā.</w:t>
      </w:r>
    </w:p>
    <w:p w14:paraId="4DDB41C9" w14:textId="77777777" w:rsidR="00091521" w:rsidRPr="00D61280" w:rsidRDefault="00091521" w:rsidP="00C33F7C">
      <w:pPr>
        <w:pStyle w:val="Heading3"/>
        <w:rPr>
          <w:rFonts w:asciiTheme="minorHAnsi" w:hAnsiTheme="minorHAnsi" w:cstheme="minorHAnsi"/>
        </w:rPr>
      </w:pPr>
      <w:bookmarkStart w:id="41" w:name="_Toc520978805"/>
      <w:bookmarkStart w:id="42" w:name="_Toc527529430"/>
      <w:r w:rsidRPr="00D61280">
        <w:rPr>
          <w:rFonts w:asciiTheme="minorHAnsi" w:hAnsiTheme="minorHAnsi" w:cstheme="minorHAnsi"/>
        </w:rPr>
        <w:lastRenderedPageBreak/>
        <w:t>Apspriedes ar citām dalībvalstīm</w:t>
      </w:r>
      <w:bookmarkEnd w:id="41"/>
      <w:bookmarkEnd w:id="42"/>
      <w:r w:rsidRPr="00D61280">
        <w:rPr>
          <w:rFonts w:asciiTheme="minorHAnsi" w:hAnsiTheme="minorHAnsi" w:cstheme="minorHAnsi"/>
        </w:rPr>
        <w:t xml:space="preserve"> </w:t>
      </w:r>
    </w:p>
    <w:p w14:paraId="6F779A34" w14:textId="77777777" w:rsidR="00091521" w:rsidRPr="00D61280" w:rsidRDefault="00091521" w:rsidP="00C33F7C">
      <w:pPr>
        <w:spacing w:before="120" w:after="120" w:line="240" w:lineRule="auto"/>
        <w:jc w:val="both"/>
        <w:rPr>
          <w:rFonts w:cstheme="minorHAnsi"/>
        </w:rPr>
      </w:pPr>
      <w:r w:rsidRPr="00D61280">
        <w:rPr>
          <w:rFonts w:cstheme="minorHAnsi"/>
        </w:rPr>
        <w:t>2018.gada 23.-24.maijā Baltijas vides ministru sanāksmē Baltijas vides ministri un eksperti apmainījās ar viedokļiem un dalījās pieredzē par Plāna izstrādi un tajā iekļautās dekarbonizācijas klimata pārmaiņu mazināšanas nosacījumiem.</w:t>
      </w:r>
    </w:p>
    <w:p w14:paraId="5A63A317" w14:textId="5B303ACE" w:rsidR="00091521" w:rsidRPr="00D61280" w:rsidRDefault="00091521" w:rsidP="00C33F7C">
      <w:pPr>
        <w:spacing w:before="120" w:after="120" w:line="240" w:lineRule="auto"/>
        <w:jc w:val="both"/>
        <w:rPr>
          <w:rFonts w:cstheme="minorHAnsi"/>
        </w:rPr>
      </w:pPr>
      <w:r w:rsidRPr="00D61280">
        <w:rPr>
          <w:rFonts w:cstheme="minorHAnsi"/>
        </w:rPr>
        <w:t>2018.gada 9.augustā Baltijas ministru padomes vecāko amatpersonu enerģētikas komitejas ietvaros Latvijas, Lietuvas, Igaunijas un arī Somijas eksperti pārrunāja pārrobežu sadarbības jautājumus enerģētikas nozarē un apmainījās ar viedokļiem par nosacījumiem turpmākai reģionālajai sadarbībai Plāna izstrādes laikā un arī Plāna īstenošanas ietvaros. 2018.gada 27.septembrī Latvijas, Lietuvas un Igaunijas eksperti, kas ir atbildīgi par Plāna izstrādi, tikās Tallinā, lai pārrunātu Plāna reģionālās konsultācijas un turpmākās sadarbības iespējas Plāna aptvēruma dimensijās. 2018.gada 30.oktobrī Baltijas ministru padomes ietvaros Baltijas ministru padomes vecāko amatpersonu enerģētikas komitejas ietvaros Latvijas, Lietuvas un Igaunijas eksperti pārrunāja jau konkrētos Plānā iekļautos pasākumus, kuru īstenošanai ir reģionāla ietekme. 2019.gada laikā vairākkārtīgi (piemēram, 6.februāris, 18.aprīlis</w:t>
      </w:r>
      <w:r w:rsidR="00C33F7C" w:rsidRPr="00D61280">
        <w:rPr>
          <w:rFonts w:cstheme="minorHAnsi"/>
        </w:rPr>
        <w:t>, 29.augusts</w:t>
      </w:r>
      <w:r w:rsidRPr="00D61280">
        <w:rPr>
          <w:rFonts w:cstheme="minorHAnsi"/>
        </w:rPr>
        <w:t xml:space="preserve">) Baltijas ministru padomes vecāko amatpersonu enerģētikas komitejas ietvaros Latvijas, Lietuvas un Igaunijas eksperti apmainījās ar viedokļiem par Plāna aktualizāciju un tajā iekļautajiem rīcības virzieniem un pasākumiem. Baltijas valstu eksperti arī vairākkārtīgi tikās, lai pārrunātu iespējamos starpvalstu pasākumus AER jomā, piemēram, vēja enerģijas attīstība vai transporta enerģijas jautājumi. </w:t>
      </w:r>
    </w:p>
    <w:p w14:paraId="3B74A044" w14:textId="77777777" w:rsidR="00091521" w:rsidRPr="00D61280" w:rsidRDefault="00091521" w:rsidP="00C33F7C">
      <w:pPr>
        <w:pStyle w:val="Heading3"/>
        <w:rPr>
          <w:rFonts w:asciiTheme="minorHAnsi" w:hAnsiTheme="minorHAnsi" w:cstheme="minorHAnsi"/>
        </w:rPr>
      </w:pPr>
      <w:bookmarkStart w:id="43" w:name="_Toc520978806"/>
      <w:bookmarkStart w:id="44" w:name="_Toc527529431"/>
      <w:bookmarkEnd w:id="33"/>
      <w:r w:rsidRPr="00D61280">
        <w:rPr>
          <w:rFonts w:asciiTheme="minorHAnsi" w:hAnsiTheme="minorHAnsi" w:cstheme="minorHAnsi"/>
        </w:rPr>
        <w:t xml:space="preserve">Iteratīvs process ar </w:t>
      </w:r>
      <w:bookmarkEnd w:id="43"/>
      <w:r w:rsidRPr="00D61280">
        <w:rPr>
          <w:rFonts w:asciiTheme="minorHAnsi" w:hAnsiTheme="minorHAnsi" w:cstheme="minorHAnsi"/>
        </w:rPr>
        <w:t>EK</w:t>
      </w:r>
      <w:bookmarkEnd w:id="44"/>
      <w:r w:rsidRPr="00D61280">
        <w:rPr>
          <w:rFonts w:asciiTheme="minorHAnsi" w:hAnsiTheme="minorHAnsi" w:cstheme="minorHAnsi"/>
        </w:rPr>
        <w:t xml:space="preserve"> </w:t>
      </w:r>
    </w:p>
    <w:p w14:paraId="043534A9" w14:textId="77777777" w:rsidR="00091521" w:rsidRPr="00D61280" w:rsidRDefault="00091521" w:rsidP="00C33F7C">
      <w:pPr>
        <w:spacing w:before="120" w:after="120" w:line="240" w:lineRule="auto"/>
        <w:jc w:val="both"/>
        <w:rPr>
          <w:rFonts w:cstheme="minorHAnsi"/>
        </w:rPr>
      </w:pPr>
      <w:r w:rsidRPr="00D61280">
        <w:rPr>
          <w:rFonts w:cstheme="minorHAnsi"/>
        </w:rPr>
        <w:t>Latvija Plāna projektu iesniedza EK 2018.gada 28.decembrī. 2019.gada janvārī Latvijas pārstāvji tikās ar EK par EK sākotnējām rekomendācijām attiecībā uz Plāna projektu un tā uzlabošanas iespējām, ko Latvija ir pilnībā ņēmusi vērā.</w:t>
      </w:r>
    </w:p>
    <w:p w14:paraId="0831F6B6" w14:textId="77777777" w:rsidR="00091521" w:rsidRPr="00D61280" w:rsidRDefault="00091521" w:rsidP="00C33F7C">
      <w:pPr>
        <w:spacing w:before="120" w:after="120" w:line="240" w:lineRule="auto"/>
        <w:jc w:val="both"/>
        <w:rPr>
          <w:rFonts w:cstheme="minorHAnsi"/>
        </w:rPr>
      </w:pPr>
      <w:r w:rsidRPr="00D61280">
        <w:rPr>
          <w:rFonts w:cstheme="minorHAnsi"/>
        </w:rPr>
        <w:t xml:space="preserve">Latvijas eksperti arī strādā kopā ar EK ekspertiem AER un energoefektivitātes mērķu izpildei nepieciešamo </w:t>
      </w:r>
      <w:proofErr w:type="spellStart"/>
      <w:r w:rsidRPr="00D61280">
        <w:rPr>
          <w:rFonts w:cstheme="minorHAnsi"/>
        </w:rPr>
        <w:t>rīcībpolitiku</w:t>
      </w:r>
      <w:proofErr w:type="spellEnd"/>
      <w:r w:rsidRPr="00D61280">
        <w:rPr>
          <w:rFonts w:cstheme="minorHAnsi"/>
        </w:rPr>
        <w:t xml:space="preserve"> un pasākumu jautājumos</w:t>
      </w:r>
    </w:p>
    <w:p w14:paraId="4642F3B0" w14:textId="77777777" w:rsidR="00091521" w:rsidRPr="00D61280" w:rsidRDefault="00091521" w:rsidP="00C33F7C">
      <w:pPr>
        <w:pStyle w:val="Heading2"/>
        <w:spacing w:before="120" w:after="120" w:line="240" w:lineRule="auto"/>
        <w:ind w:left="567"/>
        <w:rPr>
          <w:rFonts w:asciiTheme="minorHAnsi" w:hAnsiTheme="minorHAnsi" w:cstheme="minorHAnsi"/>
        </w:rPr>
      </w:pPr>
      <w:bookmarkStart w:id="45" w:name="_Toc520978807"/>
      <w:bookmarkStart w:id="46" w:name="_Toc527529432"/>
      <w:bookmarkStart w:id="47" w:name="_Toc532909998"/>
      <w:bookmarkStart w:id="48" w:name="_Toc10527195"/>
      <w:r w:rsidRPr="00D61280">
        <w:rPr>
          <w:rFonts w:asciiTheme="minorHAnsi" w:hAnsiTheme="minorHAnsi" w:cstheme="minorHAnsi"/>
        </w:rPr>
        <w:t>Reģionālā sadarbība plāna sagatavošanā</w:t>
      </w:r>
      <w:bookmarkEnd w:id="45"/>
      <w:bookmarkEnd w:id="46"/>
      <w:bookmarkEnd w:id="47"/>
      <w:bookmarkEnd w:id="48"/>
      <w:r w:rsidRPr="00D61280">
        <w:rPr>
          <w:rFonts w:asciiTheme="minorHAnsi" w:hAnsiTheme="minorHAnsi" w:cstheme="minorHAnsi"/>
        </w:rPr>
        <w:t xml:space="preserve"> </w:t>
      </w:r>
    </w:p>
    <w:p w14:paraId="118B8A12" w14:textId="77777777" w:rsidR="00091521" w:rsidRPr="00D61280" w:rsidRDefault="00091521" w:rsidP="00C33F7C">
      <w:pPr>
        <w:spacing w:before="120" w:after="120" w:line="240" w:lineRule="auto"/>
        <w:jc w:val="both"/>
        <w:rPr>
          <w:rFonts w:cstheme="minorHAnsi"/>
          <w:color w:val="000000" w:themeColor="text1"/>
          <w:szCs w:val="24"/>
        </w:rPr>
      </w:pPr>
      <w:r w:rsidRPr="00D61280">
        <w:rPr>
          <w:rFonts w:cstheme="minorHAnsi"/>
          <w:color w:val="000000" w:themeColor="text1"/>
          <w:szCs w:val="24"/>
        </w:rPr>
        <w:t xml:space="preserve">Šobrīd reģionālajai sadarbībai starp Baltijas valstīm ir īpaša nozīme un loma ne vien trīs valstu enerģētikas politikas un enerģijas tirgu attīstībā, bet arī plašāk – ietverot Somiju, Zviedriju, Poliju, Dāniju un Vāciju. ES līmenī ir izveidots Baltijas enerģijas tirgu </w:t>
      </w:r>
      <w:proofErr w:type="spellStart"/>
      <w:r w:rsidRPr="00D61280">
        <w:rPr>
          <w:rFonts w:cstheme="minorHAnsi"/>
          <w:color w:val="000000" w:themeColor="text1"/>
          <w:szCs w:val="24"/>
        </w:rPr>
        <w:t>starpsavienojumu</w:t>
      </w:r>
      <w:proofErr w:type="spellEnd"/>
      <w:r w:rsidRPr="00D61280">
        <w:rPr>
          <w:rFonts w:cstheme="minorHAnsi"/>
          <w:color w:val="000000" w:themeColor="text1"/>
          <w:szCs w:val="24"/>
        </w:rPr>
        <w:t xml:space="preserve"> plāns (BEMIP), kas aptver gan infrastruktūras plānošanu, gan palīdz piesaistīt un efektīvi izmantot finansiālos līdzekļus tostarp 2014. gadā paredzēto Eiropas Infrastruktūras Savienojumu instrumentu, kura ietvaros tiks atbalstīti tikai pārrobežu enerģētikas projekti, padarot sadarbību Baltijas reģiona ietvaros vēl ciešāka. </w:t>
      </w:r>
    </w:p>
    <w:p w14:paraId="313C93EE" w14:textId="77777777" w:rsidR="00091521" w:rsidRPr="00D61280" w:rsidRDefault="00091521" w:rsidP="00C33F7C">
      <w:pPr>
        <w:spacing w:before="120" w:after="120" w:line="240" w:lineRule="auto"/>
        <w:jc w:val="both"/>
        <w:rPr>
          <w:rFonts w:cstheme="minorHAnsi"/>
          <w:color w:val="000000" w:themeColor="text1"/>
          <w:szCs w:val="24"/>
        </w:rPr>
      </w:pPr>
      <w:r w:rsidRPr="00D61280">
        <w:rPr>
          <w:rFonts w:cstheme="minorHAnsi"/>
          <w:color w:val="000000" w:themeColor="text1"/>
          <w:szCs w:val="24"/>
        </w:rPr>
        <w:t xml:space="preserve">Baltijas reģiona gāzes apgādes drošuma uzlabošanai un efektīvai tirgus attīstībai tiek īstenoti vairāki projekti attiecībā uz </w:t>
      </w:r>
      <w:proofErr w:type="spellStart"/>
      <w:r w:rsidRPr="00D61280">
        <w:rPr>
          <w:rFonts w:cstheme="minorHAnsi"/>
          <w:color w:val="000000" w:themeColor="text1"/>
          <w:szCs w:val="24"/>
        </w:rPr>
        <w:t>starpsavienojumu</w:t>
      </w:r>
      <w:proofErr w:type="spellEnd"/>
      <w:r w:rsidRPr="00D61280">
        <w:rPr>
          <w:rFonts w:cstheme="minorHAnsi"/>
          <w:color w:val="000000" w:themeColor="text1"/>
          <w:szCs w:val="24"/>
        </w:rPr>
        <w:t xml:space="preserve"> nodrošināšanu, Inčukalna pazemes gāzes krātuves modernizāciju.</w:t>
      </w:r>
    </w:p>
    <w:p w14:paraId="7C03DE8F" w14:textId="644CD59D" w:rsidR="00091521" w:rsidRPr="00D61280" w:rsidRDefault="00091521" w:rsidP="00C33F7C">
      <w:pPr>
        <w:spacing w:before="120" w:after="120" w:line="240" w:lineRule="auto"/>
        <w:jc w:val="both"/>
        <w:rPr>
          <w:rFonts w:cstheme="minorHAnsi"/>
          <w:szCs w:val="24"/>
        </w:rPr>
      </w:pPr>
      <w:r w:rsidRPr="00D61280">
        <w:rPr>
          <w:rFonts w:cstheme="minorHAnsi"/>
          <w:color w:val="000000" w:themeColor="text1"/>
          <w:szCs w:val="24"/>
        </w:rPr>
        <w:t xml:space="preserve">Reģionālo konsultāciju ietvaros tika identificēta reģionālās sadarbības iespēja arī AER un to tehnoloģiju jomā, īpaši attiecībā uz, iespējams, kopīgu </w:t>
      </w:r>
      <w:proofErr w:type="spellStart"/>
      <w:r w:rsidRPr="00D61280">
        <w:rPr>
          <w:rFonts w:cstheme="minorHAnsi"/>
          <w:color w:val="000000" w:themeColor="text1"/>
          <w:szCs w:val="24"/>
        </w:rPr>
        <w:t>atkrastes</w:t>
      </w:r>
      <w:proofErr w:type="spellEnd"/>
      <w:r w:rsidRPr="00D61280">
        <w:rPr>
          <w:rFonts w:cstheme="minorHAnsi"/>
          <w:color w:val="000000" w:themeColor="text1"/>
          <w:szCs w:val="24"/>
        </w:rPr>
        <w:t xml:space="preserve"> vēja parku izveidi. </w:t>
      </w:r>
      <w:r w:rsidRPr="00D61280">
        <w:rPr>
          <w:rFonts w:cstheme="minorHAnsi"/>
          <w:szCs w:val="24"/>
        </w:rPr>
        <w:t xml:space="preserve">Līdzšinējā sadarbība infrastruktūras attīstības jomā būtu jāpaplašina arī uz kopīgu rīcību energoefektivitātes un AE attīstības jomās, piemēram, transporta nozares dekarbonizācija, AE (piemēram, elektroenerģijas un biodegvielu) izmantošana transportā – tie ir pietiekami izaicinoši jautājumi Baltijas valstīm. </w:t>
      </w:r>
    </w:p>
    <w:p w14:paraId="4D9179A2" w14:textId="3B94FBA9" w:rsidR="00D82336" w:rsidRPr="00D61280" w:rsidRDefault="00091521" w:rsidP="00C33F7C">
      <w:pPr>
        <w:spacing w:before="120" w:after="120" w:line="240" w:lineRule="auto"/>
        <w:jc w:val="both"/>
        <w:rPr>
          <w:rFonts w:cstheme="minorHAnsi"/>
        </w:rPr>
      </w:pPr>
      <w:r w:rsidRPr="00D61280">
        <w:rPr>
          <w:rFonts w:cstheme="minorHAnsi"/>
          <w:szCs w:val="24"/>
        </w:rPr>
        <w:t xml:space="preserve">Arī plānojot ilgtermiņa enerģētikas politikas plānus, piemēram, 2030.gadam un vēl tālākai nākotnei, ir nepieciešama iespēja abpusēji dalīties ar pieredzi un zināšanām, kas palīdzētu </w:t>
      </w:r>
      <w:r w:rsidRPr="00D61280">
        <w:rPr>
          <w:rFonts w:cstheme="minorHAnsi"/>
          <w:szCs w:val="24"/>
        </w:rPr>
        <w:lastRenderedPageBreak/>
        <w:t>izvēlēties piemērotākos instrumentus un rīcību konkrēto mērķu sasniegšanai. Prioritārs uzdevums ir pārnest un dalīties arī ar zināšanām oglekļa emisiju samazināšanas, un energoefektivitātes veicināšanas jomās.</w:t>
      </w:r>
    </w:p>
    <w:sectPr w:rsidR="00D82336" w:rsidRPr="00D61280" w:rsidSect="003D7682">
      <w:headerReference w:type="default" r:id="rId10"/>
      <w:headerReference w:type="first" r:id="rId11"/>
      <w:type w:val="continuous"/>
      <w:pgSz w:w="11906" w:h="16838"/>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8673" w14:textId="77777777" w:rsidR="00091521" w:rsidRDefault="00091521" w:rsidP="00091521">
      <w:pPr>
        <w:spacing w:after="0" w:line="240" w:lineRule="auto"/>
      </w:pPr>
      <w:r>
        <w:separator/>
      </w:r>
    </w:p>
  </w:endnote>
  <w:endnote w:type="continuationSeparator" w:id="0">
    <w:p w14:paraId="25D88F0E" w14:textId="77777777" w:rsidR="00091521" w:rsidRDefault="00091521" w:rsidP="0009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76ECF" w14:textId="77777777" w:rsidR="00091521" w:rsidRDefault="00091521" w:rsidP="00091521">
      <w:pPr>
        <w:spacing w:after="0" w:line="240" w:lineRule="auto"/>
      </w:pPr>
      <w:r>
        <w:separator/>
      </w:r>
    </w:p>
  </w:footnote>
  <w:footnote w:type="continuationSeparator" w:id="0">
    <w:p w14:paraId="1562AA33" w14:textId="77777777" w:rsidR="00091521" w:rsidRDefault="00091521" w:rsidP="00091521">
      <w:pPr>
        <w:spacing w:after="0" w:line="240" w:lineRule="auto"/>
      </w:pPr>
      <w:r>
        <w:continuationSeparator/>
      </w:r>
    </w:p>
  </w:footnote>
  <w:footnote w:id="1">
    <w:p w14:paraId="79EA1827"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1" w:history="1">
        <w:r w:rsidRPr="00BB768B">
          <w:rPr>
            <w:rStyle w:val="Hyperlink"/>
            <w:rFonts w:asciiTheme="minorHAnsi" w:hAnsiTheme="minorHAnsi" w:cstheme="minorHAnsi"/>
          </w:rPr>
          <w:t>https://likumi.lv/ta/id/281943-par-valdibas-ricibas-planu-deklaracijas-par-mara-kucinska-vadita-ministru-kabineta-iecereto-darbibu-istenosanai</w:t>
        </w:r>
      </w:hyperlink>
      <w:r w:rsidRPr="00BB768B">
        <w:rPr>
          <w:rFonts w:asciiTheme="minorHAnsi" w:hAnsiTheme="minorHAnsi" w:cstheme="minorHAnsi"/>
        </w:rPr>
        <w:t xml:space="preserve"> </w:t>
      </w:r>
    </w:p>
  </w:footnote>
  <w:footnote w:id="2">
    <w:p w14:paraId="24AD99E3"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2" w:history="1">
        <w:r w:rsidRPr="00BB768B">
          <w:rPr>
            <w:rStyle w:val="Hyperlink"/>
            <w:rFonts w:asciiTheme="minorHAnsi" w:hAnsiTheme="minorHAnsi" w:cstheme="minorHAnsi"/>
          </w:rPr>
          <w:t>https://likumi.lv/ta/id/306691-par-valdibas-ricibas-planu-deklaracijas-par-artura-krisjana-karina-vadita-ministru-kabineta-iecereto-darbibu-istenosanai</w:t>
        </w:r>
      </w:hyperlink>
    </w:p>
  </w:footnote>
  <w:footnote w:id="3">
    <w:p w14:paraId="32F56DE9"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3" w:history="1">
        <w:r w:rsidRPr="00BB768B">
          <w:rPr>
            <w:rStyle w:val="Hyperlink"/>
            <w:rFonts w:asciiTheme="minorHAnsi" w:hAnsiTheme="minorHAnsi" w:cstheme="minorHAnsi"/>
          </w:rPr>
          <w:t>http://data.consilium.europa.eu/doc/document/ST-169-2014-INIT/lv/pdf</w:t>
        </w:r>
      </w:hyperlink>
      <w:r w:rsidRPr="00BB768B">
        <w:rPr>
          <w:rFonts w:asciiTheme="minorHAnsi" w:hAnsiTheme="minorHAnsi" w:cstheme="minorHAnsi"/>
        </w:rPr>
        <w:t xml:space="preserve"> </w:t>
      </w:r>
    </w:p>
  </w:footnote>
  <w:footnote w:id="4">
    <w:p w14:paraId="0C865253"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4" w:history="1">
        <w:r w:rsidRPr="00BB768B">
          <w:rPr>
            <w:rStyle w:val="Hyperlink"/>
            <w:rFonts w:asciiTheme="minorHAnsi" w:hAnsiTheme="minorHAnsi" w:cstheme="minorHAnsi"/>
          </w:rPr>
          <w:t>http://data.consilium.europa.eu/doc/document/ST-14459-2015-INIT/lv/pdf</w:t>
        </w:r>
      </w:hyperlink>
      <w:r w:rsidRPr="00BB768B">
        <w:rPr>
          <w:rFonts w:asciiTheme="minorHAnsi" w:hAnsiTheme="minorHAnsi" w:cstheme="minorHAnsi"/>
        </w:rPr>
        <w:t xml:space="preserve"> </w:t>
      </w:r>
    </w:p>
  </w:footnote>
  <w:footnote w:id="5">
    <w:p w14:paraId="5AE0DD86"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5" w:history="1">
        <w:r w:rsidRPr="00BB768B">
          <w:rPr>
            <w:rStyle w:val="Hyperlink"/>
            <w:rFonts w:asciiTheme="minorHAnsi" w:hAnsiTheme="minorHAnsi" w:cstheme="minorHAnsi"/>
          </w:rPr>
          <w:t>https://eur-lex.europa.eu/legal-content/LV/TXT/PDF/?uri=CELEX:32018R1999&amp;from=EN</w:t>
        </w:r>
      </w:hyperlink>
      <w:r w:rsidRPr="00BB768B">
        <w:rPr>
          <w:rFonts w:asciiTheme="minorHAnsi" w:hAnsiTheme="minorHAnsi" w:cstheme="minorHAnsi"/>
        </w:rPr>
        <w:t xml:space="preserve"> </w:t>
      </w:r>
    </w:p>
  </w:footnote>
  <w:footnote w:id="6">
    <w:p w14:paraId="7F9F40CE" w14:textId="2032B7F3"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6" w:history="1">
        <w:r w:rsidR="00EA0C89" w:rsidRPr="00BB768B">
          <w:rPr>
            <w:rStyle w:val="Hyperlink"/>
            <w:rFonts w:asciiTheme="minorHAnsi" w:hAnsiTheme="minorHAnsi" w:cstheme="minorHAnsi"/>
          </w:rPr>
          <w:t>https://eur-lex.europa.eu/legal-content/LV/TXT/PDF/?uri=CELEX:32018R1999&amp;from=LV</w:t>
        </w:r>
      </w:hyperlink>
    </w:p>
  </w:footnote>
  <w:footnote w:id="7">
    <w:p w14:paraId="1B862AF4"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7" w:history="1">
        <w:r w:rsidRPr="00BB768B">
          <w:rPr>
            <w:rStyle w:val="Hyperlink"/>
            <w:rFonts w:asciiTheme="minorHAnsi" w:hAnsiTheme="minorHAnsi" w:cstheme="minorHAnsi"/>
          </w:rPr>
          <w:t>https://ec.europa.eu/clima/sites/clima/files/docs/pages/com_2018_733_en.pdf</w:t>
        </w:r>
      </w:hyperlink>
      <w:r w:rsidRPr="00BB768B">
        <w:rPr>
          <w:rFonts w:asciiTheme="minorHAnsi" w:hAnsiTheme="minorHAnsi" w:cstheme="minorHAnsi"/>
        </w:rPr>
        <w:t xml:space="preserve"> </w:t>
      </w:r>
    </w:p>
  </w:footnote>
  <w:footnote w:id="8">
    <w:p w14:paraId="50C90A9E" w14:textId="77777777" w:rsidR="000860FB" w:rsidRPr="00BB768B" w:rsidRDefault="000860FB" w:rsidP="00B7123A">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proofErr w:type="spellStart"/>
      <w:r w:rsidRPr="00BB768B">
        <w:rPr>
          <w:rFonts w:asciiTheme="minorHAnsi" w:hAnsiTheme="minorHAnsi" w:cstheme="minorHAnsi"/>
        </w:rPr>
        <w:t>Normālrakstā</w:t>
      </w:r>
      <w:proofErr w:type="spellEnd"/>
      <w:r w:rsidRPr="00BB768B">
        <w:rPr>
          <w:rFonts w:asciiTheme="minorHAnsi" w:hAnsiTheme="minorHAnsi" w:cstheme="minorHAnsi"/>
        </w:rPr>
        <w:t xml:space="preserve"> iekļauti jau šobrīd spēkā esošie mērķi, kas ir noteikti saistošos ES tiesību aktos, citos Latvijas politikas plānošanas dokumentos vai tiesību aktos, slīprakstā ir atzīmēti Plānā nosakāmie indikatīvie mērķi, treknrakstā ir atzīmēti Plānā nosakāmie saistošie mērķi</w:t>
      </w:r>
    </w:p>
  </w:footnote>
  <w:footnote w:id="9">
    <w:p w14:paraId="0A0F0FF1" w14:textId="556B5690" w:rsidR="000860FB" w:rsidRPr="00BB768B" w:rsidRDefault="000860FB"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KEP2020 un pakārtotie ES tiesību akti vai KEPS2030</w:t>
      </w:r>
    </w:p>
  </w:footnote>
  <w:footnote w:id="10">
    <w:p w14:paraId="7EE3461F" w14:textId="77777777" w:rsidR="000860FB" w:rsidRPr="00BB768B" w:rsidRDefault="000860FB"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KEPS2030 un pakārtotie ES tiesību akti</w:t>
      </w:r>
    </w:p>
  </w:footnote>
  <w:footnote w:id="11">
    <w:p w14:paraId="423337F4" w14:textId="77777777" w:rsidR="000860FB" w:rsidRPr="00BB768B" w:rsidRDefault="000860FB" w:rsidP="000860FB">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2016.g. apjoms</w:t>
      </w:r>
    </w:p>
  </w:footnote>
  <w:footnote w:id="12">
    <w:p w14:paraId="1F876F2A"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8" w:history="1">
        <w:r w:rsidRPr="00BB768B">
          <w:rPr>
            <w:rStyle w:val="Hyperlink"/>
            <w:rFonts w:asciiTheme="minorHAnsi" w:hAnsiTheme="minorHAnsi" w:cstheme="minorHAnsi"/>
          </w:rPr>
          <w:t>https://eur-lex.europa.eu/legal-content/LV/TXT/PDF/?uri=CELEX:52011DC0112&amp;from=LV</w:t>
        </w:r>
      </w:hyperlink>
      <w:r w:rsidRPr="00BB768B">
        <w:rPr>
          <w:rFonts w:asciiTheme="minorHAnsi" w:hAnsiTheme="minorHAnsi" w:cstheme="minorHAnsi"/>
        </w:rPr>
        <w:t xml:space="preserve"> </w:t>
      </w:r>
    </w:p>
  </w:footnote>
  <w:footnote w:id="13">
    <w:p w14:paraId="29C06045"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https://eur-lex.europa.eu/legal-content/EN/TXT/?qid=1485341914564&amp;uri=CELEX:52016DC0860%2801%29</w:t>
      </w:r>
    </w:p>
  </w:footnote>
  <w:footnote w:id="14">
    <w:p w14:paraId="705C3488" w14:textId="77777777" w:rsidR="00BB768B" w:rsidRPr="00BB768B" w:rsidRDefault="00BB768B" w:rsidP="00BB768B">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9" w:history="1">
        <w:r w:rsidRPr="00BB768B">
          <w:rPr>
            <w:rStyle w:val="Hyperlink"/>
            <w:rFonts w:asciiTheme="minorHAnsi" w:hAnsiTheme="minorHAnsi" w:cstheme="minorHAnsi"/>
          </w:rPr>
          <w:t>http://polsis.mk.gov.lv/documents/3323</w:t>
        </w:r>
      </w:hyperlink>
      <w:r w:rsidRPr="00BB768B">
        <w:rPr>
          <w:rFonts w:asciiTheme="minorHAnsi" w:hAnsiTheme="minorHAnsi" w:cstheme="minorHAnsi"/>
        </w:rPr>
        <w:t xml:space="preserve"> </w:t>
      </w:r>
    </w:p>
  </w:footnote>
  <w:footnote w:id="15">
    <w:p w14:paraId="69153D2D" w14:textId="7631C2B1" w:rsidR="00BD39E8" w:rsidRPr="00BB768B" w:rsidRDefault="00BD39E8" w:rsidP="00BD39E8">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r w:rsidR="00C97146" w:rsidRPr="00BB768B">
        <w:rPr>
          <w:rFonts w:asciiTheme="minorHAnsi" w:hAnsiTheme="minorHAnsi" w:cstheme="minorHAnsi"/>
        </w:rPr>
        <w:t xml:space="preserve">datu avots: </w:t>
      </w:r>
      <w:r w:rsidRPr="00BB768B">
        <w:rPr>
          <w:rFonts w:asciiTheme="minorHAnsi" w:hAnsiTheme="minorHAnsi" w:cstheme="minorHAnsi"/>
        </w:rPr>
        <w:t>EUROSTAT</w:t>
      </w:r>
    </w:p>
  </w:footnote>
  <w:footnote w:id="16">
    <w:p w14:paraId="681B8476" w14:textId="77777777" w:rsidR="00C97146" w:rsidRPr="00BB768B" w:rsidRDefault="00C97146" w:rsidP="00C97146">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r w:rsidRPr="00BB768B">
        <w:rPr>
          <w:rFonts w:asciiTheme="minorHAnsi" w:eastAsia="Calibri" w:hAnsiTheme="minorHAnsi" w:cstheme="minorHAnsi"/>
        </w:rPr>
        <w:t>CSP</w:t>
      </w:r>
    </w:p>
  </w:footnote>
  <w:footnote w:id="17">
    <w:p w14:paraId="14927B9D" w14:textId="6E812F3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r w:rsidR="00BD39E8" w:rsidRPr="00BB768B">
        <w:rPr>
          <w:rFonts w:asciiTheme="minorHAnsi" w:hAnsiTheme="minorHAnsi" w:cstheme="minorHAnsi"/>
        </w:rPr>
        <w:t>neto importa īpatsvars visā energoresursu patēriņā</w:t>
      </w:r>
    </w:p>
  </w:footnote>
  <w:footnote w:id="18">
    <w:p w14:paraId="529CE2C4"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Datu avots: EUROSTAT</w:t>
      </w:r>
    </w:p>
  </w:footnote>
  <w:footnote w:id="19">
    <w:p w14:paraId="1CC7AF79" w14:textId="77777777" w:rsidR="00C33F7C" w:rsidRPr="00BB768B" w:rsidRDefault="00C33F7C" w:rsidP="00C33F7C">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Datu avots: EUROSTAT</w:t>
      </w:r>
    </w:p>
  </w:footnote>
  <w:footnote w:id="20">
    <w:p w14:paraId="0E696193"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10" w:history="1">
        <w:r w:rsidRPr="00BB768B">
          <w:rPr>
            <w:rStyle w:val="Hyperlink"/>
            <w:rFonts w:asciiTheme="minorHAnsi" w:hAnsiTheme="minorHAnsi" w:cstheme="minorHAnsi"/>
          </w:rPr>
          <w:t>https://eur-lex.europa.eu/legal-content/LV/TXT/PDF/?uri=CELEX:32018L2001&amp;from=EN</w:t>
        </w:r>
      </w:hyperlink>
      <w:r w:rsidRPr="00BB768B">
        <w:rPr>
          <w:rFonts w:asciiTheme="minorHAnsi" w:hAnsiTheme="minorHAnsi" w:cstheme="minorHAnsi"/>
        </w:rPr>
        <w:t xml:space="preserve"> </w:t>
      </w:r>
    </w:p>
  </w:footnote>
  <w:footnote w:id="21">
    <w:p w14:paraId="7BD0F0E8"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11" w:history="1">
        <w:r w:rsidRPr="00BB768B">
          <w:rPr>
            <w:rStyle w:val="Hyperlink"/>
            <w:rFonts w:asciiTheme="minorHAnsi" w:hAnsiTheme="minorHAnsi" w:cstheme="minorHAnsi"/>
          </w:rPr>
          <w:t>https://eur-lex.europa.eu/legal-content/LV/TXT/PDF/?uri=CELEX:32018L2002&amp;from=EN</w:t>
        </w:r>
      </w:hyperlink>
      <w:r w:rsidRPr="00BB768B">
        <w:rPr>
          <w:rFonts w:asciiTheme="minorHAnsi" w:hAnsiTheme="minorHAnsi" w:cstheme="minorHAnsi"/>
        </w:rPr>
        <w:t xml:space="preserve"> </w:t>
      </w:r>
    </w:p>
  </w:footnote>
  <w:footnote w:id="22">
    <w:p w14:paraId="025F39C9" w14:textId="0A321832" w:rsidR="00BB768B" w:rsidRPr="00BB768B" w:rsidRDefault="00BB768B">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12" w:history="1">
        <w:r w:rsidRPr="00BB768B">
          <w:rPr>
            <w:rStyle w:val="Hyperlink"/>
            <w:rFonts w:asciiTheme="minorHAnsi" w:hAnsiTheme="minorHAnsi" w:cstheme="minorHAnsi"/>
          </w:rPr>
          <w:t>http://polsis.mk.gov.lv/documents/4247</w:t>
        </w:r>
      </w:hyperlink>
    </w:p>
  </w:footnote>
  <w:footnote w:id="23">
    <w:p w14:paraId="7BA44D56" w14:textId="77777777" w:rsidR="00BB768B" w:rsidRPr="00BB768B" w:rsidRDefault="00BB768B" w:rsidP="00BB768B">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13" w:history="1">
        <w:r w:rsidRPr="00BB768B">
          <w:rPr>
            <w:rStyle w:val="Hyperlink"/>
            <w:rFonts w:asciiTheme="minorHAnsi" w:hAnsiTheme="minorHAnsi" w:cstheme="minorHAnsi"/>
          </w:rPr>
          <w:t>http://polsis.mk.gov.lv/documents/4849</w:t>
        </w:r>
      </w:hyperlink>
      <w:r w:rsidRPr="00BB768B">
        <w:rPr>
          <w:rFonts w:asciiTheme="minorHAnsi" w:hAnsiTheme="minorHAnsi" w:cstheme="minorHAnsi"/>
        </w:rPr>
        <w:t xml:space="preserve"> </w:t>
      </w:r>
    </w:p>
  </w:footnote>
  <w:footnote w:id="24">
    <w:p w14:paraId="19B6F071"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14" w:history="1">
        <w:r w:rsidRPr="00BB768B">
          <w:rPr>
            <w:rStyle w:val="Hyperlink"/>
            <w:rFonts w:asciiTheme="minorHAnsi" w:hAnsiTheme="minorHAnsi" w:cstheme="minorHAnsi"/>
          </w:rPr>
          <w:t>https://likumi.lv/doc.php?id=207119</w:t>
        </w:r>
      </w:hyperlink>
      <w:r w:rsidRPr="00BB768B">
        <w:rPr>
          <w:rFonts w:asciiTheme="minorHAnsi" w:hAnsiTheme="minorHAnsi" w:cstheme="minorHAnsi"/>
        </w:rPr>
        <w:t xml:space="preserve">; </w:t>
      </w:r>
      <w:hyperlink r:id="rId15" w:history="1">
        <w:r w:rsidRPr="00BB768B">
          <w:rPr>
            <w:rStyle w:val="Hyperlink"/>
            <w:rFonts w:asciiTheme="minorHAnsi" w:hAnsiTheme="minorHAnsi" w:cstheme="minorHAnsi"/>
          </w:rPr>
          <w:t>https://likumi.lv/doc.php?id=74746</w:t>
        </w:r>
      </w:hyperlink>
      <w:r w:rsidRPr="00BB768B">
        <w:rPr>
          <w:rFonts w:asciiTheme="minorHAnsi" w:hAnsiTheme="minorHAnsi" w:cstheme="minorHAnsi"/>
        </w:rPr>
        <w:t xml:space="preserve">; </w:t>
      </w:r>
      <w:hyperlink r:id="rId16" w:history="1">
        <w:r w:rsidRPr="00BB768B">
          <w:rPr>
            <w:rStyle w:val="Hyperlink"/>
            <w:rFonts w:asciiTheme="minorHAnsi" w:hAnsiTheme="minorHAnsi" w:cstheme="minorHAnsi"/>
          </w:rPr>
          <w:t>https://likumi.lv/doc.php?id=74749</w:t>
        </w:r>
      </w:hyperlink>
      <w:r w:rsidRPr="00BB768B">
        <w:rPr>
          <w:rFonts w:asciiTheme="minorHAnsi" w:hAnsiTheme="minorHAnsi" w:cstheme="minorHAnsi"/>
        </w:rPr>
        <w:t xml:space="preserve">; </w:t>
      </w:r>
      <w:hyperlink r:id="rId17" w:history="1">
        <w:r w:rsidRPr="00BB768B">
          <w:rPr>
            <w:rStyle w:val="Hyperlink"/>
            <w:rFonts w:asciiTheme="minorHAnsi" w:hAnsiTheme="minorHAnsi" w:cstheme="minorHAnsi"/>
          </w:rPr>
          <w:t>https://likumi.lv/doc.php?id=79100</w:t>
        </w:r>
      </w:hyperlink>
      <w:r w:rsidRPr="00BB768B">
        <w:rPr>
          <w:rFonts w:asciiTheme="minorHAnsi" w:hAnsiTheme="minorHAnsi" w:cstheme="minorHAnsi"/>
        </w:rPr>
        <w:t xml:space="preserve">; </w:t>
      </w:r>
      <w:hyperlink r:id="rId18" w:history="1">
        <w:r w:rsidRPr="00BB768B">
          <w:rPr>
            <w:rStyle w:val="Hyperlink"/>
            <w:rFonts w:asciiTheme="minorHAnsi" w:hAnsiTheme="minorHAnsi" w:cstheme="minorHAnsi"/>
          </w:rPr>
          <w:t>https://likumi.lv/doc.php?id=228051</w:t>
        </w:r>
      </w:hyperlink>
      <w:r w:rsidRPr="00BB768B">
        <w:rPr>
          <w:rFonts w:asciiTheme="minorHAnsi" w:hAnsiTheme="minorHAnsi" w:cstheme="minorHAnsi"/>
        </w:rPr>
        <w:t xml:space="preserve">  </w:t>
      </w:r>
    </w:p>
  </w:footnote>
  <w:footnote w:id="25">
    <w:p w14:paraId="1A32D1C8"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19" w:history="1">
        <w:r w:rsidRPr="00BB768B">
          <w:rPr>
            <w:rStyle w:val="Hyperlink"/>
            <w:rFonts w:asciiTheme="minorHAnsi" w:hAnsiTheme="minorHAnsi" w:cstheme="minorHAnsi"/>
          </w:rPr>
          <w:t>https://bankwatch.org/wp-content/uploads/2019/03/NECP-in-8-CEE-countries-1.pdf</w:t>
        </w:r>
      </w:hyperlink>
    </w:p>
  </w:footnote>
  <w:footnote w:id="26">
    <w:p w14:paraId="2AA69802"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20" w:history="1">
        <w:r w:rsidRPr="00BB768B">
          <w:rPr>
            <w:rStyle w:val="Hyperlink"/>
            <w:rFonts w:asciiTheme="minorHAnsi" w:hAnsiTheme="minorHAnsi" w:cstheme="minorHAnsi"/>
          </w:rPr>
          <w:t>https://europeanclimate.org/wp-content/uploads/2019/05/Planning-for-Net-Zero.-Assessing-the-draft-NECPs.pdf</w:t>
        </w:r>
      </w:hyperlink>
      <w:r w:rsidRPr="00BB768B">
        <w:rPr>
          <w:rFonts w:asciiTheme="minorHAnsi" w:hAnsiTheme="minorHAnsi" w:cstheme="minorHAnsi"/>
        </w:rPr>
        <w:t xml:space="preserve"> </w:t>
      </w:r>
    </w:p>
  </w:footnote>
  <w:footnote w:id="27">
    <w:p w14:paraId="542260F6"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21" w:history="1">
        <w:r w:rsidRPr="00BB768B">
          <w:rPr>
            <w:rStyle w:val="Hyperlink"/>
            <w:rFonts w:asciiTheme="minorHAnsi" w:hAnsiTheme="minorHAnsi" w:cstheme="minorHAnsi"/>
          </w:rPr>
          <w:t>http://www.caneurope.org/docman/climate-energy-targets/3477-time-to-pick-up-the-pace-insights-into-the-draft-national-energy-and-climate-plans/file</w:t>
        </w:r>
      </w:hyperlink>
      <w:r w:rsidRPr="00BB768B">
        <w:rPr>
          <w:rFonts w:asciiTheme="minorHAnsi" w:hAnsiTheme="minorHAnsi" w:cstheme="minorHAnsi"/>
        </w:rPr>
        <w:t xml:space="preserve"> </w:t>
      </w:r>
    </w:p>
  </w:footnote>
  <w:footnote w:id="28">
    <w:p w14:paraId="45EEAE36" w14:textId="77777777" w:rsidR="00091521" w:rsidRPr="00BB768B" w:rsidRDefault="00091521" w:rsidP="00091521">
      <w:pPr>
        <w:pStyle w:val="FootnoteText"/>
        <w:jc w:val="both"/>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Tautsaimniecības padomes Enerģētikas komiteja ir izveidota saskaņā ar Ministru kabineta 2010. gada 23. marta noteikumu Nr. 271 „Ekonomikas ministrijas nolikums 6.11., 7.2. un 17. punktu un Ekonomikas ministrijas 2012. gada 9. novembra Nr.1-7-32 „Tautsaimniecības padomes nolikums 12. punktu</w:t>
      </w:r>
    </w:p>
  </w:footnote>
  <w:footnote w:id="29">
    <w:p w14:paraId="709E1638" w14:textId="77777777" w:rsidR="00091521" w:rsidRPr="00BB768B" w:rsidRDefault="00091521" w:rsidP="00091521">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22" w:history="1">
        <w:r w:rsidRPr="00BB768B">
          <w:rPr>
            <w:rStyle w:val="Hyperlink"/>
            <w:rFonts w:asciiTheme="minorHAnsi" w:hAnsiTheme="minorHAnsi" w:cstheme="minorHAnsi"/>
          </w:rPr>
          <w:t>https://em.gov.lv/lv/par_ministriju/notikumu_kalendars/21866-konference-nacionalais-energetikas-un-klimata-plans-2021-2030gadam-energetikas-attistiba-un-klimata-parmainu-mazinasana</w:t>
        </w:r>
      </w:hyperlink>
      <w:r w:rsidRPr="00BB768B">
        <w:rPr>
          <w:rFonts w:asciiTheme="minorHAnsi" w:hAnsiTheme="minorHAnsi" w:cstheme="minorHAnsi"/>
        </w:rPr>
        <w:t xml:space="preserve"> </w:t>
      </w:r>
    </w:p>
  </w:footnote>
  <w:footnote w:id="30">
    <w:p w14:paraId="740763DE" w14:textId="6F5795AB" w:rsidR="000860FB" w:rsidRPr="00BB768B" w:rsidRDefault="000860FB">
      <w:pPr>
        <w:pStyle w:val="FootnoteText"/>
        <w:rPr>
          <w:rFonts w:asciiTheme="minorHAnsi" w:hAnsiTheme="minorHAnsi" w:cstheme="minorHAnsi"/>
        </w:rPr>
      </w:pPr>
      <w:r w:rsidRPr="00BB768B">
        <w:rPr>
          <w:rStyle w:val="FootnoteReference"/>
          <w:rFonts w:asciiTheme="minorHAnsi" w:hAnsiTheme="minorHAnsi" w:cstheme="minorHAnsi"/>
        </w:rPr>
        <w:footnoteRef/>
      </w:r>
      <w:r w:rsidRPr="00BB768B">
        <w:rPr>
          <w:rFonts w:asciiTheme="minorHAnsi" w:hAnsiTheme="minorHAnsi" w:cstheme="minorHAnsi"/>
        </w:rPr>
        <w:t xml:space="preserve"> </w:t>
      </w:r>
      <w:hyperlink r:id="rId23" w:history="1">
        <w:r w:rsidRPr="00BB768B">
          <w:rPr>
            <w:rStyle w:val="Hyperlink"/>
            <w:rFonts w:asciiTheme="minorHAnsi" w:hAnsiTheme="minorHAnsi" w:cstheme="minorHAnsi"/>
          </w:rPr>
          <w:t>https://em.gov.lv/lv/nozares_politika/nacionalais_energetikas_un_klimata_plans/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1A69" w14:textId="77777777" w:rsidR="00091521" w:rsidRPr="00D61280" w:rsidRDefault="003518FA">
    <w:pPr>
      <w:pStyle w:val="Header"/>
      <w:jc w:val="center"/>
      <w:rPr>
        <w:rFonts w:cstheme="minorHAnsi"/>
      </w:rPr>
    </w:pPr>
    <w:sdt>
      <w:sdtPr>
        <w:rPr>
          <w:rFonts w:cstheme="minorHAnsi"/>
        </w:rPr>
        <w:id w:val="141547956"/>
        <w:docPartObj>
          <w:docPartGallery w:val="Page Numbers (Top of Page)"/>
          <w:docPartUnique/>
        </w:docPartObj>
      </w:sdtPr>
      <w:sdtEndPr>
        <w:rPr>
          <w:noProof/>
        </w:rPr>
      </w:sdtEndPr>
      <w:sdtContent>
        <w:r w:rsidR="00091521" w:rsidRPr="00D61280">
          <w:rPr>
            <w:rFonts w:cstheme="minorHAnsi"/>
          </w:rPr>
          <w:fldChar w:fldCharType="begin"/>
        </w:r>
        <w:r w:rsidR="00091521" w:rsidRPr="00D61280">
          <w:rPr>
            <w:rFonts w:cstheme="minorHAnsi"/>
          </w:rPr>
          <w:instrText xml:space="preserve"> PAGE   \* MERGEFORMAT </w:instrText>
        </w:r>
        <w:r w:rsidR="00091521" w:rsidRPr="00D61280">
          <w:rPr>
            <w:rFonts w:cstheme="minorHAnsi"/>
          </w:rPr>
          <w:fldChar w:fldCharType="separate"/>
        </w:r>
        <w:r w:rsidR="00091521" w:rsidRPr="00D61280">
          <w:rPr>
            <w:rFonts w:cstheme="minorHAnsi"/>
            <w:noProof/>
          </w:rPr>
          <w:t>27</w:t>
        </w:r>
        <w:r w:rsidR="00091521" w:rsidRPr="00D61280">
          <w:rPr>
            <w:rFonts w:cstheme="minorHAnsi"/>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62F1" w14:textId="77777777" w:rsidR="00091521" w:rsidRPr="00AE386F" w:rsidRDefault="00091521">
    <w:pPr>
      <w:pStyle w:val="Header"/>
      <w:jc w:val="center"/>
      <w:rPr>
        <w:rFonts w:ascii="Times New Roman" w:hAnsi="Times New Roman" w:cs="Times New Roman"/>
      </w:rPr>
    </w:pPr>
  </w:p>
  <w:p w14:paraId="2812A10D" w14:textId="77777777" w:rsidR="00091521" w:rsidRDefault="00091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5A5"/>
    <w:multiLevelType w:val="hybridMultilevel"/>
    <w:tmpl w:val="CF20B9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2A1149"/>
    <w:multiLevelType w:val="hybridMultilevel"/>
    <w:tmpl w:val="C1BCE440"/>
    <w:lvl w:ilvl="0" w:tplc="04260001">
      <w:start w:val="1"/>
      <w:numFmt w:val="bullet"/>
      <w:lvlText w:val=""/>
      <w:lvlJc w:val="left"/>
      <w:pPr>
        <w:ind w:left="720" w:hanging="360"/>
      </w:pPr>
      <w:rPr>
        <w:rFonts w:ascii="Symbol" w:hAnsi="Symbol"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4E0570"/>
    <w:multiLevelType w:val="hybridMultilevel"/>
    <w:tmpl w:val="428417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563F95"/>
    <w:multiLevelType w:val="multilevel"/>
    <w:tmpl w:val="19505EE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C571FA"/>
    <w:multiLevelType w:val="hybridMultilevel"/>
    <w:tmpl w:val="AA0AC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ED6CC2"/>
    <w:multiLevelType w:val="hybridMultilevel"/>
    <w:tmpl w:val="4FF0274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21"/>
    <w:rsid w:val="00046752"/>
    <w:rsid w:val="00084D8D"/>
    <w:rsid w:val="000860FB"/>
    <w:rsid w:val="00091521"/>
    <w:rsid w:val="000B0478"/>
    <w:rsid w:val="00113E8D"/>
    <w:rsid w:val="003518FA"/>
    <w:rsid w:val="003D7682"/>
    <w:rsid w:val="005363B0"/>
    <w:rsid w:val="00542301"/>
    <w:rsid w:val="00603C10"/>
    <w:rsid w:val="00663ABC"/>
    <w:rsid w:val="0078586A"/>
    <w:rsid w:val="007C62DC"/>
    <w:rsid w:val="00986E81"/>
    <w:rsid w:val="00AC142E"/>
    <w:rsid w:val="00B573BB"/>
    <w:rsid w:val="00B7123A"/>
    <w:rsid w:val="00BB768B"/>
    <w:rsid w:val="00BD39E8"/>
    <w:rsid w:val="00C062AA"/>
    <w:rsid w:val="00C33F7C"/>
    <w:rsid w:val="00C737CC"/>
    <w:rsid w:val="00C97146"/>
    <w:rsid w:val="00CE27CD"/>
    <w:rsid w:val="00D61280"/>
    <w:rsid w:val="00E816BF"/>
    <w:rsid w:val="00EA0C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6F17"/>
  <w15:chartTrackingRefBased/>
  <w15:docId w15:val="{E96F3E04-B53E-4398-8B59-88468823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521"/>
    <w:rPr>
      <w:sz w:val="24"/>
    </w:rPr>
  </w:style>
  <w:style w:type="paragraph" w:styleId="Heading1">
    <w:name w:val="heading 1"/>
    <w:basedOn w:val="Normal"/>
    <w:next w:val="Normal"/>
    <w:link w:val="Heading1Char"/>
    <w:uiPriority w:val="9"/>
    <w:qFormat/>
    <w:rsid w:val="00091521"/>
    <w:pPr>
      <w:keepNext/>
      <w:keepLines/>
      <w:numPr>
        <w:numId w:val="1"/>
      </w:numPr>
      <w:tabs>
        <w:tab w:val="left" w:pos="2694"/>
      </w:tabs>
      <w:spacing w:before="120" w:after="120" w:line="240" w:lineRule="auto"/>
      <w:ind w:left="709" w:hanging="709"/>
      <w:outlineLvl w:val="0"/>
    </w:pPr>
    <w:rPr>
      <w:rFonts w:ascii="Times New Roman" w:eastAsia="Times New Roman" w:hAnsi="Times New Roman" w:cs="Times New Roman"/>
      <w:b/>
      <w:sz w:val="28"/>
      <w:szCs w:val="32"/>
      <w:lang w:eastAsia="lv-LV"/>
    </w:rPr>
  </w:style>
  <w:style w:type="paragraph" w:styleId="Heading2">
    <w:name w:val="heading 2"/>
    <w:basedOn w:val="Normal"/>
    <w:next w:val="Normal"/>
    <w:link w:val="Heading2Char"/>
    <w:uiPriority w:val="9"/>
    <w:unhideWhenUsed/>
    <w:qFormat/>
    <w:rsid w:val="00091521"/>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091521"/>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091521"/>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521"/>
    <w:rPr>
      <w:rFonts w:ascii="Times New Roman" w:eastAsia="Times New Roman" w:hAnsi="Times New Roman" w:cs="Times New Roman"/>
      <w:b/>
      <w:sz w:val="28"/>
      <w:szCs w:val="32"/>
      <w:lang w:eastAsia="lv-LV"/>
    </w:rPr>
  </w:style>
  <w:style w:type="character" w:customStyle="1" w:styleId="Heading2Char">
    <w:name w:val="Heading 2 Char"/>
    <w:basedOn w:val="DefaultParagraphFont"/>
    <w:link w:val="Heading2"/>
    <w:uiPriority w:val="9"/>
    <w:rsid w:val="00091521"/>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091521"/>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091521"/>
    <w:rPr>
      <w:rFonts w:ascii="Times New Roman" w:eastAsiaTheme="majorEastAsia" w:hAnsi="Times New Roman" w:cs="Times New Roman"/>
      <w:i/>
      <w:iCs/>
      <w:sz w:val="24"/>
      <w:szCs w:val="24"/>
    </w:rPr>
  </w:style>
  <w:style w:type="character" w:customStyle="1" w:styleId="normaltextrun">
    <w:name w:val="normaltextrun"/>
    <w:basedOn w:val="DefaultParagraphFont"/>
    <w:rsid w:val="00091521"/>
  </w:style>
  <w:style w:type="character" w:customStyle="1" w:styleId="eop">
    <w:name w:val="eop"/>
    <w:basedOn w:val="DefaultParagraphFont"/>
    <w:rsid w:val="00091521"/>
  </w:style>
  <w:style w:type="character" w:customStyle="1" w:styleId="spellingerror">
    <w:name w:val="spellingerror"/>
    <w:basedOn w:val="DefaultParagraphFont"/>
    <w:rsid w:val="00091521"/>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nhideWhenUsed/>
    <w:qFormat/>
    <w:rsid w:val="00091521"/>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qFormat/>
    <w:rsid w:val="00091521"/>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nhideWhenUsed/>
    <w:qFormat/>
    <w:rsid w:val="00091521"/>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091521"/>
    <w:pPr>
      <w:spacing w:line="240" w:lineRule="exact"/>
      <w:jc w:val="both"/>
    </w:pPr>
    <w:rPr>
      <w:sz w:val="22"/>
      <w:vertAlign w:val="superscript"/>
    </w:rPr>
  </w:style>
  <w:style w:type="paragraph" w:customStyle="1" w:styleId="Default">
    <w:name w:val="Default"/>
    <w:link w:val="DefaultChar"/>
    <w:rsid w:val="000915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091521"/>
    <w:rPr>
      <w:rFonts w:ascii="Times New Roman" w:hAnsi="Times New Roman" w:cs="Times New Roman"/>
      <w:color w:val="000000"/>
      <w:sz w:val="24"/>
      <w:szCs w:val="24"/>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09152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091521"/>
    <w:rPr>
      <w:sz w:val="24"/>
    </w:rPr>
  </w:style>
  <w:style w:type="paragraph" w:styleId="Header">
    <w:name w:val="header"/>
    <w:basedOn w:val="Normal"/>
    <w:link w:val="HeaderChar"/>
    <w:uiPriority w:val="99"/>
    <w:unhideWhenUsed/>
    <w:rsid w:val="00091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521"/>
    <w:rPr>
      <w:sz w:val="24"/>
    </w:rPr>
  </w:style>
  <w:style w:type="paragraph" w:styleId="Footer">
    <w:name w:val="footer"/>
    <w:basedOn w:val="Normal"/>
    <w:link w:val="FooterChar"/>
    <w:uiPriority w:val="99"/>
    <w:unhideWhenUsed/>
    <w:rsid w:val="00091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521"/>
    <w:rPr>
      <w:sz w:val="24"/>
    </w:rPr>
  </w:style>
  <w:style w:type="character" w:styleId="Hyperlink">
    <w:name w:val="Hyperlink"/>
    <w:basedOn w:val="DefaultParagraphFont"/>
    <w:uiPriority w:val="99"/>
    <w:unhideWhenUsed/>
    <w:rsid w:val="00091521"/>
    <w:rPr>
      <w:color w:val="0563C1" w:themeColor="hyperlink"/>
      <w:u w:val="single"/>
    </w:rPr>
  </w:style>
  <w:style w:type="paragraph" w:styleId="Caption">
    <w:name w:val="caption"/>
    <w:aliases w:val="Beschriftung Char"/>
    <w:basedOn w:val="Normal"/>
    <w:next w:val="Normal"/>
    <w:link w:val="CaptionChar"/>
    <w:uiPriority w:val="35"/>
    <w:unhideWhenUsed/>
    <w:qFormat/>
    <w:rsid w:val="00091521"/>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CaptionChar">
    <w:name w:val="Caption Char"/>
    <w:aliases w:val="Beschriftung Char Char"/>
    <w:link w:val="Caption"/>
    <w:uiPriority w:val="35"/>
    <w:rsid w:val="00091521"/>
    <w:rPr>
      <w:rFonts w:ascii="Times New Roman" w:eastAsiaTheme="majorEastAsia" w:hAnsi="Times New Roman" w:cs="Times New Roman"/>
      <w:b/>
      <w:iCs/>
      <w:sz w:val="20"/>
      <w:szCs w:val="20"/>
    </w:rPr>
  </w:style>
  <w:style w:type="character" w:styleId="FollowedHyperlink">
    <w:name w:val="FollowedHyperlink"/>
    <w:basedOn w:val="DefaultParagraphFont"/>
    <w:uiPriority w:val="99"/>
    <w:semiHidden/>
    <w:unhideWhenUsed/>
    <w:rsid w:val="00EA0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PDF/?uri=CELEX:52011DC0112&amp;from=LV" TargetMode="External"/><Relationship Id="rId13" Type="http://schemas.openxmlformats.org/officeDocument/2006/relationships/hyperlink" Target="http://polsis.mk.gov.lv/documents/4849" TargetMode="External"/><Relationship Id="rId18" Type="http://schemas.openxmlformats.org/officeDocument/2006/relationships/hyperlink" Target="https://likumi.lv/doc.php?id=228051" TargetMode="External"/><Relationship Id="rId3" Type="http://schemas.openxmlformats.org/officeDocument/2006/relationships/hyperlink" Target="http://data.consilium.europa.eu/doc/document/ST-169-2014-INIT/lv/pdf" TargetMode="External"/><Relationship Id="rId21" Type="http://schemas.openxmlformats.org/officeDocument/2006/relationships/hyperlink" Target="http://www.caneurope.org/docman/climate-energy-targets/3477-time-to-pick-up-the-pace-insights-into-the-draft-national-energy-and-climate-plans/file" TargetMode="External"/><Relationship Id="rId7" Type="http://schemas.openxmlformats.org/officeDocument/2006/relationships/hyperlink" Target="https://ec.europa.eu/clima/sites/clima/files/docs/pages/com_2018_733_en.pdf" TargetMode="External"/><Relationship Id="rId12" Type="http://schemas.openxmlformats.org/officeDocument/2006/relationships/hyperlink" Target="http://polsis.mk.gov.lv/documents/4247" TargetMode="External"/><Relationship Id="rId17" Type="http://schemas.openxmlformats.org/officeDocument/2006/relationships/hyperlink" Target="https://likumi.lv/doc.php?id=79100" TargetMode="External"/><Relationship Id="rId2" Type="http://schemas.openxmlformats.org/officeDocument/2006/relationships/hyperlink" Target="https://likumi.lv/ta/id/306691-par-valdibas-ricibas-planu-deklaracijas-par-artura-krisjana-karina-vadita-ministru-kabineta-iecereto-darbibu-istenosanai" TargetMode="External"/><Relationship Id="rId16" Type="http://schemas.openxmlformats.org/officeDocument/2006/relationships/hyperlink" Target="https://likumi.lv/doc.php?id=74749" TargetMode="External"/><Relationship Id="rId20" Type="http://schemas.openxmlformats.org/officeDocument/2006/relationships/hyperlink" Target="https://europeanclimate.org/wp-content/uploads/2019/05/Planning-for-Net-Zero.-Assessing-the-draft-NECPs.pdf" TargetMode="External"/><Relationship Id="rId1" Type="http://schemas.openxmlformats.org/officeDocument/2006/relationships/hyperlink" Target="https://likumi.lv/ta/id/281943-par-valdibas-ricibas-planu-deklaracijas-par-mara-kucinska-vadita-ministru-kabineta-iecereto-darbibu-istenosanai" TargetMode="External"/><Relationship Id="rId6" Type="http://schemas.openxmlformats.org/officeDocument/2006/relationships/hyperlink" Target="https://eur-lex.europa.eu/legal-content/LV/TXT/PDF/?uri=CELEX:32018R1999&amp;from=LV" TargetMode="External"/><Relationship Id="rId11" Type="http://schemas.openxmlformats.org/officeDocument/2006/relationships/hyperlink" Target="https://eur-lex.europa.eu/legal-content/LV/TXT/PDF/?uri=CELEX:32018L2002&amp;from=EN" TargetMode="External"/><Relationship Id="rId5" Type="http://schemas.openxmlformats.org/officeDocument/2006/relationships/hyperlink" Target="https://eur-lex.europa.eu/legal-content/LV/TXT/PDF/?uri=CELEX:32018R1999&amp;from=EN" TargetMode="External"/><Relationship Id="rId15" Type="http://schemas.openxmlformats.org/officeDocument/2006/relationships/hyperlink" Target="https://likumi.lv/doc.php?id=74746" TargetMode="External"/><Relationship Id="rId23" Type="http://schemas.openxmlformats.org/officeDocument/2006/relationships/hyperlink" Target="https://em.gov.lv/lv/nozares_politika/nacionalais_energetikas_un_klimata_plans/" TargetMode="External"/><Relationship Id="rId10" Type="http://schemas.openxmlformats.org/officeDocument/2006/relationships/hyperlink" Target="https://eur-lex.europa.eu/legal-content/LV/TXT/PDF/?uri=CELEX:32018L2001&amp;from=EN" TargetMode="External"/><Relationship Id="rId19" Type="http://schemas.openxmlformats.org/officeDocument/2006/relationships/hyperlink" Target="https://bankwatch.org/wp-content/uploads/2019/03/NECP-in-8-CEE-countries-1.pdf" TargetMode="External"/><Relationship Id="rId4" Type="http://schemas.openxmlformats.org/officeDocument/2006/relationships/hyperlink" Target="http://data.consilium.europa.eu/doc/document/ST-14459-2015-INIT/lv/pdf" TargetMode="External"/><Relationship Id="rId9" Type="http://schemas.openxmlformats.org/officeDocument/2006/relationships/hyperlink" Target="http://polsis.mk.gov.lv/documents/3323" TargetMode="External"/><Relationship Id="rId14" Type="http://schemas.openxmlformats.org/officeDocument/2006/relationships/hyperlink" Target="https://likumi.lv/doc.php?id=207119" TargetMode="External"/><Relationship Id="rId22" Type="http://schemas.openxmlformats.org/officeDocument/2006/relationships/hyperlink" Target="https://em.gov.lv/lv/par_ministriju/notikumu_kalendars/21866-konference-nacionalais-energetikas-un-klimata-plans-2021-2030gadam-energetikas-attistiba-un-klimata-parmainu-mazina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416FB-5450-4F11-9BE3-722E2297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17965</Words>
  <Characters>10241</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2</cp:revision>
  <dcterms:created xsi:type="dcterms:W3CDTF">2019-10-14T06:57:00Z</dcterms:created>
  <dcterms:modified xsi:type="dcterms:W3CDTF">2019-10-14T06:57:00Z</dcterms:modified>
</cp:coreProperties>
</file>