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B4" w:rsidRPr="002C392A" w:rsidRDefault="003F54B4" w:rsidP="0062507D">
      <w:pPr>
        <w:pStyle w:val="ListParagraph"/>
        <w:jc w:val="right"/>
        <w:rPr>
          <w:sz w:val="28"/>
          <w:szCs w:val="28"/>
        </w:rPr>
      </w:pPr>
      <w:bookmarkStart w:id="0" w:name="_GoBack"/>
      <w:bookmarkEnd w:id="0"/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Informācija par </w:t>
      </w:r>
      <w:r w:rsidR="009A18B5">
        <w:rPr>
          <w:rFonts w:eastAsia="Times New Roman"/>
          <w:b/>
          <w:bCs/>
          <w:color w:val="000000"/>
          <w:sz w:val="28"/>
          <w:szCs w:val="28"/>
          <w:lang w:eastAsia="zh-CN"/>
        </w:rPr>
        <w:t>SIA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„</w:t>
      </w:r>
      <w:r w:rsidR="009A18B5">
        <w:rPr>
          <w:rFonts w:eastAsia="Times New Roman"/>
          <w:b/>
          <w:bCs/>
          <w:color w:val="000000"/>
          <w:sz w:val="28"/>
          <w:szCs w:val="28"/>
          <w:lang w:eastAsia="zh-CN"/>
        </w:rPr>
        <w:t>Latvijas Garantiju aģentūra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>”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AC72D1">
        <w:rPr>
          <w:rFonts w:eastAsia="Times New Roman"/>
          <w:b/>
          <w:bCs/>
          <w:color w:val="000000"/>
          <w:sz w:val="28"/>
          <w:szCs w:val="28"/>
          <w:lang w:eastAsia="zh-CN"/>
        </w:rPr>
        <w:t>2014.gada rādītāju prognozi</w:t>
      </w:r>
      <w:r w:rsidR="006529A8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</w:p>
    <w:p w:rsidR="006A02A6" w:rsidRPr="00A12DD8" w:rsidRDefault="006A02A6" w:rsidP="006A02A6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>apitālsabiedrības darbības rezultāt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 un </w:t>
      </w:r>
      <w:r>
        <w:rPr>
          <w:rFonts w:eastAsia="Times New Roman"/>
          <w:b/>
          <w:bCs/>
          <w:color w:val="000000"/>
          <w:szCs w:val="26"/>
          <w:lang w:eastAsia="zh-CN"/>
        </w:rPr>
        <w:t>rezultatīvie rādītāji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49"/>
        <w:gridCol w:w="2443"/>
        <w:gridCol w:w="6095"/>
      </w:tblGrid>
      <w:tr w:rsidR="00C65BE2" w:rsidRPr="00924496" w:rsidTr="00982CCB">
        <w:trPr>
          <w:trHeight w:val="8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Kapitālsabiedrības darbības mērķis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4DC" w:rsidRPr="006227EB" w:rsidRDefault="00847441" w:rsidP="00982CCB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0E111A">
              <w:rPr>
                <w:rFonts w:eastAsia="Times New Roman"/>
                <w:sz w:val="22"/>
                <w:szCs w:val="22"/>
              </w:rPr>
              <w:t>Sniegt valsts atbalstu uzņēmējiem finanšu instrumentu veidā</w:t>
            </w:r>
            <w:r w:rsidR="000E111A">
              <w:rPr>
                <w:rFonts w:eastAsia="Times New Roman"/>
                <w:sz w:val="22"/>
                <w:szCs w:val="22"/>
              </w:rPr>
              <w:t xml:space="preserve"> – piesaistīt</w:t>
            </w:r>
            <w:r w:rsidR="000E111A" w:rsidRPr="000E111A">
              <w:rPr>
                <w:rFonts w:eastAsia="Times New Roman"/>
                <w:sz w:val="22"/>
                <w:szCs w:val="22"/>
              </w:rPr>
              <w:t xml:space="preserve"> finansējumu nepietiekama nodrošinājuma gadījumā</w:t>
            </w:r>
            <w:r w:rsidR="000E111A">
              <w:rPr>
                <w:rFonts w:eastAsia="Times New Roman"/>
                <w:sz w:val="22"/>
                <w:szCs w:val="22"/>
              </w:rPr>
              <w:t xml:space="preserve">, </w:t>
            </w:r>
            <w:r w:rsidR="000E111A" w:rsidRPr="000E111A">
              <w:rPr>
                <w:rFonts w:eastAsia="Times New Roman"/>
                <w:sz w:val="22"/>
                <w:szCs w:val="22"/>
              </w:rPr>
              <w:t xml:space="preserve">paplašināt esošo darbību sniedzot </w:t>
            </w:r>
            <w:proofErr w:type="spellStart"/>
            <w:r w:rsidR="000E111A" w:rsidRPr="000E111A">
              <w:rPr>
                <w:rFonts w:eastAsia="Times New Roman"/>
                <w:sz w:val="22"/>
                <w:szCs w:val="22"/>
              </w:rPr>
              <w:t>mezanīna</w:t>
            </w:r>
            <w:proofErr w:type="spellEnd"/>
            <w:r w:rsidR="000E111A" w:rsidRPr="000E111A">
              <w:rPr>
                <w:rFonts w:eastAsia="Times New Roman"/>
                <w:sz w:val="22"/>
                <w:szCs w:val="22"/>
              </w:rPr>
              <w:t xml:space="preserve"> aizdevumus</w:t>
            </w:r>
            <w:r w:rsidR="000E111A">
              <w:rPr>
                <w:rFonts w:eastAsia="Times New Roman"/>
                <w:sz w:val="22"/>
                <w:szCs w:val="22"/>
              </w:rPr>
              <w:t xml:space="preserve">, </w:t>
            </w:r>
            <w:r w:rsidR="000E111A" w:rsidRPr="000E111A">
              <w:rPr>
                <w:rFonts w:eastAsia="Times New Roman"/>
                <w:sz w:val="22"/>
                <w:szCs w:val="22"/>
              </w:rPr>
              <w:t>apdrošināt eksporta darījumu riskus</w:t>
            </w:r>
            <w:r w:rsidR="000E111A">
              <w:rPr>
                <w:rFonts w:eastAsia="Times New Roman"/>
                <w:sz w:val="22"/>
                <w:szCs w:val="22"/>
              </w:rPr>
              <w:t xml:space="preserve">, </w:t>
            </w:r>
            <w:r w:rsidR="000E111A" w:rsidRPr="000E111A">
              <w:rPr>
                <w:rFonts w:eastAsia="Times New Roman"/>
                <w:sz w:val="22"/>
                <w:szCs w:val="22"/>
              </w:rPr>
              <w:t>sniegt riska kapitāla finansējumu</w:t>
            </w:r>
            <w:r w:rsidR="000E111A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</w:tr>
    </w:tbl>
    <w:p w:rsidR="008A6734" w:rsidRDefault="008A6734" w:rsidP="002C392A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W w:w="908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42"/>
        <w:gridCol w:w="1464"/>
        <w:gridCol w:w="1465"/>
        <w:gridCol w:w="1465"/>
      </w:tblGrid>
      <w:tr w:rsidR="002B2C8F" w:rsidRPr="004A2A30" w:rsidTr="00DC6B37">
        <w:trPr>
          <w:trHeight w:val="930"/>
          <w:tblHeader/>
          <w:jc w:val="center"/>
        </w:trPr>
        <w:tc>
          <w:tcPr>
            <w:tcW w:w="551" w:type="dxa"/>
            <w:shd w:val="clear" w:color="auto" w:fill="D6E3BC" w:themeFill="accent3" w:themeFillTint="66"/>
            <w:vAlign w:val="center"/>
          </w:tcPr>
          <w:p w:rsidR="0046385D" w:rsidRDefault="002B2C8F" w:rsidP="00C86FD3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</w:t>
            </w:r>
          </w:p>
          <w:p w:rsidR="002B2C8F" w:rsidRPr="004A2A30" w:rsidRDefault="0046385D" w:rsidP="00C86FD3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p/k</w:t>
            </w:r>
            <w:r w:rsidR="002B2C8F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142" w:type="dxa"/>
            <w:shd w:val="clear" w:color="auto" w:fill="D6E3BC" w:themeFill="accent3" w:themeFillTint="66"/>
            <w:vAlign w:val="center"/>
            <w:hideMark/>
          </w:tcPr>
          <w:p w:rsidR="002B2C8F" w:rsidRPr="004A2A30" w:rsidRDefault="002B2C8F" w:rsidP="004163F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Sagaidāmais d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arbības rezultāts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/ rādītāji</w:t>
            </w:r>
          </w:p>
        </w:tc>
        <w:tc>
          <w:tcPr>
            <w:tcW w:w="1464" w:type="dxa"/>
            <w:shd w:val="clear" w:color="auto" w:fill="D6E3BC" w:themeFill="accent3" w:themeFillTint="66"/>
            <w:vAlign w:val="center"/>
            <w:hideMark/>
          </w:tcPr>
          <w:p w:rsidR="002B2C8F" w:rsidRPr="004A2A30" w:rsidRDefault="002B2C8F" w:rsidP="004163F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izpilde</w:t>
            </w:r>
          </w:p>
        </w:tc>
        <w:tc>
          <w:tcPr>
            <w:tcW w:w="1465" w:type="dxa"/>
            <w:shd w:val="clear" w:color="auto" w:fill="D6E3BC" w:themeFill="accent3" w:themeFillTint="66"/>
            <w:vAlign w:val="center"/>
          </w:tcPr>
          <w:p w:rsidR="002B2C8F" w:rsidRDefault="002B2C8F" w:rsidP="004163F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2013.gada </w:t>
            </w:r>
          </w:p>
          <w:p w:rsidR="002B2C8F" w:rsidRPr="004A2A30" w:rsidRDefault="00A10B64" w:rsidP="004163F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provizoriskā </w:t>
            </w:r>
            <w:r w:rsidR="002B2C8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izpilde</w:t>
            </w:r>
          </w:p>
        </w:tc>
        <w:tc>
          <w:tcPr>
            <w:tcW w:w="1465" w:type="dxa"/>
            <w:shd w:val="clear" w:color="auto" w:fill="D6E3BC" w:themeFill="accent3" w:themeFillTint="66"/>
            <w:vAlign w:val="center"/>
          </w:tcPr>
          <w:p w:rsidR="002B2C8F" w:rsidRPr="004A2A30" w:rsidRDefault="002B2C8F" w:rsidP="004163F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.gada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plāns </w:t>
            </w:r>
          </w:p>
        </w:tc>
      </w:tr>
      <w:tr w:rsidR="007D7EDA" w:rsidRPr="00175E92" w:rsidTr="00DC6B37">
        <w:trPr>
          <w:trHeight w:val="330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7D7EDA" w:rsidRPr="008A6734" w:rsidRDefault="007D7EDA" w:rsidP="001E3215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7D7EDA" w:rsidRPr="008A6734" w:rsidRDefault="007D7EDA" w:rsidP="001E3215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7D7EDA" w:rsidRPr="008A6734" w:rsidRDefault="007D7EDA" w:rsidP="00EE6209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D7EDA" w:rsidRPr="008A6734" w:rsidRDefault="007D7EDA" w:rsidP="00EE6209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D7EDA" w:rsidRPr="008A6734" w:rsidRDefault="007D7EDA" w:rsidP="00EE6209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7D7EDA" w:rsidRPr="00175E92" w:rsidTr="00CC4DA6">
        <w:trPr>
          <w:trHeight w:val="41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7D7EDA" w:rsidRPr="008A6734" w:rsidRDefault="007D7EDA" w:rsidP="009F23E2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 </w:t>
            </w:r>
            <w:r w:rsidRPr="00B91B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7D7EDA" w:rsidRPr="00EF45B1" w:rsidRDefault="007D7EDA" w:rsidP="009F23E2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EF45B1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Ieņēmumu rādītāji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7D7EDA" w:rsidRPr="00EF45B1" w:rsidRDefault="007D7EDA" w:rsidP="00EE6209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EF45B1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D7EDA" w:rsidRPr="00194962" w:rsidRDefault="00194962" w:rsidP="00EE6209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194962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D7EDA" w:rsidRPr="00194962" w:rsidRDefault="00194962" w:rsidP="00EE6209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194962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7D7EDA" w:rsidRPr="00175E92" w:rsidTr="00DC6B37">
        <w:trPr>
          <w:trHeight w:val="330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7D7EDA" w:rsidRPr="00792EAD" w:rsidRDefault="007D7EDA" w:rsidP="00511BA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92EA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7D7EDA" w:rsidRPr="00792EAD" w:rsidRDefault="007D7EDA" w:rsidP="00511BA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92EA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Ieņēmumi no garantiju komisijām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7D7EDA" w:rsidRPr="00792EAD" w:rsidRDefault="007D7EDA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92EA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581 380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D7EDA" w:rsidRPr="00EE6209" w:rsidRDefault="00EE6209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E620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466 400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D7EDA" w:rsidRPr="00EE6209" w:rsidRDefault="00F57DF9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420 000</w:t>
            </w:r>
          </w:p>
        </w:tc>
      </w:tr>
      <w:tr w:rsidR="00287B77" w:rsidRPr="00175E92" w:rsidTr="00DC6B37">
        <w:trPr>
          <w:trHeight w:val="330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87B77" w:rsidRPr="008A6734" w:rsidRDefault="00287B77" w:rsidP="0068056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287B77" w:rsidRPr="00C21035" w:rsidRDefault="00287B77" w:rsidP="0078209E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C2103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Mezanīna</w:t>
            </w:r>
            <w:proofErr w:type="spellEnd"/>
            <w:r w:rsidRPr="00C2103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aizdevumu procentu ieņēmumi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87B77" w:rsidRPr="00C21035" w:rsidRDefault="00287B7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2103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62 825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EE6209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E620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79 880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F57DF9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100 000</w:t>
            </w:r>
          </w:p>
        </w:tc>
      </w:tr>
      <w:tr w:rsidR="00287B77" w:rsidRPr="00175E92" w:rsidTr="00DC6B37">
        <w:trPr>
          <w:trHeight w:val="330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87B77" w:rsidRPr="00B5436F" w:rsidRDefault="00287B77" w:rsidP="00511BA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B5436F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1.3.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287B77" w:rsidRPr="00C21035" w:rsidRDefault="00287B77" w:rsidP="003C46BD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2103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Pārējie procentu ieņēmumi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87B77" w:rsidRPr="00934D7A" w:rsidRDefault="00287B7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34D7A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3 718 892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706E9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3 450 932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F57DF9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2 300 000</w:t>
            </w:r>
          </w:p>
        </w:tc>
      </w:tr>
      <w:tr w:rsidR="00287B77" w:rsidRPr="00175E92" w:rsidTr="00CC4DA6">
        <w:trPr>
          <w:trHeight w:val="41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87B77" w:rsidRPr="008A6734" w:rsidRDefault="00287B77" w:rsidP="00D775A0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287B77" w:rsidRPr="008A6734" w:rsidRDefault="00287B77" w:rsidP="00D775A0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Izdevumu rādītāji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87B77" w:rsidRPr="008A6734" w:rsidRDefault="00287B77" w:rsidP="00EE6209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194962" w:rsidRDefault="00287B77" w:rsidP="00EE6209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194962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194962" w:rsidRDefault="00287B77" w:rsidP="00EE6209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194962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287B77" w:rsidRPr="00175E92" w:rsidTr="00DC6B37">
        <w:trPr>
          <w:trHeight w:val="330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87B77" w:rsidRPr="008A6734" w:rsidRDefault="00287B77" w:rsidP="00243A1D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2.1.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287B77" w:rsidRPr="00946F21" w:rsidRDefault="00287B77" w:rsidP="00243A1D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46F2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Administratīvie izdevumi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87B77" w:rsidRPr="00467356" w:rsidRDefault="00287B7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4673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675 368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706E9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816 710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7933FA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850 000</w:t>
            </w:r>
          </w:p>
        </w:tc>
      </w:tr>
      <w:tr w:rsidR="00287B77" w:rsidRPr="00175E92" w:rsidTr="00DC6B37">
        <w:trPr>
          <w:trHeight w:val="330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87B77" w:rsidRPr="008A6734" w:rsidRDefault="00287B77" w:rsidP="00243A1D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2.2.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287B77" w:rsidRPr="00946F21" w:rsidRDefault="00287B77" w:rsidP="00243A1D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46F2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Izmaksātās garantiju kompensācijas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87B77" w:rsidRPr="00467356" w:rsidRDefault="00287B7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4673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1 686 201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706E9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890 000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7933FA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1 000 000</w:t>
            </w:r>
          </w:p>
        </w:tc>
      </w:tr>
      <w:tr w:rsidR="00287B77" w:rsidRPr="00175E92" w:rsidTr="00DC6B37">
        <w:trPr>
          <w:trHeight w:val="330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87B77" w:rsidRPr="008A6734" w:rsidRDefault="00287B77" w:rsidP="00243A1D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2.3</w:t>
            </w: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287B77" w:rsidRPr="00946F21" w:rsidRDefault="00287B77" w:rsidP="00243A1D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46F2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Uzņēmuma ienākuma nodoklis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87B77" w:rsidRPr="00467356" w:rsidRDefault="00287B7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4673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449 434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706E97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330 446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7B77" w:rsidRPr="00EE6209" w:rsidRDefault="007933FA" w:rsidP="00EE62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330 000</w:t>
            </w:r>
          </w:p>
        </w:tc>
      </w:tr>
    </w:tbl>
    <w:p w:rsidR="00EE7CCB" w:rsidRDefault="00EE7CCB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26453E" w:rsidRDefault="0026453E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6A02A6" w:rsidRDefault="006A02A6" w:rsidP="006A02A6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Kapitālsabiedrības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darbību raksturojoš</w:t>
      </w:r>
      <w:r>
        <w:rPr>
          <w:rFonts w:eastAsia="Times New Roman"/>
          <w:b/>
          <w:bCs/>
          <w:color w:val="000000"/>
          <w:szCs w:val="26"/>
          <w:lang w:eastAsia="zh-CN"/>
        </w:rPr>
        <w:t>ie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rādītāj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</w:p>
    <w:p w:rsidR="009734DA" w:rsidRDefault="009734DA" w:rsidP="009734DA">
      <w:pPr>
        <w:pStyle w:val="ListParagraph"/>
        <w:spacing w:after="120"/>
        <w:ind w:left="0"/>
        <w:contextualSpacing w:val="0"/>
        <w:rPr>
          <w:rFonts w:eastAsia="Times New Roman"/>
          <w:i/>
          <w:iCs/>
          <w:color w:val="000000"/>
          <w:sz w:val="20"/>
          <w:szCs w:val="20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 xml:space="preserve"> la</w:t>
      </w:r>
      <w:r w:rsidR="00004E11">
        <w:rPr>
          <w:rFonts w:eastAsia="Times New Roman"/>
          <w:i/>
          <w:iCs/>
          <w:color w:val="000000"/>
          <w:sz w:val="20"/>
          <w:szCs w:val="20"/>
          <w:lang w:eastAsia="zh-CN"/>
        </w:rPr>
        <w:t>tos</w:t>
      </w:r>
    </w:p>
    <w:tbl>
      <w:tblPr>
        <w:tblW w:w="9146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4220"/>
        <w:gridCol w:w="1426"/>
        <w:gridCol w:w="1427"/>
        <w:gridCol w:w="1427"/>
      </w:tblGrid>
      <w:tr w:rsidR="00C04784" w:rsidRPr="008A2292" w:rsidTr="00DC6B37">
        <w:trPr>
          <w:trHeight w:val="902"/>
          <w:tblHeader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04784" w:rsidRDefault="00C04784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  <w:p w:rsidR="0046385D" w:rsidRPr="008A2292" w:rsidRDefault="0046385D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p/k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04784" w:rsidRPr="008A2292" w:rsidRDefault="00C04784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Rādītāji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04784" w:rsidRPr="008A2292" w:rsidRDefault="00C04784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izpilde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04784" w:rsidRPr="004A2A30" w:rsidRDefault="00C04784" w:rsidP="004163F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2013.gada provizoriskā izpilde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04784" w:rsidRPr="00233454" w:rsidRDefault="00C04784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334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2014.gada plāns </w:t>
            </w:r>
          </w:p>
        </w:tc>
      </w:tr>
      <w:tr w:rsidR="00B93E56" w:rsidRPr="00624578" w:rsidTr="00DC6B37">
        <w:trPr>
          <w:trHeight w:val="330"/>
          <w:tblHeader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56" w:rsidRPr="00624578" w:rsidRDefault="00B93E56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56" w:rsidRPr="00624578" w:rsidRDefault="00B93E56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56" w:rsidRPr="00624578" w:rsidRDefault="00B93E56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56" w:rsidRPr="00624578" w:rsidRDefault="00B93E56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56" w:rsidRPr="00624578" w:rsidRDefault="00B93E56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5D499C" w:rsidRPr="008A22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646" w:type="dxa"/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20" w:type="dxa"/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No valsts budžeta saņemtās subsīdijas un dotācijas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:rsidR="005D499C" w:rsidRPr="008A2292" w:rsidRDefault="00164F69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:rsidR="005D499C" w:rsidRPr="008A2292" w:rsidRDefault="00164F69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:rsidR="005D499C" w:rsidRPr="008A2292" w:rsidRDefault="00164F69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</w:tr>
      <w:tr w:rsidR="005D499C" w:rsidRPr="0075278A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9362C" w:rsidRPr="008A2292" w:rsidTr="00277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20" w:type="dxa"/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Bilances radītāji (uz gada beigām)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9D70C9" w:rsidRPr="00BE14B3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9D70C9" w:rsidRPr="00BE14B3" w:rsidRDefault="009D70C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D70C9" w:rsidRPr="00BE14B3" w:rsidRDefault="009D70C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 kopā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D70C9" w:rsidRPr="00BE14B3" w:rsidRDefault="009D70C9" w:rsidP="0082286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124 172 073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D70C9" w:rsidRPr="00BE14B3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99 296 100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D70C9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100 270 000</w:t>
            </w:r>
          </w:p>
        </w:tc>
      </w:tr>
      <w:tr w:rsidR="009D70C9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9D70C9" w:rsidRPr="00BE14B3" w:rsidRDefault="009D70C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D70C9" w:rsidRPr="00BE14B3" w:rsidRDefault="009D70C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D70C9" w:rsidRPr="00BE14B3" w:rsidRDefault="009D70C9" w:rsidP="0082286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72 035 808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D70C9" w:rsidRPr="00BE14B3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73 995 864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D70C9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74 636 000</w:t>
            </w:r>
          </w:p>
        </w:tc>
      </w:tr>
      <w:tr w:rsidR="009D70C9" w:rsidRPr="00BE14B3" w:rsidTr="009D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9D70C9" w:rsidRPr="00BE14B3" w:rsidRDefault="009D70C9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D70C9" w:rsidRPr="00BE14B3" w:rsidRDefault="009D70C9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D70C9" w:rsidRPr="00BE14B3" w:rsidRDefault="009D70C9" w:rsidP="0082286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D70C9" w:rsidRPr="00BE14B3" w:rsidRDefault="0012285F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D70C9" w:rsidRPr="00BE14B3" w:rsidRDefault="0012285F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pamatkapitāls (akciju kapitāls)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82286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79 100 022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79 100 022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370186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79 100 022</w:t>
            </w:r>
          </w:p>
        </w:tc>
      </w:tr>
      <w:tr w:rsidR="00804F4E" w:rsidRPr="00BE14B3" w:rsidTr="009D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82286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04F4E" w:rsidRPr="00BE14B3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kapitāls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82286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79 100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E14B3">
              <w:rPr>
                <w:color w:val="000000"/>
                <w:sz w:val="22"/>
                <w:szCs w:val="22"/>
              </w:rPr>
              <w:t>022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01012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79 100 022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7605B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79 100 022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Nauda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82286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33 101 741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07E2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11 300 048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07E2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3 500 000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804F4E" w:rsidRPr="00BE14B3" w:rsidTr="00277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D6E3BC" w:themeFill="accent3" w:themeFillTint="66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3.</w:t>
            </w:r>
          </w:p>
        </w:tc>
        <w:tc>
          <w:tcPr>
            <w:tcW w:w="4220" w:type="dxa"/>
            <w:shd w:val="clear" w:color="auto" w:fill="D6E3BC" w:themeFill="accent3" w:themeFillTint="66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PZA radītāji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E14B3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E14B3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E14B3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804F4E" w:rsidRPr="00BE14B3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Ieņēmumi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7A392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4 363 097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D0462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3 997 212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2 820 000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3F40C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644 205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D0462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546 280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520 000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Pārējie ieņēmumi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747425" w:rsidRDefault="00804F4E" w:rsidP="000806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747425">
              <w:rPr>
                <w:color w:val="000000"/>
                <w:sz w:val="22"/>
                <w:szCs w:val="22"/>
              </w:rPr>
              <w:t>3 718 892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D0462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3 450 932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2 300 000</w:t>
            </w:r>
          </w:p>
        </w:tc>
      </w:tr>
      <w:tr w:rsidR="00804F4E" w:rsidRPr="00BE14B3" w:rsidTr="00416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4163F4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4163F4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4163F4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4163F4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4163F4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804F4E" w:rsidRPr="00BE14B3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Izmaksas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3F40C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3 073 786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D0462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1 706 710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1 850 000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E14B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BE14B3" w:rsidRDefault="00804F4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E14B3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Personāla izmaksas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AB255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391 336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D0462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816 710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850 000</w:t>
            </w: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804F4E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804F4E" w:rsidRPr="00BE14B3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F03E1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1 296 534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D0462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2 627 948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1 307 000</w:t>
            </w:r>
          </w:p>
        </w:tc>
      </w:tr>
      <w:tr w:rsidR="00804F4E" w:rsidRPr="008A2292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Neto peļņa/ zaudējumi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F03E1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839 877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D0462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2 290 502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5B3E8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970 000</w:t>
            </w:r>
          </w:p>
        </w:tc>
      </w:tr>
      <w:tr w:rsidR="00804F4E" w:rsidRPr="0075278A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75278A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75278A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804F4E" w:rsidRPr="0075278A" w:rsidRDefault="00804F4E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75278A" w:rsidRDefault="00804F4E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75278A" w:rsidRDefault="00804F4E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804F4E" w:rsidRPr="008A2292" w:rsidTr="00277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D6E3BC" w:themeFill="accent3" w:themeFillTint="66"/>
            <w:vAlign w:val="center"/>
            <w:hideMark/>
          </w:tcPr>
          <w:p w:rsidR="00804F4E" w:rsidRPr="008A2292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20" w:type="dxa"/>
            <w:shd w:val="clear" w:color="auto" w:fill="D6E3BC" w:themeFill="accent3" w:themeFillTint="66"/>
            <w:vAlign w:val="center"/>
            <w:hideMark/>
          </w:tcPr>
          <w:p w:rsidR="00804F4E" w:rsidRPr="008A2292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Finanšu rādītāji (%)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  <w:hideMark/>
          </w:tcPr>
          <w:p w:rsidR="00804F4E" w:rsidRPr="008A2292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804F4E" w:rsidRPr="008A2292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804F4E" w:rsidRPr="008A2292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804F4E" w:rsidRPr="008A2292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A308F4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A308F4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A308F4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A308F4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A308F4" w:rsidRDefault="00804F4E" w:rsidP="00884AA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A308F4">
              <w:rPr>
                <w:color w:val="000000"/>
                <w:sz w:val="22"/>
                <w:szCs w:val="22"/>
              </w:rPr>
              <w:t>1,2%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A308F4" w:rsidRDefault="00CD7E0F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A308F4" w:rsidRDefault="00F45B9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1,3%</w:t>
            </w:r>
          </w:p>
        </w:tc>
      </w:tr>
      <w:tr w:rsidR="00804F4E" w:rsidRPr="00BE14B3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884AA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0,7%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4056C6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290B5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1,0%</w:t>
            </w:r>
          </w:p>
        </w:tc>
      </w:tr>
      <w:tr w:rsidR="00804F4E" w:rsidRPr="00BE14B3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 rentabilitāte (EBITDA/ apgrozījums)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884AA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201,3%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4254B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481,1%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4E2652" w:rsidP="006045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251,3%</w:t>
            </w:r>
          </w:p>
        </w:tc>
      </w:tr>
      <w:tr w:rsidR="00804F4E" w:rsidRPr="008A2292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BE14B3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BE14B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kapitāls/ Aktīvi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BE14B3" w:rsidRDefault="00804F4E" w:rsidP="00884AA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E14B3">
              <w:rPr>
                <w:color w:val="000000"/>
                <w:sz w:val="22"/>
                <w:szCs w:val="22"/>
              </w:rPr>
              <w:t>58,0%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755F30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74,5%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BE14B3" w:rsidRDefault="004742F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74,4%</w:t>
            </w:r>
          </w:p>
        </w:tc>
      </w:tr>
      <w:tr w:rsidR="00804F4E" w:rsidRPr="0075278A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75278A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75278A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804F4E" w:rsidRPr="0075278A" w:rsidRDefault="00804F4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75278A" w:rsidRDefault="00804F4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75278A" w:rsidRDefault="00804F4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804F4E" w:rsidRPr="00546D92" w:rsidTr="00277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646" w:type="dxa"/>
            <w:shd w:val="clear" w:color="auto" w:fill="D6E3BC" w:themeFill="accent3" w:themeFillTint="66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20" w:type="dxa"/>
            <w:shd w:val="clear" w:color="auto" w:fill="D6E3BC" w:themeFill="accent3" w:themeFillTint="66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Valsts budžetā veiktās iemaksas (samaksāts kopā)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:rsidR="00804F4E" w:rsidRPr="008F725A" w:rsidRDefault="008F725A" w:rsidP="005423BE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725A">
              <w:rPr>
                <w:b/>
                <w:bCs/>
                <w:color w:val="000000"/>
                <w:sz w:val="22"/>
                <w:szCs w:val="22"/>
              </w:rPr>
              <w:t>568 215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:rsidR="00804F4E" w:rsidRPr="00546D92" w:rsidRDefault="00063B51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402 196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:rsidR="00804F4E" w:rsidRPr="00546D92" w:rsidRDefault="0013696B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404 065</w:t>
            </w:r>
          </w:p>
        </w:tc>
      </w:tr>
      <w:tr w:rsidR="00804F4E" w:rsidRPr="00546D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546D92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546D9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546D9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546D92">
              <w:rPr>
                <w:color w:val="000000"/>
                <w:sz w:val="20"/>
                <w:szCs w:val="20"/>
              </w:rPr>
              <w:t>x</w:t>
            </w:r>
          </w:p>
        </w:tc>
      </w:tr>
      <w:tr w:rsidR="00804F4E" w:rsidRPr="00546D92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(latos)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</w:tr>
      <w:tr w:rsidR="00804F4E" w:rsidRPr="00546D92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5.1.a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(% no iepriekšējā gada peļņas)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804F4E" w:rsidRPr="00546D92" w:rsidRDefault="00804F4E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546D92" w:rsidRDefault="00804F4E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</w:tr>
      <w:tr w:rsidR="00804F4E" w:rsidRPr="00546D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Uzņēmumu ienākuma nodoklis (latos)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F151E3" w:rsidRDefault="00B53CC1" w:rsidP="00DB4BE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151E3">
              <w:rPr>
                <w:color w:val="000000"/>
                <w:sz w:val="22"/>
                <w:szCs w:val="22"/>
              </w:rPr>
              <w:t>503 526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2B7A7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330 446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2B7A7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330 000</w:t>
            </w:r>
          </w:p>
        </w:tc>
      </w:tr>
      <w:tr w:rsidR="00804F4E" w:rsidRPr="00546D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Pievienotās vērtības nodoklis (latos)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F151E3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151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</w:tr>
      <w:tr w:rsidR="00804F4E" w:rsidRPr="00546D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Nekustamā īpašuma nodoklis (latos)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F151E3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151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</w:tr>
      <w:tr w:rsidR="00804F4E" w:rsidRPr="00546D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sociālās apdrošināšanas iemaksas (darba devēja daļa) (latos)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F151E3" w:rsidRDefault="00B53CC1" w:rsidP="007370A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151E3">
              <w:rPr>
                <w:color w:val="000000"/>
                <w:sz w:val="22"/>
                <w:szCs w:val="22"/>
              </w:rPr>
              <w:t>64 634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2B7A7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71 690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2B7A7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74 000</w:t>
            </w:r>
          </w:p>
        </w:tc>
      </w:tr>
      <w:tr w:rsidR="00804F4E" w:rsidRPr="00546D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citi nodokļi un nodevas (latos)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F151E3" w:rsidRDefault="00B53CC1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151E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2B7A7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2B7A79" w:rsidP="00740D7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804F4E" w:rsidRPr="00546D92" w:rsidTr="00DC6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804F4E" w:rsidRPr="00546D92" w:rsidTr="00277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D6E3BC" w:themeFill="accent3" w:themeFillTint="66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20" w:type="dxa"/>
            <w:shd w:val="clear" w:color="auto" w:fill="D6E3BC" w:themeFill="accent3" w:themeFillTint="66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Citi rādītāji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D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D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  <w:hideMark/>
          </w:tcPr>
          <w:p w:rsidR="00804F4E" w:rsidRPr="00546D92" w:rsidRDefault="00804F4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D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804F4E" w:rsidRPr="00546D92" w:rsidTr="00E5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Darbinieku skaits 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804F4E" w:rsidRPr="00546D92" w:rsidTr="00687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iemaksas/ Valsts kapitāls (decimāldaļskaitlis)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8F725A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F725A">
              <w:rPr>
                <w:color w:val="000000"/>
                <w:sz w:val="22"/>
                <w:szCs w:val="22"/>
              </w:rPr>
              <w:t>0,007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D07D7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BC1D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0,005</w:t>
            </w:r>
          </w:p>
        </w:tc>
      </w:tr>
      <w:tr w:rsidR="00804F4E" w:rsidRPr="00546D92" w:rsidTr="00687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  <w:jc w:val="center"/>
        </w:trPr>
        <w:tc>
          <w:tcPr>
            <w:tcW w:w="646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04F4E" w:rsidRPr="00546D92" w:rsidRDefault="00804F4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46D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iemaksas/ Piešķirtās subsīdijas un dotācijas (decimāldaļskaitlis)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46D9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04F4E" w:rsidRPr="00546D92" w:rsidRDefault="00804F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97C6C" w:rsidRPr="00701A55" w:rsidRDefault="00097C6C">
      <w:pPr>
        <w:rPr>
          <w:sz w:val="24"/>
        </w:rPr>
      </w:pPr>
    </w:p>
    <w:p w:rsidR="006A02A6" w:rsidRPr="00701A55" w:rsidRDefault="006A02A6">
      <w:pPr>
        <w:rPr>
          <w:sz w:val="24"/>
        </w:rPr>
      </w:pPr>
    </w:p>
    <w:p w:rsidR="00DC6D6F" w:rsidRPr="002368CA" w:rsidRDefault="00DC6D6F" w:rsidP="00DC6D6F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lastRenderedPageBreak/>
        <w:t>Kapitālsabiedrības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</w:t>
      </w:r>
      <w:r>
        <w:rPr>
          <w:rFonts w:eastAsia="Times New Roman"/>
          <w:b/>
          <w:bCs/>
          <w:color w:val="000000"/>
          <w:szCs w:val="26"/>
          <w:lang w:eastAsia="zh-CN"/>
        </w:rPr>
        <w:t>s</w:t>
      </w:r>
      <w:r w:rsidRPr="002368CA">
        <w:rPr>
          <w:rFonts w:eastAsia="Times New Roman"/>
          <w:b/>
          <w:bCs/>
          <w:color w:val="000000"/>
          <w:szCs w:val="26"/>
          <w:lang w:eastAsia="zh-CN"/>
        </w:rPr>
        <w:t>aistīb</w:t>
      </w:r>
      <w:r>
        <w:rPr>
          <w:rFonts w:eastAsia="Times New Roman"/>
          <w:b/>
          <w:bCs/>
          <w:color w:val="000000"/>
          <w:szCs w:val="26"/>
          <w:lang w:eastAsia="zh-CN"/>
        </w:rPr>
        <w:t xml:space="preserve">as  </w:t>
      </w:r>
      <w:r w:rsidRPr="002368CA">
        <w:rPr>
          <w:rFonts w:eastAsia="Times New Roman"/>
          <w:b/>
          <w:bCs/>
          <w:color w:val="000000"/>
          <w:szCs w:val="26"/>
          <w:lang w:eastAsia="zh-CN"/>
        </w:rPr>
        <w:t xml:space="preserve"> </w:t>
      </w:r>
    </w:p>
    <w:p w:rsidR="00DC6D6F" w:rsidRPr="00BB408A" w:rsidRDefault="00DC6D6F" w:rsidP="00DC6D6F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lat</w:t>
      </w:r>
      <w:r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15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2723"/>
        <w:gridCol w:w="1218"/>
        <w:gridCol w:w="1205"/>
        <w:gridCol w:w="760"/>
        <w:gridCol w:w="742"/>
        <w:gridCol w:w="742"/>
        <w:gridCol w:w="1183"/>
      </w:tblGrid>
      <w:tr w:rsidR="001E5B3F" w:rsidRPr="008A2292" w:rsidTr="00C46F76">
        <w:trPr>
          <w:trHeight w:val="856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2310F" w:rsidRPr="004A2A30" w:rsidRDefault="0072310F" w:rsidP="004163F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 p/k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310F" w:rsidRPr="008A2292" w:rsidRDefault="0072310F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Saistības apraksts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310F" w:rsidRPr="00486756" w:rsidRDefault="0072310F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8675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Bilance uz 31.12.2012.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310F" w:rsidRPr="00F804EB" w:rsidRDefault="0072310F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F804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Provizoriskā bilance uz 31.12.2013.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310F" w:rsidRPr="001E5B3F" w:rsidRDefault="0072310F" w:rsidP="004163F4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1E5B3F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zh-CN"/>
              </w:rPr>
              <w:t>2014.gada plānotā atmaksa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310F" w:rsidRPr="001E5B3F" w:rsidRDefault="0072310F" w:rsidP="004163F4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1E5B3F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zh-CN"/>
              </w:rPr>
              <w:t>2015.gada plānotā atmaksa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310F" w:rsidRPr="001E5B3F" w:rsidRDefault="0072310F" w:rsidP="004163F4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1E5B3F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zh-CN"/>
              </w:rPr>
              <w:t>2016.gada plānotā atmaksa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310F" w:rsidRPr="00F804EB" w:rsidRDefault="0072310F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F804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Turpmākajos gados līdz saistības pilnīgai atmaksai</w:t>
            </w:r>
          </w:p>
        </w:tc>
      </w:tr>
      <w:tr w:rsidR="0072310F" w:rsidRPr="00624578" w:rsidTr="00C46F76">
        <w:trPr>
          <w:trHeight w:val="330"/>
          <w:tblHeader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0F" w:rsidRPr="00624578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0F" w:rsidRPr="00624578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10F" w:rsidRPr="00624578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624578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1E5B3F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4"/>
                <w:szCs w:val="14"/>
                <w:lang w:eastAsia="zh-CN"/>
              </w:rPr>
            </w:pPr>
            <w:r w:rsidRPr="001E5B3F">
              <w:rPr>
                <w:rFonts w:eastAsia="Times New Roman"/>
                <w:color w:val="000000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1E5B3F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4"/>
                <w:szCs w:val="14"/>
                <w:lang w:eastAsia="zh-CN"/>
              </w:rPr>
            </w:pPr>
            <w:r w:rsidRPr="001E5B3F">
              <w:rPr>
                <w:rFonts w:eastAsia="Times New Roman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10F" w:rsidRPr="001E5B3F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4"/>
                <w:szCs w:val="14"/>
                <w:lang w:eastAsia="zh-CN"/>
              </w:rPr>
            </w:pPr>
            <w:r w:rsidRPr="001E5B3F">
              <w:rPr>
                <w:rFonts w:eastAsia="Times New Roman"/>
                <w:color w:val="000000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10F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72310F" w:rsidRPr="00D97B16" w:rsidTr="00C46F76">
        <w:trPr>
          <w:trHeight w:val="33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D97B16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D97B16" w:rsidRDefault="002B2D57" w:rsidP="004C288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Darbības programmas </w:t>
            </w:r>
            <w:r w:rsidR="004C288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„Uzņēmējdarbība</w:t>
            </w: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un inovācijas</w:t>
            </w:r>
            <w:r w:rsidR="004C288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”</w:t>
            </w: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1811F3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papildinājuma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2.2. prioritātes „</w:t>
            </w: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Fina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nšu pieejamība” 2.2.1.pasākuma „</w:t>
            </w: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Finanšu resursu pieejamība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”</w:t>
            </w: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2.2.1.1. aktivitātes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„</w:t>
            </w: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Ieguldījumu fonds investīcijām garantijās, paaugstināta riska aizdevumos, riska kapitāla fondos un cita veida finanšu instrumentos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”</w:t>
            </w:r>
            <w:r w:rsidRPr="002B2D57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īstenošana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10F" w:rsidRPr="00CA0EA1" w:rsidRDefault="00CA0EA1" w:rsidP="00CA0EA1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42 311 068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CA0EA1" w:rsidRDefault="00CA0EA1" w:rsidP="00CA0EA1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14 626 973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CA0EA1" w:rsidRDefault="00CA0EA1" w:rsidP="006B6D8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CA0EA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CA0EA1" w:rsidRDefault="00CA0EA1" w:rsidP="006B6D8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CA0EA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10F" w:rsidRPr="00CA0EA1" w:rsidRDefault="00CA0EA1" w:rsidP="006B6D8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CA0EA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10F" w:rsidRPr="00CA0EA1" w:rsidRDefault="00CA0EA1" w:rsidP="00CA0EA1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14 626 973</w:t>
            </w:r>
          </w:p>
        </w:tc>
      </w:tr>
      <w:tr w:rsidR="0072310F" w:rsidRPr="0076544D" w:rsidTr="0076544D">
        <w:trPr>
          <w:trHeight w:val="7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76544D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76544D" w:rsidRDefault="0072310F" w:rsidP="004163F4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0F" w:rsidRPr="0076544D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76544D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76544D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76544D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0F" w:rsidRPr="0076544D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0F" w:rsidRPr="0076544D" w:rsidRDefault="0072310F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72310F" w:rsidRPr="00D97B16" w:rsidTr="008B412C">
        <w:trPr>
          <w:trHeight w:val="43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5539CB" w:rsidRDefault="0072310F" w:rsidP="004163F4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5539C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D97B16" w:rsidRDefault="0072310F" w:rsidP="003740E0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Samaksātie procenti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10F" w:rsidRPr="00040825" w:rsidRDefault="00DC6D6F" w:rsidP="00040825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0408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040825" w:rsidRDefault="00DC6D6F" w:rsidP="00040825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0408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040825" w:rsidRDefault="00DC6D6F" w:rsidP="00040825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0408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0F" w:rsidRPr="00040825" w:rsidRDefault="00DC6D6F" w:rsidP="00040825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0408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10F" w:rsidRPr="00040825" w:rsidRDefault="00DC6D6F" w:rsidP="00040825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0408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10F" w:rsidRPr="00040825" w:rsidRDefault="00DC6D6F" w:rsidP="00040825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0408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</w:tr>
    </w:tbl>
    <w:p w:rsidR="006A02A6" w:rsidRPr="0076544D" w:rsidRDefault="006A02A6">
      <w:pPr>
        <w:rPr>
          <w:sz w:val="24"/>
        </w:rPr>
      </w:pPr>
    </w:p>
    <w:p w:rsidR="006A02A6" w:rsidRPr="0076544D" w:rsidRDefault="006A02A6">
      <w:pPr>
        <w:rPr>
          <w:sz w:val="24"/>
        </w:rPr>
      </w:pPr>
    </w:p>
    <w:p w:rsidR="004C4263" w:rsidRPr="002368CA" w:rsidRDefault="004C4263" w:rsidP="004C4263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Aizdevumu</w:t>
      </w:r>
      <w:r w:rsidRPr="002368CA">
        <w:rPr>
          <w:rFonts w:eastAsia="Times New Roman"/>
          <w:b/>
          <w:bCs/>
          <w:color w:val="000000"/>
          <w:szCs w:val="26"/>
          <w:lang w:eastAsia="zh-CN"/>
        </w:rPr>
        <w:t xml:space="preserve"> atšifrējums </w:t>
      </w:r>
    </w:p>
    <w:p w:rsidR="004C4263" w:rsidRPr="00BB408A" w:rsidRDefault="004C4263" w:rsidP="004C4263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lat</w:t>
      </w:r>
      <w:r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1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1611"/>
        <w:gridCol w:w="832"/>
        <w:gridCol w:w="992"/>
        <w:gridCol w:w="1116"/>
        <w:gridCol w:w="980"/>
        <w:gridCol w:w="981"/>
        <w:gridCol w:w="981"/>
        <w:gridCol w:w="1067"/>
      </w:tblGrid>
      <w:tr w:rsidR="004C4263" w:rsidRPr="008A2292" w:rsidTr="00724CCB">
        <w:trPr>
          <w:trHeight w:val="856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C4263" w:rsidRPr="004A2A30" w:rsidRDefault="004C4263" w:rsidP="004163F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 p/k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4263" w:rsidRPr="008A2292" w:rsidRDefault="004C4263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Aizdevuma saņēmējs/  Aizdevuma mērķis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4263" w:rsidRPr="00CA581E" w:rsidRDefault="004C4263" w:rsidP="004163F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A581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Termiņš (gadi)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4263" w:rsidRPr="00237CCC" w:rsidRDefault="004C4263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7CC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  <w:t>Bilance uz 31.12.2012.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4263" w:rsidRPr="00237CCC" w:rsidRDefault="004C4263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7CC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  <w:t>Provizoriskā bilance uz 31.12.2013.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4263" w:rsidRPr="002870F4" w:rsidRDefault="004C4263" w:rsidP="004163F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870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2014.gada plānotā atmaksa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4263" w:rsidRPr="002870F4" w:rsidRDefault="004C4263" w:rsidP="004163F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870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2015.gada plānotā atmaksa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4263" w:rsidRPr="002870F4" w:rsidRDefault="004C4263" w:rsidP="004163F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870F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2016.gada plānotā atmaksa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4263" w:rsidRPr="000A1C47" w:rsidRDefault="004C4263" w:rsidP="004163F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0A1C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Turpmākajos gados līdz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  <w:t>aizdevuma</w:t>
            </w:r>
            <w:r w:rsidRPr="000A1C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pilnīgai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  <w:t>atgūšanai</w:t>
            </w:r>
          </w:p>
        </w:tc>
      </w:tr>
      <w:tr w:rsidR="004C4263" w:rsidRPr="00624578" w:rsidTr="00724CCB">
        <w:trPr>
          <w:trHeight w:val="330"/>
          <w:tblHeader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63" w:rsidRPr="00624578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63" w:rsidRPr="00624578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624578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624578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624578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63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63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63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63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9</w:t>
            </w:r>
          </w:p>
        </w:tc>
      </w:tr>
      <w:tr w:rsidR="004C4263" w:rsidRPr="00D97B16" w:rsidTr="00724CCB">
        <w:trPr>
          <w:trHeight w:val="33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D97B16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57" w:rsidRDefault="008B19CB" w:rsidP="008B19C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M</w:t>
            </w:r>
            <w:r w:rsidR="00090ACA" w:rsidRPr="00090ACA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ezanīna</w:t>
            </w:r>
            <w:proofErr w:type="spellEnd"/>
            <w:r w:rsidR="00090ACA" w:rsidRPr="00090ACA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aizdevumi investīcijām komersantu </w:t>
            </w:r>
            <w:proofErr w:type="spellStart"/>
            <w:r w:rsidR="00090ACA" w:rsidRPr="00090ACA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konkurentspējas</w:t>
            </w:r>
            <w:proofErr w:type="spellEnd"/>
            <w:r w:rsidR="00090ACA" w:rsidRPr="00090ACA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uzlabošanai 2DP/2.2.2.4.2/</w:t>
            </w:r>
          </w:p>
          <w:p w:rsidR="004C4263" w:rsidRPr="00D97B16" w:rsidRDefault="00090ACA" w:rsidP="008B19C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090ACA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11/IPIA/EM/001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D97B16" w:rsidRDefault="00775278" w:rsidP="00463B0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D97B16" w:rsidRDefault="00C444D0" w:rsidP="00463B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887 654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D97B16" w:rsidRDefault="00C444D0" w:rsidP="00463B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1 435 689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D97B16" w:rsidRDefault="00C444D0" w:rsidP="00463B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153 530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D97B16" w:rsidRDefault="00C444D0" w:rsidP="00463B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217 365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D97B16" w:rsidRDefault="00C444D0" w:rsidP="00463B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252 487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D97B16" w:rsidRDefault="00C444D0" w:rsidP="00463B09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812 307</w:t>
            </w:r>
          </w:p>
        </w:tc>
      </w:tr>
      <w:tr w:rsidR="004C4263" w:rsidRPr="0076544D" w:rsidTr="0076544D">
        <w:trPr>
          <w:trHeight w:val="7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76544D" w:rsidRDefault="004C4263" w:rsidP="004163F4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63" w:rsidRPr="0076544D" w:rsidRDefault="004C4263" w:rsidP="004163F4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4C4263" w:rsidRPr="00D97B16" w:rsidTr="00724CCB">
        <w:trPr>
          <w:trHeight w:val="33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923E25" w:rsidRDefault="004C4263" w:rsidP="004163F4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923E25" w:rsidRDefault="004C4263" w:rsidP="008B412C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Saņemtie procenti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923E25" w:rsidRDefault="00040825" w:rsidP="00ED2A7E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923E25" w:rsidRDefault="00841B15" w:rsidP="00040825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62 825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923E25" w:rsidRDefault="001A5568" w:rsidP="00040825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79 880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923E25" w:rsidRDefault="005555B1" w:rsidP="00040825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87 145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63" w:rsidRPr="00923E25" w:rsidRDefault="005555B1" w:rsidP="00040825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76 536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923E25" w:rsidRDefault="005555B1" w:rsidP="00040825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64 026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63" w:rsidRPr="00923E25" w:rsidRDefault="005555B1" w:rsidP="00040825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923E2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145 470</w:t>
            </w:r>
          </w:p>
        </w:tc>
      </w:tr>
    </w:tbl>
    <w:p w:rsidR="006A02A6" w:rsidRPr="0076544D" w:rsidRDefault="006A02A6">
      <w:pPr>
        <w:rPr>
          <w:sz w:val="22"/>
          <w:szCs w:val="22"/>
        </w:rPr>
      </w:pPr>
    </w:p>
    <w:p w:rsidR="00CB136C" w:rsidRPr="0076544D" w:rsidRDefault="00CB136C">
      <w:pPr>
        <w:rPr>
          <w:sz w:val="22"/>
          <w:szCs w:val="22"/>
        </w:rPr>
      </w:pPr>
    </w:p>
    <w:p w:rsidR="00AD27C6" w:rsidRPr="00A648B3" w:rsidRDefault="00A47E3C" w:rsidP="00A47E3C">
      <w:pPr>
        <w:spacing w:after="120"/>
        <w:rPr>
          <w:sz w:val="24"/>
        </w:rPr>
      </w:pPr>
      <w:r w:rsidRPr="00A648B3">
        <w:rPr>
          <w:rFonts w:eastAsia="Times New Roman"/>
          <w:b/>
          <w:bCs/>
          <w:i/>
          <w:iCs/>
          <w:color w:val="000000"/>
          <w:sz w:val="24"/>
          <w:lang w:eastAsia="zh-CN"/>
        </w:rPr>
        <w:t>Par veidlapas aizpildīšanu atbildīgais kapitālsabiedrības darbinieks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280"/>
        <w:gridCol w:w="3405"/>
      </w:tblGrid>
      <w:tr w:rsidR="001D26A2" w:rsidRPr="00A648B3" w:rsidTr="001D26A2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A2" w:rsidRPr="00A648B3" w:rsidRDefault="001D26A2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A648B3">
              <w:rPr>
                <w:rFonts w:eastAsia="Times New Roman"/>
                <w:color w:val="000000"/>
                <w:sz w:val="24"/>
                <w:lang w:eastAsia="zh-CN"/>
              </w:rPr>
              <w:t>Vārds, Uzvārds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2" w:rsidRPr="00A648B3" w:rsidRDefault="001D26A2" w:rsidP="001D26A2">
            <w:pPr>
              <w:jc w:val="center"/>
              <w:rPr>
                <w:color w:val="000000"/>
                <w:sz w:val="24"/>
              </w:rPr>
            </w:pPr>
            <w:r w:rsidRPr="00A648B3">
              <w:rPr>
                <w:color w:val="000000"/>
                <w:sz w:val="24"/>
              </w:rPr>
              <w:t xml:space="preserve">Inese </w:t>
            </w:r>
            <w:proofErr w:type="spellStart"/>
            <w:r w:rsidRPr="00A648B3">
              <w:rPr>
                <w:color w:val="000000"/>
                <w:sz w:val="24"/>
              </w:rPr>
              <w:t>Olle</w:t>
            </w:r>
            <w:proofErr w:type="spellEnd"/>
          </w:p>
        </w:tc>
      </w:tr>
      <w:tr w:rsidR="001D26A2" w:rsidRPr="00A648B3" w:rsidTr="001D26A2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A2" w:rsidRPr="00A648B3" w:rsidRDefault="001D26A2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A648B3">
              <w:rPr>
                <w:rFonts w:eastAsia="Times New Roman"/>
                <w:color w:val="000000"/>
                <w:sz w:val="24"/>
                <w:lang w:eastAsia="zh-CN"/>
              </w:rPr>
              <w:t>Ieņemamais amats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2" w:rsidRPr="00A648B3" w:rsidRDefault="001D26A2" w:rsidP="001D26A2">
            <w:pPr>
              <w:jc w:val="center"/>
              <w:rPr>
                <w:color w:val="000000"/>
                <w:sz w:val="24"/>
              </w:rPr>
            </w:pPr>
            <w:r w:rsidRPr="00A648B3">
              <w:rPr>
                <w:color w:val="000000"/>
                <w:sz w:val="24"/>
              </w:rPr>
              <w:t>grāmatvede</w:t>
            </w:r>
          </w:p>
        </w:tc>
      </w:tr>
      <w:tr w:rsidR="001D26A2" w:rsidRPr="00A648B3" w:rsidTr="001D26A2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A2" w:rsidRPr="00A648B3" w:rsidRDefault="001D26A2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A648B3">
              <w:rPr>
                <w:rFonts w:eastAsia="Times New Roman"/>
                <w:color w:val="000000"/>
                <w:sz w:val="24"/>
                <w:lang w:eastAsia="zh-CN"/>
              </w:rPr>
              <w:t>Tālrunis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2" w:rsidRPr="00A648B3" w:rsidRDefault="001D26A2" w:rsidP="001D26A2">
            <w:pPr>
              <w:jc w:val="center"/>
              <w:rPr>
                <w:color w:val="000000"/>
                <w:sz w:val="24"/>
              </w:rPr>
            </w:pPr>
            <w:r w:rsidRPr="00A648B3">
              <w:rPr>
                <w:color w:val="000000"/>
                <w:sz w:val="24"/>
              </w:rPr>
              <w:t>67359376</w:t>
            </w:r>
          </w:p>
        </w:tc>
      </w:tr>
      <w:tr w:rsidR="001D26A2" w:rsidRPr="00A648B3" w:rsidTr="001D26A2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A2" w:rsidRPr="00A648B3" w:rsidRDefault="001D26A2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A648B3">
              <w:rPr>
                <w:rFonts w:eastAsia="Times New Roman"/>
                <w:color w:val="000000"/>
                <w:sz w:val="24"/>
                <w:lang w:eastAsia="zh-CN"/>
              </w:rPr>
              <w:t>e-pasts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2" w:rsidRPr="00A648B3" w:rsidRDefault="00854996" w:rsidP="001D26A2">
            <w:pPr>
              <w:jc w:val="center"/>
              <w:rPr>
                <w:color w:val="0000FF"/>
                <w:sz w:val="24"/>
                <w:u w:val="single"/>
              </w:rPr>
            </w:pPr>
            <w:hyperlink r:id="rId8" w:history="1">
              <w:r w:rsidR="001D26A2" w:rsidRPr="00A648B3">
                <w:rPr>
                  <w:rStyle w:val="Hyperlink"/>
                  <w:sz w:val="24"/>
                </w:rPr>
                <w:t>inese.olle@lga.lv</w:t>
              </w:r>
            </w:hyperlink>
          </w:p>
        </w:tc>
      </w:tr>
    </w:tbl>
    <w:p w:rsidR="00DD7341" w:rsidRPr="00924496" w:rsidRDefault="00DD7341" w:rsidP="0076544D"/>
    <w:sectPr w:rsidR="00DD7341" w:rsidRPr="00924496" w:rsidSect="00E8265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568" w:footer="3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B4" w:rsidRDefault="003F54B4">
      <w:r>
        <w:separator/>
      </w:r>
    </w:p>
  </w:endnote>
  <w:endnote w:type="continuationSeparator" w:id="0">
    <w:p w:rsidR="003F54B4" w:rsidRDefault="003F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B4" w:rsidRPr="00072138" w:rsidRDefault="00072138" w:rsidP="00072138">
    <w:pPr>
      <w:pStyle w:val="Footer"/>
      <w:jc w:val="both"/>
    </w:pPr>
    <w:r w:rsidRPr="00C34506">
      <w:rPr>
        <w:sz w:val="20"/>
        <w:szCs w:val="20"/>
      </w:rPr>
      <w:t>E</w:t>
    </w:r>
    <w:r>
      <w:rPr>
        <w:sz w:val="20"/>
        <w:szCs w:val="20"/>
      </w:rPr>
      <w:t>Mzinop3</w:t>
    </w:r>
    <w:r w:rsidRPr="00C34506">
      <w:rPr>
        <w:sz w:val="20"/>
        <w:szCs w:val="20"/>
      </w:rPr>
      <w:t>_</w:t>
    </w:r>
    <w:r w:rsidR="00854996">
      <w:rPr>
        <w:sz w:val="20"/>
        <w:szCs w:val="20"/>
      </w:rPr>
      <w:t>20</w:t>
    </w:r>
    <w:r>
      <w:rPr>
        <w:sz w:val="20"/>
        <w:szCs w:val="20"/>
      </w:rPr>
      <w:t>12</w:t>
    </w:r>
    <w:r w:rsidRPr="00C34506">
      <w:rPr>
        <w:sz w:val="20"/>
        <w:szCs w:val="20"/>
      </w:rPr>
      <w:t xml:space="preserve">13; Informatīvā ziņojuma „Kapitālsabiedrību, kurās Ekonomikas ministrija ir valsts kapitāla daļu turētāja, finansiālo un darbības rādītāju prognoze, plānotie attīstības virzieni 2014.gadā” </w:t>
    </w:r>
    <w:r>
      <w:rPr>
        <w:sz w:val="20"/>
      </w:rPr>
      <w:t>3.pielikums „</w:t>
    </w:r>
    <w:r w:rsidRPr="00D216A8">
      <w:rPr>
        <w:sz w:val="20"/>
      </w:rPr>
      <w:t xml:space="preserve">Informācija par </w:t>
    </w:r>
    <w:r>
      <w:rPr>
        <w:sz w:val="20"/>
      </w:rPr>
      <w:t>SIA</w:t>
    </w:r>
    <w:r w:rsidRPr="00D216A8">
      <w:rPr>
        <w:sz w:val="20"/>
      </w:rPr>
      <w:t xml:space="preserve"> „</w:t>
    </w:r>
    <w:r>
      <w:rPr>
        <w:sz w:val="20"/>
      </w:rPr>
      <w:t>Latvijas Garantiju aģentūra</w:t>
    </w:r>
    <w:r w:rsidRPr="00D216A8">
      <w:rPr>
        <w:sz w:val="20"/>
      </w:rPr>
      <w:t xml:space="preserve">” </w:t>
    </w:r>
    <w:r w:rsidRPr="00C34506">
      <w:rPr>
        <w:sz w:val="20"/>
        <w:szCs w:val="20"/>
      </w:rPr>
      <w:t>201</w:t>
    </w:r>
    <w:r>
      <w:rPr>
        <w:sz w:val="20"/>
        <w:szCs w:val="20"/>
      </w:rPr>
      <w:t>4</w:t>
    </w:r>
    <w:r w:rsidRPr="00C34506">
      <w:rPr>
        <w:sz w:val="20"/>
        <w:szCs w:val="20"/>
      </w:rPr>
      <w:t xml:space="preserve">.gada rādītāju </w:t>
    </w:r>
    <w:r>
      <w:rPr>
        <w:sz w:val="20"/>
        <w:szCs w:val="20"/>
      </w:rPr>
      <w:t>prognozi</w:t>
    </w:r>
    <w:r>
      <w:rPr>
        <w:sz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Pr="00D216A8" w:rsidRDefault="00FB1A2B" w:rsidP="00D216A8">
    <w:pPr>
      <w:pStyle w:val="Footer"/>
      <w:jc w:val="both"/>
      <w:rPr>
        <w:sz w:val="20"/>
      </w:rPr>
    </w:pPr>
    <w:r w:rsidRPr="00C34506">
      <w:rPr>
        <w:sz w:val="20"/>
        <w:szCs w:val="20"/>
      </w:rPr>
      <w:t>E</w:t>
    </w:r>
    <w:r>
      <w:rPr>
        <w:sz w:val="20"/>
        <w:szCs w:val="20"/>
      </w:rPr>
      <w:t>Mzinop3</w:t>
    </w:r>
    <w:r w:rsidRPr="00C34506">
      <w:rPr>
        <w:sz w:val="20"/>
        <w:szCs w:val="20"/>
      </w:rPr>
      <w:t>_</w:t>
    </w:r>
    <w:r w:rsidR="00854996">
      <w:rPr>
        <w:sz w:val="20"/>
        <w:szCs w:val="20"/>
      </w:rPr>
      <w:t>20</w:t>
    </w:r>
    <w:r>
      <w:rPr>
        <w:sz w:val="20"/>
        <w:szCs w:val="20"/>
      </w:rPr>
      <w:t>12</w:t>
    </w:r>
    <w:r w:rsidRPr="00C34506">
      <w:rPr>
        <w:sz w:val="20"/>
        <w:szCs w:val="20"/>
      </w:rPr>
      <w:t xml:space="preserve">13; Informatīvā ziņojuma „Kapitālsabiedrību, kurās Ekonomikas ministrija ir valsts kapitāla daļu turētāja, finansiālo un darbības rādītāju prognoze, plānotie attīstības virzieni 2014.gadā” </w:t>
    </w:r>
    <w:r w:rsidR="0080114C">
      <w:rPr>
        <w:sz w:val="20"/>
      </w:rPr>
      <w:t>3</w:t>
    </w:r>
    <w:r w:rsidR="00D216A8">
      <w:rPr>
        <w:sz w:val="20"/>
      </w:rPr>
      <w:t>.pielikums „</w:t>
    </w:r>
    <w:r w:rsidR="00D216A8" w:rsidRPr="00D216A8">
      <w:rPr>
        <w:sz w:val="20"/>
      </w:rPr>
      <w:t xml:space="preserve">Informācija par </w:t>
    </w:r>
    <w:r w:rsidR="00EF4C0B">
      <w:rPr>
        <w:sz w:val="20"/>
      </w:rPr>
      <w:t>SIA</w:t>
    </w:r>
    <w:r w:rsidR="00D216A8" w:rsidRPr="00D216A8">
      <w:rPr>
        <w:sz w:val="20"/>
      </w:rPr>
      <w:t xml:space="preserve"> „</w:t>
    </w:r>
    <w:r w:rsidR="00EF4C0B">
      <w:rPr>
        <w:sz w:val="20"/>
      </w:rPr>
      <w:t>Latvijas Garantiju aģentūra</w:t>
    </w:r>
    <w:r w:rsidR="00D216A8" w:rsidRPr="00D216A8">
      <w:rPr>
        <w:sz w:val="20"/>
      </w:rPr>
      <w:t xml:space="preserve">” </w:t>
    </w:r>
    <w:r w:rsidRPr="00C34506">
      <w:rPr>
        <w:sz w:val="20"/>
        <w:szCs w:val="20"/>
      </w:rPr>
      <w:t>201</w:t>
    </w:r>
    <w:r>
      <w:rPr>
        <w:sz w:val="20"/>
        <w:szCs w:val="20"/>
      </w:rPr>
      <w:t>4</w:t>
    </w:r>
    <w:r w:rsidRPr="00C34506">
      <w:rPr>
        <w:sz w:val="20"/>
        <w:szCs w:val="20"/>
      </w:rPr>
      <w:t xml:space="preserve">.gada rādītāju </w:t>
    </w:r>
    <w:r>
      <w:rPr>
        <w:sz w:val="20"/>
        <w:szCs w:val="20"/>
      </w:rPr>
      <w:t>prognozi</w:t>
    </w:r>
    <w:r w:rsidR="00D216A8">
      <w:rPr>
        <w:sz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B4" w:rsidRDefault="003F54B4">
      <w:r>
        <w:separator/>
      </w:r>
    </w:p>
  </w:footnote>
  <w:footnote w:type="continuationSeparator" w:id="0">
    <w:p w:rsidR="003F54B4" w:rsidRDefault="003F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972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4B4" w:rsidRDefault="003F54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4B4" w:rsidRDefault="003F54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6B" w:rsidRPr="00316E50" w:rsidRDefault="0080114C" w:rsidP="00E7196B">
    <w:pPr>
      <w:pStyle w:val="ListParagraph"/>
      <w:jc w:val="right"/>
      <w:rPr>
        <w:sz w:val="24"/>
      </w:rPr>
    </w:pPr>
    <w:r>
      <w:rPr>
        <w:sz w:val="24"/>
      </w:rPr>
      <w:t>3</w:t>
    </w:r>
    <w:r w:rsidR="00E7196B" w:rsidRPr="00316E50">
      <w:rPr>
        <w:sz w:val="24"/>
      </w:rPr>
      <w:t>.pielikums</w:t>
    </w:r>
  </w:p>
  <w:p w:rsidR="00E7196B" w:rsidRPr="00316E50" w:rsidRDefault="00934A31" w:rsidP="00E7196B">
    <w:pPr>
      <w:pStyle w:val="Header"/>
      <w:tabs>
        <w:tab w:val="clear" w:pos="4153"/>
        <w:tab w:val="clear" w:pos="8306"/>
      </w:tabs>
      <w:ind w:left="1134"/>
      <w:jc w:val="right"/>
      <w:rPr>
        <w:sz w:val="24"/>
      </w:rPr>
    </w:pPr>
    <w:r>
      <w:rPr>
        <w:sz w:val="24"/>
      </w:rPr>
      <w:t>Informatīvajam ziņojumam „</w:t>
    </w:r>
    <w:r w:rsidRPr="00B22A44">
      <w:rPr>
        <w:sz w:val="24"/>
      </w:rPr>
      <w:t>Kapitālsabiedrību, kurās Ekonomikas ministrija ir valsts kapitāla daļu turētāja, finansiālo un darbības rādītāju prognoze, plānotie attīstības virzieni 201</w:t>
    </w:r>
    <w:r>
      <w:rPr>
        <w:sz w:val="24"/>
      </w:rPr>
      <w:t>4</w:t>
    </w:r>
    <w:r w:rsidRPr="00B22A44">
      <w:rPr>
        <w:sz w:val="24"/>
      </w:rPr>
      <w:t>.gadā</w:t>
    </w:r>
    <w:r>
      <w:rPr>
        <w:sz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16AD6"/>
    <w:multiLevelType w:val="hybridMultilevel"/>
    <w:tmpl w:val="A9F6D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E5935"/>
    <w:multiLevelType w:val="hybridMultilevel"/>
    <w:tmpl w:val="AFB65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341"/>
    <w:rsid w:val="00003B46"/>
    <w:rsid w:val="00004BC2"/>
    <w:rsid w:val="00004E11"/>
    <w:rsid w:val="00012CB9"/>
    <w:rsid w:val="000166C0"/>
    <w:rsid w:val="000167EE"/>
    <w:rsid w:val="000232FB"/>
    <w:rsid w:val="00023BB9"/>
    <w:rsid w:val="00025A07"/>
    <w:rsid w:val="00026788"/>
    <w:rsid w:val="00026E74"/>
    <w:rsid w:val="00040825"/>
    <w:rsid w:val="00043170"/>
    <w:rsid w:val="00044E74"/>
    <w:rsid w:val="00046B08"/>
    <w:rsid w:val="00061562"/>
    <w:rsid w:val="00063B51"/>
    <w:rsid w:val="00070066"/>
    <w:rsid w:val="00070C63"/>
    <w:rsid w:val="00072138"/>
    <w:rsid w:val="00073F57"/>
    <w:rsid w:val="000747D8"/>
    <w:rsid w:val="00074E79"/>
    <w:rsid w:val="00080698"/>
    <w:rsid w:val="00081354"/>
    <w:rsid w:val="0008573A"/>
    <w:rsid w:val="00087F6E"/>
    <w:rsid w:val="00090ACA"/>
    <w:rsid w:val="000926CF"/>
    <w:rsid w:val="000932C7"/>
    <w:rsid w:val="00096B4A"/>
    <w:rsid w:val="00097C6C"/>
    <w:rsid w:val="000A0918"/>
    <w:rsid w:val="000A143D"/>
    <w:rsid w:val="000B0366"/>
    <w:rsid w:val="000B0B6B"/>
    <w:rsid w:val="000B0E03"/>
    <w:rsid w:val="000B258A"/>
    <w:rsid w:val="000B50F9"/>
    <w:rsid w:val="000B5EB4"/>
    <w:rsid w:val="000C6EF8"/>
    <w:rsid w:val="000D17DA"/>
    <w:rsid w:val="000D30FC"/>
    <w:rsid w:val="000D4A9D"/>
    <w:rsid w:val="000D6691"/>
    <w:rsid w:val="000D74B0"/>
    <w:rsid w:val="000E111A"/>
    <w:rsid w:val="000E1E64"/>
    <w:rsid w:val="000E5A10"/>
    <w:rsid w:val="000F4D3D"/>
    <w:rsid w:val="000F4F21"/>
    <w:rsid w:val="000F6B7D"/>
    <w:rsid w:val="000F7543"/>
    <w:rsid w:val="00103357"/>
    <w:rsid w:val="00103B3F"/>
    <w:rsid w:val="00106CD0"/>
    <w:rsid w:val="0012285F"/>
    <w:rsid w:val="00123B1C"/>
    <w:rsid w:val="001244B2"/>
    <w:rsid w:val="00133B7B"/>
    <w:rsid w:val="0013696B"/>
    <w:rsid w:val="00140279"/>
    <w:rsid w:val="00140D7B"/>
    <w:rsid w:val="001411DA"/>
    <w:rsid w:val="0014252C"/>
    <w:rsid w:val="00142EE1"/>
    <w:rsid w:val="0014770E"/>
    <w:rsid w:val="00154BE5"/>
    <w:rsid w:val="00160F1E"/>
    <w:rsid w:val="0016118E"/>
    <w:rsid w:val="001629BC"/>
    <w:rsid w:val="00162B2D"/>
    <w:rsid w:val="00164F69"/>
    <w:rsid w:val="00172416"/>
    <w:rsid w:val="00172943"/>
    <w:rsid w:val="001735B4"/>
    <w:rsid w:val="00175E92"/>
    <w:rsid w:val="0018068F"/>
    <w:rsid w:val="001811F3"/>
    <w:rsid w:val="0018299C"/>
    <w:rsid w:val="00183CA4"/>
    <w:rsid w:val="00194962"/>
    <w:rsid w:val="00194FD1"/>
    <w:rsid w:val="001A36A8"/>
    <w:rsid w:val="001A3DFA"/>
    <w:rsid w:val="001A5056"/>
    <w:rsid w:val="001A5568"/>
    <w:rsid w:val="001A560B"/>
    <w:rsid w:val="001A6E6B"/>
    <w:rsid w:val="001B02E6"/>
    <w:rsid w:val="001B413F"/>
    <w:rsid w:val="001B6F35"/>
    <w:rsid w:val="001C1490"/>
    <w:rsid w:val="001C4A2B"/>
    <w:rsid w:val="001D26A2"/>
    <w:rsid w:val="001E4615"/>
    <w:rsid w:val="001E494D"/>
    <w:rsid w:val="001E5B3F"/>
    <w:rsid w:val="0020781E"/>
    <w:rsid w:val="00213DDA"/>
    <w:rsid w:val="002264E1"/>
    <w:rsid w:val="00231BE6"/>
    <w:rsid w:val="002320B7"/>
    <w:rsid w:val="00237461"/>
    <w:rsid w:val="00237E4B"/>
    <w:rsid w:val="00240DBA"/>
    <w:rsid w:val="0024272C"/>
    <w:rsid w:val="00252C58"/>
    <w:rsid w:val="0026453E"/>
    <w:rsid w:val="00273FBD"/>
    <w:rsid w:val="0027703E"/>
    <w:rsid w:val="00277AAA"/>
    <w:rsid w:val="00277B6B"/>
    <w:rsid w:val="00282E94"/>
    <w:rsid w:val="00287B77"/>
    <w:rsid w:val="00290B5C"/>
    <w:rsid w:val="00295D6F"/>
    <w:rsid w:val="00297E44"/>
    <w:rsid w:val="002A2B00"/>
    <w:rsid w:val="002A40EE"/>
    <w:rsid w:val="002B2C8F"/>
    <w:rsid w:val="002B2D57"/>
    <w:rsid w:val="002B5CF4"/>
    <w:rsid w:val="002B7A79"/>
    <w:rsid w:val="002C1EF2"/>
    <w:rsid w:val="002C392A"/>
    <w:rsid w:val="002D12F7"/>
    <w:rsid w:val="002D208C"/>
    <w:rsid w:val="002D2122"/>
    <w:rsid w:val="002D3867"/>
    <w:rsid w:val="002F3BDC"/>
    <w:rsid w:val="002F4881"/>
    <w:rsid w:val="002F7E3A"/>
    <w:rsid w:val="003001DF"/>
    <w:rsid w:val="003127FF"/>
    <w:rsid w:val="00315210"/>
    <w:rsid w:val="00316D96"/>
    <w:rsid w:val="00316E50"/>
    <w:rsid w:val="003176D7"/>
    <w:rsid w:val="00321E6D"/>
    <w:rsid w:val="00322702"/>
    <w:rsid w:val="00330E3A"/>
    <w:rsid w:val="003325F2"/>
    <w:rsid w:val="003404DC"/>
    <w:rsid w:val="003440DA"/>
    <w:rsid w:val="003518FB"/>
    <w:rsid w:val="00352DB4"/>
    <w:rsid w:val="00353657"/>
    <w:rsid w:val="00361905"/>
    <w:rsid w:val="003740E0"/>
    <w:rsid w:val="003752D6"/>
    <w:rsid w:val="00380285"/>
    <w:rsid w:val="00381982"/>
    <w:rsid w:val="00384640"/>
    <w:rsid w:val="00386F94"/>
    <w:rsid w:val="00393955"/>
    <w:rsid w:val="003A201C"/>
    <w:rsid w:val="003A395B"/>
    <w:rsid w:val="003A5224"/>
    <w:rsid w:val="003B0415"/>
    <w:rsid w:val="003B1DFE"/>
    <w:rsid w:val="003B2BAE"/>
    <w:rsid w:val="003B5EAC"/>
    <w:rsid w:val="003B6B60"/>
    <w:rsid w:val="003B7788"/>
    <w:rsid w:val="003C4627"/>
    <w:rsid w:val="003C4FFE"/>
    <w:rsid w:val="003D3605"/>
    <w:rsid w:val="003D5095"/>
    <w:rsid w:val="003D5665"/>
    <w:rsid w:val="003D7FEF"/>
    <w:rsid w:val="003E2787"/>
    <w:rsid w:val="003E5EE7"/>
    <w:rsid w:val="003F1284"/>
    <w:rsid w:val="003F54B4"/>
    <w:rsid w:val="00400FC0"/>
    <w:rsid w:val="004038CA"/>
    <w:rsid w:val="00404D7C"/>
    <w:rsid w:val="004056C6"/>
    <w:rsid w:val="004115D0"/>
    <w:rsid w:val="00417D1E"/>
    <w:rsid w:val="00426A0E"/>
    <w:rsid w:val="00440480"/>
    <w:rsid w:val="004439A2"/>
    <w:rsid w:val="00443E90"/>
    <w:rsid w:val="004442D1"/>
    <w:rsid w:val="00454376"/>
    <w:rsid w:val="00457654"/>
    <w:rsid w:val="0046385D"/>
    <w:rsid w:val="00463B09"/>
    <w:rsid w:val="00467356"/>
    <w:rsid w:val="004738D7"/>
    <w:rsid w:val="00473988"/>
    <w:rsid w:val="004742FA"/>
    <w:rsid w:val="00482BA7"/>
    <w:rsid w:val="004857DC"/>
    <w:rsid w:val="004860F2"/>
    <w:rsid w:val="004929AC"/>
    <w:rsid w:val="004938A4"/>
    <w:rsid w:val="004946A8"/>
    <w:rsid w:val="00494936"/>
    <w:rsid w:val="004A2A30"/>
    <w:rsid w:val="004A2ECD"/>
    <w:rsid w:val="004A4F75"/>
    <w:rsid w:val="004A6423"/>
    <w:rsid w:val="004B218F"/>
    <w:rsid w:val="004B2DBA"/>
    <w:rsid w:val="004C2883"/>
    <w:rsid w:val="004C4263"/>
    <w:rsid w:val="004C4F34"/>
    <w:rsid w:val="004D3022"/>
    <w:rsid w:val="004D362E"/>
    <w:rsid w:val="004D5D73"/>
    <w:rsid w:val="004E2652"/>
    <w:rsid w:val="004E32CD"/>
    <w:rsid w:val="004E399B"/>
    <w:rsid w:val="004F0198"/>
    <w:rsid w:val="004F2C7B"/>
    <w:rsid w:val="00505465"/>
    <w:rsid w:val="00507829"/>
    <w:rsid w:val="00514E45"/>
    <w:rsid w:val="0051508A"/>
    <w:rsid w:val="005166C9"/>
    <w:rsid w:val="00521007"/>
    <w:rsid w:val="00521361"/>
    <w:rsid w:val="00525DB9"/>
    <w:rsid w:val="00530381"/>
    <w:rsid w:val="00533F53"/>
    <w:rsid w:val="00540258"/>
    <w:rsid w:val="0054374D"/>
    <w:rsid w:val="0054636C"/>
    <w:rsid w:val="00546D92"/>
    <w:rsid w:val="005478E5"/>
    <w:rsid w:val="0055023C"/>
    <w:rsid w:val="00550425"/>
    <w:rsid w:val="005507A4"/>
    <w:rsid w:val="00552A5E"/>
    <w:rsid w:val="00553184"/>
    <w:rsid w:val="005554B8"/>
    <w:rsid w:val="005555B1"/>
    <w:rsid w:val="005657DB"/>
    <w:rsid w:val="005874E8"/>
    <w:rsid w:val="0059106C"/>
    <w:rsid w:val="0059742D"/>
    <w:rsid w:val="005A0206"/>
    <w:rsid w:val="005A09C2"/>
    <w:rsid w:val="005A4AC3"/>
    <w:rsid w:val="005A787C"/>
    <w:rsid w:val="005B1E55"/>
    <w:rsid w:val="005B3E8F"/>
    <w:rsid w:val="005B7BE4"/>
    <w:rsid w:val="005C45A3"/>
    <w:rsid w:val="005D3855"/>
    <w:rsid w:val="005D499C"/>
    <w:rsid w:val="005D5DC1"/>
    <w:rsid w:val="005E537C"/>
    <w:rsid w:val="005E6F81"/>
    <w:rsid w:val="005F66B9"/>
    <w:rsid w:val="00600630"/>
    <w:rsid w:val="00601949"/>
    <w:rsid w:val="0060455B"/>
    <w:rsid w:val="0061297E"/>
    <w:rsid w:val="00612E1A"/>
    <w:rsid w:val="006227EB"/>
    <w:rsid w:val="00624578"/>
    <w:rsid w:val="0062507D"/>
    <w:rsid w:val="006277F4"/>
    <w:rsid w:val="00630661"/>
    <w:rsid w:val="0063528C"/>
    <w:rsid w:val="00636727"/>
    <w:rsid w:val="00637A16"/>
    <w:rsid w:val="006452F1"/>
    <w:rsid w:val="006529A8"/>
    <w:rsid w:val="00660165"/>
    <w:rsid w:val="00661BE7"/>
    <w:rsid w:val="006642C1"/>
    <w:rsid w:val="00675032"/>
    <w:rsid w:val="00677971"/>
    <w:rsid w:val="00683D0C"/>
    <w:rsid w:val="00685D77"/>
    <w:rsid w:val="00687E3F"/>
    <w:rsid w:val="0069738E"/>
    <w:rsid w:val="006A02A6"/>
    <w:rsid w:val="006A04F2"/>
    <w:rsid w:val="006A3752"/>
    <w:rsid w:val="006A6BEA"/>
    <w:rsid w:val="006B174B"/>
    <w:rsid w:val="006B399C"/>
    <w:rsid w:val="006B6D80"/>
    <w:rsid w:val="006C05D4"/>
    <w:rsid w:val="006C0A11"/>
    <w:rsid w:val="006C2FA6"/>
    <w:rsid w:val="006D1A5C"/>
    <w:rsid w:val="006D2FFF"/>
    <w:rsid w:val="006D3CC6"/>
    <w:rsid w:val="006D4000"/>
    <w:rsid w:val="006F21FE"/>
    <w:rsid w:val="006F4064"/>
    <w:rsid w:val="006F6311"/>
    <w:rsid w:val="006F72AE"/>
    <w:rsid w:val="00700300"/>
    <w:rsid w:val="0070170C"/>
    <w:rsid w:val="00701A55"/>
    <w:rsid w:val="00701EC5"/>
    <w:rsid w:val="00706E97"/>
    <w:rsid w:val="00707E28"/>
    <w:rsid w:val="00707E5D"/>
    <w:rsid w:val="00710ECA"/>
    <w:rsid w:val="00712A21"/>
    <w:rsid w:val="007137BF"/>
    <w:rsid w:val="00715746"/>
    <w:rsid w:val="0072310F"/>
    <w:rsid w:val="00724CCB"/>
    <w:rsid w:val="00724E3F"/>
    <w:rsid w:val="00725D20"/>
    <w:rsid w:val="0073287E"/>
    <w:rsid w:val="00735506"/>
    <w:rsid w:val="0074254B"/>
    <w:rsid w:val="00747425"/>
    <w:rsid w:val="0075278A"/>
    <w:rsid w:val="00755F30"/>
    <w:rsid w:val="0076544D"/>
    <w:rsid w:val="00767294"/>
    <w:rsid w:val="00767DE3"/>
    <w:rsid w:val="00772930"/>
    <w:rsid w:val="00775278"/>
    <w:rsid w:val="0078624F"/>
    <w:rsid w:val="00786DC6"/>
    <w:rsid w:val="00792EAD"/>
    <w:rsid w:val="007933FA"/>
    <w:rsid w:val="007940AF"/>
    <w:rsid w:val="00794152"/>
    <w:rsid w:val="00795650"/>
    <w:rsid w:val="007A1F28"/>
    <w:rsid w:val="007A21F9"/>
    <w:rsid w:val="007A4074"/>
    <w:rsid w:val="007A49E1"/>
    <w:rsid w:val="007B33AE"/>
    <w:rsid w:val="007B7733"/>
    <w:rsid w:val="007B7A88"/>
    <w:rsid w:val="007C0A52"/>
    <w:rsid w:val="007C0A8F"/>
    <w:rsid w:val="007C30C5"/>
    <w:rsid w:val="007D0462"/>
    <w:rsid w:val="007D30AD"/>
    <w:rsid w:val="007D549A"/>
    <w:rsid w:val="007D7EDA"/>
    <w:rsid w:val="007E6CFA"/>
    <w:rsid w:val="0080114C"/>
    <w:rsid w:val="0080349B"/>
    <w:rsid w:val="00804F4E"/>
    <w:rsid w:val="008107EB"/>
    <w:rsid w:val="0081549C"/>
    <w:rsid w:val="00815FDA"/>
    <w:rsid w:val="00822BC9"/>
    <w:rsid w:val="0082479D"/>
    <w:rsid w:val="00825355"/>
    <w:rsid w:val="00834972"/>
    <w:rsid w:val="00837BCF"/>
    <w:rsid w:val="00841B15"/>
    <w:rsid w:val="00842A19"/>
    <w:rsid w:val="00847441"/>
    <w:rsid w:val="00847FDD"/>
    <w:rsid w:val="00854996"/>
    <w:rsid w:val="00861381"/>
    <w:rsid w:val="00863164"/>
    <w:rsid w:val="008642EB"/>
    <w:rsid w:val="008730DB"/>
    <w:rsid w:val="00876DF0"/>
    <w:rsid w:val="00883C72"/>
    <w:rsid w:val="008847F2"/>
    <w:rsid w:val="00894838"/>
    <w:rsid w:val="008A2292"/>
    <w:rsid w:val="008A663A"/>
    <w:rsid w:val="008A6734"/>
    <w:rsid w:val="008A6DF1"/>
    <w:rsid w:val="008B19CB"/>
    <w:rsid w:val="008B412C"/>
    <w:rsid w:val="008B42EF"/>
    <w:rsid w:val="008B74ED"/>
    <w:rsid w:val="008C1D1D"/>
    <w:rsid w:val="008C69A9"/>
    <w:rsid w:val="008C7329"/>
    <w:rsid w:val="008D533F"/>
    <w:rsid w:val="008E09C0"/>
    <w:rsid w:val="008E0B76"/>
    <w:rsid w:val="008E3BA9"/>
    <w:rsid w:val="008E51F5"/>
    <w:rsid w:val="008E7077"/>
    <w:rsid w:val="008F5B6F"/>
    <w:rsid w:val="008F6D7A"/>
    <w:rsid w:val="008F725A"/>
    <w:rsid w:val="00905C07"/>
    <w:rsid w:val="00910894"/>
    <w:rsid w:val="00910D13"/>
    <w:rsid w:val="00917A40"/>
    <w:rsid w:val="00917FD9"/>
    <w:rsid w:val="00921D52"/>
    <w:rsid w:val="00923E25"/>
    <w:rsid w:val="00924496"/>
    <w:rsid w:val="00924F12"/>
    <w:rsid w:val="0093289C"/>
    <w:rsid w:val="00934A31"/>
    <w:rsid w:val="00934D7A"/>
    <w:rsid w:val="009447AA"/>
    <w:rsid w:val="00944D51"/>
    <w:rsid w:val="00945D16"/>
    <w:rsid w:val="00946384"/>
    <w:rsid w:val="00946F21"/>
    <w:rsid w:val="00947CCE"/>
    <w:rsid w:val="00956E55"/>
    <w:rsid w:val="00964C2A"/>
    <w:rsid w:val="009734DA"/>
    <w:rsid w:val="00975167"/>
    <w:rsid w:val="00976456"/>
    <w:rsid w:val="009807A7"/>
    <w:rsid w:val="00982CCB"/>
    <w:rsid w:val="00983DAD"/>
    <w:rsid w:val="009870AA"/>
    <w:rsid w:val="00991C90"/>
    <w:rsid w:val="0099395A"/>
    <w:rsid w:val="00994F6E"/>
    <w:rsid w:val="009A074A"/>
    <w:rsid w:val="009A0C34"/>
    <w:rsid w:val="009A18B5"/>
    <w:rsid w:val="009A7BCB"/>
    <w:rsid w:val="009B1CAD"/>
    <w:rsid w:val="009B2144"/>
    <w:rsid w:val="009B384D"/>
    <w:rsid w:val="009B67FA"/>
    <w:rsid w:val="009B68FC"/>
    <w:rsid w:val="009C10F4"/>
    <w:rsid w:val="009C3E3F"/>
    <w:rsid w:val="009D1B0E"/>
    <w:rsid w:val="009D26B8"/>
    <w:rsid w:val="009D5CB7"/>
    <w:rsid w:val="009D70C9"/>
    <w:rsid w:val="009E1BB4"/>
    <w:rsid w:val="009F62FE"/>
    <w:rsid w:val="009F742D"/>
    <w:rsid w:val="009F755F"/>
    <w:rsid w:val="00A10B64"/>
    <w:rsid w:val="00A1196C"/>
    <w:rsid w:val="00A12DD8"/>
    <w:rsid w:val="00A155D7"/>
    <w:rsid w:val="00A15CEF"/>
    <w:rsid w:val="00A23461"/>
    <w:rsid w:val="00A3079C"/>
    <w:rsid w:val="00A308F4"/>
    <w:rsid w:val="00A37B44"/>
    <w:rsid w:val="00A428DD"/>
    <w:rsid w:val="00A47E3C"/>
    <w:rsid w:val="00A502CE"/>
    <w:rsid w:val="00A50A14"/>
    <w:rsid w:val="00A51785"/>
    <w:rsid w:val="00A54629"/>
    <w:rsid w:val="00A56A96"/>
    <w:rsid w:val="00A6215C"/>
    <w:rsid w:val="00A648B3"/>
    <w:rsid w:val="00A66C4B"/>
    <w:rsid w:val="00A724B0"/>
    <w:rsid w:val="00A74524"/>
    <w:rsid w:val="00A758EB"/>
    <w:rsid w:val="00A8231C"/>
    <w:rsid w:val="00A9119D"/>
    <w:rsid w:val="00A9461E"/>
    <w:rsid w:val="00A96EBB"/>
    <w:rsid w:val="00A971A7"/>
    <w:rsid w:val="00A97C6D"/>
    <w:rsid w:val="00AA34A3"/>
    <w:rsid w:val="00AB1A10"/>
    <w:rsid w:val="00AB7029"/>
    <w:rsid w:val="00AC57F9"/>
    <w:rsid w:val="00AC72D1"/>
    <w:rsid w:val="00AC75FA"/>
    <w:rsid w:val="00AD27C6"/>
    <w:rsid w:val="00AD3999"/>
    <w:rsid w:val="00AD7A2E"/>
    <w:rsid w:val="00AE5952"/>
    <w:rsid w:val="00AE5A5D"/>
    <w:rsid w:val="00AE7CC7"/>
    <w:rsid w:val="00AF0EDC"/>
    <w:rsid w:val="00AF6B7D"/>
    <w:rsid w:val="00B07063"/>
    <w:rsid w:val="00B12BA2"/>
    <w:rsid w:val="00B224F9"/>
    <w:rsid w:val="00B24BE7"/>
    <w:rsid w:val="00B26B54"/>
    <w:rsid w:val="00B30C9C"/>
    <w:rsid w:val="00B34440"/>
    <w:rsid w:val="00B3543B"/>
    <w:rsid w:val="00B35A3A"/>
    <w:rsid w:val="00B52BCF"/>
    <w:rsid w:val="00B53CC1"/>
    <w:rsid w:val="00B5436F"/>
    <w:rsid w:val="00B55F07"/>
    <w:rsid w:val="00B6472C"/>
    <w:rsid w:val="00B64A6D"/>
    <w:rsid w:val="00B66AEC"/>
    <w:rsid w:val="00B66F4B"/>
    <w:rsid w:val="00B73CCC"/>
    <w:rsid w:val="00B742C0"/>
    <w:rsid w:val="00B77F70"/>
    <w:rsid w:val="00B91868"/>
    <w:rsid w:val="00B91B27"/>
    <w:rsid w:val="00B93E56"/>
    <w:rsid w:val="00BA2FBD"/>
    <w:rsid w:val="00BA45E1"/>
    <w:rsid w:val="00BA6183"/>
    <w:rsid w:val="00BA6581"/>
    <w:rsid w:val="00BA764F"/>
    <w:rsid w:val="00BB408A"/>
    <w:rsid w:val="00BB7D51"/>
    <w:rsid w:val="00BC1D4A"/>
    <w:rsid w:val="00BD123C"/>
    <w:rsid w:val="00BD1D0A"/>
    <w:rsid w:val="00BD520D"/>
    <w:rsid w:val="00BD71D7"/>
    <w:rsid w:val="00BD75A9"/>
    <w:rsid w:val="00BE0B80"/>
    <w:rsid w:val="00BE14B3"/>
    <w:rsid w:val="00BE1950"/>
    <w:rsid w:val="00BE49AE"/>
    <w:rsid w:val="00BF050B"/>
    <w:rsid w:val="00C04784"/>
    <w:rsid w:val="00C04EEA"/>
    <w:rsid w:val="00C054E7"/>
    <w:rsid w:val="00C21035"/>
    <w:rsid w:val="00C2459F"/>
    <w:rsid w:val="00C2657D"/>
    <w:rsid w:val="00C33398"/>
    <w:rsid w:val="00C43E6D"/>
    <w:rsid w:val="00C444D0"/>
    <w:rsid w:val="00C4562B"/>
    <w:rsid w:val="00C46F76"/>
    <w:rsid w:val="00C57A98"/>
    <w:rsid w:val="00C60B46"/>
    <w:rsid w:val="00C65BE2"/>
    <w:rsid w:val="00C67628"/>
    <w:rsid w:val="00C72DE5"/>
    <w:rsid w:val="00C81996"/>
    <w:rsid w:val="00C86FD3"/>
    <w:rsid w:val="00C91830"/>
    <w:rsid w:val="00C969D8"/>
    <w:rsid w:val="00C96A0D"/>
    <w:rsid w:val="00C96B1C"/>
    <w:rsid w:val="00CA0527"/>
    <w:rsid w:val="00CA0EA1"/>
    <w:rsid w:val="00CA1953"/>
    <w:rsid w:val="00CA5B59"/>
    <w:rsid w:val="00CA5F34"/>
    <w:rsid w:val="00CA71AB"/>
    <w:rsid w:val="00CA7A68"/>
    <w:rsid w:val="00CB136C"/>
    <w:rsid w:val="00CC07E7"/>
    <w:rsid w:val="00CC4DA6"/>
    <w:rsid w:val="00CC5A29"/>
    <w:rsid w:val="00CD1FEF"/>
    <w:rsid w:val="00CD5F53"/>
    <w:rsid w:val="00CD76DE"/>
    <w:rsid w:val="00CD7E0F"/>
    <w:rsid w:val="00CE5CA5"/>
    <w:rsid w:val="00CF1297"/>
    <w:rsid w:val="00CF4AF7"/>
    <w:rsid w:val="00CF75BB"/>
    <w:rsid w:val="00CF7D22"/>
    <w:rsid w:val="00D026AD"/>
    <w:rsid w:val="00D07D7E"/>
    <w:rsid w:val="00D07F61"/>
    <w:rsid w:val="00D12060"/>
    <w:rsid w:val="00D129C6"/>
    <w:rsid w:val="00D13D0F"/>
    <w:rsid w:val="00D17F4B"/>
    <w:rsid w:val="00D216A8"/>
    <w:rsid w:val="00D23379"/>
    <w:rsid w:val="00D2342F"/>
    <w:rsid w:val="00D30981"/>
    <w:rsid w:val="00D32D67"/>
    <w:rsid w:val="00D337E7"/>
    <w:rsid w:val="00D34956"/>
    <w:rsid w:val="00D36B9A"/>
    <w:rsid w:val="00D404D3"/>
    <w:rsid w:val="00D477B9"/>
    <w:rsid w:val="00D533A7"/>
    <w:rsid w:val="00D53A49"/>
    <w:rsid w:val="00D57007"/>
    <w:rsid w:val="00D6161F"/>
    <w:rsid w:val="00D64158"/>
    <w:rsid w:val="00D65575"/>
    <w:rsid w:val="00D662FF"/>
    <w:rsid w:val="00D85611"/>
    <w:rsid w:val="00D861F0"/>
    <w:rsid w:val="00D87C7F"/>
    <w:rsid w:val="00D92741"/>
    <w:rsid w:val="00D92FF3"/>
    <w:rsid w:val="00D9362C"/>
    <w:rsid w:val="00DA4E51"/>
    <w:rsid w:val="00DA705B"/>
    <w:rsid w:val="00DB3AAD"/>
    <w:rsid w:val="00DC4194"/>
    <w:rsid w:val="00DC4BCE"/>
    <w:rsid w:val="00DC6B37"/>
    <w:rsid w:val="00DC6D6F"/>
    <w:rsid w:val="00DD10AB"/>
    <w:rsid w:val="00DD1872"/>
    <w:rsid w:val="00DD19F1"/>
    <w:rsid w:val="00DD64E0"/>
    <w:rsid w:val="00DD72E9"/>
    <w:rsid w:val="00DD7341"/>
    <w:rsid w:val="00DF0E2D"/>
    <w:rsid w:val="00DF3CF4"/>
    <w:rsid w:val="00DF6240"/>
    <w:rsid w:val="00E004A5"/>
    <w:rsid w:val="00E05A31"/>
    <w:rsid w:val="00E229F1"/>
    <w:rsid w:val="00E23BCE"/>
    <w:rsid w:val="00E30908"/>
    <w:rsid w:val="00E35574"/>
    <w:rsid w:val="00E42A79"/>
    <w:rsid w:val="00E577C2"/>
    <w:rsid w:val="00E61B5D"/>
    <w:rsid w:val="00E620DD"/>
    <w:rsid w:val="00E65051"/>
    <w:rsid w:val="00E65276"/>
    <w:rsid w:val="00E7196B"/>
    <w:rsid w:val="00E71CAC"/>
    <w:rsid w:val="00E722A7"/>
    <w:rsid w:val="00E749ED"/>
    <w:rsid w:val="00E77119"/>
    <w:rsid w:val="00E82652"/>
    <w:rsid w:val="00E92A52"/>
    <w:rsid w:val="00EA02F9"/>
    <w:rsid w:val="00EA2DF5"/>
    <w:rsid w:val="00EA4DF6"/>
    <w:rsid w:val="00EA634B"/>
    <w:rsid w:val="00EC0E65"/>
    <w:rsid w:val="00ED2A7E"/>
    <w:rsid w:val="00ED36D4"/>
    <w:rsid w:val="00EE2514"/>
    <w:rsid w:val="00EE36EE"/>
    <w:rsid w:val="00EE6209"/>
    <w:rsid w:val="00EE6449"/>
    <w:rsid w:val="00EE6828"/>
    <w:rsid w:val="00EE6AD7"/>
    <w:rsid w:val="00EE7CCB"/>
    <w:rsid w:val="00EF22D2"/>
    <w:rsid w:val="00EF3EB2"/>
    <w:rsid w:val="00EF45B1"/>
    <w:rsid w:val="00EF4C0B"/>
    <w:rsid w:val="00EF7AC7"/>
    <w:rsid w:val="00F03347"/>
    <w:rsid w:val="00F05C84"/>
    <w:rsid w:val="00F138DA"/>
    <w:rsid w:val="00F151E3"/>
    <w:rsid w:val="00F25469"/>
    <w:rsid w:val="00F33D09"/>
    <w:rsid w:val="00F340B7"/>
    <w:rsid w:val="00F3612B"/>
    <w:rsid w:val="00F4198D"/>
    <w:rsid w:val="00F425E0"/>
    <w:rsid w:val="00F43D70"/>
    <w:rsid w:val="00F45878"/>
    <w:rsid w:val="00F45B95"/>
    <w:rsid w:val="00F52FF3"/>
    <w:rsid w:val="00F53DAA"/>
    <w:rsid w:val="00F54B7C"/>
    <w:rsid w:val="00F56696"/>
    <w:rsid w:val="00F57DF9"/>
    <w:rsid w:val="00F72425"/>
    <w:rsid w:val="00F72780"/>
    <w:rsid w:val="00F73227"/>
    <w:rsid w:val="00F73B26"/>
    <w:rsid w:val="00F73D31"/>
    <w:rsid w:val="00F73E30"/>
    <w:rsid w:val="00F753F8"/>
    <w:rsid w:val="00F760EF"/>
    <w:rsid w:val="00F763F5"/>
    <w:rsid w:val="00F77323"/>
    <w:rsid w:val="00F80253"/>
    <w:rsid w:val="00F804EB"/>
    <w:rsid w:val="00F81365"/>
    <w:rsid w:val="00F819F1"/>
    <w:rsid w:val="00F82789"/>
    <w:rsid w:val="00F83118"/>
    <w:rsid w:val="00F83240"/>
    <w:rsid w:val="00F87A31"/>
    <w:rsid w:val="00F87BF8"/>
    <w:rsid w:val="00F921BC"/>
    <w:rsid w:val="00F92470"/>
    <w:rsid w:val="00F92622"/>
    <w:rsid w:val="00F92AD3"/>
    <w:rsid w:val="00F936DD"/>
    <w:rsid w:val="00F93C78"/>
    <w:rsid w:val="00F93E9A"/>
    <w:rsid w:val="00F97FF6"/>
    <w:rsid w:val="00FA0E43"/>
    <w:rsid w:val="00FA0F6C"/>
    <w:rsid w:val="00FA29D4"/>
    <w:rsid w:val="00FA4AFE"/>
    <w:rsid w:val="00FA6DD1"/>
    <w:rsid w:val="00FA75BF"/>
    <w:rsid w:val="00FB1A2B"/>
    <w:rsid w:val="00FB2999"/>
    <w:rsid w:val="00FB5E72"/>
    <w:rsid w:val="00FB67DA"/>
    <w:rsid w:val="00FB785D"/>
    <w:rsid w:val="00FC05D3"/>
    <w:rsid w:val="00FC26EE"/>
    <w:rsid w:val="00FC7287"/>
    <w:rsid w:val="00FD5FF7"/>
    <w:rsid w:val="00FD7617"/>
    <w:rsid w:val="00FF23EB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  <w:style w:type="character" w:styleId="CommentReference">
    <w:name w:val="annotation reference"/>
    <w:basedOn w:val="DefaultParagraphFont"/>
    <w:rsid w:val="00E722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22A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2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22A7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E72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2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olle@lga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681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kapitālsabiedrību, kurās Ekonomikas ministrija ir valsts kapitāla daļu turētāja, 2012.gada finansiālo rādītāju izpildi, sasniegtajiem darbības rezultātiem un rezultatīvajiem rādītājiem</vt:lpstr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kapitālsabiedrību, kurās Ekonomikas ministrija ir valsts kapitāla daļu turētāja, 2012.gada finansiālo rādītāju izpildi, sasniegtajiem darbības rezultātiem un rezultatīvajiem rādītājiem</dc:title>
  <dc:subject>Informatīvā ziņojuma 3.pielikums</dc:subject>
  <dc:creator>Ekonomikas ministrija</dc:creator>
  <dc:description>Svetlana Aleksejeva _x000d_
 tālrunis 67013121, fakss 67280882 _x000d_
 Svetlana.Aleksejeva@em.gov.lv</dc:description>
  <cp:lastModifiedBy>Svetlana Aleksejeva</cp:lastModifiedBy>
  <cp:revision>669</cp:revision>
  <dcterms:created xsi:type="dcterms:W3CDTF">2012-08-09T09:01:00Z</dcterms:created>
  <dcterms:modified xsi:type="dcterms:W3CDTF">2013-12-19T15:35:00Z</dcterms:modified>
</cp:coreProperties>
</file>