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4B4" w:rsidRPr="002C392A" w:rsidRDefault="003F54B4" w:rsidP="0062507D">
      <w:pPr>
        <w:pStyle w:val="ListParagraph"/>
        <w:jc w:val="right"/>
        <w:rPr>
          <w:sz w:val="28"/>
          <w:szCs w:val="28"/>
        </w:rPr>
      </w:pPr>
      <w:bookmarkStart w:id="0" w:name="_GoBack"/>
      <w:bookmarkEnd w:id="0"/>
    </w:p>
    <w:p w:rsidR="007D549A" w:rsidRDefault="007D549A" w:rsidP="002C392A">
      <w:pPr>
        <w:pStyle w:val="ListParagraph"/>
        <w:ind w:left="0"/>
        <w:jc w:val="center"/>
        <w:rPr>
          <w:rFonts w:eastAsia="Times New Roman"/>
          <w:b/>
          <w:bCs/>
          <w:color w:val="000000"/>
          <w:sz w:val="28"/>
          <w:szCs w:val="28"/>
          <w:lang w:eastAsia="zh-CN"/>
        </w:rPr>
      </w:pPr>
      <w:r>
        <w:rPr>
          <w:rFonts w:eastAsia="Times New Roman"/>
          <w:b/>
          <w:bCs/>
          <w:color w:val="000000"/>
          <w:sz w:val="28"/>
          <w:szCs w:val="28"/>
          <w:lang w:eastAsia="zh-CN"/>
        </w:rPr>
        <w:t xml:space="preserve">Informācija par </w:t>
      </w:r>
      <w:r w:rsidR="00A82B26">
        <w:rPr>
          <w:rFonts w:eastAsia="Times New Roman"/>
          <w:b/>
          <w:bCs/>
          <w:color w:val="000000"/>
          <w:sz w:val="28"/>
          <w:szCs w:val="28"/>
          <w:lang w:eastAsia="zh-CN"/>
        </w:rPr>
        <w:t>SIA</w:t>
      </w:r>
      <w:r w:rsidRPr="002C392A">
        <w:rPr>
          <w:rFonts w:eastAsia="Times New Roman"/>
          <w:b/>
          <w:bCs/>
          <w:color w:val="000000"/>
          <w:sz w:val="28"/>
          <w:szCs w:val="28"/>
          <w:lang w:eastAsia="zh-CN"/>
        </w:rPr>
        <w:t xml:space="preserve"> „</w:t>
      </w:r>
      <w:r w:rsidR="00A82B26">
        <w:rPr>
          <w:rFonts w:eastAsia="Times New Roman"/>
          <w:b/>
          <w:bCs/>
          <w:color w:val="000000"/>
          <w:sz w:val="28"/>
          <w:szCs w:val="28"/>
          <w:lang w:eastAsia="zh-CN"/>
        </w:rPr>
        <w:t>Standartizācijas, akreditācijas un metroloģijas centrs</w:t>
      </w:r>
      <w:r w:rsidRPr="002C392A">
        <w:rPr>
          <w:rFonts w:eastAsia="Times New Roman"/>
          <w:b/>
          <w:bCs/>
          <w:color w:val="000000"/>
          <w:sz w:val="28"/>
          <w:szCs w:val="28"/>
          <w:lang w:eastAsia="zh-CN"/>
        </w:rPr>
        <w:t>”</w:t>
      </w:r>
      <w:r>
        <w:rPr>
          <w:rFonts w:eastAsia="Times New Roman"/>
          <w:b/>
          <w:bCs/>
          <w:color w:val="000000"/>
          <w:sz w:val="28"/>
          <w:szCs w:val="28"/>
          <w:lang w:eastAsia="zh-CN"/>
        </w:rPr>
        <w:t xml:space="preserve"> </w:t>
      </w:r>
      <w:r w:rsidR="00DB7216">
        <w:rPr>
          <w:rFonts w:eastAsia="Times New Roman"/>
          <w:b/>
          <w:bCs/>
          <w:color w:val="000000"/>
          <w:sz w:val="28"/>
          <w:szCs w:val="28"/>
          <w:lang w:eastAsia="zh-CN"/>
        </w:rPr>
        <w:t>2014.gada rādītāju prognozi</w:t>
      </w:r>
      <w:r w:rsidR="006529A8">
        <w:rPr>
          <w:rFonts w:eastAsia="Times New Roman"/>
          <w:b/>
          <w:bCs/>
          <w:color w:val="000000"/>
          <w:sz w:val="28"/>
          <w:szCs w:val="28"/>
          <w:lang w:eastAsia="zh-CN"/>
        </w:rPr>
        <w:t xml:space="preserve"> </w:t>
      </w:r>
    </w:p>
    <w:p w:rsidR="007D549A" w:rsidRDefault="007D549A" w:rsidP="002C392A">
      <w:pPr>
        <w:pStyle w:val="ListParagraph"/>
        <w:ind w:left="0"/>
        <w:jc w:val="center"/>
        <w:rPr>
          <w:rFonts w:eastAsia="Times New Roman"/>
          <w:b/>
          <w:bCs/>
          <w:color w:val="000000"/>
          <w:sz w:val="28"/>
          <w:szCs w:val="28"/>
          <w:lang w:eastAsia="zh-CN"/>
        </w:rPr>
      </w:pPr>
    </w:p>
    <w:p w:rsidR="00590089" w:rsidRPr="00A12DD8" w:rsidRDefault="00590089" w:rsidP="00590089">
      <w:pPr>
        <w:pStyle w:val="ListParagraph"/>
        <w:spacing w:after="120"/>
        <w:ind w:left="0"/>
        <w:contextualSpacing w:val="0"/>
        <w:jc w:val="center"/>
        <w:rPr>
          <w:rFonts w:eastAsia="Times New Roman"/>
          <w:b/>
          <w:bCs/>
          <w:color w:val="000000"/>
          <w:szCs w:val="26"/>
          <w:lang w:eastAsia="zh-CN"/>
        </w:rPr>
      </w:pPr>
      <w:r>
        <w:rPr>
          <w:rFonts w:eastAsia="Times New Roman"/>
          <w:b/>
          <w:bCs/>
          <w:color w:val="000000"/>
          <w:szCs w:val="26"/>
          <w:lang w:eastAsia="zh-CN"/>
        </w:rPr>
        <w:t>K</w:t>
      </w:r>
      <w:r w:rsidRPr="00A12DD8">
        <w:rPr>
          <w:rFonts w:eastAsia="Times New Roman"/>
          <w:b/>
          <w:bCs/>
          <w:color w:val="000000"/>
          <w:szCs w:val="26"/>
          <w:lang w:eastAsia="zh-CN"/>
        </w:rPr>
        <w:t>apitālsabiedrības darbības rezultāt</w:t>
      </w:r>
      <w:r>
        <w:rPr>
          <w:rFonts w:eastAsia="Times New Roman"/>
          <w:b/>
          <w:bCs/>
          <w:color w:val="000000"/>
          <w:szCs w:val="26"/>
          <w:lang w:eastAsia="zh-CN"/>
        </w:rPr>
        <w:t>i</w:t>
      </w:r>
      <w:r w:rsidRPr="00A12DD8">
        <w:rPr>
          <w:rFonts w:eastAsia="Times New Roman"/>
          <w:b/>
          <w:bCs/>
          <w:color w:val="000000"/>
          <w:szCs w:val="26"/>
          <w:lang w:eastAsia="zh-CN"/>
        </w:rPr>
        <w:t xml:space="preserve"> un </w:t>
      </w:r>
      <w:r>
        <w:rPr>
          <w:rFonts w:eastAsia="Times New Roman"/>
          <w:b/>
          <w:bCs/>
          <w:color w:val="000000"/>
          <w:szCs w:val="26"/>
          <w:lang w:eastAsia="zh-CN"/>
        </w:rPr>
        <w:t>rezultatīvie rādītāji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549"/>
        <w:gridCol w:w="2443"/>
        <w:gridCol w:w="6095"/>
      </w:tblGrid>
      <w:tr w:rsidR="00C65BE2" w:rsidRPr="00924496" w:rsidTr="00EE5913">
        <w:trPr>
          <w:trHeight w:val="1632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C65BE2" w:rsidRPr="00924496" w:rsidRDefault="00C65BE2" w:rsidP="00D2342F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924496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A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C65BE2" w:rsidRPr="00924496" w:rsidRDefault="00C65BE2" w:rsidP="00D2342F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924496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Kapitālsabiedrības darbības mērķis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BE2" w:rsidRPr="00C85B12" w:rsidRDefault="004C5379" w:rsidP="00EE5913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C85B1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Nodrošināt uzņēmējus, valsts pārvaldi un patērētājus ar ticamiem atbilstības novērtēšanas pakalpojumiem standartizācijas, akreditācijas un metroloģijas jomā, stimulējot preču un pakalpojumu brīvu pārrobežu kustību, paaugstinot Latvijas uzņēmēju konkurētspēju (</w:t>
            </w:r>
            <w:proofErr w:type="spellStart"/>
            <w:r w:rsidRPr="00C85B1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eksportspēju</w:t>
            </w:r>
            <w:proofErr w:type="spellEnd"/>
            <w:r w:rsidRPr="00C85B1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) un radot pamatu drošu produktu un pakalpojumu saņemšanai</w:t>
            </w:r>
            <w:r w:rsidR="00F96388" w:rsidRPr="00C85B1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.</w:t>
            </w:r>
            <w:r w:rsidR="005335B5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 xml:space="preserve"> </w:t>
            </w:r>
          </w:p>
        </w:tc>
      </w:tr>
    </w:tbl>
    <w:p w:rsidR="008A6734" w:rsidRDefault="008A6734" w:rsidP="002C392A">
      <w:pPr>
        <w:pStyle w:val="ListParagraph"/>
        <w:ind w:left="0"/>
        <w:jc w:val="center"/>
        <w:rPr>
          <w:b/>
          <w:sz w:val="28"/>
          <w:szCs w:val="28"/>
        </w:rPr>
      </w:pPr>
    </w:p>
    <w:tbl>
      <w:tblPr>
        <w:tblW w:w="908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1"/>
        <w:gridCol w:w="4142"/>
        <w:gridCol w:w="1467"/>
        <w:gridCol w:w="1470"/>
        <w:gridCol w:w="1457"/>
      </w:tblGrid>
      <w:tr w:rsidR="002C59E7" w:rsidRPr="004A2A30" w:rsidTr="002C59E7">
        <w:trPr>
          <w:trHeight w:val="930"/>
          <w:tblHeader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C59E7" w:rsidRPr="004A2A30" w:rsidRDefault="002C59E7" w:rsidP="00FC7EAF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</w:pPr>
            <w:proofErr w:type="spellStart"/>
            <w:r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  <w:t>Nr</w:t>
            </w:r>
            <w:proofErr w:type="spellEnd"/>
            <w:r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  <w:t>. p/k</w:t>
            </w:r>
          </w:p>
        </w:tc>
        <w:tc>
          <w:tcPr>
            <w:tcW w:w="4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2C59E7" w:rsidRPr="004A2A30" w:rsidRDefault="002C59E7" w:rsidP="00FC7EAF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Sagaidāmais d</w:t>
            </w:r>
            <w:r w:rsidRPr="004A2A3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arbības rezultāts</w:t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/ rādītāji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2C59E7" w:rsidRPr="004A2A30" w:rsidRDefault="002C59E7" w:rsidP="00FC7EAF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4A2A3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2012.gada izpilde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2C59E7" w:rsidRDefault="002C59E7" w:rsidP="00FC7EAF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2013.gada </w:t>
            </w:r>
          </w:p>
          <w:p w:rsidR="002C59E7" w:rsidRPr="004A2A30" w:rsidRDefault="002C59E7" w:rsidP="00FC7EAF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provizoriskā izpilde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2C59E7" w:rsidRPr="004A2A30" w:rsidRDefault="002C59E7" w:rsidP="00FC7EAF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4A2A3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201</w:t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4</w:t>
            </w:r>
            <w:r w:rsidRPr="004A2A3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.gada </w:t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plāns </w:t>
            </w:r>
          </w:p>
        </w:tc>
      </w:tr>
      <w:tr w:rsidR="00EB3BDB" w:rsidRPr="00175E92" w:rsidTr="002C59E7">
        <w:trPr>
          <w:trHeight w:val="330"/>
          <w:tblHeader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DB" w:rsidRPr="008A6734" w:rsidRDefault="00EB3BDB" w:rsidP="006277F4">
            <w:pPr>
              <w:spacing w:before="40" w:after="40"/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8A6734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DB" w:rsidRPr="008A6734" w:rsidRDefault="00EB3BDB" w:rsidP="006277F4">
            <w:pPr>
              <w:spacing w:before="40" w:after="40"/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8A6734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DB" w:rsidRPr="008A6734" w:rsidRDefault="00EB3BDB" w:rsidP="006277F4">
            <w:pPr>
              <w:spacing w:before="40" w:after="40"/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8A6734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DB" w:rsidRPr="008A6734" w:rsidRDefault="00EB3BDB" w:rsidP="006277F4">
            <w:pPr>
              <w:spacing w:before="40" w:after="40"/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8A6734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DB" w:rsidRPr="008A6734" w:rsidRDefault="00EB3BDB" w:rsidP="006277F4">
            <w:pPr>
              <w:spacing w:before="40" w:after="40"/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8A6734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</w:tr>
      <w:tr w:rsidR="00EB3BDB" w:rsidRPr="004A2A30" w:rsidTr="002C59E7">
        <w:trPr>
          <w:trHeight w:val="213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DB" w:rsidRPr="008A6734" w:rsidRDefault="00EB3BDB" w:rsidP="006277F4">
            <w:pPr>
              <w:spacing w:before="40" w:after="40"/>
              <w:rPr>
                <w:rFonts w:eastAsia="Times New Roman"/>
                <w:b/>
                <w:color w:val="000000"/>
                <w:sz w:val="22"/>
                <w:szCs w:val="22"/>
                <w:lang w:eastAsia="lv-LV"/>
              </w:rPr>
            </w:pPr>
            <w:r w:rsidRPr="008A6734">
              <w:rPr>
                <w:rFonts w:eastAsia="Times New Roman"/>
                <w:b/>
                <w:color w:val="000000"/>
                <w:sz w:val="22"/>
                <w:szCs w:val="22"/>
                <w:lang w:eastAsia="lv-LV"/>
              </w:rPr>
              <w:t> </w:t>
            </w:r>
            <w:r w:rsidRPr="00B91B27">
              <w:rPr>
                <w:rFonts w:eastAsia="Times New Roman"/>
                <w:b/>
                <w:color w:val="000000"/>
                <w:sz w:val="22"/>
                <w:szCs w:val="22"/>
                <w:lang w:eastAsia="lv-LV"/>
              </w:rPr>
              <w:t>1.</w:t>
            </w:r>
          </w:p>
        </w:tc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BDB" w:rsidRPr="00C85B12" w:rsidRDefault="00EB3BDB" w:rsidP="006277F4">
            <w:pPr>
              <w:spacing w:before="40" w:after="40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C85B1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  <w:t>Metroloģijas jomā</w:t>
            </w:r>
          </w:p>
          <w:p w:rsidR="00EB3BDB" w:rsidRPr="00C85B12" w:rsidRDefault="00EB3BDB" w:rsidP="00377695">
            <w:pPr>
              <w:spacing w:before="40" w:after="40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C85B12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Uzturēti nacionālie mērvienību etaloni atbilstoši tautsaimniecības vajadzībām, nodrošinot to starptautisku atzīšanu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DB" w:rsidRPr="008A6734" w:rsidRDefault="00EB3BDB" w:rsidP="000E5A10">
            <w:pPr>
              <w:spacing w:before="40" w:after="4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8A673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  <w:t>x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DB" w:rsidRPr="008A6734" w:rsidRDefault="00EB3BDB" w:rsidP="000E5A10">
            <w:pPr>
              <w:spacing w:before="40" w:after="4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8A673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  <w:t>x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DB" w:rsidRPr="008A6734" w:rsidRDefault="00EB3BDB" w:rsidP="000E5A10">
            <w:pPr>
              <w:spacing w:before="40" w:after="4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8A673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  <w:t>x</w:t>
            </w:r>
          </w:p>
        </w:tc>
      </w:tr>
      <w:tr w:rsidR="00EB3BDB" w:rsidRPr="004A2A30" w:rsidTr="002C59E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DB" w:rsidRPr="008A6734" w:rsidRDefault="00EB3BDB" w:rsidP="006277F4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A6734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4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DB" w:rsidRPr="008A6734" w:rsidRDefault="00EB3BDB" w:rsidP="006277F4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A6734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Rādītāji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DB" w:rsidRPr="008A6734" w:rsidRDefault="00EB3BDB" w:rsidP="000E5A10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A6734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x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DB" w:rsidRPr="008A6734" w:rsidRDefault="00EB3BDB" w:rsidP="000E5A10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A6734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x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DB" w:rsidRPr="008A6734" w:rsidRDefault="00EB3BDB" w:rsidP="000E5A10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A6734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x</w:t>
            </w:r>
          </w:p>
        </w:tc>
      </w:tr>
      <w:tr w:rsidR="00D65AB4" w:rsidRPr="004A2A30" w:rsidTr="002C59E7">
        <w:trPr>
          <w:trHeight w:val="7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AB4" w:rsidRPr="008A6734" w:rsidRDefault="00D65AB4" w:rsidP="006277F4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A6734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1.1.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AB4" w:rsidRPr="00C85B12" w:rsidRDefault="00D65AB4" w:rsidP="006277F4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C85B12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Nodrošināta fizikālo lielumu mērvienību etalonu bāze un mērvienību reproducēšana. Nacionālo etalonu kalibrēšana (etalonu skaits)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AB4" w:rsidRPr="008A6734" w:rsidRDefault="00D65AB4" w:rsidP="006E04ED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AB4" w:rsidRPr="008A6734" w:rsidRDefault="00C613E7" w:rsidP="000E5A10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AB4" w:rsidRPr="008A6734" w:rsidRDefault="00C613E7" w:rsidP="000E5A10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14</w:t>
            </w:r>
          </w:p>
        </w:tc>
      </w:tr>
      <w:tr w:rsidR="00D65AB4" w:rsidRPr="004A2A30" w:rsidTr="002C59E7">
        <w:trPr>
          <w:trHeight w:val="7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AB4" w:rsidRPr="008A6734" w:rsidRDefault="00D65AB4" w:rsidP="006277F4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A6734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1.2.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AB4" w:rsidRPr="00C85B12" w:rsidRDefault="00D65AB4" w:rsidP="006277F4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C85B12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Nodrošināta mērīšanas līdzekļu tipu apstiprināšana un reģistrēšana valsts mērīšanas līdzekļu reģistrā (mērīšanas līdzekļu skaits)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AB4" w:rsidRPr="008A6734" w:rsidRDefault="00D65AB4" w:rsidP="006E04ED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21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AB4" w:rsidRPr="008A6734" w:rsidRDefault="00C613E7" w:rsidP="000E5A10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21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AB4" w:rsidRPr="008A6734" w:rsidRDefault="00C613E7" w:rsidP="000E5A10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21</w:t>
            </w:r>
          </w:p>
        </w:tc>
      </w:tr>
      <w:tr w:rsidR="00D65AB4" w:rsidRPr="004A2A30" w:rsidTr="002C59E7">
        <w:trPr>
          <w:trHeight w:val="7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AB4" w:rsidRPr="008A6734" w:rsidRDefault="00D65AB4" w:rsidP="006277F4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A6734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1.3.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AB4" w:rsidRPr="00C85B12" w:rsidRDefault="00D65AB4" w:rsidP="003511E7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C85B12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Sniegti kalibrēšanas pakalpojumi – veikta references etalonu kalibrēšana (etalonu skaits)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AB4" w:rsidRPr="008A6734" w:rsidRDefault="00D65AB4" w:rsidP="006E04ED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74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AB4" w:rsidRPr="008A6734" w:rsidRDefault="00C613E7" w:rsidP="000E5A10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48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AB4" w:rsidRPr="008A6734" w:rsidRDefault="00C613E7" w:rsidP="000E5A10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36</w:t>
            </w:r>
          </w:p>
        </w:tc>
      </w:tr>
      <w:tr w:rsidR="00D65AB4" w:rsidRPr="004A2A30" w:rsidTr="002C59E7">
        <w:trPr>
          <w:trHeight w:val="7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AB4" w:rsidRPr="008A6734" w:rsidRDefault="00D65AB4" w:rsidP="006277F4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1.4.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AB4" w:rsidRPr="00C85B12" w:rsidRDefault="00D65AB4" w:rsidP="006277F4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Organizēta</w:t>
            </w:r>
            <w:r w:rsidRPr="00C85B12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 starplaboratoriju salīdzināšanas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AB4" w:rsidRPr="008A6734" w:rsidRDefault="00D65AB4" w:rsidP="000E5A10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AB4" w:rsidRPr="008A6734" w:rsidRDefault="00DF603A" w:rsidP="000E5A10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AB4" w:rsidRPr="008A6734" w:rsidRDefault="00DF603A" w:rsidP="000E5A10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</w:t>
            </w:r>
          </w:p>
        </w:tc>
      </w:tr>
      <w:tr w:rsidR="00D65AB4" w:rsidRPr="004A2A30" w:rsidTr="002C59E7">
        <w:trPr>
          <w:trHeight w:val="7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AB4" w:rsidRPr="008A6734" w:rsidRDefault="00D65AB4" w:rsidP="006277F4">
            <w:pPr>
              <w:spacing w:before="40" w:after="40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8A673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  <w:t>2.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AB4" w:rsidRDefault="00D65AB4" w:rsidP="006277F4">
            <w:pPr>
              <w:spacing w:before="40" w:after="40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  <w:t xml:space="preserve">Akreditācijas jomā </w:t>
            </w:r>
          </w:p>
          <w:p w:rsidR="00D65AB4" w:rsidRPr="000D476A" w:rsidRDefault="00D65AB4" w:rsidP="00865B3D">
            <w:pPr>
              <w:spacing w:before="40" w:after="40"/>
              <w:rPr>
                <w:rFonts w:eastAsia="Times New Roman"/>
                <w:bCs/>
                <w:color w:val="000000"/>
                <w:sz w:val="22"/>
                <w:szCs w:val="22"/>
                <w:lang w:eastAsia="lv-LV"/>
              </w:rPr>
            </w:pPr>
            <w:r w:rsidRPr="008D72D7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Nodrošināt</w:t>
            </w:r>
            <w:r w:rsidRPr="000D476A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a vienota,</w:t>
            </w:r>
            <w:r w:rsidRPr="008D72D7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 E</w:t>
            </w:r>
            <w:r w:rsidRPr="000D476A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iropas Savienības atzīta</w:t>
            </w:r>
            <w:r w:rsidRPr="008D72D7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 atbilstības novērtēšanas sistēm</w:t>
            </w:r>
            <w:r w:rsidRPr="000D476A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a un tās atbilstība</w:t>
            </w:r>
            <w:r w:rsidRPr="008D72D7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 Latvijas tautsaimniecības vajadzībām, kas ietver testēšanas, kalibrēšanas laboratoriju, produktu, sistēmu un personāla sertificēšanas institūciju, inspicēšanas institūciju un vides verificēšanu, akreditāciju un uzraudzību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AB4" w:rsidRPr="008A6734" w:rsidRDefault="00D65AB4" w:rsidP="000E5A10">
            <w:pPr>
              <w:spacing w:before="40" w:after="4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8A673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  <w:t>x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AB4" w:rsidRPr="008A6734" w:rsidRDefault="00D65AB4" w:rsidP="000E5A10">
            <w:pPr>
              <w:spacing w:before="40" w:after="4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8A673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  <w:t>x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AB4" w:rsidRPr="008A6734" w:rsidRDefault="00D65AB4" w:rsidP="000E5A10">
            <w:pPr>
              <w:spacing w:before="40" w:after="4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8A673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  <w:t>x</w:t>
            </w:r>
          </w:p>
        </w:tc>
      </w:tr>
      <w:tr w:rsidR="00D65AB4" w:rsidRPr="004A2A30" w:rsidTr="002C59E7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AB4" w:rsidRPr="008A6734" w:rsidRDefault="00D65AB4" w:rsidP="006277F4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A6734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4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AB4" w:rsidRPr="008A6734" w:rsidRDefault="00D65AB4" w:rsidP="006277F4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A6734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Rādītāji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AB4" w:rsidRPr="008A6734" w:rsidRDefault="00D65AB4" w:rsidP="000E5A10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A6734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x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AB4" w:rsidRPr="008A6734" w:rsidRDefault="00D65AB4" w:rsidP="000E5A10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A6734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x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AB4" w:rsidRPr="008A6734" w:rsidRDefault="00D65AB4" w:rsidP="000E5A10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A6734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x</w:t>
            </w:r>
          </w:p>
        </w:tc>
      </w:tr>
      <w:tr w:rsidR="00D65AB4" w:rsidRPr="004A2A30" w:rsidTr="002C59E7">
        <w:trPr>
          <w:trHeight w:val="22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AB4" w:rsidRPr="008A6734" w:rsidRDefault="00D65AB4" w:rsidP="006277F4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A6734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2.1.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AB4" w:rsidRPr="005A0256" w:rsidRDefault="00D65AB4" w:rsidP="005A0256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5A025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Nodrošināts atbilstības novērtēšanas institūciju darbības jomu skaits Eiropas akreditācijas kooperācijas EA Daudzpusējās atzīšanas līguma MLA ietvaros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AB4" w:rsidRPr="006772A2" w:rsidRDefault="00D65AB4" w:rsidP="006772A2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6772A2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AB4" w:rsidRPr="006772A2" w:rsidRDefault="0002108C" w:rsidP="006772A2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6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AB4" w:rsidRPr="006772A2" w:rsidRDefault="0002108C" w:rsidP="006772A2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7</w:t>
            </w:r>
          </w:p>
        </w:tc>
      </w:tr>
      <w:tr w:rsidR="00D65AB4" w:rsidRPr="004A2A30" w:rsidTr="002C59E7">
        <w:trPr>
          <w:trHeight w:val="29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AB4" w:rsidRPr="008A6734" w:rsidRDefault="00D65AB4" w:rsidP="006277F4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A6734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lastRenderedPageBreak/>
              <w:t>2.2.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AB4" w:rsidRPr="005A0256" w:rsidRDefault="00D65AB4" w:rsidP="005A0256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5A025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Nodrošināta Latvijas nacionālajā akreditācijas sistēmā akreditēto atbilstības novērtēšanas institūciju statusa uzturēšana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AB4" w:rsidRPr="006772A2" w:rsidRDefault="00D65AB4" w:rsidP="00AD2049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6772A2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233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AB4" w:rsidRPr="006772A2" w:rsidRDefault="00142DF1" w:rsidP="006772A2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233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AB4" w:rsidRPr="006772A2" w:rsidRDefault="00142DF1" w:rsidP="006772A2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235</w:t>
            </w:r>
          </w:p>
        </w:tc>
      </w:tr>
      <w:tr w:rsidR="00D65AB4" w:rsidRPr="004A2A30" w:rsidTr="002C59E7">
        <w:trPr>
          <w:trHeight w:val="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AB4" w:rsidRPr="008A6734" w:rsidRDefault="00D65AB4" w:rsidP="006277F4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A6734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2.3.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AB4" w:rsidRPr="005A0256" w:rsidRDefault="00D65AB4" w:rsidP="005A0256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5A025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Organizētas Latvijas Nacionālās akreditācijas padomes sanāksmes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AB4" w:rsidRPr="006772A2" w:rsidRDefault="00D65AB4" w:rsidP="00AD2049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6772A2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AB4" w:rsidRPr="006772A2" w:rsidRDefault="00E0508A" w:rsidP="006772A2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AB4" w:rsidRPr="006772A2" w:rsidRDefault="00E0508A" w:rsidP="006772A2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2</w:t>
            </w:r>
          </w:p>
        </w:tc>
      </w:tr>
      <w:tr w:rsidR="00D65AB4" w:rsidRPr="004A2A30" w:rsidTr="002C59E7">
        <w:trPr>
          <w:trHeight w:val="7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AB4" w:rsidRPr="008A6734" w:rsidRDefault="00D65AB4" w:rsidP="006277F4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A6734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2.4.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AB4" w:rsidRPr="005A0256" w:rsidRDefault="00D65AB4" w:rsidP="00976F5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Nodrošināta sadarbība </w:t>
            </w:r>
            <w:r w:rsidRPr="005A025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ar citu valstu nacionālajām akreditācijas institūcijām (kopīgo pasākumu skaits)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AB4" w:rsidRPr="006772A2" w:rsidRDefault="00D65AB4" w:rsidP="00AD2049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6772A2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AB4" w:rsidRPr="006772A2" w:rsidRDefault="00E0508A" w:rsidP="006772A2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AB4" w:rsidRPr="006772A2" w:rsidRDefault="00E0508A" w:rsidP="006772A2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4</w:t>
            </w:r>
          </w:p>
        </w:tc>
      </w:tr>
      <w:tr w:rsidR="00D65AB4" w:rsidRPr="004A2A30" w:rsidTr="002C59E7">
        <w:trPr>
          <w:trHeight w:val="7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AB4" w:rsidRPr="008A6734" w:rsidRDefault="00D65AB4" w:rsidP="006277F4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2.5.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AB4" w:rsidRPr="005A0256" w:rsidRDefault="00D65AB4" w:rsidP="005A0256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5A025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Apgūtas jaunas akreditācijas jomas atbilstoši klientu pieteikumiem (jauno jomu skaits)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AB4" w:rsidRPr="006772A2" w:rsidRDefault="00D65AB4" w:rsidP="00AD2049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6772A2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AB4" w:rsidRPr="006772A2" w:rsidRDefault="00E0508A" w:rsidP="006772A2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AB4" w:rsidRPr="006772A2" w:rsidRDefault="00E0508A" w:rsidP="006772A2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4</w:t>
            </w:r>
          </w:p>
        </w:tc>
      </w:tr>
      <w:tr w:rsidR="00D65AB4" w:rsidRPr="004A2A30" w:rsidTr="002C59E7">
        <w:trPr>
          <w:trHeight w:val="7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AB4" w:rsidRPr="008A6734" w:rsidRDefault="00D65AB4" w:rsidP="006277F4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2.6.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AB4" w:rsidRPr="005A0256" w:rsidRDefault="00D65AB4" w:rsidP="005A0256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5A025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Organizēti ekspertu mācību semināri (skaits)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AB4" w:rsidRPr="006772A2" w:rsidRDefault="00D65AB4" w:rsidP="00AD2049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6772A2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AB4" w:rsidRPr="006772A2" w:rsidRDefault="00E0508A" w:rsidP="006772A2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17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AB4" w:rsidRPr="006772A2" w:rsidRDefault="00E0508A" w:rsidP="006772A2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6</w:t>
            </w:r>
          </w:p>
        </w:tc>
      </w:tr>
      <w:tr w:rsidR="00D65AB4" w:rsidRPr="004A2A30" w:rsidTr="002C59E7">
        <w:trPr>
          <w:trHeight w:val="7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AB4" w:rsidRPr="008A6734" w:rsidRDefault="00D65AB4" w:rsidP="006277F4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2.7.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AB4" w:rsidRPr="005A0256" w:rsidRDefault="00D65AB4" w:rsidP="005A0256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5A025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Koordinēta starplaboratoriju salīdzinošā testēšana/ prasmes pārbaudes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AB4" w:rsidRPr="006772A2" w:rsidRDefault="00D65AB4" w:rsidP="00AD2049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6772A2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AB4" w:rsidRPr="006772A2" w:rsidRDefault="00E0508A" w:rsidP="006772A2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AB4" w:rsidRPr="006772A2" w:rsidRDefault="00E0508A" w:rsidP="006772A2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4</w:t>
            </w:r>
          </w:p>
        </w:tc>
      </w:tr>
      <w:tr w:rsidR="00D65AB4" w:rsidRPr="004A2A30" w:rsidTr="002C59E7">
        <w:trPr>
          <w:trHeight w:val="7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AB4" w:rsidRPr="003362B3" w:rsidRDefault="00D65AB4" w:rsidP="006277F4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3362B3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2.8.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AB4" w:rsidRPr="003362B3" w:rsidRDefault="00D65AB4" w:rsidP="005A0256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proofErr w:type="spellStart"/>
            <w:r w:rsidRPr="003362B3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Notificēto</w:t>
            </w:r>
            <w:proofErr w:type="spellEnd"/>
            <w:r w:rsidRPr="003362B3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 atbilstības novērtēšanas institūciju statusa uzturēšana atbilstoši klientu pieteikumiem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AB4" w:rsidRPr="003362B3" w:rsidRDefault="00D65AB4" w:rsidP="00AD2049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3362B3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24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AB4" w:rsidRPr="003362B3" w:rsidRDefault="00E0508A" w:rsidP="006772A2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21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AB4" w:rsidRPr="003362B3" w:rsidRDefault="00E0508A" w:rsidP="006772A2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21</w:t>
            </w:r>
          </w:p>
        </w:tc>
      </w:tr>
      <w:tr w:rsidR="00D65AB4" w:rsidRPr="004A2A30" w:rsidTr="002C59E7">
        <w:trPr>
          <w:trHeight w:val="7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AB4" w:rsidRPr="008A6734" w:rsidRDefault="00D65AB4" w:rsidP="006277F4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2.9.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AB4" w:rsidRPr="005A0256" w:rsidRDefault="00D65AB4" w:rsidP="005A0256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5A025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Uzturēt</w:t>
            </w: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s</w:t>
            </w:r>
            <w:r w:rsidRPr="005A025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 EK Akreditācijas un licenzēšanas institūciju foruma (FA</w:t>
            </w: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LB) atzītas institūcijas statuss</w:t>
            </w:r>
            <w:r w:rsidRPr="005A025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 EMAS jomā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AB4" w:rsidRPr="006772A2" w:rsidRDefault="00D65AB4" w:rsidP="00AD2049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ir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AB4" w:rsidRPr="006772A2" w:rsidRDefault="00E0508A" w:rsidP="00146587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ir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AB4" w:rsidRPr="006772A2" w:rsidRDefault="00CB3417" w:rsidP="006772A2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uzturēt</w:t>
            </w:r>
          </w:p>
        </w:tc>
      </w:tr>
      <w:tr w:rsidR="00D65AB4" w:rsidRPr="004A2A30" w:rsidTr="002C59E7">
        <w:trPr>
          <w:trHeight w:val="7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65AB4" w:rsidRPr="00FA6C11" w:rsidRDefault="00D65AB4" w:rsidP="006277F4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FA6C11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2.10.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AB4" w:rsidRPr="005A0256" w:rsidRDefault="00D65AB4" w:rsidP="005A0256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5A025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Uzturēt</w:t>
            </w: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a Latvijas monitoringa sistēma</w:t>
            </w:r>
            <w:r w:rsidRPr="005A025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 Labas laboratoriju prakses (GLP) jomā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AB4" w:rsidRPr="006772A2" w:rsidRDefault="00D65AB4" w:rsidP="00AD2049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ir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AB4" w:rsidRPr="006772A2" w:rsidRDefault="00E0508A" w:rsidP="00146587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ir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AB4" w:rsidRPr="006772A2" w:rsidRDefault="00CB3417" w:rsidP="006772A2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uzturēt</w:t>
            </w:r>
          </w:p>
        </w:tc>
      </w:tr>
      <w:tr w:rsidR="00D65AB4" w:rsidRPr="004A2A30" w:rsidTr="002C59E7">
        <w:trPr>
          <w:trHeight w:val="7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AB4" w:rsidRPr="008A6734" w:rsidRDefault="00D65AB4" w:rsidP="006277F4">
            <w:pPr>
              <w:spacing w:before="40" w:after="40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8A673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  <w:t>3.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AB4" w:rsidRPr="003362B3" w:rsidRDefault="00D65AB4" w:rsidP="006277F4">
            <w:pPr>
              <w:spacing w:before="40" w:after="40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3362B3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  <w:t xml:space="preserve">Standartizācijas jomā </w:t>
            </w:r>
          </w:p>
          <w:p w:rsidR="00D65AB4" w:rsidRPr="003362B3" w:rsidRDefault="00D65AB4" w:rsidP="006277F4">
            <w:pPr>
              <w:spacing w:before="40" w:after="40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3362B3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Nodrošināta standartizācijas sistēmas atbilstība Eiropas un starptautiskajām prasībām, veicot standartu adaptāciju un nacionālo standartu izstrādi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AB4" w:rsidRPr="008A6734" w:rsidRDefault="00D65AB4" w:rsidP="000E5A10">
            <w:pPr>
              <w:spacing w:before="40" w:after="4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8A673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  <w:t>x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AB4" w:rsidRPr="008A6734" w:rsidRDefault="00D65AB4" w:rsidP="000E5A10">
            <w:pPr>
              <w:spacing w:before="40" w:after="4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8A673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  <w:t>x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AB4" w:rsidRPr="008A6734" w:rsidRDefault="00D65AB4" w:rsidP="000E5A10">
            <w:pPr>
              <w:spacing w:before="40" w:after="4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8A673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  <w:t>x</w:t>
            </w:r>
          </w:p>
        </w:tc>
      </w:tr>
      <w:tr w:rsidR="00D65AB4" w:rsidRPr="004A2A30" w:rsidTr="002C59E7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AB4" w:rsidRPr="008A6734" w:rsidRDefault="00D65AB4" w:rsidP="006277F4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A6734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AB4" w:rsidRPr="008A6734" w:rsidRDefault="00D65AB4" w:rsidP="006277F4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A6734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Rādītāji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AB4" w:rsidRPr="008A6734" w:rsidRDefault="00D65AB4" w:rsidP="000E5A10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A6734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x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AB4" w:rsidRPr="008A6734" w:rsidRDefault="00D65AB4" w:rsidP="000E5A10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A6734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x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AB4" w:rsidRPr="008A6734" w:rsidRDefault="00D65AB4" w:rsidP="000E5A10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A6734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x</w:t>
            </w:r>
          </w:p>
        </w:tc>
      </w:tr>
      <w:tr w:rsidR="00D65AB4" w:rsidRPr="004A2A30" w:rsidTr="002C59E7">
        <w:trPr>
          <w:trHeight w:val="272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AB4" w:rsidRPr="008A6734" w:rsidRDefault="00D65AB4" w:rsidP="006277F4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A6734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3.1.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AB4" w:rsidRPr="00675E4C" w:rsidRDefault="00D65AB4" w:rsidP="00675E4C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675E4C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Adaptēto Eiropas standartu skaits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AB4" w:rsidRPr="00675E4C" w:rsidRDefault="00D65AB4" w:rsidP="000F04D1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675E4C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1462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AB4" w:rsidRPr="00675E4C" w:rsidRDefault="00AD5AB8" w:rsidP="00675E4C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1400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AB4" w:rsidRPr="00675E4C" w:rsidRDefault="00AD5AB8" w:rsidP="00675E4C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1300</w:t>
            </w:r>
          </w:p>
        </w:tc>
      </w:tr>
      <w:tr w:rsidR="00D65AB4" w:rsidRPr="004A2A30" w:rsidTr="002C59E7">
        <w:trPr>
          <w:trHeight w:val="7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AB4" w:rsidRPr="008A6734" w:rsidRDefault="00D65AB4" w:rsidP="006277F4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A6734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3.2.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AB4" w:rsidRPr="00675E4C" w:rsidRDefault="00D65AB4" w:rsidP="00675E4C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675E4C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Standartizācijas informācijas abonentu skaits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AB4" w:rsidRPr="00675E4C" w:rsidRDefault="00D65AB4" w:rsidP="000F04D1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675E4C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544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AB4" w:rsidRPr="00675E4C" w:rsidRDefault="00BE2EC9" w:rsidP="00675E4C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55</w:t>
            </w:r>
            <w:r w:rsidR="00AD5AB8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AB4" w:rsidRPr="00675E4C" w:rsidRDefault="00AD5AB8" w:rsidP="00675E4C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550</w:t>
            </w:r>
          </w:p>
        </w:tc>
      </w:tr>
      <w:tr w:rsidR="00D65AB4" w:rsidRPr="004A2A30" w:rsidTr="002C59E7">
        <w:trPr>
          <w:trHeight w:val="7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AB4" w:rsidRPr="008A6734" w:rsidRDefault="00D65AB4" w:rsidP="006277F4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A6734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3.3.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AB4" w:rsidRPr="00675E4C" w:rsidRDefault="00D65AB4" w:rsidP="00675E4C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675E4C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Latvijas pārstāvniecība Eiropas un starptautiskajās standartizācijas institūcijās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AB4" w:rsidRPr="00675E4C" w:rsidRDefault="00D65AB4" w:rsidP="000F04D1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675E4C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AB4" w:rsidRPr="00675E4C" w:rsidRDefault="00AD5AB8" w:rsidP="00675E4C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AB4" w:rsidRPr="00675E4C" w:rsidRDefault="00AD5AB8" w:rsidP="00675E4C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4</w:t>
            </w:r>
          </w:p>
        </w:tc>
      </w:tr>
    </w:tbl>
    <w:p w:rsidR="000A087D" w:rsidRDefault="000A087D" w:rsidP="00BB408A">
      <w:pPr>
        <w:pStyle w:val="ListParagraph"/>
        <w:ind w:left="0"/>
        <w:jc w:val="center"/>
        <w:rPr>
          <w:rFonts w:eastAsia="Times New Roman"/>
          <w:b/>
          <w:bCs/>
          <w:color w:val="000000"/>
          <w:szCs w:val="26"/>
          <w:lang w:eastAsia="zh-CN"/>
        </w:rPr>
      </w:pPr>
    </w:p>
    <w:p w:rsidR="000A087D" w:rsidRPr="00DC2D92" w:rsidRDefault="000A087D" w:rsidP="00BB408A">
      <w:pPr>
        <w:pStyle w:val="ListParagraph"/>
        <w:ind w:left="0"/>
        <w:jc w:val="center"/>
        <w:rPr>
          <w:rFonts w:eastAsia="Times New Roman"/>
          <w:b/>
          <w:bCs/>
          <w:color w:val="000000"/>
          <w:szCs w:val="26"/>
          <w:lang w:eastAsia="zh-CN"/>
        </w:rPr>
      </w:pPr>
    </w:p>
    <w:p w:rsidR="00590089" w:rsidRDefault="00590089" w:rsidP="00FC7EAF">
      <w:pPr>
        <w:pStyle w:val="ListParagraph"/>
        <w:ind w:left="0"/>
        <w:contextualSpacing w:val="0"/>
        <w:jc w:val="center"/>
        <w:rPr>
          <w:rFonts w:eastAsia="Times New Roman"/>
          <w:b/>
          <w:bCs/>
          <w:color w:val="000000"/>
          <w:szCs w:val="26"/>
          <w:lang w:eastAsia="zh-CN"/>
        </w:rPr>
      </w:pPr>
      <w:r>
        <w:rPr>
          <w:rFonts w:eastAsia="Times New Roman"/>
          <w:b/>
          <w:bCs/>
          <w:color w:val="000000"/>
          <w:szCs w:val="26"/>
          <w:lang w:eastAsia="zh-CN"/>
        </w:rPr>
        <w:t>Kapitālsabiedrības</w:t>
      </w:r>
      <w:r w:rsidRPr="00BB408A">
        <w:rPr>
          <w:rFonts w:eastAsia="Times New Roman"/>
          <w:b/>
          <w:bCs/>
          <w:color w:val="000000"/>
          <w:szCs w:val="26"/>
          <w:lang w:eastAsia="zh-CN"/>
        </w:rPr>
        <w:t xml:space="preserve"> darbību raksturojoš</w:t>
      </w:r>
      <w:r>
        <w:rPr>
          <w:rFonts w:eastAsia="Times New Roman"/>
          <w:b/>
          <w:bCs/>
          <w:color w:val="000000"/>
          <w:szCs w:val="26"/>
          <w:lang w:eastAsia="zh-CN"/>
        </w:rPr>
        <w:t>ie</w:t>
      </w:r>
      <w:r w:rsidRPr="00BB408A">
        <w:rPr>
          <w:rFonts w:eastAsia="Times New Roman"/>
          <w:b/>
          <w:bCs/>
          <w:color w:val="000000"/>
          <w:szCs w:val="26"/>
          <w:lang w:eastAsia="zh-CN"/>
        </w:rPr>
        <w:t xml:space="preserve"> rādītāj</w:t>
      </w:r>
      <w:r>
        <w:rPr>
          <w:rFonts w:eastAsia="Times New Roman"/>
          <w:b/>
          <w:bCs/>
          <w:color w:val="000000"/>
          <w:szCs w:val="26"/>
          <w:lang w:eastAsia="zh-CN"/>
        </w:rPr>
        <w:t>i</w:t>
      </w:r>
    </w:p>
    <w:p w:rsidR="00590089" w:rsidRDefault="00001978" w:rsidP="00590089">
      <w:pPr>
        <w:pStyle w:val="ListParagraph"/>
        <w:spacing w:after="120"/>
        <w:ind w:left="0"/>
        <w:contextualSpacing w:val="0"/>
        <w:rPr>
          <w:rFonts w:eastAsia="Times New Roman"/>
          <w:i/>
          <w:iCs/>
          <w:color w:val="000000"/>
          <w:sz w:val="20"/>
          <w:szCs w:val="20"/>
          <w:lang w:eastAsia="zh-CN"/>
        </w:rPr>
      </w:pPr>
      <w:r>
        <w:rPr>
          <w:rFonts w:eastAsia="Times New Roman"/>
          <w:i/>
          <w:iCs/>
          <w:color w:val="000000"/>
          <w:sz w:val="20"/>
          <w:szCs w:val="20"/>
          <w:lang w:eastAsia="zh-CN"/>
        </w:rPr>
        <w:t>l</w:t>
      </w:r>
      <w:r w:rsidR="00590089" w:rsidRPr="00924496">
        <w:rPr>
          <w:rFonts w:eastAsia="Times New Roman"/>
          <w:i/>
          <w:iCs/>
          <w:color w:val="000000"/>
          <w:sz w:val="20"/>
          <w:szCs w:val="20"/>
          <w:lang w:eastAsia="zh-CN"/>
        </w:rPr>
        <w:t>at</w:t>
      </w:r>
      <w:r w:rsidR="00590089">
        <w:rPr>
          <w:rFonts w:eastAsia="Times New Roman"/>
          <w:i/>
          <w:iCs/>
          <w:color w:val="000000"/>
          <w:sz w:val="20"/>
          <w:szCs w:val="20"/>
          <w:lang w:eastAsia="zh-CN"/>
        </w:rPr>
        <w:t>os</w:t>
      </w:r>
    </w:p>
    <w:tbl>
      <w:tblPr>
        <w:tblW w:w="9151" w:type="dxa"/>
        <w:tblLook w:val="04A0" w:firstRow="1" w:lastRow="0" w:firstColumn="1" w:lastColumn="0" w:noHBand="0" w:noVBand="1"/>
      </w:tblPr>
      <w:tblGrid>
        <w:gridCol w:w="656"/>
        <w:gridCol w:w="4220"/>
        <w:gridCol w:w="1405"/>
        <w:gridCol w:w="1428"/>
        <w:gridCol w:w="1442"/>
      </w:tblGrid>
      <w:tr w:rsidR="00C15B62" w:rsidRPr="008A2292" w:rsidTr="00001978">
        <w:trPr>
          <w:trHeight w:val="864"/>
          <w:tblHeader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C15B62" w:rsidRDefault="00C15B62" w:rsidP="00FC7EAF">
            <w:pPr>
              <w:spacing w:before="40" w:after="4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proofErr w:type="spellStart"/>
            <w:r w:rsidRPr="008A22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Nr</w:t>
            </w:r>
            <w:proofErr w:type="spellEnd"/>
            <w:r w:rsidRPr="008A22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.</w:t>
            </w:r>
          </w:p>
          <w:p w:rsidR="00C15B62" w:rsidRPr="008A2292" w:rsidRDefault="00C15B62" w:rsidP="00FC7EAF">
            <w:pPr>
              <w:spacing w:before="40" w:after="4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p/k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C15B62" w:rsidRPr="008A2292" w:rsidRDefault="00C15B62" w:rsidP="00FC7EAF">
            <w:pPr>
              <w:spacing w:before="40" w:after="4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Rādītāji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C15B62" w:rsidRPr="008A2292" w:rsidRDefault="00C15B62" w:rsidP="00FC7EAF">
            <w:pPr>
              <w:spacing w:before="40" w:after="4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2012</w:t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.</w:t>
            </w:r>
            <w:r w:rsidRPr="008A22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gada izpilde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C15B62" w:rsidRPr="004A2A30" w:rsidRDefault="00C15B62" w:rsidP="00FC7EAF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2013.gada provizoriskā izpilde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C15B62" w:rsidRPr="00233454" w:rsidRDefault="00C15B62" w:rsidP="00FC7EAF">
            <w:pPr>
              <w:spacing w:before="40" w:after="4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23345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2014.gada plāns </w:t>
            </w:r>
          </w:p>
        </w:tc>
      </w:tr>
      <w:tr w:rsidR="005D499C" w:rsidRPr="00624578" w:rsidTr="00C15B62">
        <w:trPr>
          <w:trHeight w:val="330"/>
          <w:tblHeader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99C" w:rsidRPr="00624578" w:rsidRDefault="005D499C" w:rsidP="00624578">
            <w:pPr>
              <w:spacing w:before="40" w:after="40"/>
              <w:jc w:val="center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99C" w:rsidRPr="00624578" w:rsidRDefault="005D499C" w:rsidP="00624578">
            <w:pPr>
              <w:spacing w:before="40" w:after="40"/>
              <w:jc w:val="center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 w:rsidRPr="00624578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99C" w:rsidRPr="00624578" w:rsidRDefault="005D499C" w:rsidP="00624578">
            <w:pPr>
              <w:spacing w:before="40" w:after="40"/>
              <w:jc w:val="center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 w:rsidRPr="00624578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99C" w:rsidRPr="00624578" w:rsidRDefault="005D499C" w:rsidP="00624578">
            <w:pPr>
              <w:spacing w:before="40" w:after="40"/>
              <w:jc w:val="center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 w:rsidRPr="00624578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99C" w:rsidRPr="00624578" w:rsidRDefault="005D499C" w:rsidP="00624578">
            <w:pPr>
              <w:spacing w:before="40" w:after="40"/>
              <w:jc w:val="center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 w:rsidRPr="00624578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4</w:t>
            </w:r>
          </w:p>
        </w:tc>
      </w:tr>
      <w:tr w:rsidR="00632003" w:rsidRPr="008A2292" w:rsidTr="00C15B62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32003" w:rsidRPr="008A2292" w:rsidRDefault="00632003" w:rsidP="00624578">
            <w:pPr>
              <w:spacing w:before="40" w:after="40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lastRenderedPageBreak/>
              <w:t>1.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32003" w:rsidRPr="008A2292" w:rsidRDefault="00632003" w:rsidP="00624578">
            <w:pPr>
              <w:spacing w:before="40" w:after="40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No valsts budžeta saņemtās subsīdijas un dotācijas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632003" w:rsidRPr="008A2292" w:rsidRDefault="00632003" w:rsidP="001E6402">
            <w:pPr>
              <w:spacing w:before="40" w:after="40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264 354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632003" w:rsidRPr="008A2292" w:rsidRDefault="00632003" w:rsidP="00146587">
            <w:pPr>
              <w:spacing w:before="40" w:after="40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270 067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632003" w:rsidRPr="008A2292" w:rsidRDefault="00632003" w:rsidP="003E2787">
            <w:pPr>
              <w:spacing w:before="40" w:after="40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328 238</w:t>
            </w:r>
          </w:p>
        </w:tc>
      </w:tr>
      <w:tr w:rsidR="00632003" w:rsidRPr="0075278A" w:rsidTr="00C15B6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003" w:rsidRPr="0075278A" w:rsidRDefault="00632003" w:rsidP="00624578">
            <w:pPr>
              <w:spacing w:before="40" w:after="40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  <w:r w:rsidRPr="0075278A">
              <w:rPr>
                <w:rFonts w:eastAsia="Times New Roman"/>
                <w:color w:val="000000"/>
                <w:sz w:val="12"/>
                <w:szCs w:val="12"/>
                <w:lang w:eastAsia="zh-CN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003" w:rsidRPr="0075278A" w:rsidRDefault="00632003" w:rsidP="00624578">
            <w:pPr>
              <w:spacing w:before="40" w:after="40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  <w:r w:rsidRPr="0075278A">
              <w:rPr>
                <w:rFonts w:eastAsia="Times New Roman"/>
                <w:color w:val="000000"/>
                <w:sz w:val="12"/>
                <w:szCs w:val="12"/>
                <w:lang w:eastAsia="zh-CN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003" w:rsidRPr="0075278A" w:rsidRDefault="00632003" w:rsidP="003E2787">
            <w:pPr>
              <w:spacing w:before="40" w:after="40"/>
              <w:jc w:val="right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003" w:rsidRPr="0075278A" w:rsidRDefault="00632003" w:rsidP="003E2787">
            <w:pPr>
              <w:spacing w:before="40" w:after="40"/>
              <w:jc w:val="right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003" w:rsidRPr="0075278A" w:rsidRDefault="00632003" w:rsidP="003E2787">
            <w:pPr>
              <w:spacing w:before="40" w:after="40"/>
              <w:jc w:val="right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</w:p>
        </w:tc>
      </w:tr>
      <w:tr w:rsidR="00632003" w:rsidRPr="008A2292" w:rsidTr="00FB6298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32003" w:rsidRPr="008A2292" w:rsidRDefault="00632003" w:rsidP="00624578">
            <w:pPr>
              <w:spacing w:before="40" w:after="40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2.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32003" w:rsidRPr="008A2292" w:rsidRDefault="00632003" w:rsidP="00624578">
            <w:pPr>
              <w:spacing w:before="40" w:after="40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Bilances radītāji (uz gada beigām)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32003" w:rsidRPr="008A2292" w:rsidRDefault="00632003" w:rsidP="003E2787">
            <w:pPr>
              <w:spacing w:before="40" w:after="4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A2292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32003" w:rsidRPr="008A2292" w:rsidRDefault="00632003" w:rsidP="003E2787">
            <w:pPr>
              <w:spacing w:before="40" w:after="4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A2292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32003" w:rsidRPr="008A2292" w:rsidRDefault="00632003" w:rsidP="003E2787">
            <w:pPr>
              <w:spacing w:before="40" w:after="4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A2292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</w:tr>
      <w:tr w:rsidR="00632003" w:rsidRPr="008A2292" w:rsidTr="00FB6298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003" w:rsidRPr="008A2292" w:rsidRDefault="00632003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2.1.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003" w:rsidRPr="008A2292" w:rsidRDefault="00632003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Aktīvi kopā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003" w:rsidRPr="008A2292" w:rsidRDefault="00632003" w:rsidP="00564C1F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296 957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003" w:rsidRPr="008A2292" w:rsidRDefault="000C72DF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280 300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003" w:rsidRPr="008A2292" w:rsidRDefault="007315F8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290 100</w:t>
            </w:r>
          </w:p>
        </w:tc>
      </w:tr>
      <w:tr w:rsidR="00632003" w:rsidRPr="008A2292" w:rsidTr="00C15B6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003" w:rsidRPr="008A2292" w:rsidRDefault="00632003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2.2.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003" w:rsidRPr="008A2292" w:rsidRDefault="00632003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Pašu kapitāls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003" w:rsidRPr="008A2292" w:rsidRDefault="00632003" w:rsidP="004B0F4F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197 074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003" w:rsidRPr="008A2292" w:rsidRDefault="000C72DF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173 511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003" w:rsidRPr="008A2292" w:rsidRDefault="007315F8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155 591</w:t>
            </w:r>
          </w:p>
        </w:tc>
      </w:tr>
      <w:tr w:rsidR="00632003" w:rsidRPr="00A9461E" w:rsidTr="00C15B6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003" w:rsidRPr="00A9461E" w:rsidRDefault="00632003" w:rsidP="00624578">
            <w:pPr>
              <w:spacing w:before="40" w:after="40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A9461E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003" w:rsidRPr="00A9461E" w:rsidRDefault="00632003" w:rsidP="00624578">
            <w:pPr>
              <w:spacing w:before="40" w:after="40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A9461E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zh-CN"/>
              </w:rPr>
              <w:t>tai skaitā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003" w:rsidRPr="00A9461E" w:rsidRDefault="00632003" w:rsidP="003E2787">
            <w:pPr>
              <w:spacing w:before="40" w:after="4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9461E">
              <w:rPr>
                <w:i/>
                <w:i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003" w:rsidRPr="00A9461E" w:rsidRDefault="00632003" w:rsidP="003E2787">
            <w:pPr>
              <w:spacing w:before="40" w:after="4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9461E">
              <w:rPr>
                <w:i/>
                <w:i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003" w:rsidRPr="00A9461E" w:rsidRDefault="00632003" w:rsidP="003E2787">
            <w:pPr>
              <w:spacing w:before="40" w:after="4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9461E">
              <w:rPr>
                <w:i/>
                <w:iCs/>
                <w:color w:val="000000"/>
                <w:sz w:val="20"/>
                <w:szCs w:val="20"/>
              </w:rPr>
              <w:t>x</w:t>
            </w:r>
          </w:p>
        </w:tc>
      </w:tr>
      <w:tr w:rsidR="00632003" w:rsidRPr="008A2292" w:rsidTr="00C15B6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003" w:rsidRPr="008A2292" w:rsidRDefault="00632003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2.3.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003" w:rsidRPr="008A2292" w:rsidRDefault="00632003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pamatkapitāls (akciju kapitāls)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003" w:rsidRPr="008A2292" w:rsidRDefault="00632003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114 505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003" w:rsidRPr="008A2292" w:rsidRDefault="000C72DF" w:rsidP="001465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114 505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003" w:rsidRPr="008A2292" w:rsidRDefault="000C72DF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114 505</w:t>
            </w:r>
          </w:p>
        </w:tc>
      </w:tr>
      <w:tr w:rsidR="00632003" w:rsidRPr="00A9461E" w:rsidTr="00C15B6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003" w:rsidRPr="00A9461E" w:rsidRDefault="00632003" w:rsidP="00624578">
            <w:pPr>
              <w:spacing w:before="40" w:after="40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 w:rsidRPr="00A9461E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003" w:rsidRPr="00A9461E" w:rsidRDefault="00632003" w:rsidP="00624578">
            <w:pPr>
              <w:spacing w:before="40" w:after="40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A9461E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zh-CN"/>
              </w:rPr>
              <w:t>tai skaitā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003" w:rsidRPr="00A9461E" w:rsidRDefault="00632003" w:rsidP="003E2787">
            <w:pPr>
              <w:spacing w:before="40" w:after="4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9461E">
              <w:rPr>
                <w:i/>
                <w:i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003" w:rsidRPr="00A9461E" w:rsidRDefault="00632003" w:rsidP="003E2787">
            <w:pPr>
              <w:spacing w:before="40" w:after="4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9461E">
              <w:rPr>
                <w:i/>
                <w:i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003" w:rsidRPr="00A9461E" w:rsidRDefault="00632003" w:rsidP="003E2787">
            <w:pPr>
              <w:spacing w:before="40" w:after="4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9461E">
              <w:rPr>
                <w:i/>
                <w:iCs/>
                <w:color w:val="000000"/>
                <w:sz w:val="20"/>
                <w:szCs w:val="20"/>
              </w:rPr>
              <w:t>x</w:t>
            </w:r>
          </w:p>
        </w:tc>
      </w:tr>
      <w:tr w:rsidR="000C72DF" w:rsidRPr="008A2292" w:rsidTr="00FB6298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F" w:rsidRPr="008A2292" w:rsidRDefault="000C72DF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2.4.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F" w:rsidRPr="008A2292" w:rsidRDefault="000C72DF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valsts kapitāls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2DF" w:rsidRPr="008A2292" w:rsidRDefault="000C72DF" w:rsidP="00FC7EAF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114 505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2DF" w:rsidRPr="008A2292" w:rsidRDefault="000C72DF" w:rsidP="00FC7EAF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114 505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2DF" w:rsidRPr="008A2292" w:rsidRDefault="000C72DF" w:rsidP="00FC7EAF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114 505</w:t>
            </w:r>
          </w:p>
        </w:tc>
      </w:tr>
      <w:tr w:rsidR="00632003" w:rsidRPr="008A2292" w:rsidTr="00C15B6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003" w:rsidRPr="008A2292" w:rsidRDefault="00632003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2.5.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003" w:rsidRPr="008A2292" w:rsidRDefault="00632003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Nauda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003" w:rsidRPr="008A2292" w:rsidRDefault="00632003" w:rsidP="00885925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189 306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003" w:rsidRPr="008A2292" w:rsidRDefault="00480754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95 610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003" w:rsidRPr="008A2292" w:rsidRDefault="00480754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14 500</w:t>
            </w:r>
          </w:p>
        </w:tc>
      </w:tr>
      <w:tr w:rsidR="00632003" w:rsidRPr="0075278A" w:rsidTr="00C15B6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003" w:rsidRPr="0075278A" w:rsidRDefault="00632003" w:rsidP="00624578">
            <w:pPr>
              <w:spacing w:before="40" w:after="40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  <w:r w:rsidRPr="0075278A">
              <w:rPr>
                <w:rFonts w:eastAsia="Times New Roman"/>
                <w:color w:val="000000"/>
                <w:sz w:val="12"/>
                <w:szCs w:val="12"/>
                <w:lang w:eastAsia="zh-CN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003" w:rsidRPr="0075278A" w:rsidRDefault="00632003" w:rsidP="00624578">
            <w:pPr>
              <w:spacing w:before="40" w:after="40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  <w:r w:rsidRPr="0075278A">
              <w:rPr>
                <w:rFonts w:eastAsia="Times New Roman"/>
                <w:color w:val="000000"/>
                <w:sz w:val="12"/>
                <w:szCs w:val="12"/>
                <w:lang w:eastAsia="zh-CN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003" w:rsidRPr="0075278A" w:rsidRDefault="00632003" w:rsidP="003E2787">
            <w:pPr>
              <w:spacing w:before="40" w:after="40"/>
              <w:jc w:val="right"/>
              <w:rPr>
                <w:color w:val="000000"/>
                <w:sz w:val="12"/>
                <w:szCs w:val="12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003" w:rsidRPr="0075278A" w:rsidRDefault="00632003" w:rsidP="003E2787">
            <w:pPr>
              <w:spacing w:before="40" w:after="40"/>
              <w:jc w:val="right"/>
              <w:rPr>
                <w:color w:val="000000"/>
                <w:sz w:val="12"/>
                <w:szCs w:val="12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003" w:rsidRPr="0075278A" w:rsidRDefault="00632003" w:rsidP="003E2787">
            <w:pPr>
              <w:spacing w:before="40" w:after="40"/>
              <w:jc w:val="right"/>
              <w:rPr>
                <w:color w:val="000000"/>
                <w:sz w:val="12"/>
                <w:szCs w:val="12"/>
              </w:rPr>
            </w:pPr>
          </w:p>
        </w:tc>
      </w:tr>
      <w:tr w:rsidR="00632003" w:rsidRPr="008A2292" w:rsidTr="00FB6298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32003" w:rsidRPr="008A2292" w:rsidRDefault="00632003" w:rsidP="00624578">
            <w:pPr>
              <w:spacing w:before="40" w:after="40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3.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32003" w:rsidRPr="008A2292" w:rsidRDefault="00632003" w:rsidP="00624578">
            <w:pPr>
              <w:spacing w:before="40" w:after="40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PZA radītāji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32003" w:rsidRPr="008A2292" w:rsidRDefault="00632003" w:rsidP="003E2787">
            <w:pPr>
              <w:spacing w:before="40" w:after="4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A2292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32003" w:rsidRPr="008A2292" w:rsidRDefault="00632003" w:rsidP="003E2787">
            <w:pPr>
              <w:spacing w:before="40" w:after="4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A2292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32003" w:rsidRPr="008A2292" w:rsidRDefault="00632003" w:rsidP="003E2787">
            <w:pPr>
              <w:spacing w:before="40" w:after="4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A2292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</w:tr>
      <w:tr w:rsidR="00632003" w:rsidRPr="008A2292" w:rsidTr="00FB6298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003" w:rsidRPr="008A2292" w:rsidRDefault="00632003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3.1.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003" w:rsidRPr="008A2292" w:rsidRDefault="00632003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Ieņēmumi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003" w:rsidRPr="008A2292" w:rsidRDefault="00632003" w:rsidP="007D0C00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605 065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003" w:rsidRPr="008A2292" w:rsidRDefault="00E7188A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650 329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003" w:rsidRPr="008A2292" w:rsidRDefault="00E7188A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762 038</w:t>
            </w:r>
          </w:p>
        </w:tc>
      </w:tr>
      <w:tr w:rsidR="00632003" w:rsidRPr="00A9461E" w:rsidTr="00C15B6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003" w:rsidRPr="00A9461E" w:rsidRDefault="00632003" w:rsidP="00624578">
            <w:pPr>
              <w:spacing w:before="40" w:after="40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A9461E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003" w:rsidRPr="00A9461E" w:rsidRDefault="00632003" w:rsidP="00624578">
            <w:pPr>
              <w:spacing w:before="40" w:after="40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A9461E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zh-CN"/>
              </w:rPr>
              <w:t>tai skaitā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003" w:rsidRPr="00A9461E" w:rsidRDefault="00632003" w:rsidP="003E2787">
            <w:pPr>
              <w:spacing w:before="40" w:after="4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9461E">
              <w:rPr>
                <w:i/>
                <w:i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003" w:rsidRPr="00A9461E" w:rsidRDefault="00632003" w:rsidP="003E2787">
            <w:pPr>
              <w:spacing w:before="40" w:after="4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9461E">
              <w:rPr>
                <w:i/>
                <w:i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003" w:rsidRPr="00A9461E" w:rsidRDefault="00632003" w:rsidP="003E2787">
            <w:pPr>
              <w:spacing w:before="40" w:after="4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9461E">
              <w:rPr>
                <w:i/>
                <w:iCs/>
                <w:color w:val="000000"/>
                <w:sz w:val="20"/>
                <w:szCs w:val="20"/>
              </w:rPr>
              <w:t>x</w:t>
            </w:r>
          </w:p>
        </w:tc>
      </w:tr>
      <w:tr w:rsidR="00632003" w:rsidRPr="008A2292" w:rsidTr="00C15B6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003" w:rsidRPr="008A2292" w:rsidRDefault="00632003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3.2.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003" w:rsidRPr="008A2292" w:rsidRDefault="00632003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Apgrozījums</w:t>
            </w: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AF5020">
              <w:rPr>
                <w:rFonts w:eastAsia="Times New Roman"/>
                <w:i/>
                <w:color w:val="000000"/>
                <w:sz w:val="22"/>
                <w:szCs w:val="22"/>
                <w:lang w:eastAsia="zh-CN"/>
              </w:rPr>
              <w:t>(maksas pakalpojumi)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003" w:rsidRPr="008A2292" w:rsidRDefault="00632003" w:rsidP="00F443E1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310 444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003" w:rsidRPr="008A2292" w:rsidRDefault="009512B3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340 086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003" w:rsidRPr="008A2292" w:rsidRDefault="00FE7154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433 800</w:t>
            </w:r>
          </w:p>
        </w:tc>
      </w:tr>
      <w:tr w:rsidR="00632003" w:rsidRPr="00AF5020" w:rsidTr="00C15B6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003" w:rsidRPr="00AF5020" w:rsidRDefault="00632003" w:rsidP="00624578">
            <w:pPr>
              <w:spacing w:before="40" w:after="40"/>
              <w:rPr>
                <w:rFonts w:eastAsia="Times New Roman"/>
                <w:i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003" w:rsidRPr="00AF5020" w:rsidRDefault="00632003" w:rsidP="00624578">
            <w:pPr>
              <w:spacing w:before="40" w:after="40"/>
              <w:rPr>
                <w:rFonts w:eastAsia="Times New Roman"/>
                <w:i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i/>
                <w:color w:val="000000"/>
                <w:sz w:val="22"/>
                <w:szCs w:val="22"/>
                <w:lang w:eastAsia="zh-CN"/>
              </w:rPr>
              <w:t>Ieņēmumi (dotācija)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003" w:rsidRPr="00AF5020" w:rsidRDefault="00632003" w:rsidP="00F443E1">
            <w:pPr>
              <w:spacing w:before="40" w:after="40"/>
              <w:jc w:val="right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264 354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003" w:rsidRPr="00AF5020" w:rsidRDefault="009512B3" w:rsidP="003E2787">
            <w:pPr>
              <w:spacing w:before="40" w:after="40"/>
              <w:jc w:val="right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270 067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003" w:rsidRPr="00AF5020" w:rsidRDefault="00FE7154" w:rsidP="003E2787">
            <w:pPr>
              <w:spacing w:before="40" w:after="40"/>
              <w:jc w:val="right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328 238</w:t>
            </w:r>
          </w:p>
        </w:tc>
      </w:tr>
      <w:tr w:rsidR="00632003" w:rsidRPr="008A2292" w:rsidTr="00C15B6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003" w:rsidRPr="008A2292" w:rsidRDefault="00632003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3.3.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003" w:rsidRPr="008A2292" w:rsidRDefault="00632003" w:rsidP="00D90F91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Pārējie ieņēmumi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003" w:rsidRPr="008A2292" w:rsidRDefault="00632003" w:rsidP="00F443E1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30 267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003" w:rsidRPr="008A2292" w:rsidRDefault="009512B3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003" w:rsidRPr="008A2292" w:rsidRDefault="00FE7154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D90F91" w:rsidRPr="008A2292" w:rsidTr="00C15B6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F91" w:rsidRPr="008A2292" w:rsidRDefault="00D90F91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F91" w:rsidRPr="008A2292" w:rsidRDefault="00D90F91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i/>
                <w:color w:val="000000"/>
                <w:sz w:val="22"/>
                <w:szCs w:val="22"/>
                <w:lang w:eastAsia="zh-CN"/>
              </w:rPr>
              <w:t xml:space="preserve">ES </w:t>
            </w:r>
            <w:proofErr w:type="spellStart"/>
            <w:r>
              <w:rPr>
                <w:rFonts w:eastAsia="Times New Roman"/>
                <w:i/>
                <w:color w:val="000000"/>
                <w:sz w:val="22"/>
                <w:szCs w:val="22"/>
                <w:lang w:eastAsia="zh-CN"/>
              </w:rPr>
              <w:t>Twinning</w:t>
            </w:r>
            <w:proofErr w:type="spellEnd"/>
            <w:r>
              <w:rPr>
                <w:rFonts w:eastAsia="Times New Roman"/>
                <w:i/>
                <w:color w:val="000000"/>
                <w:sz w:val="22"/>
                <w:szCs w:val="22"/>
                <w:lang w:eastAsia="zh-CN"/>
              </w:rPr>
              <w:t xml:space="preserve"> projekts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F91" w:rsidRDefault="00D90F91" w:rsidP="00F443E1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F91" w:rsidRPr="008A2292" w:rsidRDefault="009512B3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40 026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F91" w:rsidRPr="008A2292" w:rsidRDefault="00FE7154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632003" w:rsidRPr="0075278A" w:rsidTr="00FC7EAF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003" w:rsidRPr="0075278A" w:rsidRDefault="00632003" w:rsidP="00FC7EAF">
            <w:pPr>
              <w:spacing w:before="40" w:after="40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  <w:r w:rsidRPr="0075278A">
              <w:rPr>
                <w:rFonts w:eastAsia="Times New Roman"/>
                <w:color w:val="000000"/>
                <w:sz w:val="12"/>
                <w:szCs w:val="12"/>
                <w:lang w:eastAsia="zh-CN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003" w:rsidRPr="0075278A" w:rsidRDefault="00632003" w:rsidP="00FC7EAF">
            <w:pPr>
              <w:spacing w:before="40" w:after="40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  <w:r w:rsidRPr="0075278A">
              <w:rPr>
                <w:rFonts w:eastAsia="Times New Roman"/>
                <w:color w:val="000000"/>
                <w:sz w:val="12"/>
                <w:szCs w:val="12"/>
                <w:lang w:eastAsia="zh-CN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003" w:rsidRPr="0075278A" w:rsidRDefault="00632003" w:rsidP="00FC7EAF">
            <w:pPr>
              <w:spacing w:before="40" w:after="40"/>
              <w:jc w:val="right"/>
              <w:rPr>
                <w:color w:val="000000"/>
                <w:sz w:val="12"/>
                <w:szCs w:val="12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003" w:rsidRPr="0075278A" w:rsidRDefault="00632003" w:rsidP="00FC7EAF">
            <w:pPr>
              <w:spacing w:before="40" w:after="40"/>
              <w:jc w:val="right"/>
              <w:rPr>
                <w:color w:val="000000"/>
                <w:sz w:val="12"/>
                <w:szCs w:val="12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003" w:rsidRPr="0075278A" w:rsidRDefault="00632003" w:rsidP="00FC7EAF">
            <w:pPr>
              <w:spacing w:before="40" w:after="40"/>
              <w:jc w:val="right"/>
              <w:rPr>
                <w:color w:val="000000"/>
                <w:sz w:val="12"/>
                <w:szCs w:val="12"/>
              </w:rPr>
            </w:pPr>
          </w:p>
        </w:tc>
      </w:tr>
      <w:tr w:rsidR="00632003" w:rsidRPr="008A2292" w:rsidTr="00FB6298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003" w:rsidRPr="008A2292" w:rsidRDefault="00632003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3.4.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003" w:rsidRPr="008A2292" w:rsidRDefault="00632003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Izmaksas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003" w:rsidRPr="008A2292" w:rsidRDefault="00632003" w:rsidP="006E5282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590 322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003" w:rsidRPr="008A2292" w:rsidRDefault="009512B3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673 892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003" w:rsidRPr="008A2292" w:rsidRDefault="00FE7154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779 958</w:t>
            </w:r>
          </w:p>
        </w:tc>
      </w:tr>
      <w:tr w:rsidR="00632003" w:rsidRPr="00A9461E" w:rsidTr="00C15B6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003" w:rsidRPr="00A9461E" w:rsidRDefault="00632003" w:rsidP="00624578">
            <w:pPr>
              <w:spacing w:before="40" w:after="40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A9461E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003" w:rsidRPr="00A9461E" w:rsidRDefault="00632003" w:rsidP="00624578">
            <w:pPr>
              <w:spacing w:before="40" w:after="40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A9461E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zh-CN"/>
              </w:rPr>
              <w:t>tai skaitā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003" w:rsidRPr="00A9461E" w:rsidRDefault="00632003" w:rsidP="003E2787">
            <w:pPr>
              <w:spacing w:before="40" w:after="4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9461E">
              <w:rPr>
                <w:i/>
                <w:i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003" w:rsidRPr="00A9461E" w:rsidRDefault="00632003" w:rsidP="003E2787">
            <w:pPr>
              <w:spacing w:before="40" w:after="4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9461E">
              <w:rPr>
                <w:i/>
                <w:i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003" w:rsidRPr="00A9461E" w:rsidRDefault="00632003" w:rsidP="003E2787">
            <w:pPr>
              <w:spacing w:before="40" w:after="4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9461E">
              <w:rPr>
                <w:i/>
                <w:iCs/>
                <w:color w:val="000000"/>
                <w:sz w:val="20"/>
                <w:szCs w:val="20"/>
              </w:rPr>
              <w:t>x</w:t>
            </w:r>
          </w:p>
        </w:tc>
      </w:tr>
      <w:tr w:rsidR="00FE6BFC" w:rsidRPr="008A2292" w:rsidTr="00C15B6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BFC" w:rsidRPr="008A2292" w:rsidRDefault="00FE6BFC" w:rsidP="00B63A12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3.5.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BFC" w:rsidRPr="008A2292" w:rsidRDefault="00FE6BFC" w:rsidP="00B63A12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Personāla izmaksas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BFC" w:rsidRPr="008A2292" w:rsidRDefault="00FE6BFC" w:rsidP="00B63A12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428 972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BFC" w:rsidRPr="008A2292" w:rsidRDefault="0004033B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485 335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BFC" w:rsidRPr="008A2292" w:rsidRDefault="00E132BA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563 747</w:t>
            </w:r>
          </w:p>
        </w:tc>
      </w:tr>
      <w:tr w:rsidR="00FE6BFC" w:rsidRPr="008A2292" w:rsidTr="00FE6BFC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BFC" w:rsidRPr="008A2292" w:rsidRDefault="00FE6BFC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BFC" w:rsidRPr="00FE6BFC" w:rsidRDefault="00FE6BFC" w:rsidP="00624578">
            <w:pPr>
              <w:spacing w:before="40" w:after="40"/>
              <w:rPr>
                <w:rFonts w:eastAsia="Times New Roman"/>
                <w:i/>
                <w:color w:val="000000"/>
                <w:sz w:val="22"/>
                <w:szCs w:val="22"/>
                <w:lang w:eastAsia="zh-CN"/>
              </w:rPr>
            </w:pPr>
            <w:r w:rsidRPr="00FE6BFC">
              <w:rPr>
                <w:rFonts w:eastAsia="Times New Roman"/>
                <w:i/>
                <w:color w:val="000000"/>
                <w:sz w:val="22"/>
                <w:szCs w:val="22"/>
                <w:lang w:eastAsia="zh-CN"/>
              </w:rPr>
              <w:t xml:space="preserve">ES </w:t>
            </w:r>
            <w:proofErr w:type="spellStart"/>
            <w:r w:rsidRPr="00FE6BFC">
              <w:rPr>
                <w:rFonts w:eastAsia="Times New Roman"/>
                <w:i/>
                <w:color w:val="000000"/>
                <w:sz w:val="22"/>
                <w:szCs w:val="22"/>
                <w:lang w:eastAsia="zh-CN"/>
              </w:rPr>
              <w:t>Twinning</w:t>
            </w:r>
            <w:proofErr w:type="spellEnd"/>
            <w:r w:rsidRPr="00FE6BFC">
              <w:rPr>
                <w:rFonts w:eastAsia="Times New Roman"/>
                <w:i/>
                <w:color w:val="000000"/>
                <w:sz w:val="22"/>
                <w:szCs w:val="22"/>
                <w:lang w:eastAsia="zh-CN"/>
              </w:rPr>
              <w:t xml:space="preserve"> projekta ekspertu darba samaksa, komandējuma izdevumi un vadības izmaksas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BFC" w:rsidRPr="00602E3B" w:rsidRDefault="00602E3B" w:rsidP="008D5AD2">
            <w:pPr>
              <w:spacing w:before="40" w:after="40"/>
              <w:jc w:val="right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BFC" w:rsidRPr="00602E3B" w:rsidRDefault="00602E3B" w:rsidP="003E2787">
            <w:pPr>
              <w:spacing w:before="40" w:after="40"/>
              <w:jc w:val="right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22 541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BFC" w:rsidRPr="00602E3B" w:rsidRDefault="00602E3B" w:rsidP="003E2787">
            <w:pPr>
              <w:spacing w:before="40" w:after="40"/>
              <w:jc w:val="right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</w:t>
            </w:r>
          </w:p>
        </w:tc>
      </w:tr>
      <w:tr w:rsidR="002D2DB0" w:rsidRPr="008A2292" w:rsidTr="00FE6BFC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B0" w:rsidRPr="008A2292" w:rsidRDefault="002D2DB0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B0" w:rsidRPr="00FE6BFC" w:rsidRDefault="002D2DB0" w:rsidP="00624578">
            <w:pPr>
              <w:spacing w:before="40" w:after="40"/>
              <w:rPr>
                <w:rFonts w:eastAsia="Times New Roman"/>
                <w:i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i/>
                <w:color w:val="000000"/>
                <w:sz w:val="22"/>
                <w:szCs w:val="22"/>
                <w:lang w:eastAsia="zh-CN"/>
              </w:rPr>
              <w:t xml:space="preserve">Amortizācija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B0" w:rsidRDefault="002D2DB0" w:rsidP="008D5AD2">
            <w:pPr>
              <w:spacing w:before="40" w:after="40"/>
              <w:jc w:val="right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12 053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B0" w:rsidRDefault="002D2DB0" w:rsidP="003E2787">
            <w:pPr>
              <w:spacing w:before="40" w:after="40"/>
              <w:jc w:val="right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8 940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DB0" w:rsidRDefault="002D2DB0" w:rsidP="003E2787">
            <w:pPr>
              <w:spacing w:before="40" w:after="40"/>
              <w:jc w:val="right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21 100</w:t>
            </w:r>
          </w:p>
        </w:tc>
      </w:tr>
      <w:tr w:rsidR="00FE6BFC" w:rsidRPr="0075278A" w:rsidTr="00C15B6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BFC" w:rsidRPr="0075278A" w:rsidRDefault="00FE6BFC" w:rsidP="00146587">
            <w:pPr>
              <w:spacing w:before="40" w:after="40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  <w:r w:rsidRPr="0075278A">
              <w:rPr>
                <w:rFonts w:eastAsia="Times New Roman"/>
                <w:color w:val="000000"/>
                <w:sz w:val="12"/>
                <w:szCs w:val="12"/>
                <w:lang w:eastAsia="zh-CN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BFC" w:rsidRPr="0075278A" w:rsidRDefault="00FE6BFC" w:rsidP="00146587">
            <w:pPr>
              <w:spacing w:before="40" w:after="40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  <w:r w:rsidRPr="0075278A">
              <w:rPr>
                <w:rFonts w:eastAsia="Times New Roman"/>
                <w:color w:val="000000"/>
                <w:sz w:val="12"/>
                <w:szCs w:val="12"/>
                <w:lang w:eastAsia="zh-CN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BFC" w:rsidRPr="0075278A" w:rsidRDefault="00FE6BFC" w:rsidP="00146587">
            <w:pPr>
              <w:spacing w:before="40" w:after="40"/>
              <w:jc w:val="right"/>
              <w:rPr>
                <w:color w:val="000000"/>
                <w:sz w:val="12"/>
                <w:szCs w:val="12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BFC" w:rsidRPr="0075278A" w:rsidRDefault="00FE6BFC" w:rsidP="00146587">
            <w:pPr>
              <w:spacing w:before="40" w:after="40"/>
              <w:jc w:val="right"/>
              <w:rPr>
                <w:color w:val="000000"/>
                <w:sz w:val="12"/>
                <w:szCs w:val="12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BFC" w:rsidRPr="0075278A" w:rsidRDefault="00FE6BFC" w:rsidP="00146587">
            <w:pPr>
              <w:spacing w:before="40" w:after="40"/>
              <w:jc w:val="right"/>
              <w:rPr>
                <w:color w:val="000000"/>
                <w:sz w:val="12"/>
                <w:szCs w:val="12"/>
              </w:rPr>
            </w:pPr>
          </w:p>
        </w:tc>
      </w:tr>
      <w:tr w:rsidR="00FE6BFC" w:rsidRPr="008A2292" w:rsidTr="00C15B6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BFC" w:rsidRPr="008A2292" w:rsidRDefault="00FE6BFC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3.6.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BFC" w:rsidRPr="008A2292" w:rsidRDefault="00FE6BFC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EBITDA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BFC" w:rsidRPr="008A2292" w:rsidRDefault="00FE6BFC" w:rsidP="001C630E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  <w:r w:rsidR="0004033B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796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BFC" w:rsidRPr="0004033B" w:rsidRDefault="0004033B" w:rsidP="0004033B">
            <w:pPr>
              <w:pStyle w:val="ListParagraph"/>
              <w:spacing w:before="40" w:after="40"/>
              <w:ind w:left="2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</w:t>
            </w:r>
            <w:r w:rsidR="008B68BC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 xml:space="preserve"> 623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BFC" w:rsidRPr="008A2292" w:rsidRDefault="00990C4F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3 180</w:t>
            </w:r>
          </w:p>
        </w:tc>
      </w:tr>
      <w:tr w:rsidR="00FE6BFC" w:rsidRPr="00507C81" w:rsidTr="00FB6298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BFC" w:rsidRPr="00507C81" w:rsidRDefault="00FE6BFC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507C81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3.7.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BFC" w:rsidRPr="00507C81" w:rsidRDefault="00FE6BFC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507C81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Neto peļņa/ zaudējumi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BFC" w:rsidRPr="00507C81" w:rsidRDefault="00FE6BFC" w:rsidP="001C630E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507C81">
              <w:rPr>
                <w:color w:val="000000"/>
                <w:sz w:val="22"/>
                <w:szCs w:val="22"/>
              </w:rPr>
              <w:t>14 743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BFC" w:rsidRPr="00507C81" w:rsidRDefault="008B68BC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-23 563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BFC" w:rsidRPr="00507C81" w:rsidRDefault="00990C4F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-17 920</w:t>
            </w:r>
          </w:p>
        </w:tc>
      </w:tr>
      <w:tr w:rsidR="00FE6BFC" w:rsidRPr="00507C81" w:rsidTr="00C15B6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BFC" w:rsidRPr="00507C81" w:rsidRDefault="00FE6BFC" w:rsidP="00624578">
            <w:pPr>
              <w:spacing w:before="40" w:after="40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  <w:r w:rsidRPr="00507C81">
              <w:rPr>
                <w:rFonts w:eastAsia="Times New Roman"/>
                <w:color w:val="000000"/>
                <w:sz w:val="12"/>
                <w:szCs w:val="12"/>
                <w:lang w:eastAsia="zh-CN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BFC" w:rsidRPr="00507C81" w:rsidRDefault="00FE6BFC" w:rsidP="00624578">
            <w:pPr>
              <w:spacing w:before="40" w:after="40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  <w:r w:rsidRPr="00507C81">
              <w:rPr>
                <w:rFonts w:eastAsia="Times New Roman"/>
                <w:color w:val="000000"/>
                <w:sz w:val="12"/>
                <w:szCs w:val="12"/>
                <w:lang w:eastAsia="zh-CN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BFC" w:rsidRPr="00507C81" w:rsidRDefault="00FE6BFC" w:rsidP="003E2787">
            <w:pPr>
              <w:spacing w:before="40" w:after="40"/>
              <w:jc w:val="right"/>
              <w:rPr>
                <w:color w:val="000000"/>
                <w:sz w:val="12"/>
                <w:szCs w:val="12"/>
              </w:rPr>
            </w:pPr>
            <w:r w:rsidRPr="00507C81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BFC" w:rsidRPr="00507C81" w:rsidRDefault="00FE6BFC" w:rsidP="003E2787">
            <w:pPr>
              <w:spacing w:before="40" w:after="40"/>
              <w:jc w:val="right"/>
              <w:rPr>
                <w:color w:val="000000"/>
                <w:sz w:val="12"/>
                <w:szCs w:val="12"/>
              </w:rPr>
            </w:pPr>
            <w:r w:rsidRPr="00507C81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BFC" w:rsidRPr="00507C81" w:rsidRDefault="00FE6BFC" w:rsidP="003E2787">
            <w:pPr>
              <w:spacing w:before="40" w:after="40"/>
              <w:jc w:val="right"/>
              <w:rPr>
                <w:color w:val="000000"/>
                <w:sz w:val="12"/>
                <w:szCs w:val="12"/>
              </w:rPr>
            </w:pPr>
            <w:r w:rsidRPr="00507C81">
              <w:rPr>
                <w:color w:val="000000"/>
                <w:sz w:val="12"/>
                <w:szCs w:val="12"/>
              </w:rPr>
              <w:t> </w:t>
            </w:r>
          </w:p>
        </w:tc>
      </w:tr>
      <w:tr w:rsidR="00FE6BFC" w:rsidRPr="00507C81" w:rsidTr="00FB6298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E6BFC" w:rsidRPr="00507C81" w:rsidRDefault="00FE6BFC" w:rsidP="00624578">
            <w:pPr>
              <w:spacing w:before="40" w:after="40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507C8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4.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E6BFC" w:rsidRPr="00507C81" w:rsidRDefault="00FE6BFC" w:rsidP="00624578">
            <w:pPr>
              <w:spacing w:before="40" w:after="40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507C8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Finanšu rādītāji (%)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E6BFC" w:rsidRPr="00507C81" w:rsidRDefault="00FE6BFC" w:rsidP="003E2787">
            <w:pPr>
              <w:spacing w:before="40" w:after="4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07C81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E6BFC" w:rsidRPr="00507C81" w:rsidRDefault="00FE6BFC" w:rsidP="003E2787">
            <w:pPr>
              <w:spacing w:before="40" w:after="4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07C81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E6BFC" w:rsidRPr="00507C81" w:rsidRDefault="00FE6BFC" w:rsidP="003E2787">
            <w:pPr>
              <w:spacing w:before="40" w:after="4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07C81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</w:tr>
      <w:tr w:rsidR="007F0597" w:rsidRPr="00507C81" w:rsidTr="0079551B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597" w:rsidRPr="00507C81" w:rsidRDefault="007F0597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507C81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4.1.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597" w:rsidRPr="00507C81" w:rsidRDefault="007F0597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507C81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Pašu kapitāla atdeve (ROE)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597" w:rsidRPr="00507C81" w:rsidRDefault="007F0597" w:rsidP="00A72E12">
            <w:pPr>
              <w:jc w:val="right"/>
            </w:pPr>
            <w:r w:rsidRPr="00507C81">
              <w:rPr>
                <w:color w:val="000000"/>
                <w:sz w:val="22"/>
                <w:szCs w:val="22"/>
              </w:rPr>
              <w:t>7,5%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597" w:rsidRPr="00507C81" w:rsidRDefault="007F0597" w:rsidP="007D55D6">
            <w:pPr>
              <w:jc w:val="right"/>
            </w:pPr>
            <w:r>
              <w:t>-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597" w:rsidRPr="00507C81" w:rsidRDefault="007F0597" w:rsidP="00FC7EAF">
            <w:pPr>
              <w:jc w:val="right"/>
            </w:pPr>
            <w:r>
              <w:t>-</w:t>
            </w:r>
          </w:p>
        </w:tc>
      </w:tr>
      <w:tr w:rsidR="007F0597" w:rsidRPr="00507C81" w:rsidTr="0079551B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597" w:rsidRPr="00507C81" w:rsidRDefault="007F0597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507C81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4.2.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597" w:rsidRPr="00507C81" w:rsidRDefault="007F0597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507C81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Aktīvu atdeve (ROA)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597" w:rsidRPr="00507C81" w:rsidRDefault="007F0597" w:rsidP="00A72E12">
            <w:pPr>
              <w:jc w:val="right"/>
            </w:pPr>
            <w:r w:rsidRPr="00507C81">
              <w:rPr>
                <w:color w:val="000000"/>
                <w:sz w:val="22"/>
                <w:szCs w:val="22"/>
              </w:rPr>
              <w:t>5,0%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597" w:rsidRPr="00507C81" w:rsidRDefault="007F0597" w:rsidP="007D55D6">
            <w:pPr>
              <w:jc w:val="right"/>
            </w:pPr>
            <w:r>
              <w:t>-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597" w:rsidRPr="00507C81" w:rsidRDefault="007F0597" w:rsidP="00FC7EAF">
            <w:pPr>
              <w:jc w:val="right"/>
            </w:pPr>
            <w:r>
              <w:t>-</w:t>
            </w:r>
          </w:p>
        </w:tc>
      </w:tr>
      <w:tr w:rsidR="00FE6BFC" w:rsidRPr="00507C81" w:rsidTr="0079551B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BFC" w:rsidRPr="00507C81" w:rsidRDefault="00FE6BFC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507C81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4.3.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BFC" w:rsidRPr="00507C81" w:rsidRDefault="00FE6BFC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507C81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EBITDA rentabilitāte (EBITDA/ apgrozījums)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BFC" w:rsidRPr="00C00569" w:rsidRDefault="00FE6BFC" w:rsidP="00A72E12">
            <w:pPr>
              <w:jc w:val="right"/>
            </w:pPr>
            <w:r w:rsidRPr="00C00569">
              <w:rPr>
                <w:color w:val="000000"/>
                <w:sz w:val="22"/>
                <w:szCs w:val="22"/>
              </w:rPr>
              <w:t>8,6%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BFC" w:rsidRPr="00507C81" w:rsidRDefault="007F0597" w:rsidP="007D55D6">
            <w:pPr>
              <w:jc w:val="right"/>
            </w:pPr>
            <w:r>
              <w:t>-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BFC" w:rsidRPr="00507C81" w:rsidRDefault="004A366F" w:rsidP="0060455B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0,7</w:t>
            </w:r>
            <w:r w:rsidR="00143C81">
              <w:rPr>
                <w:color w:val="000000"/>
                <w:sz w:val="22"/>
                <w:szCs w:val="22"/>
              </w:rPr>
              <w:t>%</w:t>
            </w:r>
          </w:p>
        </w:tc>
      </w:tr>
      <w:tr w:rsidR="00FE6BFC" w:rsidRPr="00507C81" w:rsidTr="0079551B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BFC" w:rsidRPr="00507C81" w:rsidRDefault="00FE6BFC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507C81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4.4.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BFC" w:rsidRPr="00507C81" w:rsidRDefault="00FE6BFC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507C81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Pašu kapitāls/ Aktīvi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BFC" w:rsidRPr="00507C81" w:rsidRDefault="00FE6BFC" w:rsidP="00A72E12">
            <w:pPr>
              <w:jc w:val="right"/>
            </w:pPr>
            <w:r w:rsidRPr="00507C81">
              <w:rPr>
                <w:color w:val="000000"/>
                <w:sz w:val="22"/>
                <w:szCs w:val="22"/>
              </w:rPr>
              <w:t>66,4%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BFC" w:rsidRPr="009B5BE3" w:rsidRDefault="00492F4B" w:rsidP="0098254C">
            <w:pPr>
              <w:jc w:val="right"/>
              <w:rPr>
                <w:color w:val="000000"/>
                <w:sz w:val="22"/>
                <w:szCs w:val="22"/>
              </w:rPr>
            </w:pPr>
            <w:r w:rsidRPr="009B5BE3">
              <w:rPr>
                <w:color w:val="000000"/>
                <w:sz w:val="22"/>
                <w:szCs w:val="22"/>
              </w:rPr>
              <w:t>61,9</w:t>
            </w:r>
            <w:r w:rsidR="00143C81" w:rsidRPr="009B5BE3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BFC" w:rsidRPr="00507C81" w:rsidRDefault="00B12855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53,6</w:t>
            </w:r>
            <w:r w:rsidR="00143C81">
              <w:rPr>
                <w:color w:val="000000"/>
                <w:sz w:val="22"/>
                <w:szCs w:val="22"/>
              </w:rPr>
              <w:t>%</w:t>
            </w:r>
          </w:p>
        </w:tc>
      </w:tr>
      <w:tr w:rsidR="00FE6BFC" w:rsidRPr="00507C81" w:rsidTr="00C15B6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BFC" w:rsidRPr="00507C81" w:rsidRDefault="00FE6BFC" w:rsidP="00624578">
            <w:pPr>
              <w:spacing w:before="40" w:after="40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  <w:r w:rsidRPr="00507C81">
              <w:rPr>
                <w:rFonts w:eastAsia="Times New Roman"/>
                <w:color w:val="000000"/>
                <w:sz w:val="12"/>
                <w:szCs w:val="12"/>
                <w:lang w:eastAsia="zh-CN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BFC" w:rsidRPr="00507C81" w:rsidRDefault="00FE6BFC" w:rsidP="00624578">
            <w:pPr>
              <w:spacing w:before="40" w:after="40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  <w:r w:rsidRPr="00507C81">
              <w:rPr>
                <w:rFonts w:eastAsia="Times New Roman"/>
                <w:color w:val="000000"/>
                <w:sz w:val="12"/>
                <w:szCs w:val="12"/>
                <w:lang w:eastAsia="zh-CN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BFC" w:rsidRPr="00507C81" w:rsidRDefault="00FE6BFC" w:rsidP="003E2787">
            <w:pPr>
              <w:spacing w:before="40" w:after="40"/>
              <w:jc w:val="right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BFC" w:rsidRPr="00507C81" w:rsidRDefault="00FE6BFC" w:rsidP="003E2787">
            <w:pPr>
              <w:spacing w:before="40" w:after="40"/>
              <w:jc w:val="right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BFC" w:rsidRPr="00507C81" w:rsidRDefault="00FE6BFC" w:rsidP="003E2787">
            <w:pPr>
              <w:spacing w:before="40" w:after="40"/>
              <w:jc w:val="right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</w:p>
        </w:tc>
      </w:tr>
      <w:tr w:rsidR="00D708F5" w:rsidRPr="008A2292" w:rsidTr="00FB6298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D708F5" w:rsidRPr="00507C81" w:rsidRDefault="00D708F5" w:rsidP="00624578">
            <w:pPr>
              <w:spacing w:before="40" w:after="40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507C8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lastRenderedPageBreak/>
              <w:t>5.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D708F5" w:rsidRPr="00507C81" w:rsidRDefault="00D708F5" w:rsidP="00624578">
            <w:pPr>
              <w:spacing w:before="40" w:after="40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507C8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Valsts budžetā veiktās iemaksas (samaksāts kopā)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D708F5" w:rsidRPr="00507C81" w:rsidRDefault="00D708F5" w:rsidP="00CB6787">
            <w:pPr>
              <w:spacing w:before="40" w:after="4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07C81">
              <w:rPr>
                <w:b/>
                <w:bCs/>
                <w:color w:val="000000"/>
                <w:sz w:val="22"/>
                <w:szCs w:val="22"/>
              </w:rPr>
              <w:t>249 711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D708F5" w:rsidRPr="00507C81" w:rsidRDefault="00342C89" w:rsidP="001C0B33">
            <w:pPr>
              <w:spacing w:before="40" w:after="4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254 922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D708F5" w:rsidRPr="00507C81" w:rsidRDefault="00342C89" w:rsidP="003E2787">
            <w:pPr>
              <w:spacing w:before="40" w:after="4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270 992</w:t>
            </w:r>
          </w:p>
        </w:tc>
      </w:tr>
      <w:tr w:rsidR="00D708F5" w:rsidRPr="00A9461E" w:rsidTr="00C15B6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F5" w:rsidRPr="00A9461E" w:rsidRDefault="00D708F5" w:rsidP="00624578">
            <w:pPr>
              <w:spacing w:before="40" w:after="40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 w:rsidRPr="00A9461E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F5" w:rsidRPr="00A9461E" w:rsidRDefault="00D708F5" w:rsidP="00624578">
            <w:pPr>
              <w:spacing w:before="40" w:after="40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A9461E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zh-CN"/>
              </w:rPr>
              <w:t>tai skaitā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F5" w:rsidRPr="00A9461E" w:rsidRDefault="00D708F5" w:rsidP="003E2787">
            <w:pPr>
              <w:spacing w:before="40" w:after="40"/>
              <w:jc w:val="right"/>
              <w:rPr>
                <w:color w:val="000000"/>
                <w:sz w:val="20"/>
                <w:szCs w:val="20"/>
              </w:rPr>
            </w:pPr>
            <w:r w:rsidRPr="00A9461E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F5" w:rsidRPr="00A9461E" w:rsidRDefault="00D708F5" w:rsidP="003E2787">
            <w:pPr>
              <w:spacing w:before="40" w:after="40"/>
              <w:jc w:val="right"/>
              <w:rPr>
                <w:color w:val="000000"/>
                <w:sz w:val="20"/>
                <w:szCs w:val="20"/>
              </w:rPr>
            </w:pPr>
            <w:r w:rsidRPr="00A9461E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F5" w:rsidRPr="00A9461E" w:rsidRDefault="00D708F5" w:rsidP="003E2787">
            <w:pPr>
              <w:spacing w:before="40" w:after="40"/>
              <w:jc w:val="right"/>
              <w:rPr>
                <w:color w:val="000000"/>
                <w:sz w:val="20"/>
                <w:szCs w:val="20"/>
              </w:rPr>
            </w:pPr>
            <w:r w:rsidRPr="00A9461E">
              <w:rPr>
                <w:color w:val="000000"/>
                <w:sz w:val="20"/>
                <w:szCs w:val="20"/>
              </w:rPr>
              <w:t>x</w:t>
            </w:r>
          </w:p>
        </w:tc>
      </w:tr>
      <w:tr w:rsidR="00D708F5" w:rsidRPr="008A2292" w:rsidTr="00FB6298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F5" w:rsidRPr="008A2292" w:rsidRDefault="00D708F5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5.1.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F5" w:rsidRPr="008A2292" w:rsidRDefault="00D708F5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Dividendes (latos)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8F5" w:rsidRPr="008A2292" w:rsidRDefault="00D708F5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8F5" w:rsidRPr="002566E7" w:rsidRDefault="00D708F5" w:rsidP="001465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2566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8F5" w:rsidRPr="002566E7" w:rsidRDefault="00D708F5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2566E7">
              <w:rPr>
                <w:color w:val="000000"/>
                <w:sz w:val="22"/>
                <w:szCs w:val="22"/>
              </w:rPr>
              <w:t>-</w:t>
            </w:r>
          </w:p>
        </w:tc>
      </w:tr>
      <w:tr w:rsidR="00D708F5" w:rsidRPr="008A2292" w:rsidTr="00FB6298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F5" w:rsidRPr="008A2292" w:rsidRDefault="00D708F5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5.1.a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F5" w:rsidRPr="008A2292" w:rsidRDefault="00D708F5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Dividendes (% no iepriekšējā gada peļņas)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F5" w:rsidRPr="008A2292" w:rsidRDefault="00D708F5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F5" w:rsidRPr="002566E7" w:rsidRDefault="00D708F5" w:rsidP="001465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2566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F5" w:rsidRPr="002566E7" w:rsidRDefault="00D708F5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2566E7">
              <w:rPr>
                <w:color w:val="000000"/>
                <w:sz w:val="22"/>
                <w:szCs w:val="22"/>
              </w:rPr>
              <w:t>-</w:t>
            </w:r>
          </w:p>
        </w:tc>
      </w:tr>
      <w:tr w:rsidR="00D708F5" w:rsidRPr="008A2292" w:rsidTr="00C15B6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F5" w:rsidRPr="008A2292" w:rsidRDefault="00D708F5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5.2.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F5" w:rsidRPr="008A2292" w:rsidRDefault="00D708F5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Uzņēmumu ienākuma nodoklis (latos)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8F5" w:rsidRPr="008A2292" w:rsidRDefault="00D708F5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8F5" w:rsidRPr="002566E7" w:rsidRDefault="00D708F5" w:rsidP="001465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2566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8F5" w:rsidRPr="002566E7" w:rsidRDefault="00D708F5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2566E7">
              <w:rPr>
                <w:color w:val="000000"/>
                <w:sz w:val="22"/>
                <w:szCs w:val="22"/>
              </w:rPr>
              <w:t>-</w:t>
            </w:r>
          </w:p>
        </w:tc>
      </w:tr>
      <w:tr w:rsidR="00D708F5" w:rsidRPr="008A2292" w:rsidTr="00C15B6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F5" w:rsidRPr="008A2292" w:rsidRDefault="00D708F5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5.3.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F5" w:rsidRPr="008A2292" w:rsidRDefault="00D708F5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Pievienot</w:t>
            </w: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ās vērtības nodoklis (latos)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8F5" w:rsidRPr="008A2292" w:rsidRDefault="00D708F5" w:rsidP="00E640CA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50 008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8F5" w:rsidRPr="008A2292" w:rsidRDefault="00342C89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49 800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8F5" w:rsidRPr="008A2292" w:rsidRDefault="00342C89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52 300</w:t>
            </w:r>
          </w:p>
        </w:tc>
      </w:tr>
      <w:tr w:rsidR="00D708F5" w:rsidRPr="008A2292" w:rsidTr="00C15B6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F5" w:rsidRPr="008A2292" w:rsidRDefault="00D708F5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5.4.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F5" w:rsidRPr="008A2292" w:rsidRDefault="00D708F5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Nekustamā īpašuma nodoklis (latos)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8F5" w:rsidRPr="008A2292" w:rsidRDefault="00D708F5" w:rsidP="00E640CA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8F5" w:rsidRPr="008A2292" w:rsidRDefault="00342C89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8F5" w:rsidRPr="008A2292" w:rsidRDefault="00D708F5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D708F5" w:rsidRPr="008A2292" w:rsidTr="00C15B62">
        <w:trPr>
          <w:trHeight w:val="6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F5" w:rsidRPr="008A2292" w:rsidRDefault="00D708F5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5.5.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F5" w:rsidRPr="008A2292" w:rsidRDefault="00D708F5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Valsts sociālās apdrošināšanas iemaksas (darba devēja daļa) (latos)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8F5" w:rsidRPr="008A2292" w:rsidRDefault="00D708F5" w:rsidP="00E640CA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84 966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8F5" w:rsidRPr="008A2292" w:rsidRDefault="00342C89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86040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8F5" w:rsidRPr="008A2292" w:rsidRDefault="00342C89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92 040</w:t>
            </w:r>
          </w:p>
        </w:tc>
      </w:tr>
      <w:tr w:rsidR="00D708F5" w:rsidRPr="008A2292" w:rsidTr="00C15B6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F5" w:rsidRPr="008A2292" w:rsidRDefault="00D708F5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5.6.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F5" w:rsidRPr="008A2292" w:rsidRDefault="00D708F5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citi nodokļi un nodevas (latos)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8F5" w:rsidRPr="008A2292" w:rsidRDefault="00D708F5" w:rsidP="00E640CA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114 737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8F5" w:rsidRPr="008A2292" w:rsidRDefault="00D708F5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119 082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8F5" w:rsidRPr="008A2292" w:rsidRDefault="00342C89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126 652</w:t>
            </w:r>
          </w:p>
        </w:tc>
      </w:tr>
      <w:tr w:rsidR="00D708F5" w:rsidRPr="0075278A" w:rsidTr="00C15B6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F5" w:rsidRPr="0075278A" w:rsidRDefault="00D708F5" w:rsidP="00624578">
            <w:pPr>
              <w:spacing w:before="40" w:after="40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  <w:r w:rsidRPr="0075278A">
              <w:rPr>
                <w:rFonts w:eastAsia="Times New Roman"/>
                <w:color w:val="000000"/>
                <w:sz w:val="12"/>
                <w:szCs w:val="12"/>
                <w:lang w:eastAsia="zh-CN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F5" w:rsidRPr="0075278A" w:rsidRDefault="00D708F5" w:rsidP="00624578">
            <w:pPr>
              <w:spacing w:before="40" w:after="40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  <w:r w:rsidRPr="0075278A">
              <w:rPr>
                <w:rFonts w:eastAsia="Times New Roman"/>
                <w:color w:val="000000"/>
                <w:sz w:val="12"/>
                <w:szCs w:val="12"/>
                <w:lang w:eastAsia="zh-CN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F5" w:rsidRPr="0075278A" w:rsidRDefault="00D708F5" w:rsidP="003E2787">
            <w:pPr>
              <w:spacing w:before="40" w:after="40"/>
              <w:jc w:val="right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F5" w:rsidRPr="0075278A" w:rsidRDefault="00D708F5" w:rsidP="003E2787">
            <w:pPr>
              <w:spacing w:before="40" w:after="40"/>
              <w:jc w:val="right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F5" w:rsidRPr="0075278A" w:rsidRDefault="00D708F5" w:rsidP="003E2787">
            <w:pPr>
              <w:spacing w:before="40" w:after="40"/>
              <w:jc w:val="right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</w:p>
        </w:tc>
      </w:tr>
      <w:tr w:rsidR="00D708F5" w:rsidRPr="008A2292" w:rsidTr="00FB6298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D708F5" w:rsidRPr="008A2292" w:rsidRDefault="00D708F5" w:rsidP="00624578">
            <w:pPr>
              <w:spacing w:before="40" w:after="40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6.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D708F5" w:rsidRPr="008A2292" w:rsidRDefault="00D708F5" w:rsidP="00624578">
            <w:pPr>
              <w:spacing w:before="40" w:after="40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Citi rādītāji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D708F5" w:rsidRPr="008A2292" w:rsidRDefault="00D708F5" w:rsidP="003E2787">
            <w:pPr>
              <w:spacing w:before="40" w:after="4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A2292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D708F5" w:rsidRPr="008A2292" w:rsidRDefault="00D708F5" w:rsidP="003E2787">
            <w:pPr>
              <w:spacing w:before="40" w:after="4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A2292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D708F5" w:rsidRPr="008A2292" w:rsidRDefault="00D708F5" w:rsidP="003E2787">
            <w:pPr>
              <w:spacing w:before="40" w:after="4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A2292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</w:tr>
      <w:tr w:rsidR="00D708F5" w:rsidRPr="008A2292" w:rsidTr="00FB6298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F5" w:rsidRPr="008A2292" w:rsidRDefault="00D708F5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6.1.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F5" w:rsidRPr="008A2292" w:rsidRDefault="00D708F5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 xml:space="preserve">Darbinieku skaits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8F5" w:rsidRPr="008A2292" w:rsidRDefault="00D708F5" w:rsidP="00F45439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8F5" w:rsidRPr="008A2292" w:rsidRDefault="00D708F5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8F5" w:rsidRPr="008A2292" w:rsidRDefault="00D708F5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</w:t>
            </w:r>
          </w:p>
        </w:tc>
      </w:tr>
      <w:tr w:rsidR="00D708F5" w:rsidRPr="008A2292" w:rsidTr="00A3790D">
        <w:trPr>
          <w:trHeight w:val="401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F5" w:rsidRPr="008A2292" w:rsidRDefault="00D708F5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6.2.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F5" w:rsidRPr="008A2292" w:rsidRDefault="00D708F5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Valsts budžetā veiktās iemaksas</w:t>
            </w: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/ Valsts kapitāls (decimāldaļskaitlis)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8F5" w:rsidRPr="008A2292" w:rsidRDefault="00D708F5" w:rsidP="00F45439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2,18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8F5" w:rsidRPr="008A2292" w:rsidRDefault="001A1D3E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2,23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8F5" w:rsidRPr="008A2292" w:rsidRDefault="006125C4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2,37</w:t>
            </w:r>
          </w:p>
        </w:tc>
      </w:tr>
      <w:tr w:rsidR="00D708F5" w:rsidRPr="008A2292" w:rsidTr="00A3790D">
        <w:trPr>
          <w:trHeight w:val="311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F5" w:rsidRPr="008A2292" w:rsidRDefault="00D708F5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6.3.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8F5" w:rsidRPr="008A2292" w:rsidRDefault="00D708F5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Valsts budžetā veiktās iemaksas</w:t>
            </w: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/</w:t>
            </w: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Piešķirtās subsīdijas un dotācijas (decimāldaļskaitlis)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8F5" w:rsidRPr="008A2292" w:rsidRDefault="00D708F5" w:rsidP="00F45439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0,94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8F5" w:rsidRPr="008A2292" w:rsidRDefault="00F54E4E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0,94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8F5" w:rsidRPr="008A2292" w:rsidRDefault="00F54E4E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</w:t>
            </w:r>
            <w:r w:rsidR="002A1C88">
              <w:rPr>
                <w:color w:val="000000"/>
                <w:sz w:val="22"/>
                <w:szCs w:val="22"/>
              </w:rPr>
              <w:t>83</w:t>
            </w:r>
          </w:p>
        </w:tc>
      </w:tr>
    </w:tbl>
    <w:p w:rsidR="000A061E" w:rsidRPr="000A061E" w:rsidRDefault="000A061E" w:rsidP="000A061E">
      <w:pPr>
        <w:pStyle w:val="ListParagraph"/>
        <w:ind w:left="0"/>
        <w:contextualSpacing w:val="0"/>
        <w:jc w:val="center"/>
        <w:rPr>
          <w:rFonts w:eastAsia="Times New Roman"/>
          <w:bCs/>
          <w:color w:val="000000"/>
          <w:szCs w:val="26"/>
          <w:lang w:eastAsia="zh-CN"/>
        </w:rPr>
      </w:pPr>
    </w:p>
    <w:p w:rsidR="000A061E" w:rsidRPr="000A061E" w:rsidRDefault="000A061E" w:rsidP="000A061E">
      <w:pPr>
        <w:pStyle w:val="ListParagraph"/>
        <w:ind w:left="0"/>
        <w:contextualSpacing w:val="0"/>
        <w:jc w:val="center"/>
        <w:rPr>
          <w:rFonts w:eastAsia="Times New Roman"/>
          <w:bCs/>
          <w:color w:val="000000"/>
          <w:szCs w:val="26"/>
          <w:lang w:eastAsia="zh-CN"/>
        </w:rPr>
      </w:pPr>
    </w:p>
    <w:p w:rsidR="000A061E" w:rsidRDefault="00443F8E" w:rsidP="000A061E">
      <w:pPr>
        <w:pStyle w:val="ListParagraph"/>
        <w:ind w:left="0"/>
        <w:contextualSpacing w:val="0"/>
        <w:jc w:val="center"/>
        <w:rPr>
          <w:rFonts w:eastAsia="Times New Roman"/>
          <w:b/>
          <w:bCs/>
          <w:color w:val="000000"/>
          <w:szCs w:val="26"/>
          <w:lang w:eastAsia="zh-CN"/>
        </w:rPr>
      </w:pPr>
      <w:r>
        <w:rPr>
          <w:rFonts w:eastAsia="Times New Roman"/>
          <w:b/>
          <w:bCs/>
          <w:color w:val="000000"/>
          <w:szCs w:val="26"/>
          <w:lang w:eastAsia="zh-CN"/>
        </w:rPr>
        <w:t>Kapitālsabiedrības</w:t>
      </w:r>
      <w:r w:rsidRPr="00BB408A">
        <w:rPr>
          <w:rFonts w:eastAsia="Times New Roman"/>
          <w:b/>
          <w:bCs/>
          <w:color w:val="000000"/>
          <w:szCs w:val="26"/>
          <w:lang w:eastAsia="zh-CN"/>
        </w:rPr>
        <w:t xml:space="preserve"> </w:t>
      </w:r>
      <w:r>
        <w:rPr>
          <w:rFonts w:eastAsia="Times New Roman"/>
          <w:b/>
          <w:bCs/>
          <w:color w:val="000000"/>
          <w:szCs w:val="26"/>
          <w:lang w:eastAsia="zh-CN"/>
        </w:rPr>
        <w:t>i</w:t>
      </w:r>
      <w:r w:rsidR="000A061E">
        <w:rPr>
          <w:rFonts w:eastAsia="Times New Roman"/>
          <w:b/>
          <w:bCs/>
          <w:color w:val="000000"/>
          <w:szCs w:val="26"/>
          <w:lang w:eastAsia="zh-CN"/>
        </w:rPr>
        <w:t>nvestīciju projekti</w:t>
      </w:r>
    </w:p>
    <w:p w:rsidR="000A061E" w:rsidRPr="00F00965" w:rsidRDefault="000A061E" w:rsidP="000A061E">
      <w:pPr>
        <w:pStyle w:val="ListParagraph"/>
        <w:ind w:left="0"/>
        <w:contextualSpacing w:val="0"/>
        <w:rPr>
          <w:rFonts w:eastAsia="Times New Roman"/>
          <w:b/>
          <w:bCs/>
          <w:color w:val="000000"/>
          <w:sz w:val="24"/>
          <w:lang w:eastAsia="zh-CN"/>
        </w:rPr>
      </w:pPr>
      <w:r w:rsidRPr="00F00965">
        <w:rPr>
          <w:rFonts w:eastAsia="Times New Roman"/>
          <w:b/>
          <w:bCs/>
          <w:color w:val="000000"/>
          <w:sz w:val="24"/>
          <w:lang w:eastAsia="zh-CN"/>
        </w:rPr>
        <w:t xml:space="preserve">Uzsāktie projekti </w:t>
      </w:r>
    </w:p>
    <w:p w:rsidR="000A061E" w:rsidRPr="00BB408A" w:rsidRDefault="000A061E" w:rsidP="000A061E">
      <w:pPr>
        <w:pStyle w:val="ListParagraph"/>
        <w:spacing w:after="120"/>
        <w:ind w:left="0"/>
        <w:contextualSpacing w:val="0"/>
        <w:rPr>
          <w:rFonts w:eastAsia="Times New Roman"/>
          <w:b/>
          <w:bCs/>
          <w:color w:val="000000"/>
          <w:szCs w:val="26"/>
          <w:lang w:eastAsia="zh-CN"/>
        </w:rPr>
      </w:pPr>
      <w:r w:rsidRPr="00924496">
        <w:rPr>
          <w:rFonts w:eastAsia="Times New Roman"/>
          <w:i/>
          <w:iCs/>
          <w:color w:val="000000"/>
          <w:sz w:val="20"/>
          <w:szCs w:val="20"/>
          <w:lang w:eastAsia="zh-CN"/>
        </w:rPr>
        <w:t>lat</w:t>
      </w:r>
      <w:r w:rsidR="00EF0EFC">
        <w:rPr>
          <w:rFonts w:eastAsia="Times New Roman"/>
          <w:i/>
          <w:iCs/>
          <w:color w:val="000000"/>
          <w:sz w:val="20"/>
          <w:szCs w:val="20"/>
          <w:lang w:eastAsia="zh-CN"/>
        </w:rPr>
        <w:t>os</w:t>
      </w:r>
    </w:p>
    <w:tbl>
      <w:tblPr>
        <w:tblW w:w="8997" w:type="dxa"/>
        <w:jc w:val="center"/>
        <w:tblInd w:w="93" w:type="dxa"/>
        <w:tblLook w:val="04A0" w:firstRow="1" w:lastRow="0" w:firstColumn="1" w:lastColumn="0" w:noHBand="0" w:noVBand="1"/>
      </w:tblPr>
      <w:tblGrid>
        <w:gridCol w:w="609"/>
        <w:gridCol w:w="2245"/>
        <w:gridCol w:w="2693"/>
        <w:gridCol w:w="1078"/>
        <w:gridCol w:w="1294"/>
        <w:gridCol w:w="1078"/>
      </w:tblGrid>
      <w:tr w:rsidR="000A061E" w:rsidRPr="008A2292" w:rsidTr="00FC7EAF">
        <w:trPr>
          <w:trHeight w:val="856"/>
          <w:tblHeader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0A061E" w:rsidRPr="004A2A30" w:rsidRDefault="000A061E" w:rsidP="00FC7EAF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</w:pPr>
            <w:proofErr w:type="spellStart"/>
            <w:r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  <w:t>Nr</w:t>
            </w:r>
            <w:proofErr w:type="spellEnd"/>
            <w:r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  <w:t>. p/k</w:t>
            </w: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0A061E" w:rsidRPr="008A2292" w:rsidRDefault="000A061E" w:rsidP="00FC7EAF">
            <w:pPr>
              <w:spacing w:before="40" w:after="4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Projekts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0A061E" w:rsidRPr="008A2292" w:rsidRDefault="000A061E" w:rsidP="00FC7EAF">
            <w:pPr>
              <w:spacing w:before="40" w:after="4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Īss apraksts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0A061E" w:rsidRPr="00C00BB7" w:rsidRDefault="000A061E" w:rsidP="00FC7EAF">
            <w:pPr>
              <w:spacing w:before="40" w:after="4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C00BB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zh-CN"/>
              </w:rPr>
              <w:t>2012.gada fakts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0A061E" w:rsidRPr="00C00BB7" w:rsidRDefault="000A061E" w:rsidP="00FC7EAF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C00BB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zh-CN"/>
              </w:rPr>
              <w:t>2013.gada provizoriskā izpilde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0A061E" w:rsidRPr="00C00BB7" w:rsidRDefault="000A061E" w:rsidP="00FC7EAF">
            <w:pPr>
              <w:spacing w:before="40" w:after="4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C00BB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zh-CN"/>
              </w:rPr>
              <w:t xml:space="preserve">2014.gada plāns </w:t>
            </w:r>
          </w:p>
        </w:tc>
      </w:tr>
      <w:tr w:rsidR="000A061E" w:rsidRPr="00624578" w:rsidTr="00FC7EAF">
        <w:trPr>
          <w:trHeight w:val="330"/>
          <w:tblHeader/>
          <w:jc w:val="center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61E" w:rsidRPr="00624578" w:rsidRDefault="000A061E" w:rsidP="00FC7EAF">
            <w:pPr>
              <w:spacing w:before="40" w:after="40"/>
              <w:jc w:val="center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61E" w:rsidRPr="00624578" w:rsidRDefault="000A061E" w:rsidP="00FC7EAF">
            <w:pPr>
              <w:spacing w:before="40" w:after="40"/>
              <w:jc w:val="center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 w:rsidRPr="00624578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61E" w:rsidRPr="00624578" w:rsidRDefault="000A061E" w:rsidP="00FC7EAF">
            <w:pPr>
              <w:spacing w:before="40" w:after="40"/>
              <w:jc w:val="center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 w:rsidRPr="00624578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61E" w:rsidRPr="00624578" w:rsidRDefault="000A061E" w:rsidP="00FC7EAF">
            <w:pPr>
              <w:spacing w:before="40" w:after="40"/>
              <w:jc w:val="center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 w:rsidRPr="00624578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61E" w:rsidRPr="00624578" w:rsidRDefault="000A061E" w:rsidP="00FC7EAF">
            <w:pPr>
              <w:spacing w:before="40" w:after="40"/>
              <w:jc w:val="center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 w:rsidRPr="00624578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61E" w:rsidRPr="00624578" w:rsidRDefault="000A061E" w:rsidP="00FC7EAF">
            <w:pPr>
              <w:spacing w:before="40" w:after="40"/>
              <w:jc w:val="center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5</w:t>
            </w:r>
          </w:p>
        </w:tc>
      </w:tr>
      <w:tr w:rsidR="000A061E" w:rsidRPr="00D97B16" w:rsidTr="00FC7EAF">
        <w:trPr>
          <w:trHeight w:val="330"/>
          <w:tblHeader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61E" w:rsidRPr="00D97B16" w:rsidRDefault="000A061E" w:rsidP="00FC7EAF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61E" w:rsidRPr="00D97B16" w:rsidRDefault="00166CF1" w:rsidP="00166CF1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166CF1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Standartizācijas biroja un LATAK  pārvaldības un biznesa procesu automatizācijas projekts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061E" w:rsidRPr="00D97B16" w:rsidRDefault="003C3579" w:rsidP="003C3579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Vienotas sistēmas</w:t>
            </w:r>
            <w:r w:rsidR="004550B9" w:rsidRPr="004550B9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 xml:space="preserve"> ārējiem un iekšējiem lietotājiem </w:t>
            </w: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 xml:space="preserve">izveide </w:t>
            </w:r>
            <w:r w:rsidR="004550B9" w:rsidRPr="004550B9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klientu apkalpošanā un mārketingā, samazin</w:t>
            </w: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ot</w:t>
            </w:r>
            <w:r w:rsidR="004550B9" w:rsidRPr="004550B9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 xml:space="preserve"> manuāli veicamo darbu apjomu, nodroši</w:t>
            </w: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not</w:t>
            </w:r>
            <w:r w:rsidR="004550B9" w:rsidRPr="004550B9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 xml:space="preserve"> administratīvo procesu funkcionalitāti un iespēju sasaistīt pārdošanas procesu ar finanšu un grāmatvedī</w:t>
            </w: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bas uzskaiti, kā arī  pilnveido</w:t>
            </w:r>
            <w:r w:rsidR="00FD6D4C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jot</w:t>
            </w:r>
            <w:r w:rsidR="004550B9" w:rsidRPr="004550B9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="004550B9" w:rsidRPr="004550B9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personālvadības</w:t>
            </w:r>
            <w:proofErr w:type="spellEnd"/>
            <w:r w:rsidR="004550B9" w:rsidRPr="004550B9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 xml:space="preserve"> procesus.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61E" w:rsidRPr="00D97B16" w:rsidRDefault="001C0E52" w:rsidP="00FC7EAF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61E" w:rsidRPr="00D97B16" w:rsidRDefault="001C0E52" w:rsidP="001C0E52">
            <w:pPr>
              <w:spacing w:before="40" w:after="40"/>
              <w:jc w:val="right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23 281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61E" w:rsidRPr="00D97B16" w:rsidRDefault="001C0E52" w:rsidP="001C0E52">
            <w:pPr>
              <w:spacing w:before="40" w:after="40"/>
              <w:jc w:val="right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76 853</w:t>
            </w:r>
          </w:p>
        </w:tc>
      </w:tr>
      <w:tr w:rsidR="000A061E" w:rsidRPr="00D97B16" w:rsidTr="00FC7EAF">
        <w:trPr>
          <w:trHeight w:val="330"/>
          <w:tblHeader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61E" w:rsidRPr="00D97B16" w:rsidRDefault="000A061E" w:rsidP="00FC7EAF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61E" w:rsidRPr="00D97B16" w:rsidRDefault="00166CF1" w:rsidP="00166CF1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eKomentēšana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061E" w:rsidRPr="00D97B16" w:rsidRDefault="004550B9" w:rsidP="00166CF1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4550B9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Eiropas komisijas finansēts projekts ar mērķi nodrošināt iespēju maziem un vidējiem uzņēmumiem piedalīties standartu projektu apspriešanā un nacionālā viedokļa veidošanā.</w:t>
            </w:r>
            <w:r w:rsidR="00B22A8B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61E" w:rsidRPr="00D97B16" w:rsidRDefault="001C0E52" w:rsidP="00FC7EAF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61E" w:rsidRPr="00D97B16" w:rsidRDefault="001C0E52" w:rsidP="001C0E52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61E" w:rsidRPr="00D97B16" w:rsidRDefault="001C0E52" w:rsidP="001C0E52">
            <w:pPr>
              <w:spacing w:before="40" w:after="40"/>
              <w:jc w:val="right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1 220</w:t>
            </w:r>
          </w:p>
        </w:tc>
      </w:tr>
      <w:tr w:rsidR="000A061E" w:rsidRPr="00D97B16" w:rsidTr="00FC7EAF">
        <w:trPr>
          <w:trHeight w:val="330"/>
          <w:tblHeader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61E" w:rsidRPr="00D97B16" w:rsidRDefault="000A061E" w:rsidP="00FC7EAF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61E" w:rsidRPr="00D97B16" w:rsidRDefault="000A061E" w:rsidP="00FC7EAF">
            <w:pPr>
              <w:spacing w:before="40" w:after="40"/>
              <w:jc w:val="right"/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</w:pPr>
            <w:r w:rsidRPr="00D97B16"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  <w:t xml:space="preserve">Kopā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061E" w:rsidRPr="00F70D59" w:rsidRDefault="000A061E" w:rsidP="00FC7EAF">
            <w:pPr>
              <w:spacing w:before="40" w:after="40"/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</w:pPr>
            <w:r w:rsidRPr="00F70D59"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  <w:t>x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61E" w:rsidRPr="00D97B16" w:rsidRDefault="004B1227" w:rsidP="00FC7EAF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61E" w:rsidRPr="004B1227" w:rsidRDefault="004B1227" w:rsidP="004B1227">
            <w:pPr>
              <w:spacing w:before="40" w:after="40"/>
              <w:jc w:val="right"/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</w:pPr>
            <w:r w:rsidRPr="004B1227"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  <w:t>23 281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61E" w:rsidRPr="004B1227" w:rsidRDefault="004B1227" w:rsidP="004B1227">
            <w:pPr>
              <w:spacing w:before="40" w:after="40"/>
              <w:jc w:val="right"/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</w:pPr>
            <w:r w:rsidRPr="004B1227"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  <w:t>78 073</w:t>
            </w:r>
          </w:p>
        </w:tc>
      </w:tr>
    </w:tbl>
    <w:p w:rsidR="000A061E" w:rsidRDefault="000A061E" w:rsidP="000A061E"/>
    <w:p w:rsidR="000A061E" w:rsidRPr="00F00965" w:rsidRDefault="000A061E" w:rsidP="000A061E">
      <w:pPr>
        <w:pStyle w:val="ListParagraph"/>
        <w:ind w:left="0"/>
        <w:contextualSpacing w:val="0"/>
        <w:rPr>
          <w:rFonts w:eastAsia="Times New Roman"/>
          <w:b/>
          <w:bCs/>
          <w:color w:val="000000"/>
          <w:sz w:val="24"/>
          <w:lang w:eastAsia="zh-CN"/>
        </w:rPr>
      </w:pPr>
      <w:r w:rsidRPr="00F00965">
        <w:rPr>
          <w:rFonts w:eastAsia="Times New Roman"/>
          <w:b/>
          <w:bCs/>
          <w:color w:val="000000"/>
          <w:sz w:val="24"/>
          <w:lang w:eastAsia="zh-CN"/>
        </w:rPr>
        <w:t xml:space="preserve">Plānotie projekti </w:t>
      </w:r>
    </w:p>
    <w:p w:rsidR="00EF0EFC" w:rsidRPr="00BB408A" w:rsidRDefault="00EF0EFC" w:rsidP="00EF0EFC">
      <w:pPr>
        <w:pStyle w:val="ListParagraph"/>
        <w:spacing w:after="120"/>
        <w:ind w:left="0"/>
        <w:contextualSpacing w:val="0"/>
        <w:rPr>
          <w:rFonts w:eastAsia="Times New Roman"/>
          <w:b/>
          <w:bCs/>
          <w:color w:val="000000"/>
          <w:szCs w:val="26"/>
          <w:lang w:eastAsia="zh-CN"/>
        </w:rPr>
      </w:pPr>
      <w:r w:rsidRPr="00924496">
        <w:rPr>
          <w:rFonts w:eastAsia="Times New Roman"/>
          <w:i/>
          <w:iCs/>
          <w:color w:val="000000"/>
          <w:sz w:val="20"/>
          <w:szCs w:val="20"/>
          <w:lang w:eastAsia="zh-CN"/>
        </w:rPr>
        <w:t>lat</w:t>
      </w:r>
      <w:r>
        <w:rPr>
          <w:rFonts w:eastAsia="Times New Roman"/>
          <w:i/>
          <w:iCs/>
          <w:color w:val="000000"/>
          <w:sz w:val="20"/>
          <w:szCs w:val="20"/>
          <w:lang w:eastAsia="zh-CN"/>
        </w:rPr>
        <w:t>os</w:t>
      </w:r>
    </w:p>
    <w:tbl>
      <w:tblPr>
        <w:tblW w:w="9195" w:type="dxa"/>
        <w:jc w:val="center"/>
        <w:tblInd w:w="93" w:type="dxa"/>
        <w:tblLook w:val="04A0" w:firstRow="1" w:lastRow="0" w:firstColumn="1" w:lastColumn="0" w:noHBand="0" w:noVBand="1"/>
      </w:tblPr>
      <w:tblGrid>
        <w:gridCol w:w="538"/>
        <w:gridCol w:w="1633"/>
        <w:gridCol w:w="1669"/>
        <w:gridCol w:w="1444"/>
        <w:gridCol w:w="1311"/>
        <w:gridCol w:w="1283"/>
        <w:gridCol w:w="1317"/>
      </w:tblGrid>
      <w:tr w:rsidR="00545F6F" w:rsidRPr="008A2292" w:rsidTr="00207A8C">
        <w:trPr>
          <w:trHeight w:val="856"/>
          <w:tblHeader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583758" w:rsidRPr="004A2A30" w:rsidRDefault="00583758" w:rsidP="00FC7EAF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</w:pPr>
            <w:proofErr w:type="spellStart"/>
            <w:r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  <w:t>Nr</w:t>
            </w:r>
            <w:proofErr w:type="spellEnd"/>
            <w:r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  <w:t>. p/k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583758" w:rsidRPr="008A2292" w:rsidRDefault="00583758" w:rsidP="00FC7EAF">
            <w:pPr>
              <w:spacing w:before="40" w:after="4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Projekts 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583758" w:rsidRPr="008A2292" w:rsidRDefault="00583758" w:rsidP="00FC7EAF">
            <w:pPr>
              <w:spacing w:before="40" w:after="4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Īss apraksts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583758" w:rsidRPr="00C00BB7" w:rsidRDefault="00A63ED0" w:rsidP="00FC7EAF">
            <w:pPr>
              <w:spacing w:before="40" w:after="4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zh-CN"/>
              </w:rPr>
              <w:t xml:space="preserve">Iespējamais līguma noslēgšanas datums </w:t>
            </w:r>
            <w:r w:rsidR="00583758" w:rsidRPr="00C00BB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583758" w:rsidRPr="00C00BB7" w:rsidRDefault="00E85A92" w:rsidP="00FC7EAF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zh-CN"/>
              </w:rPr>
              <w:t xml:space="preserve">Projekta finansēšanas avots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583758" w:rsidRPr="00C00BB7" w:rsidRDefault="00583758" w:rsidP="00FC7EAF">
            <w:pPr>
              <w:spacing w:before="40" w:after="4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C00BB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zh-CN"/>
              </w:rPr>
              <w:t xml:space="preserve">2014.gada plāns 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83758" w:rsidRPr="00C00BB7" w:rsidRDefault="00E85A92" w:rsidP="00FC7EAF">
            <w:pPr>
              <w:spacing w:before="40" w:after="4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zh-CN"/>
              </w:rPr>
              <w:t xml:space="preserve">Izdevumi turpmākajos gados līdz projekta beigām </w:t>
            </w:r>
          </w:p>
        </w:tc>
      </w:tr>
      <w:tr w:rsidR="00545F6F" w:rsidRPr="00624578" w:rsidTr="00207A8C">
        <w:trPr>
          <w:trHeight w:val="330"/>
          <w:tblHeader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58" w:rsidRPr="00624578" w:rsidRDefault="00583758" w:rsidP="00FC7EAF">
            <w:pPr>
              <w:spacing w:before="40" w:after="40"/>
              <w:jc w:val="center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58" w:rsidRPr="00624578" w:rsidRDefault="00583758" w:rsidP="00FC7EAF">
            <w:pPr>
              <w:spacing w:before="40" w:after="40"/>
              <w:jc w:val="center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 w:rsidRPr="00624578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58" w:rsidRPr="00624578" w:rsidRDefault="00583758" w:rsidP="00FC7EAF">
            <w:pPr>
              <w:spacing w:before="40" w:after="40"/>
              <w:jc w:val="center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 w:rsidRPr="00624578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58" w:rsidRPr="00624578" w:rsidRDefault="00583758" w:rsidP="00FC7EAF">
            <w:pPr>
              <w:spacing w:before="40" w:after="40"/>
              <w:jc w:val="center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 w:rsidRPr="00624578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58" w:rsidRPr="00624578" w:rsidRDefault="00583758" w:rsidP="00FC7EAF">
            <w:pPr>
              <w:spacing w:before="40" w:after="40"/>
              <w:jc w:val="center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 w:rsidRPr="00624578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758" w:rsidRPr="00624578" w:rsidRDefault="00583758" w:rsidP="00FC7EAF">
            <w:pPr>
              <w:spacing w:before="40" w:after="40"/>
              <w:jc w:val="center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3758" w:rsidRDefault="00E85A92" w:rsidP="00FC7EAF">
            <w:pPr>
              <w:spacing w:before="40" w:after="40"/>
              <w:jc w:val="center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6</w:t>
            </w:r>
          </w:p>
        </w:tc>
      </w:tr>
      <w:tr w:rsidR="00545F6F" w:rsidRPr="00D97B16" w:rsidTr="005B6E28">
        <w:trPr>
          <w:trHeight w:val="330"/>
          <w:tblHeader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758" w:rsidRPr="00D97B16" w:rsidRDefault="00583758" w:rsidP="00FC7EAF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758" w:rsidRPr="00D97B16" w:rsidRDefault="00A35D74" w:rsidP="005B6E2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A35D74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Standartizācijas biroja un LATAK  pārvaldības un biznesa procesu automatizācijas projekts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3758" w:rsidRPr="00D97B16" w:rsidRDefault="00A35D74" w:rsidP="005B6E2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A35D74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Sagatavot LATAK biznesa procesu automatizācijas konceptuālās arhitektūras projektu un specifikāciju.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758" w:rsidRPr="00A35D74" w:rsidRDefault="00A35D74" w:rsidP="005B6E28">
            <w:pPr>
              <w:spacing w:before="40" w:after="40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 w:rsidRPr="00A35D74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2014.gada martā plānots noslēgt līgumu par Akreditācijas biroja pārvaldības procesu automatizāciju.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758" w:rsidRPr="00D41727" w:rsidRDefault="00D41727" w:rsidP="005B6E28">
            <w:pPr>
              <w:spacing w:before="40" w:after="40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 w:rsidRPr="00D41727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 xml:space="preserve">SAMC projekta </w:t>
            </w:r>
            <w:r w:rsidR="00AC625C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īstenošanai</w:t>
            </w:r>
            <w:r w:rsidRPr="00D41727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 xml:space="preserve"> investēs uzkrātos finanšu līdzekļus no pašu ieņēmumiem, kapitalizējot izmaksas 2014. gadā.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758" w:rsidRPr="007673DC" w:rsidRDefault="007673DC" w:rsidP="005B6E28">
            <w:pPr>
              <w:spacing w:before="40" w:after="40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 w:rsidRPr="007673DC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 xml:space="preserve">Akreditācijas birojam projekta </w:t>
            </w:r>
            <w:r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 xml:space="preserve">īstenošanai - </w:t>
            </w:r>
            <w:r w:rsidRPr="007673DC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 xml:space="preserve"> 25</w:t>
            </w:r>
            <w:r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 </w:t>
            </w:r>
            <w:r w:rsidRPr="007673DC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000</w:t>
            </w:r>
            <w:r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 xml:space="preserve"> latu. 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5F6F" w:rsidRDefault="00637924" w:rsidP="00545F6F">
            <w:pPr>
              <w:spacing w:before="40" w:after="40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 w:rsidRPr="00637924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2015.g</w:t>
            </w:r>
            <w:r w:rsidR="00545F6F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 xml:space="preserve">adā projekta pabeigšanai plānoti </w:t>
            </w:r>
          </w:p>
          <w:p w:rsidR="00545F6F" w:rsidRDefault="00545F6F" w:rsidP="00545F6F">
            <w:pPr>
              <w:spacing w:before="40" w:after="40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 xml:space="preserve">25 000 latu. </w:t>
            </w:r>
          </w:p>
          <w:p w:rsidR="00583758" w:rsidRPr="00637924" w:rsidRDefault="00545F6F" w:rsidP="00545F6F">
            <w:pPr>
              <w:spacing w:before="40" w:after="40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 xml:space="preserve">Katru gadu 4000 latu – </w:t>
            </w:r>
            <w:r w:rsidR="00637924" w:rsidRPr="00637924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uzturēšanas izmaksas</w:t>
            </w:r>
            <w:r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 xml:space="preserve">. </w:t>
            </w:r>
          </w:p>
        </w:tc>
      </w:tr>
    </w:tbl>
    <w:p w:rsidR="000A061E" w:rsidRDefault="000A061E" w:rsidP="000A061E">
      <w:pPr>
        <w:pStyle w:val="ListParagraph"/>
        <w:ind w:left="0"/>
        <w:jc w:val="center"/>
        <w:rPr>
          <w:rFonts w:eastAsia="Times New Roman"/>
          <w:b/>
          <w:bCs/>
          <w:color w:val="000000"/>
          <w:szCs w:val="26"/>
          <w:lang w:eastAsia="zh-CN"/>
        </w:rPr>
      </w:pPr>
    </w:p>
    <w:p w:rsidR="00097C6C" w:rsidRPr="00DC2D92" w:rsidRDefault="00097C6C" w:rsidP="00DC2D92">
      <w:pPr>
        <w:pStyle w:val="ListParagraph"/>
        <w:ind w:left="0"/>
        <w:contextualSpacing w:val="0"/>
        <w:jc w:val="both"/>
        <w:rPr>
          <w:rFonts w:eastAsia="Times New Roman"/>
          <w:bCs/>
          <w:color w:val="000000"/>
          <w:szCs w:val="26"/>
          <w:lang w:eastAsia="zh-CN"/>
        </w:rPr>
      </w:pPr>
    </w:p>
    <w:p w:rsidR="00035CC2" w:rsidRDefault="00035CC2" w:rsidP="00035CC2">
      <w:pPr>
        <w:pStyle w:val="ListParagraph"/>
        <w:spacing w:after="120"/>
        <w:ind w:left="0"/>
        <w:contextualSpacing w:val="0"/>
        <w:jc w:val="center"/>
        <w:rPr>
          <w:rFonts w:eastAsia="Times New Roman"/>
          <w:b/>
          <w:bCs/>
          <w:color w:val="000000"/>
          <w:szCs w:val="26"/>
          <w:lang w:eastAsia="zh-CN"/>
        </w:rPr>
      </w:pPr>
      <w:r>
        <w:rPr>
          <w:rFonts w:eastAsia="Times New Roman"/>
          <w:b/>
          <w:bCs/>
          <w:color w:val="000000"/>
          <w:szCs w:val="26"/>
          <w:lang w:eastAsia="zh-CN"/>
        </w:rPr>
        <w:t xml:space="preserve">Informācija par plānoto </w:t>
      </w:r>
      <w:r w:rsidR="00C90341">
        <w:rPr>
          <w:rFonts w:eastAsia="Times New Roman"/>
          <w:b/>
          <w:bCs/>
          <w:color w:val="000000"/>
          <w:szCs w:val="26"/>
          <w:lang w:eastAsia="zh-CN"/>
        </w:rPr>
        <w:t>dotāciju</w:t>
      </w:r>
    </w:p>
    <w:tbl>
      <w:tblPr>
        <w:tblW w:w="9151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3121"/>
        <w:gridCol w:w="1400"/>
        <w:gridCol w:w="4050"/>
      </w:tblGrid>
      <w:tr w:rsidR="001B7839" w:rsidRPr="008D72D7" w:rsidTr="001E07A9">
        <w:trPr>
          <w:trHeight w:val="1144"/>
          <w:jc w:val="center"/>
        </w:trPr>
        <w:tc>
          <w:tcPr>
            <w:tcW w:w="580" w:type="dxa"/>
            <w:shd w:val="clear" w:color="auto" w:fill="D6E3BC" w:themeFill="accent3" w:themeFillTint="66"/>
            <w:vAlign w:val="center"/>
            <w:hideMark/>
          </w:tcPr>
          <w:p w:rsidR="001B7839" w:rsidRPr="008D72D7" w:rsidRDefault="001B7839" w:rsidP="00FC7EAF">
            <w:pPr>
              <w:spacing w:before="40" w:after="4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3121" w:type="dxa"/>
            <w:shd w:val="clear" w:color="auto" w:fill="D6E3BC" w:themeFill="accent3" w:themeFillTint="66"/>
            <w:vAlign w:val="center"/>
            <w:hideMark/>
          </w:tcPr>
          <w:p w:rsidR="001B7839" w:rsidRPr="008D72D7" w:rsidRDefault="001B7839" w:rsidP="00FC7EAF">
            <w:pPr>
              <w:spacing w:before="40" w:after="4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  <w:t>S</w:t>
            </w:r>
            <w:r w:rsidRPr="008D72D7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  <w:t>ubsīdijas</w:t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  <w:t xml:space="preserve">/ </w:t>
            </w:r>
            <w:r w:rsidRPr="008D72D7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  <w:t>dotācijas</w:t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  <w:t xml:space="preserve"> </w:t>
            </w:r>
          </w:p>
        </w:tc>
        <w:tc>
          <w:tcPr>
            <w:tcW w:w="1400" w:type="dxa"/>
            <w:shd w:val="clear" w:color="auto" w:fill="D6E3BC" w:themeFill="accent3" w:themeFillTint="66"/>
            <w:vAlign w:val="center"/>
            <w:hideMark/>
          </w:tcPr>
          <w:p w:rsidR="001B7839" w:rsidRPr="008D72D7" w:rsidRDefault="001B7839" w:rsidP="00FC7EAF">
            <w:pPr>
              <w:spacing w:before="40" w:after="40"/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  <w:lang w:eastAsia="lv-LV"/>
              </w:rPr>
              <w:t xml:space="preserve">Plānots </w:t>
            </w:r>
            <w:r w:rsidRPr="008D72D7">
              <w:rPr>
                <w:rFonts w:eastAsia="Times New Roman"/>
                <w:b/>
                <w:color w:val="000000"/>
                <w:sz w:val="22"/>
                <w:szCs w:val="22"/>
                <w:lang w:eastAsia="lv-LV"/>
              </w:rPr>
              <w:t>201</w:t>
            </w:r>
            <w:r>
              <w:rPr>
                <w:rFonts w:eastAsia="Times New Roman"/>
                <w:b/>
                <w:color w:val="000000"/>
                <w:sz w:val="22"/>
                <w:szCs w:val="22"/>
                <w:lang w:eastAsia="lv-LV"/>
              </w:rPr>
              <w:t>4.gadā, latos</w:t>
            </w:r>
          </w:p>
        </w:tc>
        <w:tc>
          <w:tcPr>
            <w:tcW w:w="4050" w:type="dxa"/>
            <w:shd w:val="clear" w:color="auto" w:fill="D6E3BC" w:themeFill="accent3" w:themeFillTint="66"/>
            <w:vAlign w:val="center"/>
            <w:hideMark/>
          </w:tcPr>
          <w:p w:rsidR="001B7839" w:rsidRPr="008D72D7" w:rsidRDefault="001B7839" w:rsidP="00FC7EAF">
            <w:pPr>
              <w:spacing w:before="40" w:after="4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  <w:t xml:space="preserve">Subsīdijas vai dotācijas saņemšanas mērķis un pamatojošais dokuments </w:t>
            </w:r>
            <w:r w:rsidRPr="00787869">
              <w:rPr>
                <w:rFonts w:eastAsia="Times New Roman"/>
                <w:bCs/>
                <w:color w:val="000000"/>
                <w:sz w:val="20"/>
                <w:szCs w:val="20"/>
                <w:lang w:eastAsia="lv-LV"/>
              </w:rPr>
              <w:t xml:space="preserve">(likums, Ministru kabineta noteikumi, sadarbības līguma </w:t>
            </w:r>
            <w:proofErr w:type="spellStart"/>
            <w:r w:rsidRPr="00787869">
              <w:rPr>
                <w:rFonts w:eastAsia="Times New Roman"/>
                <w:bCs/>
                <w:color w:val="000000"/>
                <w:sz w:val="20"/>
                <w:szCs w:val="20"/>
                <w:lang w:eastAsia="lv-LV"/>
              </w:rPr>
              <w:t>Nr</w:t>
            </w:r>
            <w:proofErr w:type="spellEnd"/>
            <w:r w:rsidRPr="00787869">
              <w:rPr>
                <w:rFonts w:eastAsia="Times New Roman"/>
                <w:bCs/>
                <w:color w:val="000000"/>
                <w:sz w:val="20"/>
                <w:szCs w:val="20"/>
                <w:lang w:eastAsia="lv-LV"/>
              </w:rPr>
              <w:t xml:space="preserve">. </w:t>
            </w:r>
            <w:proofErr w:type="spellStart"/>
            <w:r w:rsidRPr="00787869">
              <w:rPr>
                <w:rFonts w:eastAsia="Times New Roman"/>
                <w:bCs/>
                <w:color w:val="000000"/>
                <w:sz w:val="20"/>
                <w:szCs w:val="20"/>
                <w:lang w:eastAsia="lv-LV"/>
              </w:rPr>
              <w:t>u.tml</w:t>
            </w:r>
            <w:proofErr w:type="spellEnd"/>
            <w:r w:rsidRPr="00787869">
              <w:rPr>
                <w:rFonts w:eastAsia="Times New Roman"/>
                <w:bCs/>
                <w:color w:val="000000"/>
                <w:sz w:val="20"/>
                <w:szCs w:val="20"/>
                <w:lang w:eastAsia="lv-LV"/>
              </w:rPr>
              <w:t>.)</w:t>
            </w:r>
          </w:p>
        </w:tc>
      </w:tr>
      <w:tr w:rsidR="00035CC2" w:rsidRPr="008D72D7" w:rsidTr="00462528">
        <w:trPr>
          <w:trHeight w:val="28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035CC2" w:rsidRPr="008D72D7" w:rsidRDefault="00035CC2" w:rsidP="00FC7EA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3121" w:type="dxa"/>
            <w:shd w:val="clear" w:color="auto" w:fill="auto"/>
            <w:noWrap/>
            <w:vAlign w:val="center"/>
            <w:hideMark/>
          </w:tcPr>
          <w:p w:rsidR="00035CC2" w:rsidRPr="008D72D7" w:rsidRDefault="00035CC2" w:rsidP="00FC7EA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8D72D7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035CC2" w:rsidRPr="008D72D7" w:rsidRDefault="00035CC2" w:rsidP="00FC7EA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8D72D7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4050" w:type="dxa"/>
            <w:shd w:val="clear" w:color="auto" w:fill="auto"/>
            <w:noWrap/>
            <w:vAlign w:val="center"/>
            <w:hideMark/>
          </w:tcPr>
          <w:p w:rsidR="00035CC2" w:rsidRPr="008D72D7" w:rsidRDefault="00035CC2" w:rsidP="00FC7EA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</w:tr>
      <w:tr w:rsidR="00836720" w:rsidRPr="008D72D7" w:rsidTr="00FD2071">
        <w:trPr>
          <w:trHeight w:val="115"/>
          <w:jc w:val="center"/>
        </w:trPr>
        <w:tc>
          <w:tcPr>
            <w:tcW w:w="580" w:type="dxa"/>
            <w:shd w:val="clear" w:color="auto" w:fill="auto"/>
            <w:vAlign w:val="bottom"/>
          </w:tcPr>
          <w:p w:rsidR="00836720" w:rsidRDefault="00836720" w:rsidP="00795BA3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3121" w:type="dxa"/>
            <w:shd w:val="clear" w:color="auto" w:fill="auto"/>
            <w:vAlign w:val="center"/>
          </w:tcPr>
          <w:p w:rsidR="00836720" w:rsidRPr="00C946D5" w:rsidRDefault="00397DCF" w:rsidP="00FD2071">
            <w:pPr>
              <w:spacing w:before="40" w:after="40"/>
              <w:rPr>
                <w:rFonts w:eastAsia="Times New Roman"/>
                <w:b/>
                <w:color w:val="000000"/>
                <w:sz w:val="22"/>
                <w:szCs w:val="22"/>
                <w:lang w:eastAsia="lv-LV"/>
              </w:rPr>
            </w:pPr>
            <w:r w:rsidRPr="00C946D5">
              <w:rPr>
                <w:rFonts w:eastAsia="Times New Roman"/>
                <w:b/>
                <w:color w:val="000000"/>
                <w:sz w:val="22"/>
                <w:szCs w:val="22"/>
                <w:lang w:eastAsia="lv-LV"/>
              </w:rPr>
              <w:t xml:space="preserve">Saņemamā dotācija no valsts budžeta – kopā 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836720" w:rsidRPr="00B45B08" w:rsidRDefault="00FD2071" w:rsidP="00FD2071">
            <w:pPr>
              <w:spacing w:before="40" w:after="40"/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lv-LV"/>
              </w:rPr>
            </w:pPr>
            <w:r w:rsidRPr="00B45B08">
              <w:rPr>
                <w:rFonts w:eastAsia="Times New Roman"/>
                <w:b/>
                <w:color w:val="000000"/>
                <w:sz w:val="22"/>
                <w:szCs w:val="22"/>
                <w:lang w:eastAsia="lv-LV"/>
              </w:rPr>
              <w:t>328 238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836720" w:rsidRPr="008D72D7" w:rsidRDefault="00FD2071" w:rsidP="00FD2071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x</w:t>
            </w:r>
          </w:p>
        </w:tc>
      </w:tr>
      <w:tr w:rsidR="005343FD" w:rsidRPr="008D72D7" w:rsidTr="0045541A">
        <w:trPr>
          <w:trHeight w:val="115"/>
          <w:jc w:val="center"/>
        </w:trPr>
        <w:tc>
          <w:tcPr>
            <w:tcW w:w="580" w:type="dxa"/>
            <w:shd w:val="clear" w:color="auto" w:fill="auto"/>
            <w:vAlign w:val="bottom"/>
          </w:tcPr>
          <w:p w:rsidR="005343FD" w:rsidRPr="008D72D7" w:rsidRDefault="005343FD" w:rsidP="004E2CA9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3121" w:type="dxa"/>
            <w:shd w:val="clear" w:color="auto" w:fill="auto"/>
            <w:vAlign w:val="center"/>
          </w:tcPr>
          <w:p w:rsidR="005343FD" w:rsidRPr="00A9461E" w:rsidRDefault="005343FD" w:rsidP="00FC7EAF">
            <w:pPr>
              <w:spacing w:before="40" w:after="40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A9461E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zh-CN"/>
              </w:rPr>
              <w:t>tai skaitā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5343FD" w:rsidRPr="00A9461E" w:rsidRDefault="005343FD" w:rsidP="00FD2071">
            <w:pPr>
              <w:spacing w:before="40" w:after="4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9461E">
              <w:rPr>
                <w:i/>
                <w:iCs/>
                <w:color w:val="000000"/>
                <w:sz w:val="20"/>
                <w:szCs w:val="20"/>
              </w:rPr>
              <w:t>x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5343FD" w:rsidRPr="00A9461E" w:rsidRDefault="005343FD" w:rsidP="00FD2071">
            <w:pPr>
              <w:spacing w:before="40" w:after="4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9461E">
              <w:rPr>
                <w:i/>
                <w:iCs/>
                <w:color w:val="000000"/>
                <w:sz w:val="20"/>
                <w:szCs w:val="20"/>
              </w:rPr>
              <w:t>x</w:t>
            </w:r>
          </w:p>
        </w:tc>
      </w:tr>
      <w:tr w:rsidR="00836720" w:rsidRPr="008D72D7" w:rsidTr="007541C7">
        <w:trPr>
          <w:trHeight w:val="115"/>
          <w:jc w:val="center"/>
        </w:trPr>
        <w:tc>
          <w:tcPr>
            <w:tcW w:w="580" w:type="dxa"/>
            <w:shd w:val="clear" w:color="auto" w:fill="auto"/>
            <w:vAlign w:val="center"/>
          </w:tcPr>
          <w:p w:rsidR="00836720" w:rsidRDefault="00836720" w:rsidP="007541C7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1.</w:t>
            </w:r>
          </w:p>
        </w:tc>
        <w:tc>
          <w:tcPr>
            <w:tcW w:w="3121" w:type="dxa"/>
            <w:shd w:val="clear" w:color="auto" w:fill="auto"/>
            <w:vAlign w:val="center"/>
          </w:tcPr>
          <w:p w:rsidR="00836720" w:rsidRPr="008D72D7" w:rsidRDefault="007F4856" w:rsidP="00DF22B3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Dotācija </w:t>
            </w:r>
            <w:r w:rsidR="00742151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met</w:t>
            </w:r>
            <w:r w:rsidR="00DF22B3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roloģijas jomā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836720" w:rsidRPr="008D72D7" w:rsidRDefault="00086A5A" w:rsidP="00DF22B3">
            <w:pPr>
              <w:spacing w:before="40" w:after="40"/>
              <w:jc w:val="right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126</w:t>
            </w:r>
            <w:r w:rsidR="00CA5AAB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 </w:t>
            </w: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805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CA5AAB" w:rsidRPr="00CA5AAB" w:rsidRDefault="00CA5AAB" w:rsidP="00DF22B3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CA5AAB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Uzturēt nacionālos mērvienību etalonus atbilstoši tautsaimniecības vajadzībām, nodrošinot to starptautisku atzīšanu/</w:t>
            </w:r>
          </w:p>
          <w:p w:rsidR="00836720" w:rsidRPr="00CA5AAB" w:rsidRDefault="00605284" w:rsidP="00DF22B3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CA5AAB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Nodrošināt likumā</w:t>
            </w:r>
            <w:r w:rsidR="00260F9E" w:rsidRPr="00CA5AAB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 „</w:t>
            </w:r>
            <w:r w:rsidR="00742151" w:rsidRPr="00CA5AAB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Par mērījumu vienotību </w:t>
            </w:r>
            <w:r w:rsidR="00260F9E" w:rsidRPr="00CA5AAB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”</w:t>
            </w:r>
            <w:r w:rsidRPr="00CA5AAB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 noteiktās funkcijas</w:t>
            </w:r>
            <w:r w:rsidR="0059761D" w:rsidRPr="00CA5AAB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.</w:t>
            </w:r>
            <w:r w:rsidRPr="00CA5AAB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 </w:t>
            </w:r>
          </w:p>
        </w:tc>
      </w:tr>
      <w:tr w:rsidR="0059761D" w:rsidRPr="008D72D7" w:rsidTr="007541C7">
        <w:trPr>
          <w:trHeight w:val="115"/>
          <w:jc w:val="center"/>
        </w:trPr>
        <w:tc>
          <w:tcPr>
            <w:tcW w:w="580" w:type="dxa"/>
            <w:shd w:val="clear" w:color="auto" w:fill="auto"/>
            <w:vAlign w:val="center"/>
          </w:tcPr>
          <w:p w:rsidR="0059761D" w:rsidRPr="008D72D7" w:rsidRDefault="0059761D" w:rsidP="007541C7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2.</w:t>
            </w:r>
          </w:p>
        </w:tc>
        <w:tc>
          <w:tcPr>
            <w:tcW w:w="3121" w:type="dxa"/>
            <w:shd w:val="clear" w:color="auto" w:fill="auto"/>
            <w:vAlign w:val="center"/>
          </w:tcPr>
          <w:p w:rsidR="0059761D" w:rsidRPr="008D72D7" w:rsidRDefault="0059761D" w:rsidP="00DF22B3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Dotācija </w:t>
            </w:r>
            <w:r w:rsidR="00742151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akr</w:t>
            </w:r>
            <w:r w:rsidR="00DF22B3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editācijas jomā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59761D" w:rsidRPr="008D72D7" w:rsidRDefault="00086A5A" w:rsidP="00DF22B3">
            <w:pPr>
              <w:spacing w:before="40" w:after="40"/>
              <w:jc w:val="right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94 387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CA5AAB" w:rsidRPr="00CA5AAB" w:rsidRDefault="00CA5AAB" w:rsidP="00DF22B3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CA5AAB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Nodrošināt vienotu, Eiropas Savienības atzītu atbilstības novērtēšanas sistēmu un tās atbilstību Latvijas tautsaimniecības vajadzībām, kas ietver testēšanas, kalibrēšanas laboratoriju, produktu, </w:t>
            </w:r>
            <w:r w:rsidRPr="00CA5AAB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lastRenderedPageBreak/>
              <w:t xml:space="preserve">sistēmu un personāla sertificēšanas institūciju, inspicēšanas institūciju un vides verificēšanu, akreditāciju un uzraudzību/ </w:t>
            </w:r>
          </w:p>
          <w:p w:rsidR="0059761D" w:rsidRPr="008D72D7" w:rsidRDefault="0059761D" w:rsidP="00DF22B3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Nodrošināt likumā „</w:t>
            </w:r>
            <w:r w:rsidR="004D1B25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Par atbilstības novērtēšanu</w:t>
            </w: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” noteiktās funkcijas. </w:t>
            </w:r>
          </w:p>
        </w:tc>
      </w:tr>
      <w:tr w:rsidR="0059761D" w:rsidRPr="008D72D7" w:rsidTr="007541C7">
        <w:trPr>
          <w:trHeight w:val="115"/>
          <w:jc w:val="center"/>
        </w:trPr>
        <w:tc>
          <w:tcPr>
            <w:tcW w:w="580" w:type="dxa"/>
            <w:shd w:val="clear" w:color="auto" w:fill="auto"/>
            <w:vAlign w:val="center"/>
          </w:tcPr>
          <w:p w:rsidR="0059761D" w:rsidRPr="008D72D7" w:rsidRDefault="0059761D" w:rsidP="007541C7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lastRenderedPageBreak/>
              <w:t>3.</w:t>
            </w:r>
          </w:p>
        </w:tc>
        <w:tc>
          <w:tcPr>
            <w:tcW w:w="3121" w:type="dxa"/>
            <w:shd w:val="clear" w:color="auto" w:fill="auto"/>
            <w:vAlign w:val="center"/>
          </w:tcPr>
          <w:p w:rsidR="0059761D" w:rsidRPr="008D72D7" w:rsidRDefault="0059761D" w:rsidP="00DF22B3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Dotācija </w:t>
            </w:r>
            <w:r w:rsidR="00742151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st</w:t>
            </w:r>
            <w:r w:rsidR="00DF22B3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andartizācijas jomā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59761D" w:rsidRPr="008D72D7" w:rsidRDefault="00086A5A" w:rsidP="00DF22B3">
            <w:pPr>
              <w:spacing w:before="40" w:after="40"/>
              <w:jc w:val="right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107 046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CA5AAB" w:rsidRPr="00CA5AAB" w:rsidRDefault="00CA5AAB" w:rsidP="00DF22B3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CA5AAB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Nodrošināt standartizācijas sistēmas atbilstību Eiropas un starptautiskajām prasībām, veicot standartu adaptāciju un nacionālo standartu izstrādi/ </w:t>
            </w:r>
          </w:p>
          <w:p w:rsidR="0059761D" w:rsidRPr="008D72D7" w:rsidRDefault="0059761D" w:rsidP="00DF22B3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Nodrošināt </w:t>
            </w:r>
            <w:r w:rsidR="0013709F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Standartizācijas likumā </w:t>
            </w: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noteiktās funkcijas. </w:t>
            </w:r>
          </w:p>
        </w:tc>
      </w:tr>
    </w:tbl>
    <w:p w:rsidR="00035CC2" w:rsidRDefault="00035CC2" w:rsidP="00035CC2">
      <w:pPr>
        <w:pStyle w:val="ListParagraph"/>
        <w:ind w:left="0"/>
        <w:contextualSpacing w:val="0"/>
        <w:rPr>
          <w:rFonts w:eastAsia="Times New Roman"/>
          <w:bCs/>
          <w:color w:val="000000"/>
          <w:szCs w:val="26"/>
          <w:lang w:eastAsia="zh-CN"/>
        </w:rPr>
      </w:pPr>
    </w:p>
    <w:tbl>
      <w:tblPr>
        <w:tblW w:w="9109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3975"/>
        <w:gridCol w:w="4554"/>
      </w:tblGrid>
      <w:tr w:rsidR="00035CC2" w:rsidRPr="008D72D7" w:rsidTr="00DA2E0D">
        <w:trPr>
          <w:trHeight w:val="455"/>
          <w:tblHeader/>
          <w:jc w:val="center"/>
        </w:trPr>
        <w:tc>
          <w:tcPr>
            <w:tcW w:w="580" w:type="dxa"/>
            <w:shd w:val="clear" w:color="auto" w:fill="D6E3BC" w:themeFill="accent3" w:themeFillTint="66"/>
            <w:vAlign w:val="center"/>
            <w:hideMark/>
          </w:tcPr>
          <w:p w:rsidR="00035CC2" w:rsidRPr="008D72D7" w:rsidRDefault="00035CC2" w:rsidP="00FC7EAF">
            <w:pPr>
              <w:spacing w:before="40" w:after="4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3975" w:type="dxa"/>
            <w:shd w:val="clear" w:color="auto" w:fill="D6E3BC" w:themeFill="accent3" w:themeFillTint="66"/>
            <w:vAlign w:val="center"/>
            <w:hideMark/>
          </w:tcPr>
          <w:p w:rsidR="00035CC2" w:rsidRPr="008D72D7" w:rsidRDefault="00035CC2" w:rsidP="00FC7EAF">
            <w:pPr>
              <w:spacing w:before="40" w:after="4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  <w:t xml:space="preserve">Sagaidāmais darbības rezultāts/ rādītāji </w:t>
            </w:r>
          </w:p>
        </w:tc>
        <w:tc>
          <w:tcPr>
            <w:tcW w:w="4554" w:type="dxa"/>
            <w:shd w:val="clear" w:color="auto" w:fill="D6E3BC" w:themeFill="accent3" w:themeFillTint="66"/>
            <w:vAlign w:val="center"/>
            <w:hideMark/>
          </w:tcPr>
          <w:p w:rsidR="00035CC2" w:rsidRPr="008D72D7" w:rsidRDefault="00035CC2" w:rsidP="00FC7EAF">
            <w:pPr>
              <w:spacing w:before="40" w:after="40"/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  <w:lang w:eastAsia="lv-LV"/>
              </w:rPr>
              <w:t xml:space="preserve">2014.gada plāns </w:t>
            </w:r>
          </w:p>
        </w:tc>
      </w:tr>
      <w:tr w:rsidR="00035CC2" w:rsidRPr="008D72D7" w:rsidTr="00DA2E0D">
        <w:trPr>
          <w:trHeight w:val="285"/>
          <w:tblHeader/>
          <w:jc w:val="center"/>
        </w:trPr>
        <w:tc>
          <w:tcPr>
            <w:tcW w:w="580" w:type="dxa"/>
            <w:shd w:val="clear" w:color="auto" w:fill="auto"/>
            <w:vAlign w:val="center"/>
            <w:hideMark/>
          </w:tcPr>
          <w:p w:rsidR="00035CC2" w:rsidRPr="008D72D7" w:rsidRDefault="00035CC2" w:rsidP="00FC7EAF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3975" w:type="dxa"/>
            <w:shd w:val="clear" w:color="auto" w:fill="auto"/>
            <w:vAlign w:val="center"/>
            <w:hideMark/>
          </w:tcPr>
          <w:p w:rsidR="00035CC2" w:rsidRPr="008D72D7" w:rsidRDefault="00035CC2" w:rsidP="00FC7EA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8D72D7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4554" w:type="dxa"/>
            <w:shd w:val="clear" w:color="auto" w:fill="auto"/>
            <w:vAlign w:val="center"/>
            <w:hideMark/>
          </w:tcPr>
          <w:p w:rsidR="00035CC2" w:rsidRPr="008D72D7" w:rsidRDefault="00035CC2" w:rsidP="00FC7EA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8D72D7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</w:tr>
      <w:tr w:rsidR="00131AEC" w:rsidRPr="008D72D7" w:rsidTr="00DA2E0D">
        <w:trPr>
          <w:trHeight w:val="527"/>
          <w:jc w:val="center"/>
        </w:trPr>
        <w:tc>
          <w:tcPr>
            <w:tcW w:w="580" w:type="dxa"/>
            <w:shd w:val="clear" w:color="auto" w:fill="auto"/>
            <w:vAlign w:val="center"/>
            <w:hideMark/>
          </w:tcPr>
          <w:p w:rsidR="00131AEC" w:rsidRPr="008D72D7" w:rsidRDefault="00131AEC" w:rsidP="00FC7EAF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1.</w:t>
            </w:r>
          </w:p>
        </w:tc>
        <w:tc>
          <w:tcPr>
            <w:tcW w:w="3975" w:type="dxa"/>
            <w:shd w:val="clear" w:color="auto" w:fill="auto"/>
            <w:vAlign w:val="center"/>
          </w:tcPr>
          <w:p w:rsidR="00131AEC" w:rsidRPr="008D72D7" w:rsidRDefault="00131AEC" w:rsidP="00FC7EAF">
            <w:pPr>
              <w:spacing w:before="40" w:after="40"/>
              <w:rPr>
                <w:rFonts w:eastAsia="Times New Roman"/>
                <w:bCs/>
                <w:color w:val="000000"/>
                <w:sz w:val="22"/>
                <w:szCs w:val="22"/>
                <w:lang w:eastAsia="lv-LV"/>
              </w:rPr>
            </w:pPr>
            <w:r w:rsidRPr="008D72D7">
              <w:rPr>
                <w:rFonts w:eastAsia="Times New Roman"/>
                <w:bCs/>
                <w:color w:val="000000"/>
                <w:sz w:val="22"/>
                <w:szCs w:val="22"/>
                <w:lang w:eastAsia="lv-LV"/>
              </w:rPr>
              <w:t>Metroloģijas jomā</w:t>
            </w:r>
          </w:p>
        </w:tc>
        <w:tc>
          <w:tcPr>
            <w:tcW w:w="4554" w:type="dxa"/>
            <w:shd w:val="clear" w:color="auto" w:fill="auto"/>
            <w:vAlign w:val="center"/>
          </w:tcPr>
          <w:p w:rsidR="00131AEC" w:rsidRPr="002C23F9" w:rsidRDefault="00131AEC" w:rsidP="00FC7EAF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2C23F9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Visas aktivitātes tiek veiktas par piešķirto dotāciju, </w:t>
            </w:r>
            <w:proofErr w:type="spellStart"/>
            <w:r w:rsidRPr="002C23F9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skat</w:t>
            </w:r>
            <w:proofErr w:type="spellEnd"/>
            <w:r w:rsidRPr="002C23F9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. darbības re</w:t>
            </w: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zultātu un rezultatīvo rādītāju tabulas </w:t>
            </w:r>
            <w:r w:rsidRPr="002C23F9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informāciju.</w:t>
            </w:r>
          </w:p>
        </w:tc>
      </w:tr>
      <w:tr w:rsidR="00131AEC" w:rsidRPr="008D72D7" w:rsidTr="00DA2E0D">
        <w:trPr>
          <w:trHeight w:val="527"/>
          <w:jc w:val="center"/>
        </w:trPr>
        <w:tc>
          <w:tcPr>
            <w:tcW w:w="580" w:type="dxa"/>
            <w:shd w:val="clear" w:color="auto" w:fill="auto"/>
            <w:vAlign w:val="center"/>
          </w:tcPr>
          <w:p w:rsidR="00131AEC" w:rsidRDefault="00131AEC" w:rsidP="00FC7EAF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2.</w:t>
            </w:r>
          </w:p>
        </w:tc>
        <w:tc>
          <w:tcPr>
            <w:tcW w:w="3975" w:type="dxa"/>
            <w:shd w:val="clear" w:color="auto" w:fill="auto"/>
            <w:vAlign w:val="center"/>
          </w:tcPr>
          <w:p w:rsidR="00131AEC" w:rsidRPr="008D72D7" w:rsidRDefault="00131AEC" w:rsidP="00FC7EAF">
            <w:pPr>
              <w:spacing w:before="40" w:after="40"/>
              <w:rPr>
                <w:rFonts w:eastAsia="Times New Roman"/>
                <w:bCs/>
                <w:color w:val="000000"/>
                <w:sz w:val="22"/>
                <w:szCs w:val="22"/>
                <w:lang w:eastAsia="lv-LV"/>
              </w:rPr>
            </w:pPr>
            <w:r w:rsidRPr="008D72D7">
              <w:rPr>
                <w:rFonts w:eastAsia="Times New Roman"/>
                <w:bCs/>
                <w:color w:val="000000"/>
                <w:sz w:val="22"/>
                <w:szCs w:val="22"/>
                <w:lang w:eastAsia="lv-LV"/>
              </w:rPr>
              <w:t>Akreditācijas jomā</w:t>
            </w:r>
          </w:p>
        </w:tc>
        <w:tc>
          <w:tcPr>
            <w:tcW w:w="4554" w:type="dxa"/>
            <w:shd w:val="clear" w:color="auto" w:fill="auto"/>
            <w:vAlign w:val="center"/>
          </w:tcPr>
          <w:p w:rsidR="00131AEC" w:rsidRPr="008A27C6" w:rsidRDefault="00131AEC" w:rsidP="008A27C6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8A27C6">
              <w:rPr>
                <w:color w:val="000000"/>
                <w:sz w:val="22"/>
                <w:szCs w:val="22"/>
              </w:rPr>
              <w:t xml:space="preserve">No dotācijas tiek nodrošinātas šādas </w:t>
            </w:r>
            <w:r w:rsidRPr="008A27C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darbības rezultātu un rezultatīvo rādītāju tabulas pozīcijas: </w:t>
            </w:r>
            <w:r w:rsidRPr="008A27C6">
              <w:rPr>
                <w:color w:val="000000"/>
                <w:sz w:val="22"/>
                <w:szCs w:val="22"/>
              </w:rPr>
              <w:t xml:space="preserve">2.1., 2.2., 2.3., 2.4., 2.5., .2.7., 2.8.  </w:t>
            </w:r>
          </w:p>
        </w:tc>
      </w:tr>
      <w:tr w:rsidR="00131AEC" w:rsidRPr="008D72D7" w:rsidTr="00DA2E0D">
        <w:trPr>
          <w:trHeight w:val="527"/>
          <w:jc w:val="center"/>
        </w:trPr>
        <w:tc>
          <w:tcPr>
            <w:tcW w:w="580" w:type="dxa"/>
            <w:shd w:val="clear" w:color="auto" w:fill="auto"/>
            <w:vAlign w:val="center"/>
          </w:tcPr>
          <w:p w:rsidR="00131AEC" w:rsidRDefault="00131AEC" w:rsidP="00FC7EAF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3.</w:t>
            </w:r>
          </w:p>
        </w:tc>
        <w:tc>
          <w:tcPr>
            <w:tcW w:w="3975" w:type="dxa"/>
            <w:shd w:val="clear" w:color="auto" w:fill="auto"/>
            <w:vAlign w:val="center"/>
          </w:tcPr>
          <w:p w:rsidR="00131AEC" w:rsidRPr="008D72D7" w:rsidRDefault="00131AEC" w:rsidP="00FC7EAF">
            <w:pPr>
              <w:spacing w:before="40" w:after="40"/>
              <w:rPr>
                <w:rFonts w:eastAsia="Times New Roman"/>
                <w:bCs/>
                <w:color w:val="000000"/>
                <w:sz w:val="22"/>
                <w:szCs w:val="22"/>
                <w:lang w:eastAsia="lv-LV"/>
              </w:rPr>
            </w:pPr>
            <w:r w:rsidRPr="008D72D7">
              <w:rPr>
                <w:rFonts w:eastAsia="Times New Roman"/>
                <w:bCs/>
                <w:color w:val="000000"/>
                <w:sz w:val="22"/>
                <w:szCs w:val="22"/>
                <w:lang w:eastAsia="lv-LV"/>
              </w:rPr>
              <w:t>Standartizācijas jomā</w:t>
            </w:r>
          </w:p>
        </w:tc>
        <w:tc>
          <w:tcPr>
            <w:tcW w:w="4554" w:type="dxa"/>
            <w:shd w:val="clear" w:color="auto" w:fill="auto"/>
            <w:vAlign w:val="center"/>
          </w:tcPr>
          <w:p w:rsidR="00131AEC" w:rsidRPr="002C23F9" w:rsidRDefault="00131AEC" w:rsidP="002C23F9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2C23F9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Visas aktivitātes tiek veiktas par piešķirto dotāciju, </w:t>
            </w:r>
            <w:proofErr w:type="spellStart"/>
            <w:r w:rsidRPr="002C23F9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skat</w:t>
            </w:r>
            <w:proofErr w:type="spellEnd"/>
            <w:r w:rsidRPr="002C23F9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. darbības re</w:t>
            </w: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zultātu un rezultatīvo rādītāju tabulas </w:t>
            </w:r>
            <w:r w:rsidRPr="002C23F9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informāciju.</w:t>
            </w:r>
          </w:p>
        </w:tc>
      </w:tr>
    </w:tbl>
    <w:p w:rsidR="00AD27C6" w:rsidRDefault="00AD27C6"/>
    <w:p w:rsidR="00C935B3" w:rsidRDefault="00C935B3"/>
    <w:p w:rsidR="00AD27C6" w:rsidRPr="008D0EAE" w:rsidRDefault="00A47E3C" w:rsidP="00A47E3C">
      <w:pPr>
        <w:spacing w:after="120"/>
        <w:rPr>
          <w:sz w:val="24"/>
        </w:rPr>
      </w:pPr>
      <w:r w:rsidRPr="008D0EAE">
        <w:rPr>
          <w:rFonts w:eastAsia="Times New Roman"/>
          <w:b/>
          <w:bCs/>
          <w:i/>
          <w:iCs/>
          <w:color w:val="000000"/>
          <w:sz w:val="24"/>
          <w:lang w:eastAsia="zh-CN"/>
        </w:rPr>
        <w:t>Par veidlapas aizpildīšanu atbildīgais kapitālsabiedrības darbinieks</w:t>
      </w:r>
    </w:p>
    <w:tbl>
      <w:tblPr>
        <w:tblW w:w="5685" w:type="dxa"/>
        <w:tblInd w:w="93" w:type="dxa"/>
        <w:tblLook w:val="04A0" w:firstRow="1" w:lastRow="0" w:firstColumn="1" w:lastColumn="0" w:noHBand="0" w:noVBand="1"/>
      </w:tblPr>
      <w:tblGrid>
        <w:gridCol w:w="2280"/>
        <w:gridCol w:w="3405"/>
      </w:tblGrid>
      <w:tr w:rsidR="00BF5026" w:rsidRPr="008D0EAE" w:rsidTr="00BF5026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26" w:rsidRPr="008D0EAE" w:rsidRDefault="00BF5026" w:rsidP="00240DBA">
            <w:pPr>
              <w:rPr>
                <w:rFonts w:eastAsia="Times New Roman"/>
                <w:color w:val="000000"/>
                <w:sz w:val="24"/>
                <w:lang w:eastAsia="zh-CN"/>
              </w:rPr>
            </w:pPr>
            <w:r w:rsidRPr="008D0EAE">
              <w:rPr>
                <w:rFonts w:eastAsia="Times New Roman"/>
                <w:color w:val="000000"/>
                <w:sz w:val="24"/>
                <w:lang w:eastAsia="zh-CN"/>
              </w:rPr>
              <w:t>Vārds, Uzvārds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026" w:rsidRPr="008D0EAE" w:rsidRDefault="00BF5026" w:rsidP="00BF5026">
            <w:pPr>
              <w:jc w:val="center"/>
              <w:rPr>
                <w:color w:val="000000"/>
                <w:sz w:val="24"/>
              </w:rPr>
            </w:pPr>
            <w:r w:rsidRPr="008D0EAE">
              <w:rPr>
                <w:color w:val="000000"/>
                <w:sz w:val="24"/>
              </w:rPr>
              <w:t>Malda Duļbinska</w:t>
            </w:r>
          </w:p>
        </w:tc>
      </w:tr>
      <w:tr w:rsidR="00BF5026" w:rsidRPr="008D0EAE" w:rsidTr="00BF5026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26" w:rsidRPr="008D0EAE" w:rsidRDefault="00BF5026" w:rsidP="00240DBA">
            <w:pPr>
              <w:rPr>
                <w:rFonts w:eastAsia="Times New Roman"/>
                <w:color w:val="000000"/>
                <w:sz w:val="24"/>
                <w:lang w:eastAsia="zh-CN"/>
              </w:rPr>
            </w:pPr>
            <w:r w:rsidRPr="008D0EAE">
              <w:rPr>
                <w:rFonts w:eastAsia="Times New Roman"/>
                <w:color w:val="000000"/>
                <w:sz w:val="24"/>
                <w:lang w:eastAsia="zh-CN"/>
              </w:rPr>
              <w:t>Ieņemamais amats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026" w:rsidRPr="008D0EAE" w:rsidRDefault="00BF5026" w:rsidP="00BF5026">
            <w:pPr>
              <w:jc w:val="center"/>
              <w:rPr>
                <w:color w:val="000000"/>
                <w:sz w:val="24"/>
              </w:rPr>
            </w:pPr>
            <w:r w:rsidRPr="008D0EAE">
              <w:rPr>
                <w:color w:val="000000"/>
                <w:sz w:val="24"/>
              </w:rPr>
              <w:t>Finanšu daļas vadītāja</w:t>
            </w:r>
          </w:p>
        </w:tc>
      </w:tr>
      <w:tr w:rsidR="00BF5026" w:rsidRPr="008D0EAE" w:rsidTr="00BF5026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26" w:rsidRPr="008D0EAE" w:rsidRDefault="00BF5026" w:rsidP="00240DBA">
            <w:pPr>
              <w:rPr>
                <w:rFonts w:eastAsia="Times New Roman"/>
                <w:color w:val="000000"/>
                <w:sz w:val="24"/>
                <w:lang w:eastAsia="zh-CN"/>
              </w:rPr>
            </w:pPr>
            <w:r w:rsidRPr="008D0EAE">
              <w:rPr>
                <w:rFonts w:eastAsia="Times New Roman"/>
                <w:color w:val="000000"/>
                <w:sz w:val="24"/>
                <w:lang w:eastAsia="zh-CN"/>
              </w:rPr>
              <w:t>Tālrunis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026" w:rsidRPr="008D0EAE" w:rsidRDefault="00BF5026" w:rsidP="00BF5026">
            <w:pPr>
              <w:jc w:val="center"/>
              <w:rPr>
                <w:color w:val="000000"/>
                <w:sz w:val="24"/>
              </w:rPr>
            </w:pPr>
            <w:r w:rsidRPr="008D0EAE">
              <w:rPr>
                <w:color w:val="000000"/>
                <w:sz w:val="24"/>
              </w:rPr>
              <w:t>67517723</w:t>
            </w:r>
          </w:p>
        </w:tc>
      </w:tr>
      <w:tr w:rsidR="00BF5026" w:rsidRPr="008D0EAE" w:rsidTr="00BF5026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26" w:rsidRPr="008D0EAE" w:rsidRDefault="00BF5026" w:rsidP="00240DBA">
            <w:pPr>
              <w:rPr>
                <w:rFonts w:eastAsia="Times New Roman"/>
                <w:color w:val="000000"/>
                <w:sz w:val="24"/>
                <w:lang w:eastAsia="zh-CN"/>
              </w:rPr>
            </w:pPr>
            <w:r w:rsidRPr="008D0EAE">
              <w:rPr>
                <w:rFonts w:eastAsia="Times New Roman"/>
                <w:color w:val="000000"/>
                <w:sz w:val="24"/>
                <w:lang w:eastAsia="zh-CN"/>
              </w:rPr>
              <w:t>e-pasts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026" w:rsidRPr="008D0EAE" w:rsidRDefault="00BC56CD" w:rsidP="00BF5026">
            <w:pPr>
              <w:jc w:val="center"/>
              <w:rPr>
                <w:color w:val="0000FF"/>
                <w:sz w:val="24"/>
                <w:u w:val="single"/>
              </w:rPr>
            </w:pPr>
            <w:hyperlink r:id="rId8" w:history="1">
              <w:r w:rsidR="001A4CB4" w:rsidRPr="00642D23">
                <w:rPr>
                  <w:rStyle w:val="Hyperlink"/>
                  <w:sz w:val="24"/>
                </w:rPr>
                <w:t>Malda.Dulbinska@samc.lv</w:t>
              </w:r>
            </w:hyperlink>
          </w:p>
        </w:tc>
      </w:tr>
    </w:tbl>
    <w:p w:rsidR="00DD7341" w:rsidRPr="00924496" w:rsidRDefault="00DD7341" w:rsidP="00DD7341"/>
    <w:sectPr w:rsidR="00DD7341" w:rsidRPr="00924496" w:rsidSect="009C76D8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418" w:right="1134" w:bottom="1276" w:left="1701" w:header="568" w:footer="41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54C" w:rsidRDefault="0098254C">
      <w:r>
        <w:separator/>
      </w:r>
    </w:p>
  </w:endnote>
  <w:endnote w:type="continuationSeparator" w:id="0">
    <w:p w:rsidR="0098254C" w:rsidRDefault="00982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54C" w:rsidRPr="00B14EC7" w:rsidRDefault="00B14EC7" w:rsidP="00B14EC7">
    <w:pPr>
      <w:pStyle w:val="Footer"/>
      <w:jc w:val="both"/>
      <w:rPr>
        <w:sz w:val="20"/>
      </w:rPr>
    </w:pPr>
    <w:r w:rsidRPr="00C34506">
      <w:rPr>
        <w:sz w:val="20"/>
        <w:szCs w:val="20"/>
      </w:rPr>
      <w:t>E</w:t>
    </w:r>
    <w:r>
      <w:rPr>
        <w:sz w:val="20"/>
        <w:szCs w:val="20"/>
      </w:rPr>
      <w:t>Mzinop4</w:t>
    </w:r>
    <w:r w:rsidRPr="00C34506">
      <w:rPr>
        <w:sz w:val="20"/>
        <w:szCs w:val="20"/>
      </w:rPr>
      <w:t>_</w:t>
    </w:r>
    <w:r w:rsidR="00BC56CD">
      <w:rPr>
        <w:sz w:val="20"/>
        <w:szCs w:val="20"/>
      </w:rPr>
      <w:t>20</w:t>
    </w:r>
    <w:r>
      <w:rPr>
        <w:sz w:val="20"/>
        <w:szCs w:val="20"/>
      </w:rPr>
      <w:t>12</w:t>
    </w:r>
    <w:r w:rsidRPr="00C34506">
      <w:rPr>
        <w:sz w:val="20"/>
        <w:szCs w:val="20"/>
      </w:rPr>
      <w:t>13; Informatīvā ziņojuma „Kapitālsabiedrību, kurās Ekonomikas ministrija ir valsts kapitāla daļu turētāja, finansiālo un darbības rādītāju prognoze, plānotie attīstības virzieni 2014.gadā”</w:t>
    </w:r>
    <w:r>
      <w:rPr>
        <w:sz w:val="20"/>
      </w:rPr>
      <w:t xml:space="preserve"> 4.pielikums „</w:t>
    </w:r>
    <w:r w:rsidRPr="00D216A8">
      <w:rPr>
        <w:sz w:val="20"/>
      </w:rPr>
      <w:t xml:space="preserve">Informācija par </w:t>
    </w:r>
    <w:r>
      <w:rPr>
        <w:sz w:val="20"/>
      </w:rPr>
      <w:t>SIA</w:t>
    </w:r>
    <w:r w:rsidRPr="00D216A8">
      <w:rPr>
        <w:sz w:val="20"/>
      </w:rPr>
      <w:t xml:space="preserve"> „</w:t>
    </w:r>
    <w:r>
      <w:rPr>
        <w:sz w:val="20"/>
      </w:rPr>
      <w:t>Standartizācijas, akreditācijas un metroloģijas centrs</w:t>
    </w:r>
    <w:r w:rsidRPr="00D216A8">
      <w:rPr>
        <w:sz w:val="20"/>
      </w:rPr>
      <w:t xml:space="preserve">” </w:t>
    </w:r>
    <w:r w:rsidRPr="00C34506">
      <w:rPr>
        <w:sz w:val="20"/>
        <w:szCs w:val="20"/>
      </w:rPr>
      <w:t>201</w:t>
    </w:r>
    <w:r>
      <w:rPr>
        <w:sz w:val="20"/>
        <w:szCs w:val="20"/>
      </w:rPr>
      <w:t>4</w:t>
    </w:r>
    <w:r w:rsidRPr="00C34506">
      <w:rPr>
        <w:sz w:val="20"/>
        <w:szCs w:val="20"/>
      </w:rPr>
      <w:t xml:space="preserve">.gada rādītāju </w:t>
    </w:r>
    <w:r>
      <w:rPr>
        <w:sz w:val="20"/>
        <w:szCs w:val="20"/>
      </w:rPr>
      <w:t>prognozi</w:t>
    </w:r>
    <w:r>
      <w:rPr>
        <w:sz w:val="20"/>
      </w:rPr>
      <w:t>”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54C" w:rsidRPr="00D216A8" w:rsidRDefault="003F58F3" w:rsidP="00D216A8">
    <w:pPr>
      <w:pStyle w:val="Footer"/>
      <w:jc w:val="both"/>
      <w:rPr>
        <w:sz w:val="20"/>
      </w:rPr>
    </w:pPr>
    <w:r w:rsidRPr="00C34506">
      <w:rPr>
        <w:sz w:val="20"/>
        <w:szCs w:val="20"/>
      </w:rPr>
      <w:t>E</w:t>
    </w:r>
    <w:r>
      <w:rPr>
        <w:sz w:val="20"/>
        <w:szCs w:val="20"/>
      </w:rPr>
      <w:t>Mzinop4</w:t>
    </w:r>
    <w:r w:rsidRPr="00C34506">
      <w:rPr>
        <w:sz w:val="20"/>
        <w:szCs w:val="20"/>
      </w:rPr>
      <w:t>_</w:t>
    </w:r>
    <w:r w:rsidR="00BC56CD">
      <w:rPr>
        <w:sz w:val="20"/>
        <w:szCs w:val="20"/>
      </w:rPr>
      <w:t>20</w:t>
    </w:r>
    <w:r>
      <w:rPr>
        <w:sz w:val="20"/>
        <w:szCs w:val="20"/>
      </w:rPr>
      <w:t>12</w:t>
    </w:r>
    <w:r w:rsidRPr="00C34506">
      <w:rPr>
        <w:sz w:val="20"/>
        <w:szCs w:val="20"/>
      </w:rPr>
      <w:t>13; Informatīvā ziņojuma „Kapitālsabiedrību, kurās Ekonomikas ministrija ir valsts kapitāla daļu turētāja, finansiālo un darbības rādītāju prognoze, plānotie attīstības virzieni 2014.gadā”</w:t>
    </w:r>
    <w:r w:rsidR="0098254C">
      <w:rPr>
        <w:sz w:val="20"/>
      </w:rPr>
      <w:t xml:space="preserve"> 4.pielikums „</w:t>
    </w:r>
    <w:r w:rsidR="0098254C" w:rsidRPr="00D216A8">
      <w:rPr>
        <w:sz w:val="20"/>
      </w:rPr>
      <w:t xml:space="preserve">Informācija par </w:t>
    </w:r>
    <w:r w:rsidR="0098254C">
      <w:rPr>
        <w:sz w:val="20"/>
      </w:rPr>
      <w:t>SIA</w:t>
    </w:r>
    <w:r w:rsidR="0098254C" w:rsidRPr="00D216A8">
      <w:rPr>
        <w:sz w:val="20"/>
      </w:rPr>
      <w:t xml:space="preserve"> „</w:t>
    </w:r>
    <w:r w:rsidR="0098254C">
      <w:rPr>
        <w:sz w:val="20"/>
      </w:rPr>
      <w:t>Standartizācijas, akreditācijas un metroloģijas centrs</w:t>
    </w:r>
    <w:r w:rsidR="0098254C" w:rsidRPr="00D216A8">
      <w:rPr>
        <w:sz w:val="20"/>
      </w:rPr>
      <w:t xml:space="preserve">” </w:t>
    </w:r>
    <w:r w:rsidRPr="00C34506">
      <w:rPr>
        <w:sz w:val="20"/>
        <w:szCs w:val="20"/>
      </w:rPr>
      <w:t>201</w:t>
    </w:r>
    <w:r>
      <w:rPr>
        <w:sz w:val="20"/>
        <w:szCs w:val="20"/>
      </w:rPr>
      <w:t>4</w:t>
    </w:r>
    <w:r w:rsidRPr="00C34506">
      <w:rPr>
        <w:sz w:val="20"/>
        <w:szCs w:val="20"/>
      </w:rPr>
      <w:t xml:space="preserve">.gada rādītāju </w:t>
    </w:r>
    <w:r>
      <w:rPr>
        <w:sz w:val="20"/>
        <w:szCs w:val="20"/>
      </w:rPr>
      <w:t>prognozi</w:t>
    </w:r>
    <w:r w:rsidR="0098254C">
      <w:rPr>
        <w:sz w:val="20"/>
      </w:rPr>
      <w:t>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54C" w:rsidRDefault="0098254C">
      <w:r>
        <w:separator/>
      </w:r>
    </w:p>
  </w:footnote>
  <w:footnote w:type="continuationSeparator" w:id="0">
    <w:p w:rsidR="0098254C" w:rsidRDefault="009825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5972574"/>
      <w:docPartObj>
        <w:docPartGallery w:val="Page Numbers (Top of Page)"/>
        <w:docPartUnique/>
      </w:docPartObj>
    </w:sdtPr>
    <w:sdtEndPr>
      <w:rPr>
        <w:noProof/>
      </w:rPr>
    </w:sdtEndPr>
    <w:sdtContent>
      <w:p w:rsidR="0098254C" w:rsidRDefault="0098254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56C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8254C" w:rsidRDefault="0098254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54C" w:rsidRPr="00316E50" w:rsidRDefault="0098254C" w:rsidP="00E7196B">
    <w:pPr>
      <w:pStyle w:val="ListParagraph"/>
      <w:jc w:val="right"/>
      <w:rPr>
        <w:sz w:val="24"/>
      </w:rPr>
    </w:pPr>
    <w:r>
      <w:rPr>
        <w:sz w:val="24"/>
      </w:rPr>
      <w:t>4</w:t>
    </w:r>
    <w:r w:rsidRPr="00316E50">
      <w:rPr>
        <w:sz w:val="24"/>
      </w:rPr>
      <w:t>.pielikums</w:t>
    </w:r>
  </w:p>
  <w:p w:rsidR="0098254C" w:rsidRPr="00316E50" w:rsidRDefault="001E2F29" w:rsidP="00E7196B">
    <w:pPr>
      <w:pStyle w:val="Header"/>
      <w:tabs>
        <w:tab w:val="clear" w:pos="4153"/>
        <w:tab w:val="clear" w:pos="8306"/>
      </w:tabs>
      <w:ind w:left="1134"/>
      <w:jc w:val="right"/>
      <w:rPr>
        <w:sz w:val="24"/>
      </w:rPr>
    </w:pPr>
    <w:r>
      <w:rPr>
        <w:sz w:val="24"/>
      </w:rPr>
      <w:t>Informatīvajam ziņojumam „</w:t>
    </w:r>
    <w:r w:rsidRPr="00B22A44">
      <w:rPr>
        <w:sz w:val="24"/>
      </w:rPr>
      <w:t>Kapitālsabiedrību, kurās Ekonomikas ministrija ir valsts kapitāla daļu turētāja, finansiālo un darbības rādītāju prognoze, plānotie attīstības virzieni 201</w:t>
    </w:r>
    <w:r>
      <w:rPr>
        <w:sz w:val="24"/>
      </w:rPr>
      <w:t>4</w:t>
    </w:r>
    <w:r w:rsidRPr="00B22A44">
      <w:rPr>
        <w:sz w:val="24"/>
      </w:rPr>
      <w:t>.gadā</w:t>
    </w:r>
    <w:r>
      <w:rPr>
        <w:sz w:val="24"/>
      </w:rPr>
      <w:t>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546F1"/>
    <w:multiLevelType w:val="hybridMultilevel"/>
    <w:tmpl w:val="3E663EA8"/>
    <w:lvl w:ilvl="0" w:tplc="6CAC62C2">
      <w:start w:val="2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BE5935"/>
    <w:multiLevelType w:val="hybridMultilevel"/>
    <w:tmpl w:val="AFB657B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D7341"/>
    <w:rsid w:val="00001978"/>
    <w:rsid w:val="00004BC2"/>
    <w:rsid w:val="000167EE"/>
    <w:rsid w:val="0002108C"/>
    <w:rsid w:val="000232FB"/>
    <w:rsid w:val="00023BB9"/>
    <w:rsid w:val="00025A07"/>
    <w:rsid w:val="00026234"/>
    <w:rsid w:val="00026788"/>
    <w:rsid w:val="00026E74"/>
    <w:rsid w:val="00035CC2"/>
    <w:rsid w:val="0004033B"/>
    <w:rsid w:val="00043170"/>
    <w:rsid w:val="00044E74"/>
    <w:rsid w:val="00061562"/>
    <w:rsid w:val="00066330"/>
    <w:rsid w:val="00070066"/>
    <w:rsid w:val="00070C63"/>
    <w:rsid w:val="00071FC2"/>
    <w:rsid w:val="000747D8"/>
    <w:rsid w:val="00074E79"/>
    <w:rsid w:val="00074FD1"/>
    <w:rsid w:val="00075664"/>
    <w:rsid w:val="00085452"/>
    <w:rsid w:val="00086A5A"/>
    <w:rsid w:val="000926CF"/>
    <w:rsid w:val="000932C7"/>
    <w:rsid w:val="00097C6C"/>
    <w:rsid w:val="000A061E"/>
    <w:rsid w:val="000A087D"/>
    <w:rsid w:val="000A143D"/>
    <w:rsid w:val="000B0366"/>
    <w:rsid w:val="000B0B6B"/>
    <w:rsid w:val="000B0E03"/>
    <w:rsid w:val="000B2581"/>
    <w:rsid w:val="000B258A"/>
    <w:rsid w:val="000B50F9"/>
    <w:rsid w:val="000C7002"/>
    <w:rsid w:val="000C72DF"/>
    <w:rsid w:val="000D17DA"/>
    <w:rsid w:val="000D476A"/>
    <w:rsid w:val="000D4A9D"/>
    <w:rsid w:val="000D6691"/>
    <w:rsid w:val="000E1E64"/>
    <w:rsid w:val="000E5A10"/>
    <w:rsid w:val="000F4D3D"/>
    <w:rsid w:val="000F4EC5"/>
    <w:rsid w:val="000F4ED4"/>
    <w:rsid w:val="000F4F21"/>
    <w:rsid w:val="000F6B7D"/>
    <w:rsid w:val="000F7543"/>
    <w:rsid w:val="001010F6"/>
    <w:rsid w:val="00103357"/>
    <w:rsid w:val="00103B3F"/>
    <w:rsid w:val="00124CBD"/>
    <w:rsid w:val="00131AC3"/>
    <w:rsid w:val="00131AEC"/>
    <w:rsid w:val="00133B7B"/>
    <w:rsid w:val="00136EBC"/>
    <w:rsid w:val="0013709F"/>
    <w:rsid w:val="00140EBF"/>
    <w:rsid w:val="00142DF1"/>
    <w:rsid w:val="00142EE1"/>
    <w:rsid w:val="00143C81"/>
    <w:rsid w:val="00154BE5"/>
    <w:rsid w:val="001558ED"/>
    <w:rsid w:val="0015616E"/>
    <w:rsid w:val="0016118E"/>
    <w:rsid w:val="00166515"/>
    <w:rsid w:val="00166CF1"/>
    <w:rsid w:val="00172943"/>
    <w:rsid w:val="001735B4"/>
    <w:rsid w:val="00175E92"/>
    <w:rsid w:val="0018068F"/>
    <w:rsid w:val="00181757"/>
    <w:rsid w:val="0018299C"/>
    <w:rsid w:val="00184171"/>
    <w:rsid w:val="0019142B"/>
    <w:rsid w:val="00194430"/>
    <w:rsid w:val="00196253"/>
    <w:rsid w:val="001A1D3E"/>
    <w:rsid w:val="001A36A8"/>
    <w:rsid w:val="001A36F9"/>
    <w:rsid w:val="001A3DFA"/>
    <w:rsid w:val="001A4CB4"/>
    <w:rsid w:val="001A5056"/>
    <w:rsid w:val="001A6E6B"/>
    <w:rsid w:val="001B02E6"/>
    <w:rsid w:val="001B413F"/>
    <w:rsid w:val="001B7839"/>
    <w:rsid w:val="001C0B33"/>
    <w:rsid w:val="001C0E52"/>
    <w:rsid w:val="001C1490"/>
    <w:rsid w:val="001C4A2B"/>
    <w:rsid w:val="001C64E2"/>
    <w:rsid w:val="001E07A9"/>
    <w:rsid w:val="001E2132"/>
    <w:rsid w:val="001E2F29"/>
    <w:rsid w:val="001E4615"/>
    <w:rsid w:val="001E494D"/>
    <w:rsid w:val="00204877"/>
    <w:rsid w:val="0020781E"/>
    <w:rsid w:val="00207A8C"/>
    <w:rsid w:val="00213DDA"/>
    <w:rsid w:val="00224920"/>
    <w:rsid w:val="002320B7"/>
    <w:rsid w:val="00235CAD"/>
    <w:rsid w:val="00237E4B"/>
    <w:rsid w:val="00240DBA"/>
    <w:rsid w:val="0024272C"/>
    <w:rsid w:val="00252147"/>
    <w:rsid w:val="002566E7"/>
    <w:rsid w:val="00260F9E"/>
    <w:rsid w:val="00261B1E"/>
    <w:rsid w:val="0026453E"/>
    <w:rsid w:val="00273FBD"/>
    <w:rsid w:val="00277AAA"/>
    <w:rsid w:val="00280913"/>
    <w:rsid w:val="00282E94"/>
    <w:rsid w:val="00295D6F"/>
    <w:rsid w:val="00297E44"/>
    <w:rsid w:val="002A1C88"/>
    <w:rsid w:val="002A2B00"/>
    <w:rsid w:val="002A40EE"/>
    <w:rsid w:val="002A52CE"/>
    <w:rsid w:val="002A7A55"/>
    <w:rsid w:val="002C1EF2"/>
    <w:rsid w:val="002C23F9"/>
    <w:rsid w:val="002C392A"/>
    <w:rsid w:val="002C59E7"/>
    <w:rsid w:val="002D2122"/>
    <w:rsid w:val="002D260E"/>
    <w:rsid w:val="002D2DB0"/>
    <w:rsid w:val="002F572B"/>
    <w:rsid w:val="002F58D7"/>
    <w:rsid w:val="002F7E3A"/>
    <w:rsid w:val="003001DF"/>
    <w:rsid w:val="003127FF"/>
    <w:rsid w:val="003132B2"/>
    <w:rsid w:val="00315210"/>
    <w:rsid w:val="00315555"/>
    <w:rsid w:val="00316E50"/>
    <w:rsid w:val="0033054E"/>
    <w:rsid w:val="00330E3A"/>
    <w:rsid w:val="003325F2"/>
    <w:rsid w:val="00333848"/>
    <w:rsid w:val="003362B3"/>
    <w:rsid w:val="0034077F"/>
    <w:rsid w:val="00341853"/>
    <w:rsid w:val="00342C89"/>
    <w:rsid w:val="003440DA"/>
    <w:rsid w:val="00344473"/>
    <w:rsid w:val="003511E7"/>
    <w:rsid w:val="00353657"/>
    <w:rsid w:val="00361905"/>
    <w:rsid w:val="00366154"/>
    <w:rsid w:val="003752D6"/>
    <w:rsid w:val="00377695"/>
    <w:rsid w:val="00380285"/>
    <w:rsid w:val="003826BF"/>
    <w:rsid w:val="00385CBC"/>
    <w:rsid w:val="00386F94"/>
    <w:rsid w:val="0039188B"/>
    <w:rsid w:val="00393955"/>
    <w:rsid w:val="00397611"/>
    <w:rsid w:val="00397DCF"/>
    <w:rsid w:val="003A395B"/>
    <w:rsid w:val="003A5224"/>
    <w:rsid w:val="003B0415"/>
    <w:rsid w:val="003B2BAE"/>
    <w:rsid w:val="003B406F"/>
    <w:rsid w:val="003B6B60"/>
    <w:rsid w:val="003B7788"/>
    <w:rsid w:val="003C1B99"/>
    <w:rsid w:val="003C3579"/>
    <w:rsid w:val="003C4627"/>
    <w:rsid w:val="003C4FFE"/>
    <w:rsid w:val="003D3605"/>
    <w:rsid w:val="003D5095"/>
    <w:rsid w:val="003D5665"/>
    <w:rsid w:val="003D6292"/>
    <w:rsid w:val="003D7FEF"/>
    <w:rsid w:val="003E2787"/>
    <w:rsid w:val="003E5EE7"/>
    <w:rsid w:val="003F54B4"/>
    <w:rsid w:val="003F58F3"/>
    <w:rsid w:val="003F6D84"/>
    <w:rsid w:val="004038CA"/>
    <w:rsid w:val="00404D7C"/>
    <w:rsid w:val="00440480"/>
    <w:rsid w:val="00443E90"/>
    <w:rsid w:val="00443F8E"/>
    <w:rsid w:val="00447261"/>
    <w:rsid w:val="0044737D"/>
    <w:rsid w:val="00452F00"/>
    <w:rsid w:val="00453A13"/>
    <w:rsid w:val="004550B9"/>
    <w:rsid w:val="00457654"/>
    <w:rsid w:val="00460524"/>
    <w:rsid w:val="00462528"/>
    <w:rsid w:val="00464B94"/>
    <w:rsid w:val="004661AF"/>
    <w:rsid w:val="0046633C"/>
    <w:rsid w:val="00473988"/>
    <w:rsid w:val="00474A1B"/>
    <w:rsid w:val="004758D2"/>
    <w:rsid w:val="00480754"/>
    <w:rsid w:val="00483F55"/>
    <w:rsid w:val="004857DC"/>
    <w:rsid w:val="004860F2"/>
    <w:rsid w:val="004929AC"/>
    <w:rsid w:val="00492F4B"/>
    <w:rsid w:val="004946A8"/>
    <w:rsid w:val="00494936"/>
    <w:rsid w:val="004A2A30"/>
    <w:rsid w:val="004A2ECD"/>
    <w:rsid w:val="004A366F"/>
    <w:rsid w:val="004A4F75"/>
    <w:rsid w:val="004A5D6D"/>
    <w:rsid w:val="004A6423"/>
    <w:rsid w:val="004B0B11"/>
    <w:rsid w:val="004B1227"/>
    <w:rsid w:val="004B1846"/>
    <w:rsid w:val="004B1F36"/>
    <w:rsid w:val="004B2DBA"/>
    <w:rsid w:val="004C4F34"/>
    <w:rsid w:val="004C5379"/>
    <w:rsid w:val="004D0DC0"/>
    <w:rsid w:val="004D1B25"/>
    <w:rsid w:val="004D3022"/>
    <w:rsid w:val="004D362E"/>
    <w:rsid w:val="004D48AC"/>
    <w:rsid w:val="004D5784"/>
    <w:rsid w:val="004D5D73"/>
    <w:rsid w:val="004D701C"/>
    <w:rsid w:val="004D7BE2"/>
    <w:rsid w:val="004E0787"/>
    <w:rsid w:val="004E399B"/>
    <w:rsid w:val="004F0550"/>
    <w:rsid w:val="00505465"/>
    <w:rsid w:val="00507C81"/>
    <w:rsid w:val="005145A3"/>
    <w:rsid w:val="00514E45"/>
    <w:rsid w:val="0051508A"/>
    <w:rsid w:val="005166C9"/>
    <w:rsid w:val="00530381"/>
    <w:rsid w:val="00531299"/>
    <w:rsid w:val="00533165"/>
    <w:rsid w:val="005335B5"/>
    <w:rsid w:val="00533F53"/>
    <w:rsid w:val="005343FD"/>
    <w:rsid w:val="00540258"/>
    <w:rsid w:val="0054374D"/>
    <w:rsid w:val="00545F6F"/>
    <w:rsid w:val="0054636C"/>
    <w:rsid w:val="00553184"/>
    <w:rsid w:val="00555236"/>
    <w:rsid w:val="005554B8"/>
    <w:rsid w:val="005657DB"/>
    <w:rsid w:val="005667FD"/>
    <w:rsid w:val="00575C57"/>
    <w:rsid w:val="00580D96"/>
    <w:rsid w:val="00582CA6"/>
    <w:rsid w:val="00583758"/>
    <w:rsid w:val="005874E8"/>
    <w:rsid w:val="00590089"/>
    <w:rsid w:val="0059106C"/>
    <w:rsid w:val="0059742D"/>
    <w:rsid w:val="0059761D"/>
    <w:rsid w:val="005A0256"/>
    <w:rsid w:val="005A3ABA"/>
    <w:rsid w:val="005A787C"/>
    <w:rsid w:val="005B5C43"/>
    <w:rsid w:val="005B6E28"/>
    <w:rsid w:val="005B7BE4"/>
    <w:rsid w:val="005C0E53"/>
    <w:rsid w:val="005C493B"/>
    <w:rsid w:val="005D3855"/>
    <w:rsid w:val="005D3CAC"/>
    <w:rsid w:val="005D499C"/>
    <w:rsid w:val="005D5DC1"/>
    <w:rsid w:val="005D67C6"/>
    <w:rsid w:val="00600630"/>
    <w:rsid w:val="00601949"/>
    <w:rsid w:val="00602E3B"/>
    <w:rsid w:val="0060455B"/>
    <w:rsid w:val="00605284"/>
    <w:rsid w:val="00611FEE"/>
    <w:rsid w:val="006125C4"/>
    <w:rsid w:val="0061337F"/>
    <w:rsid w:val="00614E27"/>
    <w:rsid w:val="00624578"/>
    <w:rsid w:val="0062507D"/>
    <w:rsid w:val="006277F4"/>
    <w:rsid w:val="00632003"/>
    <w:rsid w:val="00633282"/>
    <w:rsid w:val="00636727"/>
    <w:rsid w:val="00637924"/>
    <w:rsid w:val="006452C0"/>
    <w:rsid w:val="006452F1"/>
    <w:rsid w:val="006529A8"/>
    <w:rsid w:val="00662BE7"/>
    <w:rsid w:val="006632BE"/>
    <w:rsid w:val="00664F2A"/>
    <w:rsid w:val="00675032"/>
    <w:rsid w:val="006754D6"/>
    <w:rsid w:val="00675E4C"/>
    <w:rsid w:val="006772A2"/>
    <w:rsid w:val="00681DCE"/>
    <w:rsid w:val="00683D0C"/>
    <w:rsid w:val="00685D77"/>
    <w:rsid w:val="0069598A"/>
    <w:rsid w:val="0069738E"/>
    <w:rsid w:val="006A04F2"/>
    <w:rsid w:val="006A3752"/>
    <w:rsid w:val="006A542E"/>
    <w:rsid w:val="006A6269"/>
    <w:rsid w:val="006A6A5E"/>
    <w:rsid w:val="006A6BEA"/>
    <w:rsid w:val="006B174B"/>
    <w:rsid w:val="006B399C"/>
    <w:rsid w:val="006C62AE"/>
    <w:rsid w:val="006D0200"/>
    <w:rsid w:val="006D2FFF"/>
    <w:rsid w:val="006D3CC6"/>
    <w:rsid w:val="006D4000"/>
    <w:rsid w:val="006F5025"/>
    <w:rsid w:val="00700300"/>
    <w:rsid w:val="0070170C"/>
    <w:rsid w:val="00701EC5"/>
    <w:rsid w:val="00707E5D"/>
    <w:rsid w:val="00710ECA"/>
    <w:rsid w:val="007137BF"/>
    <w:rsid w:val="00715746"/>
    <w:rsid w:val="00722F9D"/>
    <w:rsid w:val="00725577"/>
    <w:rsid w:val="00725D20"/>
    <w:rsid w:val="007315F8"/>
    <w:rsid w:val="0073287E"/>
    <w:rsid w:val="007367B4"/>
    <w:rsid w:val="0074135C"/>
    <w:rsid w:val="00742151"/>
    <w:rsid w:val="0075278A"/>
    <w:rsid w:val="007541C7"/>
    <w:rsid w:val="007653EF"/>
    <w:rsid w:val="007673DC"/>
    <w:rsid w:val="00767463"/>
    <w:rsid w:val="00767DE3"/>
    <w:rsid w:val="007778CB"/>
    <w:rsid w:val="00784985"/>
    <w:rsid w:val="00786DC6"/>
    <w:rsid w:val="00794152"/>
    <w:rsid w:val="0079551B"/>
    <w:rsid w:val="00795650"/>
    <w:rsid w:val="007A1F28"/>
    <w:rsid w:val="007A79B3"/>
    <w:rsid w:val="007B214A"/>
    <w:rsid w:val="007B33AE"/>
    <w:rsid w:val="007B7733"/>
    <w:rsid w:val="007C0A8F"/>
    <w:rsid w:val="007C0F70"/>
    <w:rsid w:val="007C30C5"/>
    <w:rsid w:val="007C333E"/>
    <w:rsid w:val="007C4B69"/>
    <w:rsid w:val="007D01B6"/>
    <w:rsid w:val="007D30AD"/>
    <w:rsid w:val="007D549A"/>
    <w:rsid w:val="007D55D6"/>
    <w:rsid w:val="007E2A05"/>
    <w:rsid w:val="007E7BF9"/>
    <w:rsid w:val="007F0597"/>
    <w:rsid w:val="007F4856"/>
    <w:rsid w:val="007F4D38"/>
    <w:rsid w:val="0080349B"/>
    <w:rsid w:val="0080799F"/>
    <w:rsid w:val="008107EB"/>
    <w:rsid w:val="00814B76"/>
    <w:rsid w:val="00815FDA"/>
    <w:rsid w:val="00822BC9"/>
    <w:rsid w:val="00822FF8"/>
    <w:rsid w:val="00836720"/>
    <w:rsid w:val="00847FDD"/>
    <w:rsid w:val="008642EB"/>
    <w:rsid w:val="008645E8"/>
    <w:rsid w:val="00865B3D"/>
    <w:rsid w:val="00882833"/>
    <w:rsid w:val="00883C72"/>
    <w:rsid w:val="008847F2"/>
    <w:rsid w:val="00887CB2"/>
    <w:rsid w:val="00891B0A"/>
    <w:rsid w:val="00895C46"/>
    <w:rsid w:val="008A2292"/>
    <w:rsid w:val="008A2345"/>
    <w:rsid w:val="008A27C6"/>
    <w:rsid w:val="008A663A"/>
    <w:rsid w:val="008A6734"/>
    <w:rsid w:val="008A6DF1"/>
    <w:rsid w:val="008B3FA5"/>
    <w:rsid w:val="008B4E32"/>
    <w:rsid w:val="008B68BC"/>
    <w:rsid w:val="008B6CF4"/>
    <w:rsid w:val="008C7329"/>
    <w:rsid w:val="008D0EAE"/>
    <w:rsid w:val="008D1392"/>
    <w:rsid w:val="008D1B66"/>
    <w:rsid w:val="008D2679"/>
    <w:rsid w:val="008D33AD"/>
    <w:rsid w:val="008D4C80"/>
    <w:rsid w:val="008D5898"/>
    <w:rsid w:val="008D72D7"/>
    <w:rsid w:val="008E0B76"/>
    <w:rsid w:val="008E2166"/>
    <w:rsid w:val="008E3BA9"/>
    <w:rsid w:val="008E51F5"/>
    <w:rsid w:val="008E7077"/>
    <w:rsid w:val="008F105C"/>
    <w:rsid w:val="008F5B6F"/>
    <w:rsid w:val="008F6D7A"/>
    <w:rsid w:val="00905C07"/>
    <w:rsid w:val="00910D13"/>
    <w:rsid w:val="00916F04"/>
    <w:rsid w:val="00921D52"/>
    <w:rsid w:val="00923619"/>
    <w:rsid w:val="00924496"/>
    <w:rsid w:val="0093289C"/>
    <w:rsid w:val="00943A90"/>
    <w:rsid w:val="00944D51"/>
    <w:rsid w:val="0094516F"/>
    <w:rsid w:val="00945CF3"/>
    <w:rsid w:val="00945D16"/>
    <w:rsid w:val="009512B3"/>
    <w:rsid w:val="0095184B"/>
    <w:rsid w:val="009638EA"/>
    <w:rsid w:val="00964C2A"/>
    <w:rsid w:val="00971B8A"/>
    <w:rsid w:val="009730F6"/>
    <w:rsid w:val="009734DA"/>
    <w:rsid w:val="00975167"/>
    <w:rsid w:val="00976456"/>
    <w:rsid w:val="00976F58"/>
    <w:rsid w:val="0098254C"/>
    <w:rsid w:val="00983DAD"/>
    <w:rsid w:val="00990AE0"/>
    <w:rsid w:val="00990C4F"/>
    <w:rsid w:val="00991C90"/>
    <w:rsid w:val="00992C91"/>
    <w:rsid w:val="00994248"/>
    <w:rsid w:val="009943DA"/>
    <w:rsid w:val="00994F6E"/>
    <w:rsid w:val="009A074A"/>
    <w:rsid w:val="009A0C34"/>
    <w:rsid w:val="009A3D5A"/>
    <w:rsid w:val="009A5D4D"/>
    <w:rsid w:val="009B1A65"/>
    <w:rsid w:val="009B2144"/>
    <w:rsid w:val="009B2701"/>
    <w:rsid w:val="009B50D5"/>
    <w:rsid w:val="009B5BE3"/>
    <w:rsid w:val="009B67FA"/>
    <w:rsid w:val="009B68FC"/>
    <w:rsid w:val="009C10F4"/>
    <w:rsid w:val="009C3A35"/>
    <w:rsid w:val="009C5C47"/>
    <w:rsid w:val="009C76D8"/>
    <w:rsid w:val="009E63F2"/>
    <w:rsid w:val="009F4FFB"/>
    <w:rsid w:val="009F52D0"/>
    <w:rsid w:val="009F62FE"/>
    <w:rsid w:val="009F6638"/>
    <w:rsid w:val="009F755F"/>
    <w:rsid w:val="00A00A18"/>
    <w:rsid w:val="00A07A24"/>
    <w:rsid w:val="00A12DD8"/>
    <w:rsid w:val="00A15CEF"/>
    <w:rsid w:val="00A23461"/>
    <w:rsid w:val="00A235AA"/>
    <w:rsid w:val="00A3079C"/>
    <w:rsid w:val="00A35D74"/>
    <w:rsid w:val="00A3790D"/>
    <w:rsid w:val="00A37B44"/>
    <w:rsid w:val="00A37D59"/>
    <w:rsid w:val="00A43750"/>
    <w:rsid w:val="00A475B0"/>
    <w:rsid w:val="00A47E3C"/>
    <w:rsid w:val="00A502CE"/>
    <w:rsid w:val="00A50A14"/>
    <w:rsid w:val="00A53A84"/>
    <w:rsid w:val="00A56A96"/>
    <w:rsid w:val="00A63ED0"/>
    <w:rsid w:val="00A65291"/>
    <w:rsid w:val="00A66C4B"/>
    <w:rsid w:val="00A7115A"/>
    <w:rsid w:val="00A724B0"/>
    <w:rsid w:val="00A74524"/>
    <w:rsid w:val="00A82B26"/>
    <w:rsid w:val="00A9119D"/>
    <w:rsid w:val="00A92EFB"/>
    <w:rsid w:val="00A9461E"/>
    <w:rsid w:val="00AA1282"/>
    <w:rsid w:val="00AA24D0"/>
    <w:rsid w:val="00AA595D"/>
    <w:rsid w:val="00AB7029"/>
    <w:rsid w:val="00AC209A"/>
    <w:rsid w:val="00AC2FAA"/>
    <w:rsid w:val="00AC625C"/>
    <w:rsid w:val="00AD1D34"/>
    <w:rsid w:val="00AD27C6"/>
    <w:rsid w:val="00AD3999"/>
    <w:rsid w:val="00AD5AB8"/>
    <w:rsid w:val="00AD7A2E"/>
    <w:rsid w:val="00AE5952"/>
    <w:rsid w:val="00AE5A5D"/>
    <w:rsid w:val="00AE7CC7"/>
    <w:rsid w:val="00AF06F1"/>
    <w:rsid w:val="00AF0EDC"/>
    <w:rsid w:val="00AF4A2D"/>
    <w:rsid w:val="00AF5020"/>
    <w:rsid w:val="00AF5031"/>
    <w:rsid w:val="00AF6B7D"/>
    <w:rsid w:val="00B04D0A"/>
    <w:rsid w:val="00B07063"/>
    <w:rsid w:val="00B12855"/>
    <w:rsid w:val="00B141A5"/>
    <w:rsid w:val="00B14329"/>
    <w:rsid w:val="00B14EC7"/>
    <w:rsid w:val="00B22A8B"/>
    <w:rsid w:val="00B24BE7"/>
    <w:rsid w:val="00B26B54"/>
    <w:rsid w:val="00B27E91"/>
    <w:rsid w:val="00B3354B"/>
    <w:rsid w:val="00B3543B"/>
    <w:rsid w:val="00B45486"/>
    <w:rsid w:val="00B45B08"/>
    <w:rsid w:val="00B52BCF"/>
    <w:rsid w:val="00B52BF0"/>
    <w:rsid w:val="00B55F07"/>
    <w:rsid w:val="00B71237"/>
    <w:rsid w:val="00B742C0"/>
    <w:rsid w:val="00B7685E"/>
    <w:rsid w:val="00B91868"/>
    <w:rsid w:val="00B91B27"/>
    <w:rsid w:val="00BA2FBD"/>
    <w:rsid w:val="00BA7039"/>
    <w:rsid w:val="00BB408A"/>
    <w:rsid w:val="00BB7D51"/>
    <w:rsid w:val="00BC56CD"/>
    <w:rsid w:val="00BD0318"/>
    <w:rsid w:val="00BD65DC"/>
    <w:rsid w:val="00BD6BD9"/>
    <w:rsid w:val="00BD71D7"/>
    <w:rsid w:val="00BE000B"/>
    <w:rsid w:val="00BE00C4"/>
    <w:rsid w:val="00BE1950"/>
    <w:rsid w:val="00BE2EC9"/>
    <w:rsid w:val="00BE49AE"/>
    <w:rsid w:val="00BE4A47"/>
    <w:rsid w:val="00BF0318"/>
    <w:rsid w:val="00BF15BB"/>
    <w:rsid w:val="00BF5026"/>
    <w:rsid w:val="00C00569"/>
    <w:rsid w:val="00C04EEA"/>
    <w:rsid w:val="00C150BE"/>
    <w:rsid w:val="00C15B62"/>
    <w:rsid w:val="00C15D51"/>
    <w:rsid w:val="00C2459F"/>
    <w:rsid w:val="00C2657D"/>
    <w:rsid w:val="00C30B86"/>
    <w:rsid w:val="00C32692"/>
    <w:rsid w:val="00C34CE6"/>
    <w:rsid w:val="00C439A1"/>
    <w:rsid w:val="00C54755"/>
    <w:rsid w:val="00C57D9B"/>
    <w:rsid w:val="00C60B46"/>
    <w:rsid w:val="00C60BD5"/>
    <w:rsid w:val="00C613E7"/>
    <w:rsid w:val="00C65BE2"/>
    <w:rsid w:val="00C72DE5"/>
    <w:rsid w:val="00C82D58"/>
    <w:rsid w:val="00C82FE4"/>
    <w:rsid w:val="00C85B12"/>
    <w:rsid w:val="00C87AAA"/>
    <w:rsid w:val="00C90341"/>
    <w:rsid w:val="00C91830"/>
    <w:rsid w:val="00C935B3"/>
    <w:rsid w:val="00C946D5"/>
    <w:rsid w:val="00C96A0D"/>
    <w:rsid w:val="00CA0527"/>
    <w:rsid w:val="00CA1953"/>
    <w:rsid w:val="00CA3766"/>
    <w:rsid w:val="00CA5AAB"/>
    <w:rsid w:val="00CA71AB"/>
    <w:rsid w:val="00CA7A68"/>
    <w:rsid w:val="00CB1781"/>
    <w:rsid w:val="00CB3417"/>
    <w:rsid w:val="00CC07E7"/>
    <w:rsid w:val="00CD64AA"/>
    <w:rsid w:val="00CD76DE"/>
    <w:rsid w:val="00CE5CA5"/>
    <w:rsid w:val="00CF33AD"/>
    <w:rsid w:val="00CF4AF7"/>
    <w:rsid w:val="00CF7D22"/>
    <w:rsid w:val="00D026AD"/>
    <w:rsid w:val="00D12060"/>
    <w:rsid w:val="00D13D0F"/>
    <w:rsid w:val="00D14A0F"/>
    <w:rsid w:val="00D216A8"/>
    <w:rsid w:val="00D23379"/>
    <w:rsid w:val="00D2342F"/>
    <w:rsid w:val="00D31326"/>
    <w:rsid w:val="00D32D67"/>
    <w:rsid w:val="00D337E7"/>
    <w:rsid w:val="00D41727"/>
    <w:rsid w:val="00D427AF"/>
    <w:rsid w:val="00D42ACC"/>
    <w:rsid w:val="00D464D7"/>
    <w:rsid w:val="00D533A7"/>
    <w:rsid w:val="00D53A49"/>
    <w:rsid w:val="00D55C9E"/>
    <w:rsid w:val="00D57007"/>
    <w:rsid w:val="00D6161F"/>
    <w:rsid w:val="00D64158"/>
    <w:rsid w:val="00D65575"/>
    <w:rsid w:val="00D65AB4"/>
    <w:rsid w:val="00D662FF"/>
    <w:rsid w:val="00D708F5"/>
    <w:rsid w:val="00D861F0"/>
    <w:rsid w:val="00D8622E"/>
    <w:rsid w:val="00D86278"/>
    <w:rsid w:val="00D8639A"/>
    <w:rsid w:val="00D87C7F"/>
    <w:rsid w:val="00D90F91"/>
    <w:rsid w:val="00D92FF3"/>
    <w:rsid w:val="00D9362C"/>
    <w:rsid w:val="00DA2E0D"/>
    <w:rsid w:val="00DA4E51"/>
    <w:rsid w:val="00DA608F"/>
    <w:rsid w:val="00DA705B"/>
    <w:rsid w:val="00DB15DE"/>
    <w:rsid w:val="00DB3AAD"/>
    <w:rsid w:val="00DB5F19"/>
    <w:rsid w:val="00DB7216"/>
    <w:rsid w:val="00DC0234"/>
    <w:rsid w:val="00DC2D92"/>
    <w:rsid w:val="00DC4194"/>
    <w:rsid w:val="00DD1872"/>
    <w:rsid w:val="00DD54DE"/>
    <w:rsid w:val="00DD64E0"/>
    <w:rsid w:val="00DD688F"/>
    <w:rsid w:val="00DD72E9"/>
    <w:rsid w:val="00DD7341"/>
    <w:rsid w:val="00DF0E2D"/>
    <w:rsid w:val="00DF22B3"/>
    <w:rsid w:val="00DF3CF4"/>
    <w:rsid w:val="00DF48FF"/>
    <w:rsid w:val="00DF603A"/>
    <w:rsid w:val="00E01F8E"/>
    <w:rsid w:val="00E04A57"/>
    <w:rsid w:val="00E0508A"/>
    <w:rsid w:val="00E05A31"/>
    <w:rsid w:val="00E132BA"/>
    <w:rsid w:val="00E1492B"/>
    <w:rsid w:val="00E150CC"/>
    <w:rsid w:val="00E160E7"/>
    <w:rsid w:val="00E164B6"/>
    <w:rsid w:val="00E229F1"/>
    <w:rsid w:val="00E35574"/>
    <w:rsid w:val="00E41C87"/>
    <w:rsid w:val="00E42A79"/>
    <w:rsid w:val="00E53C60"/>
    <w:rsid w:val="00E55A03"/>
    <w:rsid w:val="00E56A4E"/>
    <w:rsid w:val="00E620DD"/>
    <w:rsid w:val="00E62FF3"/>
    <w:rsid w:val="00E65051"/>
    <w:rsid w:val="00E65276"/>
    <w:rsid w:val="00E7188A"/>
    <w:rsid w:val="00E7196B"/>
    <w:rsid w:val="00E82652"/>
    <w:rsid w:val="00E85A92"/>
    <w:rsid w:val="00EA02F9"/>
    <w:rsid w:val="00EA2DF5"/>
    <w:rsid w:val="00EA31AF"/>
    <w:rsid w:val="00EA4DF6"/>
    <w:rsid w:val="00EA634B"/>
    <w:rsid w:val="00EA6E64"/>
    <w:rsid w:val="00EB3BDB"/>
    <w:rsid w:val="00EE2514"/>
    <w:rsid w:val="00EE25EF"/>
    <w:rsid w:val="00EE36EE"/>
    <w:rsid w:val="00EE5913"/>
    <w:rsid w:val="00EE6828"/>
    <w:rsid w:val="00EE6AD7"/>
    <w:rsid w:val="00EE7CCB"/>
    <w:rsid w:val="00EF0EFC"/>
    <w:rsid w:val="00EF3EB2"/>
    <w:rsid w:val="00EF7AC7"/>
    <w:rsid w:val="00F00965"/>
    <w:rsid w:val="00F03347"/>
    <w:rsid w:val="00F138DA"/>
    <w:rsid w:val="00F16C72"/>
    <w:rsid w:val="00F25469"/>
    <w:rsid w:val="00F27528"/>
    <w:rsid w:val="00F3388A"/>
    <w:rsid w:val="00F33D09"/>
    <w:rsid w:val="00F340B7"/>
    <w:rsid w:val="00F34B08"/>
    <w:rsid w:val="00F425E0"/>
    <w:rsid w:val="00F53DAA"/>
    <w:rsid w:val="00F54B7C"/>
    <w:rsid w:val="00F54E4E"/>
    <w:rsid w:val="00F56446"/>
    <w:rsid w:val="00F57A3E"/>
    <w:rsid w:val="00F72373"/>
    <w:rsid w:val="00F72425"/>
    <w:rsid w:val="00F72780"/>
    <w:rsid w:val="00F753F8"/>
    <w:rsid w:val="00F763F5"/>
    <w:rsid w:val="00F77323"/>
    <w:rsid w:val="00F81365"/>
    <w:rsid w:val="00F819F1"/>
    <w:rsid w:val="00F82789"/>
    <w:rsid w:val="00F82976"/>
    <w:rsid w:val="00F83118"/>
    <w:rsid w:val="00F83240"/>
    <w:rsid w:val="00F9218D"/>
    <w:rsid w:val="00F936DD"/>
    <w:rsid w:val="00F93C78"/>
    <w:rsid w:val="00F96388"/>
    <w:rsid w:val="00F97FF6"/>
    <w:rsid w:val="00FA0F6C"/>
    <w:rsid w:val="00FA6C11"/>
    <w:rsid w:val="00FA6DD1"/>
    <w:rsid w:val="00FA75BF"/>
    <w:rsid w:val="00FB2999"/>
    <w:rsid w:val="00FB2E1B"/>
    <w:rsid w:val="00FB6298"/>
    <w:rsid w:val="00FB67DA"/>
    <w:rsid w:val="00FC05D3"/>
    <w:rsid w:val="00FC26EE"/>
    <w:rsid w:val="00FD2071"/>
    <w:rsid w:val="00FD5FF7"/>
    <w:rsid w:val="00FD6D4C"/>
    <w:rsid w:val="00FD7617"/>
    <w:rsid w:val="00FE1D3D"/>
    <w:rsid w:val="00FE6BFC"/>
    <w:rsid w:val="00FE7154"/>
    <w:rsid w:val="00FF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lv-LV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5665"/>
    <w:rPr>
      <w:sz w:val="26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D56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D566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26B5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26B54"/>
    <w:pPr>
      <w:tabs>
        <w:tab w:val="center" w:pos="4153"/>
        <w:tab w:val="right" w:pos="8306"/>
      </w:tabs>
    </w:pPr>
  </w:style>
  <w:style w:type="paragraph" w:styleId="Subtitle">
    <w:name w:val="Subtitle"/>
    <w:basedOn w:val="Normal"/>
    <w:next w:val="Normal"/>
    <w:link w:val="SubtitleChar"/>
    <w:qFormat/>
    <w:rsid w:val="003D5665"/>
    <w:pPr>
      <w:keepNext/>
      <w:keepLines/>
      <w:widowControl w:val="0"/>
      <w:suppressAutoHyphens/>
      <w:spacing w:before="600" w:after="600"/>
      <w:ind w:right="4820"/>
    </w:pPr>
    <w:rPr>
      <w:b/>
      <w:sz w:val="24"/>
    </w:rPr>
  </w:style>
  <w:style w:type="paragraph" w:styleId="BodyText">
    <w:name w:val="Body Text"/>
    <w:basedOn w:val="Normal"/>
    <w:rsid w:val="00B26B54"/>
    <w:pPr>
      <w:widowControl w:val="0"/>
      <w:spacing w:before="60" w:after="60"/>
    </w:pPr>
    <w:rPr>
      <w:sz w:val="20"/>
    </w:rPr>
  </w:style>
  <w:style w:type="character" w:customStyle="1" w:styleId="Heading1Char">
    <w:name w:val="Heading 1 Char"/>
    <w:basedOn w:val="DefaultParagraphFont"/>
    <w:link w:val="Heading1"/>
    <w:rsid w:val="003D56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3D5665"/>
    <w:rPr>
      <w:rFonts w:asciiTheme="majorHAnsi" w:eastAsiaTheme="majorEastAsia" w:hAnsiTheme="majorHAnsi" w:cstheme="majorBidi"/>
      <w:b/>
      <w:bCs/>
      <w:color w:val="4F81BD" w:themeColor="accent1"/>
      <w:sz w:val="26"/>
      <w:lang w:eastAsia="en-US"/>
    </w:rPr>
  </w:style>
  <w:style w:type="character" w:customStyle="1" w:styleId="SubtitleChar">
    <w:name w:val="Subtitle Char"/>
    <w:basedOn w:val="DefaultParagraphFont"/>
    <w:link w:val="Subtitle"/>
    <w:rsid w:val="003D5665"/>
    <w:rPr>
      <w:b/>
      <w:lang w:eastAsia="en-US"/>
    </w:rPr>
  </w:style>
  <w:style w:type="character" w:styleId="Strong">
    <w:name w:val="Strong"/>
    <w:basedOn w:val="DefaultParagraphFont"/>
    <w:qFormat/>
    <w:rsid w:val="003D5665"/>
    <w:rPr>
      <w:b/>
      <w:bCs/>
    </w:rPr>
  </w:style>
  <w:style w:type="character" w:styleId="Emphasis">
    <w:name w:val="Emphasis"/>
    <w:basedOn w:val="DefaultParagraphFont"/>
    <w:qFormat/>
    <w:rsid w:val="003D5665"/>
    <w:rPr>
      <w:i/>
      <w:iCs/>
    </w:rPr>
  </w:style>
  <w:style w:type="paragraph" w:styleId="ListParagraph">
    <w:name w:val="List Paragraph"/>
    <w:basedOn w:val="Normal"/>
    <w:uiPriority w:val="34"/>
    <w:qFormat/>
    <w:rsid w:val="003D56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7341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5D499C"/>
    <w:rPr>
      <w:sz w:val="26"/>
      <w:lang w:eastAsia="en-US"/>
    </w:rPr>
  </w:style>
  <w:style w:type="paragraph" w:styleId="BalloonText">
    <w:name w:val="Balloon Text"/>
    <w:basedOn w:val="Normal"/>
    <w:link w:val="BalloonTextChar"/>
    <w:rsid w:val="002C59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C59E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lv-LV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5665"/>
    <w:rPr>
      <w:sz w:val="26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D56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D566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26B5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26B54"/>
    <w:pPr>
      <w:tabs>
        <w:tab w:val="center" w:pos="4153"/>
        <w:tab w:val="right" w:pos="8306"/>
      </w:tabs>
    </w:pPr>
  </w:style>
  <w:style w:type="paragraph" w:styleId="Subtitle">
    <w:name w:val="Subtitle"/>
    <w:basedOn w:val="Normal"/>
    <w:next w:val="Normal"/>
    <w:link w:val="SubtitleChar"/>
    <w:qFormat/>
    <w:rsid w:val="003D5665"/>
    <w:pPr>
      <w:keepNext/>
      <w:keepLines/>
      <w:widowControl w:val="0"/>
      <w:suppressAutoHyphens/>
      <w:spacing w:before="600" w:after="600"/>
      <w:ind w:right="4820"/>
    </w:pPr>
    <w:rPr>
      <w:b/>
      <w:sz w:val="24"/>
    </w:rPr>
  </w:style>
  <w:style w:type="paragraph" w:styleId="BodyText">
    <w:name w:val="Body Text"/>
    <w:basedOn w:val="Normal"/>
    <w:rsid w:val="00B26B54"/>
    <w:pPr>
      <w:widowControl w:val="0"/>
      <w:spacing w:before="60" w:after="60"/>
    </w:pPr>
    <w:rPr>
      <w:sz w:val="20"/>
    </w:rPr>
  </w:style>
  <w:style w:type="character" w:customStyle="1" w:styleId="Heading1Char">
    <w:name w:val="Heading 1 Char"/>
    <w:basedOn w:val="DefaultParagraphFont"/>
    <w:link w:val="Heading1"/>
    <w:rsid w:val="003D56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3D5665"/>
    <w:rPr>
      <w:rFonts w:asciiTheme="majorHAnsi" w:eastAsiaTheme="majorEastAsia" w:hAnsiTheme="majorHAnsi" w:cstheme="majorBidi"/>
      <w:b/>
      <w:bCs/>
      <w:color w:val="4F81BD" w:themeColor="accent1"/>
      <w:sz w:val="26"/>
      <w:lang w:eastAsia="en-US"/>
    </w:rPr>
  </w:style>
  <w:style w:type="character" w:customStyle="1" w:styleId="SubtitleChar">
    <w:name w:val="Subtitle Char"/>
    <w:basedOn w:val="DefaultParagraphFont"/>
    <w:link w:val="Subtitle"/>
    <w:rsid w:val="003D5665"/>
    <w:rPr>
      <w:b/>
      <w:lang w:eastAsia="en-US"/>
    </w:rPr>
  </w:style>
  <w:style w:type="character" w:styleId="Strong">
    <w:name w:val="Strong"/>
    <w:basedOn w:val="DefaultParagraphFont"/>
    <w:qFormat/>
    <w:rsid w:val="003D5665"/>
    <w:rPr>
      <w:b/>
      <w:bCs/>
    </w:rPr>
  </w:style>
  <w:style w:type="character" w:styleId="Emphasis">
    <w:name w:val="Emphasis"/>
    <w:basedOn w:val="DefaultParagraphFont"/>
    <w:qFormat/>
    <w:rsid w:val="003D5665"/>
    <w:rPr>
      <w:i/>
      <w:iCs/>
    </w:rPr>
  </w:style>
  <w:style w:type="paragraph" w:styleId="ListParagraph">
    <w:name w:val="List Paragraph"/>
    <w:basedOn w:val="Normal"/>
    <w:uiPriority w:val="34"/>
    <w:qFormat/>
    <w:rsid w:val="003D56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7341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5D499C"/>
    <w:rPr>
      <w:sz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da.Dulbinska@samc.lv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6</Pages>
  <Words>1175</Words>
  <Characters>7695</Characters>
  <Application>Microsoft Office Word</Application>
  <DocSecurity>0</DocSecurity>
  <Lines>64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[teksts]</vt:lpstr>
    </vt:vector>
  </TitlesOfParts>
  <Company/>
  <LinksUpToDate>false</LinksUpToDate>
  <CharactersWithSpaces>8853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 kapitālsabiedrību, kurās Ekonomikas ministrija ir valsts kapitāla daļu turētāja, 2012.gada finansiālo rādītāju izpildi, sasniegtajiem darbības rezultātiem un rezultatīvajiem rādītājiem</dc:title>
  <dc:subject>Informatīvā ziņojuma 4.pielikums</dc:subject>
  <dc:creator>Ekonomikas ministrija</dc:creator>
  <dc:description>Svetlana Aleksejeva _x000d_
 tālrunis 67013121, fakss 67280882 _x000d_
 Svetlana.Aleksejeva@em.gov.lv</dc:description>
  <cp:lastModifiedBy>Svetlana Aleksejeva</cp:lastModifiedBy>
  <cp:revision>702</cp:revision>
  <dcterms:created xsi:type="dcterms:W3CDTF">2012-08-09T09:01:00Z</dcterms:created>
  <dcterms:modified xsi:type="dcterms:W3CDTF">2013-12-19T15:36:00Z</dcterms:modified>
</cp:coreProperties>
</file>