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B4" w:rsidRPr="002C392A" w:rsidRDefault="003F54B4" w:rsidP="0062507D">
      <w:pPr>
        <w:pStyle w:val="ListParagraph"/>
        <w:jc w:val="right"/>
        <w:rPr>
          <w:sz w:val="28"/>
          <w:szCs w:val="28"/>
        </w:rPr>
      </w:pPr>
    </w:p>
    <w:p w:rsidR="007D549A" w:rsidRPr="00C67707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  <w:r w:rsidRPr="00C67707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Informācija par </w:t>
      </w:r>
      <w:r w:rsidR="00C67707" w:rsidRPr="00C67707">
        <w:rPr>
          <w:rFonts w:eastAsia="Times New Roman"/>
          <w:b/>
          <w:bCs/>
          <w:color w:val="000000"/>
          <w:sz w:val="28"/>
          <w:szCs w:val="28"/>
          <w:lang w:eastAsia="zh-CN"/>
        </w:rPr>
        <w:t>VAS „Privatizācijas aģentūra”</w:t>
      </w:r>
      <w:r w:rsidRPr="00C67707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6529A8" w:rsidRPr="00C67707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2012.gada rādītāju izpildi </w:t>
      </w:r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</w:p>
    <w:p w:rsidR="004D5D73" w:rsidRPr="00A12DD8" w:rsidRDefault="00D92FF3" w:rsidP="000D17DA">
      <w:pPr>
        <w:pStyle w:val="ListParagraph"/>
        <w:spacing w:after="120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</w:t>
      </w:r>
      <w:r w:rsidR="004D5D73"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apitālsabiedrības darbības rezultātu </w:t>
      </w:r>
      <w:r w:rsidR="00F54B7C"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un </w:t>
      </w:r>
      <w:r>
        <w:rPr>
          <w:rFonts w:eastAsia="Times New Roman"/>
          <w:b/>
          <w:bCs/>
          <w:color w:val="000000"/>
          <w:szCs w:val="26"/>
          <w:lang w:eastAsia="zh-CN"/>
        </w:rPr>
        <w:t>rezultatīvo rādītāju izpilde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49"/>
        <w:gridCol w:w="2443"/>
        <w:gridCol w:w="6095"/>
      </w:tblGrid>
      <w:tr w:rsidR="00605CD3" w:rsidRPr="00924496" w:rsidTr="00D63FAA">
        <w:trPr>
          <w:trHeight w:val="6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05CD3" w:rsidRPr="00924496" w:rsidRDefault="00605CD3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05CD3" w:rsidRPr="00924496" w:rsidRDefault="00605CD3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Kapitālsabiedrības darbības mērķis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2BD" w:rsidRPr="00CD1868" w:rsidRDefault="00102ECC" w:rsidP="004A1AF2">
            <w:pPr>
              <w:spacing w:before="40" w:after="40"/>
              <w:rPr>
                <w:rFonts w:eastAsia="Times New Roman"/>
                <w:sz w:val="22"/>
                <w:lang w:eastAsia="lv-LV"/>
              </w:rPr>
            </w:pPr>
            <w:r w:rsidRPr="00CD1868">
              <w:rPr>
                <w:rFonts w:eastAsia="Times New Roman"/>
                <w:sz w:val="22"/>
                <w:lang w:eastAsia="lv-LV"/>
              </w:rPr>
              <w:t xml:space="preserve">Nodrošināt valsts īpašuma privatizācijas pabeigšanu un, mainot valsts īpašuma objektu īpašnieku, radīt labvēlīgu vidi privātā kapitāla darbībai Latvijas tautsaimniecības attīstības interesēs un sašaurināt darbību, ko valsts veic kā komersants. </w:t>
            </w:r>
          </w:p>
        </w:tc>
      </w:tr>
    </w:tbl>
    <w:p w:rsidR="008A6734" w:rsidRDefault="008A6734" w:rsidP="002C392A">
      <w:pPr>
        <w:pStyle w:val="ListParagraph"/>
        <w:ind w:left="0"/>
        <w:jc w:val="center"/>
        <w:rPr>
          <w:b/>
          <w:sz w:val="28"/>
          <w:szCs w:val="28"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2442"/>
        <w:gridCol w:w="1164"/>
        <w:gridCol w:w="1192"/>
        <w:gridCol w:w="1187"/>
        <w:gridCol w:w="2551"/>
      </w:tblGrid>
      <w:tr w:rsidR="008A6734" w:rsidRPr="004A2A30" w:rsidTr="003E5EE7">
        <w:trPr>
          <w:trHeight w:val="930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Darbības rezultāts</w:t>
            </w:r>
            <w:r w:rsidR="00273FB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/ rādītāji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plāns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izpilde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izpilde % pret plānu (3*100/2)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A6734" w:rsidRPr="004A2A30" w:rsidRDefault="008A6734" w:rsidP="008107E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Skaidrojums par novirzēm</w:t>
            </w:r>
          </w:p>
        </w:tc>
      </w:tr>
      <w:tr w:rsidR="008A6734" w:rsidRPr="00175E92" w:rsidTr="00E229F1">
        <w:trPr>
          <w:trHeight w:val="330"/>
          <w:tblHeader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34" w:rsidRPr="008A6734" w:rsidRDefault="008A673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</w:tr>
      <w:tr w:rsidR="00EA2496" w:rsidRPr="004A2A30" w:rsidTr="007A0544">
        <w:trPr>
          <w:trHeight w:val="237"/>
        </w:trPr>
        <w:tc>
          <w:tcPr>
            <w:tcW w:w="9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496" w:rsidRPr="007A159C" w:rsidRDefault="00EA2496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lv-LV"/>
              </w:rPr>
            </w:pPr>
            <w:proofErr w:type="spellStart"/>
            <w:r w:rsidRPr="0092449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tūkst</w:t>
            </w:r>
            <w:proofErr w:type="spellEnd"/>
            <w:r w:rsidRPr="0092449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. lat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u</w:t>
            </w:r>
          </w:p>
        </w:tc>
      </w:tr>
      <w:tr w:rsidR="00D8448E" w:rsidRPr="004A2A30" w:rsidTr="00B326BF">
        <w:trPr>
          <w:trHeight w:val="12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8E" w:rsidRPr="008A6734" w:rsidRDefault="00D8448E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D8448E" w:rsidRDefault="00D8448E" w:rsidP="001C40F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Maksājumi latos no noslēgtajiem pirkuma līgumiem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D8448E" w:rsidRDefault="00D8448E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3 491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D8448E" w:rsidRDefault="00D8448E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6 545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D8448E" w:rsidRDefault="00D8448E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187%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FC17F3" w:rsidRDefault="00FC17F3" w:rsidP="00450695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sz w:val="22"/>
                <w:szCs w:val="22"/>
              </w:rPr>
              <w:t>P</w:t>
            </w:r>
            <w:r w:rsidRPr="00FC17F3">
              <w:rPr>
                <w:sz w:val="22"/>
                <w:szCs w:val="22"/>
              </w:rPr>
              <w:t xml:space="preserve">rognozējot ieņēmumus, </w:t>
            </w:r>
            <w:r w:rsidR="00253B19">
              <w:rPr>
                <w:sz w:val="22"/>
                <w:szCs w:val="22"/>
              </w:rPr>
              <w:t>par pamatu tika ņemta pesimistiskā prognoze</w:t>
            </w:r>
            <w:r w:rsidRPr="00FC17F3">
              <w:rPr>
                <w:sz w:val="22"/>
                <w:szCs w:val="22"/>
              </w:rPr>
              <w:t xml:space="preserve">, </w:t>
            </w:r>
            <w:r w:rsidR="00452FDD">
              <w:rPr>
                <w:sz w:val="22"/>
                <w:szCs w:val="22"/>
              </w:rPr>
              <w:t>ņemot vērā iepriekš</w:t>
            </w:r>
            <w:r w:rsidR="005F5E9F">
              <w:rPr>
                <w:sz w:val="22"/>
                <w:szCs w:val="22"/>
              </w:rPr>
              <w:t xml:space="preserve"> notikušās </w:t>
            </w:r>
            <w:r w:rsidRPr="00FC17F3">
              <w:rPr>
                <w:sz w:val="22"/>
                <w:szCs w:val="22"/>
              </w:rPr>
              <w:t>ekonomiskā</w:t>
            </w:r>
            <w:r w:rsidR="00452FDD">
              <w:rPr>
                <w:sz w:val="22"/>
                <w:szCs w:val="22"/>
              </w:rPr>
              <w:t>s</w:t>
            </w:r>
            <w:r w:rsidRPr="00FC17F3">
              <w:rPr>
                <w:sz w:val="22"/>
                <w:szCs w:val="22"/>
              </w:rPr>
              <w:t xml:space="preserve"> krīze</w:t>
            </w:r>
            <w:r w:rsidR="00452FDD">
              <w:rPr>
                <w:sz w:val="22"/>
                <w:szCs w:val="22"/>
              </w:rPr>
              <w:t xml:space="preserve">s ietekmi. </w:t>
            </w:r>
          </w:p>
        </w:tc>
      </w:tr>
      <w:tr w:rsidR="007A159C" w:rsidRPr="004A2A30" w:rsidTr="00B326BF">
        <w:trPr>
          <w:trHeight w:val="122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59C" w:rsidRPr="008A6734" w:rsidRDefault="007A159C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D8448E" w:rsidRDefault="007A159C" w:rsidP="001C40F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Maksājumi privatizācijas sertifikātos - pārrēķins latos no noslēgtajiem pirkuma līgumiem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D8448E" w:rsidRDefault="007A159C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1 259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D8448E" w:rsidRDefault="007A159C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1 455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D8448E" w:rsidRDefault="007A159C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116%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39126E" w:rsidRDefault="00142D18" w:rsidP="004A1AF2">
            <w:pPr>
              <w:spacing w:before="40" w:after="40"/>
              <w:rPr>
                <w:sz w:val="22"/>
                <w:szCs w:val="22"/>
              </w:rPr>
            </w:pPr>
            <w:r w:rsidRPr="00142D18">
              <w:rPr>
                <w:sz w:val="22"/>
                <w:szCs w:val="22"/>
              </w:rPr>
              <w:t>Pircēji maksājumus pārsvarā  veica vienā maksājumā</w:t>
            </w:r>
            <w:r w:rsidR="00A519A5">
              <w:rPr>
                <w:sz w:val="22"/>
                <w:szCs w:val="22"/>
              </w:rPr>
              <w:t xml:space="preserve"> (lai reizi ceturksnī nebūtu jāmaksā komisijas maksa par pārskaitījumu – 10-12 lati), tādā veidā apsteidzot maksājumu grafiku. </w:t>
            </w:r>
          </w:p>
        </w:tc>
      </w:tr>
      <w:tr w:rsidR="007A159C" w:rsidRPr="004A2A30" w:rsidTr="001C40F8">
        <w:trPr>
          <w:trHeight w:val="74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8A6734" w:rsidRDefault="007A159C" w:rsidP="00C5602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D8448E" w:rsidRDefault="007A159C" w:rsidP="001C40F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Maksājumi latos no noslēgtajiem nomas līgumiem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D8448E" w:rsidRDefault="007A159C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851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D8448E" w:rsidRDefault="007A159C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D8448E" w:rsidRDefault="007A159C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59C" w:rsidRPr="007A159C" w:rsidRDefault="009D2D8B" w:rsidP="00B326BF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2012.gadā veikti nomas maksas pārrēķini, ņemot vērā izmaiņas kadastrālo vērtību bāzes rādītājos. </w:t>
            </w:r>
            <w:r w:rsidR="003B11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Ieņēmumus ietekmēja arī PVN likmes samazin</w:t>
            </w:r>
            <w:r w:rsidR="000350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ājums 2012.gada vidū</w:t>
            </w:r>
            <w:r w:rsidR="003B111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. </w:t>
            </w:r>
          </w:p>
        </w:tc>
      </w:tr>
      <w:tr w:rsidR="00D8448E" w:rsidRPr="004A2A30" w:rsidTr="001C40F8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8A6734" w:rsidRDefault="00D8448E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D8448E" w:rsidRDefault="006C67D7" w:rsidP="001C40F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Ieņēmumi latos no AS „Pa</w:t>
            </w:r>
            <w:r w:rsidR="00240C7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rex banka” / AS „Citadele banka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”</w:t>
            </w:r>
            <w:r w:rsidR="000064A8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r w:rsidR="00D8448E" w:rsidRPr="00D8448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valsts kapitāla daļu pārdošanas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D8448E" w:rsidRDefault="008D081C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D8448E" w:rsidRDefault="008D081C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D8448E" w:rsidRDefault="008D081C" w:rsidP="00197747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E" w:rsidRPr="00095BB2" w:rsidRDefault="006D5EDD" w:rsidP="00095BB2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95BB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Lēmums par </w:t>
            </w:r>
            <w:r w:rsidR="00E37704" w:rsidRPr="00095BB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valsts kapitāla daļu pārdošanu </w:t>
            </w:r>
            <w:r w:rsidR="00095BB2" w:rsidRPr="00095BB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netika</w:t>
            </w:r>
            <w:r w:rsidR="00E37704" w:rsidRPr="00095BB2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pieņemts. </w:t>
            </w:r>
          </w:p>
        </w:tc>
      </w:tr>
    </w:tbl>
    <w:p w:rsidR="00D8448E" w:rsidRDefault="00D8448E" w:rsidP="002320B7">
      <w:pPr>
        <w:pStyle w:val="ListParagraph"/>
        <w:ind w:left="0"/>
        <w:contextualSpacing w:val="0"/>
        <w:jc w:val="both"/>
        <w:rPr>
          <w:rFonts w:eastAsia="Times New Roman"/>
          <w:bCs/>
          <w:color w:val="000000"/>
          <w:sz w:val="24"/>
          <w:lang w:eastAsia="zh-CN"/>
        </w:rPr>
      </w:pPr>
    </w:p>
    <w:p w:rsidR="0026453E" w:rsidRDefault="0026453E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49566D" w:rsidRDefault="0049566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49566D" w:rsidRDefault="0049566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49566D" w:rsidRDefault="0049566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49566D" w:rsidRDefault="0049566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49566D" w:rsidRDefault="0049566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49566D" w:rsidRDefault="0049566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49566D" w:rsidRDefault="0049566D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7D549A" w:rsidRDefault="000B258A" w:rsidP="00FC26EE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lastRenderedPageBreak/>
        <w:t>Kapitālsabiedrības</w:t>
      </w:r>
      <w:r w:rsidR="00BB408A"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darbīb</w:t>
      </w:r>
      <w:r w:rsidR="0043217F">
        <w:rPr>
          <w:rFonts w:eastAsia="Times New Roman"/>
          <w:b/>
          <w:bCs/>
          <w:color w:val="000000"/>
          <w:szCs w:val="26"/>
          <w:lang w:eastAsia="zh-CN"/>
        </w:rPr>
        <w:t>u raksturojošo rādītāju izpilde</w:t>
      </w:r>
    </w:p>
    <w:p w:rsidR="009734DA" w:rsidRPr="00BB408A" w:rsidRDefault="009734DA" w:rsidP="009734DA">
      <w:pPr>
        <w:pStyle w:val="ListParagraph"/>
        <w:spacing w:after="120"/>
        <w:ind w:left="0"/>
        <w:contextualSpacing w:val="0"/>
        <w:rPr>
          <w:rFonts w:eastAsia="Times New Roman"/>
          <w:b/>
          <w:bCs/>
          <w:color w:val="000000"/>
          <w:szCs w:val="26"/>
          <w:lang w:eastAsia="zh-CN"/>
        </w:rPr>
      </w:pPr>
      <w:proofErr w:type="spellStart"/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tūkst</w:t>
      </w:r>
      <w:proofErr w:type="spellEnd"/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. lat</w:t>
      </w:r>
      <w:r>
        <w:rPr>
          <w:rFonts w:eastAsia="Times New Roman"/>
          <w:i/>
          <w:iCs/>
          <w:color w:val="000000"/>
          <w:sz w:val="20"/>
          <w:szCs w:val="20"/>
          <w:lang w:eastAsia="zh-CN"/>
        </w:rPr>
        <w:t>u</w:t>
      </w:r>
    </w:p>
    <w:tbl>
      <w:tblPr>
        <w:tblW w:w="8876" w:type="dxa"/>
        <w:jc w:val="center"/>
        <w:tblInd w:w="93" w:type="dxa"/>
        <w:tblLook w:val="04A0" w:firstRow="1" w:lastRow="0" w:firstColumn="1" w:lastColumn="0" w:noHBand="0" w:noVBand="1"/>
      </w:tblPr>
      <w:tblGrid>
        <w:gridCol w:w="656"/>
        <w:gridCol w:w="4220"/>
        <w:gridCol w:w="1300"/>
        <w:gridCol w:w="1340"/>
        <w:gridCol w:w="154"/>
        <w:gridCol w:w="1206"/>
      </w:tblGrid>
      <w:tr w:rsidR="005D499C" w:rsidRPr="008A2292" w:rsidTr="00133B7B">
        <w:trPr>
          <w:trHeight w:val="600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Nr</w:t>
            </w:r>
            <w:proofErr w:type="spellEnd"/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Rādītāji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443E90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</w:t>
            </w:r>
            <w:r w:rsidR="00A745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="005D499C"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gada plāns</w:t>
            </w:r>
            <w:r w:rsidR="009369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</w:t>
            </w:r>
            <w:r w:rsidR="00443E90"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  <w:r w:rsidR="00A745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gada izpilde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3C4FFE" w:rsidRDefault="005D499C" w:rsidP="00624578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C4F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zh-CN"/>
              </w:rPr>
              <w:t>izpilde % pret plānu (3*100/2)</w:t>
            </w:r>
          </w:p>
        </w:tc>
      </w:tr>
      <w:tr w:rsidR="005D499C" w:rsidRPr="00624578" w:rsidTr="00133B7B">
        <w:trPr>
          <w:trHeight w:val="330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5D499C" w:rsidRPr="008A2292" w:rsidTr="003E2AD9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No valsts budžeta saņemtās subsīdijas un dotācijas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4B5042" w:rsidP="00D97A63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A80FE4" w:rsidP="00D97A63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A80FE4" w:rsidP="00D97A63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</w:tr>
      <w:tr w:rsidR="005D499C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9362C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Bilances radītāji (uz gada beigām)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D9362C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 kopā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9362C" w:rsidRPr="008A2292" w:rsidRDefault="004B504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151 673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9362C" w:rsidRPr="008A2292" w:rsidRDefault="00A80FE4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148 054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9362C" w:rsidRPr="008A2292" w:rsidRDefault="004455C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97,6</w:t>
            </w:r>
          </w:p>
        </w:tc>
      </w:tr>
      <w:tr w:rsidR="00D9362C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2C" w:rsidRPr="008A2292" w:rsidRDefault="004B504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87 341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2C" w:rsidRPr="008A2292" w:rsidRDefault="00A80FE4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68 599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2C" w:rsidRPr="008A2292" w:rsidRDefault="003B5E66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78,5</w:t>
            </w:r>
          </w:p>
        </w:tc>
      </w:tr>
      <w:tr w:rsidR="00D9362C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2C" w:rsidRPr="00A9461E" w:rsidRDefault="00D9362C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A80FE4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E4" w:rsidRPr="008A2292" w:rsidRDefault="00A80FE4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E4" w:rsidRPr="008A2292" w:rsidRDefault="00A80FE4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pamatkapitāls (akciju kapitāls)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E4" w:rsidRPr="008A2292" w:rsidRDefault="00A80FE4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296 868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E4" w:rsidRPr="008A2292" w:rsidRDefault="00A80FE4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296 868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E4" w:rsidRPr="008A2292" w:rsidRDefault="00A80FE4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0FE4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E4" w:rsidRPr="00A9461E" w:rsidRDefault="00A80FE4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E4" w:rsidRPr="00A9461E" w:rsidRDefault="00A80FE4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E4" w:rsidRPr="00A9461E" w:rsidRDefault="00A80FE4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E4" w:rsidRPr="00A9461E" w:rsidRDefault="00A80FE4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E4" w:rsidRPr="00A9461E" w:rsidRDefault="00A80FE4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F118CE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kapitāls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296 868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F118CE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296 868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F118CE" w:rsidP="004A1AF2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118CE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Nauda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1 858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7E516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E80247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400,6</w:t>
            </w:r>
          </w:p>
        </w:tc>
      </w:tr>
      <w:tr w:rsidR="00F118CE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75278A" w:rsidRDefault="00F118CE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75278A" w:rsidRDefault="00F118CE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75278A" w:rsidRDefault="00F118CE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F118CE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PZA radītāji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F118CE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Ieņēmumi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1 840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BA243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11517C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284,2</w:t>
            </w:r>
          </w:p>
        </w:tc>
      </w:tr>
      <w:tr w:rsidR="00F118CE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F118CE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BA243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965039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125,8</w:t>
            </w:r>
          </w:p>
        </w:tc>
      </w:tr>
      <w:tr w:rsidR="00F118CE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Pārējie ieņēmumi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1 220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BA243A" w:rsidP="002B3ACF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</w:t>
            </w:r>
            <w:r w:rsidR="002B3AC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965039" w:rsidP="00DF13DE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</w:t>
            </w:r>
            <w:r w:rsidR="00DF13DE">
              <w:rPr>
                <w:color w:val="000000"/>
                <w:sz w:val="22"/>
                <w:szCs w:val="22"/>
              </w:rPr>
              <w:t>7</w:t>
            </w:r>
          </w:p>
        </w:tc>
      </w:tr>
      <w:tr w:rsidR="00F118CE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Izmaksas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3 306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BA243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2A5FE5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350,4</w:t>
            </w:r>
          </w:p>
        </w:tc>
      </w:tr>
      <w:tr w:rsidR="00F118CE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D97A63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F118CE" w:rsidRPr="008A2292" w:rsidTr="008C44A8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Personāla izmaksas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BA243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127D89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99,2</w:t>
            </w:r>
          </w:p>
        </w:tc>
      </w:tr>
      <w:tr w:rsidR="00A60ECD" w:rsidRPr="0075278A" w:rsidTr="00146587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ECD" w:rsidRPr="0075278A" w:rsidRDefault="00A60ECD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ECD" w:rsidRPr="0075278A" w:rsidRDefault="00A60ECD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CD" w:rsidRPr="0075278A" w:rsidRDefault="00A60ECD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CD" w:rsidRPr="0075278A" w:rsidRDefault="00A60ECD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CD" w:rsidRPr="0075278A" w:rsidRDefault="00A60ECD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F118CE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-319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E653A9" w:rsidP="00E653A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653A9">
              <w:rPr>
                <w:color w:val="000000"/>
                <w:sz w:val="22"/>
                <w:szCs w:val="22"/>
              </w:rPr>
              <w:t>3 986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F87755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118CE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3.7.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Neto peļņa/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zaudējumi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-1 466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BA243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A2292" w:rsidRDefault="00F87755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118CE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D97A63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</w:tr>
      <w:tr w:rsidR="00F118CE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Finanšu rādītāji 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F118CE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kapitāla atdeve (ROE)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AB3218" w:rsidRDefault="001205D9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AB32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E30ADC" w:rsidRDefault="00BF2FF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0ADC">
              <w:rPr>
                <w:color w:val="000000"/>
                <w:sz w:val="22"/>
                <w:szCs w:val="22"/>
              </w:rPr>
              <w:t>5,8</w:t>
            </w:r>
            <w:r w:rsidR="00F118CE" w:rsidRPr="00E30AD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C44A8" w:rsidRDefault="00A141C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118CE" w:rsidRPr="008A2292" w:rsidTr="008C44A8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Aktīvu atdeve (ROA)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AB3218" w:rsidRDefault="001205D9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AB32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E30ADC" w:rsidRDefault="00BF2FF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0ADC">
              <w:rPr>
                <w:color w:val="000000"/>
                <w:sz w:val="22"/>
                <w:szCs w:val="22"/>
              </w:rPr>
              <w:t>2,7</w:t>
            </w:r>
            <w:r w:rsidR="00F118CE" w:rsidRPr="00E30AD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C44A8" w:rsidRDefault="00A141C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118CE" w:rsidRPr="008A2292" w:rsidTr="000B2205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 rentabilitāte (EBITDA/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AB3218" w:rsidRDefault="003C4B36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AB32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C44A8" w:rsidRDefault="000B2205" w:rsidP="0085778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511,0%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8C44A8" w:rsidRDefault="00A141C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118CE" w:rsidRPr="008A2292" w:rsidTr="008C44A8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C44A8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57,6</w:t>
            </w:r>
            <w:r w:rsidRPr="008C44A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C44A8" w:rsidRDefault="00BF2FF8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46,3</w:t>
            </w:r>
            <w:r w:rsidR="00F118CE" w:rsidRPr="008C44A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7D4A40" w:rsidRDefault="00A141C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7D4A40">
              <w:rPr>
                <w:color w:val="000000"/>
                <w:sz w:val="22"/>
                <w:szCs w:val="22"/>
              </w:rPr>
              <w:t>80,4</w:t>
            </w:r>
          </w:p>
        </w:tc>
      </w:tr>
      <w:tr w:rsidR="00F118CE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F118CE" w:rsidRPr="008A2292" w:rsidTr="00434500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Valsts budžetā veiktās iemaksas (samaksāts kopā)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C16A48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6A48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BF2FF8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468</w:t>
            </w:r>
            <w:r w:rsidR="000C026A">
              <w:rPr>
                <w:b/>
                <w:bCs/>
                <w:color w:val="000000"/>
                <w:sz w:val="22"/>
                <w:szCs w:val="22"/>
              </w:rPr>
              <w:t>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C16A48" w:rsidRDefault="007E64E7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6A48">
              <w:rPr>
                <w:b/>
                <w:bCs/>
                <w:color w:val="000000"/>
                <w:sz w:val="22"/>
                <w:szCs w:val="22"/>
              </w:rPr>
              <w:t>130</w:t>
            </w:r>
            <w:r w:rsidR="00B10160" w:rsidRPr="00C16A48">
              <w:rPr>
                <w:b/>
                <w:bCs/>
                <w:color w:val="000000"/>
                <w:sz w:val="22"/>
                <w:szCs w:val="22"/>
              </w:rPr>
              <w:t>,1</w:t>
            </w:r>
          </w:p>
        </w:tc>
      </w:tr>
      <w:tr w:rsidR="00F118CE" w:rsidRPr="00A9461E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C16A48" w:rsidRDefault="00F118CE" w:rsidP="00D97A63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C16A4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D97A63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A9461E" w:rsidRDefault="00F118CE" w:rsidP="00D97A63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</w:tr>
      <w:tr w:rsidR="00F118CE" w:rsidRPr="008A2292" w:rsidTr="0043450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C16A48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434500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434500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118CE" w:rsidRPr="008A2292" w:rsidTr="0043450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(% no iepriekšējā gada peļņas)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C16A48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434500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434500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118CE" w:rsidRPr="008A2292" w:rsidTr="0043450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Uzņēmumu ienākuma nodoklis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C16A48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434500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434500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118CE" w:rsidRPr="008A2292" w:rsidTr="0043450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5.3.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Pievienotās vērtības nodoklis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C16A48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434500" w:rsidRDefault="009A40C3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E1047F" w:rsidRDefault="004902D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1047F">
              <w:rPr>
                <w:color w:val="000000"/>
                <w:sz w:val="22"/>
                <w:szCs w:val="22"/>
              </w:rPr>
              <w:t>113,0</w:t>
            </w:r>
          </w:p>
        </w:tc>
      </w:tr>
      <w:tr w:rsidR="00F118CE" w:rsidRPr="008A2292" w:rsidTr="0043450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Nekustamā īpašuma nodoklis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C16A48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434500" w:rsidRDefault="009A40C3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E1047F" w:rsidRDefault="00B45A22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1047F">
              <w:rPr>
                <w:color w:val="000000"/>
                <w:sz w:val="22"/>
                <w:szCs w:val="22"/>
              </w:rPr>
              <w:t>51,9</w:t>
            </w:r>
          </w:p>
        </w:tc>
      </w:tr>
      <w:tr w:rsidR="00F118CE" w:rsidRPr="008A2292" w:rsidTr="00434500">
        <w:trPr>
          <w:trHeight w:val="60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sociālās apdrošināšanas iemaksas (darba devēja daļa) (latos)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C16A48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434500" w:rsidRDefault="009A40C3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E1047F" w:rsidRDefault="00293C4F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1047F">
              <w:rPr>
                <w:color w:val="000000"/>
                <w:sz w:val="22"/>
                <w:szCs w:val="22"/>
              </w:rPr>
              <w:t>146,4</w:t>
            </w:r>
          </w:p>
        </w:tc>
      </w:tr>
      <w:tr w:rsidR="00F118CE" w:rsidRPr="008A2292" w:rsidTr="0043450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citi nodokļi un nodevas (latos)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C16A48" w:rsidRDefault="00E85BFD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16A4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434500" w:rsidRDefault="009A40C3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AB3218" w:rsidRDefault="001657A9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AB321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118CE" w:rsidRPr="0075278A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75278A" w:rsidRDefault="00F118CE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C16A48" w:rsidRDefault="00F118CE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434500" w:rsidRDefault="00F118CE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434500" w:rsidRDefault="00F118CE" w:rsidP="00D97A63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F118CE" w:rsidRPr="008A2292" w:rsidTr="00133B7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Citi rādītāji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F118CE" w:rsidRPr="008A2292" w:rsidTr="003E2AD9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Darbinieku skaits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B55BE2" w:rsidRDefault="00A824D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55BE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B55BE2" w:rsidRDefault="00953A36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55BE2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118CE" w:rsidRPr="00B55BE2" w:rsidRDefault="00A824DA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B55BE2">
              <w:rPr>
                <w:color w:val="000000"/>
                <w:sz w:val="22"/>
                <w:szCs w:val="22"/>
              </w:rPr>
              <w:t>95,7</w:t>
            </w:r>
          </w:p>
        </w:tc>
      </w:tr>
      <w:tr w:rsidR="00F118CE" w:rsidRPr="008A2292" w:rsidTr="004D7246">
        <w:trPr>
          <w:trHeight w:val="46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0B5CCB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="00F118CE"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 Valsts kapitāls (decimāldaļskaitlis)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DB003C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DB003C">
              <w:rPr>
                <w:color w:val="000000"/>
                <w:sz w:val="22"/>
                <w:szCs w:val="22"/>
              </w:rPr>
              <w:t>0,0012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DB003C" w:rsidRDefault="0033723B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DB003C">
              <w:rPr>
                <w:color w:val="000000"/>
                <w:sz w:val="22"/>
                <w:szCs w:val="22"/>
              </w:rPr>
              <w:t>0,0016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A2292">
              <w:rPr>
                <w:color w:val="000000"/>
                <w:sz w:val="22"/>
                <w:szCs w:val="22"/>
              </w:rPr>
              <w:t>x</w:t>
            </w:r>
          </w:p>
        </w:tc>
      </w:tr>
      <w:tr w:rsidR="00F118CE" w:rsidRPr="008A2292" w:rsidTr="004D7246">
        <w:trPr>
          <w:trHeight w:val="51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Piešķirtās subsīdijas un dotācijas (decimāldaļskaitlis)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CE" w:rsidRPr="008A2292" w:rsidRDefault="00F118CE" w:rsidP="00D97A6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8A2292">
              <w:rPr>
                <w:color w:val="000000"/>
                <w:sz w:val="22"/>
                <w:szCs w:val="22"/>
              </w:rPr>
              <w:t>x</w:t>
            </w:r>
          </w:p>
        </w:tc>
      </w:tr>
      <w:tr w:rsidR="00023D77" w:rsidRPr="008A2292" w:rsidTr="00146587">
        <w:trPr>
          <w:trHeight w:val="300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D77" w:rsidRPr="008A2292" w:rsidRDefault="00023D77" w:rsidP="0014658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D77" w:rsidRPr="00DD72E9" w:rsidRDefault="00023D77" w:rsidP="004B0077">
            <w:pPr>
              <w:spacing w:before="120"/>
              <w:rPr>
                <w:color w:val="000000"/>
                <w:sz w:val="22"/>
                <w:szCs w:val="22"/>
              </w:rPr>
            </w:pPr>
            <w:r w:rsidRPr="002B543B">
              <w:rPr>
                <w:color w:val="000000"/>
                <w:sz w:val="22"/>
                <w:szCs w:val="22"/>
              </w:rPr>
              <w:t>* 2012.gada plāns, kas iesniegts LR Ekonomikas ministrijai 07.12.2011.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D77" w:rsidRPr="008A2292" w:rsidRDefault="00023D77" w:rsidP="0014658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023D77" w:rsidRDefault="00023D77"/>
    <w:tbl>
      <w:tblPr>
        <w:tblW w:w="8938" w:type="dxa"/>
        <w:jc w:val="center"/>
        <w:tblLook w:val="04A0" w:firstRow="1" w:lastRow="0" w:firstColumn="1" w:lastColumn="0" w:noHBand="0" w:noVBand="1"/>
      </w:tblPr>
      <w:tblGrid>
        <w:gridCol w:w="657"/>
        <w:gridCol w:w="3539"/>
        <w:gridCol w:w="1909"/>
        <w:gridCol w:w="1319"/>
        <w:gridCol w:w="1514"/>
      </w:tblGrid>
      <w:tr w:rsidR="00AD27C6" w:rsidRPr="00AD27C6" w:rsidTr="00B721A4">
        <w:trPr>
          <w:trHeight w:val="300"/>
          <w:jc w:val="center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7.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Skaidrojums par novirzēm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7C6" w:rsidRPr="00AD27C6" w:rsidRDefault="00AD27C6" w:rsidP="00822BC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361905" w:rsidRPr="00AD27C6" w:rsidTr="004D7246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7.1.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Saņemtās subsīdijas un dotācijas (1.)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9E4893" w:rsidP="004D7246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1905" w:rsidRPr="00AD27C6" w:rsidTr="004D7246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7.2.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Aktīvi (2.1.)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4A72DD" w:rsidP="004D7246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1905" w:rsidRPr="00AD27C6" w:rsidTr="004D7246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7.3.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Valsts kapitāls (2.4.)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9E4893" w:rsidP="004D7246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61905" w:rsidRPr="00AD27C6" w:rsidTr="004D7246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7.4.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1905" w:rsidRPr="00AD27C6" w:rsidRDefault="00361905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Ieņēmumi (3.1.)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05" w:rsidRPr="00A47E3C" w:rsidRDefault="00F02242" w:rsidP="004D7246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Ietekme</w:t>
            </w:r>
            <w:r w:rsidR="00ED4BCB">
              <w:rPr>
                <w:color w:val="000000"/>
                <w:sz w:val="22"/>
                <w:szCs w:val="22"/>
              </w:rPr>
              <w:t xml:space="preserve"> galvenokārt</w:t>
            </w:r>
            <w:r>
              <w:rPr>
                <w:color w:val="000000"/>
                <w:sz w:val="22"/>
                <w:szCs w:val="22"/>
              </w:rPr>
              <w:t xml:space="preserve"> no </w:t>
            </w:r>
            <w:r w:rsidRPr="00FF1DEE">
              <w:rPr>
                <w:color w:val="000000"/>
                <w:sz w:val="22"/>
                <w:szCs w:val="22"/>
              </w:rPr>
              <w:t>ieguldījumu summas AS „</w:t>
            </w:r>
            <w:proofErr w:type="spellStart"/>
            <w:r w:rsidRPr="00FF1DEE">
              <w:rPr>
                <w:color w:val="000000"/>
                <w:sz w:val="22"/>
                <w:szCs w:val="22"/>
              </w:rPr>
              <w:t>Reverta</w:t>
            </w:r>
            <w:proofErr w:type="spellEnd"/>
            <w:r w:rsidRPr="00FF1DEE">
              <w:rPr>
                <w:color w:val="000000"/>
                <w:sz w:val="22"/>
                <w:szCs w:val="22"/>
              </w:rPr>
              <w:t>” un AS „Citadele Banka” pamatkapitālā pārvērtēšana</w:t>
            </w:r>
            <w:r>
              <w:rPr>
                <w:color w:val="000000"/>
                <w:sz w:val="22"/>
                <w:szCs w:val="22"/>
              </w:rPr>
              <w:t>s</w:t>
            </w:r>
            <w:r w:rsidR="00ED4BCB">
              <w:rPr>
                <w:color w:val="000000"/>
                <w:sz w:val="22"/>
                <w:szCs w:val="22"/>
              </w:rPr>
              <w:t>.</w:t>
            </w:r>
          </w:p>
        </w:tc>
      </w:tr>
      <w:tr w:rsidR="00ED4BCB" w:rsidRPr="00AD27C6" w:rsidTr="00625703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D4BCB" w:rsidRPr="00AD27C6" w:rsidRDefault="00ED4BCB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7.5.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D4BCB" w:rsidRPr="00AD27C6" w:rsidRDefault="00ED4BCB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Izmaksas (3.4.)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BCB" w:rsidRPr="006E73A3" w:rsidRDefault="00ED4BCB" w:rsidP="006E73A3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186C33">
              <w:rPr>
                <w:color w:val="000000"/>
                <w:sz w:val="22"/>
                <w:szCs w:val="22"/>
              </w:rPr>
              <w:t>Ietekme galvenokārt no ieguldījumu summas AS „</w:t>
            </w:r>
            <w:proofErr w:type="spellStart"/>
            <w:r w:rsidRPr="00186C33">
              <w:rPr>
                <w:color w:val="000000"/>
                <w:sz w:val="22"/>
                <w:szCs w:val="22"/>
              </w:rPr>
              <w:t>Reverta</w:t>
            </w:r>
            <w:proofErr w:type="spellEnd"/>
            <w:r w:rsidRPr="00186C33">
              <w:rPr>
                <w:color w:val="000000"/>
                <w:sz w:val="22"/>
                <w:szCs w:val="22"/>
              </w:rPr>
              <w:t>” un AS „Citadele Banka” pamatkapitālā pārvērtēšanas.</w:t>
            </w:r>
          </w:p>
        </w:tc>
      </w:tr>
      <w:tr w:rsidR="00ED4BCB" w:rsidRPr="00AD27C6" w:rsidTr="00625703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D4BCB" w:rsidRPr="00AD27C6" w:rsidRDefault="00ED4BCB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7.6.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D4BCB" w:rsidRPr="00AD27C6" w:rsidRDefault="00ED4BCB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Neto peļņa/ zaudējumi (3.7.)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BCB" w:rsidRPr="006E73A3" w:rsidRDefault="00ED4BCB" w:rsidP="006E73A3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 w:rsidRPr="00186C33">
              <w:rPr>
                <w:color w:val="000000"/>
                <w:sz w:val="22"/>
                <w:szCs w:val="22"/>
              </w:rPr>
              <w:t>Ietekme galvenokārt no ieguldījumu summas AS „</w:t>
            </w:r>
            <w:proofErr w:type="spellStart"/>
            <w:r w:rsidRPr="00186C33">
              <w:rPr>
                <w:color w:val="000000"/>
                <w:sz w:val="22"/>
                <w:szCs w:val="22"/>
              </w:rPr>
              <w:t>Reverta</w:t>
            </w:r>
            <w:proofErr w:type="spellEnd"/>
            <w:r w:rsidRPr="00186C33">
              <w:rPr>
                <w:color w:val="000000"/>
                <w:sz w:val="22"/>
                <w:szCs w:val="22"/>
              </w:rPr>
              <w:t>” un AS „Citadele Banka” pamatkapitālā pārvērtēšanas.</w:t>
            </w:r>
            <w:r w:rsidR="00E27A2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0799E" w:rsidRPr="00AD27C6" w:rsidTr="004D7246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0799E" w:rsidRPr="00AD27C6" w:rsidRDefault="00F0799E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7.7.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0799E" w:rsidRPr="00AD27C6" w:rsidRDefault="00F0799E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Finanšu rādītāji (4.)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99E" w:rsidRPr="00A47E3C" w:rsidRDefault="00F0799E" w:rsidP="006066EF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7434" w:rsidRPr="00AD27C6" w:rsidTr="004D7246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37434" w:rsidRPr="00AD27C6" w:rsidRDefault="00237434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7.8.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37434" w:rsidRPr="00AD27C6" w:rsidRDefault="00237434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Dividendes (5.1., 5.1.a)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7434" w:rsidRPr="00A47E3C" w:rsidRDefault="00237434" w:rsidP="004D7246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128BD" w:rsidRPr="00AD27C6" w:rsidTr="004D7246">
        <w:trPr>
          <w:trHeight w:val="30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128BD" w:rsidRPr="00AD27C6" w:rsidRDefault="00C128BD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7.9.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128BD" w:rsidRPr="00AD27C6" w:rsidRDefault="00C128BD" w:rsidP="004D7246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AD27C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Darbinieku skaits (6.1.)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8BD" w:rsidRPr="00A47E3C" w:rsidRDefault="004F1D46" w:rsidP="004D7246">
            <w:pPr>
              <w:spacing w:before="40" w:after="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97C6C" w:rsidRPr="008122A8" w:rsidRDefault="00097C6C">
      <w:pPr>
        <w:rPr>
          <w:sz w:val="24"/>
        </w:rPr>
      </w:pPr>
    </w:p>
    <w:p w:rsidR="00AD27C6" w:rsidRPr="008122A8" w:rsidRDefault="00AD27C6">
      <w:pPr>
        <w:rPr>
          <w:sz w:val="24"/>
        </w:rPr>
      </w:pPr>
    </w:p>
    <w:p w:rsidR="00AD27C6" w:rsidRPr="007409E8" w:rsidRDefault="00A47E3C" w:rsidP="00A47E3C">
      <w:pPr>
        <w:spacing w:after="120"/>
        <w:rPr>
          <w:sz w:val="24"/>
        </w:rPr>
      </w:pPr>
      <w:r w:rsidRPr="007409E8">
        <w:rPr>
          <w:rFonts w:eastAsia="Times New Roman"/>
          <w:b/>
          <w:bCs/>
          <w:i/>
          <w:iCs/>
          <w:color w:val="000000"/>
          <w:sz w:val="24"/>
          <w:lang w:eastAsia="zh-CN"/>
        </w:rPr>
        <w:t>Par veidlapas aizpildīšanu atbildīgais kapitālsabiedrības darbinieks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2280"/>
        <w:gridCol w:w="3405"/>
      </w:tblGrid>
      <w:tr w:rsidR="00A44945" w:rsidRPr="007409E8" w:rsidTr="000C586B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5" w:rsidRPr="007409E8" w:rsidRDefault="00A44945" w:rsidP="00394757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7409E8">
              <w:rPr>
                <w:rFonts w:eastAsia="Times New Roman"/>
                <w:color w:val="000000"/>
                <w:sz w:val="24"/>
                <w:lang w:eastAsia="zh-CN"/>
              </w:rPr>
              <w:t>Vārds, Uzvārds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5" w:rsidRPr="007409E8" w:rsidRDefault="00A44945" w:rsidP="00394757">
            <w:pPr>
              <w:jc w:val="center"/>
              <w:rPr>
                <w:color w:val="000000"/>
                <w:sz w:val="24"/>
              </w:rPr>
            </w:pPr>
            <w:r w:rsidRPr="007409E8">
              <w:rPr>
                <w:color w:val="000000"/>
                <w:sz w:val="24"/>
              </w:rPr>
              <w:t xml:space="preserve">Rolands </w:t>
            </w:r>
            <w:proofErr w:type="spellStart"/>
            <w:r w:rsidRPr="007409E8">
              <w:rPr>
                <w:color w:val="000000"/>
                <w:sz w:val="24"/>
              </w:rPr>
              <w:t>Pogulis</w:t>
            </w:r>
            <w:proofErr w:type="spellEnd"/>
          </w:p>
        </w:tc>
      </w:tr>
      <w:tr w:rsidR="00A44945" w:rsidRPr="007409E8" w:rsidTr="00394757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5" w:rsidRPr="007409E8" w:rsidRDefault="00A44945" w:rsidP="00394757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7409E8">
              <w:rPr>
                <w:rFonts w:eastAsia="Times New Roman"/>
                <w:color w:val="000000"/>
                <w:sz w:val="24"/>
                <w:lang w:eastAsia="zh-CN"/>
              </w:rPr>
              <w:t>Ieņemamais amats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5" w:rsidRPr="007409E8" w:rsidRDefault="00A44945" w:rsidP="00394757">
            <w:pPr>
              <w:jc w:val="center"/>
              <w:rPr>
                <w:color w:val="000000"/>
                <w:sz w:val="24"/>
              </w:rPr>
            </w:pPr>
            <w:r w:rsidRPr="007409E8">
              <w:rPr>
                <w:color w:val="000000"/>
                <w:sz w:val="24"/>
              </w:rPr>
              <w:t>finanšu analītiķis</w:t>
            </w:r>
          </w:p>
        </w:tc>
      </w:tr>
      <w:tr w:rsidR="00A44945" w:rsidRPr="007409E8" w:rsidTr="00394757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5" w:rsidRPr="007409E8" w:rsidRDefault="00A44945" w:rsidP="00394757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7409E8">
              <w:rPr>
                <w:rFonts w:eastAsia="Times New Roman"/>
                <w:color w:val="000000"/>
                <w:sz w:val="24"/>
                <w:lang w:eastAsia="zh-CN"/>
              </w:rPr>
              <w:t>Tālrunis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5" w:rsidRPr="007409E8" w:rsidRDefault="00A44945" w:rsidP="00394757">
            <w:pPr>
              <w:jc w:val="center"/>
              <w:rPr>
                <w:color w:val="000000"/>
                <w:sz w:val="24"/>
              </w:rPr>
            </w:pPr>
            <w:r w:rsidRPr="007409E8">
              <w:rPr>
                <w:color w:val="000000"/>
                <w:sz w:val="24"/>
              </w:rPr>
              <w:t>67021349</w:t>
            </w:r>
          </w:p>
        </w:tc>
      </w:tr>
      <w:tr w:rsidR="00A44945" w:rsidRPr="007409E8" w:rsidTr="00394757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45" w:rsidRPr="007409E8" w:rsidRDefault="00A44945" w:rsidP="00394757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7409E8">
              <w:rPr>
                <w:rFonts w:eastAsia="Times New Roman"/>
                <w:color w:val="000000"/>
                <w:sz w:val="24"/>
                <w:lang w:eastAsia="zh-CN"/>
              </w:rPr>
              <w:t>e-pasts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45" w:rsidRPr="007409E8" w:rsidRDefault="007409E8" w:rsidP="00394757">
            <w:pPr>
              <w:jc w:val="center"/>
              <w:rPr>
                <w:color w:val="0000FF"/>
                <w:sz w:val="24"/>
                <w:u w:val="single"/>
              </w:rPr>
            </w:pPr>
            <w:hyperlink r:id="rId8" w:history="1">
              <w:r w:rsidR="00A44945" w:rsidRPr="007409E8">
                <w:rPr>
                  <w:rStyle w:val="Hyperlink"/>
                  <w:sz w:val="24"/>
                </w:rPr>
                <w:t>Rolands.Pogulis@pa.gov.lv</w:t>
              </w:r>
            </w:hyperlink>
          </w:p>
        </w:tc>
      </w:tr>
    </w:tbl>
    <w:p w:rsidR="00DD7341" w:rsidRPr="00924496" w:rsidRDefault="00DD7341" w:rsidP="00DD7341">
      <w:bookmarkStart w:id="0" w:name="_GoBack"/>
      <w:bookmarkEnd w:id="0"/>
    </w:p>
    <w:sectPr w:rsidR="00DD7341" w:rsidRPr="00924496" w:rsidSect="00E8265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568" w:footer="3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B4" w:rsidRDefault="003F54B4">
      <w:r>
        <w:separator/>
      </w:r>
    </w:p>
  </w:endnote>
  <w:endnote w:type="continuationSeparator" w:id="0">
    <w:p w:rsidR="003F54B4" w:rsidRDefault="003F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B4" w:rsidRPr="0043217F" w:rsidRDefault="0043217F" w:rsidP="0043217F">
    <w:pPr>
      <w:pStyle w:val="Footer"/>
      <w:jc w:val="both"/>
      <w:rPr>
        <w:sz w:val="20"/>
      </w:rPr>
    </w:pPr>
    <w:r>
      <w:rPr>
        <w:sz w:val="20"/>
      </w:rPr>
      <w:t>EMzinop</w:t>
    </w:r>
    <w:r w:rsidR="00DC0E74">
      <w:rPr>
        <w:sz w:val="20"/>
      </w:rPr>
      <w:t>2</w:t>
    </w:r>
    <w:r>
      <w:rPr>
        <w:sz w:val="20"/>
      </w:rPr>
      <w:t>_</w:t>
    </w:r>
    <w:r w:rsidR="00504FC6">
      <w:rPr>
        <w:sz w:val="20"/>
      </w:rPr>
      <w:t>30</w:t>
    </w:r>
    <w:r>
      <w:rPr>
        <w:sz w:val="20"/>
      </w:rPr>
      <w:t xml:space="preserve">0813; Informatīvā ziņojuma „Par kapitālsabiedrību, kurās Ekonomikas ministrija ir valsts kapitāla daļu turētāja, 2012.gada finansiālo rādītāju izpildi, sasniegtajiem darbības rezultātiem un rezultatīvajiem radītājiem” </w:t>
    </w:r>
    <w:r w:rsidR="004C5350">
      <w:rPr>
        <w:sz w:val="20"/>
      </w:rPr>
      <w:t>2</w:t>
    </w:r>
    <w:r>
      <w:rPr>
        <w:sz w:val="20"/>
      </w:rPr>
      <w:t>.pielikums „</w:t>
    </w:r>
    <w:r w:rsidRPr="00D216A8">
      <w:rPr>
        <w:sz w:val="20"/>
      </w:rPr>
      <w:t xml:space="preserve">Informācija par </w:t>
    </w:r>
    <w:r w:rsidRPr="0043217F">
      <w:rPr>
        <w:sz w:val="20"/>
      </w:rPr>
      <w:t>VAS „Privatizācijas aģentūra”</w:t>
    </w:r>
    <w:r w:rsidRPr="00D216A8">
      <w:rPr>
        <w:sz w:val="20"/>
      </w:rPr>
      <w:t xml:space="preserve"> </w:t>
    </w:r>
    <w:r>
      <w:rPr>
        <w:sz w:val="20"/>
      </w:rPr>
      <w:t xml:space="preserve">2012.gada </w:t>
    </w:r>
    <w:r w:rsidRPr="00D216A8">
      <w:rPr>
        <w:sz w:val="20"/>
      </w:rPr>
      <w:t>rādītāju izpildi</w:t>
    </w:r>
    <w:r>
      <w:rPr>
        <w:sz w:val="20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8" w:rsidRPr="00D216A8" w:rsidRDefault="00D216A8" w:rsidP="00D216A8">
    <w:pPr>
      <w:pStyle w:val="Footer"/>
      <w:jc w:val="both"/>
      <w:rPr>
        <w:sz w:val="20"/>
      </w:rPr>
    </w:pPr>
    <w:r>
      <w:rPr>
        <w:sz w:val="20"/>
      </w:rPr>
      <w:t>EMzinop</w:t>
    </w:r>
    <w:r w:rsidR="00DC0E74">
      <w:rPr>
        <w:sz w:val="20"/>
      </w:rPr>
      <w:t>2</w:t>
    </w:r>
    <w:r>
      <w:rPr>
        <w:sz w:val="20"/>
      </w:rPr>
      <w:t>_</w:t>
    </w:r>
    <w:r w:rsidR="00504FC6">
      <w:rPr>
        <w:sz w:val="20"/>
      </w:rPr>
      <w:t>30</w:t>
    </w:r>
    <w:r>
      <w:rPr>
        <w:sz w:val="20"/>
      </w:rPr>
      <w:t xml:space="preserve">0813; Informatīvā ziņojuma „Par kapitālsabiedrību, kurās Ekonomikas ministrija ir valsts kapitāla daļu turētāja, 2012.gada finansiālo rādītāju izpildi, sasniegtajiem darbības rezultātiem un rezultatīvajiem radītājiem” </w:t>
    </w:r>
    <w:r w:rsidR="004C5350">
      <w:rPr>
        <w:sz w:val="20"/>
      </w:rPr>
      <w:t>2</w:t>
    </w:r>
    <w:r>
      <w:rPr>
        <w:sz w:val="20"/>
      </w:rPr>
      <w:t>.pielikums „</w:t>
    </w:r>
    <w:r w:rsidRPr="00D216A8">
      <w:rPr>
        <w:sz w:val="20"/>
      </w:rPr>
      <w:t xml:space="preserve">Informācija par </w:t>
    </w:r>
    <w:r w:rsidR="0043217F" w:rsidRPr="0043217F">
      <w:rPr>
        <w:sz w:val="20"/>
      </w:rPr>
      <w:t>VAS „Privatizācijas aģentūra”</w:t>
    </w:r>
    <w:r w:rsidRPr="00D216A8">
      <w:rPr>
        <w:sz w:val="20"/>
      </w:rPr>
      <w:t xml:space="preserve"> </w:t>
    </w:r>
    <w:r w:rsidR="000926CF">
      <w:rPr>
        <w:sz w:val="20"/>
      </w:rPr>
      <w:t xml:space="preserve">2012.gada </w:t>
    </w:r>
    <w:r w:rsidRPr="00D216A8">
      <w:rPr>
        <w:sz w:val="20"/>
      </w:rPr>
      <w:t>rādītāju izpildi</w:t>
    </w:r>
    <w:r>
      <w:rPr>
        <w:sz w:val="20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B4" w:rsidRDefault="003F54B4">
      <w:r>
        <w:separator/>
      </w:r>
    </w:p>
  </w:footnote>
  <w:footnote w:type="continuationSeparator" w:id="0">
    <w:p w:rsidR="003F54B4" w:rsidRDefault="003F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972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4B4" w:rsidRDefault="003F54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9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54B4" w:rsidRDefault="003F54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6B" w:rsidRPr="00316E50" w:rsidRDefault="00A03A10" w:rsidP="00E7196B">
    <w:pPr>
      <w:pStyle w:val="ListParagraph"/>
      <w:jc w:val="right"/>
      <w:rPr>
        <w:sz w:val="24"/>
      </w:rPr>
    </w:pPr>
    <w:r>
      <w:rPr>
        <w:sz w:val="24"/>
      </w:rPr>
      <w:t>2</w:t>
    </w:r>
    <w:r w:rsidR="00E7196B" w:rsidRPr="00316E50">
      <w:rPr>
        <w:sz w:val="24"/>
      </w:rPr>
      <w:t>.pielikums</w:t>
    </w:r>
  </w:p>
  <w:p w:rsidR="00E7196B" w:rsidRPr="00316E50" w:rsidRDefault="00E7196B" w:rsidP="00E7196B">
    <w:pPr>
      <w:pStyle w:val="Header"/>
      <w:tabs>
        <w:tab w:val="clear" w:pos="4153"/>
        <w:tab w:val="clear" w:pos="8306"/>
      </w:tabs>
      <w:ind w:left="1134"/>
      <w:jc w:val="right"/>
      <w:rPr>
        <w:sz w:val="24"/>
      </w:rPr>
    </w:pPr>
    <w:r w:rsidRPr="00316E50">
      <w:rPr>
        <w:sz w:val="24"/>
      </w:rPr>
      <w:t>Informatīvajam ziņojumam „Par kapitālsabiedrību, kurās Ekonomikas ministrija ir valsts kapitāla daļu turētāja, 2012.gada finansiālo rādītāju izpildi, sasniegtajiem darbības rezultātiem un rezultatīvajiem rādītājiem”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E5935"/>
    <w:multiLevelType w:val="hybridMultilevel"/>
    <w:tmpl w:val="AFB65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7341"/>
    <w:rsid w:val="000064A8"/>
    <w:rsid w:val="000167EE"/>
    <w:rsid w:val="000232FB"/>
    <w:rsid w:val="00023BB9"/>
    <w:rsid w:val="00023D77"/>
    <w:rsid w:val="00025A07"/>
    <w:rsid w:val="00026788"/>
    <w:rsid w:val="00026E74"/>
    <w:rsid w:val="0003104E"/>
    <w:rsid w:val="000350F9"/>
    <w:rsid w:val="000411A1"/>
    <w:rsid w:val="00043170"/>
    <w:rsid w:val="00044E74"/>
    <w:rsid w:val="00061562"/>
    <w:rsid w:val="00066B57"/>
    <w:rsid w:val="00070066"/>
    <w:rsid w:val="00070C63"/>
    <w:rsid w:val="000747D8"/>
    <w:rsid w:val="00074E79"/>
    <w:rsid w:val="000850C3"/>
    <w:rsid w:val="000926CF"/>
    <w:rsid w:val="000932C7"/>
    <w:rsid w:val="00095BB2"/>
    <w:rsid w:val="00096A43"/>
    <w:rsid w:val="00097C6C"/>
    <w:rsid w:val="000A143D"/>
    <w:rsid w:val="000A42BD"/>
    <w:rsid w:val="000B0366"/>
    <w:rsid w:val="000B0B6B"/>
    <w:rsid w:val="000B0E03"/>
    <w:rsid w:val="000B2205"/>
    <w:rsid w:val="000B258A"/>
    <w:rsid w:val="000B5CCB"/>
    <w:rsid w:val="000C026A"/>
    <w:rsid w:val="000C586B"/>
    <w:rsid w:val="000D17DA"/>
    <w:rsid w:val="000D4A9D"/>
    <w:rsid w:val="000D6691"/>
    <w:rsid w:val="000E1E64"/>
    <w:rsid w:val="000F4D3D"/>
    <w:rsid w:val="000F4F21"/>
    <w:rsid w:val="000F6B7D"/>
    <w:rsid w:val="000F7543"/>
    <w:rsid w:val="00102ECC"/>
    <w:rsid w:val="00103357"/>
    <w:rsid w:val="00103B3F"/>
    <w:rsid w:val="00106766"/>
    <w:rsid w:val="0011517C"/>
    <w:rsid w:val="001205D9"/>
    <w:rsid w:val="00125312"/>
    <w:rsid w:val="00127D89"/>
    <w:rsid w:val="00133B7B"/>
    <w:rsid w:val="00142D18"/>
    <w:rsid w:val="00142EE1"/>
    <w:rsid w:val="00154BE5"/>
    <w:rsid w:val="0016118E"/>
    <w:rsid w:val="001657A9"/>
    <w:rsid w:val="00172943"/>
    <w:rsid w:val="001735B4"/>
    <w:rsid w:val="00175E92"/>
    <w:rsid w:val="0018068F"/>
    <w:rsid w:val="0018299C"/>
    <w:rsid w:val="00197747"/>
    <w:rsid w:val="001A36A8"/>
    <w:rsid w:val="001A3DFA"/>
    <w:rsid w:val="001A5056"/>
    <w:rsid w:val="001A6E6B"/>
    <w:rsid w:val="001B02E6"/>
    <w:rsid w:val="001B413F"/>
    <w:rsid w:val="001C10BF"/>
    <w:rsid w:val="001C1490"/>
    <w:rsid w:val="001C40F8"/>
    <w:rsid w:val="001C4A2B"/>
    <w:rsid w:val="001E4615"/>
    <w:rsid w:val="001E494D"/>
    <w:rsid w:val="0020781E"/>
    <w:rsid w:val="00213DDA"/>
    <w:rsid w:val="00224FD7"/>
    <w:rsid w:val="002320B7"/>
    <w:rsid w:val="00237434"/>
    <w:rsid w:val="00240C77"/>
    <w:rsid w:val="0024272C"/>
    <w:rsid w:val="00253B19"/>
    <w:rsid w:val="00255BF5"/>
    <w:rsid w:val="0026453E"/>
    <w:rsid w:val="00273FBD"/>
    <w:rsid w:val="00277AAA"/>
    <w:rsid w:val="00282E94"/>
    <w:rsid w:val="0029289E"/>
    <w:rsid w:val="00293C4F"/>
    <w:rsid w:val="00295D6F"/>
    <w:rsid w:val="00297E44"/>
    <w:rsid w:val="002A2B00"/>
    <w:rsid w:val="002A40EE"/>
    <w:rsid w:val="002A5FE5"/>
    <w:rsid w:val="002B3ACF"/>
    <w:rsid w:val="002B543B"/>
    <w:rsid w:val="002C1EF2"/>
    <w:rsid w:val="002C392A"/>
    <w:rsid w:val="002D2122"/>
    <w:rsid w:val="002D7B9F"/>
    <w:rsid w:val="002F7E3A"/>
    <w:rsid w:val="003001DF"/>
    <w:rsid w:val="003127FF"/>
    <w:rsid w:val="00313EAD"/>
    <w:rsid w:val="00315210"/>
    <w:rsid w:val="00316E50"/>
    <w:rsid w:val="00330E3A"/>
    <w:rsid w:val="003325F2"/>
    <w:rsid w:val="0033723B"/>
    <w:rsid w:val="003440DA"/>
    <w:rsid w:val="00353657"/>
    <w:rsid w:val="003572BF"/>
    <w:rsid w:val="00361905"/>
    <w:rsid w:val="0036424D"/>
    <w:rsid w:val="003752D6"/>
    <w:rsid w:val="00380285"/>
    <w:rsid w:val="00386F94"/>
    <w:rsid w:val="0039126E"/>
    <w:rsid w:val="0039351D"/>
    <w:rsid w:val="00393955"/>
    <w:rsid w:val="00394757"/>
    <w:rsid w:val="003A20A8"/>
    <w:rsid w:val="003A395B"/>
    <w:rsid w:val="003A5224"/>
    <w:rsid w:val="003B0415"/>
    <w:rsid w:val="003B1112"/>
    <w:rsid w:val="003B2BAE"/>
    <w:rsid w:val="003B5E66"/>
    <w:rsid w:val="003B6B60"/>
    <w:rsid w:val="003B7788"/>
    <w:rsid w:val="003C4627"/>
    <w:rsid w:val="003C4B36"/>
    <w:rsid w:val="003C4FFE"/>
    <w:rsid w:val="003D3605"/>
    <w:rsid w:val="003D5095"/>
    <w:rsid w:val="003D5665"/>
    <w:rsid w:val="003D7FEF"/>
    <w:rsid w:val="003E017E"/>
    <w:rsid w:val="003E2AD9"/>
    <w:rsid w:val="003E5EE7"/>
    <w:rsid w:val="003F54B4"/>
    <w:rsid w:val="004038CA"/>
    <w:rsid w:val="00404D7C"/>
    <w:rsid w:val="0043217F"/>
    <w:rsid w:val="00434500"/>
    <w:rsid w:val="00440480"/>
    <w:rsid w:val="00443E90"/>
    <w:rsid w:val="004455C8"/>
    <w:rsid w:val="00450695"/>
    <w:rsid w:val="00451B7D"/>
    <w:rsid w:val="00452FDD"/>
    <w:rsid w:val="004571DB"/>
    <w:rsid w:val="00457654"/>
    <w:rsid w:val="00466155"/>
    <w:rsid w:val="0047355D"/>
    <w:rsid w:val="00473988"/>
    <w:rsid w:val="00476799"/>
    <w:rsid w:val="004857DC"/>
    <w:rsid w:val="004902DA"/>
    <w:rsid w:val="004929AC"/>
    <w:rsid w:val="004946A8"/>
    <w:rsid w:val="00494936"/>
    <w:rsid w:val="0049566D"/>
    <w:rsid w:val="004A2A30"/>
    <w:rsid w:val="004A2ECD"/>
    <w:rsid w:val="004A4F75"/>
    <w:rsid w:val="004A6423"/>
    <w:rsid w:val="004A72DD"/>
    <w:rsid w:val="004B0077"/>
    <w:rsid w:val="004B2DBA"/>
    <w:rsid w:val="004B5042"/>
    <w:rsid w:val="004B68C7"/>
    <w:rsid w:val="004B6A6B"/>
    <w:rsid w:val="004C1C62"/>
    <w:rsid w:val="004C338B"/>
    <w:rsid w:val="004C4F34"/>
    <w:rsid w:val="004C5350"/>
    <w:rsid w:val="004D3022"/>
    <w:rsid w:val="004D362E"/>
    <w:rsid w:val="004D5D73"/>
    <w:rsid w:val="004D7246"/>
    <w:rsid w:val="004E399B"/>
    <w:rsid w:val="004F1D46"/>
    <w:rsid w:val="00504FC6"/>
    <w:rsid w:val="00505465"/>
    <w:rsid w:val="00514E45"/>
    <w:rsid w:val="0051508A"/>
    <w:rsid w:val="005166C9"/>
    <w:rsid w:val="00521E34"/>
    <w:rsid w:val="005265C5"/>
    <w:rsid w:val="00530381"/>
    <w:rsid w:val="00540258"/>
    <w:rsid w:val="0054374D"/>
    <w:rsid w:val="0054636C"/>
    <w:rsid w:val="00553184"/>
    <w:rsid w:val="005554B8"/>
    <w:rsid w:val="005657DB"/>
    <w:rsid w:val="00572567"/>
    <w:rsid w:val="00583045"/>
    <w:rsid w:val="0059106C"/>
    <w:rsid w:val="0059742D"/>
    <w:rsid w:val="005A787C"/>
    <w:rsid w:val="005B03D0"/>
    <w:rsid w:val="005B7BE4"/>
    <w:rsid w:val="005D3855"/>
    <w:rsid w:val="005D499C"/>
    <w:rsid w:val="005D5DC1"/>
    <w:rsid w:val="005F3275"/>
    <w:rsid w:val="005F5E9F"/>
    <w:rsid w:val="00600630"/>
    <w:rsid w:val="00601949"/>
    <w:rsid w:val="00605CD3"/>
    <w:rsid w:val="0062135F"/>
    <w:rsid w:val="00624578"/>
    <w:rsid w:val="0062507D"/>
    <w:rsid w:val="006277F4"/>
    <w:rsid w:val="006305BD"/>
    <w:rsid w:val="00636727"/>
    <w:rsid w:val="006441CB"/>
    <w:rsid w:val="006452F1"/>
    <w:rsid w:val="006529A8"/>
    <w:rsid w:val="00664BA7"/>
    <w:rsid w:val="00664FAA"/>
    <w:rsid w:val="00675032"/>
    <w:rsid w:val="00683D0C"/>
    <w:rsid w:val="0069738E"/>
    <w:rsid w:val="006A04F2"/>
    <w:rsid w:val="006A3752"/>
    <w:rsid w:val="006A6BEA"/>
    <w:rsid w:val="006B174B"/>
    <w:rsid w:val="006B399C"/>
    <w:rsid w:val="006C43AA"/>
    <w:rsid w:val="006C67D7"/>
    <w:rsid w:val="006D2FFF"/>
    <w:rsid w:val="006D3CC6"/>
    <w:rsid w:val="006D4000"/>
    <w:rsid w:val="006D5EDD"/>
    <w:rsid w:val="006E27AE"/>
    <w:rsid w:val="006E73A3"/>
    <w:rsid w:val="00700300"/>
    <w:rsid w:val="0070170C"/>
    <w:rsid w:val="00701EC5"/>
    <w:rsid w:val="00703458"/>
    <w:rsid w:val="00710ECA"/>
    <w:rsid w:val="007137BF"/>
    <w:rsid w:val="00715746"/>
    <w:rsid w:val="00725D20"/>
    <w:rsid w:val="00730E6D"/>
    <w:rsid w:val="0073287E"/>
    <w:rsid w:val="007409E8"/>
    <w:rsid w:val="0075278A"/>
    <w:rsid w:val="00767DE3"/>
    <w:rsid w:val="00786DC6"/>
    <w:rsid w:val="00790C72"/>
    <w:rsid w:val="00794152"/>
    <w:rsid w:val="00795650"/>
    <w:rsid w:val="00797284"/>
    <w:rsid w:val="007A159C"/>
    <w:rsid w:val="007A1F28"/>
    <w:rsid w:val="007B2957"/>
    <w:rsid w:val="007B33AE"/>
    <w:rsid w:val="007B7733"/>
    <w:rsid w:val="007C0A8F"/>
    <w:rsid w:val="007C30C5"/>
    <w:rsid w:val="007C68F5"/>
    <w:rsid w:val="007D30AD"/>
    <w:rsid w:val="007D4A40"/>
    <w:rsid w:val="007D549A"/>
    <w:rsid w:val="007D6A6C"/>
    <w:rsid w:val="007E5162"/>
    <w:rsid w:val="007E64E7"/>
    <w:rsid w:val="007F3C10"/>
    <w:rsid w:val="0080349B"/>
    <w:rsid w:val="008041EA"/>
    <w:rsid w:val="008107EB"/>
    <w:rsid w:val="008122A8"/>
    <w:rsid w:val="00815FDA"/>
    <w:rsid w:val="00822BC9"/>
    <w:rsid w:val="00830382"/>
    <w:rsid w:val="00847FDD"/>
    <w:rsid w:val="0085778C"/>
    <w:rsid w:val="008642EB"/>
    <w:rsid w:val="00883C72"/>
    <w:rsid w:val="008847F2"/>
    <w:rsid w:val="00887002"/>
    <w:rsid w:val="008A2292"/>
    <w:rsid w:val="008A3B82"/>
    <w:rsid w:val="008A663A"/>
    <w:rsid w:val="008A6734"/>
    <w:rsid w:val="008A6DF1"/>
    <w:rsid w:val="008C44A8"/>
    <w:rsid w:val="008C7329"/>
    <w:rsid w:val="008D081C"/>
    <w:rsid w:val="008E0B76"/>
    <w:rsid w:val="008E1E2A"/>
    <w:rsid w:val="008E3BA9"/>
    <w:rsid w:val="008E51F5"/>
    <w:rsid w:val="008E7077"/>
    <w:rsid w:val="008E7C6C"/>
    <w:rsid w:val="008F5B6F"/>
    <w:rsid w:val="008F6D7A"/>
    <w:rsid w:val="008F7E6C"/>
    <w:rsid w:val="0090311B"/>
    <w:rsid w:val="00905C07"/>
    <w:rsid w:val="00910D13"/>
    <w:rsid w:val="00924496"/>
    <w:rsid w:val="00931105"/>
    <w:rsid w:val="0093289C"/>
    <w:rsid w:val="0093694A"/>
    <w:rsid w:val="00944D51"/>
    <w:rsid w:val="00945D16"/>
    <w:rsid w:val="00953A36"/>
    <w:rsid w:val="00964C2A"/>
    <w:rsid w:val="00965039"/>
    <w:rsid w:val="00971E25"/>
    <w:rsid w:val="009734DA"/>
    <w:rsid w:val="00975167"/>
    <w:rsid w:val="00976456"/>
    <w:rsid w:val="00983DAD"/>
    <w:rsid w:val="00991C90"/>
    <w:rsid w:val="00994F6E"/>
    <w:rsid w:val="009A074A"/>
    <w:rsid w:val="009A0C34"/>
    <w:rsid w:val="009A40C3"/>
    <w:rsid w:val="009B2144"/>
    <w:rsid w:val="009B67FA"/>
    <w:rsid w:val="009B68FC"/>
    <w:rsid w:val="009C10F4"/>
    <w:rsid w:val="009D2D8B"/>
    <w:rsid w:val="009E4893"/>
    <w:rsid w:val="009F3BF1"/>
    <w:rsid w:val="009F62FE"/>
    <w:rsid w:val="009F755F"/>
    <w:rsid w:val="00A0098F"/>
    <w:rsid w:val="00A03A10"/>
    <w:rsid w:val="00A12DD8"/>
    <w:rsid w:val="00A141C2"/>
    <w:rsid w:val="00A14ADF"/>
    <w:rsid w:val="00A15CEF"/>
    <w:rsid w:val="00A23461"/>
    <w:rsid w:val="00A3079C"/>
    <w:rsid w:val="00A31663"/>
    <w:rsid w:val="00A37B44"/>
    <w:rsid w:val="00A417FD"/>
    <w:rsid w:val="00A44945"/>
    <w:rsid w:val="00A47E3C"/>
    <w:rsid w:val="00A502CE"/>
    <w:rsid w:val="00A519A5"/>
    <w:rsid w:val="00A55E7D"/>
    <w:rsid w:val="00A56A96"/>
    <w:rsid w:val="00A60ECD"/>
    <w:rsid w:val="00A66C4B"/>
    <w:rsid w:val="00A724B0"/>
    <w:rsid w:val="00A74524"/>
    <w:rsid w:val="00A758D4"/>
    <w:rsid w:val="00A80FE4"/>
    <w:rsid w:val="00A824DA"/>
    <w:rsid w:val="00A9119D"/>
    <w:rsid w:val="00A9461E"/>
    <w:rsid w:val="00AB3218"/>
    <w:rsid w:val="00AB7029"/>
    <w:rsid w:val="00AD27C6"/>
    <w:rsid w:val="00AD3999"/>
    <w:rsid w:val="00AD4324"/>
    <w:rsid w:val="00AD7A2E"/>
    <w:rsid w:val="00AE5952"/>
    <w:rsid w:val="00AE5A5D"/>
    <w:rsid w:val="00AE7CC7"/>
    <w:rsid w:val="00AF0EDC"/>
    <w:rsid w:val="00AF6B7D"/>
    <w:rsid w:val="00B055F9"/>
    <w:rsid w:val="00B07063"/>
    <w:rsid w:val="00B10160"/>
    <w:rsid w:val="00B24BE7"/>
    <w:rsid w:val="00B26B54"/>
    <w:rsid w:val="00B31226"/>
    <w:rsid w:val="00B326BF"/>
    <w:rsid w:val="00B3543B"/>
    <w:rsid w:val="00B45A22"/>
    <w:rsid w:val="00B4676D"/>
    <w:rsid w:val="00B55BE2"/>
    <w:rsid w:val="00B55F07"/>
    <w:rsid w:val="00B721A4"/>
    <w:rsid w:val="00B742C0"/>
    <w:rsid w:val="00B91868"/>
    <w:rsid w:val="00B91B27"/>
    <w:rsid w:val="00BA243A"/>
    <w:rsid w:val="00BA2FBD"/>
    <w:rsid w:val="00BB2E6D"/>
    <w:rsid w:val="00BB408A"/>
    <w:rsid w:val="00BB7D51"/>
    <w:rsid w:val="00BC6832"/>
    <w:rsid w:val="00BD71D7"/>
    <w:rsid w:val="00BE00B3"/>
    <w:rsid w:val="00BE334D"/>
    <w:rsid w:val="00BE49AE"/>
    <w:rsid w:val="00BF2FF8"/>
    <w:rsid w:val="00C04EEA"/>
    <w:rsid w:val="00C128BD"/>
    <w:rsid w:val="00C16A48"/>
    <w:rsid w:val="00C240C2"/>
    <w:rsid w:val="00C2459F"/>
    <w:rsid w:val="00C2657D"/>
    <w:rsid w:val="00C52316"/>
    <w:rsid w:val="00C60B46"/>
    <w:rsid w:val="00C65BE2"/>
    <w:rsid w:val="00C67707"/>
    <w:rsid w:val="00C72DE5"/>
    <w:rsid w:val="00C76968"/>
    <w:rsid w:val="00C91830"/>
    <w:rsid w:val="00C95AF1"/>
    <w:rsid w:val="00C96A0D"/>
    <w:rsid w:val="00CA0527"/>
    <w:rsid w:val="00CA1953"/>
    <w:rsid w:val="00CA71AB"/>
    <w:rsid w:val="00CA7A68"/>
    <w:rsid w:val="00CC07E7"/>
    <w:rsid w:val="00CD1868"/>
    <w:rsid w:val="00CD76DE"/>
    <w:rsid w:val="00CE5CA5"/>
    <w:rsid w:val="00CF2BCF"/>
    <w:rsid w:val="00CF4AF7"/>
    <w:rsid w:val="00CF7D22"/>
    <w:rsid w:val="00D026AD"/>
    <w:rsid w:val="00D04CC9"/>
    <w:rsid w:val="00D12060"/>
    <w:rsid w:val="00D13D0F"/>
    <w:rsid w:val="00D216A8"/>
    <w:rsid w:val="00D23379"/>
    <w:rsid w:val="00D2342F"/>
    <w:rsid w:val="00D32D67"/>
    <w:rsid w:val="00D337E7"/>
    <w:rsid w:val="00D36072"/>
    <w:rsid w:val="00D52847"/>
    <w:rsid w:val="00D533A7"/>
    <w:rsid w:val="00D53A49"/>
    <w:rsid w:val="00D56A24"/>
    <w:rsid w:val="00D57007"/>
    <w:rsid w:val="00D63FAA"/>
    <w:rsid w:val="00D64158"/>
    <w:rsid w:val="00D65575"/>
    <w:rsid w:val="00D662FF"/>
    <w:rsid w:val="00D8448E"/>
    <w:rsid w:val="00D861F0"/>
    <w:rsid w:val="00D87C7F"/>
    <w:rsid w:val="00D91562"/>
    <w:rsid w:val="00D91B46"/>
    <w:rsid w:val="00D92FF3"/>
    <w:rsid w:val="00D93204"/>
    <w:rsid w:val="00D9362C"/>
    <w:rsid w:val="00D956E0"/>
    <w:rsid w:val="00D97A63"/>
    <w:rsid w:val="00DA4E51"/>
    <w:rsid w:val="00DA705B"/>
    <w:rsid w:val="00DB003C"/>
    <w:rsid w:val="00DB3AAD"/>
    <w:rsid w:val="00DC0E74"/>
    <w:rsid w:val="00DC4194"/>
    <w:rsid w:val="00DC5006"/>
    <w:rsid w:val="00DD1872"/>
    <w:rsid w:val="00DD64E0"/>
    <w:rsid w:val="00DD72E9"/>
    <w:rsid w:val="00DD7341"/>
    <w:rsid w:val="00DF0E2D"/>
    <w:rsid w:val="00DF13DE"/>
    <w:rsid w:val="00DF3CF4"/>
    <w:rsid w:val="00E05A31"/>
    <w:rsid w:val="00E1047F"/>
    <w:rsid w:val="00E229F1"/>
    <w:rsid w:val="00E26E36"/>
    <w:rsid w:val="00E27A28"/>
    <w:rsid w:val="00E30ADC"/>
    <w:rsid w:val="00E35574"/>
    <w:rsid w:val="00E37704"/>
    <w:rsid w:val="00E42A79"/>
    <w:rsid w:val="00E44542"/>
    <w:rsid w:val="00E620DD"/>
    <w:rsid w:val="00E65051"/>
    <w:rsid w:val="00E65276"/>
    <w:rsid w:val="00E653A9"/>
    <w:rsid w:val="00E7196B"/>
    <w:rsid w:val="00E80247"/>
    <w:rsid w:val="00E82652"/>
    <w:rsid w:val="00E85BFD"/>
    <w:rsid w:val="00E972FE"/>
    <w:rsid w:val="00EA02F9"/>
    <w:rsid w:val="00EA2496"/>
    <w:rsid w:val="00EA2DF5"/>
    <w:rsid w:val="00EA371B"/>
    <w:rsid w:val="00EA4DF6"/>
    <w:rsid w:val="00EA634B"/>
    <w:rsid w:val="00EC2A67"/>
    <w:rsid w:val="00ED4BCB"/>
    <w:rsid w:val="00EE2514"/>
    <w:rsid w:val="00EE36EE"/>
    <w:rsid w:val="00EE6828"/>
    <w:rsid w:val="00EE6AD7"/>
    <w:rsid w:val="00EF1F64"/>
    <w:rsid w:val="00EF3EB2"/>
    <w:rsid w:val="00EF7AC7"/>
    <w:rsid w:val="00F02242"/>
    <w:rsid w:val="00F03347"/>
    <w:rsid w:val="00F0799E"/>
    <w:rsid w:val="00F118CE"/>
    <w:rsid w:val="00F11BC5"/>
    <w:rsid w:val="00F138DA"/>
    <w:rsid w:val="00F25469"/>
    <w:rsid w:val="00F33D09"/>
    <w:rsid w:val="00F340B7"/>
    <w:rsid w:val="00F34B60"/>
    <w:rsid w:val="00F425E0"/>
    <w:rsid w:val="00F54B7C"/>
    <w:rsid w:val="00F625BC"/>
    <w:rsid w:val="00F72425"/>
    <w:rsid w:val="00F72780"/>
    <w:rsid w:val="00F753F8"/>
    <w:rsid w:val="00F763F5"/>
    <w:rsid w:val="00F77323"/>
    <w:rsid w:val="00F81365"/>
    <w:rsid w:val="00F819F1"/>
    <w:rsid w:val="00F82789"/>
    <w:rsid w:val="00F83118"/>
    <w:rsid w:val="00F83240"/>
    <w:rsid w:val="00F87755"/>
    <w:rsid w:val="00F936DD"/>
    <w:rsid w:val="00F93C78"/>
    <w:rsid w:val="00F97FF6"/>
    <w:rsid w:val="00FA0F6C"/>
    <w:rsid w:val="00FA6DD1"/>
    <w:rsid w:val="00FA75BF"/>
    <w:rsid w:val="00FA76C0"/>
    <w:rsid w:val="00FB2999"/>
    <w:rsid w:val="00FB67DA"/>
    <w:rsid w:val="00FC17F3"/>
    <w:rsid w:val="00FC26EE"/>
    <w:rsid w:val="00FD5FF7"/>
    <w:rsid w:val="00FD761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ands.Pogulis@pa.gov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[teksts]</vt:lpstr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kapitālsabiedrību, kurās Ekonomikas ministrija ir valsts kapitāla daļu turētāja, 2012.gada finansiālo rādītāju izpildi, sasniegtajiem darbības rezultātiem un rezultatīvajiem rādītājiem</dc:title>
  <dc:subject>Informatīvā ziņojuma 2.pielikums</dc:subject>
  <dc:creator>Ekonomikas ministrija</dc:creator>
  <dc:description>Svetlana Aleksejeva _x000d_
 tālrunis 67013121, fakss 67280882 _x000d_
 Svetlana.Aleksejeva@em.gov.lv</dc:description>
  <cp:lastModifiedBy>Svetlana Aleksejeva</cp:lastModifiedBy>
  <cp:revision>499</cp:revision>
  <dcterms:created xsi:type="dcterms:W3CDTF">2012-08-09T09:01:00Z</dcterms:created>
  <dcterms:modified xsi:type="dcterms:W3CDTF">2013-08-30T06:12:00Z</dcterms:modified>
</cp:coreProperties>
</file>