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A82B26">
        <w:rPr>
          <w:rFonts w:eastAsia="Times New Roman"/>
          <w:b/>
          <w:bCs/>
          <w:color w:val="000000"/>
          <w:sz w:val="28"/>
          <w:szCs w:val="28"/>
          <w:lang w:eastAsia="zh-CN"/>
        </w:rPr>
        <w:t>SIA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„</w:t>
      </w:r>
      <w:r w:rsidR="00A82B26">
        <w:rPr>
          <w:rFonts w:eastAsia="Times New Roman"/>
          <w:b/>
          <w:bCs/>
          <w:color w:val="000000"/>
          <w:sz w:val="28"/>
          <w:szCs w:val="28"/>
          <w:lang w:eastAsia="zh-CN"/>
        </w:rPr>
        <w:t>Standartizācijas, akreditācijas un metroloģijas centrs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>”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6529A8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2012.gada rādītāju izpildi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4D5D73" w:rsidRPr="00A12DD8" w:rsidRDefault="00D92FF3" w:rsidP="000D17DA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="004D5D73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apitālsabiedrības darbības rezultātu </w:t>
      </w:r>
      <w:r w:rsidR="00F54B7C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rezultatīvo rādītāju izpilde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C65BE2" w:rsidRPr="00924496" w:rsidTr="00075664">
        <w:trPr>
          <w:trHeight w:val="6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BE2" w:rsidRPr="00C85B12" w:rsidRDefault="004C5379" w:rsidP="00F96388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Nodrošināt uzņēmējus, valsts pārvaldi un patērētājus ar ticamiem atbilstības novērtēšanas pakalpojumiem standartizācijas, akreditācijas un metroloģijas jomā, stimulējot preču un pakalpojumu brīvu pārrobežu kustību, paaugstinot Latvijas uzņēmēju konkurētspēju (</w:t>
            </w:r>
            <w:proofErr w:type="spellStart"/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eksportspēju</w:t>
            </w:r>
            <w:proofErr w:type="spellEnd"/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) un radot pamatu drošu produktu un pakalpojumu saņemšanai</w:t>
            </w:r>
            <w:r w:rsidR="00F96388"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2442"/>
        <w:gridCol w:w="1164"/>
        <w:gridCol w:w="1192"/>
        <w:gridCol w:w="1187"/>
        <w:gridCol w:w="2551"/>
      </w:tblGrid>
      <w:tr w:rsidR="008A6734" w:rsidRPr="004A2A30" w:rsidTr="003E5EE7">
        <w:trPr>
          <w:trHeight w:val="93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Darbības rezultāts</w:t>
            </w:r>
            <w:r w:rsidR="00273FB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/ rādītāji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plāns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Skaidrojums par novirzēm</w:t>
            </w:r>
          </w:p>
        </w:tc>
      </w:tr>
      <w:tr w:rsidR="008A6734" w:rsidRPr="00175E92" w:rsidTr="00E229F1">
        <w:trPr>
          <w:trHeight w:val="330"/>
          <w:tblHeader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8A6734" w:rsidRPr="004A2A30" w:rsidTr="00140EBF">
        <w:trPr>
          <w:trHeight w:val="21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 </w:t>
            </w:r>
            <w:r w:rsidR="00B91B27" w:rsidRPr="00B91B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734" w:rsidRPr="00C85B12" w:rsidRDefault="00BF15BB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Metroloģijas jomā</w:t>
            </w:r>
          </w:p>
          <w:p w:rsidR="00BF0318" w:rsidRPr="00C85B12" w:rsidRDefault="00377695" w:rsidP="00377695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Uzturēti nacionālie mērvienību etaloni atbilstoši tautsaimniecības vajadzībām, nodrošinot to starptautisku atzīšanu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8A6734" w:rsidRPr="004A2A30" w:rsidTr="002F7E3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8A6734" w:rsidRPr="004A2A30" w:rsidTr="00140EBF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C85B12" w:rsidRDefault="000F4ED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fizikālo lielumu mērvienību etalonu bāze un mērvienību reproducēšana. Nacionālo etalonu kalibrēšana (etalonu skaits)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8D5898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8D5898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8D5898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8D5898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8A6734" w:rsidRPr="004A2A30" w:rsidTr="00140EBF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C85B12" w:rsidRDefault="004E0787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mērīšanas līdzekļu tipu apstiprināšana un reģistrēšana valsts mērīšanas līdzekļu reģistrā</w:t>
            </w:r>
            <w:r w:rsidR="004B1F36"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(mērīšanas līdzek</w:t>
            </w:r>
            <w:r w:rsidR="008B4E32"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ļu skaits</w:t>
            </w:r>
            <w:r w:rsidR="004B1F36"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4D701C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4D701C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4D701C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19142B" w:rsidP="007C0A8F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</w:tr>
      <w:tr w:rsidR="008A6734" w:rsidRPr="004A2A30" w:rsidTr="00140EBF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C85B12" w:rsidRDefault="003511E7" w:rsidP="003511E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Sniegti kalibrēšanas pakalpojumi – v</w:t>
            </w:r>
            <w:r w:rsidR="00E55A03"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eikta references etalonu kalibrēšana (etalonu skaits)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AD1D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AD1D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AD1D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4" w:rsidRPr="008A6734" w:rsidRDefault="00AD1D34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722F9D" w:rsidRPr="004A2A30" w:rsidTr="00633282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8A6734" w:rsidRDefault="00722F9D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C85B12" w:rsidRDefault="00AA24D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Organizēta</w:t>
            </w:r>
            <w:r w:rsidR="00916F04"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starplaboratoriju salīdzināšanas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8A6734" w:rsidRDefault="00A37D59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8A6734" w:rsidRDefault="00A37D59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8A6734" w:rsidRDefault="00A37D59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D" w:rsidRPr="008A6734" w:rsidRDefault="00A37D59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E229F1" w:rsidRPr="004A2A30" w:rsidTr="00633282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9F1" w:rsidRDefault="00531299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Akreditācijas jomā </w:t>
            </w:r>
          </w:p>
          <w:p w:rsidR="00865B3D" w:rsidRPr="000D476A" w:rsidRDefault="00865B3D" w:rsidP="00865B3D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vienota,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E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iropas Savienības atzīta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atbilstības novērtēšanas sistēm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un tās atbilstība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Latvijas tautsaimniecības vajadzībām, kas ietver testēšanas, kalibrēšanas laboratoriju, produktu, sistēmu un personāla sertificēšanas institūciju, inspicēšanas institūciju un vides verificēšanu, akreditāciju un uzraudzību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x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E229F1" w:rsidRPr="004A2A30" w:rsidTr="00633282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0D476A" w:rsidRPr="004A2A30" w:rsidTr="006772A2">
        <w:trPr>
          <w:trHeight w:val="2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Nodrošināts atbilstības novērtēšanas institūciju darbības jomu skaits Eiropas akreditācijas kooperācijas EA Daudzpusējās atzīšanas līguma MLA ietvaros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Default="000D476A" w:rsidP="006772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6772A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76A" w:rsidRPr="004A2A30" w:rsidTr="00184171">
        <w:trPr>
          <w:trHeight w:val="29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Latvijas nacionālajā akreditācijas sistēmā akreditēto atbilstības novērtēšanas institūciju statusa uzturēšana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Default="000D476A" w:rsidP="00184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6772A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76A" w:rsidRPr="004A2A30" w:rsidTr="00184171">
        <w:trPr>
          <w:trHeight w:val="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Organizētas Latvijas Nacionālās akreditācijas padomes sanāksmes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Default="000D476A" w:rsidP="00184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976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76A" w:rsidRPr="004A2A30" w:rsidTr="00184171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2.4.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976F58" w:rsidP="00976F5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Nodrošināta sadarbība </w:t>
            </w:r>
            <w:r w:rsidR="000D476A"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ar citu valstu nacionālajām akreditācijas institūcijām (kopīgo pasākumu skaits)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Default="000D476A" w:rsidP="00184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6772A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76A" w:rsidRPr="004A2A30" w:rsidTr="00DB15DE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2.5.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Apgūtas jaunas akreditācijas jomas atbilstoši klientu pieteikumiem (jauno jomu skaits)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15555" w:rsidRDefault="000D476A" w:rsidP="00DB15D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315555">
              <w:rPr>
                <w:color w:val="000000"/>
                <w:sz w:val="20"/>
                <w:szCs w:val="20"/>
              </w:rPr>
              <w:t>Radioiekārtu produktu sertifikācija, personāla sertifikācija alternatīvās un papildinošās medicīnas speciālistu jomā un projektu vadītāju jomā</w:t>
            </w:r>
            <w:r w:rsidR="00923619">
              <w:rPr>
                <w:color w:val="000000"/>
                <w:sz w:val="20"/>
                <w:szCs w:val="20"/>
              </w:rPr>
              <w:t>.</w:t>
            </w:r>
          </w:p>
        </w:tc>
      </w:tr>
      <w:tr w:rsidR="000D476A" w:rsidRPr="004A2A30" w:rsidTr="00DB15DE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2.6.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Organizēti ekspertu mācību semināri (skaits)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252147" w:rsidRDefault="000D476A" w:rsidP="007C333E">
            <w:pPr>
              <w:spacing w:before="40" w:after="40"/>
              <w:rPr>
                <w:color w:val="000000"/>
                <w:sz w:val="20"/>
                <w:szCs w:val="20"/>
                <w:highlight w:val="yellow"/>
              </w:rPr>
            </w:pPr>
            <w:r w:rsidRPr="007C333E">
              <w:rPr>
                <w:color w:val="000000"/>
                <w:sz w:val="20"/>
                <w:szCs w:val="20"/>
              </w:rPr>
              <w:t>Mā</w:t>
            </w:r>
            <w:r w:rsidR="00C87AAA" w:rsidRPr="007C333E">
              <w:rPr>
                <w:color w:val="000000"/>
                <w:sz w:val="20"/>
                <w:szCs w:val="20"/>
              </w:rPr>
              <w:t xml:space="preserve">cības akreditācijas ekspertiem </w:t>
            </w:r>
            <w:r w:rsidRPr="007C333E">
              <w:rPr>
                <w:color w:val="000000"/>
                <w:sz w:val="20"/>
                <w:szCs w:val="20"/>
              </w:rPr>
              <w:t xml:space="preserve">organizētas samazinātā apjomā, </w:t>
            </w:r>
            <w:r w:rsidR="007C333E" w:rsidRPr="007C333E">
              <w:rPr>
                <w:color w:val="000000"/>
                <w:sz w:val="20"/>
                <w:szCs w:val="20"/>
              </w:rPr>
              <w:t xml:space="preserve">ņemot vērā </w:t>
            </w:r>
            <w:r w:rsidRPr="007C333E">
              <w:rPr>
                <w:color w:val="000000"/>
                <w:sz w:val="20"/>
                <w:szCs w:val="20"/>
              </w:rPr>
              <w:t xml:space="preserve">jauno pieteikumu </w:t>
            </w:r>
            <w:r w:rsidR="007C333E" w:rsidRPr="007C333E">
              <w:rPr>
                <w:color w:val="000000"/>
                <w:sz w:val="20"/>
                <w:szCs w:val="20"/>
              </w:rPr>
              <w:t xml:space="preserve">uz akreditāciju </w:t>
            </w:r>
            <w:r w:rsidRPr="007C333E">
              <w:rPr>
                <w:color w:val="000000"/>
                <w:sz w:val="20"/>
                <w:szCs w:val="20"/>
              </w:rPr>
              <w:t>skait</w:t>
            </w:r>
            <w:r w:rsidR="007C333E">
              <w:rPr>
                <w:color w:val="000000"/>
                <w:sz w:val="20"/>
                <w:szCs w:val="20"/>
              </w:rPr>
              <w:t xml:space="preserve">u. </w:t>
            </w:r>
          </w:p>
        </w:tc>
      </w:tr>
      <w:tr w:rsidR="000D476A" w:rsidRPr="004A2A30" w:rsidTr="00184171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8A6734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2.7.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5A0256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Koordinēta 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starplaboratoriju salīdzinošā testēšana/ prasmes pārbaudes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6772A2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Default="000D476A" w:rsidP="00184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6772A2"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76A" w:rsidRPr="004A2A30" w:rsidTr="00184171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0D476A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2.8.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0D476A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Notificēto</w:t>
            </w:r>
            <w:proofErr w:type="spellEnd"/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atbilstības novērtēšanas institūciju statusa uzturēšana atbilstoši klientu pieteikumiem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0D476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120%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76A" w:rsidRPr="003362B3" w:rsidRDefault="005D3CAC" w:rsidP="00184171">
            <w:pPr>
              <w:rPr>
                <w:color w:val="000000"/>
                <w:sz w:val="20"/>
                <w:szCs w:val="20"/>
              </w:rPr>
            </w:pPr>
            <w:r w:rsidRPr="003362B3">
              <w:rPr>
                <w:color w:val="000000"/>
                <w:sz w:val="20"/>
                <w:szCs w:val="20"/>
              </w:rPr>
              <w:t xml:space="preserve">Rādītāja izpilde ir atkarīga no klientu pieprasījuma. </w:t>
            </w:r>
          </w:p>
        </w:tc>
      </w:tr>
      <w:tr w:rsidR="006772A2" w:rsidRPr="004A2A30" w:rsidTr="00184171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8A6734" w:rsidRDefault="006772A2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2.9.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5A0256" w:rsidRDefault="006772A2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  <w:r w:rsidR="009E63F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EK Akreditācijas un licenzēšanas institūciju foruma (FA</w:t>
            </w:r>
            <w:r w:rsidR="009E63F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LB) atzītas institūcijas statuss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EMAS jomā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14658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Default="00196253" w:rsidP="001841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772A2" w:rsidRPr="004A2A30" w:rsidTr="00184171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72A2" w:rsidRPr="00FA6C11" w:rsidRDefault="006772A2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FA6C1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2.10.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5A0256" w:rsidRDefault="006772A2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  <w:r w:rsidR="003B406F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Latvijas monitoringa sistēma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Labas laboratoriju prakses (GLP) jomā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14658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14658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Pr="006772A2" w:rsidRDefault="006772A2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A2" w:rsidRDefault="00196253" w:rsidP="001841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229F1" w:rsidRPr="004A2A30" w:rsidTr="00140EBF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9F1" w:rsidRPr="003362B3" w:rsidRDefault="00531299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Standartizācijas jomā </w:t>
            </w:r>
          </w:p>
          <w:p w:rsidR="001010F6" w:rsidRPr="003362B3" w:rsidRDefault="009F4FFB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standartizācijas sistēmas atbilstība Eiropas un starptautiskajām prasībām, veicot standartu adaptāciju un nacionālo standartu izstrādi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E229F1" w:rsidRPr="004A2A30" w:rsidTr="002F7E3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F1" w:rsidRPr="008A6734" w:rsidRDefault="00E229F1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3C1B99" w:rsidRPr="004A2A30" w:rsidTr="00675E4C">
        <w:trPr>
          <w:trHeight w:val="27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99" w:rsidRPr="008A6734" w:rsidRDefault="003C1B99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Adaptēto Eiropas standartu skaits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1462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8A6734" w:rsidRDefault="00AC2FAA" w:rsidP="00AC2FAA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Rādītājs ir atkarīgs no Eiropas līmenī pieņemto standartu skaita. </w:t>
            </w:r>
          </w:p>
        </w:tc>
      </w:tr>
      <w:tr w:rsidR="003C1B99" w:rsidRPr="004A2A30" w:rsidTr="00675E4C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99" w:rsidRPr="008A6734" w:rsidRDefault="003C1B99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Standartizācijas informācijas abonentu skaits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8A6734" w:rsidRDefault="006A6269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3C1B99" w:rsidRPr="004A2A30" w:rsidTr="00675E4C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99" w:rsidRPr="008A6734" w:rsidRDefault="003C1B99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Latvijas pārstāvniecība Eiropas un starptautiskajās standartizācijas institūcijās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675E4C" w:rsidRDefault="003C1B9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B99" w:rsidRPr="008A6734" w:rsidRDefault="006A6269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</w:tbl>
    <w:p w:rsidR="00BB408A" w:rsidRPr="00DC2D92" w:rsidRDefault="00BB408A" w:rsidP="002320B7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Cs w:val="26"/>
          <w:lang w:eastAsia="zh-CN"/>
        </w:rPr>
      </w:pPr>
    </w:p>
    <w:p w:rsidR="0026453E" w:rsidRDefault="0026453E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Pr="00DC2D92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7D549A" w:rsidRDefault="000B258A" w:rsidP="00FC26EE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lastRenderedPageBreak/>
        <w:t>Kapitālsabiedrības</w:t>
      </w:r>
      <w:r w:rsidR="00BB408A"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</w:t>
      </w:r>
      <w:r w:rsidR="00A43750">
        <w:rPr>
          <w:rFonts w:eastAsia="Times New Roman"/>
          <w:b/>
          <w:bCs/>
          <w:color w:val="000000"/>
          <w:szCs w:val="26"/>
          <w:lang w:eastAsia="zh-CN"/>
        </w:rPr>
        <w:t>u raksturojošo rādītāju izpilde</w:t>
      </w:r>
    </w:p>
    <w:p w:rsidR="009734DA" w:rsidRPr="00BB408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 xml:space="preserve"> la</w:t>
      </w:r>
      <w:r w:rsidR="00066330">
        <w:rPr>
          <w:rFonts w:eastAsia="Times New Roman"/>
          <w:i/>
          <w:iCs/>
          <w:color w:val="000000"/>
          <w:sz w:val="20"/>
          <w:szCs w:val="20"/>
          <w:lang w:eastAsia="zh-CN"/>
        </w:rPr>
        <w:t>tos</w:t>
      </w:r>
    </w:p>
    <w:tbl>
      <w:tblPr>
        <w:tblW w:w="8876" w:type="dxa"/>
        <w:jc w:val="center"/>
        <w:tblInd w:w="93" w:type="dxa"/>
        <w:tblLook w:val="04A0" w:firstRow="1" w:lastRow="0" w:firstColumn="1" w:lastColumn="0" w:noHBand="0" w:noVBand="1"/>
      </w:tblPr>
      <w:tblGrid>
        <w:gridCol w:w="656"/>
        <w:gridCol w:w="4220"/>
        <w:gridCol w:w="1300"/>
        <w:gridCol w:w="1340"/>
        <w:gridCol w:w="154"/>
        <w:gridCol w:w="1206"/>
      </w:tblGrid>
      <w:tr w:rsidR="005D499C" w:rsidRPr="008A2292" w:rsidTr="00133B7B">
        <w:trPr>
          <w:trHeight w:val="60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443E90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5D499C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gada </w:t>
            </w:r>
            <w:r w:rsidR="005D499C" w:rsidRPr="005C0E5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plāns*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 w:rsidR="00443E90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3C4FFE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C4F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</w:tr>
      <w:tr w:rsidR="005D499C" w:rsidRPr="00624578" w:rsidTr="00133B7B">
        <w:trPr>
          <w:trHeight w:val="330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DD54DE" w:rsidRPr="008A2292" w:rsidTr="007D55D6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DD54DE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264 354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DD54DE" w:rsidP="001465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264 354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DD54DE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100,0</w:t>
            </w:r>
          </w:p>
        </w:tc>
      </w:tr>
      <w:tr w:rsidR="00DD54DE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75278A" w:rsidRDefault="00DD54D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75278A" w:rsidRDefault="00DD54D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75278A" w:rsidRDefault="00DD54D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75278A" w:rsidRDefault="00DD54D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75278A" w:rsidRDefault="00DD54DE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D54DE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DD54DE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DD54D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198 390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296 957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D54DE" w:rsidRPr="008A2292" w:rsidRDefault="0072557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149,7</w:t>
            </w:r>
          </w:p>
        </w:tc>
      </w:tr>
      <w:tr w:rsidR="00DD54DE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8A2292" w:rsidRDefault="00DD54D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DE" w:rsidRPr="008A2292" w:rsidRDefault="00DD54D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160 528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DE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197 074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DE" w:rsidRPr="008A2292" w:rsidRDefault="0072557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122,8</w:t>
            </w:r>
          </w:p>
        </w:tc>
      </w:tr>
      <w:tr w:rsidR="00DD54DE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A9461E" w:rsidRDefault="00DD54D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A9461E" w:rsidRDefault="00DD54D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A9461E" w:rsidRDefault="00DD54D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A9461E" w:rsidRDefault="00DD54D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DE" w:rsidRPr="00A9461E" w:rsidRDefault="00DD54DE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72557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D1B66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8D1B66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72557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A475B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189 306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A475B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</w:tc>
      </w:tr>
      <w:tr w:rsidR="008D1B66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75278A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75278A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75278A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8D1B66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610 900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A475B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605 065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A475B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99,0</w:t>
            </w:r>
          </w:p>
        </w:tc>
      </w:tr>
      <w:tr w:rsidR="008D1B66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F5020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(maksas pakalpojumi)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279 805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9C3A3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310 444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D14A0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111,0</w:t>
            </w:r>
          </w:p>
        </w:tc>
      </w:tr>
      <w:tr w:rsidR="008D1B66" w:rsidRPr="00AF5020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AF5020" w:rsidRDefault="008D1B66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AF5020" w:rsidRDefault="008D1B66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Ieņēmumi (dotācija)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AF5020" w:rsidRDefault="008D1B66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264 355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AF5020" w:rsidRDefault="009C3A35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264 354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AF5020" w:rsidRDefault="009C3A35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100,0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131AC3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(</w:t>
            </w:r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ES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Twinning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 projekts</w:t>
            </w:r>
            <w:r w:rsidRPr="00131AC3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  <w:r w:rsidR="00DB5F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9C3A3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D14A0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45,4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9C3A3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629 800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7F4D3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590 322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7653E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93,7</w:t>
            </w:r>
          </w:p>
        </w:tc>
      </w:tr>
      <w:tr w:rsidR="008D1B66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D1B66" w:rsidRPr="008A2292" w:rsidTr="007D55D6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421 148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7F4D3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428 972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9730F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101,9</w:t>
            </w:r>
          </w:p>
        </w:tc>
      </w:tr>
      <w:tr w:rsidR="007D01B6" w:rsidRPr="0075278A" w:rsidTr="00146587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B6" w:rsidRPr="0075278A" w:rsidRDefault="007D01B6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B6" w:rsidRPr="0075278A" w:rsidRDefault="007D01B6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6" w:rsidRPr="0075278A" w:rsidRDefault="007D01B6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6" w:rsidRPr="0075278A" w:rsidRDefault="007D01B6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6" w:rsidRPr="0075278A" w:rsidRDefault="007D01B6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8D1B66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9 160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7F4D3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6A542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292,5</w:t>
            </w:r>
          </w:p>
        </w:tc>
      </w:tr>
      <w:tr w:rsidR="008D1B66" w:rsidRPr="00507C81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 zaudējumi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-18 900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7F4D3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14 743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BD65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D1B66" w:rsidRPr="00507C81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</w:tr>
      <w:tr w:rsidR="008D1B66" w:rsidRPr="00507C81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D1B66" w:rsidRPr="00507C81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B45486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7,5</w:t>
            </w:r>
            <w:r w:rsidR="008D1B66" w:rsidRPr="00507C8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55523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D1B66" w:rsidRPr="00507C81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F105C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5,0</w:t>
            </w:r>
            <w:r w:rsidR="008D1B66" w:rsidRPr="00507C8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55523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D1B66" w:rsidRPr="00507C81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 apgrozījums)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3,3%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91B0A" w:rsidP="007D55D6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8,6</w:t>
            </w:r>
            <w:r w:rsidR="008D1B66" w:rsidRPr="00507C8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507C81" w:rsidRDefault="009B50D5" w:rsidP="006045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260,6</w:t>
            </w:r>
          </w:p>
        </w:tc>
      </w:tr>
      <w:tr w:rsidR="008D1B66" w:rsidRPr="00507C81" w:rsidTr="00133B7B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 Aktīvi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8D1B66" w:rsidP="0098254C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80,9%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4758D2" w:rsidP="0098254C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66,4</w:t>
            </w:r>
            <w:r w:rsidR="008D1B66" w:rsidRPr="00507C8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507C81" w:rsidRDefault="009B50D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82,1</w:t>
            </w:r>
          </w:p>
        </w:tc>
      </w:tr>
      <w:tr w:rsidR="008D1B66" w:rsidRPr="00507C81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8D1B66" w:rsidRPr="008A2292" w:rsidTr="007D55D6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507C81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507C81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237 774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507C81" w:rsidRDefault="004D7BE2" w:rsidP="001C0B3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249 711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507C81" w:rsidRDefault="00204877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105,0</w:t>
            </w:r>
          </w:p>
        </w:tc>
      </w:tr>
      <w:tr w:rsidR="008D1B66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A9461E" w:rsidRDefault="008D1B66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533165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3165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3165" w:rsidRPr="002566E7" w:rsidRDefault="0053316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33165" w:rsidRPr="002566E7" w:rsidRDefault="002566E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33165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2566E7" w:rsidRDefault="0053316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33165" w:rsidRPr="002566E7" w:rsidRDefault="002566E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33165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65" w:rsidRPr="008A2292" w:rsidRDefault="0053316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65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65" w:rsidRPr="002566E7" w:rsidRDefault="0053316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65" w:rsidRPr="002566E7" w:rsidRDefault="002566E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ās vērtības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47 184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5D67C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106,0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2566E7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D1B66" w:rsidRPr="008A2292" w:rsidTr="007D55D6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85 590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84 966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124CB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5331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114 737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4B0B11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109,3</w:t>
            </w:r>
          </w:p>
        </w:tc>
      </w:tr>
      <w:tr w:rsidR="008D1B66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75278A" w:rsidRDefault="008D1B66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8D1B66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8D1B66" w:rsidRPr="008A2292" w:rsidTr="007D55D6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E1492B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1B66" w:rsidRPr="008A2292" w:rsidRDefault="00E1492B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D1B66" w:rsidRPr="008A2292" w:rsidTr="007D55D6">
        <w:trPr>
          <w:trHeight w:val="40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B1432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8D1B66" w:rsidRPr="008A2292" w:rsidTr="007D55D6">
        <w:trPr>
          <w:trHeight w:val="31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B3FA5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B3FA5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6" w:rsidRPr="008A2292" w:rsidRDefault="00A92EFB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8B6C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66" w:rsidRPr="008A2292" w:rsidRDefault="008D1B6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8D1B66" w:rsidRPr="008A2292" w:rsidTr="0098254C">
        <w:trPr>
          <w:trHeight w:val="30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66" w:rsidRPr="00DD72E9" w:rsidRDefault="008D1B66" w:rsidP="005C0E53">
            <w:pPr>
              <w:spacing w:before="120"/>
              <w:rPr>
                <w:color w:val="000000"/>
                <w:sz w:val="22"/>
                <w:szCs w:val="22"/>
              </w:rPr>
            </w:pPr>
            <w:r w:rsidRPr="005C0E53">
              <w:rPr>
                <w:color w:val="000000"/>
                <w:sz w:val="22"/>
                <w:szCs w:val="22"/>
              </w:rPr>
              <w:t>* 2012.gada plāns, kas iesniegts LR Ekonomikas ministrijai 05.12.2011.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B66" w:rsidRPr="008A2292" w:rsidRDefault="008D1B66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5D499C" w:rsidRDefault="005D499C"/>
    <w:tbl>
      <w:tblPr>
        <w:tblW w:w="8938" w:type="dxa"/>
        <w:jc w:val="center"/>
        <w:tblLook w:val="04A0" w:firstRow="1" w:lastRow="0" w:firstColumn="1" w:lastColumn="0" w:noHBand="0" w:noVBand="1"/>
      </w:tblPr>
      <w:tblGrid>
        <w:gridCol w:w="551"/>
        <w:gridCol w:w="3575"/>
        <w:gridCol w:w="1938"/>
        <w:gridCol w:w="1338"/>
        <w:gridCol w:w="1536"/>
      </w:tblGrid>
      <w:tr w:rsidR="00AD27C6" w:rsidRPr="00AD27C6" w:rsidTr="00133B7B">
        <w:trPr>
          <w:trHeight w:val="300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Skaidrojums par novirzēm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Saņemtās subsīdijas un dotācijas (1.)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2F58D7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Aktīvi (2.1.)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664F2A" w:rsidP="004B18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664F2A">
              <w:rPr>
                <w:color w:val="000000"/>
                <w:sz w:val="22"/>
                <w:szCs w:val="22"/>
              </w:rPr>
              <w:t>Aktīvu kopsumma gada beigās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4F2A">
              <w:rPr>
                <w:color w:val="000000"/>
                <w:sz w:val="22"/>
                <w:szCs w:val="22"/>
              </w:rPr>
              <w:t>pārsniedz iepriekš plānoto, kas ievērojami uzlabo uzņēmuma maksātspēju.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B1846">
              <w:rPr>
                <w:color w:val="000000"/>
                <w:sz w:val="22"/>
                <w:szCs w:val="22"/>
              </w:rPr>
              <w:t xml:space="preserve">Aktīvu palielinājums saistīts ar </w:t>
            </w:r>
            <w:r w:rsidR="008D1392">
              <w:rPr>
                <w:color w:val="000000"/>
                <w:sz w:val="22"/>
                <w:szCs w:val="22"/>
              </w:rPr>
              <w:t xml:space="preserve">apgrozāmo līdzekļu pieaugumu, </w:t>
            </w:r>
            <w:proofErr w:type="spellStart"/>
            <w:r w:rsidR="008D1392">
              <w:rPr>
                <w:color w:val="000000"/>
                <w:sz w:val="22"/>
                <w:szCs w:val="22"/>
              </w:rPr>
              <w:t>t.</w:t>
            </w:r>
            <w:r w:rsidR="004B1846">
              <w:rPr>
                <w:color w:val="000000"/>
                <w:sz w:val="22"/>
                <w:szCs w:val="22"/>
              </w:rPr>
              <w:t>sk</w:t>
            </w:r>
            <w:proofErr w:type="spellEnd"/>
            <w:r w:rsidR="004B1846">
              <w:rPr>
                <w:color w:val="000000"/>
                <w:sz w:val="22"/>
                <w:szCs w:val="22"/>
              </w:rPr>
              <w:t>. debitori un naudas līdzekļi.</w:t>
            </w:r>
            <w:r w:rsidR="00C60BD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Valsts kapitāls (2.4.)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2F58D7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98254C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Ieņēmumi (3.1.)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1558ED" w:rsidP="001558ED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1558ED">
              <w:rPr>
                <w:color w:val="000000"/>
                <w:sz w:val="22"/>
                <w:szCs w:val="22"/>
              </w:rPr>
              <w:t>2012.</w:t>
            </w:r>
            <w:r>
              <w:rPr>
                <w:color w:val="000000"/>
                <w:sz w:val="22"/>
                <w:szCs w:val="22"/>
              </w:rPr>
              <w:t xml:space="preserve">gadā palielinājies </w:t>
            </w:r>
            <w:r w:rsidRPr="001558ED">
              <w:rPr>
                <w:color w:val="000000"/>
                <w:sz w:val="22"/>
                <w:szCs w:val="22"/>
              </w:rPr>
              <w:t>akreditēto institūciju skaits nodrošinot maksas pakalpojumu ieņēmumu pieaugumu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361905" w:rsidRPr="00AD27C6" w:rsidTr="0098254C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Izmaksas (3.4.)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5A3ABA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Neto peļņa/ zaudējumi (3.7.)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4D5784" w:rsidRDefault="004D5784" w:rsidP="004D5784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Pieaudzis neto apgrozījums, </w:t>
            </w:r>
            <w:proofErr w:type="spellStart"/>
            <w:r>
              <w:rPr>
                <w:color w:val="000000"/>
                <w:sz w:val="22"/>
                <w:szCs w:val="22"/>
              </w:rPr>
              <w:t>t.sk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faktiskie pašu ieņēmumi pārsniedz plānotos. 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Finanšu rādītāji (4.)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9B1A65" w:rsidRDefault="004661AF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1A65">
              <w:rPr>
                <w:color w:val="000000"/>
                <w:sz w:val="22"/>
                <w:szCs w:val="22"/>
              </w:rPr>
              <w:t>Skat</w:t>
            </w:r>
            <w:proofErr w:type="spellEnd"/>
            <w:r w:rsidRPr="009B1A65">
              <w:rPr>
                <w:color w:val="000000"/>
                <w:sz w:val="22"/>
                <w:szCs w:val="22"/>
              </w:rPr>
              <w:t xml:space="preserve">. </w:t>
            </w:r>
            <w:r w:rsidR="009B1A65" w:rsidRPr="009B1A65">
              <w:rPr>
                <w:color w:val="000000"/>
                <w:sz w:val="22"/>
                <w:szCs w:val="22"/>
              </w:rPr>
              <w:t xml:space="preserve">7.2. un </w:t>
            </w:r>
            <w:r w:rsidRPr="009B1A65">
              <w:rPr>
                <w:color w:val="000000"/>
                <w:sz w:val="22"/>
                <w:szCs w:val="22"/>
              </w:rPr>
              <w:t>7.6.skaidrojumu</w:t>
            </w:r>
            <w:r w:rsidR="009B1A65" w:rsidRPr="009B1A65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7.8.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Dividendes (5.1., 5.1.a)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8D4C80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7A79B3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7.9.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Darbinieku skaits (6.1.)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8D4C80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97C6C" w:rsidRPr="00DC2D92" w:rsidRDefault="00097C6C" w:rsidP="00DC2D92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Cs w:val="26"/>
          <w:lang w:eastAsia="zh-CN"/>
        </w:rPr>
      </w:pPr>
    </w:p>
    <w:p w:rsidR="00DC2D92" w:rsidRPr="00DC2D92" w:rsidRDefault="00DC2D92" w:rsidP="00DC2D92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Cs w:val="26"/>
          <w:lang w:eastAsia="zh-CN"/>
        </w:rPr>
      </w:pPr>
    </w:p>
    <w:p w:rsidR="00224920" w:rsidRDefault="008D72D7" w:rsidP="00BD0318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 w:rsidRPr="00DC2D92">
        <w:rPr>
          <w:rFonts w:eastAsia="Times New Roman"/>
          <w:b/>
          <w:bCs/>
          <w:color w:val="000000"/>
          <w:szCs w:val="26"/>
          <w:lang w:eastAsia="zh-CN"/>
        </w:rPr>
        <w:t>Kapitālsabiedrības saņemtās dotācijas izpilde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80"/>
        <w:gridCol w:w="2696"/>
        <w:gridCol w:w="1400"/>
        <w:gridCol w:w="1420"/>
        <w:gridCol w:w="2991"/>
      </w:tblGrid>
      <w:tr w:rsidR="00280913" w:rsidRPr="008D72D7" w:rsidTr="009A3D5A">
        <w:trPr>
          <w:trHeight w:val="5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5CAD" w:rsidRPr="008D72D7" w:rsidRDefault="00235CAD" w:rsidP="00452F0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5CAD" w:rsidRPr="008D72D7" w:rsidRDefault="00235CAD" w:rsidP="00452F0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Saņemtās subsīdijas un dotācijas no valsts budžeta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5CAD" w:rsidRPr="008D72D7" w:rsidRDefault="00235CAD" w:rsidP="00452F00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2012.gada plāns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5CAD" w:rsidRPr="008D72D7" w:rsidRDefault="00235CAD" w:rsidP="00452F00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2012.gadā saņemts (latos)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5CAD" w:rsidRPr="008D72D7" w:rsidRDefault="00235CAD" w:rsidP="00452F0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Skaidrojums par novirzēm</w:t>
            </w:r>
          </w:p>
        </w:tc>
      </w:tr>
      <w:tr w:rsidR="00235CAD" w:rsidRPr="008D72D7" w:rsidTr="009A3D5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AD" w:rsidRPr="008D72D7" w:rsidRDefault="00235CAD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AD" w:rsidRPr="008D72D7" w:rsidRDefault="00235CAD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AD" w:rsidRPr="008D72D7" w:rsidRDefault="00235CAD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AD" w:rsidRPr="008D72D7" w:rsidRDefault="00235CAD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CAD" w:rsidRPr="008D72D7" w:rsidRDefault="00235CAD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7C4B69" w:rsidRPr="008D72D7" w:rsidTr="009A3D5A">
        <w:trPr>
          <w:trHeight w:val="1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B69" w:rsidRPr="008D72D7" w:rsidRDefault="007C4B69" w:rsidP="00575C5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B69" w:rsidRPr="008D72D7" w:rsidRDefault="007C4B69" w:rsidP="00575C5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75C5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Dotācija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B69" w:rsidRPr="008D72D7" w:rsidRDefault="007C4B69" w:rsidP="00E56A4E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264 354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4B69" w:rsidRPr="008D72D7" w:rsidRDefault="007C4B69" w:rsidP="00E56A4E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264 354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B69" w:rsidRPr="008D72D7" w:rsidRDefault="00575C57" w:rsidP="00E56A4E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75C5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</w:tbl>
    <w:p w:rsidR="00235CAD" w:rsidRDefault="00235CAD" w:rsidP="00235CAD">
      <w:pPr>
        <w:pStyle w:val="ListParagraph"/>
        <w:ind w:left="0"/>
        <w:contextualSpacing w:val="0"/>
        <w:rPr>
          <w:rFonts w:eastAsia="Times New Roman"/>
          <w:bCs/>
          <w:color w:val="000000"/>
          <w:szCs w:val="26"/>
          <w:lang w:eastAsia="zh-CN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96"/>
        <w:gridCol w:w="1400"/>
        <w:gridCol w:w="1420"/>
        <w:gridCol w:w="2991"/>
      </w:tblGrid>
      <w:tr w:rsidR="0094516F" w:rsidRPr="008D72D7" w:rsidTr="0094516F">
        <w:trPr>
          <w:trHeight w:val="455"/>
          <w:tblHeader/>
        </w:trPr>
        <w:tc>
          <w:tcPr>
            <w:tcW w:w="580" w:type="dxa"/>
            <w:shd w:val="clear" w:color="auto" w:fill="D6E3BC" w:themeFill="accent3" w:themeFillTint="66"/>
            <w:vAlign w:val="center"/>
            <w:hideMark/>
          </w:tcPr>
          <w:p w:rsidR="008D72D7" w:rsidRPr="008D72D7" w:rsidRDefault="008D72D7" w:rsidP="004A5D6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6" w:type="dxa"/>
            <w:shd w:val="clear" w:color="auto" w:fill="D6E3BC" w:themeFill="accent3" w:themeFillTint="66"/>
            <w:vAlign w:val="center"/>
            <w:hideMark/>
          </w:tcPr>
          <w:p w:rsidR="008D72D7" w:rsidRPr="008D72D7" w:rsidRDefault="00B7685E" w:rsidP="004A5D6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Izlietotās subsīdijas un dotācijas</w:t>
            </w:r>
          </w:p>
        </w:tc>
        <w:tc>
          <w:tcPr>
            <w:tcW w:w="1400" w:type="dxa"/>
            <w:shd w:val="clear" w:color="auto" w:fill="D6E3BC" w:themeFill="accent3" w:themeFillTint="66"/>
            <w:vAlign w:val="center"/>
            <w:hideMark/>
          </w:tcPr>
          <w:p w:rsidR="008D72D7" w:rsidRPr="008D72D7" w:rsidRDefault="00B7685E" w:rsidP="004A5D6D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4A5D6D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2012.</w:t>
            </w:r>
            <w:r w:rsidR="008D72D7" w:rsidRPr="008D72D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gada laikā (latos)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  <w:hideMark/>
          </w:tcPr>
          <w:p w:rsidR="008D72D7" w:rsidRPr="008D72D7" w:rsidRDefault="008D72D7" w:rsidP="004A5D6D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atlikums uz 2012.gada beigām (latos)</w:t>
            </w:r>
          </w:p>
        </w:tc>
        <w:tc>
          <w:tcPr>
            <w:tcW w:w="2991" w:type="dxa"/>
            <w:shd w:val="clear" w:color="auto" w:fill="D6E3BC" w:themeFill="accent3" w:themeFillTint="66"/>
            <w:vAlign w:val="center"/>
            <w:hideMark/>
          </w:tcPr>
          <w:p w:rsidR="004A5D6D" w:rsidRPr="004A5D6D" w:rsidRDefault="008D72D7" w:rsidP="004A5D6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Izlietojuma mērķis</w:t>
            </w:r>
            <w:r w:rsidR="00B7685E" w:rsidRPr="004A5D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/</w:t>
            </w:r>
          </w:p>
          <w:p w:rsidR="008D72D7" w:rsidRPr="008D72D7" w:rsidRDefault="004A5D6D" w:rsidP="004A5D6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A5D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D</w:t>
            </w:r>
            <w:r w:rsidR="00074FD1" w:rsidRPr="004A5D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arbības rezultāts</w:t>
            </w:r>
          </w:p>
        </w:tc>
      </w:tr>
      <w:tr w:rsidR="008D72D7" w:rsidRPr="008D72D7" w:rsidTr="0094516F">
        <w:trPr>
          <w:trHeight w:val="285"/>
          <w:tblHeader/>
        </w:trPr>
        <w:tc>
          <w:tcPr>
            <w:tcW w:w="580" w:type="dxa"/>
            <w:shd w:val="clear" w:color="auto" w:fill="auto"/>
            <w:vAlign w:val="center"/>
            <w:hideMark/>
          </w:tcPr>
          <w:p w:rsidR="008D72D7" w:rsidRPr="008D72D7" w:rsidRDefault="008D72D7" w:rsidP="004A5D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8D72D7" w:rsidRPr="008D72D7" w:rsidRDefault="008D72D7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D72D7" w:rsidRPr="008D72D7" w:rsidRDefault="008D72D7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D72D7" w:rsidRPr="008D72D7" w:rsidRDefault="008D72D7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:rsidR="008D72D7" w:rsidRPr="008D72D7" w:rsidRDefault="008D72D7" w:rsidP="004A5D6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D86278" w:rsidRPr="008D72D7" w:rsidTr="00464B94">
        <w:trPr>
          <w:trHeight w:val="2695"/>
        </w:trPr>
        <w:tc>
          <w:tcPr>
            <w:tcW w:w="580" w:type="dxa"/>
            <w:shd w:val="clear" w:color="auto" w:fill="auto"/>
            <w:vAlign w:val="center"/>
            <w:hideMark/>
          </w:tcPr>
          <w:p w:rsidR="008D72D7" w:rsidRPr="008D72D7" w:rsidRDefault="008D72D7" w:rsidP="0036615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8D72D7" w:rsidRPr="008D72D7" w:rsidRDefault="00026234" w:rsidP="0034077F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8498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Izlietotā dotācija </w:t>
            </w:r>
            <w:r w:rsidR="008D72D7"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D72D7" w:rsidRPr="008D72D7" w:rsidRDefault="008D72D7" w:rsidP="00366154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264</w:t>
            </w:r>
            <w:r w:rsidR="00EE25E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354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D72D7" w:rsidRPr="008D72D7" w:rsidRDefault="00E56A4E" w:rsidP="00366154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8498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991" w:type="dxa"/>
            <w:shd w:val="clear" w:color="auto" w:fill="auto"/>
            <w:vAlign w:val="bottom"/>
            <w:hideMark/>
          </w:tcPr>
          <w:p w:rsidR="008D72D7" w:rsidRPr="008D72D7" w:rsidRDefault="008D72D7" w:rsidP="00C32692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</w:t>
            </w:r>
            <w:r w:rsidR="009B270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Nodrošināt</w:t>
            </w:r>
            <w:r w:rsidR="008645E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vienotu</w:t>
            </w:r>
            <w:r w:rsidR="0099424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E</w:t>
            </w:r>
            <w:r w:rsidR="00AF4A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iropas </w:t>
            </w:r>
            <w:r w:rsidR="00C5475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</w:t>
            </w:r>
            <w:r w:rsidR="00AF4A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avienības</w:t>
            </w:r>
            <w:r w:rsidR="00C5475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atzītu a</w:t>
            </w:r>
            <w:r w:rsidR="0099424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tbilstības novērtēšanas sistēmu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un tās atbilstību Latvijas tautsaimniecības vajadzībām, kas ietver testēšanas, kalibrēšanas laboratoriju, produktu, sistēmu un personāla sertificēšanas institūciju, inspicēšanas institūciju un vides verificēšanu, akreditāciju un uzraudzību.                      </w:t>
            </w:r>
            <w:r w:rsidR="009B270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                            2. 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Uzturēt nacionālos mērvienību etalonus atbilstoši tautsa</w:t>
            </w:r>
            <w:r w:rsidR="00E01F8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imniecības vajadzībām, nodrošino</w:t>
            </w: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t to starptautisku atzīšanu.                                                    </w:t>
            </w:r>
            <w:r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</w:t>
            </w:r>
            <w:r w:rsidR="009B2701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="00C32692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Nodrošin</w:t>
            </w:r>
            <w:r w:rsidR="009F4FFB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āt</w:t>
            </w:r>
            <w:r w:rsidR="00C32692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standartizācijas sistēmas atbilst</w:t>
            </w:r>
            <w:r w:rsidR="009F4FFB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ību</w:t>
            </w:r>
            <w:r w:rsidR="00C32692"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Eiropas un starptautiskajām prasībām, veicot </w:t>
            </w:r>
            <w:r w:rsidRPr="004D0D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standartu adaptāciju un nacionālo standartu izstrādi.</w:t>
            </w:r>
          </w:p>
        </w:tc>
      </w:tr>
      <w:tr w:rsidR="00D31326" w:rsidRPr="008D72D7" w:rsidTr="00D31326">
        <w:trPr>
          <w:trHeight w:val="245"/>
        </w:trPr>
        <w:tc>
          <w:tcPr>
            <w:tcW w:w="580" w:type="dxa"/>
            <w:shd w:val="clear" w:color="auto" w:fill="auto"/>
            <w:vAlign w:val="bottom"/>
            <w:hideMark/>
          </w:tcPr>
          <w:p w:rsidR="00D31326" w:rsidRPr="008D72D7" w:rsidRDefault="00D31326" w:rsidP="0036615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D31326" w:rsidRPr="00A9461E" w:rsidRDefault="00D31326" w:rsidP="00366154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31326" w:rsidRPr="00A9461E" w:rsidRDefault="00D31326" w:rsidP="00F34B08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31326" w:rsidRPr="00A9461E" w:rsidRDefault="00D31326" w:rsidP="00F34B08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:rsidR="00D31326" w:rsidRPr="00A9461E" w:rsidRDefault="00D31326" w:rsidP="00F34B08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474A1B" w:rsidRPr="008D72D7" w:rsidTr="0080799F">
        <w:trPr>
          <w:trHeight w:val="527"/>
        </w:trPr>
        <w:tc>
          <w:tcPr>
            <w:tcW w:w="580" w:type="dxa"/>
            <w:shd w:val="clear" w:color="auto" w:fill="auto"/>
            <w:vAlign w:val="center"/>
            <w:hideMark/>
          </w:tcPr>
          <w:p w:rsidR="00474A1B" w:rsidRPr="008D72D7" w:rsidRDefault="00474A1B" w:rsidP="0036615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74A1B" w:rsidRPr="008D72D7" w:rsidRDefault="00474A1B" w:rsidP="00366154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Metroloģijas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4A1B" w:rsidRPr="008D72D7" w:rsidRDefault="00474A1B" w:rsidP="00366154">
            <w:pPr>
              <w:spacing w:before="40" w:after="40"/>
              <w:jc w:val="right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113</w:t>
            </w:r>
            <w:r w:rsidR="009638EA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845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474A1B" w:rsidRPr="008D72D7" w:rsidRDefault="00474A1B" w:rsidP="00366154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8498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74A1B" w:rsidRPr="008D72D7" w:rsidRDefault="00474A1B" w:rsidP="00366154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Visas aktivitātes tiek veiktas par piešķirto dotāciju</w:t>
            </w:r>
            <w:r w:rsid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skat</w:t>
            </w:r>
            <w:proofErr w:type="spellEnd"/>
            <w:r w:rsid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. </w:t>
            </w:r>
            <w:r w:rsidR="009943DA" w:rsidRP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darbības rezultātu un rezultatīvo rādītāju izpilde</w:t>
            </w:r>
            <w:r w:rsid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 informāciju</w:t>
            </w:r>
            <w:r w:rsidR="00B141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</w:tr>
      <w:tr w:rsidR="00474A1B" w:rsidRPr="008D72D7" w:rsidTr="0080799F">
        <w:trPr>
          <w:trHeight w:val="527"/>
        </w:trPr>
        <w:tc>
          <w:tcPr>
            <w:tcW w:w="580" w:type="dxa"/>
            <w:shd w:val="clear" w:color="auto" w:fill="auto"/>
            <w:vAlign w:val="center"/>
          </w:tcPr>
          <w:p w:rsidR="00474A1B" w:rsidRDefault="00474A1B" w:rsidP="0036615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74A1B" w:rsidRPr="008D72D7" w:rsidRDefault="00474A1B" w:rsidP="00366154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Akreditācijas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4A1B" w:rsidRPr="008D72D7" w:rsidRDefault="00474A1B" w:rsidP="00366154">
            <w:pPr>
              <w:spacing w:before="40" w:after="40"/>
              <w:jc w:val="right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78</w:t>
            </w:r>
            <w:r w:rsidR="009638EA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941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74A1B" w:rsidRPr="00784985" w:rsidRDefault="009638EA" w:rsidP="00366154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74A1B" w:rsidRPr="00DF48FF" w:rsidRDefault="007E2A05" w:rsidP="00E04A57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dotācijas</w:t>
            </w:r>
            <w:r w:rsidR="00614E27">
              <w:rPr>
                <w:color w:val="000000"/>
                <w:sz w:val="20"/>
                <w:szCs w:val="20"/>
              </w:rPr>
              <w:t xml:space="preserve"> tiek nodrošinātas</w:t>
            </w:r>
            <w:r w:rsidR="00DF48FF">
              <w:rPr>
                <w:color w:val="000000"/>
                <w:sz w:val="20"/>
                <w:szCs w:val="20"/>
              </w:rPr>
              <w:t xml:space="preserve"> </w:t>
            </w:r>
            <w:r w:rsidR="00E04A57">
              <w:rPr>
                <w:color w:val="000000"/>
                <w:sz w:val="20"/>
                <w:szCs w:val="20"/>
              </w:rPr>
              <w:t xml:space="preserve">šādas </w:t>
            </w:r>
            <w:r w:rsidR="00E04A57" w:rsidRP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darbības rezultātu un rezultatīvo rādītāju izpilde</w:t>
            </w:r>
            <w:r w:rsidR="00E04A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 tabulas pozīcijas: </w:t>
            </w:r>
            <w:r w:rsidR="00DF48FF">
              <w:rPr>
                <w:color w:val="000000"/>
                <w:sz w:val="20"/>
                <w:szCs w:val="20"/>
              </w:rPr>
              <w:t>2.1</w:t>
            </w:r>
            <w:r w:rsidR="00E04A57">
              <w:rPr>
                <w:color w:val="000000"/>
                <w:sz w:val="20"/>
                <w:szCs w:val="20"/>
              </w:rPr>
              <w:t>.</w:t>
            </w:r>
            <w:r w:rsidR="00DF48FF">
              <w:rPr>
                <w:color w:val="000000"/>
                <w:sz w:val="20"/>
                <w:szCs w:val="20"/>
              </w:rPr>
              <w:t>,</w:t>
            </w:r>
            <w:r w:rsidR="00E04A57">
              <w:rPr>
                <w:color w:val="000000"/>
                <w:sz w:val="20"/>
                <w:szCs w:val="20"/>
              </w:rPr>
              <w:t xml:space="preserve"> </w:t>
            </w:r>
            <w:r w:rsidR="00DF48FF">
              <w:rPr>
                <w:color w:val="000000"/>
                <w:sz w:val="20"/>
                <w:szCs w:val="20"/>
              </w:rPr>
              <w:t>2.2</w:t>
            </w:r>
            <w:r w:rsidR="00E04A57">
              <w:rPr>
                <w:color w:val="000000"/>
                <w:sz w:val="20"/>
                <w:szCs w:val="20"/>
              </w:rPr>
              <w:t>.</w:t>
            </w:r>
            <w:r w:rsidR="00DF48FF">
              <w:rPr>
                <w:color w:val="000000"/>
                <w:sz w:val="20"/>
                <w:szCs w:val="20"/>
              </w:rPr>
              <w:t>,</w:t>
            </w:r>
            <w:r w:rsidR="00E04A57">
              <w:rPr>
                <w:color w:val="000000"/>
                <w:sz w:val="20"/>
                <w:szCs w:val="20"/>
              </w:rPr>
              <w:t xml:space="preserve"> </w:t>
            </w:r>
            <w:r w:rsidR="00DF48FF">
              <w:rPr>
                <w:color w:val="000000"/>
                <w:sz w:val="20"/>
                <w:szCs w:val="20"/>
              </w:rPr>
              <w:t>2.3</w:t>
            </w:r>
            <w:r w:rsidR="00E04A57">
              <w:rPr>
                <w:color w:val="000000"/>
                <w:sz w:val="20"/>
                <w:szCs w:val="20"/>
              </w:rPr>
              <w:t>.</w:t>
            </w:r>
            <w:r w:rsidR="00DF48FF">
              <w:rPr>
                <w:color w:val="000000"/>
                <w:sz w:val="20"/>
                <w:szCs w:val="20"/>
              </w:rPr>
              <w:t>,</w:t>
            </w:r>
            <w:r w:rsidR="00E04A57">
              <w:rPr>
                <w:color w:val="000000"/>
                <w:sz w:val="20"/>
                <w:szCs w:val="20"/>
              </w:rPr>
              <w:t xml:space="preserve"> </w:t>
            </w:r>
            <w:r w:rsidR="00DF48FF">
              <w:rPr>
                <w:color w:val="000000"/>
                <w:sz w:val="20"/>
                <w:szCs w:val="20"/>
              </w:rPr>
              <w:t>2.4.,</w:t>
            </w:r>
            <w:r w:rsidR="00E04A57">
              <w:rPr>
                <w:color w:val="000000"/>
                <w:sz w:val="20"/>
                <w:szCs w:val="20"/>
              </w:rPr>
              <w:t xml:space="preserve"> </w:t>
            </w:r>
            <w:r w:rsidR="00DF48FF">
              <w:rPr>
                <w:color w:val="000000"/>
                <w:sz w:val="20"/>
                <w:szCs w:val="20"/>
              </w:rPr>
              <w:t>2.5</w:t>
            </w:r>
            <w:r w:rsidR="00E04A57">
              <w:rPr>
                <w:color w:val="000000"/>
                <w:sz w:val="20"/>
                <w:szCs w:val="20"/>
              </w:rPr>
              <w:t>.</w:t>
            </w:r>
            <w:r w:rsidR="00DF48FF">
              <w:rPr>
                <w:color w:val="000000"/>
                <w:sz w:val="20"/>
                <w:szCs w:val="20"/>
              </w:rPr>
              <w:t>,</w:t>
            </w:r>
            <w:r w:rsidR="00E04A57">
              <w:rPr>
                <w:color w:val="000000"/>
                <w:sz w:val="20"/>
                <w:szCs w:val="20"/>
              </w:rPr>
              <w:t xml:space="preserve"> </w:t>
            </w:r>
            <w:r w:rsidR="00DF48FF">
              <w:rPr>
                <w:color w:val="000000"/>
                <w:sz w:val="20"/>
                <w:szCs w:val="20"/>
              </w:rPr>
              <w:t>.2.7</w:t>
            </w:r>
            <w:r w:rsidR="00E04A57">
              <w:rPr>
                <w:color w:val="000000"/>
                <w:sz w:val="20"/>
                <w:szCs w:val="20"/>
              </w:rPr>
              <w:t xml:space="preserve">., 2.8. </w:t>
            </w:r>
            <w:r w:rsidR="00DF48F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141A5" w:rsidRPr="008D72D7" w:rsidTr="0080799F">
        <w:trPr>
          <w:trHeight w:val="527"/>
        </w:trPr>
        <w:tc>
          <w:tcPr>
            <w:tcW w:w="580" w:type="dxa"/>
            <w:shd w:val="clear" w:color="auto" w:fill="auto"/>
            <w:vAlign w:val="center"/>
          </w:tcPr>
          <w:p w:rsidR="00B141A5" w:rsidRDefault="00B141A5" w:rsidP="0036615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141A5" w:rsidRPr="008D72D7" w:rsidRDefault="00B141A5" w:rsidP="00366154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Standartizācijas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141A5" w:rsidRPr="008D72D7" w:rsidRDefault="00B141A5" w:rsidP="00366154">
            <w:pPr>
              <w:spacing w:before="40" w:after="40"/>
              <w:jc w:val="right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71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 xml:space="preserve">568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141A5" w:rsidRPr="00784985" w:rsidRDefault="00B141A5" w:rsidP="00366154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B141A5" w:rsidRPr="008D72D7" w:rsidRDefault="00B141A5" w:rsidP="0014658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Visas aktivitātes tiek veiktas par piešķirto dotāciju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skat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. </w:t>
            </w:r>
            <w:r w:rsidRPr="009943D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darbības rezultātu un rezultatīvo rādītāju izpilde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 informāciju.</w:t>
            </w:r>
          </w:p>
        </w:tc>
      </w:tr>
    </w:tbl>
    <w:p w:rsidR="00AD27C6" w:rsidRDefault="00AD27C6"/>
    <w:p w:rsidR="00C935B3" w:rsidRDefault="00C935B3"/>
    <w:p w:rsidR="00AD27C6" w:rsidRPr="008D0EAE" w:rsidRDefault="00A47E3C" w:rsidP="00A47E3C">
      <w:pPr>
        <w:spacing w:after="120"/>
        <w:rPr>
          <w:sz w:val="24"/>
        </w:rPr>
      </w:pPr>
      <w:r w:rsidRPr="008D0EAE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BF5026" w:rsidRPr="008D0EAE" w:rsidTr="00BF502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bookmarkStart w:id="0" w:name="_GoBack"/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Malda Duļbinska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Finanšu daļas vadītāja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67517723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8D0EAE" w:rsidP="00BF5026">
            <w:pPr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BF5026" w:rsidRPr="008D0EAE">
                <w:rPr>
                  <w:rStyle w:val="Hyperlink"/>
                  <w:sz w:val="24"/>
                </w:rPr>
                <w:t>malda.dulbinska@samc.lv</w:t>
              </w:r>
            </w:hyperlink>
          </w:p>
        </w:tc>
      </w:tr>
      <w:bookmarkEnd w:id="0"/>
    </w:tbl>
    <w:p w:rsidR="00DD7341" w:rsidRPr="00924496" w:rsidRDefault="00DD7341" w:rsidP="00DD7341"/>
    <w:sectPr w:rsidR="00DD7341" w:rsidRPr="00924496" w:rsidSect="0063328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276" w:left="1701" w:header="568" w:footer="3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4C" w:rsidRDefault="0098254C">
      <w:r>
        <w:separator/>
      </w:r>
    </w:p>
  </w:endnote>
  <w:endnote w:type="continuationSeparator" w:id="0">
    <w:p w:rsidR="0098254C" w:rsidRDefault="0098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F82976" w:rsidRDefault="0098254C" w:rsidP="00F82976">
    <w:pPr>
      <w:pStyle w:val="Footer"/>
      <w:jc w:val="both"/>
      <w:rPr>
        <w:sz w:val="20"/>
      </w:rPr>
    </w:pPr>
    <w:r>
      <w:rPr>
        <w:sz w:val="20"/>
      </w:rPr>
      <w:t>EMzinop4_</w:t>
    </w:r>
    <w:r w:rsidR="007778CB">
      <w:rPr>
        <w:sz w:val="20"/>
      </w:rPr>
      <w:t>30</w:t>
    </w:r>
    <w:r>
      <w:rPr>
        <w:sz w:val="20"/>
      </w:rPr>
      <w:t>0813; Informatīvā ziņojuma „Par kapitālsabiedrību, kurās Ekonomikas ministrija ir valsts kapitāla daļu turētāja, 2012.gada finansiālo rādītāju izpildi, sasniegtajiem darbības rezultātiem un rezultatīvajiem radītājiem” 4.pielikums „</w:t>
    </w:r>
    <w:r w:rsidRPr="00D216A8">
      <w:rPr>
        <w:sz w:val="20"/>
      </w:rPr>
      <w:t xml:space="preserve">Informācija par </w:t>
    </w:r>
    <w:r>
      <w:rPr>
        <w:sz w:val="20"/>
      </w:rPr>
      <w:t>SIA</w:t>
    </w:r>
    <w:r w:rsidRPr="00D216A8">
      <w:rPr>
        <w:sz w:val="20"/>
      </w:rPr>
      <w:t xml:space="preserve"> „</w:t>
    </w:r>
    <w:r>
      <w:rPr>
        <w:sz w:val="20"/>
      </w:rPr>
      <w:t>Standartizācijas, akreditācijas un metroloģijas centrs</w:t>
    </w:r>
    <w:r w:rsidRPr="00D216A8">
      <w:rPr>
        <w:sz w:val="20"/>
      </w:rPr>
      <w:t xml:space="preserve">” </w:t>
    </w:r>
    <w:r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D216A8" w:rsidRDefault="0098254C" w:rsidP="00D216A8">
    <w:pPr>
      <w:pStyle w:val="Footer"/>
      <w:jc w:val="both"/>
      <w:rPr>
        <w:sz w:val="20"/>
      </w:rPr>
    </w:pPr>
    <w:r>
      <w:rPr>
        <w:sz w:val="20"/>
      </w:rPr>
      <w:t>EMzinop4_</w:t>
    </w:r>
    <w:r w:rsidR="007778CB">
      <w:rPr>
        <w:sz w:val="20"/>
      </w:rPr>
      <w:t>30</w:t>
    </w:r>
    <w:r>
      <w:rPr>
        <w:sz w:val="20"/>
      </w:rPr>
      <w:t>0813; Informatīvā ziņojuma „Par kapitālsabiedrību, kurās Ekonomikas ministrija ir valsts kapitāla daļu turētāja, 2012.gada finansiālo rādītāju izpildi, sasniegtajiem darbības rezultātiem un rezultatīvajiem radītājiem” 4.pielikums „</w:t>
    </w:r>
    <w:r w:rsidRPr="00D216A8">
      <w:rPr>
        <w:sz w:val="20"/>
      </w:rPr>
      <w:t xml:space="preserve">Informācija par </w:t>
    </w:r>
    <w:r>
      <w:rPr>
        <w:sz w:val="20"/>
      </w:rPr>
      <w:t>SIA</w:t>
    </w:r>
    <w:r w:rsidRPr="00D216A8">
      <w:rPr>
        <w:sz w:val="20"/>
      </w:rPr>
      <w:t xml:space="preserve"> „</w:t>
    </w:r>
    <w:r>
      <w:rPr>
        <w:sz w:val="20"/>
      </w:rPr>
      <w:t>Standartizācijas, akreditācijas un metroloģijas centrs</w:t>
    </w:r>
    <w:r w:rsidRPr="00D216A8">
      <w:rPr>
        <w:sz w:val="20"/>
      </w:rPr>
      <w:t xml:space="preserve">” </w:t>
    </w:r>
    <w:r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4C" w:rsidRDefault="0098254C">
      <w:r>
        <w:separator/>
      </w:r>
    </w:p>
  </w:footnote>
  <w:footnote w:type="continuationSeparator" w:id="0">
    <w:p w:rsidR="0098254C" w:rsidRDefault="0098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254C" w:rsidRDefault="009825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E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8254C" w:rsidRDefault="00982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316E50" w:rsidRDefault="0098254C" w:rsidP="00E7196B">
    <w:pPr>
      <w:pStyle w:val="ListParagraph"/>
      <w:jc w:val="right"/>
      <w:rPr>
        <w:sz w:val="24"/>
      </w:rPr>
    </w:pPr>
    <w:r>
      <w:rPr>
        <w:sz w:val="24"/>
      </w:rPr>
      <w:t>4</w:t>
    </w:r>
    <w:r w:rsidRPr="00316E50">
      <w:rPr>
        <w:sz w:val="24"/>
      </w:rPr>
      <w:t>.pielikums</w:t>
    </w:r>
  </w:p>
  <w:p w:rsidR="0098254C" w:rsidRPr="00316E50" w:rsidRDefault="0098254C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 w:rsidRPr="00316E50">
      <w:rPr>
        <w:sz w:val="24"/>
      </w:rPr>
      <w:t>Informatīvajam ziņojumam „Par kapitālsabiedrību, kurās Ekonomikas ministrija ir valsts kapitāla daļu turētāja, 2012.gada finansiālo rādītāju izpildi, sasniegtajiem darbības rezultātiem un rezultatīvajiem rādītājiem”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4BC2"/>
    <w:rsid w:val="000167EE"/>
    <w:rsid w:val="000232FB"/>
    <w:rsid w:val="00023BB9"/>
    <w:rsid w:val="00025A07"/>
    <w:rsid w:val="00026234"/>
    <w:rsid w:val="00026788"/>
    <w:rsid w:val="00026E74"/>
    <w:rsid w:val="00043170"/>
    <w:rsid w:val="00044E74"/>
    <w:rsid w:val="00061562"/>
    <w:rsid w:val="00066330"/>
    <w:rsid w:val="00070066"/>
    <w:rsid w:val="00070C63"/>
    <w:rsid w:val="00071FC2"/>
    <w:rsid w:val="000747D8"/>
    <w:rsid w:val="00074E79"/>
    <w:rsid w:val="00074FD1"/>
    <w:rsid w:val="00075664"/>
    <w:rsid w:val="000926CF"/>
    <w:rsid w:val="000932C7"/>
    <w:rsid w:val="00097C6C"/>
    <w:rsid w:val="000A087D"/>
    <w:rsid w:val="000A143D"/>
    <w:rsid w:val="000B0366"/>
    <w:rsid w:val="000B0B6B"/>
    <w:rsid w:val="000B0E03"/>
    <w:rsid w:val="000B258A"/>
    <w:rsid w:val="000B50F9"/>
    <w:rsid w:val="000D17DA"/>
    <w:rsid w:val="000D476A"/>
    <w:rsid w:val="000D4A9D"/>
    <w:rsid w:val="000D6691"/>
    <w:rsid w:val="000E1E64"/>
    <w:rsid w:val="000E5A10"/>
    <w:rsid w:val="000F4D3D"/>
    <w:rsid w:val="000F4ED4"/>
    <w:rsid w:val="000F4F21"/>
    <w:rsid w:val="000F6B7D"/>
    <w:rsid w:val="000F7543"/>
    <w:rsid w:val="001010F6"/>
    <w:rsid w:val="00103357"/>
    <w:rsid w:val="00103B3F"/>
    <w:rsid w:val="00124CBD"/>
    <w:rsid w:val="00131AC3"/>
    <w:rsid w:val="00133B7B"/>
    <w:rsid w:val="00136EBC"/>
    <w:rsid w:val="00140EBF"/>
    <w:rsid w:val="00142EE1"/>
    <w:rsid w:val="00154BE5"/>
    <w:rsid w:val="001558ED"/>
    <w:rsid w:val="0016118E"/>
    <w:rsid w:val="00166515"/>
    <w:rsid w:val="00172943"/>
    <w:rsid w:val="001735B4"/>
    <w:rsid w:val="00175E92"/>
    <w:rsid w:val="0018068F"/>
    <w:rsid w:val="0018299C"/>
    <w:rsid w:val="00184171"/>
    <w:rsid w:val="0019142B"/>
    <w:rsid w:val="00194430"/>
    <w:rsid w:val="00196253"/>
    <w:rsid w:val="001A36A8"/>
    <w:rsid w:val="001A36F9"/>
    <w:rsid w:val="001A3DFA"/>
    <w:rsid w:val="001A5056"/>
    <w:rsid w:val="001A6E6B"/>
    <w:rsid w:val="001B02E6"/>
    <w:rsid w:val="001B413F"/>
    <w:rsid w:val="001C0B33"/>
    <w:rsid w:val="001C1490"/>
    <w:rsid w:val="001C4A2B"/>
    <w:rsid w:val="001C64E2"/>
    <w:rsid w:val="001E2132"/>
    <w:rsid w:val="001E4615"/>
    <w:rsid w:val="001E494D"/>
    <w:rsid w:val="00204877"/>
    <w:rsid w:val="0020781E"/>
    <w:rsid w:val="00213DDA"/>
    <w:rsid w:val="00224920"/>
    <w:rsid w:val="002320B7"/>
    <w:rsid w:val="00235CAD"/>
    <w:rsid w:val="00237E4B"/>
    <w:rsid w:val="00240DBA"/>
    <w:rsid w:val="0024272C"/>
    <w:rsid w:val="00252147"/>
    <w:rsid w:val="002566E7"/>
    <w:rsid w:val="00261B1E"/>
    <w:rsid w:val="0026453E"/>
    <w:rsid w:val="00273FBD"/>
    <w:rsid w:val="00277AAA"/>
    <w:rsid w:val="00280913"/>
    <w:rsid w:val="00282E94"/>
    <w:rsid w:val="00295D6F"/>
    <w:rsid w:val="00297E44"/>
    <w:rsid w:val="002A2B00"/>
    <w:rsid w:val="002A40EE"/>
    <w:rsid w:val="002A52CE"/>
    <w:rsid w:val="002A7A55"/>
    <w:rsid w:val="002C1EF2"/>
    <w:rsid w:val="002C392A"/>
    <w:rsid w:val="002D2122"/>
    <w:rsid w:val="002F572B"/>
    <w:rsid w:val="002F58D7"/>
    <w:rsid w:val="002F7E3A"/>
    <w:rsid w:val="003001DF"/>
    <w:rsid w:val="003127FF"/>
    <w:rsid w:val="003132B2"/>
    <w:rsid w:val="00315210"/>
    <w:rsid w:val="00315555"/>
    <w:rsid w:val="00316E50"/>
    <w:rsid w:val="00330E3A"/>
    <w:rsid w:val="003325F2"/>
    <w:rsid w:val="00333848"/>
    <w:rsid w:val="003362B3"/>
    <w:rsid w:val="0034077F"/>
    <w:rsid w:val="00341853"/>
    <w:rsid w:val="003440DA"/>
    <w:rsid w:val="00344473"/>
    <w:rsid w:val="003511E7"/>
    <w:rsid w:val="00353657"/>
    <w:rsid w:val="00361905"/>
    <w:rsid w:val="00366154"/>
    <w:rsid w:val="003752D6"/>
    <w:rsid w:val="00377695"/>
    <w:rsid w:val="00380285"/>
    <w:rsid w:val="003826BF"/>
    <w:rsid w:val="00385CBC"/>
    <w:rsid w:val="00386F94"/>
    <w:rsid w:val="0039188B"/>
    <w:rsid w:val="00393955"/>
    <w:rsid w:val="00397611"/>
    <w:rsid w:val="003A395B"/>
    <w:rsid w:val="003A5224"/>
    <w:rsid w:val="003B0415"/>
    <w:rsid w:val="003B2BAE"/>
    <w:rsid w:val="003B406F"/>
    <w:rsid w:val="003B6B60"/>
    <w:rsid w:val="003B7788"/>
    <w:rsid w:val="003C1B99"/>
    <w:rsid w:val="003C4627"/>
    <w:rsid w:val="003C4FFE"/>
    <w:rsid w:val="003D3605"/>
    <w:rsid w:val="003D5095"/>
    <w:rsid w:val="003D5665"/>
    <w:rsid w:val="003D6292"/>
    <w:rsid w:val="003D7FEF"/>
    <w:rsid w:val="003E2787"/>
    <w:rsid w:val="003E5EE7"/>
    <w:rsid w:val="003F54B4"/>
    <w:rsid w:val="003F6D84"/>
    <w:rsid w:val="004038CA"/>
    <w:rsid w:val="00404D7C"/>
    <w:rsid w:val="00440480"/>
    <w:rsid w:val="00443E90"/>
    <w:rsid w:val="00447261"/>
    <w:rsid w:val="00452F00"/>
    <w:rsid w:val="00453A13"/>
    <w:rsid w:val="00457654"/>
    <w:rsid w:val="00464B94"/>
    <w:rsid w:val="004661AF"/>
    <w:rsid w:val="0046633C"/>
    <w:rsid w:val="00473988"/>
    <w:rsid w:val="00474A1B"/>
    <w:rsid w:val="004758D2"/>
    <w:rsid w:val="00483F55"/>
    <w:rsid w:val="004857DC"/>
    <w:rsid w:val="004860F2"/>
    <w:rsid w:val="004929AC"/>
    <w:rsid w:val="004946A8"/>
    <w:rsid w:val="00494936"/>
    <w:rsid w:val="004A2A30"/>
    <w:rsid w:val="004A2ECD"/>
    <w:rsid w:val="004A4F75"/>
    <w:rsid w:val="004A5D6D"/>
    <w:rsid w:val="004A6423"/>
    <w:rsid w:val="004B0B11"/>
    <w:rsid w:val="004B1846"/>
    <w:rsid w:val="004B1F36"/>
    <w:rsid w:val="004B2DBA"/>
    <w:rsid w:val="004C4F34"/>
    <w:rsid w:val="004C5379"/>
    <w:rsid w:val="004D0DC0"/>
    <w:rsid w:val="004D3022"/>
    <w:rsid w:val="004D362E"/>
    <w:rsid w:val="004D48AC"/>
    <w:rsid w:val="004D5784"/>
    <w:rsid w:val="004D5D73"/>
    <w:rsid w:val="004D701C"/>
    <w:rsid w:val="004D7BE2"/>
    <w:rsid w:val="004E0787"/>
    <w:rsid w:val="004E399B"/>
    <w:rsid w:val="00505465"/>
    <w:rsid w:val="00507C81"/>
    <w:rsid w:val="005145A3"/>
    <w:rsid w:val="00514E45"/>
    <w:rsid w:val="0051508A"/>
    <w:rsid w:val="005166C9"/>
    <w:rsid w:val="00530381"/>
    <w:rsid w:val="00531299"/>
    <w:rsid w:val="00533165"/>
    <w:rsid w:val="00533F53"/>
    <w:rsid w:val="00540258"/>
    <w:rsid w:val="0054374D"/>
    <w:rsid w:val="0054636C"/>
    <w:rsid w:val="00553184"/>
    <w:rsid w:val="00555236"/>
    <w:rsid w:val="005554B8"/>
    <w:rsid w:val="005657DB"/>
    <w:rsid w:val="005667FD"/>
    <w:rsid w:val="00575C57"/>
    <w:rsid w:val="00580D96"/>
    <w:rsid w:val="00582CA6"/>
    <w:rsid w:val="005874E8"/>
    <w:rsid w:val="0059106C"/>
    <w:rsid w:val="0059742D"/>
    <w:rsid w:val="005A0256"/>
    <w:rsid w:val="005A3ABA"/>
    <w:rsid w:val="005A787C"/>
    <w:rsid w:val="005B5C43"/>
    <w:rsid w:val="005B7BE4"/>
    <w:rsid w:val="005C0E53"/>
    <w:rsid w:val="005C493B"/>
    <w:rsid w:val="005D3855"/>
    <w:rsid w:val="005D3CAC"/>
    <w:rsid w:val="005D499C"/>
    <w:rsid w:val="005D5DC1"/>
    <w:rsid w:val="005D67C6"/>
    <w:rsid w:val="00600630"/>
    <w:rsid w:val="00601949"/>
    <w:rsid w:val="0060455B"/>
    <w:rsid w:val="00611FEE"/>
    <w:rsid w:val="0061337F"/>
    <w:rsid w:val="00614E27"/>
    <w:rsid w:val="00624578"/>
    <w:rsid w:val="0062507D"/>
    <w:rsid w:val="006277F4"/>
    <w:rsid w:val="00633282"/>
    <w:rsid w:val="00636727"/>
    <w:rsid w:val="006452C0"/>
    <w:rsid w:val="006452F1"/>
    <w:rsid w:val="006529A8"/>
    <w:rsid w:val="00662BE7"/>
    <w:rsid w:val="006632BE"/>
    <w:rsid w:val="00664F2A"/>
    <w:rsid w:val="00675032"/>
    <w:rsid w:val="006754D6"/>
    <w:rsid w:val="00675E4C"/>
    <w:rsid w:val="006772A2"/>
    <w:rsid w:val="00683D0C"/>
    <w:rsid w:val="00685D77"/>
    <w:rsid w:val="0069598A"/>
    <w:rsid w:val="0069738E"/>
    <w:rsid w:val="006A04F2"/>
    <w:rsid w:val="006A3752"/>
    <w:rsid w:val="006A542E"/>
    <w:rsid w:val="006A6269"/>
    <w:rsid w:val="006A6BEA"/>
    <w:rsid w:val="006B174B"/>
    <w:rsid w:val="006B399C"/>
    <w:rsid w:val="006C62AE"/>
    <w:rsid w:val="006D0200"/>
    <w:rsid w:val="006D2FFF"/>
    <w:rsid w:val="006D3CC6"/>
    <w:rsid w:val="006D4000"/>
    <w:rsid w:val="006F5025"/>
    <w:rsid w:val="00700300"/>
    <w:rsid w:val="0070170C"/>
    <w:rsid w:val="00701EC5"/>
    <w:rsid w:val="00707E5D"/>
    <w:rsid w:val="00710ECA"/>
    <w:rsid w:val="007137BF"/>
    <w:rsid w:val="00715746"/>
    <w:rsid w:val="00722F9D"/>
    <w:rsid w:val="00725577"/>
    <w:rsid w:val="00725D20"/>
    <w:rsid w:val="0073287E"/>
    <w:rsid w:val="0074135C"/>
    <w:rsid w:val="0075278A"/>
    <w:rsid w:val="007653EF"/>
    <w:rsid w:val="00767463"/>
    <w:rsid w:val="00767DE3"/>
    <w:rsid w:val="007778CB"/>
    <w:rsid w:val="00784985"/>
    <w:rsid w:val="00786DC6"/>
    <w:rsid w:val="00794152"/>
    <w:rsid w:val="00795650"/>
    <w:rsid w:val="007A1F28"/>
    <w:rsid w:val="007A79B3"/>
    <w:rsid w:val="007B214A"/>
    <w:rsid w:val="007B33AE"/>
    <w:rsid w:val="007B7733"/>
    <w:rsid w:val="007C0A8F"/>
    <w:rsid w:val="007C0F70"/>
    <w:rsid w:val="007C30C5"/>
    <w:rsid w:val="007C333E"/>
    <w:rsid w:val="007C4B69"/>
    <w:rsid w:val="007D01B6"/>
    <w:rsid w:val="007D30AD"/>
    <w:rsid w:val="007D549A"/>
    <w:rsid w:val="007D55D6"/>
    <w:rsid w:val="007E2A05"/>
    <w:rsid w:val="007E7BF9"/>
    <w:rsid w:val="007F4D38"/>
    <w:rsid w:val="0080349B"/>
    <w:rsid w:val="0080799F"/>
    <w:rsid w:val="008107EB"/>
    <w:rsid w:val="00814B76"/>
    <w:rsid w:val="00815FDA"/>
    <w:rsid w:val="00822BC9"/>
    <w:rsid w:val="00822FF8"/>
    <w:rsid w:val="00847FDD"/>
    <w:rsid w:val="008642EB"/>
    <w:rsid w:val="008645E8"/>
    <w:rsid w:val="00865B3D"/>
    <w:rsid w:val="00883C72"/>
    <w:rsid w:val="008847F2"/>
    <w:rsid w:val="00887CB2"/>
    <w:rsid w:val="00891B0A"/>
    <w:rsid w:val="00895C46"/>
    <w:rsid w:val="008A2292"/>
    <w:rsid w:val="008A2345"/>
    <w:rsid w:val="008A663A"/>
    <w:rsid w:val="008A6734"/>
    <w:rsid w:val="008A6DF1"/>
    <w:rsid w:val="008B3FA5"/>
    <w:rsid w:val="008B4E32"/>
    <w:rsid w:val="008B6CF4"/>
    <w:rsid w:val="008C7329"/>
    <w:rsid w:val="008D0EAE"/>
    <w:rsid w:val="008D1392"/>
    <w:rsid w:val="008D1B66"/>
    <w:rsid w:val="008D2679"/>
    <w:rsid w:val="008D33AD"/>
    <w:rsid w:val="008D4C80"/>
    <w:rsid w:val="008D5898"/>
    <w:rsid w:val="008D72D7"/>
    <w:rsid w:val="008E0B76"/>
    <w:rsid w:val="008E3BA9"/>
    <w:rsid w:val="008E51F5"/>
    <w:rsid w:val="008E7077"/>
    <w:rsid w:val="008F105C"/>
    <w:rsid w:val="008F5B6F"/>
    <w:rsid w:val="008F6D7A"/>
    <w:rsid w:val="00905C07"/>
    <w:rsid w:val="00910D13"/>
    <w:rsid w:val="00916F04"/>
    <w:rsid w:val="00921D52"/>
    <w:rsid w:val="00923619"/>
    <w:rsid w:val="00924496"/>
    <w:rsid w:val="0093289C"/>
    <w:rsid w:val="00943A90"/>
    <w:rsid w:val="00944D51"/>
    <w:rsid w:val="0094516F"/>
    <w:rsid w:val="00945CF3"/>
    <w:rsid w:val="00945D16"/>
    <w:rsid w:val="0095184B"/>
    <w:rsid w:val="009638EA"/>
    <w:rsid w:val="00964C2A"/>
    <w:rsid w:val="00971B8A"/>
    <w:rsid w:val="009730F6"/>
    <w:rsid w:val="009734DA"/>
    <w:rsid w:val="00975167"/>
    <w:rsid w:val="00976456"/>
    <w:rsid w:val="00976F58"/>
    <w:rsid w:val="0098254C"/>
    <w:rsid w:val="00983DAD"/>
    <w:rsid w:val="00990AE0"/>
    <w:rsid w:val="00991C90"/>
    <w:rsid w:val="00992C91"/>
    <w:rsid w:val="00994248"/>
    <w:rsid w:val="009943DA"/>
    <w:rsid w:val="00994F6E"/>
    <w:rsid w:val="009A074A"/>
    <w:rsid w:val="009A0C34"/>
    <w:rsid w:val="009A3D5A"/>
    <w:rsid w:val="009B1A65"/>
    <w:rsid w:val="009B2144"/>
    <w:rsid w:val="009B2701"/>
    <w:rsid w:val="009B50D5"/>
    <w:rsid w:val="009B67FA"/>
    <w:rsid w:val="009B68FC"/>
    <w:rsid w:val="009C10F4"/>
    <w:rsid w:val="009C3A35"/>
    <w:rsid w:val="009C5C47"/>
    <w:rsid w:val="009E63F2"/>
    <w:rsid w:val="009F4FFB"/>
    <w:rsid w:val="009F52D0"/>
    <w:rsid w:val="009F62FE"/>
    <w:rsid w:val="009F6638"/>
    <w:rsid w:val="009F755F"/>
    <w:rsid w:val="00A00A18"/>
    <w:rsid w:val="00A07A24"/>
    <w:rsid w:val="00A12DD8"/>
    <w:rsid w:val="00A15CEF"/>
    <w:rsid w:val="00A23461"/>
    <w:rsid w:val="00A3079C"/>
    <w:rsid w:val="00A37B44"/>
    <w:rsid w:val="00A37D59"/>
    <w:rsid w:val="00A43750"/>
    <w:rsid w:val="00A475B0"/>
    <w:rsid w:val="00A47E3C"/>
    <w:rsid w:val="00A502CE"/>
    <w:rsid w:val="00A50A14"/>
    <w:rsid w:val="00A53A84"/>
    <w:rsid w:val="00A56A96"/>
    <w:rsid w:val="00A66C4B"/>
    <w:rsid w:val="00A7115A"/>
    <w:rsid w:val="00A724B0"/>
    <w:rsid w:val="00A74524"/>
    <w:rsid w:val="00A82B26"/>
    <w:rsid w:val="00A9119D"/>
    <w:rsid w:val="00A92EFB"/>
    <w:rsid w:val="00A9461E"/>
    <w:rsid w:val="00AA1282"/>
    <w:rsid w:val="00AA24D0"/>
    <w:rsid w:val="00AA595D"/>
    <w:rsid w:val="00AB7029"/>
    <w:rsid w:val="00AC209A"/>
    <w:rsid w:val="00AC2FAA"/>
    <w:rsid w:val="00AD1D34"/>
    <w:rsid w:val="00AD27C6"/>
    <w:rsid w:val="00AD3999"/>
    <w:rsid w:val="00AD7A2E"/>
    <w:rsid w:val="00AE5952"/>
    <w:rsid w:val="00AE5A5D"/>
    <w:rsid w:val="00AE7CC7"/>
    <w:rsid w:val="00AF06F1"/>
    <w:rsid w:val="00AF0EDC"/>
    <w:rsid w:val="00AF4A2D"/>
    <w:rsid w:val="00AF5020"/>
    <w:rsid w:val="00AF5031"/>
    <w:rsid w:val="00AF6B7D"/>
    <w:rsid w:val="00B07063"/>
    <w:rsid w:val="00B141A5"/>
    <w:rsid w:val="00B14329"/>
    <w:rsid w:val="00B24BE7"/>
    <w:rsid w:val="00B26B54"/>
    <w:rsid w:val="00B3354B"/>
    <w:rsid w:val="00B3543B"/>
    <w:rsid w:val="00B45486"/>
    <w:rsid w:val="00B52BCF"/>
    <w:rsid w:val="00B52BF0"/>
    <w:rsid w:val="00B55F07"/>
    <w:rsid w:val="00B71237"/>
    <w:rsid w:val="00B742C0"/>
    <w:rsid w:val="00B7685E"/>
    <w:rsid w:val="00B91868"/>
    <w:rsid w:val="00B91B27"/>
    <w:rsid w:val="00BA2FBD"/>
    <w:rsid w:val="00BA7039"/>
    <w:rsid w:val="00BB408A"/>
    <w:rsid w:val="00BB7D51"/>
    <w:rsid w:val="00BD0318"/>
    <w:rsid w:val="00BD65DC"/>
    <w:rsid w:val="00BD6BD9"/>
    <w:rsid w:val="00BD71D7"/>
    <w:rsid w:val="00BE000B"/>
    <w:rsid w:val="00BE00C4"/>
    <w:rsid w:val="00BE1950"/>
    <w:rsid w:val="00BE49AE"/>
    <w:rsid w:val="00BE4A47"/>
    <w:rsid w:val="00BF0318"/>
    <w:rsid w:val="00BF15BB"/>
    <w:rsid w:val="00BF5026"/>
    <w:rsid w:val="00C04EEA"/>
    <w:rsid w:val="00C150BE"/>
    <w:rsid w:val="00C15D51"/>
    <w:rsid w:val="00C2459F"/>
    <w:rsid w:val="00C2657D"/>
    <w:rsid w:val="00C30B86"/>
    <w:rsid w:val="00C32692"/>
    <w:rsid w:val="00C34CE6"/>
    <w:rsid w:val="00C439A1"/>
    <w:rsid w:val="00C54755"/>
    <w:rsid w:val="00C60B46"/>
    <w:rsid w:val="00C60BD5"/>
    <w:rsid w:val="00C65BE2"/>
    <w:rsid w:val="00C72DE5"/>
    <w:rsid w:val="00C82D58"/>
    <w:rsid w:val="00C85B12"/>
    <w:rsid w:val="00C87AAA"/>
    <w:rsid w:val="00C91830"/>
    <w:rsid w:val="00C935B3"/>
    <w:rsid w:val="00C96A0D"/>
    <w:rsid w:val="00CA0527"/>
    <w:rsid w:val="00CA1953"/>
    <w:rsid w:val="00CA3766"/>
    <w:rsid w:val="00CA71AB"/>
    <w:rsid w:val="00CA7A68"/>
    <w:rsid w:val="00CB1781"/>
    <w:rsid w:val="00CC07E7"/>
    <w:rsid w:val="00CD76DE"/>
    <w:rsid w:val="00CE5CA5"/>
    <w:rsid w:val="00CF33AD"/>
    <w:rsid w:val="00CF4AF7"/>
    <w:rsid w:val="00CF7D22"/>
    <w:rsid w:val="00D026AD"/>
    <w:rsid w:val="00D12060"/>
    <w:rsid w:val="00D13D0F"/>
    <w:rsid w:val="00D14A0F"/>
    <w:rsid w:val="00D216A8"/>
    <w:rsid w:val="00D23379"/>
    <w:rsid w:val="00D2342F"/>
    <w:rsid w:val="00D31326"/>
    <w:rsid w:val="00D32D67"/>
    <w:rsid w:val="00D337E7"/>
    <w:rsid w:val="00D427AF"/>
    <w:rsid w:val="00D42ACC"/>
    <w:rsid w:val="00D464D7"/>
    <w:rsid w:val="00D533A7"/>
    <w:rsid w:val="00D53A49"/>
    <w:rsid w:val="00D55C9E"/>
    <w:rsid w:val="00D57007"/>
    <w:rsid w:val="00D6161F"/>
    <w:rsid w:val="00D64158"/>
    <w:rsid w:val="00D65575"/>
    <w:rsid w:val="00D662FF"/>
    <w:rsid w:val="00D861F0"/>
    <w:rsid w:val="00D86278"/>
    <w:rsid w:val="00D8639A"/>
    <w:rsid w:val="00D87C7F"/>
    <w:rsid w:val="00D92FF3"/>
    <w:rsid w:val="00D9362C"/>
    <w:rsid w:val="00DA4E51"/>
    <w:rsid w:val="00DA705B"/>
    <w:rsid w:val="00DB15DE"/>
    <w:rsid w:val="00DB3AAD"/>
    <w:rsid w:val="00DB5F19"/>
    <w:rsid w:val="00DC0234"/>
    <w:rsid w:val="00DC2D92"/>
    <w:rsid w:val="00DC4194"/>
    <w:rsid w:val="00DD1872"/>
    <w:rsid w:val="00DD54DE"/>
    <w:rsid w:val="00DD64E0"/>
    <w:rsid w:val="00DD688F"/>
    <w:rsid w:val="00DD72E9"/>
    <w:rsid w:val="00DD7341"/>
    <w:rsid w:val="00DF0E2D"/>
    <w:rsid w:val="00DF3CF4"/>
    <w:rsid w:val="00DF48FF"/>
    <w:rsid w:val="00E01F8E"/>
    <w:rsid w:val="00E04A57"/>
    <w:rsid w:val="00E05A31"/>
    <w:rsid w:val="00E1492B"/>
    <w:rsid w:val="00E150CC"/>
    <w:rsid w:val="00E164B6"/>
    <w:rsid w:val="00E229F1"/>
    <w:rsid w:val="00E35574"/>
    <w:rsid w:val="00E41C87"/>
    <w:rsid w:val="00E42A79"/>
    <w:rsid w:val="00E53C60"/>
    <w:rsid w:val="00E55A03"/>
    <w:rsid w:val="00E56A4E"/>
    <w:rsid w:val="00E620DD"/>
    <w:rsid w:val="00E62FF3"/>
    <w:rsid w:val="00E65051"/>
    <w:rsid w:val="00E65276"/>
    <w:rsid w:val="00E7196B"/>
    <w:rsid w:val="00E82652"/>
    <w:rsid w:val="00EA02F9"/>
    <w:rsid w:val="00EA2DF5"/>
    <w:rsid w:val="00EA31AF"/>
    <w:rsid w:val="00EA4DF6"/>
    <w:rsid w:val="00EA634B"/>
    <w:rsid w:val="00EE2514"/>
    <w:rsid w:val="00EE25EF"/>
    <w:rsid w:val="00EE36EE"/>
    <w:rsid w:val="00EE6828"/>
    <w:rsid w:val="00EE6AD7"/>
    <w:rsid w:val="00EE7CCB"/>
    <w:rsid w:val="00EF3EB2"/>
    <w:rsid w:val="00EF7AC7"/>
    <w:rsid w:val="00F03347"/>
    <w:rsid w:val="00F138DA"/>
    <w:rsid w:val="00F16C72"/>
    <w:rsid w:val="00F25469"/>
    <w:rsid w:val="00F27528"/>
    <w:rsid w:val="00F3388A"/>
    <w:rsid w:val="00F33D09"/>
    <w:rsid w:val="00F340B7"/>
    <w:rsid w:val="00F34B08"/>
    <w:rsid w:val="00F425E0"/>
    <w:rsid w:val="00F53DAA"/>
    <w:rsid w:val="00F54B7C"/>
    <w:rsid w:val="00F57A3E"/>
    <w:rsid w:val="00F72373"/>
    <w:rsid w:val="00F72425"/>
    <w:rsid w:val="00F72780"/>
    <w:rsid w:val="00F753F8"/>
    <w:rsid w:val="00F763F5"/>
    <w:rsid w:val="00F77323"/>
    <w:rsid w:val="00F81365"/>
    <w:rsid w:val="00F819F1"/>
    <w:rsid w:val="00F82789"/>
    <w:rsid w:val="00F82976"/>
    <w:rsid w:val="00F83118"/>
    <w:rsid w:val="00F83240"/>
    <w:rsid w:val="00F9218D"/>
    <w:rsid w:val="00F936DD"/>
    <w:rsid w:val="00F93C78"/>
    <w:rsid w:val="00F96388"/>
    <w:rsid w:val="00F97FF6"/>
    <w:rsid w:val="00FA0F6C"/>
    <w:rsid w:val="00FA6C11"/>
    <w:rsid w:val="00FA6DD1"/>
    <w:rsid w:val="00FA75BF"/>
    <w:rsid w:val="00FB2999"/>
    <w:rsid w:val="00FB2E1B"/>
    <w:rsid w:val="00FB67DA"/>
    <w:rsid w:val="00FC05D3"/>
    <w:rsid w:val="00FC26EE"/>
    <w:rsid w:val="00FD5FF7"/>
    <w:rsid w:val="00FD7617"/>
    <w:rsid w:val="00FE1D3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da.dulbinska@samc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1091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[teksts]</vt:lpstr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4.pielikums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571</cp:revision>
  <dcterms:created xsi:type="dcterms:W3CDTF">2012-08-09T09:01:00Z</dcterms:created>
  <dcterms:modified xsi:type="dcterms:W3CDTF">2013-08-30T06:14:00Z</dcterms:modified>
</cp:coreProperties>
</file>