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AE53D3" w14:textId="2AA40E2C" w:rsidR="00132754" w:rsidRPr="00132754" w:rsidRDefault="004069F0" w:rsidP="00A01AE4">
      <w:pPr>
        <w:tabs>
          <w:tab w:val="left" w:pos="666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77190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634C82">
        <w:rPr>
          <w:rFonts w:ascii="Times New Roman" w:hAnsi="Times New Roman" w:cs="Times New Roman"/>
          <w:sz w:val="28"/>
          <w:szCs w:val="28"/>
        </w:rPr>
        <w:t>1</w:t>
      </w:r>
      <w:r w:rsidRPr="0077190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1904">
        <w:rPr>
          <w:rFonts w:ascii="Times New Roman" w:hAnsi="Times New Roman" w:cs="Times New Roman"/>
          <w:sz w:val="28"/>
          <w:szCs w:val="28"/>
        </w:rPr>
        <w:t>gada ___.______</w:t>
      </w:r>
      <w:r w:rsidRPr="00771904">
        <w:rPr>
          <w:rFonts w:ascii="Times New Roman" w:hAnsi="Times New Roman" w:cs="Times New Roman"/>
          <w:sz w:val="28"/>
          <w:szCs w:val="28"/>
        </w:rPr>
        <w:tab/>
      </w:r>
      <w:r w:rsidR="00132754" w:rsidRPr="00132754">
        <w:rPr>
          <w:rFonts w:ascii="Times New Roman" w:eastAsia="Times New Roman" w:hAnsi="Times New Roman" w:cs="Times New Roman"/>
          <w:sz w:val="28"/>
          <w:szCs w:val="28"/>
        </w:rPr>
        <w:t>Noteikumi Nr.</w:t>
      </w:r>
      <w:r w:rsidR="00A541C5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1ED29561" w14:textId="06343A09" w:rsidR="00132754" w:rsidRPr="00132754" w:rsidRDefault="00132754" w:rsidP="00A01AE4">
      <w:pPr>
        <w:tabs>
          <w:tab w:val="left" w:pos="6663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32754">
        <w:rPr>
          <w:rFonts w:ascii="Times New Roman" w:eastAsia="Times New Roman" w:hAnsi="Times New Roman" w:cs="Times New Roman"/>
          <w:sz w:val="28"/>
          <w:szCs w:val="28"/>
        </w:rPr>
        <w:t>Rīgā</w:t>
      </w:r>
      <w:r w:rsidRPr="00132754">
        <w:rPr>
          <w:rFonts w:ascii="Times New Roman" w:eastAsia="Times New Roman" w:hAnsi="Times New Roman" w:cs="Times New Roman"/>
          <w:sz w:val="28"/>
          <w:szCs w:val="28"/>
        </w:rPr>
        <w:tab/>
        <w:t>(prot. Nr.</w:t>
      </w:r>
      <w:r w:rsidR="00A541C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32754">
        <w:rPr>
          <w:rFonts w:ascii="Times New Roman" w:eastAsia="Times New Roman" w:hAnsi="Times New Roman" w:cs="Times New Roman"/>
          <w:sz w:val="28"/>
          <w:szCs w:val="28"/>
        </w:rPr>
        <w:t>. §)</w:t>
      </w:r>
    </w:p>
    <w:p w14:paraId="143A967B" w14:textId="4611D1E7" w:rsidR="0070665D" w:rsidRPr="00132754" w:rsidRDefault="0070665D" w:rsidP="00A01AE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71D826F" w14:textId="50E43938" w:rsidR="0070665D" w:rsidRDefault="0070665D" w:rsidP="00A01AE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 w:rsidRPr="00132754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Grozījumi Ministru kabineta 2016.</w:t>
      </w:r>
      <w:r w:rsidR="007B1384" w:rsidRPr="00132754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 </w:t>
      </w:r>
      <w:r w:rsidRPr="00132754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gada </w:t>
      </w:r>
      <w:r w:rsidR="00DD4DF3" w:rsidRPr="00132754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20.</w:t>
      </w:r>
      <w:r w:rsidR="007B1384" w:rsidRPr="00132754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 </w:t>
      </w:r>
      <w:r w:rsidR="00DD4DF3" w:rsidRPr="00132754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decembra</w:t>
      </w:r>
      <w:r w:rsidRPr="00132754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 noteikumos Nr.</w:t>
      </w:r>
      <w:r w:rsidR="007B1384" w:rsidRPr="00132754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 </w:t>
      </w:r>
      <w:r w:rsidR="00DD4DF3" w:rsidRPr="00132754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866</w:t>
      </w:r>
      <w:r w:rsidRPr="00132754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 </w:t>
      </w:r>
      <w:r w:rsidR="00132754" w:rsidRPr="00132754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"</w:t>
      </w:r>
      <w:r w:rsidR="00DD4DF3" w:rsidRPr="00132754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Īstermiņa eksporta kredīta garantiju izsniegšanas noteikumi komersantiem un atbilstošām lauksaimniecības pakalpojumu kooperatīvajām sabiedrībām</w:t>
      </w:r>
      <w:r w:rsidR="00132754" w:rsidRPr="00132754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"</w:t>
      </w:r>
    </w:p>
    <w:p w14:paraId="5E73FAF9" w14:textId="77777777" w:rsidR="00612F71" w:rsidRPr="00132754" w:rsidRDefault="00612F71" w:rsidP="00A01AE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</w:p>
    <w:p w14:paraId="7D238BB1" w14:textId="77777777" w:rsidR="005C211B" w:rsidRPr="00132754" w:rsidRDefault="0070665D" w:rsidP="00A01AE4">
      <w:pPr>
        <w:pStyle w:val="naislab"/>
        <w:spacing w:before="0" w:after="0"/>
        <w:contextualSpacing/>
        <w:rPr>
          <w:iCs/>
          <w:sz w:val="28"/>
          <w:szCs w:val="28"/>
        </w:rPr>
      </w:pPr>
      <w:r w:rsidRPr="00132754">
        <w:rPr>
          <w:iCs/>
          <w:sz w:val="28"/>
          <w:szCs w:val="28"/>
        </w:rPr>
        <w:t>Izdoti</w:t>
      </w:r>
      <w:r w:rsidR="005C211B" w:rsidRPr="00132754">
        <w:rPr>
          <w:iCs/>
          <w:sz w:val="28"/>
          <w:szCs w:val="28"/>
        </w:rPr>
        <w:t xml:space="preserve"> saskaņā ar </w:t>
      </w:r>
    </w:p>
    <w:p w14:paraId="08B36560" w14:textId="77777777" w:rsidR="005C211B" w:rsidRPr="00132754" w:rsidRDefault="005C211B" w:rsidP="00A01AE4">
      <w:pPr>
        <w:pStyle w:val="naislab"/>
        <w:spacing w:before="0" w:after="0"/>
        <w:contextualSpacing/>
        <w:rPr>
          <w:iCs/>
          <w:sz w:val="28"/>
          <w:szCs w:val="28"/>
        </w:rPr>
      </w:pPr>
      <w:r w:rsidRPr="00132754">
        <w:rPr>
          <w:iCs/>
          <w:sz w:val="28"/>
          <w:szCs w:val="28"/>
        </w:rPr>
        <w:t xml:space="preserve">Attīstības finanšu institūcijas </w:t>
      </w:r>
    </w:p>
    <w:p w14:paraId="2CD37385" w14:textId="35F00E76" w:rsidR="0070665D" w:rsidRPr="00132754" w:rsidRDefault="005C211B" w:rsidP="00A01AE4">
      <w:pPr>
        <w:pStyle w:val="naislab"/>
        <w:spacing w:before="0" w:after="0"/>
        <w:contextualSpacing/>
        <w:rPr>
          <w:iCs/>
          <w:sz w:val="28"/>
          <w:szCs w:val="28"/>
        </w:rPr>
      </w:pPr>
      <w:r w:rsidRPr="00132754">
        <w:rPr>
          <w:iCs/>
          <w:sz w:val="28"/>
          <w:szCs w:val="28"/>
        </w:rPr>
        <w:t xml:space="preserve">likuma </w:t>
      </w:r>
      <w:hyperlink r:id="rId8" w:anchor="p12" w:tgtFrame="_blank" w:history="1">
        <w:r w:rsidRPr="00132754">
          <w:rPr>
            <w:iCs/>
            <w:sz w:val="28"/>
            <w:szCs w:val="28"/>
          </w:rPr>
          <w:t>12.</w:t>
        </w:r>
        <w:r w:rsidR="007B1384" w:rsidRPr="00132754">
          <w:rPr>
            <w:iCs/>
            <w:sz w:val="28"/>
            <w:szCs w:val="28"/>
          </w:rPr>
          <w:t> </w:t>
        </w:r>
        <w:r w:rsidRPr="00132754">
          <w:rPr>
            <w:iCs/>
            <w:sz w:val="28"/>
            <w:szCs w:val="28"/>
          </w:rPr>
          <w:t>panta</w:t>
        </w:r>
      </w:hyperlink>
      <w:r w:rsidRPr="00132754">
        <w:rPr>
          <w:iCs/>
          <w:sz w:val="28"/>
          <w:szCs w:val="28"/>
        </w:rPr>
        <w:t> ceturto daļu</w:t>
      </w:r>
    </w:p>
    <w:p w14:paraId="47039334" w14:textId="77777777" w:rsidR="0070665D" w:rsidRPr="00132754" w:rsidRDefault="0070665D" w:rsidP="00A01AE4">
      <w:pPr>
        <w:pStyle w:val="naislab"/>
        <w:spacing w:before="0" w:after="0"/>
        <w:contextualSpacing/>
        <w:rPr>
          <w:sz w:val="28"/>
          <w:szCs w:val="28"/>
        </w:rPr>
      </w:pPr>
    </w:p>
    <w:p w14:paraId="6F32FC38" w14:textId="5D444F4A" w:rsidR="0070665D" w:rsidRPr="00132754" w:rsidRDefault="0070665D" w:rsidP="00A01AE4">
      <w:pPr>
        <w:pStyle w:val="ListParagraph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754">
        <w:rPr>
          <w:rFonts w:ascii="Times New Roman" w:hAnsi="Times New Roman" w:cs="Times New Roman"/>
          <w:sz w:val="28"/>
          <w:szCs w:val="28"/>
        </w:rPr>
        <w:t xml:space="preserve">Izdarīt Ministru kabineta </w:t>
      </w:r>
      <w:r w:rsidR="00CD77E3" w:rsidRPr="00132754">
        <w:rPr>
          <w:rFonts w:ascii="Times New Roman" w:eastAsia="Times New Roman" w:hAnsi="Times New Roman" w:cs="Times New Roman"/>
          <w:sz w:val="28"/>
          <w:szCs w:val="28"/>
          <w:lang w:eastAsia="lv-LV"/>
        </w:rPr>
        <w:t>2016.</w:t>
      </w:r>
      <w:r w:rsidR="007B1384" w:rsidRPr="00132754">
        <w:rPr>
          <w:rFonts w:ascii="Times New Roman" w:eastAsia="Times New Roman" w:hAnsi="Times New Roman" w:cs="Times New Roman"/>
          <w:sz w:val="28"/>
          <w:szCs w:val="28"/>
          <w:lang w:eastAsia="lv-LV"/>
        </w:rPr>
        <w:t> </w:t>
      </w:r>
      <w:r w:rsidR="00CD77E3" w:rsidRPr="00132754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gada </w:t>
      </w:r>
      <w:r w:rsidR="00447C4A" w:rsidRPr="00132754">
        <w:rPr>
          <w:rFonts w:ascii="Times New Roman" w:eastAsia="Times New Roman" w:hAnsi="Times New Roman" w:cs="Times New Roman"/>
          <w:sz w:val="28"/>
          <w:szCs w:val="28"/>
          <w:lang w:eastAsia="lv-LV"/>
        </w:rPr>
        <w:t>20.</w:t>
      </w:r>
      <w:r w:rsidR="007B1384" w:rsidRPr="00132754">
        <w:rPr>
          <w:rFonts w:ascii="Times New Roman" w:eastAsia="Times New Roman" w:hAnsi="Times New Roman" w:cs="Times New Roman"/>
          <w:sz w:val="28"/>
          <w:szCs w:val="28"/>
          <w:lang w:eastAsia="lv-LV"/>
        </w:rPr>
        <w:t> </w:t>
      </w:r>
      <w:r w:rsidR="00447C4A" w:rsidRPr="00132754">
        <w:rPr>
          <w:rFonts w:ascii="Times New Roman" w:eastAsia="Times New Roman" w:hAnsi="Times New Roman" w:cs="Times New Roman"/>
          <w:sz w:val="28"/>
          <w:szCs w:val="28"/>
          <w:lang w:eastAsia="lv-LV"/>
        </w:rPr>
        <w:t>decembra</w:t>
      </w:r>
      <w:r w:rsidR="00CD77E3" w:rsidRPr="00132754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noteikumos Nr.</w:t>
      </w:r>
      <w:r w:rsidR="007B1384" w:rsidRPr="00132754">
        <w:rPr>
          <w:rFonts w:ascii="Times New Roman" w:eastAsia="Times New Roman" w:hAnsi="Times New Roman" w:cs="Times New Roman"/>
          <w:sz w:val="28"/>
          <w:szCs w:val="28"/>
          <w:lang w:eastAsia="lv-LV"/>
        </w:rPr>
        <w:t> </w:t>
      </w:r>
      <w:r w:rsidR="00447C4A" w:rsidRPr="00132754">
        <w:rPr>
          <w:rFonts w:ascii="Times New Roman" w:eastAsia="Times New Roman" w:hAnsi="Times New Roman" w:cs="Times New Roman"/>
          <w:sz w:val="28"/>
          <w:szCs w:val="28"/>
          <w:lang w:eastAsia="lv-LV"/>
        </w:rPr>
        <w:t>866</w:t>
      </w:r>
      <w:r w:rsidR="00CD77E3" w:rsidRPr="00132754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</w:t>
      </w:r>
      <w:r w:rsidR="00132754" w:rsidRPr="00132754">
        <w:rPr>
          <w:rFonts w:ascii="Times New Roman" w:eastAsia="Times New Roman" w:hAnsi="Times New Roman" w:cs="Times New Roman"/>
          <w:sz w:val="28"/>
          <w:szCs w:val="28"/>
          <w:lang w:eastAsia="lv-LV"/>
        </w:rPr>
        <w:t>"</w:t>
      </w:r>
      <w:r w:rsidR="00447C4A" w:rsidRPr="00132754">
        <w:rPr>
          <w:rFonts w:ascii="Times New Roman" w:hAnsi="Times New Roman" w:cs="Times New Roman"/>
          <w:sz w:val="28"/>
          <w:szCs w:val="28"/>
        </w:rPr>
        <w:t>Īstermiņa eksporta kredīta garantiju izsniegšanas noteikumi komersantiem un atbilstošām lauksaimniecības pakalpojumu kooperatīvajām</w:t>
      </w:r>
      <w:r w:rsidR="00AB2A7D" w:rsidRPr="00132754">
        <w:rPr>
          <w:rFonts w:ascii="Times New Roman" w:hAnsi="Times New Roman" w:cs="Times New Roman"/>
          <w:sz w:val="28"/>
          <w:szCs w:val="28"/>
        </w:rPr>
        <w:t xml:space="preserve"> </w:t>
      </w:r>
      <w:r w:rsidR="00AB2A7D" w:rsidRPr="00132754">
        <w:rPr>
          <w:rFonts w:ascii="Times New Roman" w:eastAsia="Times New Roman" w:hAnsi="Times New Roman" w:cs="Times New Roman"/>
          <w:sz w:val="28"/>
          <w:szCs w:val="28"/>
          <w:lang w:eastAsia="lv-LV"/>
        </w:rPr>
        <w:t>sabiedrībām</w:t>
      </w:r>
      <w:r w:rsidR="00132754" w:rsidRPr="00132754">
        <w:rPr>
          <w:rFonts w:ascii="Times New Roman" w:eastAsia="Times New Roman" w:hAnsi="Times New Roman" w:cs="Times New Roman"/>
          <w:sz w:val="28"/>
          <w:szCs w:val="28"/>
          <w:lang w:eastAsia="lv-LV"/>
        </w:rPr>
        <w:t>"</w:t>
      </w:r>
      <w:r w:rsidRPr="00132754">
        <w:rPr>
          <w:rFonts w:ascii="Times New Roman" w:hAnsi="Times New Roman" w:cs="Times New Roman"/>
          <w:sz w:val="28"/>
          <w:szCs w:val="28"/>
        </w:rPr>
        <w:t xml:space="preserve"> (Latvijas Vēstnesis, 2016, </w:t>
      </w:r>
      <w:r w:rsidR="00DB4D5D" w:rsidRPr="00132754">
        <w:rPr>
          <w:rFonts w:ascii="Times New Roman" w:hAnsi="Times New Roman" w:cs="Times New Roman"/>
          <w:sz w:val="28"/>
          <w:szCs w:val="28"/>
        </w:rPr>
        <w:t>251</w:t>
      </w:r>
      <w:r w:rsidR="00B90537" w:rsidRPr="00132754">
        <w:rPr>
          <w:rFonts w:ascii="Times New Roman" w:hAnsi="Times New Roman" w:cs="Times New Roman"/>
          <w:sz w:val="28"/>
          <w:szCs w:val="28"/>
        </w:rPr>
        <w:t>.</w:t>
      </w:r>
      <w:r w:rsidR="00CC2517">
        <w:rPr>
          <w:rFonts w:ascii="Times New Roman" w:hAnsi="Times New Roman" w:cs="Times New Roman"/>
          <w:sz w:val="28"/>
          <w:szCs w:val="28"/>
        </w:rPr>
        <w:t> </w:t>
      </w:r>
      <w:r w:rsidR="00B90537" w:rsidRPr="00132754">
        <w:rPr>
          <w:rFonts w:ascii="Times New Roman" w:hAnsi="Times New Roman" w:cs="Times New Roman"/>
          <w:sz w:val="28"/>
          <w:szCs w:val="28"/>
        </w:rPr>
        <w:t>nr</w:t>
      </w:r>
      <w:r w:rsidR="00DB4D5D" w:rsidRPr="00132754">
        <w:rPr>
          <w:rFonts w:ascii="Times New Roman" w:hAnsi="Times New Roman" w:cs="Times New Roman"/>
          <w:sz w:val="28"/>
          <w:szCs w:val="28"/>
        </w:rPr>
        <w:t>.</w:t>
      </w:r>
      <w:r w:rsidR="005E5A8E" w:rsidRPr="00132754">
        <w:rPr>
          <w:rFonts w:ascii="Times New Roman" w:hAnsi="Times New Roman" w:cs="Times New Roman"/>
          <w:sz w:val="28"/>
          <w:szCs w:val="28"/>
        </w:rPr>
        <w:t xml:space="preserve">; </w:t>
      </w:r>
      <w:r w:rsidR="004470C4" w:rsidRPr="00132754">
        <w:rPr>
          <w:rFonts w:ascii="Times New Roman" w:hAnsi="Times New Roman" w:cs="Times New Roman"/>
          <w:sz w:val="28"/>
          <w:szCs w:val="28"/>
        </w:rPr>
        <w:t>201</w:t>
      </w:r>
      <w:r w:rsidR="00DB4D5D" w:rsidRPr="00132754">
        <w:rPr>
          <w:rFonts w:ascii="Times New Roman" w:hAnsi="Times New Roman" w:cs="Times New Roman"/>
          <w:sz w:val="28"/>
          <w:szCs w:val="28"/>
        </w:rPr>
        <w:t>7</w:t>
      </w:r>
      <w:r w:rsidR="004470C4" w:rsidRPr="00132754">
        <w:rPr>
          <w:rFonts w:ascii="Times New Roman" w:hAnsi="Times New Roman" w:cs="Times New Roman"/>
          <w:sz w:val="28"/>
          <w:szCs w:val="28"/>
        </w:rPr>
        <w:t xml:space="preserve">, </w:t>
      </w:r>
      <w:r w:rsidR="00DB4D5D" w:rsidRPr="00132754">
        <w:rPr>
          <w:rFonts w:ascii="Times New Roman" w:hAnsi="Times New Roman" w:cs="Times New Roman"/>
          <w:sz w:val="28"/>
          <w:szCs w:val="28"/>
        </w:rPr>
        <w:t>198</w:t>
      </w:r>
      <w:r w:rsidR="004470C4" w:rsidRPr="00132754">
        <w:rPr>
          <w:rFonts w:ascii="Times New Roman" w:hAnsi="Times New Roman" w:cs="Times New Roman"/>
          <w:sz w:val="28"/>
          <w:szCs w:val="28"/>
        </w:rPr>
        <w:t>.</w:t>
      </w:r>
      <w:r w:rsidR="00CC2517">
        <w:rPr>
          <w:rFonts w:ascii="Times New Roman" w:hAnsi="Times New Roman" w:cs="Times New Roman"/>
          <w:sz w:val="28"/>
          <w:szCs w:val="28"/>
        </w:rPr>
        <w:t> </w:t>
      </w:r>
      <w:r w:rsidR="004470C4" w:rsidRPr="00132754">
        <w:rPr>
          <w:rFonts w:ascii="Times New Roman" w:hAnsi="Times New Roman" w:cs="Times New Roman"/>
          <w:sz w:val="28"/>
          <w:szCs w:val="28"/>
        </w:rPr>
        <w:t>nr.; 201</w:t>
      </w:r>
      <w:r w:rsidR="00DB4D5D" w:rsidRPr="00132754">
        <w:rPr>
          <w:rFonts w:ascii="Times New Roman" w:hAnsi="Times New Roman" w:cs="Times New Roman"/>
          <w:sz w:val="28"/>
          <w:szCs w:val="28"/>
        </w:rPr>
        <w:t>9</w:t>
      </w:r>
      <w:r w:rsidR="004470C4" w:rsidRPr="00132754">
        <w:rPr>
          <w:rFonts w:ascii="Times New Roman" w:hAnsi="Times New Roman" w:cs="Times New Roman"/>
          <w:sz w:val="28"/>
          <w:szCs w:val="28"/>
        </w:rPr>
        <w:t xml:space="preserve">, </w:t>
      </w:r>
      <w:r w:rsidR="00DB4D5D" w:rsidRPr="00132754">
        <w:rPr>
          <w:rFonts w:ascii="Times New Roman" w:hAnsi="Times New Roman" w:cs="Times New Roman"/>
          <w:sz w:val="28"/>
          <w:szCs w:val="28"/>
        </w:rPr>
        <w:t>146</w:t>
      </w:r>
      <w:r w:rsidR="004470C4" w:rsidRPr="00132754">
        <w:rPr>
          <w:rFonts w:ascii="Times New Roman" w:hAnsi="Times New Roman" w:cs="Times New Roman"/>
          <w:sz w:val="28"/>
          <w:szCs w:val="28"/>
        </w:rPr>
        <w:t>.</w:t>
      </w:r>
      <w:r w:rsidR="00CC2517">
        <w:rPr>
          <w:rFonts w:ascii="Times New Roman" w:hAnsi="Times New Roman" w:cs="Times New Roman"/>
          <w:sz w:val="28"/>
          <w:szCs w:val="28"/>
        </w:rPr>
        <w:t> </w:t>
      </w:r>
      <w:r w:rsidR="004470C4" w:rsidRPr="00132754">
        <w:rPr>
          <w:rFonts w:ascii="Times New Roman" w:hAnsi="Times New Roman" w:cs="Times New Roman"/>
          <w:sz w:val="28"/>
          <w:szCs w:val="28"/>
        </w:rPr>
        <w:t>nr.</w:t>
      </w:r>
      <w:r w:rsidR="008A23A2">
        <w:rPr>
          <w:rFonts w:ascii="Times New Roman" w:hAnsi="Times New Roman" w:cs="Times New Roman"/>
          <w:sz w:val="28"/>
          <w:szCs w:val="28"/>
        </w:rPr>
        <w:t>, 2020, 206.nr.</w:t>
      </w:r>
      <w:r w:rsidR="00C75398">
        <w:rPr>
          <w:rFonts w:ascii="Times New Roman" w:hAnsi="Times New Roman" w:cs="Times New Roman"/>
          <w:sz w:val="28"/>
          <w:szCs w:val="28"/>
        </w:rPr>
        <w:t>, 2020, 74A.nr.</w:t>
      </w:r>
      <w:r w:rsidRPr="00132754">
        <w:rPr>
          <w:rFonts w:ascii="Times New Roman" w:hAnsi="Times New Roman" w:cs="Times New Roman"/>
          <w:sz w:val="28"/>
          <w:szCs w:val="28"/>
        </w:rPr>
        <w:t>) šādu</w:t>
      </w:r>
      <w:r w:rsidR="002C20ED" w:rsidRPr="00132754">
        <w:rPr>
          <w:rFonts w:ascii="Times New Roman" w:hAnsi="Times New Roman" w:cs="Times New Roman"/>
          <w:sz w:val="28"/>
          <w:szCs w:val="28"/>
        </w:rPr>
        <w:t>s</w:t>
      </w:r>
      <w:r w:rsidRPr="00132754">
        <w:rPr>
          <w:rFonts w:ascii="Times New Roman" w:hAnsi="Times New Roman" w:cs="Times New Roman"/>
          <w:sz w:val="28"/>
          <w:szCs w:val="28"/>
        </w:rPr>
        <w:t xml:space="preserve"> grozījumu</w:t>
      </w:r>
      <w:r w:rsidR="002C20ED" w:rsidRPr="00132754">
        <w:rPr>
          <w:rFonts w:ascii="Times New Roman" w:hAnsi="Times New Roman" w:cs="Times New Roman"/>
          <w:sz w:val="28"/>
          <w:szCs w:val="28"/>
        </w:rPr>
        <w:t>s</w:t>
      </w:r>
      <w:r w:rsidRPr="00132754">
        <w:rPr>
          <w:rFonts w:ascii="Times New Roman" w:hAnsi="Times New Roman" w:cs="Times New Roman"/>
          <w:sz w:val="28"/>
          <w:szCs w:val="28"/>
        </w:rPr>
        <w:t>:</w:t>
      </w:r>
      <w:r w:rsidR="00DB4D5D" w:rsidRPr="0013275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394C36" w14:textId="77777777" w:rsidR="00A14BF7" w:rsidRPr="00132754" w:rsidRDefault="00A14BF7" w:rsidP="00A01AE4">
      <w:pPr>
        <w:pStyle w:val="ListParagraph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285683" w14:textId="6B1B95BB" w:rsidR="00DC68B7" w:rsidRDefault="00DC68B7" w:rsidP="00A01AE4">
      <w:pPr>
        <w:pStyle w:val="ListParagraph"/>
        <w:numPr>
          <w:ilvl w:val="0"/>
          <w:numId w:val="17"/>
        </w:numPr>
        <w:shd w:val="clear" w:color="auto" w:fill="FFFFFF"/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Izteikt noteikumu 3.punktu </w:t>
      </w:r>
      <w:r w:rsidR="00796447">
        <w:rPr>
          <w:rFonts w:ascii="Times New Roman" w:hAnsi="Times New Roman" w:cs="Times New Roman"/>
          <w:sz w:val="28"/>
          <w:szCs w:val="28"/>
        </w:rPr>
        <w:t xml:space="preserve">šādā </w:t>
      </w:r>
      <w:r>
        <w:rPr>
          <w:rFonts w:ascii="Times New Roman" w:hAnsi="Times New Roman" w:cs="Times New Roman"/>
          <w:sz w:val="28"/>
          <w:szCs w:val="28"/>
        </w:rPr>
        <w:t>redakcijā:</w:t>
      </w:r>
    </w:p>
    <w:p w14:paraId="2BFAB758" w14:textId="5CDE33D4" w:rsidR="00DC68B7" w:rsidRDefault="00DC68B7" w:rsidP="00A01AE4">
      <w:pPr>
        <w:shd w:val="clear" w:color="auto" w:fill="FFFFFF"/>
        <w:tabs>
          <w:tab w:val="left" w:pos="993"/>
        </w:tabs>
        <w:spacing w:after="12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68B7">
        <w:rPr>
          <w:rFonts w:ascii="Times New Roman" w:hAnsi="Times New Roman" w:cs="Times New Roman"/>
          <w:sz w:val="28"/>
          <w:szCs w:val="28"/>
        </w:rPr>
        <w:t>“</w:t>
      </w:r>
      <w:r w:rsidR="00A73550">
        <w:rPr>
          <w:rFonts w:ascii="Times New Roman" w:hAnsi="Times New Roman" w:cs="Times New Roman"/>
          <w:sz w:val="28"/>
          <w:szCs w:val="28"/>
        </w:rPr>
        <w:t xml:space="preserve">3. </w:t>
      </w:r>
      <w:r w:rsidRPr="00DC68B7">
        <w:rPr>
          <w:rFonts w:ascii="Times New Roman" w:hAnsi="Times New Roman" w:cs="Times New Roman"/>
          <w:sz w:val="28"/>
          <w:szCs w:val="28"/>
        </w:rPr>
        <w:t>Īstermiņa eksporta kredīta garantiju programmas īstenošanai</w:t>
      </w:r>
      <w:r w:rsidR="00106ADE">
        <w:rPr>
          <w:rFonts w:ascii="Times New Roman" w:hAnsi="Times New Roman" w:cs="Times New Roman"/>
          <w:sz w:val="28"/>
          <w:szCs w:val="28"/>
        </w:rPr>
        <w:t xml:space="preserve"> </w:t>
      </w:r>
      <w:r w:rsidRPr="00DC68B7">
        <w:rPr>
          <w:rFonts w:ascii="Times New Roman" w:hAnsi="Times New Roman" w:cs="Times New Roman"/>
          <w:sz w:val="28"/>
          <w:szCs w:val="28"/>
        </w:rPr>
        <w:t xml:space="preserve">izmanto Eiropas Reģionālās attīstības fonda 2007.–2013. gada plānošanas perioda 2.2.1.4.1. </w:t>
      </w:r>
      <w:proofErr w:type="spellStart"/>
      <w:r w:rsidRPr="00DC68B7">
        <w:rPr>
          <w:rFonts w:ascii="Times New Roman" w:hAnsi="Times New Roman" w:cs="Times New Roman"/>
          <w:sz w:val="28"/>
          <w:szCs w:val="28"/>
        </w:rPr>
        <w:t>apakšaktivitātes</w:t>
      </w:r>
      <w:proofErr w:type="spellEnd"/>
      <w:r w:rsidRPr="00DC68B7">
        <w:rPr>
          <w:rFonts w:ascii="Times New Roman" w:hAnsi="Times New Roman" w:cs="Times New Roman"/>
          <w:sz w:val="28"/>
          <w:szCs w:val="28"/>
        </w:rPr>
        <w:t xml:space="preserve"> "Atbalsts aizdevumu veidā komersantu konkurētspējas uzlabošanai" ietvaros atmaksāto publisko finansējumu </w:t>
      </w:r>
      <w:r w:rsidR="00A73550" w:rsidRPr="00A73550">
        <w:rPr>
          <w:rFonts w:ascii="Times New Roman" w:hAnsi="Times New Roman" w:cs="Times New Roman"/>
          <w:sz w:val="28"/>
          <w:szCs w:val="28"/>
        </w:rPr>
        <w:t>3 030 000</w:t>
      </w:r>
      <w:r w:rsidRPr="00DC68B7">
        <w:rPr>
          <w:rFonts w:ascii="Times New Roman" w:hAnsi="Times New Roman" w:cs="Times New Roman"/>
          <w:sz w:val="28"/>
          <w:szCs w:val="28"/>
        </w:rPr>
        <w:t xml:space="preserve"> euro apmērā un 2004.–2006. gada Eiropas Savienības fondu plānošanas perioda 2.4.1. nacionālās programmas "Aizdevumi (t. sk. </w:t>
      </w:r>
      <w:proofErr w:type="spellStart"/>
      <w:r w:rsidRPr="00DC68B7">
        <w:rPr>
          <w:rFonts w:ascii="Times New Roman" w:hAnsi="Times New Roman" w:cs="Times New Roman"/>
          <w:sz w:val="28"/>
          <w:szCs w:val="28"/>
        </w:rPr>
        <w:t>mikrokredīti</w:t>
      </w:r>
      <w:proofErr w:type="spellEnd"/>
      <w:r w:rsidRPr="00DC68B7">
        <w:rPr>
          <w:rFonts w:ascii="Times New Roman" w:hAnsi="Times New Roman" w:cs="Times New Roman"/>
          <w:sz w:val="28"/>
          <w:szCs w:val="28"/>
        </w:rPr>
        <w:t>) komercdarbības uzsākšanai" ietvaros atmaksāto publisko finansējumu 470 000 euro apmērā</w:t>
      </w:r>
      <w:r w:rsidR="00106ADE">
        <w:rPr>
          <w:rFonts w:ascii="Times New Roman" w:hAnsi="Times New Roman" w:cs="Times New Roman"/>
          <w:sz w:val="28"/>
          <w:szCs w:val="28"/>
        </w:rPr>
        <w:t>. Programmas ieņēmumus</w:t>
      </w:r>
      <w:r w:rsidR="00106ADE" w:rsidRPr="00DC68B7">
        <w:rPr>
          <w:rFonts w:ascii="Times New Roman" w:hAnsi="Times New Roman" w:cs="Times New Roman"/>
          <w:sz w:val="28"/>
          <w:szCs w:val="28"/>
        </w:rPr>
        <w:t xml:space="preserve"> var novirzīt īstermiņa eksporta kredīta garantiju programmas īstenošanai</w:t>
      </w:r>
      <w:r w:rsidRPr="00DC68B7">
        <w:rPr>
          <w:rFonts w:ascii="Times New Roman" w:hAnsi="Times New Roman" w:cs="Times New Roman"/>
          <w:sz w:val="28"/>
          <w:szCs w:val="28"/>
        </w:rPr>
        <w:t>.”</w:t>
      </w:r>
    </w:p>
    <w:p w14:paraId="1D1B42C3" w14:textId="62C47AA5" w:rsidR="00457D8D" w:rsidRDefault="00187EED" w:rsidP="00A01AE4">
      <w:pPr>
        <w:pStyle w:val="ListParagraph"/>
        <w:numPr>
          <w:ilvl w:val="0"/>
          <w:numId w:val="17"/>
        </w:numPr>
        <w:shd w:val="clear" w:color="auto" w:fill="FFFFFF"/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Svītrot noteikumu 16.2. apakšpunktā</w:t>
      </w:r>
      <w:r w:rsidR="0090557C">
        <w:rPr>
          <w:rFonts w:ascii="Times New Roman" w:hAnsi="Times New Roman" w:cs="Times New Roman"/>
          <w:sz w:val="28"/>
          <w:szCs w:val="28"/>
        </w:rPr>
        <w:t xml:space="preserve">, 21.2. un </w:t>
      </w:r>
      <w:r>
        <w:rPr>
          <w:rFonts w:ascii="Times New Roman" w:hAnsi="Times New Roman" w:cs="Times New Roman"/>
          <w:sz w:val="28"/>
          <w:szCs w:val="28"/>
        </w:rPr>
        <w:t>21.3.apakšpunktā vārdus “</w:t>
      </w:r>
      <w:r w:rsidRPr="00187EED">
        <w:rPr>
          <w:rFonts w:ascii="Times New Roman" w:hAnsi="Times New Roman" w:cs="Times New Roman"/>
          <w:sz w:val="28"/>
          <w:szCs w:val="28"/>
        </w:rPr>
        <w:t>tai skaitā valsts sociālās apdrošināšanas obligāto iemaksu parāds</w:t>
      </w:r>
      <w:r>
        <w:rPr>
          <w:rFonts w:ascii="Times New Roman" w:hAnsi="Times New Roman" w:cs="Times New Roman"/>
          <w:sz w:val="28"/>
          <w:szCs w:val="28"/>
        </w:rPr>
        <w:t>”.</w:t>
      </w:r>
    </w:p>
    <w:p w14:paraId="4D8033BF" w14:textId="28299AF1" w:rsidR="00CF105B" w:rsidRDefault="00CF105B" w:rsidP="00A01AE4">
      <w:pPr>
        <w:pStyle w:val="ListParagraph"/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1FD974" w14:textId="12B796F1" w:rsidR="008A23A2" w:rsidRDefault="0009634B" w:rsidP="00A01AE4">
      <w:pPr>
        <w:pStyle w:val="ListParagraph"/>
        <w:numPr>
          <w:ilvl w:val="0"/>
          <w:numId w:val="17"/>
        </w:numPr>
        <w:shd w:val="clear" w:color="auto" w:fill="FFFFFF"/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Izteikt</w:t>
      </w:r>
      <w:r w:rsidR="008A23A2">
        <w:rPr>
          <w:rFonts w:ascii="Times New Roman" w:hAnsi="Times New Roman" w:cs="Times New Roman"/>
          <w:sz w:val="28"/>
          <w:szCs w:val="28"/>
        </w:rPr>
        <w:t xml:space="preserve"> 21.</w:t>
      </w:r>
      <w:r w:rsidR="004033BA">
        <w:rPr>
          <w:rFonts w:ascii="Times New Roman" w:hAnsi="Times New Roman" w:cs="Times New Roman"/>
          <w:sz w:val="28"/>
          <w:szCs w:val="28"/>
        </w:rPr>
        <w:t> </w:t>
      </w:r>
      <w:r w:rsidR="008A23A2">
        <w:rPr>
          <w:rFonts w:ascii="Times New Roman" w:hAnsi="Times New Roman" w:cs="Times New Roman"/>
          <w:sz w:val="28"/>
          <w:szCs w:val="28"/>
        </w:rPr>
        <w:t>punkt</w:t>
      </w:r>
      <w:r>
        <w:rPr>
          <w:rFonts w:ascii="Times New Roman" w:hAnsi="Times New Roman" w:cs="Times New Roman"/>
          <w:sz w:val="28"/>
          <w:szCs w:val="28"/>
        </w:rPr>
        <w:t>a ievaddaļu šādā redakcijā:</w:t>
      </w:r>
    </w:p>
    <w:p w14:paraId="73B73F6E" w14:textId="0F8B602A" w:rsidR="0009634B" w:rsidRDefault="0009634B" w:rsidP="0009634B">
      <w:pPr>
        <w:shd w:val="clear" w:color="auto" w:fill="FFFFFF"/>
        <w:tabs>
          <w:tab w:val="left" w:pos="993"/>
        </w:tabs>
        <w:spacing w:after="12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“21. Sakarā ar Covid-19 izplatību valstī l</w:t>
      </w:r>
      <w:r w:rsidRPr="0009634B">
        <w:rPr>
          <w:rFonts w:ascii="Times New Roman" w:hAnsi="Times New Roman" w:cs="Times New Roman"/>
          <w:sz w:val="28"/>
          <w:szCs w:val="28"/>
        </w:rPr>
        <w:t xml:space="preserve">īdz </w:t>
      </w:r>
      <w:r>
        <w:rPr>
          <w:rFonts w:ascii="Times New Roman" w:hAnsi="Times New Roman" w:cs="Times New Roman"/>
          <w:sz w:val="28"/>
          <w:szCs w:val="28"/>
        </w:rPr>
        <w:t>Eiropas Komisijas 2020. gada 19. marta paziņojuma "Pagaidu regulējums valsts atbalsta pasākumiem, ar ko atbalsta ekonomiku pašreizējā Covid-19 uzliesmojuma situācijā" (C(2020)1863) 33.punktā  noteiktajam atbalsta sniegšanas termiņam</w:t>
      </w:r>
      <w:r w:rsidRPr="0009634B">
        <w:rPr>
          <w:rFonts w:ascii="Times New Roman" w:hAnsi="Times New Roman" w:cs="Times New Roman"/>
          <w:sz w:val="28"/>
          <w:szCs w:val="28"/>
        </w:rPr>
        <w:t xml:space="preserve"> šo noteikumu </w:t>
      </w:r>
      <w:hyperlink r:id="rId9" w:anchor="p2" w:history="1">
        <w:r w:rsidRPr="0009634B">
          <w:rPr>
            <w:rFonts w:ascii="Times New Roman" w:hAnsi="Times New Roman" w:cs="Times New Roman"/>
            <w:sz w:val="28"/>
            <w:szCs w:val="28"/>
          </w:rPr>
          <w:t>2. punktā</w:t>
        </w:r>
      </w:hyperlink>
      <w:r w:rsidRPr="0009634B">
        <w:rPr>
          <w:rFonts w:ascii="Times New Roman" w:hAnsi="Times New Roman" w:cs="Times New Roman"/>
          <w:sz w:val="28"/>
          <w:szCs w:val="28"/>
        </w:rPr>
        <w:t> minētās garantijas:</w:t>
      </w:r>
      <w:r>
        <w:rPr>
          <w:rFonts w:ascii="Times New Roman" w:hAnsi="Times New Roman" w:cs="Times New Roman"/>
          <w:sz w:val="28"/>
          <w:szCs w:val="28"/>
        </w:rPr>
        <w:t>”</w:t>
      </w:r>
    </w:p>
    <w:p w14:paraId="0BA2695C" w14:textId="77777777" w:rsidR="00132754" w:rsidRPr="00132754" w:rsidRDefault="00132754" w:rsidP="00A01AE4">
      <w:pPr>
        <w:tabs>
          <w:tab w:val="left" w:pos="6521"/>
        </w:tabs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14:paraId="70B0B71A" w14:textId="77777777" w:rsidR="00132754" w:rsidRPr="00132754" w:rsidRDefault="00132754" w:rsidP="00A01AE4">
      <w:pPr>
        <w:tabs>
          <w:tab w:val="left" w:pos="6521"/>
        </w:tabs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14:paraId="0BFA587B" w14:textId="77777777" w:rsidR="00D54F2A" w:rsidRDefault="00D54F2A" w:rsidP="00D54F2A">
      <w:pPr>
        <w:tabs>
          <w:tab w:val="left" w:pos="6804"/>
        </w:tabs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Ministru prezidents</w:t>
      </w:r>
      <w:r>
        <w:rPr>
          <w:rFonts w:ascii="Times New Roman" w:hAnsi="Times New Roman"/>
          <w:sz w:val="28"/>
          <w:szCs w:val="28"/>
        </w:rPr>
        <w:tab/>
        <w:t>A. K. Kariņš</w:t>
      </w:r>
    </w:p>
    <w:p w14:paraId="1E211AFC" w14:textId="77777777" w:rsidR="00D54F2A" w:rsidRDefault="00D54F2A" w:rsidP="00D54F2A">
      <w:pPr>
        <w:tabs>
          <w:tab w:val="left" w:pos="5810"/>
          <w:tab w:val="left" w:pos="8210"/>
        </w:tabs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14:paraId="77150724" w14:textId="77777777" w:rsidR="00D54F2A" w:rsidRDefault="00D54F2A" w:rsidP="00D54F2A">
      <w:pPr>
        <w:tabs>
          <w:tab w:val="left" w:pos="6804"/>
        </w:tabs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Ekonomikas ministrs</w:t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J.Vitenbergs</w:t>
      </w:r>
      <w:proofErr w:type="spellEnd"/>
    </w:p>
    <w:p w14:paraId="7CBFE8DC" w14:textId="77777777" w:rsidR="00D54F2A" w:rsidRDefault="00D54F2A" w:rsidP="00D54F2A">
      <w:pPr>
        <w:tabs>
          <w:tab w:val="left" w:pos="6804"/>
        </w:tabs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</w:p>
    <w:p w14:paraId="695538A1" w14:textId="77777777" w:rsidR="00D54F2A" w:rsidRDefault="00D54F2A" w:rsidP="00D54F2A">
      <w:pPr>
        <w:tabs>
          <w:tab w:val="left" w:pos="6804"/>
        </w:tabs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</w:p>
    <w:p w14:paraId="056A6A4F" w14:textId="77777777" w:rsidR="00D54F2A" w:rsidRDefault="00D54F2A" w:rsidP="00D54F2A">
      <w:pPr>
        <w:tabs>
          <w:tab w:val="left" w:pos="6804"/>
        </w:tabs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Iesniedzējs:</w:t>
      </w:r>
    </w:p>
    <w:p w14:paraId="5E7D08CD" w14:textId="77777777" w:rsidR="00D54F2A" w:rsidRDefault="00D54F2A" w:rsidP="00D54F2A">
      <w:pPr>
        <w:tabs>
          <w:tab w:val="left" w:pos="6804"/>
        </w:tabs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Ekonomikas ministrs</w:t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J.Vitenbergs</w:t>
      </w:r>
      <w:proofErr w:type="spellEnd"/>
    </w:p>
    <w:p w14:paraId="7DC791D6" w14:textId="77777777" w:rsidR="00D54F2A" w:rsidRDefault="00D54F2A" w:rsidP="00D54F2A">
      <w:pPr>
        <w:tabs>
          <w:tab w:val="left" w:pos="6804"/>
        </w:tabs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</w:p>
    <w:p w14:paraId="6C32B820" w14:textId="77777777" w:rsidR="00D54F2A" w:rsidRDefault="00D54F2A" w:rsidP="00D54F2A">
      <w:pPr>
        <w:tabs>
          <w:tab w:val="left" w:pos="6804"/>
        </w:tabs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Vīza:</w:t>
      </w:r>
    </w:p>
    <w:p w14:paraId="70CE875A" w14:textId="77777777" w:rsidR="00D54F2A" w:rsidRDefault="00D54F2A" w:rsidP="00D54F2A">
      <w:pPr>
        <w:tabs>
          <w:tab w:val="left" w:pos="6804"/>
        </w:tabs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Valsts sekretārs</w:t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E.Valantis</w:t>
      </w:r>
      <w:proofErr w:type="spellEnd"/>
    </w:p>
    <w:p w14:paraId="50AA9806" w14:textId="3B88D905" w:rsidR="004033BA" w:rsidRPr="00132754" w:rsidRDefault="004033BA" w:rsidP="00D54F2A">
      <w:pPr>
        <w:tabs>
          <w:tab w:val="left" w:pos="6521"/>
        </w:tabs>
        <w:spacing w:after="0" w:line="240" w:lineRule="auto"/>
        <w:ind w:firstLine="709"/>
        <w:contextualSpacing/>
        <w:rPr>
          <w:sz w:val="28"/>
          <w:szCs w:val="28"/>
        </w:rPr>
      </w:pPr>
    </w:p>
    <w:sectPr w:rsidR="004033BA" w:rsidRPr="00132754" w:rsidSect="0013275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F368C1" w16cex:dateUtc="2021-03-10T13:48:00Z"/>
  <w16cex:commentExtensible w16cex:durableId="23F369D3" w16cex:dateUtc="2021-03-10T13:5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0E7715" w14:textId="77777777" w:rsidR="00A72C8F" w:rsidRDefault="00A72C8F" w:rsidP="0070665D">
      <w:pPr>
        <w:spacing w:after="0" w:line="240" w:lineRule="auto"/>
      </w:pPr>
      <w:r>
        <w:separator/>
      </w:r>
    </w:p>
  </w:endnote>
  <w:endnote w:type="continuationSeparator" w:id="0">
    <w:p w14:paraId="7CD36A2F" w14:textId="77777777" w:rsidR="00A72C8F" w:rsidRDefault="00A72C8F" w:rsidP="00706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2C1262" w14:textId="77777777" w:rsidR="00A774DE" w:rsidRDefault="00A774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3BFC00" w14:textId="359EDA6C" w:rsidR="00132754" w:rsidRPr="00D54F2A" w:rsidRDefault="00D54F2A" w:rsidP="00D54F2A">
    <w:pPr>
      <w:pStyle w:val="Footer"/>
      <w:jc w:val="both"/>
      <w:rPr>
        <w:rFonts w:ascii="Times New Roman" w:hAnsi="Times New Roman" w:cs="Times New Roman"/>
        <w:sz w:val="20"/>
        <w:szCs w:val="20"/>
      </w:rPr>
    </w:pPr>
    <w:r w:rsidRPr="00A9450A">
      <w:rPr>
        <w:rFonts w:ascii="Times New Roman" w:hAnsi="Times New Roman" w:cs="Times New Roman"/>
        <w:sz w:val="20"/>
        <w:szCs w:val="20"/>
      </w:rPr>
      <w:fldChar w:fldCharType="begin"/>
    </w:r>
    <w:r w:rsidRPr="00A9450A">
      <w:rPr>
        <w:rFonts w:ascii="Times New Roman" w:hAnsi="Times New Roman" w:cs="Times New Roman"/>
        <w:sz w:val="20"/>
        <w:szCs w:val="20"/>
      </w:rPr>
      <w:instrText xml:space="preserve"> FILENAME   \* MERGEFORMAT </w:instrText>
    </w:r>
    <w:r w:rsidRPr="00A9450A"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noProof/>
        <w:sz w:val="20"/>
        <w:szCs w:val="20"/>
      </w:rPr>
      <w:t>EMNot_Groz866_16032021.docx</w:t>
    </w:r>
    <w:r w:rsidRPr="00A9450A">
      <w:rPr>
        <w:rFonts w:ascii="Times New Roman" w:hAnsi="Times New Roman" w:cs="Times New Roman"/>
        <w:noProof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730917" w14:textId="77777777" w:rsidR="00A774DE" w:rsidRDefault="00A774DE">
    <w:pPr>
      <w:pStyle w:val="Footer"/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3EFDF2" w14:textId="77777777" w:rsidR="00A72C8F" w:rsidRDefault="00A72C8F" w:rsidP="0070665D">
      <w:pPr>
        <w:spacing w:after="0" w:line="240" w:lineRule="auto"/>
      </w:pPr>
      <w:r>
        <w:separator/>
      </w:r>
    </w:p>
  </w:footnote>
  <w:footnote w:type="continuationSeparator" w:id="0">
    <w:p w14:paraId="7A5447EB" w14:textId="77777777" w:rsidR="00A72C8F" w:rsidRDefault="00A72C8F" w:rsidP="00706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9807DF" w14:textId="77777777" w:rsidR="00A774DE" w:rsidRDefault="00A774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756382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1AD2DD56" w14:textId="620869A4" w:rsidR="00132754" w:rsidRPr="00132754" w:rsidRDefault="00132754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3275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3275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3275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13275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32754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F15BC3" w14:textId="10B4B8F2" w:rsidR="00132754" w:rsidRPr="009D3579" w:rsidRDefault="00FB2EAE" w:rsidP="009D3579">
    <w:pPr>
      <w:pStyle w:val="Header"/>
      <w:jc w:val="right"/>
      <w:rPr>
        <w:rFonts w:ascii="Times New Roman" w:hAnsi="Times New Roman" w:cs="Times New Roman"/>
        <w:i/>
        <w:iCs/>
        <w:sz w:val="24"/>
        <w:szCs w:val="24"/>
      </w:rPr>
    </w:pPr>
    <w:r w:rsidRPr="009D3579">
      <w:rPr>
        <w:rFonts w:ascii="Times New Roman" w:hAnsi="Times New Roman" w:cs="Times New Roman"/>
        <w:i/>
        <w:iCs/>
        <w:sz w:val="24"/>
        <w:szCs w:val="24"/>
      </w:rPr>
      <w:t>Projekts</w:t>
    </w:r>
  </w:p>
  <w:p w14:paraId="11D0FF48" w14:textId="54569099" w:rsidR="00132754" w:rsidRDefault="001327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62294"/>
    <w:multiLevelType w:val="hybridMultilevel"/>
    <w:tmpl w:val="946ECF5A"/>
    <w:lvl w:ilvl="0" w:tplc="042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42065"/>
    <w:multiLevelType w:val="hybridMultilevel"/>
    <w:tmpl w:val="D896810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03312"/>
    <w:multiLevelType w:val="hybridMultilevel"/>
    <w:tmpl w:val="C96CB0F8"/>
    <w:lvl w:ilvl="0" w:tplc="09C0629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794" w:hanging="360"/>
      </w:pPr>
    </w:lvl>
    <w:lvl w:ilvl="2" w:tplc="0426001B" w:tentative="1">
      <w:start w:val="1"/>
      <w:numFmt w:val="lowerRoman"/>
      <w:lvlText w:val="%3."/>
      <w:lvlJc w:val="right"/>
      <w:pPr>
        <w:ind w:left="2514" w:hanging="180"/>
      </w:pPr>
    </w:lvl>
    <w:lvl w:ilvl="3" w:tplc="0426000F" w:tentative="1">
      <w:start w:val="1"/>
      <w:numFmt w:val="decimal"/>
      <w:lvlText w:val="%4."/>
      <w:lvlJc w:val="left"/>
      <w:pPr>
        <w:ind w:left="3234" w:hanging="360"/>
      </w:pPr>
    </w:lvl>
    <w:lvl w:ilvl="4" w:tplc="04260019" w:tentative="1">
      <w:start w:val="1"/>
      <w:numFmt w:val="lowerLetter"/>
      <w:lvlText w:val="%5."/>
      <w:lvlJc w:val="left"/>
      <w:pPr>
        <w:ind w:left="3954" w:hanging="360"/>
      </w:pPr>
    </w:lvl>
    <w:lvl w:ilvl="5" w:tplc="0426001B" w:tentative="1">
      <w:start w:val="1"/>
      <w:numFmt w:val="lowerRoman"/>
      <w:lvlText w:val="%6."/>
      <w:lvlJc w:val="right"/>
      <w:pPr>
        <w:ind w:left="4674" w:hanging="180"/>
      </w:pPr>
    </w:lvl>
    <w:lvl w:ilvl="6" w:tplc="0426000F" w:tentative="1">
      <w:start w:val="1"/>
      <w:numFmt w:val="decimal"/>
      <w:lvlText w:val="%7."/>
      <w:lvlJc w:val="left"/>
      <w:pPr>
        <w:ind w:left="5394" w:hanging="360"/>
      </w:pPr>
    </w:lvl>
    <w:lvl w:ilvl="7" w:tplc="04260019" w:tentative="1">
      <w:start w:val="1"/>
      <w:numFmt w:val="lowerLetter"/>
      <w:lvlText w:val="%8."/>
      <w:lvlJc w:val="left"/>
      <w:pPr>
        <w:ind w:left="6114" w:hanging="360"/>
      </w:pPr>
    </w:lvl>
    <w:lvl w:ilvl="8" w:tplc="0426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" w15:restartNumberingAfterBreak="0">
    <w:nsid w:val="0D2D33EE"/>
    <w:multiLevelType w:val="hybridMultilevel"/>
    <w:tmpl w:val="F72854F2"/>
    <w:lvl w:ilvl="0" w:tplc="042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1E47F1"/>
    <w:multiLevelType w:val="hybridMultilevel"/>
    <w:tmpl w:val="946ECF5A"/>
    <w:lvl w:ilvl="0" w:tplc="042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7164F2"/>
    <w:multiLevelType w:val="hybridMultilevel"/>
    <w:tmpl w:val="946ECF5A"/>
    <w:lvl w:ilvl="0" w:tplc="042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4D5118"/>
    <w:multiLevelType w:val="multilevel"/>
    <w:tmpl w:val="74FE8F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8FB161E"/>
    <w:multiLevelType w:val="hybridMultilevel"/>
    <w:tmpl w:val="C96CB0F8"/>
    <w:lvl w:ilvl="0" w:tplc="09C0629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94" w:hanging="360"/>
      </w:pPr>
    </w:lvl>
    <w:lvl w:ilvl="2" w:tplc="0426001B" w:tentative="1">
      <w:start w:val="1"/>
      <w:numFmt w:val="lowerRoman"/>
      <w:lvlText w:val="%3."/>
      <w:lvlJc w:val="right"/>
      <w:pPr>
        <w:ind w:left="2514" w:hanging="180"/>
      </w:pPr>
    </w:lvl>
    <w:lvl w:ilvl="3" w:tplc="0426000F" w:tentative="1">
      <w:start w:val="1"/>
      <w:numFmt w:val="decimal"/>
      <w:lvlText w:val="%4."/>
      <w:lvlJc w:val="left"/>
      <w:pPr>
        <w:ind w:left="3234" w:hanging="360"/>
      </w:pPr>
    </w:lvl>
    <w:lvl w:ilvl="4" w:tplc="04260019" w:tentative="1">
      <w:start w:val="1"/>
      <w:numFmt w:val="lowerLetter"/>
      <w:lvlText w:val="%5."/>
      <w:lvlJc w:val="left"/>
      <w:pPr>
        <w:ind w:left="3954" w:hanging="360"/>
      </w:pPr>
    </w:lvl>
    <w:lvl w:ilvl="5" w:tplc="0426001B" w:tentative="1">
      <w:start w:val="1"/>
      <w:numFmt w:val="lowerRoman"/>
      <w:lvlText w:val="%6."/>
      <w:lvlJc w:val="right"/>
      <w:pPr>
        <w:ind w:left="4674" w:hanging="180"/>
      </w:pPr>
    </w:lvl>
    <w:lvl w:ilvl="6" w:tplc="0426000F" w:tentative="1">
      <w:start w:val="1"/>
      <w:numFmt w:val="decimal"/>
      <w:lvlText w:val="%7."/>
      <w:lvlJc w:val="left"/>
      <w:pPr>
        <w:ind w:left="5394" w:hanging="360"/>
      </w:pPr>
    </w:lvl>
    <w:lvl w:ilvl="7" w:tplc="04260019" w:tentative="1">
      <w:start w:val="1"/>
      <w:numFmt w:val="lowerLetter"/>
      <w:lvlText w:val="%8."/>
      <w:lvlJc w:val="left"/>
      <w:pPr>
        <w:ind w:left="6114" w:hanging="360"/>
      </w:pPr>
    </w:lvl>
    <w:lvl w:ilvl="8" w:tplc="0426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8" w15:restartNumberingAfterBreak="0">
    <w:nsid w:val="49B4426A"/>
    <w:multiLevelType w:val="hybridMultilevel"/>
    <w:tmpl w:val="946ECF5A"/>
    <w:lvl w:ilvl="0" w:tplc="042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D3366A"/>
    <w:multiLevelType w:val="hybridMultilevel"/>
    <w:tmpl w:val="946ECF5A"/>
    <w:lvl w:ilvl="0" w:tplc="042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A25A0C"/>
    <w:multiLevelType w:val="hybridMultilevel"/>
    <w:tmpl w:val="B7164DA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8F1BEC"/>
    <w:multiLevelType w:val="hybridMultilevel"/>
    <w:tmpl w:val="946ECF5A"/>
    <w:lvl w:ilvl="0" w:tplc="042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23163C"/>
    <w:multiLevelType w:val="hybridMultilevel"/>
    <w:tmpl w:val="6CAC7A9C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11051E3"/>
    <w:multiLevelType w:val="hybridMultilevel"/>
    <w:tmpl w:val="A2EA5C52"/>
    <w:lvl w:ilvl="0" w:tplc="4120C5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24433"/>
    <w:multiLevelType w:val="hybridMultilevel"/>
    <w:tmpl w:val="946ECF5A"/>
    <w:lvl w:ilvl="0" w:tplc="042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4867DF"/>
    <w:multiLevelType w:val="hybridMultilevel"/>
    <w:tmpl w:val="2360659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624464"/>
    <w:multiLevelType w:val="hybridMultilevel"/>
    <w:tmpl w:val="FA8EAB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5B56F7"/>
    <w:multiLevelType w:val="hybridMultilevel"/>
    <w:tmpl w:val="946ECF5A"/>
    <w:lvl w:ilvl="0" w:tplc="042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11"/>
  </w:num>
  <w:num w:numId="4">
    <w:abstractNumId w:val="16"/>
  </w:num>
  <w:num w:numId="5">
    <w:abstractNumId w:val="10"/>
  </w:num>
  <w:num w:numId="6">
    <w:abstractNumId w:val="13"/>
  </w:num>
  <w:num w:numId="7">
    <w:abstractNumId w:val="4"/>
  </w:num>
  <w:num w:numId="8">
    <w:abstractNumId w:val="1"/>
  </w:num>
  <w:num w:numId="9">
    <w:abstractNumId w:val="12"/>
  </w:num>
  <w:num w:numId="10">
    <w:abstractNumId w:val="9"/>
  </w:num>
  <w:num w:numId="11">
    <w:abstractNumId w:val="8"/>
  </w:num>
  <w:num w:numId="12">
    <w:abstractNumId w:val="0"/>
  </w:num>
  <w:num w:numId="13">
    <w:abstractNumId w:val="17"/>
  </w:num>
  <w:num w:numId="14">
    <w:abstractNumId w:val="5"/>
  </w:num>
  <w:num w:numId="15">
    <w:abstractNumId w:val="6"/>
  </w:num>
  <w:num w:numId="16">
    <w:abstractNumId w:val="15"/>
  </w:num>
  <w:num w:numId="17">
    <w:abstractNumId w:val="2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C91"/>
    <w:rsid w:val="000009BC"/>
    <w:rsid w:val="00020344"/>
    <w:rsid w:val="000209C2"/>
    <w:rsid w:val="00021EB0"/>
    <w:rsid w:val="000235C6"/>
    <w:rsid w:val="000400FB"/>
    <w:rsid w:val="00057406"/>
    <w:rsid w:val="0005767E"/>
    <w:rsid w:val="000604A7"/>
    <w:rsid w:val="000635C4"/>
    <w:rsid w:val="000718AC"/>
    <w:rsid w:val="00074225"/>
    <w:rsid w:val="0007428C"/>
    <w:rsid w:val="00080691"/>
    <w:rsid w:val="00090EE2"/>
    <w:rsid w:val="00095C5C"/>
    <w:rsid w:val="0009634B"/>
    <w:rsid w:val="000A5D72"/>
    <w:rsid w:val="000B6663"/>
    <w:rsid w:val="000C5922"/>
    <w:rsid w:val="000D0B34"/>
    <w:rsid w:val="000F3B9A"/>
    <w:rsid w:val="000F3BD1"/>
    <w:rsid w:val="00106ADE"/>
    <w:rsid w:val="00111541"/>
    <w:rsid w:val="001117BC"/>
    <w:rsid w:val="00115206"/>
    <w:rsid w:val="00117643"/>
    <w:rsid w:val="00127C50"/>
    <w:rsid w:val="00132754"/>
    <w:rsid w:val="001332CC"/>
    <w:rsid w:val="001343F1"/>
    <w:rsid w:val="00134F94"/>
    <w:rsid w:val="00143F46"/>
    <w:rsid w:val="00147AD4"/>
    <w:rsid w:val="00156AD6"/>
    <w:rsid w:val="00157AE5"/>
    <w:rsid w:val="00161135"/>
    <w:rsid w:val="00163EAB"/>
    <w:rsid w:val="00163FD0"/>
    <w:rsid w:val="001813A1"/>
    <w:rsid w:val="0018419E"/>
    <w:rsid w:val="00187EED"/>
    <w:rsid w:val="001900EE"/>
    <w:rsid w:val="0019146C"/>
    <w:rsid w:val="00192611"/>
    <w:rsid w:val="00197D18"/>
    <w:rsid w:val="001A402C"/>
    <w:rsid w:val="001A7855"/>
    <w:rsid w:val="001B12E4"/>
    <w:rsid w:val="001F1C73"/>
    <w:rsid w:val="001F23FA"/>
    <w:rsid w:val="00200639"/>
    <w:rsid w:val="00201CFA"/>
    <w:rsid w:val="0020269E"/>
    <w:rsid w:val="002153BB"/>
    <w:rsid w:val="002154F5"/>
    <w:rsid w:val="00223143"/>
    <w:rsid w:val="002268CC"/>
    <w:rsid w:val="00230158"/>
    <w:rsid w:val="002377D6"/>
    <w:rsid w:val="002441CF"/>
    <w:rsid w:val="002457A0"/>
    <w:rsid w:val="0025023C"/>
    <w:rsid w:val="00252CB5"/>
    <w:rsid w:val="002643DC"/>
    <w:rsid w:val="00271358"/>
    <w:rsid w:val="0027661E"/>
    <w:rsid w:val="0028084B"/>
    <w:rsid w:val="0028725C"/>
    <w:rsid w:val="002A018B"/>
    <w:rsid w:val="002A6323"/>
    <w:rsid w:val="002B25D8"/>
    <w:rsid w:val="002B2DB9"/>
    <w:rsid w:val="002B624D"/>
    <w:rsid w:val="002B7B74"/>
    <w:rsid w:val="002B7EFB"/>
    <w:rsid w:val="002C20ED"/>
    <w:rsid w:val="002D05F8"/>
    <w:rsid w:val="002D1659"/>
    <w:rsid w:val="002E6598"/>
    <w:rsid w:val="002E6B3F"/>
    <w:rsid w:val="002F0256"/>
    <w:rsid w:val="002F2920"/>
    <w:rsid w:val="0030106A"/>
    <w:rsid w:val="00315C8A"/>
    <w:rsid w:val="003323CE"/>
    <w:rsid w:val="00341FA5"/>
    <w:rsid w:val="003449AD"/>
    <w:rsid w:val="0036588D"/>
    <w:rsid w:val="00372F10"/>
    <w:rsid w:val="003830D4"/>
    <w:rsid w:val="003836F3"/>
    <w:rsid w:val="0038450F"/>
    <w:rsid w:val="00390161"/>
    <w:rsid w:val="00392013"/>
    <w:rsid w:val="00393845"/>
    <w:rsid w:val="003A2E34"/>
    <w:rsid w:val="003B3D8E"/>
    <w:rsid w:val="003B4A70"/>
    <w:rsid w:val="003D313A"/>
    <w:rsid w:val="003D586C"/>
    <w:rsid w:val="003E56D0"/>
    <w:rsid w:val="004033BA"/>
    <w:rsid w:val="004069F0"/>
    <w:rsid w:val="0041161E"/>
    <w:rsid w:val="0043191A"/>
    <w:rsid w:val="00441E4D"/>
    <w:rsid w:val="0044479A"/>
    <w:rsid w:val="00445205"/>
    <w:rsid w:val="004470C4"/>
    <w:rsid w:val="00447C4A"/>
    <w:rsid w:val="0045218F"/>
    <w:rsid w:val="00457D8D"/>
    <w:rsid w:val="0046249F"/>
    <w:rsid w:val="00467AB8"/>
    <w:rsid w:val="004747C6"/>
    <w:rsid w:val="004834E7"/>
    <w:rsid w:val="00484223"/>
    <w:rsid w:val="00491170"/>
    <w:rsid w:val="0049313B"/>
    <w:rsid w:val="00493C79"/>
    <w:rsid w:val="004A08E8"/>
    <w:rsid w:val="004A425F"/>
    <w:rsid w:val="004C53AF"/>
    <w:rsid w:val="004E24FA"/>
    <w:rsid w:val="004E4844"/>
    <w:rsid w:val="004E568B"/>
    <w:rsid w:val="005014D8"/>
    <w:rsid w:val="00503212"/>
    <w:rsid w:val="00516F1F"/>
    <w:rsid w:val="00523543"/>
    <w:rsid w:val="00531CB7"/>
    <w:rsid w:val="0053693B"/>
    <w:rsid w:val="005429A4"/>
    <w:rsid w:val="005442A4"/>
    <w:rsid w:val="00550C53"/>
    <w:rsid w:val="005544AE"/>
    <w:rsid w:val="00565156"/>
    <w:rsid w:val="00567776"/>
    <w:rsid w:val="0057382C"/>
    <w:rsid w:val="00580933"/>
    <w:rsid w:val="00580EC8"/>
    <w:rsid w:val="005831D2"/>
    <w:rsid w:val="005A22CE"/>
    <w:rsid w:val="005A49F7"/>
    <w:rsid w:val="005A60E1"/>
    <w:rsid w:val="005C07DB"/>
    <w:rsid w:val="005C211B"/>
    <w:rsid w:val="005C3C41"/>
    <w:rsid w:val="005C5C11"/>
    <w:rsid w:val="005E5A8E"/>
    <w:rsid w:val="005E5FB4"/>
    <w:rsid w:val="005E7239"/>
    <w:rsid w:val="00606448"/>
    <w:rsid w:val="00606794"/>
    <w:rsid w:val="00612F71"/>
    <w:rsid w:val="00631182"/>
    <w:rsid w:val="00634AF3"/>
    <w:rsid w:val="00634C82"/>
    <w:rsid w:val="00640F28"/>
    <w:rsid w:val="0064220D"/>
    <w:rsid w:val="00643D69"/>
    <w:rsid w:val="00647C88"/>
    <w:rsid w:val="00650068"/>
    <w:rsid w:val="0065786C"/>
    <w:rsid w:val="00661BFA"/>
    <w:rsid w:val="00670BA4"/>
    <w:rsid w:val="00675611"/>
    <w:rsid w:val="00681D82"/>
    <w:rsid w:val="00684CB6"/>
    <w:rsid w:val="00686700"/>
    <w:rsid w:val="00686BA9"/>
    <w:rsid w:val="0069625B"/>
    <w:rsid w:val="006A387D"/>
    <w:rsid w:val="006A6926"/>
    <w:rsid w:val="006B7933"/>
    <w:rsid w:val="006C4350"/>
    <w:rsid w:val="006D5CAB"/>
    <w:rsid w:val="006E4CC6"/>
    <w:rsid w:val="006E5F44"/>
    <w:rsid w:val="006F4E56"/>
    <w:rsid w:val="00704073"/>
    <w:rsid w:val="00704B29"/>
    <w:rsid w:val="0070665D"/>
    <w:rsid w:val="00710C42"/>
    <w:rsid w:val="00716E66"/>
    <w:rsid w:val="00731B21"/>
    <w:rsid w:val="00736DED"/>
    <w:rsid w:val="00747EEC"/>
    <w:rsid w:val="0075038B"/>
    <w:rsid w:val="00771904"/>
    <w:rsid w:val="00775218"/>
    <w:rsid w:val="007864A5"/>
    <w:rsid w:val="00787D8E"/>
    <w:rsid w:val="00787FA4"/>
    <w:rsid w:val="007940C4"/>
    <w:rsid w:val="00795AB0"/>
    <w:rsid w:val="00796447"/>
    <w:rsid w:val="007A1BFF"/>
    <w:rsid w:val="007B1384"/>
    <w:rsid w:val="007B1793"/>
    <w:rsid w:val="007B5CC3"/>
    <w:rsid w:val="007B6C7A"/>
    <w:rsid w:val="007C2E75"/>
    <w:rsid w:val="007C3F82"/>
    <w:rsid w:val="007E635E"/>
    <w:rsid w:val="007E6B9A"/>
    <w:rsid w:val="007F38A6"/>
    <w:rsid w:val="007F4136"/>
    <w:rsid w:val="00804677"/>
    <w:rsid w:val="00813814"/>
    <w:rsid w:val="00823FAD"/>
    <w:rsid w:val="00831CE4"/>
    <w:rsid w:val="00834EF0"/>
    <w:rsid w:val="0084284E"/>
    <w:rsid w:val="008573E5"/>
    <w:rsid w:val="0089462D"/>
    <w:rsid w:val="00895EEB"/>
    <w:rsid w:val="008A23A2"/>
    <w:rsid w:val="008A68C8"/>
    <w:rsid w:val="008A7641"/>
    <w:rsid w:val="008B1124"/>
    <w:rsid w:val="008B6F80"/>
    <w:rsid w:val="008C3542"/>
    <w:rsid w:val="008C79A9"/>
    <w:rsid w:val="008D3C88"/>
    <w:rsid w:val="008D3F6F"/>
    <w:rsid w:val="008E21CA"/>
    <w:rsid w:val="008E6361"/>
    <w:rsid w:val="008F35EE"/>
    <w:rsid w:val="008F4CB2"/>
    <w:rsid w:val="008F657D"/>
    <w:rsid w:val="00901F52"/>
    <w:rsid w:val="0090325F"/>
    <w:rsid w:val="0090557C"/>
    <w:rsid w:val="00906E4C"/>
    <w:rsid w:val="009353A3"/>
    <w:rsid w:val="00946C76"/>
    <w:rsid w:val="009532FB"/>
    <w:rsid w:val="009551A3"/>
    <w:rsid w:val="00955246"/>
    <w:rsid w:val="009555E6"/>
    <w:rsid w:val="00963DAA"/>
    <w:rsid w:val="0097289E"/>
    <w:rsid w:val="00975352"/>
    <w:rsid w:val="00980265"/>
    <w:rsid w:val="00985639"/>
    <w:rsid w:val="00992740"/>
    <w:rsid w:val="00995336"/>
    <w:rsid w:val="009C720D"/>
    <w:rsid w:val="009D3579"/>
    <w:rsid w:val="009D45ED"/>
    <w:rsid w:val="009E4A55"/>
    <w:rsid w:val="009E7F0E"/>
    <w:rsid w:val="009F6C16"/>
    <w:rsid w:val="00A01AE4"/>
    <w:rsid w:val="00A07AE2"/>
    <w:rsid w:val="00A12712"/>
    <w:rsid w:val="00A14A97"/>
    <w:rsid w:val="00A14BF7"/>
    <w:rsid w:val="00A33F23"/>
    <w:rsid w:val="00A541C5"/>
    <w:rsid w:val="00A60C5A"/>
    <w:rsid w:val="00A61D9D"/>
    <w:rsid w:val="00A64032"/>
    <w:rsid w:val="00A72C8F"/>
    <w:rsid w:val="00A73550"/>
    <w:rsid w:val="00A76B73"/>
    <w:rsid w:val="00A774DE"/>
    <w:rsid w:val="00A80EB3"/>
    <w:rsid w:val="00A94CC4"/>
    <w:rsid w:val="00AA430B"/>
    <w:rsid w:val="00AB2A7D"/>
    <w:rsid w:val="00AB6E34"/>
    <w:rsid w:val="00AC5C72"/>
    <w:rsid w:val="00AC66E7"/>
    <w:rsid w:val="00AD0EDA"/>
    <w:rsid w:val="00AE000B"/>
    <w:rsid w:val="00AE0610"/>
    <w:rsid w:val="00AF2D09"/>
    <w:rsid w:val="00AF3901"/>
    <w:rsid w:val="00AF51D0"/>
    <w:rsid w:val="00B25684"/>
    <w:rsid w:val="00B26343"/>
    <w:rsid w:val="00B43FF8"/>
    <w:rsid w:val="00B60AAB"/>
    <w:rsid w:val="00B81472"/>
    <w:rsid w:val="00B82506"/>
    <w:rsid w:val="00B83A63"/>
    <w:rsid w:val="00B854DF"/>
    <w:rsid w:val="00B90537"/>
    <w:rsid w:val="00B91E47"/>
    <w:rsid w:val="00B93D18"/>
    <w:rsid w:val="00BA0405"/>
    <w:rsid w:val="00BA3818"/>
    <w:rsid w:val="00BA5637"/>
    <w:rsid w:val="00BA7038"/>
    <w:rsid w:val="00BB198C"/>
    <w:rsid w:val="00BB3CA0"/>
    <w:rsid w:val="00BB7860"/>
    <w:rsid w:val="00BC05B1"/>
    <w:rsid w:val="00BD1211"/>
    <w:rsid w:val="00BD1A7F"/>
    <w:rsid w:val="00BD3FEF"/>
    <w:rsid w:val="00BD7604"/>
    <w:rsid w:val="00BE5EC5"/>
    <w:rsid w:val="00BF0EAF"/>
    <w:rsid w:val="00BF5F14"/>
    <w:rsid w:val="00BF5F7E"/>
    <w:rsid w:val="00BF78C7"/>
    <w:rsid w:val="00C22F5F"/>
    <w:rsid w:val="00C240B2"/>
    <w:rsid w:val="00C301EC"/>
    <w:rsid w:val="00C30387"/>
    <w:rsid w:val="00C31F50"/>
    <w:rsid w:val="00C427F2"/>
    <w:rsid w:val="00C50DBB"/>
    <w:rsid w:val="00C57B77"/>
    <w:rsid w:val="00C6200D"/>
    <w:rsid w:val="00C647F8"/>
    <w:rsid w:val="00C64FD5"/>
    <w:rsid w:val="00C71753"/>
    <w:rsid w:val="00C75398"/>
    <w:rsid w:val="00C7684F"/>
    <w:rsid w:val="00C9242C"/>
    <w:rsid w:val="00C95EF2"/>
    <w:rsid w:val="00C96804"/>
    <w:rsid w:val="00CA1943"/>
    <w:rsid w:val="00CA6093"/>
    <w:rsid w:val="00CB3E61"/>
    <w:rsid w:val="00CB4F5B"/>
    <w:rsid w:val="00CC0FA7"/>
    <w:rsid w:val="00CC2517"/>
    <w:rsid w:val="00CC3C08"/>
    <w:rsid w:val="00CD77E3"/>
    <w:rsid w:val="00CE1E42"/>
    <w:rsid w:val="00CF105B"/>
    <w:rsid w:val="00CF7E43"/>
    <w:rsid w:val="00D043AF"/>
    <w:rsid w:val="00D044B1"/>
    <w:rsid w:val="00D060ED"/>
    <w:rsid w:val="00D20C52"/>
    <w:rsid w:val="00D460A7"/>
    <w:rsid w:val="00D52915"/>
    <w:rsid w:val="00D530A2"/>
    <w:rsid w:val="00D54F2A"/>
    <w:rsid w:val="00D55B68"/>
    <w:rsid w:val="00D6176E"/>
    <w:rsid w:val="00D61CDE"/>
    <w:rsid w:val="00D647E9"/>
    <w:rsid w:val="00D74100"/>
    <w:rsid w:val="00D82126"/>
    <w:rsid w:val="00D86058"/>
    <w:rsid w:val="00DA553A"/>
    <w:rsid w:val="00DB1BFB"/>
    <w:rsid w:val="00DB4D5D"/>
    <w:rsid w:val="00DB5E28"/>
    <w:rsid w:val="00DB628D"/>
    <w:rsid w:val="00DB62C1"/>
    <w:rsid w:val="00DC48B7"/>
    <w:rsid w:val="00DC68B7"/>
    <w:rsid w:val="00DD4DF3"/>
    <w:rsid w:val="00DD50FC"/>
    <w:rsid w:val="00DE023C"/>
    <w:rsid w:val="00DE4118"/>
    <w:rsid w:val="00DE6A16"/>
    <w:rsid w:val="00DE7AC1"/>
    <w:rsid w:val="00DF20DE"/>
    <w:rsid w:val="00DF2987"/>
    <w:rsid w:val="00DF2AAE"/>
    <w:rsid w:val="00E04C91"/>
    <w:rsid w:val="00E12F03"/>
    <w:rsid w:val="00E267DF"/>
    <w:rsid w:val="00E33C3E"/>
    <w:rsid w:val="00E341AD"/>
    <w:rsid w:val="00E40CA6"/>
    <w:rsid w:val="00E479B7"/>
    <w:rsid w:val="00E5229E"/>
    <w:rsid w:val="00E56D55"/>
    <w:rsid w:val="00E62FA7"/>
    <w:rsid w:val="00E654FD"/>
    <w:rsid w:val="00E80A16"/>
    <w:rsid w:val="00E835E2"/>
    <w:rsid w:val="00E837A6"/>
    <w:rsid w:val="00E83C1A"/>
    <w:rsid w:val="00EB27F5"/>
    <w:rsid w:val="00EB502C"/>
    <w:rsid w:val="00EB589F"/>
    <w:rsid w:val="00EB6403"/>
    <w:rsid w:val="00EC5912"/>
    <w:rsid w:val="00ED368C"/>
    <w:rsid w:val="00ED45B9"/>
    <w:rsid w:val="00EE157C"/>
    <w:rsid w:val="00EE5389"/>
    <w:rsid w:val="00EE6AA3"/>
    <w:rsid w:val="00EF025D"/>
    <w:rsid w:val="00EF1EA2"/>
    <w:rsid w:val="00EF1F2E"/>
    <w:rsid w:val="00EF2CBF"/>
    <w:rsid w:val="00EF7A00"/>
    <w:rsid w:val="00F01130"/>
    <w:rsid w:val="00F01588"/>
    <w:rsid w:val="00F04FB2"/>
    <w:rsid w:val="00F05A18"/>
    <w:rsid w:val="00F10E41"/>
    <w:rsid w:val="00F1317E"/>
    <w:rsid w:val="00F247B6"/>
    <w:rsid w:val="00F34496"/>
    <w:rsid w:val="00F43F3B"/>
    <w:rsid w:val="00F63E34"/>
    <w:rsid w:val="00F63E5C"/>
    <w:rsid w:val="00F664D5"/>
    <w:rsid w:val="00F70D74"/>
    <w:rsid w:val="00F8410D"/>
    <w:rsid w:val="00F9201D"/>
    <w:rsid w:val="00F9584B"/>
    <w:rsid w:val="00FA1879"/>
    <w:rsid w:val="00FA49D2"/>
    <w:rsid w:val="00FB2EAE"/>
    <w:rsid w:val="00FD2207"/>
    <w:rsid w:val="00FD6901"/>
    <w:rsid w:val="00FE1A76"/>
    <w:rsid w:val="00FE5150"/>
    <w:rsid w:val="00FE59D4"/>
    <w:rsid w:val="00FF4EBE"/>
    <w:rsid w:val="00FF6041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3CF1A44C"/>
  <w15:docId w15:val="{84ADC0E5-B12D-4B3E-8D80-7FC8CD4DC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65D"/>
    <w:pPr>
      <w:spacing w:after="200" w:line="276" w:lineRule="auto"/>
    </w:pPr>
    <w:rPr>
      <w:rFonts w:eastAsiaTheme="minorEastAsia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66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0665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665D"/>
    <w:rPr>
      <w:rFonts w:eastAsiaTheme="minorEastAsia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70665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665D"/>
    <w:rPr>
      <w:rFonts w:eastAsiaTheme="minorEastAsia"/>
      <w:lang w:eastAsia="ja-JP"/>
    </w:rPr>
  </w:style>
  <w:style w:type="paragraph" w:customStyle="1" w:styleId="naislab">
    <w:name w:val="naislab"/>
    <w:basedOn w:val="Normal"/>
    <w:rsid w:val="0070665D"/>
    <w:pPr>
      <w:spacing w:before="84" w:after="84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70665D"/>
    <w:rPr>
      <w:strike w:val="0"/>
      <w:dstrike w:val="0"/>
      <w:color w:val="40407C"/>
      <w:u w:val="none"/>
      <w:effect w:val="none"/>
    </w:rPr>
  </w:style>
  <w:style w:type="character" w:customStyle="1" w:styleId="apple-converted-space">
    <w:name w:val="apple-converted-space"/>
    <w:basedOn w:val="DefaultParagraphFont"/>
    <w:rsid w:val="0070665D"/>
  </w:style>
  <w:style w:type="paragraph" w:styleId="BalloonText">
    <w:name w:val="Balloon Text"/>
    <w:basedOn w:val="Normal"/>
    <w:link w:val="BalloonTextChar"/>
    <w:uiPriority w:val="99"/>
    <w:semiHidden/>
    <w:unhideWhenUsed/>
    <w:rsid w:val="00315C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C8A"/>
    <w:rPr>
      <w:rFonts w:ascii="Segoe UI" w:eastAsiaTheme="minorEastAsia" w:hAnsi="Segoe UI" w:cs="Segoe UI"/>
      <w:sz w:val="18"/>
      <w:szCs w:val="18"/>
      <w:lang w:eastAsia="ja-JP"/>
    </w:rPr>
  </w:style>
  <w:style w:type="paragraph" w:styleId="Revision">
    <w:name w:val="Revision"/>
    <w:hidden/>
    <w:uiPriority w:val="99"/>
    <w:semiHidden/>
    <w:rsid w:val="00080691"/>
    <w:pPr>
      <w:spacing w:after="0" w:line="240" w:lineRule="auto"/>
    </w:pPr>
    <w:rPr>
      <w:rFonts w:eastAsiaTheme="minorEastAsia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B905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05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0537"/>
    <w:rPr>
      <w:rFonts w:eastAsiaTheme="minorEastAsia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05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0537"/>
    <w:rPr>
      <w:rFonts w:eastAsiaTheme="minorEastAsia"/>
      <w:b/>
      <w:bCs/>
      <w:sz w:val="20"/>
      <w:szCs w:val="20"/>
      <w:lang w:eastAsia="ja-JP"/>
    </w:rPr>
  </w:style>
  <w:style w:type="character" w:customStyle="1" w:styleId="Mention1">
    <w:name w:val="Mention1"/>
    <w:basedOn w:val="DefaultParagraphFont"/>
    <w:uiPriority w:val="99"/>
    <w:semiHidden/>
    <w:unhideWhenUsed/>
    <w:rsid w:val="00D060ED"/>
    <w:rPr>
      <w:color w:val="2B579A"/>
      <w:shd w:val="clear" w:color="auto" w:fill="E6E6E6"/>
    </w:rPr>
  </w:style>
  <w:style w:type="paragraph" w:customStyle="1" w:styleId="tv213">
    <w:name w:val="tv213"/>
    <w:basedOn w:val="Normal"/>
    <w:rsid w:val="00AB6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E023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023C"/>
    <w:rPr>
      <w:rFonts w:eastAsiaTheme="minorEastAsia"/>
      <w:sz w:val="20"/>
      <w:szCs w:val="20"/>
      <w:lang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DE023C"/>
    <w:rPr>
      <w:vertAlign w:val="superscript"/>
    </w:rPr>
  </w:style>
  <w:style w:type="character" w:styleId="Mention">
    <w:name w:val="Mention"/>
    <w:basedOn w:val="DefaultParagraphFont"/>
    <w:uiPriority w:val="99"/>
    <w:semiHidden/>
    <w:unhideWhenUsed/>
    <w:rsid w:val="00095C5C"/>
    <w:rPr>
      <w:color w:val="2B579A"/>
      <w:shd w:val="clear" w:color="auto" w:fill="E6E6E6"/>
    </w:rPr>
  </w:style>
  <w:style w:type="paragraph" w:customStyle="1" w:styleId="Normal1">
    <w:name w:val="Normal1"/>
    <w:basedOn w:val="Normal"/>
    <w:rsid w:val="00684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i-art">
    <w:name w:val="ti-art"/>
    <w:basedOn w:val="Normal"/>
    <w:rsid w:val="00684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sti-art">
    <w:name w:val="sti-art"/>
    <w:basedOn w:val="Normal"/>
    <w:rsid w:val="00684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italic">
    <w:name w:val="italic"/>
    <w:basedOn w:val="DefaultParagraphFont"/>
    <w:rsid w:val="00684CB6"/>
  </w:style>
  <w:style w:type="paragraph" w:styleId="EndnoteText">
    <w:name w:val="endnote text"/>
    <w:basedOn w:val="Normal"/>
    <w:link w:val="EndnoteTextChar"/>
    <w:uiPriority w:val="99"/>
    <w:semiHidden/>
    <w:unhideWhenUsed/>
    <w:rsid w:val="00F958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9584B"/>
    <w:rPr>
      <w:rFonts w:eastAsiaTheme="minorEastAsia"/>
      <w:sz w:val="20"/>
      <w:szCs w:val="20"/>
      <w:lang w:eastAsia="ja-JP"/>
    </w:rPr>
  </w:style>
  <w:style w:type="character" w:styleId="EndnoteReference">
    <w:name w:val="endnote reference"/>
    <w:basedOn w:val="DefaultParagraphFont"/>
    <w:uiPriority w:val="99"/>
    <w:semiHidden/>
    <w:unhideWhenUsed/>
    <w:rsid w:val="00F9584B"/>
    <w:rPr>
      <w:vertAlign w:val="superscript"/>
    </w:rPr>
  </w:style>
  <w:style w:type="paragraph" w:customStyle="1" w:styleId="naisf">
    <w:name w:val="naisf"/>
    <w:basedOn w:val="Normal"/>
    <w:link w:val="naisfChar"/>
    <w:rsid w:val="00AB2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Body">
    <w:name w:val="Body"/>
    <w:rsid w:val="00AB2A7D"/>
    <w:pPr>
      <w:spacing w:after="200" w:line="276" w:lineRule="auto"/>
    </w:pPr>
    <w:rPr>
      <w:rFonts w:ascii="Calibri" w:eastAsia="Arial Unicode MS" w:hAnsi="Calibri" w:cs="Arial Unicode MS"/>
      <w:color w:val="000000"/>
      <w:u w:color="000000"/>
      <w:lang w:eastAsia="lv-LV"/>
    </w:rPr>
  </w:style>
  <w:style w:type="character" w:customStyle="1" w:styleId="naisfChar">
    <w:name w:val="naisf Char"/>
    <w:link w:val="naisf"/>
    <w:locked/>
    <w:rsid w:val="00AB2A7D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4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7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7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27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7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50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722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640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5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270323-attistibas-finansu-institucijas-likums" TargetMode="External"/><Relationship Id="rId13" Type="http://schemas.openxmlformats.org/officeDocument/2006/relationships/footer" Target="footer2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ikumi.lv/ta/id/287648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846F6-6227-42C1-8B6A-15FEBC028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1382</Words>
  <Characters>789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Ministru kabineta noteikumu projekts “Grozījumi Ministru kabineta 2016.gada 31.maija noteikumos Nr.328 „Noteikumi par mikroaizdevumiem un starta aizdevumiem””</vt:lpstr>
      <vt:lpstr>Ministru kabineta noteikumu projekts “Grozījumi Ministru kabineta 2016.gada 31.maija noteikumos Nr.328 „Noteikumi par mikroaizdevumiem un starta aizdevumiem””</vt:lpstr>
    </vt:vector>
  </TitlesOfParts>
  <Company>LHZB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Ministru kabineta noteikumu projekts “Grozījumi Ministru kabineta 2016.gada 31.maija noteikumos Nr.328 „Noteikumi par mikroaizdevumiem un starta aizdevumiem””</dc:title>
  <dc:subject/>
  <dc:creator>Signe Tuklere</dc:creator>
  <cp:keywords/>
  <dc:description/>
  <cp:lastModifiedBy>Dita Tetere</cp:lastModifiedBy>
  <cp:revision>7</cp:revision>
  <cp:lastPrinted>2020-04-14T08:29:00Z</cp:lastPrinted>
  <dcterms:created xsi:type="dcterms:W3CDTF">2021-03-10T14:04:00Z</dcterms:created>
  <dcterms:modified xsi:type="dcterms:W3CDTF">2021-03-16T11:18:00Z</dcterms:modified>
</cp:coreProperties>
</file>