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28D7A" w14:textId="686562EF" w:rsidR="00F12A88" w:rsidRPr="00F500DC" w:rsidRDefault="00F12A88" w:rsidP="00F12A88">
      <w:pPr>
        <w:jc w:val="center"/>
        <w:rPr>
          <w:b/>
          <w:sz w:val="26"/>
          <w:szCs w:val="26"/>
          <w:lang w:val="lv-LV"/>
        </w:rPr>
      </w:pPr>
      <w:bookmarkStart w:id="0" w:name="OLE_LINK3"/>
      <w:bookmarkStart w:id="1" w:name="OLE_LINK1"/>
      <w:bookmarkStart w:id="2" w:name="OLE_LINK2"/>
      <w:bookmarkStart w:id="3" w:name="_Hlk66868796"/>
      <w:r w:rsidRPr="00F500DC">
        <w:rPr>
          <w:b/>
          <w:sz w:val="26"/>
          <w:szCs w:val="26"/>
          <w:lang w:val="lv-LV"/>
        </w:rPr>
        <w:t>Ministru kabineta noteikumu projekta ,,</w:t>
      </w:r>
      <w:bookmarkStart w:id="4" w:name="OLE_LINK7"/>
      <w:bookmarkStart w:id="5" w:name="OLE_LINK8"/>
      <w:bookmarkStart w:id="6" w:name="_Hlk36713472"/>
      <w:r w:rsidRPr="00F500DC">
        <w:rPr>
          <w:b/>
          <w:sz w:val="26"/>
          <w:szCs w:val="26"/>
          <w:lang w:val="lv-LV"/>
        </w:rPr>
        <w:t>Grozījumi Ministru kabineta 2016.gada 20.decembra noteikumos Nr.866 „Īstermiņa eksporta kredīta garantiju izsniegšanas noteikumi komersantiem un atbilstošām lauksaimniecības pakalpojumu kooperatīvajām sabiedrībām”</w:t>
      </w:r>
      <w:bookmarkEnd w:id="6"/>
      <w:r w:rsidRPr="00F500DC">
        <w:rPr>
          <w:b/>
          <w:sz w:val="26"/>
          <w:szCs w:val="26"/>
          <w:lang w:val="lv-LV"/>
        </w:rPr>
        <w:t>”</w:t>
      </w:r>
      <w:bookmarkEnd w:id="4"/>
      <w:bookmarkEnd w:id="5"/>
      <w:r w:rsidRPr="00F500DC">
        <w:rPr>
          <w:b/>
          <w:sz w:val="26"/>
          <w:szCs w:val="26"/>
          <w:lang w:val="lv-LV"/>
        </w:rPr>
        <w:t xml:space="preserve"> </w:t>
      </w:r>
      <w:bookmarkEnd w:id="3"/>
      <w:r w:rsidRPr="00F500DC">
        <w:rPr>
          <w:b/>
          <w:sz w:val="26"/>
          <w:szCs w:val="26"/>
          <w:lang w:val="lv-LV"/>
        </w:rPr>
        <w:t>sākotnējās ietekmes novērtējuma ziņojums (anotācija)</w:t>
      </w:r>
    </w:p>
    <w:p w14:paraId="4F03DE00" w14:textId="77777777" w:rsidR="00310924" w:rsidRPr="00F500DC" w:rsidRDefault="00310924" w:rsidP="007F6449">
      <w:pPr>
        <w:jc w:val="center"/>
        <w:rPr>
          <w:b/>
          <w:sz w:val="26"/>
          <w:szCs w:val="26"/>
          <w:lang w:val="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310924" w:rsidRPr="00F500DC" w14:paraId="06A3987D" w14:textId="77777777" w:rsidTr="004937D3">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bookmarkEnd w:id="0"/>
          <w:bookmarkEnd w:id="1"/>
          <w:bookmarkEnd w:id="2"/>
          <w:p w14:paraId="0723E20C" w14:textId="77777777" w:rsidR="00310924" w:rsidRPr="00F500DC" w:rsidRDefault="00310924" w:rsidP="004937D3">
            <w:pPr>
              <w:rPr>
                <w:rFonts w:eastAsia="Times New Roman"/>
                <w:b/>
                <w:bCs/>
                <w:iCs/>
                <w:sz w:val="26"/>
                <w:szCs w:val="26"/>
                <w:lang w:val="lv-LV" w:eastAsia="lv-LV"/>
              </w:rPr>
            </w:pPr>
            <w:r w:rsidRPr="00F500DC">
              <w:rPr>
                <w:rFonts w:eastAsia="Times New Roman"/>
                <w:b/>
                <w:bCs/>
                <w:iCs/>
                <w:sz w:val="26"/>
                <w:szCs w:val="26"/>
                <w:lang w:val="lv-LV" w:eastAsia="lv-LV"/>
              </w:rPr>
              <w:t>Tiesību akta projekta anotācijas kopsavilkums</w:t>
            </w:r>
          </w:p>
        </w:tc>
      </w:tr>
      <w:tr w:rsidR="00310924" w:rsidRPr="00154DCF" w14:paraId="5F92C921" w14:textId="77777777" w:rsidTr="004937D3">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D1DBABE" w14:textId="77777777" w:rsidR="00310924" w:rsidRPr="00F500DC" w:rsidRDefault="00310924" w:rsidP="004937D3">
            <w:pPr>
              <w:rPr>
                <w:rFonts w:eastAsia="Times New Roman"/>
                <w:iCs/>
                <w:sz w:val="26"/>
                <w:szCs w:val="26"/>
                <w:lang w:val="lv-LV" w:eastAsia="lv-LV"/>
              </w:rPr>
            </w:pPr>
            <w:r w:rsidRPr="00F500DC">
              <w:rPr>
                <w:rFonts w:eastAsia="Times New Roman"/>
                <w:iCs/>
                <w:sz w:val="26"/>
                <w:szCs w:val="26"/>
                <w:lang w:val="lv-LV"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32599F68" w14:textId="5A2A465F" w:rsidR="00DD696D" w:rsidRPr="00F500DC" w:rsidRDefault="00145D01" w:rsidP="00DD696D">
            <w:pPr>
              <w:jc w:val="both"/>
              <w:rPr>
                <w:rFonts w:eastAsia="Times New Roman"/>
                <w:iCs/>
                <w:sz w:val="26"/>
                <w:szCs w:val="26"/>
                <w:lang w:val="lv-LV" w:eastAsia="lv-LV"/>
              </w:rPr>
            </w:pPr>
            <w:r w:rsidRPr="00F500DC">
              <w:rPr>
                <w:rFonts w:eastAsia="Times New Roman"/>
                <w:iCs/>
                <w:sz w:val="26"/>
                <w:szCs w:val="26"/>
                <w:lang w:val="lv-LV" w:eastAsia="lv-LV"/>
              </w:rPr>
              <w:t>Ar Ministru kabineta n</w:t>
            </w:r>
            <w:r w:rsidR="000136B6" w:rsidRPr="00F500DC">
              <w:rPr>
                <w:rFonts w:eastAsia="Times New Roman"/>
                <w:iCs/>
                <w:sz w:val="26"/>
                <w:szCs w:val="26"/>
                <w:lang w:val="lv-LV" w:eastAsia="lv-LV"/>
              </w:rPr>
              <w:t>oteikum</w:t>
            </w:r>
            <w:r w:rsidRPr="00F500DC">
              <w:rPr>
                <w:rFonts w:eastAsia="Times New Roman"/>
                <w:iCs/>
                <w:sz w:val="26"/>
                <w:szCs w:val="26"/>
                <w:lang w:val="lv-LV" w:eastAsia="lv-LV"/>
              </w:rPr>
              <w:t>u</w:t>
            </w:r>
            <w:r w:rsidR="00310924" w:rsidRPr="00F500DC">
              <w:rPr>
                <w:rFonts w:eastAsia="Times New Roman"/>
                <w:iCs/>
                <w:sz w:val="26"/>
                <w:szCs w:val="26"/>
                <w:lang w:val="lv-LV" w:eastAsia="lv-LV"/>
              </w:rPr>
              <w:t xml:space="preserve"> projekt</w:t>
            </w:r>
            <w:r w:rsidRPr="00F500DC">
              <w:rPr>
                <w:rFonts w:eastAsia="Times New Roman"/>
                <w:iCs/>
                <w:sz w:val="26"/>
                <w:szCs w:val="26"/>
                <w:lang w:val="lv-LV" w:eastAsia="lv-LV"/>
              </w:rPr>
              <w:t>u</w:t>
            </w:r>
            <w:r w:rsidR="00310924" w:rsidRPr="00F500DC">
              <w:rPr>
                <w:rFonts w:eastAsia="Times New Roman"/>
                <w:iCs/>
                <w:sz w:val="26"/>
                <w:szCs w:val="26"/>
                <w:lang w:val="lv-LV" w:eastAsia="lv-LV"/>
              </w:rPr>
              <w:t xml:space="preserve"> </w:t>
            </w:r>
            <w:r w:rsidRPr="00F500DC">
              <w:rPr>
                <w:rFonts w:eastAsia="Times New Roman"/>
                <w:iCs/>
                <w:sz w:val="26"/>
                <w:szCs w:val="26"/>
                <w:lang w:val="lv-LV" w:eastAsia="lv-LV"/>
              </w:rPr>
              <w:t>“Grozījumi Ministru kabineta 2016. gada 20. decembra noteikumos Nr. 866 “Īstermiņa eksporta kredīta garantiju izsniegšanas noteikumi komersantiem un atbilstošām la</w:t>
            </w:r>
            <w:r w:rsidR="003E6F1A" w:rsidRPr="00F500DC">
              <w:rPr>
                <w:rFonts w:eastAsia="Times New Roman"/>
                <w:iCs/>
                <w:sz w:val="26"/>
                <w:szCs w:val="26"/>
                <w:lang w:val="lv-LV" w:eastAsia="lv-LV"/>
              </w:rPr>
              <w:t>u</w:t>
            </w:r>
            <w:r w:rsidRPr="00F500DC">
              <w:rPr>
                <w:rFonts w:eastAsia="Times New Roman"/>
                <w:iCs/>
                <w:sz w:val="26"/>
                <w:szCs w:val="26"/>
                <w:lang w:val="lv-LV" w:eastAsia="lv-LV"/>
              </w:rPr>
              <w:t xml:space="preserve">ksaimniecības pakalpojumu kooperatīvajām sabiedrībām” (turpmāk – Noteikumu projekts) </w:t>
            </w:r>
            <w:r w:rsidR="00310924" w:rsidRPr="00F500DC">
              <w:rPr>
                <w:rFonts w:eastAsia="Times New Roman"/>
                <w:iCs/>
                <w:sz w:val="26"/>
                <w:szCs w:val="26"/>
                <w:lang w:val="lv-LV" w:eastAsia="lv-LV"/>
              </w:rPr>
              <w:t>paredz</w:t>
            </w:r>
            <w:r w:rsidRPr="00F500DC">
              <w:rPr>
                <w:rFonts w:eastAsia="Times New Roman"/>
                <w:iCs/>
                <w:sz w:val="26"/>
                <w:szCs w:val="26"/>
                <w:lang w:val="lv-LV" w:eastAsia="lv-LV"/>
              </w:rPr>
              <w:t>ēts</w:t>
            </w:r>
            <w:r w:rsidR="00310924" w:rsidRPr="00F500DC">
              <w:rPr>
                <w:rFonts w:eastAsia="Times New Roman"/>
                <w:iCs/>
                <w:sz w:val="26"/>
                <w:szCs w:val="26"/>
                <w:lang w:val="lv-LV" w:eastAsia="lv-LV"/>
              </w:rPr>
              <w:t xml:space="preserve"> </w:t>
            </w:r>
            <w:r w:rsidR="00D67CE9" w:rsidRPr="00F500DC">
              <w:rPr>
                <w:rFonts w:eastAsia="Times New Roman"/>
                <w:iCs/>
                <w:sz w:val="26"/>
                <w:szCs w:val="26"/>
                <w:lang w:val="lv-LV" w:eastAsia="lv-LV"/>
              </w:rPr>
              <w:t>precizēt</w:t>
            </w:r>
            <w:r w:rsidR="00310924" w:rsidRPr="00F500DC">
              <w:rPr>
                <w:rFonts w:eastAsia="Times New Roman"/>
                <w:iCs/>
                <w:sz w:val="26"/>
                <w:szCs w:val="26"/>
                <w:lang w:val="lv-LV" w:eastAsia="lv-LV"/>
              </w:rPr>
              <w:t xml:space="preserve"> </w:t>
            </w:r>
            <w:r w:rsidR="00D67CE9" w:rsidRPr="00F500DC">
              <w:rPr>
                <w:rFonts w:eastAsia="Times New Roman"/>
                <w:iCs/>
                <w:sz w:val="26"/>
                <w:szCs w:val="26"/>
                <w:lang w:val="lv-LV" w:eastAsia="lv-LV"/>
              </w:rPr>
              <w:t xml:space="preserve">Ministru kabineta 2016.gada </w:t>
            </w:r>
            <w:r w:rsidR="000541AA" w:rsidRPr="00F500DC">
              <w:rPr>
                <w:rFonts w:eastAsia="Times New Roman"/>
                <w:iCs/>
                <w:sz w:val="26"/>
                <w:szCs w:val="26"/>
                <w:lang w:val="lv-LV" w:eastAsia="lv-LV"/>
              </w:rPr>
              <w:t>20.decembra</w:t>
            </w:r>
            <w:r w:rsidR="00D67CE9" w:rsidRPr="00F500DC">
              <w:rPr>
                <w:rFonts w:eastAsia="Times New Roman"/>
                <w:iCs/>
                <w:sz w:val="26"/>
                <w:szCs w:val="26"/>
                <w:lang w:val="lv-LV" w:eastAsia="lv-LV"/>
              </w:rPr>
              <w:t xml:space="preserve"> noteikumos Nr.</w:t>
            </w:r>
            <w:r w:rsidR="000541AA" w:rsidRPr="00F500DC">
              <w:rPr>
                <w:rFonts w:eastAsia="Times New Roman"/>
                <w:iCs/>
                <w:sz w:val="26"/>
                <w:szCs w:val="26"/>
                <w:lang w:val="lv-LV" w:eastAsia="lv-LV"/>
              </w:rPr>
              <w:t>866</w:t>
            </w:r>
            <w:r w:rsidR="00D67CE9" w:rsidRPr="00F500DC">
              <w:rPr>
                <w:rFonts w:eastAsia="Times New Roman"/>
                <w:iCs/>
                <w:sz w:val="26"/>
                <w:szCs w:val="26"/>
                <w:lang w:val="lv-LV" w:eastAsia="lv-LV"/>
              </w:rPr>
              <w:t xml:space="preserve"> „</w:t>
            </w:r>
            <w:r w:rsidR="000541AA" w:rsidRPr="00F500DC">
              <w:rPr>
                <w:rFonts w:eastAsia="Times New Roman"/>
                <w:iCs/>
                <w:sz w:val="26"/>
                <w:szCs w:val="26"/>
                <w:lang w:val="lv-LV" w:eastAsia="lv-LV"/>
              </w:rPr>
              <w:t>Īstermiņa eksporta kredīta garantiju izsniegšanas noteikumi komersantiem un atbilstošām lauksaimniecības pakalpojumu kooperatīvajām sabiedrībām</w:t>
            </w:r>
            <w:r w:rsidR="00D67CE9" w:rsidRPr="00F500DC">
              <w:rPr>
                <w:rFonts w:eastAsia="Times New Roman"/>
                <w:iCs/>
                <w:sz w:val="26"/>
                <w:szCs w:val="26"/>
                <w:lang w:val="lv-LV" w:eastAsia="lv-LV"/>
              </w:rPr>
              <w:t>”</w:t>
            </w:r>
            <w:r w:rsidR="00785C6D" w:rsidRPr="00F500DC">
              <w:rPr>
                <w:rFonts w:eastAsia="Times New Roman"/>
                <w:iCs/>
                <w:sz w:val="26"/>
                <w:szCs w:val="26"/>
                <w:lang w:val="lv-LV" w:eastAsia="lv-LV"/>
              </w:rPr>
              <w:t xml:space="preserve"> (turpmāk – Noteikumi)</w:t>
            </w:r>
            <w:r w:rsidR="00DD696D" w:rsidRPr="00F500DC">
              <w:rPr>
                <w:rFonts w:eastAsia="Times New Roman"/>
                <w:iCs/>
                <w:sz w:val="26"/>
                <w:szCs w:val="26"/>
                <w:lang w:val="lv-LV" w:eastAsia="lv-LV"/>
              </w:rPr>
              <w:t xml:space="preserve"> </w:t>
            </w:r>
            <w:r w:rsidR="000541AA" w:rsidRPr="00F500DC">
              <w:rPr>
                <w:rFonts w:eastAsia="Times New Roman"/>
                <w:iCs/>
                <w:sz w:val="26"/>
                <w:szCs w:val="26"/>
                <w:lang w:val="lv-LV" w:eastAsia="lv-LV"/>
              </w:rPr>
              <w:t xml:space="preserve">noteikto </w:t>
            </w:r>
            <w:r w:rsidR="00B8453D" w:rsidRPr="00F500DC">
              <w:rPr>
                <w:rFonts w:eastAsia="Times New Roman"/>
                <w:iCs/>
                <w:sz w:val="26"/>
                <w:szCs w:val="26"/>
                <w:lang w:val="lv-LV" w:eastAsia="lv-LV"/>
              </w:rPr>
              <w:t>termiņu</w:t>
            </w:r>
            <w:r w:rsidR="00925290" w:rsidRPr="00F500DC">
              <w:rPr>
                <w:rFonts w:eastAsia="Times New Roman"/>
                <w:iCs/>
                <w:sz w:val="26"/>
                <w:szCs w:val="26"/>
                <w:lang w:val="lv-LV" w:eastAsia="lv-LV"/>
              </w:rPr>
              <w:t xml:space="preserve">, līdz kuram </w:t>
            </w:r>
            <w:r w:rsidR="00B8453D" w:rsidRPr="00F500DC">
              <w:rPr>
                <w:rFonts w:eastAsia="Times New Roman"/>
                <w:iCs/>
                <w:sz w:val="26"/>
                <w:szCs w:val="26"/>
                <w:lang w:val="lv-LV" w:eastAsia="lv-LV"/>
              </w:rPr>
              <w:t xml:space="preserve"> </w:t>
            </w:r>
            <w:r w:rsidR="00743C58" w:rsidRPr="00F500DC">
              <w:rPr>
                <w:rFonts w:eastAsia="Times New Roman"/>
                <w:iCs/>
                <w:sz w:val="26"/>
                <w:szCs w:val="26"/>
                <w:lang w:val="lv-LV" w:eastAsia="lv-LV"/>
              </w:rPr>
              <w:t xml:space="preserve">šo noteikumu ietvaros </w:t>
            </w:r>
            <w:r w:rsidR="00925290" w:rsidRPr="00F500DC">
              <w:rPr>
                <w:rFonts w:eastAsia="Times New Roman"/>
                <w:iCs/>
                <w:sz w:val="26"/>
                <w:szCs w:val="26"/>
                <w:lang w:val="lv-LV" w:eastAsia="lv-LV"/>
              </w:rPr>
              <w:t>iespējams</w:t>
            </w:r>
            <w:r w:rsidR="00925290" w:rsidRPr="00F500DC">
              <w:rPr>
                <w:sz w:val="26"/>
                <w:szCs w:val="26"/>
                <w:lang w:val="lv-LV"/>
              </w:rPr>
              <w:t xml:space="preserve"> </w:t>
            </w:r>
            <w:r w:rsidR="00925290" w:rsidRPr="00F500DC">
              <w:rPr>
                <w:rFonts w:eastAsia="Times New Roman"/>
                <w:iCs/>
                <w:sz w:val="26"/>
                <w:szCs w:val="26"/>
                <w:lang w:val="lv-LV" w:eastAsia="lv-LV"/>
              </w:rPr>
              <w:t>sniegt īstermiņa eksporta kredītu garantijas neatkarīgi no valsts, kurā reģistrēts debitors</w:t>
            </w:r>
            <w:r w:rsidR="00475004">
              <w:rPr>
                <w:rFonts w:eastAsia="Times New Roman"/>
                <w:iCs/>
                <w:sz w:val="26"/>
                <w:szCs w:val="26"/>
                <w:lang w:val="lv-LV" w:eastAsia="lv-LV"/>
              </w:rPr>
              <w:t>, kā arī palielināt programmai pieejamā publiskā finansējuma apmēru</w:t>
            </w:r>
            <w:r w:rsidR="000541AA" w:rsidRPr="00F500DC">
              <w:rPr>
                <w:rFonts w:eastAsia="Times New Roman"/>
                <w:iCs/>
                <w:sz w:val="26"/>
                <w:szCs w:val="26"/>
                <w:lang w:val="lv-LV" w:eastAsia="lv-LV"/>
              </w:rPr>
              <w:t>.</w:t>
            </w:r>
          </w:p>
          <w:p w14:paraId="0891E1DE" w14:textId="08605532" w:rsidR="009D4B8F" w:rsidRPr="00F500DC" w:rsidRDefault="009D4B8F" w:rsidP="00DD696D">
            <w:pPr>
              <w:jc w:val="both"/>
              <w:rPr>
                <w:rFonts w:eastAsia="Times New Roman"/>
                <w:iCs/>
                <w:sz w:val="26"/>
                <w:szCs w:val="26"/>
                <w:lang w:val="lv-LV" w:eastAsia="lv-LV"/>
              </w:rPr>
            </w:pPr>
            <w:r w:rsidRPr="00F500DC">
              <w:rPr>
                <w:rFonts w:eastAsia="Times New Roman"/>
                <w:iCs/>
                <w:sz w:val="26"/>
                <w:szCs w:val="26"/>
                <w:lang w:val="lv-LV" w:eastAsia="lv-LV"/>
              </w:rPr>
              <w:t>Noteikum</w:t>
            </w:r>
            <w:r w:rsidR="000136B6" w:rsidRPr="00F500DC">
              <w:rPr>
                <w:rFonts w:eastAsia="Times New Roman"/>
                <w:iCs/>
                <w:sz w:val="26"/>
                <w:szCs w:val="26"/>
                <w:lang w:val="lv-LV" w:eastAsia="lv-LV"/>
              </w:rPr>
              <w:t>u projekts</w:t>
            </w:r>
            <w:r w:rsidRPr="00F500DC">
              <w:rPr>
                <w:rFonts w:eastAsia="Times New Roman"/>
                <w:iCs/>
                <w:sz w:val="26"/>
                <w:szCs w:val="26"/>
                <w:lang w:val="lv-LV" w:eastAsia="lv-LV"/>
              </w:rPr>
              <w:t xml:space="preserve"> </w:t>
            </w:r>
            <w:r w:rsidR="00145D01" w:rsidRPr="00F500DC">
              <w:rPr>
                <w:rFonts w:eastAsia="Times New Roman"/>
                <w:iCs/>
                <w:sz w:val="26"/>
                <w:szCs w:val="26"/>
                <w:lang w:val="lv-LV" w:eastAsia="lv-LV"/>
              </w:rPr>
              <w:t xml:space="preserve">saskaņā ar Oficiālo publikāciju un tiesiskās informācijas likuma 7. panta otro daļu </w:t>
            </w:r>
            <w:r w:rsidRPr="00F500DC">
              <w:rPr>
                <w:rFonts w:eastAsia="Times New Roman"/>
                <w:iCs/>
                <w:sz w:val="26"/>
                <w:szCs w:val="26"/>
                <w:lang w:val="lv-LV" w:eastAsia="lv-LV"/>
              </w:rPr>
              <w:t>stājas spēkā nākamajā dienā pēc t</w:t>
            </w:r>
            <w:r w:rsidR="001412C5">
              <w:rPr>
                <w:rFonts w:eastAsia="Times New Roman"/>
                <w:iCs/>
                <w:sz w:val="26"/>
                <w:szCs w:val="26"/>
                <w:lang w:val="lv-LV" w:eastAsia="lv-LV"/>
              </w:rPr>
              <w:t>ā</w:t>
            </w:r>
            <w:r w:rsidRPr="00F500DC">
              <w:rPr>
                <w:rFonts w:eastAsia="Times New Roman"/>
                <w:iCs/>
                <w:sz w:val="26"/>
                <w:szCs w:val="26"/>
                <w:lang w:val="lv-LV" w:eastAsia="lv-LV"/>
              </w:rPr>
              <w:t xml:space="preserve"> izsludināšanas oficiālajā izdevumā “</w:t>
            </w:r>
            <w:r w:rsidR="00B8453D" w:rsidRPr="00F500DC">
              <w:rPr>
                <w:rFonts w:eastAsia="Times New Roman"/>
                <w:iCs/>
                <w:sz w:val="26"/>
                <w:szCs w:val="26"/>
                <w:lang w:val="lv-LV" w:eastAsia="lv-LV"/>
              </w:rPr>
              <w:t>L</w:t>
            </w:r>
            <w:r w:rsidRPr="00F500DC">
              <w:rPr>
                <w:rFonts w:eastAsia="Times New Roman"/>
                <w:iCs/>
                <w:sz w:val="26"/>
                <w:szCs w:val="26"/>
                <w:lang w:val="lv-LV" w:eastAsia="lv-LV"/>
              </w:rPr>
              <w:t xml:space="preserve">atvijas </w:t>
            </w:r>
            <w:r w:rsidR="00B8453D" w:rsidRPr="00F500DC">
              <w:rPr>
                <w:rFonts w:eastAsia="Times New Roman"/>
                <w:iCs/>
                <w:sz w:val="26"/>
                <w:szCs w:val="26"/>
                <w:lang w:val="lv-LV" w:eastAsia="lv-LV"/>
              </w:rPr>
              <w:t>V</w:t>
            </w:r>
            <w:r w:rsidRPr="00F500DC">
              <w:rPr>
                <w:rFonts w:eastAsia="Times New Roman"/>
                <w:iCs/>
                <w:sz w:val="26"/>
                <w:szCs w:val="26"/>
                <w:lang w:val="lv-LV" w:eastAsia="lv-LV"/>
              </w:rPr>
              <w:t>ēstnesis”.</w:t>
            </w:r>
          </w:p>
        </w:tc>
      </w:tr>
    </w:tbl>
    <w:p w14:paraId="2DE059E4" w14:textId="6BA0F248" w:rsidR="003E171B" w:rsidRPr="00F500DC" w:rsidRDefault="003E171B" w:rsidP="00EA6CD3">
      <w:pPr>
        <w:tabs>
          <w:tab w:val="right" w:pos="9072"/>
        </w:tabs>
        <w:rPr>
          <w:sz w:val="26"/>
          <w:szCs w:val="26"/>
          <w:lang w:val="lv-LV"/>
        </w:rPr>
      </w:pPr>
    </w:p>
    <w:p w14:paraId="6A8022D4" w14:textId="77777777" w:rsidR="00310924" w:rsidRPr="00F500DC" w:rsidRDefault="00310924" w:rsidP="00EA6CD3">
      <w:pPr>
        <w:tabs>
          <w:tab w:val="right" w:pos="9072"/>
        </w:tabs>
        <w:rPr>
          <w:sz w:val="26"/>
          <w:szCs w:val="26"/>
          <w:lang w:val="lv-LV"/>
        </w:rPr>
      </w:pPr>
    </w:p>
    <w:tbl>
      <w:tblPr>
        <w:tblW w:w="9064"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18"/>
        <w:gridCol w:w="1984"/>
        <w:gridCol w:w="6662"/>
      </w:tblGrid>
      <w:tr w:rsidR="00844176" w:rsidRPr="00F500DC" w14:paraId="02364BB3" w14:textId="77777777" w:rsidTr="007E1704">
        <w:trPr>
          <w:trHeight w:val="405"/>
        </w:trPr>
        <w:tc>
          <w:tcPr>
            <w:tcW w:w="9064" w:type="dxa"/>
            <w:gridSpan w:val="3"/>
            <w:tcBorders>
              <w:top w:val="outset" w:sz="6" w:space="0" w:color="414142"/>
              <w:left w:val="outset" w:sz="6" w:space="0" w:color="414142"/>
              <w:bottom w:val="outset" w:sz="6" w:space="0" w:color="414142"/>
              <w:right w:val="outset" w:sz="6" w:space="0" w:color="414142"/>
            </w:tcBorders>
            <w:hideMark/>
          </w:tcPr>
          <w:p w14:paraId="12E54FE2" w14:textId="77777777" w:rsidR="00844176" w:rsidRPr="00F500DC" w:rsidRDefault="00844176" w:rsidP="00871E2F">
            <w:pPr>
              <w:spacing w:before="100" w:beforeAutospacing="1" w:after="100" w:afterAutospacing="1"/>
              <w:ind w:firstLine="300"/>
              <w:jc w:val="center"/>
              <w:rPr>
                <w:rFonts w:eastAsia="Times New Roman"/>
                <w:sz w:val="26"/>
                <w:szCs w:val="26"/>
                <w:lang w:val="lv-LV" w:eastAsia="lv-LV"/>
              </w:rPr>
            </w:pPr>
            <w:r w:rsidRPr="00F500DC">
              <w:rPr>
                <w:rFonts w:eastAsia="Times New Roman"/>
                <w:b/>
                <w:bCs/>
                <w:color w:val="000000"/>
                <w:sz w:val="26"/>
                <w:szCs w:val="26"/>
                <w:lang w:val="lv-LV" w:eastAsia="lv-LV"/>
              </w:rPr>
              <w:t>I. Tiesību akta projekta izstrādes nepieciešamība</w:t>
            </w:r>
          </w:p>
        </w:tc>
      </w:tr>
      <w:tr w:rsidR="00844176" w:rsidRPr="00154DCF" w14:paraId="7F385C9A" w14:textId="77777777" w:rsidTr="007E1704">
        <w:trPr>
          <w:trHeight w:val="405"/>
        </w:trPr>
        <w:tc>
          <w:tcPr>
            <w:tcW w:w="418" w:type="dxa"/>
            <w:tcBorders>
              <w:top w:val="outset" w:sz="6" w:space="0" w:color="414142"/>
              <w:left w:val="outset" w:sz="6" w:space="0" w:color="414142"/>
              <w:bottom w:val="outset" w:sz="6" w:space="0" w:color="414142"/>
              <w:right w:val="outset" w:sz="6" w:space="0" w:color="414142"/>
            </w:tcBorders>
            <w:hideMark/>
          </w:tcPr>
          <w:p w14:paraId="7802C726"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1.</w:t>
            </w:r>
          </w:p>
        </w:tc>
        <w:tc>
          <w:tcPr>
            <w:tcW w:w="1984" w:type="dxa"/>
            <w:tcBorders>
              <w:top w:val="outset" w:sz="6" w:space="0" w:color="414142"/>
              <w:left w:val="outset" w:sz="6" w:space="0" w:color="414142"/>
              <w:bottom w:val="outset" w:sz="6" w:space="0" w:color="414142"/>
              <w:right w:val="outset" w:sz="6" w:space="0" w:color="414142"/>
            </w:tcBorders>
            <w:hideMark/>
          </w:tcPr>
          <w:p w14:paraId="1D9EF4B2"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Pamatojums</w:t>
            </w:r>
          </w:p>
        </w:tc>
        <w:tc>
          <w:tcPr>
            <w:tcW w:w="6662" w:type="dxa"/>
            <w:tcBorders>
              <w:top w:val="outset" w:sz="6" w:space="0" w:color="414142"/>
              <w:left w:val="outset" w:sz="6" w:space="0" w:color="414142"/>
              <w:bottom w:val="outset" w:sz="6" w:space="0" w:color="414142"/>
              <w:right w:val="outset" w:sz="6" w:space="0" w:color="414142"/>
            </w:tcBorders>
            <w:hideMark/>
          </w:tcPr>
          <w:p w14:paraId="79DF1BBF" w14:textId="0393E103" w:rsidR="00AF13D9" w:rsidRPr="00F500DC" w:rsidRDefault="009577FE" w:rsidP="00E4227F">
            <w:pPr>
              <w:ind w:right="31"/>
              <w:jc w:val="both"/>
              <w:rPr>
                <w:rFonts w:eastAsia="Times New Roman"/>
                <w:sz w:val="26"/>
                <w:szCs w:val="26"/>
                <w:lang w:val="lv-LV"/>
              </w:rPr>
            </w:pPr>
            <w:r w:rsidRPr="00F500DC">
              <w:rPr>
                <w:rFonts w:eastAsiaTheme="minorHAnsi"/>
                <w:sz w:val="26"/>
                <w:szCs w:val="26"/>
                <w:lang w:val="lv-LV"/>
              </w:rPr>
              <w:t>Noteikumu p</w:t>
            </w:r>
            <w:r w:rsidR="000032E8" w:rsidRPr="00F500DC">
              <w:rPr>
                <w:rFonts w:eastAsiaTheme="minorHAnsi"/>
                <w:sz w:val="26"/>
                <w:szCs w:val="26"/>
                <w:lang w:val="lv-LV"/>
              </w:rPr>
              <w:t>rojekts sagatavots pēc Ekonomikas ministrijas iniciatīvas pamatojoties uz Attīstības finanšu institūcijas likuma 12.panta ceturto daļu, lai</w:t>
            </w:r>
            <w:r w:rsidR="00F12A88" w:rsidRPr="00F500DC">
              <w:rPr>
                <w:rFonts w:eastAsia="Times New Roman"/>
                <w:sz w:val="26"/>
                <w:szCs w:val="26"/>
                <w:lang w:val="lv-LV"/>
              </w:rPr>
              <w:t xml:space="preserve"> </w:t>
            </w:r>
            <w:r w:rsidR="002E2217" w:rsidRPr="00F500DC">
              <w:rPr>
                <w:rFonts w:eastAsia="Times New Roman"/>
                <w:sz w:val="26"/>
                <w:szCs w:val="26"/>
                <w:lang w:val="lv-LV"/>
              </w:rPr>
              <w:t xml:space="preserve">turpinātu </w:t>
            </w:r>
            <w:r w:rsidR="00F12A88" w:rsidRPr="00F500DC">
              <w:rPr>
                <w:rFonts w:eastAsia="Times New Roman"/>
                <w:sz w:val="26"/>
                <w:szCs w:val="26"/>
                <w:lang w:val="lv-LV"/>
              </w:rPr>
              <w:t xml:space="preserve">atbalstu saimnieciskās darbības veicējiem, kuri eksportē preces un kuru darbību </w:t>
            </w:r>
            <w:r w:rsidR="0064515C" w:rsidRPr="00F500DC">
              <w:rPr>
                <w:rFonts w:eastAsia="Times New Roman"/>
                <w:sz w:val="26"/>
                <w:szCs w:val="26"/>
                <w:lang w:val="lv-LV"/>
              </w:rPr>
              <w:t xml:space="preserve">ietekmē </w:t>
            </w:r>
            <w:r w:rsidR="00F12A88" w:rsidRPr="00F500DC">
              <w:rPr>
                <w:rFonts w:eastAsia="Times New Roman"/>
                <w:sz w:val="26"/>
                <w:szCs w:val="26"/>
                <w:lang w:val="lv-LV"/>
              </w:rPr>
              <w:t>Covid-19 izraisīta krīze, atbilstoši</w:t>
            </w:r>
            <w:r w:rsidR="00C80326" w:rsidRPr="00F500DC">
              <w:rPr>
                <w:rFonts w:eastAsia="Times New Roman"/>
                <w:sz w:val="26"/>
                <w:szCs w:val="26"/>
                <w:lang w:val="lv-LV"/>
              </w:rPr>
              <w:t xml:space="preserve"> </w:t>
            </w:r>
            <w:r w:rsidR="00A34958" w:rsidRPr="00F500DC">
              <w:rPr>
                <w:rFonts w:eastAsia="Times New Roman"/>
                <w:sz w:val="26"/>
                <w:szCs w:val="26"/>
                <w:lang w:val="lv-LV"/>
              </w:rPr>
              <w:t>202</w:t>
            </w:r>
            <w:r w:rsidR="00B613EE">
              <w:rPr>
                <w:rFonts w:eastAsia="Times New Roman"/>
                <w:sz w:val="26"/>
                <w:szCs w:val="26"/>
                <w:lang w:val="lv-LV"/>
              </w:rPr>
              <w:t>1</w:t>
            </w:r>
            <w:r w:rsidR="00A34958" w:rsidRPr="00F500DC">
              <w:rPr>
                <w:rFonts w:eastAsia="Times New Roman"/>
                <w:sz w:val="26"/>
                <w:szCs w:val="26"/>
                <w:lang w:val="lv-LV"/>
              </w:rPr>
              <w:t xml:space="preserve">.gada </w:t>
            </w:r>
            <w:r w:rsidR="00B613EE">
              <w:rPr>
                <w:rFonts w:eastAsia="Times New Roman"/>
                <w:sz w:val="26"/>
                <w:szCs w:val="26"/>
                <w:lang w:val="lv-LV"/>
              </w:rPr>
              <w:t>28</w:t>
            </w:r>
            <w:r w:rsidR="0064515C" w:rsidRPr="00F500DC">
              <w:rPr>
                <w:rFonts w:eastAsia="Times New Roman"/>
                <w:sz w:val="26"/>
                <w:szCs w:val="26"/>
                <w:lang w:val="lv-LV"/>
              </w:rPr>
              <w:t>.</w:t>
            </w:r>
            <w:r w:rsidR="00B613EE">
              <w:rPr>
                <w:rFonts w:eastAsia="Times New Roman"/>
                <w:sz w:val="26"/>
                <w:szCs w:val="26"/>
                <w:lang w:val="lv-LV"/>
              </w:rPr>
              <w:t>janvāra</w:t>
            </w:r>
            <w:r w:rsidR="00A34958" w:rsidRPr="00F500DC">
              <w:rPr>
                <w:rFonts w:eastAsia="Times New Roman"/>
                <w:sz w:val="26"/>
                <w:szCs w:val="26"/>
                <w:lang w:val="lv-LV"/>
              </w:rPr>
              <w:t xml:space="preserve"> grozījumiem </w:t>
            </w:r>
            <w:r w:rsidR="000032E8" w:rsidRPr="00F500DC">
              <w:rPr>
                <w:rFonts w:eastAsia="Times New Roman"/>
                <w:sz w:val="26"/>
                <w:szCs w:val="26"/>
                <w:lang w:val="lv-LV"/>
              </w:rPr>
              <w:t>Eiropas Komisijas pagaidu regulējumā</w:t>
            </w:r>
            <w:r w:rsidR="00A34958" w:rsidRPr="00F500DC">
              <w:rPr>
                <w:rStyle w:val="FootnoteReference"/>
                <w:bCs/>
                <w:iCs/>
                <w:color w:val="000000"/>
                <w:sz w:val="26"/>
                <w:szCs w:val="26"/>
                <w:lang w:val="lv-LV" w:eastAsia="lv-LV"/>
              </w:rPr>
              <w:footnoteReference w:id="1"/>
            </w:r>
            <w:r w:rsidR="00A34958" w:rsidRPr="00F500DC">
              <w:rPr>
                <w:rFonts w:eastAsia="Times New Roman"/>
                <w:sz w:val="26"/>
                <w:szCs w:val="26"/>
                <w:lang w:val="lv-LV"/>
              </w:rPr>
              <w:t>.</w:t>
            </w:r>
          </w:p>
        </w:tc>
      </w:tr>
      <w:tr w:rsidR="00844176" w:rsidRPr="00154DCF" w14:paraId="62EDED08" w14:textId="77777777" w:rsidTr="007E1704">
        <w:trPr>
          <w:trHeight w:val="465"/>
        </w:trPr>
        <w:tc>
          <w:tcPr>
            <w:tcW w:w="418" w:type="dxa"/>
            <w:tcBorders>
              <w:top w:val="outset" w:sz="6" w:space="0" w:color="414142"/>
              <w:left w:val="outset" w:sz="6" w:space="0" w:color="414142"/>
              <w:bottom w:val="outset" w:sz="6" w:space="0" w:color="414142"/>
              <w:right w:val="outset" w:sz="6" w:space="0" w:color="414142"/>
            </w:tcBorders>
            <w:hideMark/>
          </w:tcPr>
          <w:p w14:paraId="304587A4"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2.</w:t>
            </w:r>
          </w:p>
        </w:tc>
        <w:tc>
          <w:tcPr>
            <w:tcW w:w="1984" w:type="dxa"/>
            <w:tcBorders>
              <w:top w:val="outset" w:sz="6" w:space="0" w:color="414142"/>
              <w:left w:val="outset" w:sz="6" w:space="0" w:color="414142"/>
              <w:bottom w:val="outset" w:sz="6" w:space="0" w:color="414142"/>
              <w:right w:val="outset" w:sz="6" w:space="0" w:color="414142"/>
            </w:tcBorders>
            <w:hideMark/>
          </w:tcPr>
          <w:p w14:paraId="7671769E" w14:textId="1C92A414" w:rsidR="00ED0911"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 xml:space="preserve">Pašreizējā situācija un problēmas, kuru </w:t>
            </w:r>
            <w:r w:rsidRPr="00F500DC">
              <w:rPr>
                <w:rFonts w:eastAsia="Times New Roman"/>
                <w:color w:val="000000"/>
                <w:sz w:val="26"/>
                <w:szCs w:val="26"/>
                <w:lang w:val="lv-LV" w:eastAsia="lv-LV"/>
              </w:rPr>
              <w:lastRenderedPageBreak/>
              <w:t>risināšanai tiesību akta projekts izstrādāts, tiesiskā regulējuma mērķis un būtība</w:t>
            </w:r>
          </w:p>
          <w:p w14:paraId="4FC3B67D" w14:textId="77777777" w:rsidR="00ED0911" w:rsidRPr="00F500DC" w:rsidRDefault="00ED0911" w:rsidP="00ED0911">
            <w:pPr>
              <w:rPr>
                <w:rFonts w:eastAsia="Times New Roman"/>
                <w:sz w:val="26"/>
                <w:szCs w:val="26"/>
                <w:lang w:val="lv-LV" w:eastAsia="lv-LV"/>
              </w:rPr>
            </w:pPr>
          </w:p>
          <w:p w14:paraId="117E2458" w14:textId="77777777" w:rsidR="00ED0911" w:rsidRPr="00F500DC" w:rsidRDefault="00ED0911" w:rsidP="00ED0911">
            <w:pPr>
              <w:rPr>
                <w:rFonts w:eastAsia="Times New Roman"/>
                <w:sz w:val="26"/>
                <w:szCs w:val="26"/>
                <w:lang w:val="lv-LV" w:eastAsia="lv-LV"/>
              </w:rPr>
            </w:pPr>
          </w:p>
          <w:p w14:paraId="029C5030" w14:textId="77777777" w:rsidR="00ED0911" w:rsidRPr="00F500DC" w:rsidRDefault="00ED0911" w:rsidP="00ED0911">
            <w:pPr>
              <w:rPr>
                <w:rFonts w:eastAsia="Times New Roman"/>
                <w:sz w:val="26"/>
                <w:szCs w:val="26"/>
                <w:lang w:val="lv-LV" w:eastAsia="lv-LV"/>
              </w:rPr>
            </w:pPr>
          </w:p>
          <w:p w14:paraId="074EFABB" w14:textId="77777777" w:rsidR="00ED0911" w:rsidRPr="00F500DC" w:rsidRDefault="00ED0911" w:rsidP="00ED0911">
            <w:pPr>
              <w:rPr>
                <w:rFonts w:eastAsia="Times New Roman"/>
                <w:sz w:val="26"/>
                <w:szCs w:val="26"/>
                <w:lang w:val="lv-LV" w:eastAsia="lv-LV"/>
              </w:rPr>
            </w:pPr>
          </w:p>
          <w:p w14:paraId="1750BD0B" w14:textId="77777777" w:rsidR="00ED0911" w:rsidRPr="00F500DC" w:rsidRDefault="00ED0911" w:rsidP="00ED0911">
            <w:pPr>
              <w:rPr>
                <w:rFonts w:eastAsia="Times New Roman"/>
                <w:sz w:val="26"/>
                <w:szCs w:val="26"/>
                <w:lang w:val="lv-LV" w:eastAsia="lv-LV"/>
              </w:rPr>
            </w:pPr>
          </w:p>
          <w:p w14:paraId="7CCC3563" w14:textId="77777777" w:rsidR="00ED0911" w:rsidRPr="00F500DC" w:rsidRDefault="00ED0911" w:rsidP="00ED0911">
            <w:pPr>
              <w:rPr>
                <w:rFonts w:eastAsia="Times New Roman"/>
                <w:sz w:val="26"/>
                <w:szCs w:val="26"/>
                <w:lang w:val="lv-LV" w:eastAsia="lv-LV"/>
              </w:rPr>
            </w:pPr>
          </w:p>
          <w:p w14:paraId="5D2903DF" w14:textId="77777777" w:rsidR="00ED0911" w:rsidRPr="00F500DC" w:rsidRDefault="00ED0911" w:rsidP="00ED0911">
            <w:pPr>
              <w:rPr>
                <w:rFonts w:eastAsia="Times New Roman"/>
                <w:sz w:val="26"/>
                <w:szCs w:val="26"/>
                <w:lang w:val="lv-LV" w:eastAsia="lv-LV"/>
              </w:rPr>
            </w:pPr>
          </w:p>
          <w:p w14:paraId="0458D688" w14:textId="77777777" w:rsidR="00ED0911" w:rsidRPr="00F500DC" w:rsidRDefault="00ED0911" w:rsidP="00ED0911">
            <w:pPr>
              <w:rPr>
                <w:rFonts w:eastAsia="Times New Roman"/>
                <w:sz w:val="26"/>
                <w:szCs w:val="26"/>
                <w:lang w:val="lv-LV" w:eastAsia="lv-LV"/>
              </w:rPr>
            </w:pPr>
          </w:p>
          <w:p w14:paraId="0A6D0851" w14:textId="77777777" w:rsidR="00ED0911" w:rsidRPr="00F500DC" w:rsidRDefault="00ED0911" w:rsidP="00ED0911">
            <w:pPr>
              <w:rPr>
                <w:rFonts w:eastAsia="Times New Roman"/>
                <w:sz w:val="26"/>
                <w:szCs w:val="26"/>
                <w:lang w:val="lv-LV" w:eastAsia="lv-LV"/>
              </w:rPr>
            </w:pPr>
          </w:p>
          <w:p w14:paraId="4C483563" w14:textId="77777777" w:rsidR="00ED0911" w:rsidRPr="00F500DC" w:rsidRDefault="00ED0911" w:rsidP="00ED0911">
            <w:pPr>
              <w:rPr>
                <w:rFonts w:eastAsia="Times New Roman"/>
                <w:sz w:val="26"/>
                <w:szCs w:val="26"/>
                <w:lang w:val="lv-LV" w:eastAsia="lv-LV"/>
              </w:rPr>
            </w:pPr>
          </w:p>
          <w:p w14:paraId="5068709A" w14:textId="77777777" w:rsidR="00ED0911" w:rsidRPr="00F500DC" w:rsidRDefault="00ED0911" w:rsidP="00ED0911">
            <w:pPr>
              <w:rPr>
                <w:rFonts w:eastAsia="Times New Roman"/>
                <w:sz w:val="26"/>
                <w:szCs w:val="26"/>
                <w:lang w:val="lv-LV" w:eastAsia="lv-LV"/>
              </w:rPr>
            </w:pPr>
          </w:p>
          <w:p w14:paraId="17CB6891" w14:textId="77777777" w:rsidR="00ED0911" w:rsidRPr="00F500DC" w:rsidRDefault="00ED0911" w:rsidP="00ED0911">
            <w:pPr>
              <w:rPr>
                <w:rFonts w:eastAsia="Times New Roman"/>
                <w:sz w:val="26"/>
                <w:szCs w:val="26"/>
                <w:lang w:val="lv-LV" w:eastAsia="lv-LV"/>
              </w:rPr>
            </w:pPr>
          </w:p>
          <w:p w14:paraId="075C5136" w14:textId="77777777" w:rsidR="00ED0911" w:rsidRPr="00F500DC" w:rsidRDefault="00ED0911" w:rsidP="00ED0911">
            <w:pPr>
              <w:rPr>
                <w:rFonts w:eastAsia="Times New Roman"/>
                <w:sz w:val="26"/>
                <w:szCs w:val="26"/>
                <w:lang w:val="lv-LV" w:eastAsia="lv-LV"/>
              </w:rPr>
            </w:pPr>
          </w:p>
          <w:p w14:paraId="672275B7" w14:textId="77777777" w:rsidR="00ED0911" w:rsidRPr="00F500DC" w:rsidRDefault="00ED0911" w:rsidP="00ED0911">
            <w:pPr>
              <w:rPr>
                <w:rFonts w:eastAsia="Times New Roman"/>
                <w:sz w:val="26"/>
                <w:szCs w:val="26"/>
                <w:lang w:val="lv-LV" w:eastAsia="lv-LV"/>
              </w:rPr>
            </w:pPr>
          </w:p>
          <w:p w14:paraId="2B33C7F1" w14:textId="77777777" w:rsidR="00ED0911" w:rsidRPr="00F500DC" w:rsidRDefault="00ED0911" w:rsidP="00ED0911">
            <w:pPr>
              <w:rPr>
                <w:rFonts w:eastAsia="Times New Roman"/>
                <w:sz w:val="26"/>
                <w:szCs w:val="26"/>
                <w:lang w:val="lv-LV" w:eastAsia="lv-LV"/>
              </w:rPr>
            </w:pPr>
          </w:p>
          <w:p w14:paraId="5D0B200E" w14:textId="77777777" w:rsidR="00ED0911" w:rsidRPr="00F500DC" w:rsidRDefault="00ED0911" w:rsidP="00ED0911">
            <w:pPr>
              <w:rPr>
                <w:rFonts w:eastAsia="Times New Roman"/>
                <w:sz w:val="26"/>
                <w:szCs w:val="26"/>
                <w:lang w:val="lv-LV" w:eastAsia="lv-LV"/>
              </w:rPr>
            </w:pPr>
          </w:p>
          <w:p w14:paraId="4BB861D7" w14:textId="77777777" w:rsidR="00ED0911" w:rsidRPr="00F500DC" w:rsidRDefault="00ED0911" w:rsidP="00ED0911">
            <w:pPr>
              <w:rPr>
                <w:rFonts w:eastAsia="Times New Roman"/>
                <w:sz w:val="26"/>
                <w:szCs w:val="26"/>
                <w:lang w:val="lv-LV" w:eastAsia="lv-LV"/>
              </w:rPr>
            </w:pPr>
          </w:p>
          <w:p w14:paraId="1BC83EFD" w14:textId="77777777" w:rsidR="00ED0911" w:rsidRPr="00F500DC" w:rsidRDefault="00ED0911" w:rsidP="00ED0911">
            <w:pPr>
              <w:rPr>
                <w:rFonts w:eastAsia="Times New Roman"/>
                <w:sz w:val="26"/>
                <w:szCs w:val="26"/>
                <w:lang w:val="lv-LV" w:eastAsia="lv-LV"/>
              </w:rPr>
            </w:pPr>
          </w:p>
          <w:p w14:paraId="6860D7E9" w14:textId="77777777" w:rsidR="00ED0911" w:rsidRPr="00F500DC" w:rsidRDefault="00ED0911" w:rsidP="00ED0911">
            <w:pPr>
              <w:rPr>
                <w:rFonts w:eastAsia="Times New Roman"/>
                <w:sz w:val="26"/>
                <w:szCs w:val="26"/>
                <w:lang w:val="lv-LV" w:eastAsia="lv-LV"/>
              </w:rPr>
            </w:pPr>
          </w:p>
          <w:p w14:paraId="70AB4ED1" w14:textId="77777777" w:rsidR="00ED0911" w:rsidRPr="00F500DC" w:rsidRDefault="00ED0911" w:rsidP="00ED0911">
            <w:pPr>
              <w:rPr>
                <w:rFonts w:eastAsia="Times New Roman"/>
                <w:sz w:val="26"/>
                <w:szCs w:val="26"/>
                <w:lang w:val="lv-LV" w:eastAsia="lv-LV"/>
              </w:rPr>
            </w:pPr>
          </w:p>
          <w:p w14:paraId="40AD4671" w14:textId="6647EF11" w:rsidR="00844176" w:rsidRPr="00F500DC" w:rsidRDefault="00844176" w:rsidP="00ED0911">
            <w:pPr>
              <w:rPr>
                <w:rFonts w:eastAsia="Times New Roman"/>
                <w:sz w:val="26"/>
                <w:szCs w:val="26"/>
                <w:lang w:val="lv-LV" w:eastAsia="lv-LV"/>
              </w:rPr>
            </w:pPr>
          </w:p>
        </w:tc>
        <w:tc>
          <w:tcPr>
            <w:tcW w:w="6662" w:type="dxa"/>
            <w:tcBorders>
              <w:top w:val="outset" w:sz="6" w:space="0" w:color="414142"/>
              <w:left w:val="outset" w:sz="6" w:space="0" w:color="414142"/>
              <w:bottom w:val="outset" w:sz="6" w:space="0" w:color="414142"/>
              <w:right w:val="outset" w:sz="6" w:space="0" w:color="414142"/>
            </w:tcBorders>
          </w:tcPr>
          <w:p w14:paraId="0C2C709F" w14:textId="2A425359" w:rsidR="007E1704" w:rsidRPr="009A7544" w:rsidRDefault="009577FE" w:rsidP="009A7544">
            <w:pPr>
              <w:autoSpaceDE w:val="0"/>
              <w:autoSpaceDN w:val="0"/>
              <w:jc w:val="both"/>
              <w:rPr>
                <w:rFonts w:eastAsia="Times New Roman"/>
                <w:sz w:val="26"/>
                <w:szCs w:val="26"/>
                <w:lang w:val="lv-LV"/>
              </w:rPr>
            </w:pPr>
            <w:r w:rsidRPr="009A7544">
              <w:rPr>
                <w:rFonts w:eastAsia="Times New Roman"/>
                <w:sz w:val="26"/>
                <w:szCs w:val="26"/>
                <w:lang w:val="lv-LV"/>
              </w:rPr>
              <w:lastRenderedPageBreak/>
              <w:t>202</w:t>
            </w:r>
            <w:r w:rsidR="00B90FF9" w:rsidRPr="009A7544">
              <w:rPr>
                <w:rFonts w:eastAsia="Times New Roman"/>
                <w:sz w:val="26"/>
                <w:szCs w:val="26"/>
                <w:lang w:val="lv-LV"/>
              </w:rPr>
              <w:t>1</w:t>
            </w:r>
            <w:r w:rsidRPr="009A7544">
              <w:rPr>
                <w:rFonts w:eastAsia="Times New Roman"/>
                <w:sz w:val="26"/>
                <w:szCs w:val="26"/>
                <w:lang w:val="lv-LV"/>
              </w:rPr>
              <w:t xml:space="preserve">.gada </w:t>
            </w:r>
            <w:r w:rsidR="00B90FF9" w:rsidRPr="009A7544">
              <w:rPr>
                <w:rFonts w:eastAsia="Times New Roman"/>
                <w:sz w:val="26"/>
                <w:szCs w:val="26"/>
                <w:lang w:val="lv-LV"/>
              </w:rPr>
              <w:t>28.janvārī</w:t>
            </w:r>
            <w:r w:rsidRPr="009A7544">
              <w:rPr>
                <w:rFonts w:eastAsia="Times New Roman"/>
                <w:sz w:val="26"/>
                <w:szCs w:val="26"/>
                <w:lang w:val="lv-LV"/>
              </w:rPr>
              <w:t xml:space="preserve"> Eiropas Komisija pieņēma lēmumu izdarīt grozījumus </w:t>
            </w:r>
            <w:r w:rsidRPr="009A7544">
              <w:rPr>
                <w:rFonts w:eastAsia="Times New Roman"/>
                <w:color w:val="000000" w:themeColor="text1"/>
                <w:sz w:val="26"/>
                <w:szCs w:val="26"/>
                <w:lang w:val="lv-LV"/>
              </w:rPr>
              <w:t>Eiropas Komisijas 2020.gada 19.marta Komisijas paziņojum</w:t>
            </w:r>
            <w:r w:rsidR="0045729A" w:rsidRPr="009A7544">
              <w:rPr>
                <w:rFonts w:eastAsia="Times New Roman"/>
                <w:color w:val="000000" w:themeColor="text1"/>
                <w:sz w:val="26"/>
                <w:szCs w:val="26"/>
                <w:lang w:val="lv-LV"/>
              </w:rPr>
              <w:t>ā</w:t>
            </w:r>
            <w:r w:rsidRPr="009A7544">
              <w:rPr>
                <w:rFonts w:eastAsia="Times New Roman"/>
                <w:color w:val="000000" w:themeColor="text1"/>
                <w:sz w:val="26"/>
                <w:szCs w:val="26"/>
                <w:lang w:val="lv-LV"/>
              </w:rPr>
              <w:t xml:space="preserve"> “Pagaidu regulējums valsts atbalsta pasākumiem, ar </w:t>
            </w:r>
            <w:r w:rsidRPr="009A7544">
              <w:rPr>
                <w:rFonts w:eastAsia="Times New Roman"/>
                <w:color w:val="000000" w:themeColor="text1"/>
                <w:sz w:val="26"/>
                <w:szCs w:val="26"/>
                <w:lang w:val="lv-LV"/>
              </w:rPr>
              <w:lastRenderedPageBreak/>
              <w:t>ko atbalsta ekonomiku pašreizējā Covid-19 uzliesmojuma situācijā” (</w:t>
            </w:r>
            <w:r w:rsidRPr="009A7544">
              <w:rPr>
                <w:sz w:val="26"/>
                <w:szCs w:val="26"/>
                <w:lang w:val="lv-LV"/>
              </w:rPr>
              <w:t>2020/C 91 I/01</w:t>
            </w:r>
            <w:r w:rsidRPr="009A7544">
              <w:rPr>
                <w:rFonts w:eastAsia="Times New Roman"/>
                <w:color w:val="000000" w:themeColor="text1"/>
                <w:sz w:val="26"/>
                <w:szCs w:val="26"/>
                <w:lang w:val="lv-LV"/>
              </w:rPr>
              <w:t>)</w:t>
            </w:r>
            <w:r w:rsidR="00E616D7" w:rsidRPr="009A7544">
              <w:rPr>
                <w:rFonts w:eastAsia="Times New Roman"/>
                <w:color w:val="000000" w:themeColor="text1"/>
                <w:sz w:val="26"/>
                <w:szCs w:val="26"/>
                <w:lang w:val="lv-LV"/>
              </w:rPr>
              <w:t xml:space="preserve">. </w:t>
            </w:r>
            <w:r w:rsidR="007E1704" w:rsidRPr="009A7544">
              <w:rPr>
                <w:rFonts w:eastAsia="Times New Roman"/>
                <w:sz w:val="26"/>
                <w:szCs w:val="26"/>
                <w:lang w:val="lv-LV"/>
              </w:rPr>
              <w:t>Ņemot vērā Eiropas Komisijas organizētās sabiedriskās apspriešanas rezultātus, kā arī globālās pazīmes, kas liecina par Covid-19 ilgstošo graujošo ietekmi uz Savienības ekonomiku kopumā, Eiropas Komisija uzskata, ka joprojām pastāv vispārējs pietiekamu privāto spēju trūkums, lai segtu visus ekonomiski pamatotos riskus eksportam uz valstīm no paziņojuma par ĪEKA</w:t>
            </w:r>
            <w:r w:rsidR="00E616D7">
              <w:rPr>
                <w:rStyle w:val="FootnoteReference"/>
                <w:rFonts w:eastAsia="Times New Roman"/>
                <w:sz w:val="26"/>
                <w:szCs w:val="26"/>
                <w:lang w:val="lv-LV"/>
              </w:rPr>
              <w:footnoteReference w:id="2"/>
            </w:r>
            <w:r w:rsidR="007E1704" w:rsidRPr="009A7544">
              <w:rPr>
                <w:rFonts w:eastAsia="Times New Roman"/>
                <w:sz w:val="26"/>
                <w:szCs w:val="26"/>
                <w:lang w:val="lv-LV"/>
              </w:rPr>
              <w:t xml:space="preserve"> pielikumā iekļautā nododamo risku valstu saraksta. Šādos apstākļos Eiropas Komisija visus komerciālos un politiskos riskus, kuri saistīti ar eksportu uz paziņojuma par ĪEKA pielikumā uzskaitītajām valstīm (Amerikas Savienotās Valstis, Apvienotā Karaliste, Austrālija, Austrija, Beļģija, Bulgārija, Čehija, Dānija, Francija, Grieķija, Horvātija, Igaunija, Islande, Itālija, Īrija, Japāna, Jaunzēlande, Kanāda, Kipra, Latvija, Lietuva, Luksemburga, Malta, Nīderlande, Norvēģija, Polija, Portugāle, Rumānija, Slovākija, Slovēnija, Somija, Spānija, Šveice, Ungārija, Vācija, Zviedrija)</w:t>
            </w:r>
            <w:r w:rsidR="007E1704" w:rsidRPr="009A7544">
              <w:rPr>
                <w:rFonts w:eastAsia="Times New Roman"/>
                <w:sz w:val="26"/>
                <w:szCs w:val="26"/>
                <w:vertAlign w:val="superscript"/>
                <w:lang w:val="lv-LV"/>
              </w:rPr>
              <w:t>1</w:t>
            </w:r>
            <w:r w:rsidR="007E1704" w:rsidRPr="009A7544">
              <w:rPr>
                <w:rFonts w:eastAsia="Times New Roman"/>
                <w:sz w:val="26"/>
                <w:szCs w:val="26"/>
                <w:lang w:val="lv-LV"/>
              </w:rPr>
              <w:t xml:space="preserve">, līdz 2021. gada 31. decembrim, kas ir arī pagaidu regulējuma piemērošanas termiņa beigas, uzskatīs par uz laiku nenododamiem. </w:t>
            </w:r>
          </w:p>
          <w:p w14:paraId="22FD7BBA" w14:textId="77777777" w:rsidR="007E1704" w:rsidRPr="00DA6D73" w:rsidRDefault="007E1704" w:rsidP="007E1704">
            <w:pPr>
              <w:autoSpaceDE w:val="0"/>
              <w:autoSpaceDN w:val="0"/>
              <w:jc w:val="both"/>
              <w:rPr>
                <w:rFonts w:eastAsia="Times New Roman"/>
                <w:sz w:val="26"/>
                <w:szCs w:val="26"/>
                <w:lang w:val="lv-LV"/>
              </w:rPr>
            </w:pPr>
          </w:p>
          <w:p w14:paraId="509059FA" w14:textId="2A0CFEDE" w:rsidR="002D5E34" w:rsidRPr="009A7544" w:rsidRDefault="00A312C7" w:rsidP="009A7544">
            <w:pPr>
              <w:autoSpaceDE w:val="0"/>
              <w:autoSpaceDN w:val="0"/>
              <w:jc w:val="both"/>
              <w:rPr>
                <w:rFonts w:eastAsia="Times New Roman"/>
                <w:sz w:val="26"/>
                <w:szCs w:val="26"/>
                <w:lang w:val="lv-LV"/>
              </w:rPr>
            </w:pPr>
            <w:r w:rsidRPr="009A7544">
              <w:rPr>
                <w:rFonts w:eastAsia="Times New Roman"/>
                <w:sz w:val="26"/>
                <w:szCs w:val="26"/>
                <w:lang w:val="lv-LV"/>
              </w:rPr>
              <w:t xml:space="preserve">Lai turpinātu mazināt Covid-19 pandēmijas izraisītas krīzes negatīvo ietekmi uz Latvijas eksportētājiem, </w:t>
            </w:r>
            <w:r w:rsidR="004D49FA" w:rsidRPr="009A7544">
              <w:rPr>
                <w:rFonts w:eastAsia="Times New Roman"/>
                <w:sz w:val="26"/>
                <w:szCs w:val="26"/>
                <w:lang w:val="lv-LV"/>
              </w:rPr>
              <w:t xml:space="preserve">šo </w:t>
            </w:r>
            <w:r w:rsidRPr="009A7544">
              <w:rPr>
                <w:rFonts w:eastAsia="Times New Roman"/>
                <w:sz w:val="26"/>
                <w:szCs w:val="26"/>
                <w:lang w:val="lv-LV"/>
              </w:rPr>
              <w:t>g</w:t>
            </w:r>
            <w:r w:rsidR="002E2217" w:rsidRPr="009A7544">
              <w:rPr>
                <w:rFonts w:eastAsia="Times New Roman"/>
                <w:sz w:val="26"/>
                <w:szCs w:val="26"/>
                <w:lang w:val="lv-LV"/>
              </w:rPr>
              <w:t>rozījumu</w:t>
            </w:r>
            <w:r w:rsidR="002D5E34" w:rsidRPr="009A7544">
              <w:rPr>
                <w:rFonts w:eastAsia="Times New Roman"/>
                <w:sz w:val="26"/>
                <w:szCs w:val="26"/>
                <w:lang w:val="lv-LV"/>
              </w:rPr>
              <w:t xml:space="preserve"> mērķis ir</w:t>
            </w:r>
            <w:r w:rsidR="002E2217" w:rsidRPr="009A7544">
              <w:rPr>
                <w:rFonts w:eastAsia="Times New Roman"/>
                <w:sz w:val="26"/>
                <w:szCs w:val="26"/>
                <w:lang w:val="lv-LV"/>
              </w:rPr>
              <w:t xml:space="preserve"> līdz 2021.gada </w:t>
            </w:r>
            <w:r w:rsidR="00EF44DD" w:rsidRPr="009A7544">
              <w:rPr>
                <w:rFonts w:eastAsia="Times New Roman"/>
                <w:sz w:val="26"/>
                <w:szCs w:val="26"/>
                <w:lang w:val="lv-LV"/>
              </w:rPr>
              <w:t>31.decembrim</w:t>
            </w:r>
            <w:r w:rsidR="002E2217" w:rsidRPr="009A7544">
              <w:rPr>
                <w:rFonts w:eastAsia="Times New Roman"/>
                <w:sz w:val="26"/>
                <w:szCs w:val="26"/>
                <w:lang w:val="lv-LV"/>
              </w:rPr>
              <w:t xml:space="preserve"> (iepriekš</w:t>
            </w:r>
            <w:r w:rsidR="0047735D" w:rsidRPr="009A7544">
              <w:rPr>
                <w:rFonts w:eastAsia="Times New Roman"/>
                <w:sz w:val="26"/>
                <w:szCs w:val="26"/>
                <w:lang w:val="lv-LV"/>
              </w:rPr>
              <w:t xml:space="preserve"> </w:t>
            </w:r>
            <w:r w:rsidR="007714B8" w:rsidRPr="009A7544">
              <w:rPr>
                <w:rFonts w:eastAsia="Times New Roman"/>
                <w:sz w:val="26"/>
                <w:szCs w:val="26"/>
                <w:lang w:val="lv-LV"/>
              </w:rPr>
              <w:t>-</w:t>
            </w:r>
            <w:r w:rsidR="002E2217" w:rsidRPr="009A7544">
              <w:rPr>
                <w:rFonts w:eastAsia="Times New Roman"/>
                <w:sz w:val="26"/>
                <w:szCs w:val="26"/>
                <w:lang w:val="lv-LV"/>
              </w:rPr>
              <w:t xml:space="preserve"> līdz 202</w:t>
            </w:r>
            <w:r w:rsidR="00EF44DD" w:rsidRPr="009A7544">
              <w:rPr>
                <w:rFonts w:eastAsia="Times New Roman"/>
                <w:sz w:val="26"/>
                <w:szCs w:val="26"/>
                <w:lang w:val="lv-LV"/>
              </w:rPr>
              <w:t>1</w:t>
            </w:r>
            <w:r w:rsidR="002E2217" w:rsidRPr="009A7544">
              <w:rPr>
                <w:rFonts w:eastAsia="Times New Roman"/>
                <w:sz w:val="26"/>
                <w:szCs w:val="26"/>
                <w:lang w:val="lv-LV"/>
              </w:rPr>
              <w:t xml:space="preserve">.gada </w:t>
            </w:r>
            <w:r w:rsidR="00EF44DD" w:rsidRPr="009A7544">
              <w:rPr>
                <w:rFonts w:eastAsia="Times New Roman"/>
                <w:sz w:val="26"/>
                <w:szCs w:val="26"/>
                <w:lang w:val="lv-LV"/>
              </w:rPr>
              <w:t>30.jūnijam</w:t>
            </w:r>
            <w:r w:rsidR="002E2217" w:rsidRPr="009A7544">
              <w:rPr>
                <w:rFonts w:eastAsia="Times New Roman"/>
                <w:sz w:val="26"/>
                <w:szCs w:val="26"/>
                <w:lang w:val="lv-LV"/>
              </w:rPr>
              <w:t>) pagarināt termiņu, līdz kuram</w:t>
            </w:r>
            <w:r w:rsidR="0047735D" w:rsidRPr="009A7544">
              <w:rPr>
                <w:rFonts w:eastAsia="Times New Roman"/>
                <w:sz w:val="26"/>
                <w:szCs w:val="26"/>
                <w:lang w:val="lv-LV"/>
              </w:rPr>
              <w:t xml:space="preserve"> nododamo risku valstis, kas iekļautas pielikumā Komisijas </w:t>
            </w:r>
            <w:r w:rsidR="00643C60" w:rsidRPr="009A7544">
              <w:rPr>
                <w:rFonts w:eastAsia="Times New Roman"/>
                <w:sz w:val="26"/>
                <w:szCs w:val="26"/>
                <w:lang w:val="lv-LV"/>
              </w:rPr>
              <w:t>p</w:t>
            </w:r>
            <w:r w:rsidR="0047735D" w:rsidRPr="009A7544">
              <w:rPr>
                <w:rFonts w:eastAsia="Times New Roman"/>
                <w:sz w:val="26"/>
                <w:szCs w:val="26"/>
                <w:lang w:val="lv-LV"/>
              </w:rPr>
              <w:t>aziņojum</w:t>
            </w:r>
            <w:r w:rsidR="005B3CC0" w:rsidRPr="009A7544">
              <w:rPr>
                <w:rFonts w:eastAsia="Times New Roman"/>
                <w:sz w:val="26"/>
                <w:szCs w:val="26"/>
                <w:lang w:val="lv-LV"/>
              </w:rPr>
              <w:t>am</w:t>
            </w:r>
            <w:r w:rsidR="00643C60" w:rsidRPr="009A7544">
              <w:rPr>
                <w:rFonts w:eastAsia="Times New Roman"/>
                <w:sz w:val="26"/>
                <w:szCs w:val="26"/>
                <w:lang w:val="lv-LV"/>
              </w:rPr>
              <w:t xml:space="preserve"> par ĪEKG</w:t>
            </w:r>
            <w:r w:rsidR="005B3CC0" w:rsidRPr="009A7544">
              <w:rPr>
                <w:rFonts w:eastAsia="Times New Roman"/>
                <w:sz w:val="26"/>
                <w:szCs w:val="26"/>
                <w:lang w:val="lv-LV"/>
              </w:rPr>
              <w:t xml:space="preserve"> </w:t>
            </w:r>
            <w:r w:rsidR="0047735D" w:rsidRPr="009A7544">
              <w:rPr>
                <w:rFonts w:eastAsia="Times New Roman"/>
                <w:sz w:val="26"/>
                <w:szCs w:val="26"/>
                <w:lang w:val="lv-LV"/>
              </w:rPr>
              <w:t>pagaidu kārtā tiek noteiktas kā valstis, kuru riski ir</w:t>
            </w:r>
            <w:r w:rsidR="00936CFD" w:rsidRPr="009A7544">
              <w:rPr>
                <w:rFonts w:eastAsia="Times New Roman"/>
                <w:sz w:val="26"/>
                <w:szCs w:val="26"/>
                <w:lang w:val="lv-LV"/>
              </w:rPr>
              <w:t xml:space="preserve"> </w:t>
            </w:r>
            <w:r w:rsidR="0047735D" w:rsidRPr="009A7544">
              <w:rPr>
                <w:rFonts w:eastAsia="Times New Roman"/>
                <w:sz w:val="26"/>
                <w:szCs w:val="26"/>
                <w:lang w:val="lv-LV"/>
              </w:rPr>
              <w:t>nenododami</w:t>
            </w:r>
            <w:r w:rsidRPr="009A7544">
              <w:rPr>
                <w:rFonts w:eastAsia="Times New Roman"/>
                <w:sz w:val="26"/>
                <w:szCs w:val="26"/>
                <w:lang w:val="lv-LV"/>
              </w:rPr>
              <w:t>.</w:t>
            </w:r>
          </w:p>
          <w:p w14:paraId="660008D7" w14:textId="2A600FFA" w:rsidR="00DA6D73" w:rsidRDefault="00DA6D73" w:rsidP="0047735D">
            <w:pPr>
              <w:autoSpaceDE w:val="0"/>
              <w:autoSpaceDN w:val="0"/>
              <w:jc w:val="both"/>
              <w:rPr>
                <w:rFonts w:eastAsia="Times New Roman"/>
                <w:sz w:val="26"/>
                <w:szCs w:val="26"/>
                <w:lang w:val="lv-LV"/>
              </w:rPr>
            </w:pPr>
          </w:p>
          <w:p w14:paraId="6DC32010" w14:textId="77B2C760" w:rsidR="00AB0BBA" w:rsidRPr="009A7544" w:rsidRDefault="005B3CC0" w:rsidP="009A7544">
            <w:pPr>
              <w:autoSpaceDE w:val="0"/>
              <w:autoSpaceDN w:val="0"/>
              <w:jc w:val="both"/>
              <w:rPr>
                <w:rFonts w:eastAsia="Times New Roman"/>
                <w:sz w:val="26"/>
                <w:szCs w:val="26"/>
                <w:lang w:val="lv-LV"/>
              </w:rPr>
            </w:pPr>
            <w:r w:rsidRPr="009A7544">
              <w:rPr>
                <w:rFonts w:eastAsia="Times New Roman"/>
                <w:sz w:val="26"/>
                <w:szCs w:val="26"/>
                <w:lang w:val="lv-LV"/>
              </w:rPr>
              <w:t>Akciju sabiedrība</w:t>
            </w:r>
            <w:r w:rsidR="0082293D" w:rsidRPr="009A7544">
              <w:rPr>
                <w:rFonts w:eastAsia="Times New Roman"/>
                <w:sz w:val="26"/>
                <w:szCs w:val="26"/>
                <w:lang w:val="lv-LV"/>
              </w:rPr>
              <w:t>i</w:t>
            </w:r>
            <w:r w:rsidRPr="009A7544">
              <w:rPr>
                <w:rFonts w:eastAsia="Times New Roman"/>
                <w:sz w:val="26"/>
                <w:szCs w:val="26"/>
                <w:lang w:val="lv-LV"/>
              </w:rPr>
              <w:t xml:space="preserve"> “Attīstības finanšu institūcija Altum” (turpmāk – sabiedrība </w:t>
            </w:r>
            <w:r w:rsidR="00DE76B5" w:rsidRPr="009A7544">
              <w:rPr>
                <w:rFonts w:eastAsia="Times New Roman"/>
                <w:sz w:val="26"/>
                <w:szCs w:val="26"/>
                <w:lang w:val="lv-LV"/>
              </w:rPr>
              <w:t>Altum</w:t>
            </w:r>
            <w:r w:rsidRPr="009A7544">
              <w:rPr>
                <w:rFonts w:eastAsia="Times New Roman"/>
                <w:sz w:val="26"/>
                <w:szCs w:val="26"/>
                <w:lang w:val="lv-LV"/>
              </w:rPr>
              <w:t>)</w:t>
            </w:r>
            <w:r w:rsidR="00DE76B5" w:rsidRPr="009A7544">
              <w:rPr>
                <w:rFonts w:eastAsia="Times New Roman"/>
                <w:sz w:val="26"/>
                <w:szCs w:val="26"/>
                <w:lang w:val="lv-LV"/>
              </w:rPr>
              <w:t xml:space="preserve"> </w:t>
            </w:r>
            <w:r w:rsidR="0082293D" w:rsidRPr="009A7544">
              <w:rPr>
                <w:rFonts w:eastAsia="Times New Roman"/>
                <w:sz w:val="26"/>
                <w:szCs w:val="26"/>
                <w:lang w:val="lv-LV"/>
              </w:rPr>
              <w:t xml:space="preserve">2020.gads no saņemto pieteikumu skaita ir aktīvākais īstermiņa eksporta kredītu garantiju programmas vēsturē. Pieaudzis ne tikai saņemto pieteikumu apjoms, bet arī izsniegto īstermiņa eksporta kredītu garantiju apjoms (visā 2020.gadā izsniegtas jaunas īstermiņa eksporta kredītu garantijas par kopsummu 9.8 milj. EUR (skaits: 121), t.sk., COVID-19 īstermiņa eksporta kredītu garantijas- 5.4 milj. EUR (skaits: 75). </w:t>
            </w:r>
          </w:p>
          <w:p w14:paraId="2097A04B" w14:textId="77777777" w:rsidR="00137CB1" w:rsidRDefault="00137CB1" w:rsidP="006678E3">
            <w:pPr>
              <w:autoSpaceDE w:val="0"/>
              <w:autoSpaceDN w:val="0"/>
              <w:jc w:val="both"/>
              <w:rPr>
                <w:rFonts w:eastAsia="Times New Roman"/>
                <w:sz w:val="26"/>
                <w:szCs w:val="26"/>
                <w:lang w:val="lv-LV"/>
              </w:rPr>
            </w:pPr>
          </w:p>
          <w:p w14:paraId="0F796333" w14:textId="4A6DEF1A" w:rsidR="0082293D" w:rsidRPr="009A7544" w:rsidRDefault="00AB0BBA" w:rsidP="009A7544">
            <w:pPr>
              <w:autoSpaceDE w:val="0"/>
              <w:autoSpaceDN w:val="0"/>
              <w:jc w:val="both"/>
              <w:rPr>
                <w:rFonts w:eastAsia="Times New Roman"/>
                <w:sz w:val="26"/>
                <w:szCs w:val="26"/>
                <w:lang w:val="lv-LV"/>
              </w:rPr>
            </w:pPr>
            <w:r w:rsidRPr="009A7544">
              <w:rPr>
                <w:rFonts w:eastAsia="Times New Roman"/>
                <w:sz w:val="26"/>
                <w:szCs w:val="26"/>
                <w:lang w:val="lv-LV"/>
              </w:rPr>
              <w:t xml:space="preserve">Par pastāvošo tirgus nepilnību Latvijā tostarp segmentā uz tradicionāli nododamo risku valstīm (t.i., attīstītajām valstīm) liecina sabiedrības Altum īstermiņa eksporta kredītu garantiju portfeļa struktūras maiņa kopš 2020.gada 17.aprīļa, kad ir paplašinātas programmas iespējas sniegt īstermiņa eksporta kredītu garantijas neatkarīgi no valsts, kurā reģistrēts debitors. </w:t>
            </w:r>
            <w:r w:rsidRPr="009A7544">
              <w:rPr>
                <w:rFonts w:eastAsia="Times New Roman"/>
                <w:sz w:val="26"/>
                <w:szCs w:val="26"/>
                <w:lang w:val="lv-LV"/>
              </w:rPr>
              <w:lastRenderedPageBreak/>
              <w:t>2020.gada beigās ī</w:t>
            </w:r>
            <w:r w:rsidR="0082293D" w:rsidRPr="009A7544">
              <w:rPr>
                <w:rFonts w:eastAsia="Times New Roman"/>
                <w:sz w:val="26"/>
                <w:szCs w:val="26"/>
                <w:lang w:val="lv-LV"/>
              </w:rPr>
              <w:t>stermiņa eksporta kredītu garantiju programmas portfeļa proporcija – 55% trešās valstis (2019.g.-80%) un 45% ES un daļa OECD valstu (2019.g.-20%). Īstermiņa eksporta kredītu garantiju programmas kopējais portfelis 2020.gada beigās sastāda 14.5 milj. EUR.</w:t>
            </w:r>
          </w:p>
          <w:p w14:paraId="57464EAA" w14:textId="77777777" w:rsidR="006678E3" w:rsidRPr="00F500DC" w:rsidRDefault="006678E3" w:rsidP="006678E3">
            <w:pPr>
              <w:autoSpaceDE w:val="0"/>
              <w:autoSpaceDN w:val="0"/>
              <w:jc w:val="both"/>
              <w:rPr>
                <w:rFonts w:eastAsia="Times New Roman"/>
                <w:sz w:val="26"/>
                <w:szCs w:val="26"/>
                <w:lang w:val="lv-LV"/>
              </w:rPr>
            </w:pPr>
          </w:p>
          <w:p w14:paraId="5AD2B091" w14:textId="403B313C" w:rsidR="006678E3" w:rsidRPr="007779BB" w:rsidRDefault="00DE76B5" w:rsidP="009A7544">
            <w:pPr>
              <w:autoSpaceDE w:val="0"/>
              <w:autoSpaceDN w:val="0"/>
              <w:jc w:val="both"/>
              <w:rPr>
                <w:rFonts w:eastAsia="Times New Roman"/>
                <w:sz w:val="26"/>
                <w:szCs w:val="26"/>
                <w:lang w:val="lv-LV"/>
              </w:rPr>
            </w:pPr>
            <w:r w:rsidRPr="009A7544">
              <w:rPr>
                <w:rFonts w:eastAsia="Times New Roman"/>
                <w:sz w:val="26"/>
                <w:szCs w:val="26"/>
                <w:lang w:val="lv-LV"/>
              </w:rPr>
              <w:t>Lai gan š</w:t>
            </w:r>
            <w:r w:rsidR="006678E3" w:rsidRPr="009A7544">
              <w:rPr>
                <w:rFonts w:eastAsia="Times New Roman"/>
                <w:sz w:val="26"/>
                <w:szCs w:val="26"/>
                <w:lang w:val="lv-LV"/>
              </w:rPr>
              <w:t>obrīd vēl nav v</w:t>
            </w:r>
            <w:r w:rsidR="00534ADE" w:rsidRPr="009A7544">
              <w:rPr>
                <w:rFonts w:eastAsia="Times New Roman"/>
                <w:sz w:val="26"/>
                <w:szCs w:val="26"/>
                <w:lang w:val="lv-LV"/>
              </w:rPr>
              <w:t xml:space="preserve">ērojams </w:t>
            </w:r>
            <w:r w:rsidR="006678E3" w:rsidRPr="009A7544">
              <w:rPr>
                <w:rFonts w:eastAsia="Times New Roman"/>
                <w:sz w:val="26"/>
                <w:szCs w:val="26"/>
                <w:lang w:val="lv-LV"/>
              </w:rPr>
              <w:t>zaudējumu atlīdzības izmaks</w:t>
            </w:r>
            <w:r w:rsidR="00534ADE" w:rsidRPr="009A7544">
              <w:rPr>
                <w:rFonts w:eastAsia="Times New Roman"/>
                <w:sz w:val="26"/>
                <w:szCs w:val="26"/>
                <w:lang w:val="lv-LV"/>
              </w:rPr>
              <w:t>u pieteikumu skaita pieaugums</w:t>
            </w:r>
            <w:r w:rsidR="006678E3" w:rsidRPr="009A7544">
              <w:rPr>
                <w:rFonts w:eastAsia="Times New Roman"/>
                <w:sz w:val="26"/>
                <w:szCs w:val="26"/>
                <w:lang w:val="lv-LV"/>
              </w:rPr>
              <w:t>, kas būtu saistīt</w:t>
            </w:r>
            <w:r w:rsidRPr="009A7544">
              <w:rPr>
                <w:rFonts w:eastAsia="Times New Roman"/>
                <w:sz w:val="26"/>
                <w:szCs w:val="26"/>
                <w:lang w:val="lv-LV"/>
              </w:rPr>
              <w:t>s</w:t>
            </w:r>
            <w:r w:rsidR="006678E3" w:rsidRPr="009A7544">
              <w:rPr>
                <w:rFonts w:eastAsia="Times New Roman"/>
                <w:sz w:val="26"/>
                <w:szCs w:val="26"/>
                <w:lang w:val="lv-LV"/>
              </w:rPr>
              <w:t xml:space="preserve"> ar COVID-19 krīzes radīto apstākļu ietekmi, </w:t>
            </w:r>
            <w:r w:rsidR="005B3CC0" w:rsidRPr="009A7544">
              <w:rPr>
                <w:rFonts w:eastAsia="Times New Roman"/>
                <w:sz w:val="26"/>
                <w:szCs w:val="26"/>
                <w:lang w:val="lv-LV"/>
              </w:rPr>
              <w:t xml:space="preserve">sabiedrība </w:t>
            </w:r>
            <w:r w:rsidR="00373A49" w:rsidRPr="009A7544">
              <w:rPr>
                <w:rFonts w:eastAsia="Times New Roman"/>
                <w:sz w:val="26"/>
                <w:szCs w:val="26"/>
                <w:lang w:val="lv-LV"/>
              </w:rPr>
              <w:t xml:space="preserve">Altum </w:t>
            </w:r>
            <w:r w:rsidRPr="009A7544">
              <w:rPr>
                <w:rFonts w:eastAsia="Times New Roman"/>
                <w:sz w:val="26"/>
                <w:szCs w:val="26"/>
                <w:lang w:val="lv-LV"/>
              </w:rPr>
              <w:t>salīdzinoši</w:t>
            </w:r>
            <w:r w:rsidR="00534ADE" w:rsidRPr="009A7544">
              <w:rPr>
                <w:rFonts w:eastAsia="Times New Roman"/>
                <w:sz w:val="26"/>
                <w:szCs w:val="26"/>
                <w:lang w:val="lv-LV"/>
              </w:rPr>
              <w:t xml:space="preserve"> </w:t>
            </w:r>
            <w:r w:rsidRPr="009A7544">
              <w:rPr>
                <w:rFonts w:eastAsia="Times New Roman"/>
                <w:sz w:val="26"/>
                <w:szCs w:val="26"/>
                <w:lang w:val="lv-LV"/>
              </w:rPr>
              <w:t xml:space="preserve">biežāk </w:t>
            </w:r>
            <w:r w:rsidR="00373A49" w:rsidRPr="009A7544">
              <w:rPr>
                <w:rFonts w:eastAsia="Times New Roman"/>
                <w:sz w:val="26"/>
                <w:szCs w:val="26"/>
                <w:lang w:val="lv-LV"/>
              </w:rPr>
              <w:t>saņem</w:t>
            </w:r>
            <w:r w:rsidRPr="009A7544">
              <w:rPr>
                <w:rFonts w:eastAsia="Times New Roman"/>
                <w:sz w:val="26"/>
                <w:szCs w:val="26"/>
                <w:lang w:val="lv-LV"/>
              </w:rPr>
              <w:t xml:space="preserve"> </w:t>
            </w:r>
            <w:r w:rsidR="006678E3" w:rsidRPr="009A7544">
              <w:rPr>
                <w:rFonts w:eastAsia="Times New Roman"/>
                <w:sz w:val="26"/>
                <w:szCs w:val="26"/>
                <w:lang w:val="lv-LV"/>
              </w:rPr>
              <w:t>maksājumu kavējumu pieteikum</w:t>
            </w:r>
            <w:r w:rsidR="00373A49" w:rsidRPr="009A7544">
              <w:rPr>
                <w:rFonts w:eastAsia="Times New Roman"/>
                <w:sz w:val="26"/>
                <w:szCs w:val="26"/>
                <w:lang w:val="lv-LV"/>
              </w:rPr>
              <w:t>us</w:t>
            </w:r>
            <w:r w:rsidR="00534ADE" w:rsidRPr="009A7544">
              <w:rPr>
                <w:rFonts w:eastAsia="Times New Roman"/>
                <w:sz w:val="26"/>
                <w:szCs w:val="26"/>
                <w:lang w:val="lv-LV"/>
              </w:rPr>
              <w:t>.</w:t>
            </w:r>
            <w:r w:rsidR="006678E3" w:rsidRPr="009A7544">
              <w:rPr>
                <w:rFonts w:eastAsia="Times New Roman"/>
                <w:sz w:val="26"/>
                <w:szCs w:val="26"/>
                <w:lang w:val="lv-LV"/>
              </w:rPr>
              <w:t xml:space="preserve"> </w:t>
            </w:r>
            <w:r w:rsidR="00373A49" w:rsidRPr="009A7544">
              <w:rPr>
                <w:rFonts w:eastAsia="Times New Roman"/>
                <w:sz w:val="26"/>
                <w:szCs w:val="26"/>
                <w:lang w:val="lv-LV"/>
              </w:rPr>
              <w:t>Līdzīgi arī p</w:t>
            </w:r>
            <w:r w:rsidR="006678E3" w:rsidRPr="009A7544">
              <w:rPr>
                <w:rFonts w:eastAsia="Times New Roman"/>
                <w:sz w:val="26"/>
                <w:szCs w:val="26"/>
                <w:lang w:val="lv-LV"/>
              </w:rPr>
              <w:t xml:space="preserve">rivātie apdrošinātāji lielāko maksātnespēju vilni sagaida tieši 2021.gada </w:t>
            </w:r>
            <w:r w:rsidR="009A7544" w:rsidRPr="009A7544">
              <w:rPr>
                <w:rFonts w:eastAsia="Times New Roman"/>
                <w:sz w:val="26"/>
                <w:szCs w:val="26"/>
                <w:lang w:val="lv-LV"/>
              </w:rPr>
              <w:t xml:space="preserve">pirmajā </w:t>
            </w:r>
            <w:r w:rsidR="009A7544" w:rsidRPr="007779BB">
              <w:rPr>
                <w:rFonts w:eastAsia="Times New Roman"/>
                <w:sz w:val="26"/>
                <w:szCs w:val="26"/>
                <w:lang w:val="lv-LV"/>
              </w:rPr>
              <w:t>pusē</w:t>
            </w:r>
            <w:r w:rsidR="006678E3" w:rsidRPr="007779BB">
              <w:rPr>
                <w:rFonts w:eastAsia="Times New Roman"/>
                <w:sz w:val="26"/>
                <w:szCs w:val="26"/>
                <w:lang w:val="lv-LV"/>
              </w:rPr>
              <w:t>.</w:t>
            </w:r>
          </w:p>
          <w:p w14:paraId="39DC9979" w14:textId="5EF88628" w:rsidR="009A7544" w:rsidRPr="007779BB" w:rsidRDefault="009A7544" w:rsidP="009A7544">
            <w:pPr>
              <w:autoSpaceDE w:val="0"/>
              <w:autoSpaceDN w:val="0"/>
              <w:jc w:val="both"/>
              <w:rPr>
                <w:rFonts w:eastAsia="Times New Roman"/>
                <w:sz w:val="26"/>
                <w:szCs w:val="26"/>
                <w:lang w:val="lv-LV"/>
              </w:rPr>
            </w:pPr>
          </w:p>
          <w:p w14:paraId="7F3F8624" w14:textId="43A53B6A" w:rsidR="009A7544" w:rsidRPr="007779BB" w:rsidRDefault="009A7544" w:rsidP="009A7544">
            <w:pPr>
              <w:autoSpaceDE w:val="0"/>
              <w:autoSpaceDN w:val="0"/>
              <w:jc w:val="both"/>
              <w:rPr>
                <w:rFonts w:eastAsia="Times New Roman"/>
                <w:sz w:val="26"/>
                <w:szCs w:val="26"/>
                <w:lang w:val="lv-LV"/>
              </w:rPr>
            </w:pPr>
            <w:r w:rsidRPr="007779BB">
              <w:rPr>
                <w:rFonts w:eastAsia="Times New Roman"/>
                <w:sz w:val="26"/>
                <w:szCs w:val="26"/>
                <w:lang w:val="lv-LV"/>
              </w:rPr>
              <w:t xml:space="preserve">Pieaugot programmas portfelim, kā arī jauno izsniegto garantiju apjomam, </w:t>
            </w:r>
            <w:r w:rsidR="00503DF8" w:rsidRPr="007779BB">
              <w:rPr>
                <w:rFonts w:eastAsia="Times New Roman"/>
                <w:sz w:val="26"/>
                <w:szCs w:val="26"/>
                <w:lang w:val="lv-LV"/>
              </w:rPr>
              <w:t>l</w:t>
            </w:r>
            <w:r w:rsidR="00003BD1" w:rsidRPr="007779BB">
              <w:rPr>
                <w:rFonts w:eastAsia="Times New Roman"/>
                <w:sz w:val="26"/>
                <w:szCs w:val="26"/>
                <w:lang w:val="lv-LV"/>
              </w:rPr>
              <w:t>ai neierobežotu programmas iespējas turpināt izsniegt jaunas garantijas, ir nepieciešams papildu publiskais finansējums kredītrisku segumam, kas tiek noteikts programmas rādītāju novērtējumā atbilstoši “Attīstības finanšu institūcijas likuma” 12. panta 3. daļai.</w:t>
            </w:r>
            <w:r w:rsidR="00AE0A53" w:rsidRPr="007779BB">
              <w:rPr>
                <w:rFonts w:eastAsia="Times New Roman"/>
                <w:sz w:val="26"/>
                <w:szCs w:val="26"/>
                <w:lang w:val="lv-LV"/>
              </w:rPr>
              <w:t xml:space="preserve"> Īstermiņa eksporta kredīta garantiju programmas īstenošanai izmanto Eiropas Reģionālās attīstības fonda 2007.–2013. gada plānošanas perioda 2.2.1.4.1. </w:t>
            </w:r>
            <w:proofErr w:type="spellStart"/>
            <w:r w:rsidR="00AE0A53" w:rsidRPr="007779BB">
              <w:rPr>
                <w:rFonts w:eastAsia="Times New Roman"/>
                <w:sz w:val="26"/>
                <w:szCs w:val="26"/>
                <w:lang w:val="lv-LV"/>
              </w:rPr>
              <w:t>apakšaktivitātes</w:t>
            </w:r>
            <w:proofErr w:type="spellEnd"/>
            <w:r w:rsidR="00AE0A53" w:rsidRPr="007779BB">
              <w:rPr>
                <w:rFonts w:eastAsia="Times New Roman"/>
                <w:sz w:val="26"/>
                <w:szCs w:val="26"/>
                <w:lang w:val="lv-LV"/>
              </w:rPr>
              <w:t xml:space="preserve"> "Atbalsts aizdevumu veidā komersantu konkurētspējas uzlabošanai" ietvaros atmaksāto publisko finansējumu 2 030 000 euro apmērā un 2004.–2006. gada Eiropas Savienības fondu plānošanas perioda 2.4.1. nacionālās programmas "Aizdevumi (t. sk. </w:t>
            </w:r>
            <w:proofErr w:type="spellStart"/>
            <w:r w:rsidR="00AE0A53" w:rsidRPr="007779BB">
              <w:rPr>
                <w:rFonts w:eastAsia="Times New Roman"/>
                <w:sz w:val="26"/>
                <w:szCs w:val="26"/>
                <w:lang w:val="lv-LV"/>
              </w:rPr>
              <w:t>mikrokredīti</w:t>
            </w:r>
            <w:proofErr w:type="spellEnd"/>
            <w:r w:rsidR="00AE0A53" w:rsidRPr="007779BB">
              <w:rPr>
                <w:rFonts w:eastAsia="Times New Roman"/>
                <w:sz w:val="26"/>
                <w:szCs w:val="26"/>
                <w:lang w:val="lv-LV"/>
              </w:rPr>
              <w:t xml:space="preserve">) komercdarbības uzsākšanai" ietvaros atmaksāto publisko finansējumu 470 000 euro apmērā. Papildus programmas īstenošanai novirzāms </w:t>
            </w:r>
            <w:r w:rsidR="00E45341" w:rsidRPr="00694CFA">
              <w:rPr>
                <w:rFonts w:eastAsia="Times New Roman"/>
                <w:sz w:val="26"/>
                <w:szCs w:val="26"/>
                <w:lang w:val="lv-LV"/>
              </w:rPr>
              <w:t xml:space="preserve">1 milj. </w:t>
            </w:r>
            <w:r w:rsidR="00E45341" w:rsidRPr="00694CFA">
              <w:rPr>
                <w:rFonts w:eastAsia="Times New Roman"/>
                <w:i/>
                <w:iCs/>
                <w:sz w:val="26"/>
                <w:szCs w:val="26"/>
                <w:lang w:val="lv-LV"/>
              </w:rPr>
              <w:t>euro</w:t>
            </w:r>
            <w:r w:rsidR="00AE0A53" w:rsidRPr="007779BB">
              <w:rPr>
                <w:rFonts w:eastAsia="Times New Roman"/>
                <w:sz w:val="26"/>
                <w:szCs w:val="26"/>
                <w:lang w:val="lv-LV"/>
              </w:rPr>
              <w:t xml:space="preserve"> no Eiropas Reģionālās attīstības fonda 2007.–2013. gada plānošanas perioda 2.2.1.4.1. </w:t>
            </w:r>
            <w:proofErr w:type="spellStart"/>
            <w:r w:rsidR="00AE0A53" w:rsidRPr="007779BB">
              <w:rPr>
                <w:rFonts w:eastAsia="Times New Roman"/>
                <w:sz w:val="26"/>
                <w:szCs w:val="26"/>
                <w:lang w:val="lv-LV"/>
              </w:rPr>
              <w:t>apakšaktivitātes</w:t>
            </w:r>
            <w:proofErr w:type="spellEnd"/>
            <w:r w:rsidR="00AE0A53" w:rsidRPr="007779BB">
              <w:rPr>
                <w:rFonts w:eastAsia="Times New Roman"/>
                <w:sz w:val="26"/>
                <w:szCs w:val="26"/>
                <w:lang w:val="lv-LV"/>
              </w:rPr>
              <w:t xml:space="preserve"> "Atbalsts aizdevumu veidā komersantu konkurētspējas uzlabošanai" ietvaros atmaksātā publiskā finansējuma</w:t>
            </w:r>
          </w:p>
          <w:p w14:paraId="098C25BA" w14:textId="609012BB" w:rsidR="00AE0A53" w:rsidRPr="007779BB" w:rsidRDefault="00AE0A53" w:rsidP="009A7544">
            <w:pPr>
              <w:autoSpaceDE w:val="0"/>
              <w:autoSpaceDN w:val="0"/>
              <w:jc w:val="both"/>
              <w:rPr>
                <w:rFonts w:eastAsia="Times New Roman"/>
                <w:sz w:val="26"/>
                <w:szCs w:val="26"/>
                <w:lang w:val="lv-LV"/>
              </w:rPr>
            </w:pPr>
          </w:p>
          <w:p w14:paraId="54C2ECF1" w14:textId="2298E5FB" w:rsidR="00DE76B5" w:rsidRDefault="00AE0A53" w:rsidP="00A72837">
            <w:pPr>
              <w:autoSpaceDE w:val="0"/>
              <w:autoSpaceDN w:val="0"/>
              <w:jc w:val="both"/>
              <w:rPr>
                <w:rFonts w:eastAsia="Times New Roman"/>
                <w:sz w:val="26"/>
                <w:szCs w:val="26"/>
                <w:lang w:val="lv-LV"/>
              </w:rPr>
            </w:pPr>
            <w:r w:rsidRPr="007779BB">
              <w:rPr>
                <w:rFonts w:eastAsia="Times New Roman"/>
                <w:sz w:val="26"/>
                <w:szCs w:val="26"/>
                <w:lang w:val="lv-LV"/>
              </w:rPr>
              <w:t>Saskaņā ar Eiropas Komisijas lēmumā</w:t>
            </w:r>
            <w:r w:rsidRPr="007779BB">
              <w:rPr>
                <w:rFonts w:eastAsia="Times New Roman"/>
                <w:sz w:val="26"/>
                <w:szCs w:val="26"/>
                <w:vertAlign w:val="superscript"/>
                <w:lang w:val="lv-LV"/>
              </w:rPr>
              <w:footnoteReference w:id="3"/>
            </w:r>
            <w:r w:rsidRPr="007779BB">
              <w:rPr>
                <w:rFonts w:eastAsia="Times New Roman"/>
                <w:sz w:val="26"/>
                <w:szCs w:val="26"/>
                <w:lang w:val="lv-LV"/>
              </w:rPr>
              <w:t xml:space="preserve"> minēto vispārējs kopējais maksimālais valsts finansējums īstermiņa eksporta kredīta garantijām ir 2.5 m EUR ar iespēju to palielināt līdz 5m EUR programmai kopumā, un par to nebūtu nepieciešams atsevišķs paziņojums vai saskaņojums ar Eiropas Komisiju, proti, papildu publiskā finansējuma līdz 2.5m EUR piešķiršana programmai būtu īstenojams esošā lēmuma ietvaros</w:t>
            </w:r>
            <w:r w:rsidR="00A72837" w:rsidRPr="007779BB">
              <w:rPr>
                <w:rStyle w:val="FootnoteReference"/>
                <w:rFonts w:eastAsia="Times New Roman"/>
                <w:sz w:val="26"/>
                <w:szCs w:val="26"/>
                <w:lang w:val="lv-LV"/>
              </w:rPr>
              <w:footnoteReference w:id="4"/>
            </w:r>
            <w:r w:rsidR="001E216A" w:rsidRPr="007779BB">
              <w:rPr>
                <w:rFonts w:eastAsia="Times New Roman"/>
                <w:sz w:val="26"/>
                <w:szCs w:val="26"/>
                <w:lang w:val="lv-LV"/>
              </w:rPr>
              <w:t>.</w:t>
            </w:r>
          </w:p>
          <w:p w14:paraId="5EBB84A8" w14:textId="77777777" w:rsidR="001E216A" w:rsidRPr="00F500DC" w:rsidRDefault="001E216A" w:rsidP="00A72837">
            <w:pPr>
              <w:autoSpaceDE w:val="0"/>
              <w:autoSpaceDN w:val="0"/>
              <w:jc w:val="both"/>
              <w:rPr>
                <w:rFonts w:eastAsia="Times New Roman"/>
                <w:sz w:val="26"/>
                <w:szCs w:val="26"/>
                <w:lang w:val="lv-LV"/>
              </w:rPr>
            </w:pPr>
          </w:p>
          <w:p w14:paraId="6991BC77" w14:textId="0732608B" w:rsidR="001E7DAD" w:rsidRPr="009A7544" w:rsidRDefault="00137CB1" w:rsidP="009A7544">
            <w:pPr>
              <w:autoSpaceDE w:val="0"/>
              <w:autoSpaceDN w:val="0"/>
              <w:jc w:val="both"/>
              <w:rPr>
                <w:rFonts w:eastAsia="Times New Roman"/>
                <w:sz w:val="26"/>
                <w:szCs w:val="26"/>
                <w:lang w:val="lv-LV"/>
              </w:rPr>
            </w:pPr>
            <w:r w:rsidRPr="009A7544">
              <w:rPr>
                <w:rFonts w:eastAsia="Times New Roman"/>
                <w:sz w:val="26"/>
                <w:szCs w:val="26"/>
                <w:lang w:val="lv-LV"/>
              </w:rPr>
              <w:t xml:space="preserve">Sagaidāms, ka preču eksporta norises uzturēs mazāki piegādes ķēžu pārrāvumi nekā Covid-19 pandēmijas sākumposmā, kā arī Latvijas preču eksporta struktūra. Pašreizējās krīzes laikā </w:t>
            </w:r>
            <w:r w:rsidRPr="009A7544">
              <w:rPr>
                <w:rFonts w:eastAsia="Times New Roman"/>
                <w:sz w:val="26"/>
                <w:szCs w:val="26"/>
                <w:lang w:val="lv-LV"/>
              </w:rPr>
              <w:lastRenderedPageBreak/>
              <w:t>veiksmīgi turpinājies pārtikas produktu eksports, un gaidāma arī pieprasījuma noturība kokmateriālu un elektronikas tirgos.</w:t>
            </w:r>
            <w:r w:rsidRPr="009A7544">
              <w:rPr>
                <w:vertAlign w:val="superscript"/>
                <w:lang w:val="lv-LV"/>
              </w:rPr>
              <w:footnoteReference w:id="5"/>
            </w:r>
            <w:r w:rsidRPr="009A7544">
              <w:rPr>
                <w:rFonts w:eastAsia="Times New Roman"/>
                <w:sz w:val="26"/>
                <w:szCs w:val="26"/>
                <w:lang w:val="lv-LV"/>
              </w:rPr>
              <w:t xml:space="preserve"> </w:t>
            </w:r>
            <w:r w:rsidR="00F45EAE" w:rsidRPr="009A7544">
              <w:rPr>
                <w:rFonts w:eastAsia="Times New Roman"/>
                <w:sz w:val="26"/>
                <w:szCs w:val="26"/>
                <w:lang w:val="lv-LV"/>
              </w:rPr>
              <w:t>Vienlaikus joprojām pastāv nedrošība un neziņa</w:t>
            </w:r>
            <w:r w:rsidR="00D26474" w:rsidRPr="009A7544">
              <w:rPr>
                <w:rFonts w:eastAsia="Times New Roman"/>
                <w:sz w:val="26"/>
                <w:szCs w:val="26"/>
                <w:lang w:val="lv-LV"/>
              </w:rPr>
              <w:t>, kas saistīta ar</w:t>
            </w:r>
            <w:r w:rsidR="00F45EAE" w:rsidRPr="009A7544">
              <w:rPr>
                <w:rFonts w:eastAsia="Times New Roman"/>
                <w:sz w:val="26"/>
                <w:szCs w:val="26"/>
                <w:lang w:val="lv-LV"/>
              </w:rPr>
              <w:t xml:space="preserve"> COVID-19 saslimstības </w:t>
            </w:r>
            <w:r w:rsidR="00B71169" w:rsidRPr="009A7544">
              <w:rPr>
                <w:rFonts w:eastAsia="Times New Roman"/>
                <w:sz w:val="26"/>
                <w:szCs w:val="26"/>
                <w:lang w:val="lv-LV"/>
              </w:rPr>
              <w:t xml:space="preserve">turpmāku </w:t>
            </w:r>
            <w:r w:rsidRPr="009A7544">
              <w:rPr>
                <w:rFonts w:eastAsia="Times New Roman"/>
                <w:sz w:val="26"/>
                <w:szCs w:val="26"/>
                <w:lang w:val="lv-LV"/>
              </w:rPr>
              <w:t>attīstību un vakcīnu pieejamību nākotnē,</w:t>
            </w:r>
            <w:r w:rsidR="00B71169" w:rsidRPr="009A7544">
              <w:rPr>
                <w:rFonts w:eastAsia="Times New Roman"/>
                <w:sz w:val="26"/>
                <w:szCs w:val="26"/>
                <w:lang w:val="lv-LV"/>
              </w:rPr>
              <w:t xml:space="preserve"> un</w:t>
            </w:r>
            <w:r w:rsidRPr="009A7544">
              <w:rPr>
                <w:rFonts w:eastAsia="Times New Roman"/>
                <w:sz w:val="26"/>
                <w:szCs w:val="26"/>
                <w:lang w:val="lv-LV"/>
              </w:rPr>
              <w:t xml:space="preserve"> kas saistīti ar ierobežojumu saglabāšanu </w:t>
            </w:r>
            <w:r w:rsidR="00D26474" w:rsidRPr="009A7544">
              <w:rPr>
                <w:rFonts w:eastAsia="Times New Roman"/>
                <w:sz w:val="26"/>
                <w:szCs w:val="26"/>
                <w:lang w:val="lv-LV"/>
              </w:rPr>
              <w:t>gan Latvijā, gan Latvijas eksportētāju debitoru r</w:t>
            </w:r>
            <w:r w:rsidR="009A7544" w:rsidRPr="009A7544">
              <w:rPr>
                <w:rFonts w:eastAsia="Times New Roman"/>
                <w:sz w:val="26"/>
                <w:szCs w:val="26"/>
                <w:lang w:val="lv-LV"/>
              </w:rPr>
              <w:t>eģistrācijas</w:t>
            </w:r>
            <w:r w:rsidR="00D26474" w:rsidRPr="009A7544">
              <w:rPr>
                <w:rFonts w:eastAsia="Times New Roman"/>
                <w:sz w:val="26"/>
                <w:szCs w:val="26"/>
                <w:lang w:val="lv-LV"/>
              </w:rPr>
              <w:t xml:space="preserve"> valstīs.</w:t>
            </w:r>
          </w:p>
          <w:p w14:paraId="45B1ED52" w14:textId="38C017F7" w:rsidR="001E7DAD" w:rsidRDefault="001E7DAD" w:rsidP="00F45EAE">
            <w:pPr>
              <w:autoSpaceDE w:val="0"/>
              <w:autoSpaceDN w:val="0"/>
              <w:jc w:val="both"/>
              <w:rPr>
                <w:rFonts w:eastAsia="Times New Roman"/>
                <w:sz w:val="26"/>
                <w:szCs w:val="26"/>
                <w:lang w:val="lv-LV"/>
              </w:rPr>
            </w:pPr>
          </w:p>
          <w:p w14:paraId="74D0EB86" w14:textId="2F62D179" w:rsidR="00D36EC8" w:rsidRPr="009A7544" w:rsidRDefault="00461942" w:rsidP="009A7544">
            <w:pPr>
              <w:autoSpaceDE w:val="0"/>
              <w:autoSpaceDN w:val="0"/>
              <w:jc w:val="both"/>
              <w:rPr>
                <w:rFonts w:eastAsia="Times New Roman"/>
                <w:sz w:val="26"/>
                <w:szCs w:val="26"/>
                <w:lang w:val="lv-LV"/>
              </w:rPr>
            </w:pPr>
            <w:r w:rsidRPr="009A7544">
              <w:rPr>
                <w:rFonts w:eastAsia="Times New Roman"/>
                <w:sz w:val="26"/>
                <w:szCs w:val="26"/>
                <w:lang w:val="lv-LV"/>
              </w:rPr>
              <w:t>Dominējošās eksporta valstis Eiropas Savienības un daļas OECD valstu grupā 2020.gada beigās bija  Lielbritānija, Lietuva, Itālija, Šveice, Vācija, Igaunija, Norvēģija, savukārt trešo valstu grupā - Krievija, Baltkrievija, Ukraina, Moldova. Ī</w:t>
            </w:r>
            <w:r w:rsidR="00A21E62" w:rsidRPr="009A7544">
              <w:rPr>
                <w:rFonts w:eastAsia="Times New Roman"/>
                <w:sz w:val="26"/>
                <w:szCs w:val="26"/>
                <w:lang w:val="lv-LV"/>
              </w:rPr>
              <w:t>stermiņa eksporta garantijas tiek izmantotas gan jau ilglaicīgiem eksporta partneriem (pircējiem), gan arī tiek meklēti jauni darījumu partneri un vēl neapgūtas tirdzniecības zonas, t.i., eksportētāji diversificē savus eksporta portfeļus.</w:t>
            </w:r>
          </w:p>
          <w:p w14:paraId="117D6C9A" w14:textId="28A805CE" w:rsidR="00F9767D" w:rsidRPr="00F500DC" w:rsidRDefault="00F9767D" w:rsidP="00F9767D">
            <w:pPr>
              <w:autoSpaceDE w:val="0"/>
              <w:autoSpaceDN w:val="0"/>
              <w:jc w:val="both"/>
              <w:rPr>
                <w:rFonts w:eastAsia="Times New Roman"/>
                <w:sz w:val="26"/>
                <w:szCs w:val="26"/>
                <w:lang w:val="lv-LV"/>
              </w:rPr>
            </w:pPr>
            <w:r w:rsidRPr="00F500DC">
              <w:rPr>
                <w:rFonts w:eastAsia="Times New Roman"/>
                <w:sz w:val="26"/>
                <w:szCs w:val="26"/>
                <w:lang w:val="lv-LV"/>
              </w:rPr>
              <w:t xml:space="preserve"> </w:t>
            </w:r>
          </w:p>
          <w:p w14:paraId="087F6C80" w14:textId="6C3362E5" w:rsidR="00597F23" w:rsidRPr="00F500DC" w:rsidRDefault="00844A6C" w:rsidP="00844A6C">
            <w:pPr>
              <w:spacing w:after="120"/>
              <w:jc w:val="both"/>
              <w:rPr>
                <w:bCs/>
                <w:iCs/>
                <w:color w:val="000000"/>
                <w:sz w:val="26"/>
                <w:szCs w:val="26"/>
                <w:lang w:val="lv-LV" w:eastAsia="lv-LV"/>
              </w:rPr>
            </w:pPr>
            <w:r w:rsidRPr="00F500DC">
              <w:rPr>
                <w:rFonts w:eastAsia="Times New Roman"/>
                <w:sz w:val="26"/>
                <w:szCs w:val="26"/>
                <w:lang w:val="lv-LV"/>
              </w:rPr>
              <w:t>Lai turpinātu mazināt</w:t>
            </w:r>
            <w:bookmarkStart w:id="7" w:name="_Hlk37247587"/>
            <w:r w:rsidR="00D71454" w:rsidRPr="00F500DC">
              <w:rPr>
                <w:bCs/>
                <w:iCs/>
                <w:color w:val="000000"/>
                <w:sz w:val="26"/>
                <w:szCs w:val="26"/>
                <w:lang w:val="lv-LV" w:eastAsia="lv-LV"/>
              </w:rPr>
              <w:t xml:space="preserve"> Covid-19</w:t>
            </w:r>
            <w:r w:rsidRPr="00F500DC">
              <w:rPr>
                <w:bCs/>
                <w:iCs/>
                <w:color w:val="000000"/>
                <w:sz w:val="26"/>
                <w:szCs w:val="26"/>
                <w:lang w:val="lv-LV" w:eastAsia="lv-LV"/>
              </w:rPr>
              <w:t xml:space="preserve"> pandēmijas izraisītās</w:t>
            </w:r>
            <w:r w:rsidR="00D71454" w:rsidRPr="00F500DC">
              <w:rPr>
                <w:bCs/>
                <w:iCs/>
                <w:color w:val="000000"/>
                <w:sz w:val="26"/>
                <w:szCs w:val="26"/>
                <w:lang w:val="lv-LV" w:eastAsia="lv-LV"/>
              </w:rPr>
              <w:t xml:space="preserve"> krīzes ietekmi uz Latvijas eksportētājiem, </w:t>
            </w:r>
            <w:r w:rsidR="002C3A9B" w:rsidRPr="00F500DC">
              <w:rPr>
                <w:bCs/>
                <w:iCs/>
                <w:color w:val="000000"/>
                <w:sz w:val="26"/>
                <w:szCs w:val="26"/>
                <w:lang w:val="lv-LV" w:eastAsia="lv-LV"/>
              </w:rPr>
              <w:t>Ekonomikas ministrija ir izstrādājusi</w:t>
            </w:r>
            <w:r w:rsidRPr="00F500DC">
              <w:rPr>
                <w:bCs/>
                <w:iCs/>
                <w:color w:val="000000"/>
                <w:sz w:val="26"/>
                <w:szCs w:val="26"/>
                <w:lang w:val="lv-LV" w:eastAsia="lv-LV"/>
              </w:rPr>
              <w:t xml:space="preserve"> </w:t>
            </w:r>
            <w:r w:rsidR="00906C1A" w:rsidRPr="00F500DC">
              <w:rPr>
                <w:bCs/>
                <w:iCs/>
                <w:color w:val="000000"/>
                <w:sz w:val="26"/>
                <w:szCs w:val="26"/>
                <w:lang w:val="lv-LV" w:eastAsia="lv-LV"/>
              </w:rPr>
              <w:t xml:space="preserve">šo </w:t>
            </w:r>
            <w:r w:rsidR="008340FF" w:rsidRPr="00F500DC">
              <w:rPr>
                <w:bCs/>
                <w:iCs/>
                <w:color w:val="000000"/>
                <w:sz w:val="26"/>
                <w:szCs w:val="26"/>
                <w:lang w:val="lv-LV" w:eastAsia="lv-LV"/>
              </w:rPr>
              <w:t>N</w:t>
            </w:r>
            <w:r w:rsidR="002C3A9B" w:rsidRPr="00F500DC">
              <w:rPr>
                <w:bCs/>
                <w:iCs/>
                <w:color w:val="000000"/>
                <w:sz w:val="26"/>
                <w:szCs w:val="26"/>
                <w:lang w:val="lv-LV" w:eastAsia="lv-LV"/>
              </w:rPr>
              <w:t>oteikumu projektu</w:t>
            </w:r>
            <w:r w:rsidR="00597F23" w:rsidRPr="00F500DC">
              <w:rPr>
                <w:bCs/>
                <w:iCs/>
                <w:color w:val="000000"/>
                <w:sz w:val="26"/>
                <w:szCs w:val="26"/>
                <w:lang w:val="lv-LV" w:eastAsia="lv-LV"/>
              </w:rPr>
              <w:t>:</w:t>
            </w:r>
          </w:p>
          <w:p w14:paraId="11E0C49F" w14:textId="504233C1" w:rsidR="003E3959" w:rsidRPr="007779BB" w:rsidRDefault="00597F23" w:rsidP="00844A6C">
            <w:pPr>
              <w:spacing w:after="120"/>
              <w:jc w:val="both"/>
              <w:rPr>
                <w:bCs/>
                <w:iCs/>
                <w:color w:val="000000"/>
                <w:sz w:val="26"/>
                <w:szCs w:val="26"/>
                <w:lang w:val="lv-LV" w:eastAsia="lv-LV"/>
              </w:rPr>
            </w:pPr>
            <w:r w:rsidRPr="00F500DC">
              <w:rPr>
                <w:bCs/>
                <w:iCs/>
                <w:color w:val="000000"/>
                <w:sz w:val="26"/>
                <w:szCs w:val="26"/>
                <w:lang w:val="lv-LV" w:eastAsia="lv-LV"/>
              </w:rPr>
              <w:t>1.</w:t>
            </w:r>
            <w:r w:rsidR="004F1F0D" w:rsidRPr="00F500DC">
              <w:rPr>
                <w:bCs/>
                <w:iCs/>
                <w:color w:val="000000"/>
                <w:sz w:val="26"/>
                <w:szCs w:val="26"/>
                <w:lang w:val="lv-LV" w:eastAsia="lv-LV"/>
              </w:rPr>
              <w:t xml:space="preserve"> iekļaujot </w:t>
            </w:r>
            <w:r w:rsidR="00906C1A" w:rsidRPr="00F500DC">
              <w:rPr>
                <w:bCs/>
                <w:iCs/>
                <w:color w:val="000000"/>
                <w:sz w:val="26"/>
                <w:szCs w:val="26"/>
                <w:lang w:val="lv-LV" w:eastAsia="lv-LV"/>
              </w:rPr>
              <w:t>Pagaidu regulējumā</w:t>
            </w:r>
            <w:r w:rsidR="004F1F0D" w:rsidRPr="00F500DC">
              <w:rPr>
                <w:bCs/>
                <w:iCs/>
                <w:color w:val="000000"/>
                <w:sz w:val="26"/>
                <w:szCs w:val="26"/>
                <w:lang w:val="lv-LV" w:eastAsia="lv-LV"/>
              </w:rPr>
              <w:t xml:space="preserve"> </w:t>
            </w:r>
            <w:r w:rsidR="008D1364" w:rsidRPr="00F500DC">
              <w:rPr>
                <w:bCs/>
                <w:iCs/>
                <w:color w:val="000000"/>
                <w:sz w:val="26"/>
                <w:szCs w:val="26"/>
                <w:lang w:val="lv-LV" w:eastAsia="lv-LV"/>
              </w:rPr>
              <w:t>veiktos grozījumus</w:t>
            </w:r>
            <w:r w:rsidR="00844A6C" w:rsidRPr="00F500DC">
              <w:rPr>
                <w:bCs/>
                <w:iCs/>
                <w:color w:val="000000"/>
                <w:sz w:val="26"/>
                <w:szCs w:val="26"/>
                <w:lang w:val="lv-LV" w:eastAsia="lv-LV"/>
              </w:rPr>
              <w:t xml:space="preserve"> par termiņa pagarinājumu, līdz kuram</w:t>
            </w:r>
            <w:r w:rsidRPr="00F500DC">
              <w:rPr>
                <w:bCs/>
                <w:iCs/>
                <w:color w:val="000000"/>
                <w:sz w:val="26"/>
                <w:szCs w:val="26"/>
                <w:lang w:val="lv-LV" w:eastAsia="lv-LV"/>
              </w:rPr>
              <w:t xml:space="preserve"> </w:t>
            </w:r>
            <w:r w:rsidR="006F24AB" w:rsidRPr="00F500DC">
              <w:rPr>
                <w:bCs/>
                <w:iCs/>
                <w:color w:val="000000"/>
                <w:sz w:val="26"/>
                <w:szCs w:val="26"/>
                <w:lang w:val="lv-LV" w:eastAsia="lv-LV"/>
              </w:rPr>
              <w:t>garantijas var sniegt par debitoru parādiem neatkarīgi no debitoru valsts</w:t>
            </w:r>
            <w:r w:rsidR="00865C34" w:rsidRPr="00F500DC">
              <w:rPr>
                <w:bCs/>
                <w:iCs/>
                <w:color w:val="000000"/>
                <w:sz w:val="26"/>
                <w:szCs w:val="26"/>
                <w:lang w:val="lv-LV" w:eastAsia="lv-LV"/>
              </w:rPr>
              <w:t xml:space="preserve"> (</w:t>
            </w:r>
            <w:r w:rsidR="004E17D7">
              <w:rPr>
                <w:bCs/>
                <w:iCs/>
                <w:color w:val="000000"/>
                <w:sz w:val="26"/>
                <w:szCs w:val="26"/>
                <w:lang w:val="lv-LV" w:eastAsia="lv-LV"/>
              </w:rPr>
              <w:t>n</w:t>
            </w:r>
            <w:r w:rsidR="00865C34" w:rsidRPr="00F500DC">
              <w:rPr>
                <w:bCs/>
                <w:iCs/>
                <w:color w:val="000000"/>
                <w:sz w:val="26"/>
                <w:szCs w:val="26"/>
                <w:lang w:val="lv-LV" w:eastAsia="lv-LV"/>
              </w:rPr>
              <w:t xml:space="preserve">oteikumu projekta </w:t>
            </w:r>
            <w:r w:rsidR="009447DA">
              <w:rPr>
                <w:bCs/>
                <w:iCs/>
                <w:color w:val="000000"/>
                <w:sz w:val="26"/>
                <w:szCs w:val="26"/>
                <w:lang w:val="lv-LV" w:eastAsia="lv-LV"/>
              </w:rPr>
              <w:t>3</w:t>
            </w:r>
            <w:r w:rsidR="006216EC" w:rsidRPr="00F500DC">
              <w:rPr>
                <w:bCs/>
                <w:iCs/>
                <w:color w:val="000000"/>
                <w:sz w:val="26"/>
                <w:szCs w:val="26"/>
                <w:lang w:val="lv-LV" w:eastAsia="lv-LV"/>
              </w:rPr>
              <w:t>. </w:t>
            </w:r>
            <w:r w:rsidR="006216EC" w:rsidRPr="009A7544">
              <w:rPr>
                <w:bCs/>
                <w:iCs/>
                <w:color w:val="000000"/>
                <w:sz w:val="26"/>
                <w:szCs w:val="26"/>
                <w:lang w:val="lv-LV" w:eastAsia="lv-LV"/>
              </w:rPr>
              <w:t>punkts</w:t>
            </w:r>
            <w:r w:rsidR="00865C34" w:rsidRPr="009A7544">
              <w:rPr>
                <w:bCs/>
                <w:iCs/>
                <w:color w:val="000000"/>
                <w:sz w:val="26"/>
                <w:szCs w:val="26"/>
                <w:lang w:val="lv-LV" w:eastAsia="lv-LV"/>
              </w:rPr>
              <w:t>)</w:t>
            </w:r>
            <w:r w:rsidR="001F1430" w:rsidRPr="009A7544">
              <w:rPr>
                <w:bCs/>
                <w:iCs/>
                <w:color w:val="000000"/>
                <w:sz w:val="26"/>
                <w:szCs w:val="26"/>
                <w:lang w:val="lv-LV" w:eastAsia="lv-LV"/>
              </w:rPr>
              <w:t>.</w:t>
            </w:r>
            <w:r w:rsidR="00934AD3" w:rsidRPr="00F500DC">
              <w:rPr>
                <w:bCs/>
                <w:iCs/>
                <w:color w:val="000000"/>
                <w:sz w:val="26"/>
                <w:szCs w:val="26"/>
                <w:lang w:val="lv-LV" w:eastAsia="lv-LV"/>
              </w:rPr>
              <w:t xml:space="preserve"> Šie </w:t>
            </w:r>
            <w:r w:rsidR="00934AD3" w:rsidRPr="007779BB">
              <w:rPr>
                <w:bCs/>
                <w:iCs/>
                <w:color w:val="000000"/>
                <w:sz w:val="26"/>
                <w:szCs w:val="26"/>
                <w:lang w:val="lv-LV" w:eastAsia="lv-LV"/>
              </w:rPr>
              <w:t>grozījumi atļaus turpināt sniegt atbalstu Latvijas eksportētājiem, sniedzot garantijas par to eksporta darījumiem un mazinot debitoru valstu komerciālos un politiskos riskus.</w:t>
            </w:r>
          </w:p>
          <w:p w14:paraId="10B1A739" w14:textId="6A103C6B" w:rsidR="009A7544" w:rsidRPr="00CA7708" w:rsidRDefault="00597F23" w:rsidP="00CA7708">
            <w:pPr>
              <w:jc w:val="both"/>
              <w:rPr>
                <w:sz w:val="26"/>
                <w:szCs w:val="26"/>
                <w:lang w:val="lv-LV"/>
              </w:rPr>
            </w:pPr>
            <w:r w:rsidRPr="00CA7708">
              <w:rPr>
                <w:sz w:val="26"/>
                <w:szCs w:val="26"/>
                <w:lang w:val="lv-LV"/>
              </w:rPr>
              <w:t xml:space="preserve">2. </w:t>
            </w:r>
            <w:bookmarkEnd w:id="7"/>
            <w:r w:rsidR="009A7544" w:rsidRPr="00CA7708">
              <w:rPr>
                <w:bCs/>
                <w:iCs/>
                <w:sz w:val="26"/>
                <w:szCs w:val="26"/>
                <w:lang w:val="lv-LV" w:eastAsia="lv-LV"/>
              </w:rPr>
              <w:t>palielinot programmai piešķirtā publiskā finansējuma apmēru</w:t>
            </w:r>
            <w:r w:rsidR="004E17D7" w:rsidRPr="00CA7708">
              <w:rPr>
                <w:bCs/>
                <w:iCs/>
                <w:sz w:val="26"/>
                <w:szCs w:val="26"/>
                <w:lang w:val="lv-LV" w:eastAsia="lv-LV"/>
              </w:rPr>
              <w:t>, kā arī konkretizējot publiskā finansējuma izmantošanas nosacījumus (noteikumu projekta 1.</w:t>
            </w:r>
            <w:r w:rsidR="00740FD6" w:rsidRPr="00CA7708">
              <w:rPr>
                <w:bCs/>
                <w:iCs/>
                <w:sz w:val="26"/>
                <w:szCs w:val="26"/>
                <w:lang w:val="lv-LV" w:eastAsia="lv-LV"/>
              </w:rPr>
              <w:t>punkts</w:t>
            </w:r>
            <w:r w:rsidR="004E17D7" w:rsidRPr="00CA7708">
              <w:rPr>
                <w:bCs/>
                <w:iCs/>
                <w:sz w:val="26"/>
                <w:szCs w:val="26"/>
                <w:lang w:val="lv-LV" w:eastAsia="lv-LV"/>
              </w:rPr>
              <w:t>)</w:t>
            </w:r>
            <w:r w:rsidR="00740FD6" w:rsidRPr="00CA7708">
              <w:rPr>
                <w:bCs/>
                <w:iCs/>
                <w:sz w:val="26"/>
                <w:szCs w:val="26"/>
                <w:lang w:val="lv-LV" w:eastAsia="lv-LV"/>
              </w:rPr>
              <w:t xml:space="preserve">, nosakot, ka programmas ieņēmumus var novirzīt īstermiņa </w:t>
            </w:r>
            <w:r w:rsidR="00740FD6" w:rsidRPr="00CA7708">
              <w:rPr>
                <w:sz w:val="26"/>
                <w:szCs w:val="26"/>
                <w:lang w:val="lv-LV"/>
              </w:rPr>
              <w:t>eksporta kredīta garantiju programmas īstenošanai.</w:t>
            </w:r>
          </w:p>
          <w:p w14:paraId="4AB67E9D" w14:textId="63282993" w:rsidR="00740FD6" w:rsidRPr="00CA7708" w:rsidRDefault="00740FD6" w:rsidP="00CA7708">
            <w:pPr>
              <w:jc w:val="both"/>
              <w:rPr>
                <w:sz w:val="26"/>
                <w:szCs w:val="26"/>
                <w:lang w:val="lv-LV"/>
              </w:rPr>
            </w:pPr>
            <w:r w:rsidRPr="00CA7708">
              <w:rPr>
                <w:sz w:val="26"/>
                <w:szCs w:val="26"/>
                <w:lang w:val="lv-LV"/>
              </w:rPr>
              <w:t xml:space="preserve">Programmas līdzekļus </w:t>
            </w:r>
            <w:r w:rsidR="00CA7708">
              <w:rPr>
                <w:sz w:val="26"/>
                <w:szCs w:val="26"/>
                <w:lang w:val="lv-LV"/>
              </w:rPr>
              <w:t>kā arī ieņēmumus</w:t>
            </w:r>
            <w:r w:rsidR="009447DA">
              <w:rPr>
                <w:sz w:val="26"/>
                <w:szCs w:val="26"/>
                <w:lang w:val="lv-LV"/>
              </w:rPr>
              <w:t xml:space="preserve"> </w:t>
            </w:r>
            <w:r w:rsidR="00CA7708">
              <w:rPr>
                <w:sz w:val="26"/>
                <w:szCs w:val="26"/>
                <w:lang w:val="lv-LV"/>
              </w:rPr>
              <w:t xml:space="preserve"> </w:t>
            </w:r>
            <w:r w:rsidR="009447DA" w:rsidRPr="009447DA">
              <w:rPr>
                <w:sz w:val="26"/>
                <w:szCs w:val="26"/>
                <w:lang w:val="lv-LV"/>
              </w:rPr>
              <w:t>saskaņā ar apstiprināto programmas rādītāju novērtējumu, kas ir sagatavots atbilstoši Attīstības finanšu institūcijas likuma 12.panta trešās daļas prasībām</w:t>
            </w:r>
            <w:r w:rsidR="009447DA">
              <w:rPr>
                <w:sz w:val="26"/>
                <w:szCs w:val="26"/>
                <w:lang w:val="lv-LV"/>
              </w:rPr>
              <w:t>,</w:t>
            </w:r>
            <w:r w:rsidR="009447DA" w:rsidRPr="009447DA">
              <w:rPr>
                <w:sz w:val="26"/>
                <w:szCs w:val="26"/>
                <w:lang w:val="lv-LV"/>
              </w:rPr>
              <w:t xml:space="preserve"> </w:t>
            </w:r>
            <w:r w:rsidRPr="00CA7708">
              <w:rPr>
                <w:sz w:val="26"/>
                <w:szCs w:val="26"/>
                <w:lang w:val="lv-LV"/>
              </w:rPr>
              <w:t xml:space="preserve">izmanto </w:t>
            </w:r>
            <w:r w:rsidR="00F40672">
              <w:rPr>
                <w:sz w:val="26"/>
                <w:szCs w:val="26"/>
                <w:lang w:val="lv-LV"/>
              </w:rPr>
              <w:t xml:space="preserve">atkārtoti </w:t>
            </w:r>
            <w:r w:rsidR="009447DA">
              <w:rPr>
                <w:sz w:val="26"/>
                <w:szCs w:val="26"/>
                <w:lang w:val="lv-LV"/>
              </w:rPr>
              <w:t>ī</w:t>
            </w:r>
            <w:r w:rsidRPr="00CA7708">
              <w:rPr>
                <w:sz w:val="26"/>
                <w:szCs w:val="26"/>
                <w:lang w:val="lv-LV"/>
              </w:rPr>
              <w:t xml:space="preserve">stermiņa eksporta kredīta garantiju programmas īstenošanai tostarp </w:t>
            </w:r>
            <w:r w:rsidR="009447DA">
              <w:rPr>
                <w:sz w:val="26"/>
                <w:szCs w:val="26"/>
                <w:lang w:val="lv-LV"/>
              </w:rPr>
              <w:t xml:space="preserve">programma finansēšanai </w:t>
            </w:r>
            <w:r w:rsidRPr="00CA7708">
              <w:rPr>
                <w:sz w:val="26"/>
                <w:szCs w:val="26"/>
                <w:lang w:val="lv-LV"/>
              </w:rPr>
              <w:t>garantiju sniegšanai</w:t>
            </w:r>
            <w:r w:rsidR="009447DA">
              <w:rPr>
                <w:sz w:val="26"/>
                <w:szCs w:val="26"/>
                <w:lang w:val="lv-LV"/>
              </w:rPr>
              <w:t xml:space="preserve"> un </w:t>
            </w:r>
            <w:r w:rsidR="009447DA" w:rsidRPr="009447DA">
              <w:rPr>
                <w:sz w:val="26"/>
                <w:szCs w:val="26"/>
                <w:lang w:val="lv-LV"/>
              </w:rPr>
              <w:t xml:space="preserve">zaudējumu segšanai, t.i., kredītriska zaudējumu segšanai un nepieciešamo uzkrājumu sagaidāmajiem </w:t>
            </w:r>
            <w:proofErr w:type="spellStart"/>
            <w:r w:rsidR="009447DA" w:rsidRPr="009447DA">
              <w:rPr>
                <w:sz w:val="26"/>
                <w:szCs w:val="26"/>
                <w:lang w:val="lv-LV"/>
              </w:rPr>
              <w:t>kredītzaudējumiem</w:t>
            </w:r>
            <w:proofErr w:type="spellEnd"/>
            <w:r w:rsidR="009447DA" w:rsidRPr="009447DA">
              <w:rPr>
                <w:sz w:val="26"/>
                <w:szCs w:val="26"/>
                <w:lang w:val="lv-LV"/>
              </w:rPr>
              <w:t xml:space="preserve"> izveidošanai un uzturēšanai (pirmie zaudējumi) par visu programmas ietvaros izsniegto </w:t>
            </w:r>
            <w:r w:rsidR="009447DA">
              <w:rPr>
                <w:sz w:val="26"/>
                <w:szCs w:val="26"/>
                <w:lang w:val="lv-LV"/>
              </w:rPr>
              <w:t>garantiju portfeli</w:t>
            </w:r>
            <w:r w:rsidRPr="00CA7708">
              <w:rPr>
                <w:sz w:val="26"/>
                <w:szCs w:val="26"/>
                <w:lang w:val="lv-LV"/>
              </w:rPr>
              <w:t xml:space="preserve">, </w:t>
            </w:r>
            <w:r w:rsidR="009447DA">
              <w:rPr>
                <w:sz w:val="26"/>
                <w:szCs w:val="26"/>
                <w:lang w:val="lv-LV"/>
              </w:rPr>
              <w:t xml:space="preserve">kā arī </w:t>
            </w:r>
            <w:r w:rsidRPr="00CA7708">
              <w:rPr>
                <w:sz w:val="26"/>
                <w:szCs w:val="26"/>
                <w:lang w:val="lv-LV"/>
              </w:rPr>
              <w:t>vadības izmaksu</w:t>
            </w:r>
            <w:r w:rsidR="009447DA">
              <w:rPr>
                <w:sz w:val="26"/>
                <w:szCs w:val="26"/>
                <w:lang w:val="lv-LV"/>
              </w:rPr>
              <w:t xml:space="preserve">, </w:t>
            </w:r>
            <w:r w:rsidR="009447DA" w:rsidRPr="00694CFA">
              <w:rPr>
                <w:sz w:val="26"/>
                <w:szCs w:val="26"/>
                <w:lang w:val="lv-LV"/>
              </w:rPr>
              <w:t xml:space="preserve">izmaksu kapitāla </w:t>
            </w:r>
            <w:proofErr w:type="spellStart"/>
            <w:r w:rsidR="009447DA" w:rsidRPr="00694CFA">
              <w:rPr>
                <w:sz w:val="26"/>
                <w:szCs w:val="26"/>
                <w:lang w:val="lv-LV"/>
              </w:rPr>
              <w:t>atdeves</w:t>
            </w:r>
            <w:proofErr w:type="spellEnd"/>
            <w:r w:rsidR="009447DA" w:rsidRPr="00694CFA">
              <w:rPr>
                <w:sz w:val="26"/>
                <w:szCs w:val="26"/>
                <w:lang w:val="lv-LV"/>
              </w:rPr>
              <w:t>/ citu risku segšanai</w:t>
            </w:r>
            <w:r w:rsidR="00F40672">
              <w:rPr>
                <w:sz w:val="26"/>
                <w:szCs w:val="26"/>
                <w:lang w:val="lv-LV"/>
              </w:rPr>
              <w:t>.</w:t>
            </w:r>
          </w:p>
          <w:p w14:paraId="02D2E7D2" w14:textId="56242AC5" w:rsidR="00740FD6" w:rsidRPr="007779BB" w:rsidRDefault="00740FD6" w:rsidP="004763DC">
            <w:pPr>
              <w:pStyle w:val="Default"/>
              <w:spacing w:before="120" w:after="120"/>
              <w:jc w:val="both"/>
              <w:rPr>
                <w:rFonts w:ascii="Times New Roman" w:hAnsi="Times New Roman" w:cs="Times New Roman"/>
                <w:color w:val="auto"/>
                <w:sz w:val="26"/>
                <w:szCs w:val="26"/>
              </w:rPr>
            </w:pPr>
          </w:p>
          <w:p w14:paraId="09F04E06" w14:textId="0EA89EDE" w:rsidR="00B613EE" w:rsidRPr="00F500DC" w:rsidRDefault="004E17D7" w:rsidP="004E17D7">
            <w:pPr>
              <w:pStyle w:val="Default"/>
              <w:spacing w:before="120" w:after="120"/>
              <w:jc w:val="both"/>
              <w:rPr>
                <w:rFonts w:ascii="Arial" w:eastAsia="Times New Roman" w:hAnsi="Arial" w:cs="Arial"/>
                <w:color w:val="414142"/>
                <w:sz w:val="26"/>
                <w:szCs w:val="26"/>
              </w:rPr>
            </w:pPr>
            <w:r w:rsidRPr="007779BB">
              <w:rPr>
                <w:rFonts w:ascii="Times New Roman" w:eastAsia="Calibri" w:hAnsi="Times New Roman" w:cs="Times New Roman"/>
                <w:bCs/>
                <w:iCs/>
                <w:sz w:val="26"/>
                <w:szCs w:val="26"/>
                <w:lang w:eastAsia="lv-LV"/>
              </w:rPr>
              <w:lastRenderedPageBreak/>
              <w:t xml:space="preserve">3. </w:t>
            </w:r>
            <w:r w:rsidR="004763DC" w:rsidRPr="007779BB">
              <w:rPr>
                <w:rFonts w:ascii="Times New Roman" w:eastAsia="Calibri" w:hAnsi="Times New Roman" w:cs="Times New Roman"/>
                <w:bCs/>
                <w:iCs/>
                <w:sz w:val="26"/>
                <w:szCs w:val="26"/>
                <w:lang w:eastAsia="lv-LV"/>
              </w:rPr>
              <w:t>p</w:t>
            </w:r>
            <w:r w:rsidR="007F2DB0" w:rsidRPr="007779BB">
              <w:rPr>
                <w:rFonts w:ascii="Times New Roman" w:eastAsia="Calibri" w:hAnsi="Times New Roman" w:cs="Times New Roman"/>
                <w:bCs/>
                <w:iCs/>
                <w:sz w:val="26"/>
                <w:szCs w:val="26"/>
                <w:lang w:eastAsia="lv-LV"/>
              </w:rPr>
              <w:t xml:space="preserve">apildus noteikumu projekts paredz </w:t>
            </w:r>
            <w:r w:rsidR="007C114B" w:rsidRPr="007779BB">
              <w:rPr>
                <w:rFonts w:ascii="Times New Roman" w:eastAsia="Calibri" w:hAnsi="Times New Roman" w:cs="Times New Roman"/>
                <w:bCs/>
                <w:iCs/>
                <w:sz w:val="26"/>
                <w:szCs w:val="26"/>
                <w:lang w:eastAsia="lv-LV"/>
              </w:rPr>
              <w:t xml:space="preserve">tehniski </w:t>
            </w:r>
            <w:r w:rsidR="007F2DB0" w:rsidRPr="007779BB">
              <w:rPr>
                <w:rFonts w:ascii="Times New Roman" w:eastAsia="Calibri" w:hAnsi="Times New Roman" w:cs="Times New Roman"/>
                <w:bCs/>
                <w:iCs/>
                <w:sz w:val="26"/>
                <w:szCs w:val="26"/>
                <w:lang w:eastAsia="lv-LV"/>
              </w:rPr>
              <w:t>precizēt</w:t>
            </w:r>
            <w:r w:rsidR="00DD595D" w:rsidRPr="007779BB">
              <w:rPr>
                <w:rFonts w:ascii="Times New Roman" w:eastAsia="Calibri" w:hAnsi="Times New Roman" w:cs="Times New Roman"/>
                <w:bCs/>
                <w:iCs/>
                <w:sz w:val="26"/>
                <w:szCs w:val="26"/>
                <w:lang w:eastAsia="lv-LV"/>
              </w:rPr>
              <w:t xml:space="preserve"> noteikumu 16.2.</w:t>
            </w:r>
            <w:r w:rsidRPr="007779BB">
              <w:rPr>
                <w:rFonts w:ascii="Times New Roman" w:eastAsia="Calibri" w:hAnsi="Times New Roman" w:cs="Times New Roman"/>
                <w:bCs/>
                <w:iCs/>
                <w:sz w:val="26"/>
                <w:szCs w:val="26"/>
                <w:lang w:eastAsia="lv-LV"/>
              </w:rPr>
              <w:t xml:space="preserve">, 21.2. un </w:t>
            </w:r>
            <w:r w:rsidR="00DD595D" w:rsidRPr="007779BB">
              <w:rPr>
                <w:rFonts w:ascii="Times New Roman" w:eastAsia="Calibri" w:hAnsi="Times New Roman" w:cs="Times New Roman"/>
                <w:bCs/>
                <w:iCs/>
                <w:sz w:val="26"/>
                <w:szCs w:val="26"/>
                <w:lang w:eastAsia="lv-LV"/>
              </w:rPr>
              <w:t>21.3.apakšpunktu, svītrojot vārdus “tai skaitā valsts sociālās apdrošināšanas obligāto iemaksu parāds”.</w:t>
            </w:r>
            <w:r w:rsidR="007F2DB0" w:rsidRPr="007779BB">
              <w:rPr>
                <w:rFonts w:ascii="Times New Roman" w:eastAsia="Calibri" w:hAnsi="Times New Roman" w:cs="Times New Roman"/>
                <w:bCs/>
                <w:iCs/>
                <w:sz w:val="26"/>
                <w:szCs w:val="26"/>
                <w:lang w:eastAsia="lv-LV"/>
              </w:rPr>
              <w:t xml:space="preserve"> </w:t>
            </w:r>
            <w:r w:rsidR="00DD595D" w:rsidRPr="007779BB">
              <w:rPr>
                <w:rFonts w:ascii="Times New Roman" w:eastAsia="Calibri" w:hAnsi="Times New Roman" w:cs="Times New Roman"/>
                <w:bCs/>
                <w:iCs/>
                <w:sz w:val="26"/>
                <w:szCs w:val="26"/>
                <w:lang w:eastAsia="lv-LV"/>
              </w:rPr>
              <w:t>S</w:t>
            </w:r>
            <w:r w:rsidR="004763DC" w:rsidRPr="007779BB">
              <w:rPr>
                <w:rFonts w:ascii="Times New Roman" w:eastAsia="Calibri" w:hAnsi="Times New Roman" w:cs="Times New Roman"/>
                <w:bCs/>
                <w:iCs/>
                <w:sz w:val="26"/>
                <w:szCs w:val="26"/>
                <w:lang w:eastAsia="lv-LV"/>
              </w:rPr>
              <w:t>askaņā ar likuma “Par nodokļiem un nodevām” 1.pantā iekļautajās terminu</w:t>
            </w:r>
            <w:r w:rsidR="004763DC" w:rsidRPr="004E17D7">
              <w:rPr>
                <w:rFonts w:ascii="Times New Roman" w:eastAsia="Calibri" w:hAnsi="Times New Roman" w:cs="Times New Roman"/>
                <w:bCs/>
                <w:iCs/>
                <w:sz w:val="26"/>
                <w:szCs w:val="26"/>
                <w:lang w:eastAsia="lv-LV"/>
              </w:rPr>
              <w:t xml:space="preserve"> definīcijās noteikto termins “nodoklis” ir piemērojams arī valsts sociālās apdrošināšanas obligātajām iemaksām, un kā izriet no 8.panta, kurā tiek uzskaitīti visi valsts nodokļu veidi Latvijas Republikā, valsts sociālās apdrošināšanas obligātās iemaksas arī ir viens no nodokļiem. Līdz ar to, nosakot normatīvajā aktā regulējumu, kas skar Valsts ieņēmumu dienesta administrētos nodokļus, ar nodokļiem ir saprotamas arī valsts sociālās apdrošināšanas obligātās iemaksas.</w:t>
            </w:r>
            <w:r w:rsidR="004763DC" w:rsidRPr="004763DC">
              <w:rPr>
                <w:bCs/>
                <w:iCs/>
                <w:sz w:val="26"/>
                <w:szCs w:val="26"/>
                <w:lang w:eastAsia="lv-LV"/>
              </w:rPr>
              <w:t xml:space="preserve"> </w:t>
            </w:r>
          </w:p>
        </w:tc>
      </w:tr>
      <w:tr w:rsidR="00844176" w:rsidRPr="00F500DC" w14:paraId="41041CF1" w14:textId="77777777" w:rsidTr="007E1704">
        <w:trPr>
          <w:trHeight w:val="465"/>
        </w:trPr>
        <w:tc>
          <w:tcPr>
            <w:tcW w:w="418" w:type="dxa"/>
            <w:tcBorders>
              <w:top w:val="outset" w:sz="6" w:space="0" w:color="414142"/>
              <w:left w:val="outset" w:sz="6" w:space="0" w:color="414142"/>
              <w:bottom w:val="outset" w:sz="6" w:space="0" w:color="414142"/>
              <w:right w:val="outset" w:sz="6" w:space="0" w:color="414142"/>
            </w:tcBorders>
            <w:hideMark/>
          </w:tcPr>
          <w:p w14:paraId="5CAB363A"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lastRenderedPageBreak/>
              <w:t>3.</w:t>
            </w:r>
          </w:p>
        </w:tc>
        <w:tc>
          <w:tcPr>
            <w:tcW w:w="1984" w:type="dxa"/>
            <w:tcBorders>
              <w:top w:val="outset" w:sz="6" w:space="0" w:color="414142"/>
              <w:left w:val="outset" w:sz="6" w:space="0" w:color="414142"/>
              <w:bottom w:val="outset" w:sz="6" w:space="0" w:color="414142"/>
              <w:right w:val="outset" w:sz="6" w:space="0" w:color="414142"/>
            </w:tcBorders>
            <w:hideMark/>
          </w:tcPr>
          <w:p w14:paraId="2F4C459C"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Projekta izstrādē iesaistītās institūcijas</w:t>
            </w:r>
          </w:p>
        </w:tc>
        <w:tc>
          <w:tcPr>
            <w:tcW w:w="6662" w:type="dxa"/>
            <w:tcBorders>
              <w:top w:val="outset" w:sz="6" w:space="0" w:color="414142"/>
              <w:left w:val="outset" w:sz="6" w:space="0" w:color="414142"/>
              <w:bottom w:val="outset" w:sz="6" w:space="0" w:color="414142"/>
              <w:right w:val="outset" w:sz="6" w:space="0" w:color="414142"/>
            </w:tcBorders>
            <w:hideMark/>
          </w:tcPr>
          <w:p w14:paraId="1C1732C9" w14:textId="2828C5AC" w:rsidR="00844176" w:rsidRPr="00F500DC" w:rsidRDefault="00CE0AC5" w:rsidP="00871E2F">
            <w:pPr>
              <w:spacing w:before="100" w:beforeAutospacing="1" w:after="100" w:afterAutospacing="1"/>
              <w:ind w:left="60"/>
              <w:rPr>
                <w:rFonts w:eastAsia="Times New Roman"/>
                <w:sz w:val="26"/>
                <w:szCs w:val="26"/>
                <w:lang w:val="lv-LV" w:eastAsia="lv-LV"/>
              </w:rPr>
            </w:pPr>
            <w:r w:rsidRPr="00F500DC">
              <w:rPr>
                <w:sz w:val="26"/>
                <w:szCs w:val="26"/>
                <w:lang w:val="lv-LV"/>
              </w:rPr>
              <w:t>E</w:t>
            </w:r>
            <w:r w:rsidR="00547ACF" w:rsidRPr="00F500DC">
              <w:rPr>
                <w:sz w:val="26"/>
                <w:szCs w:val="26"/>
                <w:lang w:val="lv-LV"/>
              </w:rPr>
              <w:t>konomikas ministrija</w:t>
            </w:r>
            <w:r w:rsidRPr="00F500DC">
              <w:rPr>
                <w:sz w:val="26"/>
                <w:szCs w:val="26"/>
                <w:lang w:val="lv-LV"/>
              </w:rPr>
              <w:t xml:space="preserve">, </w:t>
            </w:r>
            <w:r w:rsidR="008B55D5" w:rsidRPr="00F500DC">
              <w:rPr>
                <w:sz w:val="26"/>
                <w:szCs w:val="26"/>
                <w:lang w:val="lv-LV"/>
              </w:rPr>
              <w:t>sabiedrība Altum</w:t>
            </w:r>
            <w:r w:rsidR="0081196F" w:rsidRPr="00F500DC">
              <w:rPr>
                <w:sz w:val="26"/>
                <w:szCs w:val="26"/>
                <w:lang w:val="lv-LV"/>
              </w:rPr>
              <w:t>.</w:t>
            </w:r>
          </w:p>
        </w:tc>
      </w:tr>
      <w:tr w:rsidR="00844176" w:rsidRPr="00F500DC" w14:paraId="3C98D228" w14:textId="77777777" w:rsidTr="007E1704">
        <w:tc>
          <w:tcPr>
            <w:tcW w:w="418" w:type="dxa"/>
            <w:tcBorders>
              <w:top w:val="outset" w:sz="6" w:space="0" w:color="414142"/>
              <w:left w:val="outset" w:sz="6" w:space="0" w:color="414142"/>
              <w:bottom w:val="outset" w:sz="6" w:space="0" w:color="414142"/>
              <w:right w:val="outset" w:sz="6" w:space="0" w:color="414142"/>
            </w:tcBorders>
            <w:hideMark/>
          </w:tcPr>
          <w:p w14:paraId="55D70DCF"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4.</w:t>
            </w:r>
          </w:p>
        </w:tc>
        <w:tc>
          <w:tcPr>
            <w:tcW w:w="1984" w:type="dxa"/>
            <w:tcBorders>
              <w:top w:val="outset" w:sz="6" w:space="0" w:color="414142"/>
              <w:left w:val="outset" w:sz="6" w:space="0" w:color="414142"/>
              <w:bottom w:val="outset" w:sz="6" w:space="0" w:color="414142"/>
              <w:right w:val="outset" w:sz="6" w:space="0" w:color="414142"/>
            </w:tcBorders>
            <w:hideMark/>
          </w:tcPr>
          <w:p w14:paraId="3639AA3F"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Cita informācija</w:t>
            </w:r>
          </w:p>
        </w:tc>
        <w:tc>
          <w:tcPr>
            <w:tcW w:w="6662" w:type="dxa"/>
            <w:tcBorders>
              <w:top w:val="outset" w:sz="6" w:space="0" w:color="414142"/>
              <w:left w:val="outset" w:sz="6" w:space="0" w:color="414142"/>
              <w:bottom w:val="outset" w:sz="6" w:space="0" w:color="414142"/>
              <w:right w:val="outset" w:sz="6" w:space="0" w:color="414142"/>
            </w:tcBorders>
            <w:hideMark/>
          </w:tcPr>
          <w:p w14:paraId="5D4509E1" w14:textId="77777777" w:rsidR="00844176" w:rsidRPr="00F500DC" w:rsidRDefault="00844176" w:rsidP="00547AC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 xml:space="preserve">Nav </w:t>
            </w:r>
          </w:p>
        </w:tc>
      </w:tr>
      <w:tr w:rsidR="00844176" w:rsidRPr="00F500DC" w14:paraId="5271E387" w14:textId="77777777" w:rsidTr="007E1704">
        <w:trPr>
          <w:trHeight w:val="128"/>
        </w:trPr>
        <w:tc>
          <w:tcPr>
            <w:tcW w:w="9064" w:type="dxa"/>
            <w:gridSpan w:val="3"/>
            <w:tcBorders>
              <w:top w:val="outset" w:sz="6" w:space="0" w:color="414142"/>
              <w:left w:val="nil"/>
              <w:bottom w:val="outset" w:sz="6" w:space="0" w:color="414142"/>
              <w:right w:val="nil"/>
            </w:tcBorders>
            <w:hideMark/>
          </w:tcPr>
          <w:p w14:paraId="4DC32511" w14:textId="77777777" w:rsidR="00844176" w:rsidRPr="00F500DC" w:rsidRDefault="00844176" w:rsidP="00871E2F">
            <w:pPr>
              <w:tabs>
                <w:tab w:val="left" w:pos="990"/>
              </w:tabs>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ab/>
            </w:r>
          </w:p>
        </w:tc>
      </w:tr>
    </w:tbl>
    <w:p w14:paraId="76329086" w14:textId="77777777" w:rsidR="00844176" w:rsidRPr="00F500DC" w:rsidRDefault="00844176" w:rsidP="00844176">
      <w:pPr>
        <w:rPr>
          <w:rFonts w:eastAsia="Times New Roman"/>
          <w:vanish/>
          <w:sz w:val="26"/>
          <w:szCs w:val="26"/>
          <w:lang w:val="lv-LV" w:eastAsia="lv-LV"/>
        </w:rPr>
      </w:pPr>
    </w:p>
    <w:tbl>
      <w:tblPr>
        <w:tblW w:w="9129"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0"/>
        <w:gridCol w:w="2134"/>
        <w:gridCol w:w="6725"/>
      </w:tblGrid>
      <w:tr w:rsidR="00844176" w:rsidRPr="00154DCF" w14:paraId="7175E08A" w14:textId="77777777" w:rsidTr="00871E2F">
        <w:trPr>
          <w:trHeight w:val="555"/>
        </w:trPr>
        <w:tc>
          <w:tcPr>
            <w:tcW w:w="9129" w:type="dxa"/>
            <w:gridSpan w:val="3"/>
            <w:tcBorders>
              <w:top w:val="nil"/>
              <w:left w:val="outset" w:sz="6" w:space="0" w:color="414142"/>
              <w:bottom w:val="outset" w:sz="6" w:space="0" w:color="414142"/>
              <w:right w:val="outset" w:sz="6" w:space="0" w:color="414142"/>
            </w:tcBorders>
            <w:hideMark/>
          </w:tcPr>
          <w:p w14:paraId="0CDF66C2" w14:textId="77777777" w:rsidR="00844176" w:rsidRPr="00F500DC" w:rsidRDefault="00844176" w:rsidP="00871E2F">
            <w:pPr>
              <w:spacing w:before="100" w:beforeAutospacing="1" w:after="100" w:afterAutospacing="1"/>
              <w:ind w:firstLine="300"/>
              <w:jc w:val="center"/>
              <w:rPr>
                <w:rFonts w:eastAsia="Times New Roman"/>
                <w:sz w:val="26"/>
                <w:szCs w:val="26"/>
                <w:lang w:val="lv-LV" w:eastAsia="lv-LV"/>
              </w:rPr>
            </w:pPr>
            <w:r w:rsidRPr="00F500DC">
              <w:rPr>
                <w:rFonts w:eastAsia="Times New Roman"/>
                <w:b/>
                <w:bCs/>
                <w:color w:val="000000"/>
                <w:sz w:val="26"/>
                <w:szCs w:val="26"/>
                <w:lang w:val="lv-LV" w:eastAsia="lv-LV"/>
              </w:rPr>
              <w:t>II. Tiesību akta projekta ietekme uz sabiedrību, tautsaimniecības attīstību un administratīvo slogu</w:t>
            </w:r>
          </w:p>
        </w:tc>
      </w:tr>
      <w:tr w:rsidR="00844176" w:rsidRPr="00154DCF" w14:paraId="3867AEAD" w14:textId="77777777" w:rsidTr="00E0333C">
        <w:trPr>
          <w:trHeight w:val="465"/>
        </w:trPr>
        <w:tc>
          <w:tcPr>
            <w:tcW w:w="270" w:type="dxa"/>
            <w:tcBorders>
              <w:top w:val="outset" w:sz="6" w:space="0" w:color="414142"/>
              <w:left w:val="outset" w:sz="6" w:space="0" w:color="414142"/>
              <w:bottom w:val="outset" w:sz="6" w:space="0" w:color="414142"/>
              <w:right w:val="outset" w:sz="6" w:space="0" w:color="414142"/>
            </w:tcBorders>
            <w:hideMark/>
          </w:tcPr>
          <w:p w14:paraId="5233F396"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1.</w:t>
            </w:r>
          </w:p>
        </w:tc>
        <w:tc>
          <w:tcPr>
            <w:tcW w:w="2134" w:type="dxa"/>
            <w:tcBorders>
              <w:top w:val="outset" w:sz="6" w:space="0" w:color="414142"/>
              <w:left w:val="outset" w:sz="6" w:space="0" w:color="414142"/>
              <w:bottom w:val="outset" w:sz="6" w:space="0" w:color="414142"/>
              <w:right w:val="outset" w:sz="6" w:space="0" w:color="414142"/>
            </w:tcBorders>
            <w:hideMark/>
          </w:tcPr>
          <w:p w14:paraId="2E14993C"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 xml:space="preserve">Sabiedrības </w:t>
            </w:r>
            <w:proofErr w:type="spellStart"/>
            <w:r w:rsidRPr="00F500DC">
              <w:rPr>
                <w:rFonts w:eastAsia="Times New Roman"/>
                <w:color w:val="000000"/>
                <w:sz w:val="26"/>
                <w:szCs w:val="26"/>
                <w:lang w:val="lv-LV" w:eastAsia="lv-LV"/>
              </w:rPr>
              <w:t>mērķgrupas</w:t>
            </w:r>
            <w:proofErr w:type="spellEnd"/>
            <w:r w:rsidRPr="00F500DC">
              <w:rPr>
                <w:rFonts w:eastAsia="Times New Roman"/>
                <w:color w:val="000000"/>
                <w:sz w:val="26"/>
                <w:szCs w:val="26"/>
                <w:lang w:val="lv-LV" w:eastAsia="lv-LV"/>
              </w:rPr>
              <w:t>, kuras tiesiskais regulējums ietekmē vai varētu ietekmēt</w:t>
            </w:r>
          </w:p>
        </w:tc>
        <w:tc>
          <w:tcPr>
            <w:tcW w:w="6725" w:type="dxa"/>
            <w:tcBorders>
              <w:top w:val="outset" w:sz="6" w:space="0" w:color="414142"/>
              <w:left w:val="outset" w:sz="6" w:space="0" w:color="414142"/>
              <w:bottom w:val="outset" w:sz="6" w:space="0" w:color="414142"/>
              <w:right w:val="outset" w:sz="6" w:space="0" w:color="414142"/>
            </w:tcBorders>
            <w:hideMark/>
          </w:tcPr>
          <w:p w14:paraId="6747612B" w14:textId="7C87939E" w:rsidR="00844176" w:rsidRPr="00F500DC" w:rsidRDefault="008B55D5" w:rsidP="00265C6D">
            <w:pPr>
              <w:pStyle w:val="BodyText"/>
              <w:ind w:left="60" w:right="201"/>
              <w:rPr>
                <w:sz w:val="26"/>
                <w:szCs w:val="26"/>
              </w:rPr>
            </w:pPr>
            <w:r w:rsidRPr="00F500DC">
              <w:rPr>
                <w:rFonts w:eastAsia="Calibri"/>
                <w:sz w:val="26"/>
                <w:szCs w:val="26"/>
                <w:lang w:eastAsia="en-US"/>
              </w:rPr>
              <w:t>Latvijā reģistrēti saimnieciskās darbības veicēji, akciju sabiedrība “Attīstības finanšu institūcija Altum”.</w:t>
            </w:r>
          </w:p>
        </w:tc>
      </w:tr>
      <w:tr w:rsidR="00844176" w:rsidRPr="00154DCF" w14:paraId="7D9FA66B" w14:textId="77777777" w:rsidTr="00E0333C">
        <w:trPr>
          <w:trHeight w:val="510"/>
        </w:trPr>
        <w:tc>
          <w:tcPr>
            <w:tcW w:w="270" w:type="dxa"/>
            <w:tcBorders>
              <w:top w:val="outset" w:sz="6" w:space="0" w:color="414142"/>
              <w:left w:val="outset" w:sz="6" w:space="0" w:color="414142"/>
              <w:bottom w:val="outset" w:sz="6" w:space="0" w:color="414142"/>
              <w:right w:val="outset" w:sz="6" w:space="0" w:color="414142"/>
            </w:tcBorders>
            <w:hideMark/>
          </w:tcPr>
          <w:p w14:paraId="7CA4E694"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2.</w:t>
            </w:r>
          </w:p>
        </w:tc>
        <w:tc>
          <w:tcPr>
            <w:tcW w:w="2134" w:type="dxa"/>
            <w:tcBorders>
              <w:top w:val="outset" w:sz="6" w:space="0" w:color="414142"/>
              <w:left w:val="outset" w:sz="6" w:space="0" w:color="414142"/>
              <w:bottom w:val="outset" w:sz="6" w:space="0" w:color="414142"/>
              <w:right w:val="outset" w:sz="6" w:space="0" w:color="414142"/>
            </w:tcBorders>
            <w:hideMark/>
          </w:tcPr>
          <w:p w14:paraId="5D2EC3C2" w14:textId="77777777" w:rsidR="00844176" w:rsidRPr="00F500DC" w:rsidRDefault="00844176" w:rsidP="00265C6D">
            <w:pPr>
              <w:spacing w:before="100" w:beforeAutospacing="1" w:after="100" w:afterAutospacing="1"/>
              <w:ind w:left="60"/>
              <w:rPr>
                <w:sz w:val="26"/>
                <w:szCs w:val="26"/>
                <w:lang w:val="lv-LV"/>
              </w:rPr>
            </w:pPr>
            <w:r w:rsidRPr="00F500DC">
              <w:rPr>
                <w:sz w:val="26"/>
                <w:szCs w:val="26"/>
                <w:lang w:val="lv-LV"/>
              </w:rPr>
              <w:t>Tiesiskā regulējuma ietekme uz tautsaimniecību un administratīvo slogu</w:t>
            </w:r>
          </w:p>
        </w:tc>
        <w:tc>
          <w:tcPr>
            <w:tcW w:w="6725" w:type="dxa"/>
            <w:tcBorders>
              <w:top w:val="outset" w:sz="6" w:space="0" w:color="414142"/>
              <w:left w:val="outset" w:sz="6" w:space="0" w:color="414142"/>
              <w:bottom w:val="outset" w:sz="6" w:space="0" w:color="414142"/>
              <w:right w:val="outset" w:sz="6" w:space="0" w:color="414142"/>
            </w:tcBorders>
            <w:hideMark/>
          </w:tcPr>
          <w:p w14:paraId="1FFDB25F" w14:textId="7E70EC8A" w:rsidR="00934AD3" w:rsidRPr="00F500DC" w:rsidRDefault="00846B2A" w:rsidP="00846B2A">
            <w:pPr>
              <w:pStyle w:val="BodyText"/>
              <w:ind w:left="60" w:right="201"/>
              <w:rPr>
                <w:rFonts w:eastAsia="Calibri"/>
                <w:sz w:val="26"/>
                <w:szCs w:val="26"/>
                <w:lang w:eastAsia="en-US"/>
              </w:rPr>
            </w:pPr>
            <w:r w:rsidRPr="00F500DC">
              <w:rPr>
                <w:rFonts w:eastAsia="Calibri"/>
                <w:sz w:val="26"/>
                <w:szCs w:val="26"/>
                <w:lang w:eastAsia="en-US"/>
              </w:rPr>
              <w:t xml:space="preserve">Noteikumu projektam ir labvēlīga ietekme </w:t>
            </w:r>
            <w:r w:rsidR="00934AD3" w:rsidRPr="00F500DC">
              <w:rPr>
                <w:rFonts w:eastAsia="Calibri"/>
                <w:sz w:val="26"/>
                <w:szCs w:val="26"/>
                <w:lang w:eastAsia="en-US"/>
              </w:rPr>
              <w:t xml:space="preserve">uz Latvijas eksportētājiem, palīdzot tiem pārvarēt Covid-19 pandēmijas izraisītu krīzi, </w:t>
            </w:r>
            <w:r w:rsidR="00D604E6" w:rsidRPr="00F500DC">
              <w:rPr>
                <w:rFonts w:eastAsia="Calibri"/>
                <w:sz w:val="26"/>
                <w:szCs w:val="26"/>
                <w:lang w:eastAsia="en-US"/>
              </w:rPr>
              <w:t xml:space="preserve">piedāvājot garantijas, lai samazinātu starptautisko darījumu riskus, kuri ir pieauguši, </w:t>
            </w:r>
            <w:r w:rsidR="00934AD3" w:rsidRPr="00F500DC">
              <w:rPr>
                <w:rFonts w:eastAsia="Calibri"/>
                <w:sz w:val="26"/>
                <w:szCs w:val="26"/>
                <w:lang w:eastAsia="en-US"/>
              </w:rPr>
              <w:t>saskaroties ar nenoteiktību</w:t>
            </w:r>
            <w:r w:rsidR="00D604E6" w:rsidRPr="00F500DC">
              <w:rPr>
                <w:rFonts w:eastAsia="Calibri"/>
                <w:sz w:val="26"/>
                <w:szCs w:val="26"/>
                <w:lang w:eastAsia="en-US"/>
              </w:rPr>
              <w:t xml:space="preserve"> starptautiskajos tirgos.</w:t>
            </w:r>
          </w:p>
          <w:p w14:paraId="4406F911" w14:textId="4D2F5F9F" w:rsidR="00A71979" w:rsidRPr="00F500DC" w:rsidRDefault="00934AD3" w:rsidP="00D604E6">
            <w:pPr>
              <w:pStyle w:val="BodyText"/>
              <w:ind w:left="60" w:right="201"/>
              <w:rPr>
                <w:rFonts w:eastAsia="Calibri"/>
                <w:sz w:val="26"/>
                <w:szCs w:val="26"/>
                <w:lang w:eastAsia="en-US"/>
              </w:rPr>
            </w:pPr>
            <w:r w:rsidRPr="00F500DC">
              <w:rPr>
                <w:rFonts w:eastAsia="Calibri"/>
                <w:sz w:val="26"/>
                <w:szCs w:val="26"/>
                <w:lang w:eastAsia="en-US"/>
              </w:rPr>
              <w:t>Noteikumu projektam ir labvēlīga ietekme uz</w:t>
            </w:r>
            <w:r w:rsidR="00D604E6" w:rsidRPr="00F500DC">
              <w:rPr>
                <w:rFonts w:eastAsia="Calibri"/>
                <w:sz w:val="26"/>
                <w:szCs w:val="26"/>
                <w:lang w:eastAsia="en-US"/>
              </w:rPr>
              <w:t xml:space="preserve"> </w:t>
            </w:r>
            <w:r w:rsidR="00846B2A" w:rsidRPr="00F500DC">
              <w:rPr>
                <w:rFonts w:eastAsia="Calibri"/>
                <w:sz w:val="26"/>
                <w:szCs w:val="26"/>
                <w:lang w:eastAsia="en-US"/>
              </w:rPr>
              <w:t>ekonomiku kopumā</w:t>
            </w:r>
            <w:r w:rsidRPr="00F500DC">
              <w:rPr>
                <w:rFonts w:eastAsia="Calibri"/>
                <w:sz w:val="26"/>
                <w:szCs w:val="26"/>
                <w:lang w:eastAsia="en-US"/>
              </w:rPr>
              <w:t>.</w:t>
            </w:r>
          </w:p>
          <w:p w14:paraId="62F21F17" w14:textId="58A74264" w:rsidR="00846B2A" w:rsidRPr="00F500DC" w:rsidRDefault="00846B2A" w:rsidP="00846B2A">
            <w:pPr>
              <w:pStyle w:val="BodyText"/>
              <w:ind w:left="60" w:right="201"/>
              <w:rPr>
                <w:rFonts w:eastAsia="Calibri"/>
                <w:sz w:val="26"/>
                <w:szCs w:val="26"/>
                <w:lang w:eastAsia="en-US"/>
              </w:rPr>
            </w:pPr>
            <w:r w:rsidRPr="00F500DC">
              <w:rPr>
                <w:rFonts w:eastAsia="Calibri"/>
                <w:sz w:val="26"/>
                <w:szCs w:val="26"/>
                <w:lang w:eastAsia="en-US"/>
              </w:rPr>
              <w:t xml:space="preserve">Sabiedrības </w:t>
            </w:r>
            <w:proofErr w:type="spellStart"/>
            <w:r w:rsidRPr="00F500DC">
              <w:rPr>
                <w:rFonts w:eastAsia="Calibri"/>
                <w:sz w:val="26"/>
                <w:szCs w:val="26"/>
                <w:lang w:eastAsia="en-US"/>
              </w:rPr>
              <w:t>mērķgrupām</w:t>
            </w:r>
            <w:proofErr w:type="spellEnd"/>
            <w:r w:rsidRPr="00F500DC">
              <w:rPr>
                <w:rFonts w:eastAsia="Calibri"/>
                <w:sz w:val="26"/>
                <w:szCs w:val="26"/>
                <w:lang w:eastAsia="en-US"/>
              </w:rPr>
              <w:t xml:space="preserve"> un institūcijām projekta tiesiskais regulējums nemaina tiesības un pienākumus, kā arī veicamās darbības. </w:t>
            </w:r>
          </w:p>
        </w:tc>
      </w:tr>
      <w:tr w:rsidR="00844176" w:rsidRPr="00F500DC" w14:paraId="183D00C8" w14:textId="77777777" w:rsidTr="00E0333C">
        <w:trPr>
          <w:trHeight w:val="510"/>
        </w:trPr>
        <w:tc>
          <w:tcPr>
            <w:tcW w:w="270" w:type="dxa"/>
            <w:tcBorders>
              <w:top w:val="outset" w:sz="6" w:space="0" w:color="414142"/>
              <w:left w:val="outset" w:sz="6" w:space="0" w:color="414142"/>
              <w:bottom w:val="outset" w:sz="6" w:space="0" w:color="414142"/>
              <w:right w:val="outset" w:sz="6" w:space="0" w:color="414142"/>
            </w:tcBorders>
            <w:hideMark/>
          </w:tcPr>
          <w:p w14:paraId="70C05ABE"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3.</w:t>
            </w:r>
          </w:p>
        </w:tc>
        <w:tc>
          <w:tcPr>
            <w:tcW w:w="2134" w:type="dxa"/>
            <w:tcBorders>
              <w:top w:val="outset" w:sz="6" w:space="0" w:color="414142"/>
              <w:left w:val="outset" w:sz="6" w:space="0" w:color="414142"/>
              <w:bottom w:val="outset" w:sz="6" w:space="0" w:color="414142"/>
              <w:right w:val="outset" w:sz="6" w:space="0" w:color="414142"/>
            </w:tcBorders>
            <w:hideMark/>
          </w:tcPr>
          <w:p w14:paraId="1E661F3D"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Administratīvo izmaksu monetārs novērtējums</w:t>
            </w:r>
          </w:p>
        </w:tc>
        <w:tc>
          <w:tcPr>
            <w:tcW w:w="6725" w:type="dxa"/>
            <w:tcBorders>
              <w:top w:val="outset" w:sz="6" w:space="0" w:color="414142"/>
              <w:left w:val="outset" w:sz="6" w:space="0" w:color="414142"/>
              <w:bottom w:val="outset" w:sz="6" w:space="0" w:color="414142"/>
              <w:right w:val="outset" w:sz="6" w:space="0" w:color="414142"/>
            </w:tcBorders>
            <w:hideMark/>
          </w:tcPr>
          <w:p w14:paraId="4EC93682" w14:textId="77777777" w:rsidR="00844176" w:rsidRPr="00F500DC" w:rsidRDefault="00844176" w:rsidP="00265C6D">
            <w:pPr>
              <w:pStyle w:val="BodyText"/>
              <w:ind w:left="60" w:right="201"/>
              <w:rPr>
                <w:rFonts w:eastAsia="Calibri"/>
                <w:sz w:val="26"/>
                <w:szCs w:val="26"/>
                <w:lang w:eastAsia="en-US"/>
              </w:rPr>
            </w:pPr>
            <w:r w:rsidRPr="00F500DC">
              <w:rPr>
                <w:rFonts w:eastAsia="Calibri"/>
                <w:sz w:val="26"/>
                <w:szCs w:val="26"/>
                <w:lang w:eastAsia="en-US"/>
              </w:rPr>
              <w:t>Projekts šo jomu neskar.</w:t>
            </w:r>
          </w:p>
        </w:tc>
      </w:tr>
      <w:tr w:rsidR="00844176" w:rsidRPr="00F500DC" w14:paraId="2F7C8B1B" w14:textId="77777777" w:rsidTr="00E0333C">
        <w:trPr>
          <w:trHeight w:val="345"/>
        </w:trPr>
        <w:tc>
          <w:tcPr>
            <w:tcW w:w="270" w:type="dxa"/>
            <w:tcBorders>
              <w:top w:val="outset" w:sz="6" w:space="0" w:color="414142"/>
              <w:left w:val="outset" w:sz="6" w:space="0" w:color="414142"/>
              <w:bottom w:val="outset" w:sz="6" w:space="0" w:color="414142"/>
              <w:right w:val="outset" w:sz="6" w:space="0" w:color="414142"/>
            </w:tcBorders>
            <w:hideMark/>
          </w:tcPr>
          <w:p w14:paraId="7753AD2E"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4.</w:t>
            </w:r>
          </w:p>
        </w:tc>
        <w:tc>
          <w:tcPr>
            <w:tcW w:w="2134" w:type="dxa"/>
            <w:tcBorders>
              <w:top w:val="outset" w:sz="6" w:space="0" w:color="414142"/>
              <w:left w:val="outset" w:sz="6" w:space="0" w:color="414142"/>
              <w:bottom w:val="outset" w:sz="6" w:space="0" w:color="414142"/>
              <w:right w:val="outset" w:sz="6" w:space="0" w:color="414142"/>
            </w:tcBorders>
            <w:hideMark/>
          </w:tcPr>
          <w:p w14:paraId="6027A436"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Cita informācija</w:t>
            </w:r>
          </w:p>
        </w:tc>
        <w:tc>
          <w:tcPr>
            <w:tcW w:w="6725" w:type="dxa"/>
            <w:tcBorders>
              <w:top w:val="outset" w:sz="6" w:space="0" w:color="414142"/>
              <w:left w:val="outset" w:sz="6" w:space="0" w:color="414142"/>
              <w:bottom w:val="outset" w:sz="6" w:space="0" w:color="414142"/>
              <w:right w:val="outset" w:sz="6" w:space="0" w:color="414142"/>
            </w:tcBorders>
            <w:hideMark/>
          </w:tcPr>
          <w:p w14:paraId="6BD39809" w14:textId="77777777" w:rsidR="00844176" w:rsidRPr="00F500DC" w:rsidRDefault="00844176" w:rsidP="00265C6D">
            <w:pPr>
              <w:pStyle w:val="BodyText"/>
              <w:ind w:left="60" w:right="201"/>
              <w:rPr>
                <w:rFonts w:eastAsia="Calibri"/>
                <w:sz w:val="26"/>
                <w:szCs w:val="26"/>
                <w:lang w:eastAsia="en-US"/>
              </w:rPr>
            </w:pPr>
            <w:r w:rsidRPr="00F500DC">
              <w:rPr>
                <w:rFonts w:eastAsia="Calibri"/>
                <w:sz w:val="26"/>
                <w:szCs w:val="26"/>
                <w:lang w:eastAsia="en-US"/>
              </w:rPr>
              <w:t>Nav</w:t>
            </w:r>
          </w:p>
        </w:tc>
      </w:tr>
    </w:tbl>
    <w:p w14:paraId="57D2014F" w14:textId="77777777" w:rsidR="00E0333C" w:rsidRPr="00F500DC" w:rsidRDefault="00E0333C" w:rsidP="00E0333C">
      <w:pPr>
        <w:rPr>
          <w:rFonts w:eastAsia="Times New Roman"/>
          <w:sz w:val="26"/>
          <w:szCs w:val="26"/>
          <w:lang w:val="lv-LV" w:eastAsia="lv-LV"/>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E0333C" w:rsidRPr="00154DCF" w14:paraId="5C3AC8E5" w14:textId="77777777" w:rsidTr="004937D3">
        <w:tc>
          <w:tcPr>
            <w:tcW w:w="9180" w:type="dxa"/>
            <w:tcBorders>
              <w:top w:val="single" w:sz="4" w:space="0" w:color="auto"/>
              <w:left w:val="single" w:sz="4" w:space="0" w:color="auto"/>
              <w:bottom w:val="single" w:sz="4" w:space="0" w:color="auto"/>
              <w:right w:val="single" w:sz="4" w:space="0" w:color="auto"/>
            </w:tcBorders>
            <w:shd w:val="clear" w:color="auto" w:fill="auto"/>
            <w:hideMark/>
          </w:tcPr>
          <w:p w14:paraId="2E8916C1" w14:textId="77777777" w:rsidR="00E0333C" w:rsidRPr="00F500DC" w:rsidRDefault="00E0333C" w:rsidP="00907DD7">
            <w:pPr>
              <w:jc w:val="center"/>
              <w:rPr>
                <w:rFonts w:eastAsia="Times New Roman"/>
                <w:b/>
                <w:sz w:val="26"/>
                <w:szCs w:val="26"/>
                <w:lang w:val="lv-LV" w:eastAsia="lv-LV"/>
              </w:rPr>
            </w:pPr>
            <w:r w:rsidRPr="00F500DC">
              <w:rPr>
                <w:rFonts w:eastAsia="Times New Roman"/>
                <w:b/>
                <w:bCs/>
                <w:sz w:val="26"/>
                <w:szCs w:val="26"/>
                <w:lang w:val="lv-LV" w:eastAsia="lv-LV"/>
              </w:rPr>
              <w:t>III. Tiesību akta projekta ietekme uz valsts budžetu un pašvaldību budžetiem</w:t>
            </w:r>
          </w:p>
        </w:tc>
      </w:tr>
      <w:tr w:rsidR="00E0333C" w:rsidRPr="00F500DC" w14:paraId="07D6D83D" w14:textId="77777777" w:rsidTr="004937D3">
        <w:tc>
          <w:tcPr>
            <w:tcW w:w="9180" w:type="dxa"/>
            <w:tcBorders>
              <w:top w:val="single" w:sz="4" w:space="0" w:color="auto"/>
              <w:left w:val="single" w:sz="4" w:space="0" w:color="auto"/>
              <w:bottom w:val="single" w:sz="4" w:space="0" w:color="auto"/>
              <w:right w:val="single" w:sz="4" w:space="0" w:color="auto"/>
            </w:tcBorders>
            <w:shd w:val="clear" w:color="auto" w:fill="auto"/>
          </w:tcPr>
          <w:p w14:paraId="5639F0C7" w14:textId="56F1DE74" w:rsidR="00E0333C" w:rsidRPr="00F500DC" w:rsidRDefault="009C62D7" w:rsidP="009C62D7">
            <w:pPr>
              <w:jc w:val="center"/>
              <w:rPr>
                <w:rFonts w:eastAsia="Times New Roman"/>
                <w:bCs/>
                <w:sz w:val="26"/>
                <w:szCs w:val="26"/>
                <w:lang w:val="lv-LV" w:eastAsia="lv-LV"/>
              </w:rPr>
            </w:pPr>
            <w:r w:rsidRPr="00F500DC">
              <w:rPr>
                <w:rFonts w:eastAsia="Times New Roman"/>
                <w:bCs/>
                <w:sz w:val="26"/>
                <w:szCs w:val="26"/>
                <w:lang w:val="lv-LV" w:eastAsia="lv-LV"/>
              </w:rPr>
              <w:t>P</w:t>
            </w:r>
            <w:r w:rsidR="00E0333C" w:rsidRPr="00F500DC">
              <w:rPr>
                <w:rFonts w:eastAsia="Times New Roman"/>
                <w:bCs/>
                <w:sz w:val="26"/>
                <w:szCs w:val="26"/>
                <w:lang w:val="lv-LV" w:eastAsia="lv-LV"/>
              </w:rPr>
              <w:t>rojekts šo jomu neskar.</w:t>
            </w:r>
          </w:p>
        </w:tc>
      </w:tr>
    </w:tbl>
    <w:p w14:paraId="57F14BC5" w14:textId="512F1E09" w:rsidR="00844176" w:rsidRPr="00F500DC" w:rsidRDefault="00844176" w:rsidP="00844176">
      <w:pPr>
        <w:rPr>
          <w:rFonts w:eastAsia="Times New Roman"/>
          <w:sz w:val="26"/>
          <w:szCs w:val="26"/>
          <w:lang w:val="lv-LV"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4"/>
        <w:gridCol w:w="1830"/>
        <w:gridCol w:w="6931"/>
      </w:tblGrid>
      <w:tr w:rsidR="00844176" w:rsidRPr="00154DCF" w14:paraId="6C33CD82" w14:textId="77777777" w:rsidTr="00043C33">
        <w:trPr>
          <w:trHeight w:val="45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EF4B0E9" w14:textId="77777777" w:rsidR="00844176" w:rsidRPr="00F500DC" w:rsidRDefault="00844176" w:rsidP="00871E2F">
            <w:pPr>
              <w:ind w:firstLine="300"/>
              <w:jc w:val="center"/>
              <w:rPr>
                <w:rFonts w:eastAsia="Times New Roman"/>
                <w:b/>
                <w:bCs/>
                <w:sz w:val="26"/>
                <w:szCs w:val="26"/>
                <w:lang w:val="lv-LV" w:eastAsia="lv-LV"/>
              </w:rPr>
            </w:pPr>
            <w:r w:rsidRPr="00F500DC">
              <w:rPr>
                <w:rFonts w:eastAsia="Times New Roman"/>
                <w:b/>
                <w:bCs/>
                <w:sz w:val="26"/>
                <w:szCs w:val="26"/>
                <w:lang w:val="lv-LV" w:eastAsia="lv-LV"/>
              </w:rPr>
              <w:t>IV. Tiesību akta projekta ietekme uz spēkā esošo tiesību normu sistēmu</w:t>
            </w:r>
          </w:p>
        </w:tc>
      </w:tr>
      <w:tr w:rsidR="00844176" w:rsidRPr="00F500DC" w14:paraId="57818953" w14:textId="77777777" w:rsidTr="00043C33">
        <w:tc>
          <w:tcPr>
            <w:tcW w:w="241" w:type="pct"/>
            <w:tcBorders>
              <w:top w:val="outset" w:sz="6" w:space="0" w:color="414142"/>
              <w:left w:val="outset" w:sz="6" w:space="0" w:color="414142"/>
              <w:bottom w:val="outset" w:sz="6" w:space="0" w:color="414142"/>
              <w:right w:val="outset" w:sz="6" w:space="0" w:color="414142"/>
            </w:tcBorders>
            <w:hideMark/>
          </w:tcPr>
          <w:p w14:paraId="1A5FDF87" w14:textId="77777777" w:rsidR="00844176" w:rsidRPr="00F500DC" w:rsidRDefault="00844176" w:rsidP="00871E2F">
            <w:pPr>
              <w:rPr>
                <w:rFonts w:eastAsia="Times New Roman"/>
                <w:sz w:val="26"/>
                <w:szCs w:val="26"/>
                <w:lang w:val="lv-LV" w:eastAsia="lv-LV"/>
              </w:rPr>
            </w:pPr>
            <w:r w:rsidRPr="00F500DC">
              <w:rPr>
                <w:rFonts w:eastAsia="Times New Roman"/>
                <w:sz w:val="26"/>
                <w:szCs w:val="26"/>
                <w:lang w:val="lv-LV" w:eastAsia="lv-LV"/>
              </w:rPr>
              <w:lastRenderedPageBreak/>
              <w:t>1.</w:t>
            </w:r>
          </w:p>
        </w:tc>
        <w:tc>
          <w:tcPr>
            <w:tcW w:w="994" w:type="pct"/>
            <w:tcBorders>
              <w:top w:val="outset" w:sz="6" w:space="0" w:color="414142"/>
              <w:left w:val="outset" w:sz="6" w:space="0" w:color="414142"/>
              <w:bottom w:val="outset" w:sz="6" w:space="0" w:color="414142"/>
              <w:right w:val="outset" w:sz="6" w:space="0" w:color="414142"/>
            </w:tcBorders>
            <w:hideMark/>
          </w:tcPr>
          <w:p w14:paraId="6B0EF5B6" w14:textId="77777777" w:rsidR="00844176" w:rsidRPr="00F500DC" w:rsidRDefault="00844176" w:rsidP="00871E2F">
            <w:pPr>
              <w:rPr>
                <w:rFonts w:eastAsia="Times New Roman"/>
                <w:sz w:val="26"/>
                <w:szCs w:val="26"/>
                <w:lang w:val="lv-LV" w:eastAsia="lv-LV"/>
              </w:rPr>
            </w:pPr>
            <w:r w:rsidRPr="00F500DC">
              <w:rPr>
                <w:rFonts w:eastAsia="Times New Roman"/>
                <w:sz w:val="26"/>
                <w:szCs w:val="26"/>
                <w:lang w:val="lv-LV" w:eastAsia="lv-LV"/>
              </w:rPr>
              <w:t>Nepieciešamie saistītie tiesību aktu projekti</w:t>
            </w:r>
          </w:p>
        </w:tc>
        <w:tc>
          <w:tcPr>
            <w:tcW w:w="3764" w:type="pct"/>
            <w:tcBorders>
              <w:top w:val="outset" w:sz="6" w:space="0" w:color="414142"/>
              <w:left w:val="outset" w:sz="6" w:space="0" w:color="414142"/>
              <w:bottom w:val="outset" w:sz="6" w:space="0" w:color="414142"/>
              <w:right w:val="outset" w:sz="6" w:space="0" w:color="414142"/>
            </w:tcBorders>
            <w:hideMark/>
          </w:tcPr>
          <w:p w14:paraId="37F545BF" w14:textId="27B18BB5" w:rsidR="00844176" w:rsidRPr="00F500DC" w:rsidRDefault="002C3A9B" w:rsidP="002C3A9B">
            <w:pPr>
              <w:jc w:val="both"/>
              <w:rPr>
                <w:sz w:val="26"/>
                <w:szCs w:val="26"/>
                <w:lang w:val="lv-LV"/>
              </w:rPr>
            </w:pPr>
            <w:r w:rsidRPr="00F500DC">
              <w:rPr>
                <w:sz w:val="26"/>
                <w:szCs w:val="26"/>
                <w:lang w:val="lv-LV"/>
              </w:rPr>
              <w:t>Nav</w:t>
            </w:r>
          </w:p>
        </w:tc>
      </w:tr>
      <w:tr w:rsidR="00844176" w:rsidRPr="00F500DC" w14:paraId="3469659F" w14:textId="77777777" w:rsidTr="00043C33">
        <w:tc>
          <w:tcPr>
            <w:tcW w:w="241" w:type="pct"/>
            <w:tcBorders>
              <w:top w:val="outset" w:sz="6" w:space="0" w:color="414142"/>
              <w:left w:val="outset" w:sz="6" w:space="0" w:color="414142"/>
              <w:bottom w:val="outset" w:sz="6" w:space="0" w:color="414142"/>
              <w:right w:val="outset" w:sz="6" w:space="0" w:color="414142"/>
            </w:tcBorders>
            <w:hideMark/>
          </w:tcPr>
          <w:p w14:paraId="1F7E264C" w14:textId="77777777" w:rsidR="00844176" w:rsidRPr="00F500DC" w:rsidRDefault="00844176" w:rsidP="00871E2F">
            <w:pPr>
              <w:rPr>
                <w:rFonts w:eastAsia="Times New Roman"/>
                <w:sz w:val="26"/>
                <w:szCs w:val="26"/>
                <w:lang w:val="lv-LV" w:eastAsia="lv-LV"/>
              </w:rPr>
            </w:pPr>
            <w:r w:rsidRPr="00F500DC">
              <w:rPr>
                <w:rFonts w:eastAsia="Times New Roman"/>
                <w:sz w:val="26"/>
                <w:szCs w:val="26"/>
                <w:lang w:val="lv-LV" w:eastAsia="lv-LV"/>
              </w:rPr>
              <w:t>2.</w:t>
            </w:r>
          </w:p>
        </w:tc>
        <w:tc>
          <w:tcPr>
            <w:tcW w:w="994" w:type="pct"/>
            <w:tcBorders>
              <w:top w:val="outset" w:sz="6" w:space="0" w:color="414142"/>
              <w:left w:val="outset" w:sz="6" w:space="0" w:color="414142"/>
              <w:bottom w:val="outset" w:sz="6" w:space="0" w:color="414142"/>
              <w:right w:val="outset" w:sz="6" w:space="0" w:color="414142"/>
            </w:tcBorders>
            <w:hideMark/>
          </w:tcPr>
          <w:p w14:paraId="458FEFBA" w14:textId="77777777" w:rsidR="00844176" w:rsidRPr="00F500DC" w:rsidRDefault="00844176" w:rsidP="00871E2F">
            <w:pPr>
              <w:rPr>
                <w:rFonts w:eastAsia="Times New Roman"/>
                <w:sz w:val="26"/>
                <w:szCs w:val="26"/>
                <w:lang w:val="lv-LV" w:eastAsia="lv-LV"/>
              </w:rPr>
            </w:pPr>
            <w:r w:rsidRPr="00F500DC">
              <w:rPr>
                <w:rFonts w:eastAsia="Times New Roman"/>
                <w:sz w:val="26"/>
                <w:szCs w:val="26"/>
                <w:lang w:val="lv-LV" w:eastAsia="lv-LV"/>
              </w:rPr>
              <w:t>Atbildīgā institūcija</w:t>
            </w:r>
          </w:p>
        </w:tc>
        <w:tc>
          <w:tcPr>
            <w:tcW w:w="3764" w:type="pct"/>
            <w:tcBorders>
              <w:top w:val="outset" w:sz="6" w:space="0" w:color="414142"/>
              <w:left w:val="outset" w:sz="6" w:space="0" w:color="414142"/>
              <w:bottom w:val="outset" w:sz="6" w:space="0" w:color="414142"/>
              <w:right w:val="outset" w:sz="6" w:space="0" w:color="414142"/>
            </w:tcBorders>
            <w:hideMark/>
          </w:tcPr>
          <w:p w14:paraId="3DEC7C4D" w14:textId="614973DF" w:rsidR="00844176" w:rsidRPr="00F500DC" w:rsidRDefault="009129D8" w:rsidP="00871E2F">
            <w:pPr>
              <w:pStyle w:val="BodyText"/>
              <w:ind w:right="142"/>
              <w:rPr>
                <w:rFonts w:eastAsia="Calibri"/>
                <w:sz w:val="26"/>
                <w:szCs w:val="26"/>
                <w:lang w:eastAsia="en-US"/>
              </w:rPr>
            </w:pPr>
            <w:r w:rsidRPr="00F500DC">
              <w:rPr>
                <w:rFonts w:eastAsia="Calibri"/>
                <w:sz w:val="26"/>
                <w:szCs w:val="26"/>
                <w:lang w:eastAsia="en-US"/>
              </w:rPr>
              <w:t>Nav</w:t>
            </w:r>
          </w:p>
        </w:tc>
      </w:tr>
      <w:tr w:rsidR="00844176" w:rsidRPr="00F500DC" w14:paraId="32F2DD54" w14:textId="77777777" w:rsidTr="00043C33">
        <w:tc>
          <w:tcPr>
            <w:tcW w:w="241" w:type="pct"/>
            <w:tcBorders>
              <w:top w:val="outset" w:sz="6" w:space="0" w:color="414142"/>
              <w:left w:val="outset" w:sz="6" w:space="0" w:color="414142"/>
              <w:bottom w:val="outset" w:sz="6" w:space="0" w:color="414142"/>
              <w:right w:val="outset" w:sz="6" w:space="0" w:color="414142"/>
            </w:tcBorders>
            <w:hideMark/>
          </w:tcPr>
          <w:p w14:paraId="4A6C61D3" w14:textId="77777777" w:rsidR="00844176" w:rsidRPr="00F500DC" w:rsidRDefault="00844176" w:rsidP="00871E2F">
            <w:pPr>
              <w:rPr>
                <w:rFonts w:eastAsia="Times New Roman"/>
                <w:sz w:val="26"/>
                <w:szCs w:val="26"/>
                <w:lang w:val="lv-LV" w:eastAsia="lv-LV"/>
              </w:rPr>
            </w:pPr>
            <w:r w:rsidRPr="00F500DC">
              <w:rPr>
                <w:rFonts w:eastAsia="Times New Roman"/>
                <w:sz w:val="26"/>
                <w:szCs w:val="26"/>
                <w:lang w:val="lv-LV" w:eastAsia="lv-LV"/>
              </w:rPr>
              <w:t>3.</w:t>
            </w:r>
          </w:p>
        </w:tc>
        <w:tc>
          <w:tcPr>
            <w:tcW w:w="994" w:type="pct"/>
            <w:tcBorders>
              <w:top w:val="outset" w:sz="6" w:space="0" w:color="414142"/>
              <w:left w:val="outset" w:sz="6" w:space="0" w:color="414142"/>
              <w:bottom w:val="outset" w:sz="6" w:space="0" w:color="414142"/>
              <w:right w:val="outset" w:sz="6" w:space="0" w:color="414142"/>
            </w:tcBorders>
            <w:hideMark/>
          </w:tcPr>
          <w:p w14:paraId="3AF1A60F" w14:textId="77777777" w:rsidR="00844176" w:rsidRPr="00F500DC" w:rsidRDefault="00844176" w:rsidP="00871E2F">
            <w:pPr>
              <w:rPr>
                <w:rFonts w:eastAsia="Times New Roman"/>
                <w:sz w:val="26"/>
                <w:szCs w:val="26"/>
                <w:lang w:val="lv-LV" w:eastAsia="lv-LV"/>
              </w:rPr>
            </w:pPr>
            <w:r w:rsidRPr="00F500DC">
              <w:rPr>
                <w:rFonts w:eastAsia="Times New Roman"/>
                <w:sz w:val="26"/>
                <w:szCs w:val="26"/>
                <w:lang w:val="lv-LV" w:eastAsia="lv-LV"/>
              </w:rPr>
              <w:t>Cita informācija</w:t>
            </w:r>
          </w:p>
        </w:tc>
        <w:tc>
          <w:tcPr>
            <w:tcW w:w="3764" w:type="pct"/>
            <w:tcBorders>
              <w:top w:val="outset" w:sz="6" w:space="0" w:color="414142"/>
              <w:left w:val="outset" w:sz="6" w:space="0" w:color="414142"/>
              <w:bottom w:val="outset" w:sz="6" w:space="0" w:color="414142"/>
              <w:right w:val="outset" w:sz="6" w:space="0" w:color="414142"/>
            </w:tcBorders>
            <w:hideMark/>
          </w:tcPr>
          <w:p w14:paraId="637C4F16" w14:textId="59EF1909" w:rsidR="00844176" w:rsidRPr="00F500DC" w:rsidRDefault="00D97622" w:rsidP="00871E2F">
            <w:pPr>
              <w:jc w:val="both"/>
              <w:rPr>
                <w:sz w:val="26"/>
                <w:szCs w:val="26"/>
                <w:lang w:val="lv-LV"/>
              </w:rPr>
            </w:pPr>
            <w:r w:rsidRPr="00F500DC">
              <w:rPr>
                <w:sz w:val="26"/>
                <w:szCs w:val="26"/>
                <w:lang w:val="lv-LV"/>
              </w:rPr>
              <w:t>Nav</w:t>
            </w:r>
          </w:p>
        </w:tc>
      </w:tr>
    </w:tbl>
    <w:p w14:paraId="2A21AD4B" w14:textId="77777777" w:rsidR="00844176" w:rsidRPr="00F500DC" w:rsidRDefault="00844176" w:rsidP="00844176">
      <w:pPr>
        <w:rPr>
          <w:rFonts w:eastAsia="Times New Roman"/>
          <w:sz w:val="26"/>
          <w:szCs w:val="26"/>
          <w:lang w:val="lv-LV" w:eastAsia="lv-LV"/>
        </w:rPr>
      </w:pPr>
    </w:p>
    <w:tbl>
      <w:tblPr>
        <w:tblW w:w="920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8"/>
        <w:gridCol w:w="2699"/>
        <w:gridCol w:w="6088"/>
      </w:tblGrid>
      <w:tr w:rsidR="00844176" w:rsidRPr="00F500DC" w14:paraId="07C3ABEE" w14:textId="77777777" w:rsidTr="00871E2F">
        <w:tc>
          <w:tcPr>
            <w:tcW w:w="0" w:type="auto"/>
            <w:gridSpan w:val="3"/>
            <w:tcBorders>
              <w:top w:val="outset" w:sz="6" w:space="0" w:color="414142"/>
              <w:left w:val="outset" w:sz="6" w:space="0" w:color="414142"/>
              <w:bottom w:val="outset" w:sz="6" w:space="0" w:color="414142"/>
              <w:right w:val="outset" w:sz="6" w:space="0" w:color="414142"/>
            </w:tcBorders>
            <w:hideMark/>
          </w:tcPr>
          <w:p w14:paraId="6901DE8D" w14:textId="77777777" w:rsidR="00844176" w:rsidRPr="00F500DC" w:rsidRDefault="00844176" w:rsidP="00871E2F">
            <w:pPr>
              <w:spacing w:before="100" w:beforeAutospacing="1" w:after="100" w:afterAutospacing="1"/>
              <w:ind w:firstLine="300"/>
              <w:jc w:val="center"/>
              <w:rPr>
                <w:rFonts w:eastAsia="Times New Roman"/>
                <w:sz w:val="26"/>
                <w:szCs w:val="26"/>
                <w:lang w:val="lv-LV" w:eastAsia="lv-LV"/>
              </w:rPr>
            </w:pPr>
            <w:r w:rsidRPr="00F500DC">
              <w:rPr>
                <w:rFonts w:eastAsia="Times New Roman"/>
                <w:b/>
                <w:bCs/>
                <w:color w:val="000000"/>
                <w:sz w:val="26"/>
                <w:szCs w:val="26"/>
                <w:lang w:val="lv-LV" w:eastAsia="lv-LV"/>
              </w:rPr>
              <w:t>V. Tiesību akta projekta atbilstība Latvijas Republikas starptautiskajām saistībām</w:t>
            </w:r>
          </w:p>
        </w:tc>
      </w:tr>
      <w:tr w:rsidR="003B2203" w:rsidRPr="00F500DC" w14:paraId="17F7F902" w14:textId="77777777" w:rsidTr="00871E2F">
        <w:tc>
          <w:tcPr>
            <w:tcW w:w="227" w:type="pct"/>
            <w:tcBorders>
              <w:top w:val="outset" w:sz="6" w:space="0" w:color="414142"/>
              <w:left w:val="outset" w:sz="6" w:space="0" w:color="414142"/>
              <w:bottom w:val="outset" w:sz="6" w:space="0" w:color="414142"/>
              <w:right w:val="outset" w:sz="6" w:space="0" w:color="414142"/>
            </w:tcBorders>
            <w:hideMark/>
          </w:tcPr>
          <w:p w14:paraId="78A781BB" w14:textId="77777777" w:rsidR="003B2203" w:rsidRPr="00F500DC" w:rsidRDefault="003B2203" w:rsidP="003B2203">
            <w:pPr>
              <w:rPr>
                <w:rFonts w:eastAsia="Times New Roman"/>
                <w:sz w:val="26"/>
                <w:szCs w:val="26"/>
                <w:lang w:val="lv-LV" w:eastAsia="lv-LV"/>
              </w:rPr>
            </w:pPr>
            <w:r w:rsidRPr="00F500DC">
              <w:rPr>
                <w:rFonts w:eastAsia="Times New Roman"/>
                <w:sz w:val="26"/>
                <w:szCs w:val="26"/>
                <w:lang w:val="lv-LV" w:eastAsia="lv-LV"/>
              </w:rPr>
              <w:t>1.</w:t>
            </w:r>
          </w:p>
        </w:tc>
        <w:tc>
          <w:tcPr>
            <w:tcW w:w="1466" w:type="pct"/>
            <w:tcBorders>
              <w:top w:val="outset" w:sz="6" w:space="0" w:color="414142"/>
              <w:left w:val="outset" w:sz="6" w:space="0" w:color="414142"/>
              <w:bottom w:val="outset" w:sz="6" w:space="0" w:color="414142"/>
              <w:right w:val="outset" w:sz="6" w:space="0" w:color="414142"/>
            </w:tcBorders>
            <w:hideMark/>
          </w:tcPr>
          <w:p w14:paraId="4D28CC95" w14:textId="77777777" w:rsidR="003B2203" w:rsidRPr="00F500DC" w:rsidRDefault="003B2203" w:rsidP="003B2203">
            <w:pPr>
              <w:jc w:val="both"/>
              <w:rPr>
                <w:rFonts w:eastAsia="Times New Roman"/>
                <w:sz w:val="26"/>
                <w:szCs w:val="26"/>
                <w:lang w:val="lv-LV" w:eastAsia="lv-LV"/>
              </w:rPr>
            </w:pPr>
            <w:r w:rsidRPr="00F500DC">
              <w:rPr>
                <w:rFonts w:eastAsia="Times New Roman"/>
                <w:sz w:val="26"/>
                <w:szCs w:val="26"/>
                <w:lang w:val="lv-LV" w:eastAsia="lv-LV"/>
              </w:rPr>
              <w:t>Saistības pret Eiropas Savienību</w:t>
            </w:r>
          </w:p>
        </w:tc>
        <w:tc>
          <w:tcPr>
            <w:tcW w:w="3307" w:type="pct"/>
            <w:tcBorders>
              <w:top w:val="outset" w:sz="6" w:space="0" w:color="414142"/>
              <w:left w:val="outset" w:sz="6" w:space="0" w:color="414142"/>
              <w:bottom w:val="outset" w:sz="6" w:space="0" w:color="414142"/>
              <w:right w:val="outset" w:sz="6" w:space="0" w:color="414142"/>
            </w:tcBorders>
            <w:hideMark/>
          </w:tcPr>
          <w:p w14:paraId="313D4E77" w14:textId="44A0651B" w:rsidR="00F05823" w:rsidRPr="00F500DC" w:rsidRDefault="00F05823" w:rsidP="001F1430">
            <w:pPr>
              <w:jc w:val="both"/>
              <w:rPr>
                <w:sz w:val="26"/>
                <w:szCs w:val="26"/>
                <w:lang w:val="lv-LV"/>
              </w:rPr>
            </w:pPr>
            <w:r w:rsidRPr="00F500DC">
              <w:rPr>
                <w:rFonts w:eastAsia="Times New Roman"/>
                <w:sz w:val="26"/>
                <w:szCs w:val="26"/>
                <w:lang w:val="lv-LV" w:eastAsia="lv-LV"/>
              </w:rPr>
              <w:t>Projekts šo jomu neskar</w:t>
            </w:r>
          </w:p>
        </w:tc>
      </w:tr>
      <w:tr w:rsidR="003B2203" w:rsidRPr="00F500DC" w14:paraId="2BF33DFD" w14:textId="77777777" w:rsidTr="00871E2F">
        <w:tc>
          <w:tcPr>
            <w:tcW w:w="227" w:type="pct"/>
            <w:tcBorders>
              <w:top w:val="outset" w:sz="6" w:space="0" w:color="414142"/>
              <w:left w:val="outset" w:sz="6" w:space="0" w:color="414142"/>
              <w:bottom w:val="outset" w:sz="6" w:space="0" w:color="414142"/>
              <w:right w:val="outset" w:sz="6" w:space="0" w:color="414142"/>
            </w:tcBorders>
            <w:hideMark/>
          </w:tcPr>
          <w:p w14:paraId="1F188A09" w14:textId="77777777" w:rsidR="003B2203" w:rsidRPr="00F500DC" w:rsidRDefault="003B2203" w:rsidP="003B2203">
            <w:pPr>
              <w:rPr>
                <w:rFonts w:eastAsia="Times New Roman"/>
                <w:sz w:val="26"/>
                <w:szCs w:val="26"/>
                <w:lang w:val="lv-LV" w:eastAsia="lv-LV"/>
              </w:rPr>
            </w:pPr>
            <w:r w:rsidRPr="00F500DC">
              <w:rPr>
                <w:rFonts w:eastAsia="Times New Roman"/>
                <w:sz w:val="26"/>
                <w:szCs w:val="26"/>
                <w:lang w:val="lv-LV" w:eastAsia="lv-LV"/>
              </w:rPr>
              <w:t>2.</w:t>
            </w:r>
          </w:p>
        </w:tc>
        <w:tc>
          <w:tcPr>
            <w:tcW w:w="1466" w:type="pct"/>
            <w:tcBorders>
              <w:top w:val="outset" w:sz="6" w:space="0" w:color="414142"/>
              <w:left w:val="outset" w:sz="6" w:space="0" w:color="414142"/>
              <w:bottom w:val="outset" w:sz="6" w:space="0" w:color="414142"/>
              <w:right w:val="outset" w:sz="6" w:space="0" w:color="414142"/>
            </w:tcBorders>
            <w:hideMark/>
          </w:tcPr>
          <w:p w14:paraId="0B74399D" w14:textId="77777777" w:rsidR="003B2203" w:rsidRPr="00F500DC" w:rsidRDefault="003B2203" w:rsidP="003B2203">
            <w:pPr>
              <w:jc w:val="both"/>
              <w:rPr>
                <w:rFonts w:eastAsia="Times New Roman"/>
                <w:sz w:val="26"/>
                <w:szCs w:val="26"/>
                <w:lang w:val="lv-LV" w:eastAsia="lv-LV"/>
              </w:rPr>
            </w:pPr>
            <w:r w:rsidRPr="00F500DC">
              <w:rPr>
                <w:rFonts w:eastAsia="Times New Roman"/>
                <w:sz w:val="26"/>
                <w:szCs w:val="26"/>
                <w:lang w:val="lv-LV" w:eastAsia="lv-LV"/>
              </w:rPr>
              <w:t>Citas starptautiskās saistības</w:t>
            </w:r>
          </w:p>
        </w:tc>
        <w:tc>
          <w:tcPr>
            <w:tcW w:w="3307" w:type="pct"/>
            <w:tcBorders>
              <w:top w:val="outset" w:sz="6" w:space="0" w:color="414142"/>
              <w:left w:val="outset" w:sz="6" w:space="0" w:color="414142"/>
              <w:bottom w:val="outset" w:sz="6" w:space="0" w:color="414142"/>
              <w:right w:val="outset" w:sz="6" w:space="0" w:color="414142"/>
            </w:tcBorders>
            <w:hideMark/>
          </w:tcPr>
          <w:p w14:paraId="04D2F44F" w14:textId="585399CB" w:rsidR="003B2203" w:rsidRPr="00F500DC" w:rsidRDefault="003B2203" w:rsidP="003B2203">
            <w:pPr>
              <w:jc w:val="both"/>
              <w:rPr>
                <w:rFonts w:eastAsia="Times New Roman"/>
                <w:sz w:val="26"/>
                <w:szCs w:val="26"/>
                <w:lang w:val="lv-LV" w:eastAsia="lv-LV"/>
              </w:rPr>
            </w:pPr>
            <w:r w:rsidRPr="00F500DC">
              <w:rPr>
                <w:rFonts w:eastAsia="Times New Roman"/>
                <w:sz w:val="26"/>
                <w:szCs w:val="26"/>
                <w:lang w:val="lv-LV" w:eastAsia="lv-LV"/>
              </w:rPr>
              <w:t>Projekts šo jomu neskar</w:t>
            </w:r>
          </w:p>
        </w:tc>
      </w:tr>
      <w:tr w:rsidR="003B2203" w:rsidRPr="00154DCF" w14:paraId="64229F4B" w14:textId="77777777" w:rsidTr="00871E2F">
        <w:tc>
          <w:tcPr>
            <w:tcW w:w="227" w:type="pct"/>
            <w:tcBorders>
              <w:top w:val="outset" w:sz="6" w:space="0" w:color="414142"/>
              <w:left w:val="outset" w:sz="6" w:space="0" w:color="414142"/>
              <w:bottom w:val="outset" w:sz="6" w:space="0" w:color="414142"/>
              <w:right w:val="outset" w:sz="6" w:space="0" w:color="414142"/>
            </w:tcBorders>
            <w:hideMark/>
          </w:tcPr>
          <w:p w14:paraId="2D9DCABC" w14:textId="77777777" w:rsidR="003B2203" w:rsidRPr="00F500DC" w:rsidRDefault="003B2203" w:rsidP="003B2203">
            <w:pPr>
              <w:rPr>
                <w:rFonts w:eastAsia="Times New Roman"/>
                <w:sz w:val="26"/>
                <w:szCs w:val="26"/>
                <w:lang w:val="lv-LV" w:eastAsia="lv-LV"/>
              </w:rPr>
            </w:pPr>
            <w:r w:rsidRPr="00F500DC">
              <w:rPr>
                <w:rFonts w:eastAsia="Times New Roman"/>
                <w:sz w:val="26"/>
                <w:szCs w:val="26"/>
                <w:lang w:val="lv-LV" w:eastAsia="lv-LV"/>
              </w:rPr>
              <w:t>3.</w:t>
            </w:r>
          </w:p>
        </w:tc>
        <w:tc>
          <w:tcPr>
            <w:tcW w:w="1466" w:type="pct"/>
            <w:tcBorders>
              <w:top w:val="outset" w:sz="6" w:space="0" w:color="414142"/>
              <w:left w:val="outset" w:sz="6" w:space="0" w:color="414142"/>
              <w:bottom w:val="outset" w:sz="6" w:space="0" w:color="414142"/>
              <w:right w:val="outset" w:sz="6" w:space="0" w:color="414142"/>
            </w:tcBorders>
            <w:hideMark/>
          </w:tcPr>
          <w:p w14:paraId="19774E23" w14:textId="77777777" w:rsidR="003B2203" w:rsidRPr="00F500DC" w:rsidRDefault="003B2203" w:rsidP="003B2203">
            <w:pPr>
              <w:jc w:val="both"/>
              <w:rPr>
                <w:rFonts w:eastAsia="Times New Roman"/>
                <w:sz w:val="26"/>
                <w:szCs w:val="26"/>
                <w:lang w:val="lv-LV" w:eastAsia="lv-LV"/>
              </w:rPr>
            </w:pPr>
            <w:r w:rsidRPr="00F500DC">
              <w:rPr>
                <w:rFonts w:eastAsia="Times New Roman"/>
                <w:sz w:val="26"/>
                <w:szCs w:val="26"/>
                <w:lang w:val="lv-LV" w:eastAsia="lv-LV"/>
              </w:rPr>
              <w:t>Cita informācija</w:t>
            </w:r>
          </w:p>
        </w:tc>
        <w:tc>
          <w:tcPr>
            <w:tcW w:w="3307" w:type="pct"/>
            <w:tcBorders>
              <w:top w:val="outset" w:sz="6" w:space="0" w:color="414142"/>
              <w:left w:val="outset" w:sz="6" w:space="0" w:color="414142"/>
              <w:bottom w:val="outset" w:sz="6" w:space="0" w:color="414142"/>
              <w:right w:val="outset" w:sz="6" w:space="0" w:color="414142"/>
            </w:tcBorders>
            <w:hideMark/>
          </w:tcPr>
          <w:p w14:paraId="16475BB0" w14:textId="66A1EE98" w:rsidR="00934AD3" w:rsidRPr="00F500DC" w:rsidRDefault="00934AD3" w:rsidP="00934AD3">
            <w:pPr>
              <w:pStyle w:val="naiskr"/>
              <w:spacing w:before="0" w:after="0"/>
              <w:jc w:val="both"/>
              <w:rPr>
                <w:sz w:val="26"/>
                <w:szCs w:val="26"/>
              </w:rPr>
            </w:pPr>
            <w:r w:rsidRPr="00F500DC">
              <w:rPr>
                <w:sz w:val="26"/>
                <w:szCs w:val="26"/>
              </w:rPr>
              <w:t>Ar Noteikumu projektu tiek ieviestas šād</w:t>
            </w:r>
            <w:r w:rsidR="00E7553C" w:rsidRPr="00F500DC">
              <w:rPr>
                <w:sz w:val="26"/>
                <w:szCs w:val="26"/>
              </w:rPr>
              <w:t>i</w:t>
            </w:r>
            <w:r w:rsidRPr="00F500DC">
              <w:rPr>
                <w:sz w:val="26"/>
                <w:szCs w:val="26"/>
              </w:rPr>
              <w:t xml:space="preserve"> Eiropas Savienības paziņojumu nosacījumi:</w:t>
            </w:r>
          </w:p>
          <w:p w14:paraId="41F0F48F" w14:textId="560F778A" w:rsidR="003B2203" w:rsidRPr="00F01888" w:rsidRDefault="00E7553C" w:rsidP="00E7553C">
            <w:pPr>
              <w:pStyle w:val="naiskr"/>
              <w:numPr>
                <w:ilvl w:val="0"/>
                <w:numId w:val="39"/>
              </w:numPr>
              <w:spacing w:before="0" w:after="0"/>
              <w:ind w:left="714" w:hanging="357"/>
              <w:jc w:val="both"/>
              <w:rPr>
                <w:sz w:val="26"/>
                <w:szCs w:val="26"/>
              </w:rPr>
            </w:pPr>
            <w:r w:rsidRPr="00F01888">
              <w:rPr>
                <w:sz w:val="26"/>
                <w:szCs w:val="26"/>
              </w:rPr>
              <w:t>Komisijas paziņojums par ĪEKG</w:t>
            </w:r>
            <w:r w:rsidR="001412C5" w:rsidRPr="00F01888">
              <w:rPr>
                <w:sz w:val="26"/>
                <w:szCs w:val="26"/>
              </w:rPr>
              <w:t>;</w:t>
            </w:r>
          </w:p>
          <w:p w14:paraId="6F3AE0FD" w14:textId="4BC6E17F" w:rsidR="00F96110" w:rsidRPr="001412C5" w:rsidRDefault="00F96110" w:rsidP="00E7553C">
            <w:pPr>
              <w:pStyle w:val="naiskr"/>
              <w:numPr>
                <w:ilvl w:val="0"/>
                <w:numId w:val="39"/>
              </w:numPr>
              <w:spacing w:before="0" w:after="0"/>
              <w:ind w:left="714" w:hanging="357"/>
              <w:jc w:val="both"/>
              <w:rPr>
                <w:sz w:val="26"/>
                <w:szCs w:val="26"/>
              </w:rPr>
            </w:pPr>
            <w:r w:rsidRPr="001412C5">
              <w:rPr>
                <w:sz w:val="26"/>
                <w:szCs w:val="26"/>
              </w:rPr>
              <w:t>Eiropas Komisijas 2020. gada 19. marta paziņojums "Pagaidu regulējums valsts atbalsta pasākumiem, ar ko atbalsta ekonomiku pašreizējā Covid-19 uzliesmojuma situācijā" (C(2020)1863)</w:t>
            </w:r>
            <w:r w:rsidR="001412C5">
              <w:rPr>
                <w:sz w:val="26"/>
                <w:szCs w:val="26"/>
              </w:rPr>
              <w:t>;</w:t>
            </w:r>
          </w:p>
          <w:p w14:paraId="10FD6544" w14:textId="5810ED6E" w:rsidR="006E09BA" w:rsidRPr="00F500DC" w:rsidRDefault="00901AA4" w:rsidP="006E09BA">
            <w:pPr>
              <w:pStyle w:val="naiskr"/>
              <w:numPr>
                <w:ilvl w:val="0"/>
                <w:numId w:val="39"/>
              </w:numPr>
              <w:spacing w:before="0" w:after="0"/>
              <w:ind w:left="714" w:hanging="357"/>
              <w:jc w:val="both"/>
              <w:rPr>
                <w:i/>
                <w:iCs/>
                <w:sz w:val="26"/>
                <w:szCs w:val="26"/>
              </w:rPr>
            </w:pPr>
            <w:r w:rsidRPr="00F500DC">
              <w:rPr>
                <w:sz w:val="26"/>
                <w:szCs w:val="26"/>
              </w:rPr>
              <w:t>Eiropas Komisijas 202</w:t>
            </w:r>
            <w:r w:rsidR="001F2A37">
              <w:rPr>
                <w:sz w:val="26"/>
                <w:szCs w:val="26"/>
              </w:rPr>
              <w:t>1</w:t>
            </w:r>
            <w:r w:rsidRPr="00F500DC">
              <w:rPr>
                <w:sz w:val="26"/>
                <w:szCs w:val="26"/>
              </w:rPr>
              <w:t xml:space="preserve">.gada </w:t>
            </w:r>
            <w:r w:rsidR="001F2A37">
              <w:rPr>
                <w:sz w:val="26"/>
                <w:szCs w:val="26"/>
              </w:rPr>
              <w:t>28.janvāra</w:t>
            </w:r>
            <w:r w:rsidRPr="00F500DC">
              <w:rPr>
                <w:sz w:val="26"/>
                <w:szCs w:val="26"/>
              </w:rPr>
              <w:t xml:space="preserve"> paziņojums</w:t>
            </w:r>
            <w:r w:rsidR="001F2A37">
              <w:rPr>
                <w:sz w:val="26"/>
                <w:szCs w:val="26"/>
              </w:rPr>
              <w:t xml:space="preserve"> </w:t>
            </w:r>
            <w:r w:rsidR="001F2A37" w:rsidRPr="001F2A37">
              <w:rPr>
                <w:sz w:val="26"/>
                <w:szCs w:val="26"/>
              </w:rPr>
              <w:t xml:space="preserve">“Piektais grozījums </w:t>
            </w:r>
            <w:r w:rsidR="001F2A37">
              <w:rPr>
                <w:sz w:val="26"/>
                <w:szCs w:val="26"/>
              </w:rPr>
              <w:t>p</w:t>
            </w:r>
            <w:r w:rsidR="001F2A37" w:rsidRPr="001F2A37">
              <w:rPr>
                <w:sz w:val="26"/>
                <w:szCs w:val="26"/>
              </w:rPr>
              <w:t>agaidu regulējumā valsts atbalsta pasākumiem, ar ko atbalsta ekonomiku pašreizējā Covid-19 uzliesmojuma situācijā, un grozījums pielikumā Komisijas Paziņojumam dalībvalstīm par Līguma par Eiropas Savienības darbību 107. un 108. panta piemērošanu īstermiņa eksporta kredīta apdrošināšanai” (C(2021) 564) (turpmāk – Pagaidu regulējums)</w:t>
            </w:r>
            <w:r w:rsidR="001F2A37">
              <w:rPr>
                <w:sz w:val="26"/>
                <w:szCs w:val="26"/>
              </w:rPr>
              <w:t xml:space="preserve"> 2.sadaļas </w:t>
            </w:r>
            <w:r w:rsidR="006E09BA" w:rsidRPr="00AA2598">
              <w:rPr>
                <w:sz w:val="26"/>
                <w:szCs w:val="26"/>
              </w:rPr>
              <w:t>3</w:t>
            </w:r>
            <w:r w:rsidR="001F2A37" w:rsidRPr="00AA2598">
              <w:rPr>
                <w:sz w:val="26"/>
                <w:szCs w:val="26"/>
              </w:rPr>
              <w:t>6</w:t>
            </w:r>
            <w:r w:rsidR="006E09BA" w:rsidRPr="00AA2598">
              <w:rPr>
                <w:sz w:val="26"/>
                <w:szCs w:val="26"/>
              </w:rPr>
              <w:t>.punkts</w:t>
            </w:r>
            <w:r w:rsidR="001F2A37" w:rsidRPr="00AA2598">
              <w:rPr>
                <w:sz w:val="26"/>
                <w:szCs w:val="26"/>
              </w:rPr>
              <w:t xml:space="preserve"> un 3.sadaļa</w:t>
            </w:r>
            <w:r w:rsidR="006E09BA" w:rsidRPr="00AA2598">
              <w:rPr>
                <w:sz w:val="26"/>
                <w:szCs w:val="26"/>
              </w:rPr>
              <w:t xml:space="preserve"> (Noteikumu projekta 2.punkts)</w:t>
            </w:r>
          </w:p>
        </w:tc>
      </w:tr>
    </w:tbl>
    <w:p w14:paraId="25CF5206" w14:textId="3A525C2C" w:rsidR="009B49EE" w:rsidRPr="00F500DC" w:rsidRDefault="00844176" w:rsidP="00844176">
      <w:pPr>
        <w:rPr>
          <w:rFonts w:eastAsia="Times New Roman"/>
          <w:color w:val="000000"/>
          <w:sz w:val="26"/>
          <w:szCs w:val="26"/>
          <w:lang w:val="lv-LV" w:eastAsia="lv-LV"/>
        </w:rPr>
      </w:pPr>
      <w:r w:rsidRPr="00F500DC">
        <w:rPr>
          <w:rFonts w:eastAsia="Times New Roman"/>
          <w:color w:val="000000"/>
          <w:sz w:val="26"/>
          <w:szCs w:val="26"/>
          <w:lang w:val="lv-LV" w:eastAsia="lv-LV"/>
        </w:rPr>
        <w:t>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835"/>
        <w:gridCol w:w="5953"/>
      </w:tblGrid>
      <w:tr w:rsidR="009B49EE" w:rsidRPr="00154DCF" w14:paraId="125E19ED" w14:textId="77777777" w:rsidTr="00BD2A9F">
        <w:trPr>
          <w:trHeight w:val="421"/>
        </w:trPr>
        <w:tc>
          <w:tcPr>
            <w:tcW w:w="9214" w:type="dxa"/>
            <w:gridSpan w:val="3"/>
            <w:tcBorders>
              <w:top w:val="single" w:sz="2" w:space="0" w:color="auto"/>
            </w:tcBorders>
            <w:vAlign w:val="center"/>
          </w:tcPr>
          <w:p w14:paraId="05B881F4" w14:textId="77777777" w:rsidR="009B49EE" w:rsidRPr="00F500DC" w:rsidRDefault="009B49EE" w:rsidP="004937D3">
            <w:pPr>
              <w:ind w:left="57" w:right="57"/>
              <w:jc w:val="center"/>
              <w:rPr>
                <w:rFonts w:eastAsia="Times New Roman"/>
                <w:sz w:val="26"/>
                <w:szCs w:val="26"/>
                <w:lang w:val="lv-LV"/>
              </w:rPr>
            </w:pPr>
            <w:r w:rsidRPr="00F500DC">
              <w:rPr>
                <w:rFonts w:eastAsia="Times New Roman"/>
                <w:b/>
                <w:sz w:val="26"/>
                <w:szCs w:val="26"/>
                <w:lang w:val="lv-LV"/>
              </w:rPr>
              <w:t>VI. Sabiedrības līdzdalība un komunikācijas aktivitātes</w:t>
            </w:r>
          </w:p>
        </w:tc>
      </w:tr>
      <w:tr w:rsidR="002B3D52" w:rsidRPr="00154DCF" w14:paraId="04EFA6C5" w14:textId="77777777" w:rsidTr="00E4658A">
        <w:trPr>
          <w:trHeight w:val="553"/>
        </w:trPr>
        <w:tc>
          <w:tcPr>
            <w:tcW w:w="426" w:type="dxa"/>
          </w:tcPr>
          <w:p w14:paraId="3F1559FC" w14:textId="77777777" w:rsidR="002B3D52" w:rsidRPr="00F500DC" w:rsidRDefault="002B3D52" w:rsidP="002B3D52">
            <w:pPr>
              <w:ind w:left="57" w:right="57"/>
              <w:jc w:val="both"/>
              <w:rPr>
                <w:rFonts w:eastAsia="PMingLiU"/>
                <w:bCs/>
                <w:sz w:val="26"/>
                <w:szCs w:val="26"/>
                <w:lang w:eastAsia="ja-JP"/>
              </w:rPr>
            </w:pPr>
            <w:r w:rsidRPr="00F500DC">
              <w:rPr>
                <w:rFonts w:eastAsia="PMingLiU"/>
                <w:bCs/>
                <w:sz w:val="26"/>
                <w:szCs w:val="26"/>
                <w:lang w:eastAsia="ja-JP"/>
              </w:rPr>
              <w:t>1.</w:t>
            </w:r>
          </w:p>
        </w:tc>
        <w:tc>
          <w:tcPr>
            <w:tcW w:w="2835" w:type="dxa"/>
          </w:tcPr>
          <w:p w14:paraId="3129FDED" w14:textId="77777777" w:rsidR="002B3D52" w:rsidRPr="00F500DC" w:rsidRDefault="002B3D52" w:rsidP="002B3D52">
            <w:pPr>
              <w:tabs>
                <w:tab w:val="left" w:pos="170"/>
              </w:tabs>
              <w:ind w:left="57" w:right="57"/>
              <w:rPr>
                <w:rFonts w:eastAsia="PMingLiU"/>
                <w:sz w:val="26"/>
                <w:szCs w:val="26"/>
                <w:lang w:val="lv-LV" w:eastAsia="ja-JP"/>
              </w:rPr>
            </w:pPr>
            <w:r w:rsidRPr="00F500DC">
              <w:rPr>
                <w:rFonts w:eastAsia="PMingLiU"/>
                <w:sz w:val="26"/>
                <w:szCs w:val="26"/>
                <w:lang w:val="lv-LV" w:eastAsia="ja-JP"/>
              </w:rPr>
              <w:t>Plānotās sabiedrības līdzdalības un komunikācijas aktivitātes saistībā ar projektu</w:t>
            </w:r>
          </w:p>
        </w:tc>
        <w:tc>
          <w:tcPr>
            <w:tcW w:w="5953" w:type="dxa"/>
          </w:tcPr>
          <w:p w14:paraId="33EA836C" w14:textId="07D28534" w:rsidR="001F1430" w:rsidRPr="00F500DC" w:rsidRDefault="006216EC" w:rsidP="002B3D52">
            <w:pPr>
              <w:jc w:val="both"/>
              <w:rPr>
                <w:color w:val="000000" w:themeColor="text1"/>
                <w:sz w:val="26"/>
                <w:szCs w:val="26"/>
                <w:lang w:val="lv-LV"/>
              </w:rPr>
            </w:pPr>
            <w:r w:rsidRPr="00F500DC">
              <w:rPr>
                <w:color w:val="000000" w:themeColor="text1"/>
                <w:sz w:val="26"/>
                <w:szCs w:val="26"/>
                <w:lang w:val="lv-LV"/>
              </w:rPr>
              <w:t>Sabiedrības līdzdalība Projekta izstrādē īstenota atbilstoši Ministru kabineta 2009.gada 25.augusta noteikumiem Nr.970 “Sabiedrības līdzdalības kārtība attīstības plānošanas procesā” 5. punktā 7.4.</w:t>
            </w:r>
            <w:r w:rsidRPr="00F500DC">
              <w:rPr>
                <w:color w:val="000000" w:themeColor="text1"/>
                <w:sz w:val="26"/>
                <w:szCs w:val="26"/>
                <w:vertAlign w:val="superscript"/>
                <w:lang w:val="lv-LV"/>
              </w:rPr>
              <w:t xml:space="preserve">1 </w:t>
            </w:r>
            <w:r w:rsidRPr="00F500DC">
              <w:rPr>
                <w:color w:val="000000" w:themeColor="text1"/>
                <w:sz w:val="26"/>
                <w:szCs w:val="26"/>
                <w:lang w:val="lv-LV"/>
              </w:rPr>
              <w:t>apakšpunktā, proti, sabiedrības pārstāvjiem tika dota iespēja rakstiski sniegt viedokli par Projektu tā izstrādes stadijā.</w:t>
            </w:r>
          </w:p>
          <w:p w14:paraId="32FF3DB9" w14:textId="175E46F8" w:rsidR="002B3D52" w:rsidRPr="00F500DC" w:rsidRDefault="00E7553C" w:rsidP="002B3D52">
            <w:pPr>
              <w:jc w:val="both"/>
              <w:rPr>
                <w:rFonts w:eastAsia="PMingLiU"/>
                <w:sz w:val="26"/>
                <w:szCs w:val="26"/>
                <w:lang w:val="lv-LV" w:eastAsia="ja-JP"/>
              </w:rPr>
            </w:pPr>
            <w:r w:rsidRPr="00F500DC">
              <w:rPr>
                <w:rFonts w:eastAsia="PMingLiU"/>
                <w:sz w:val="26"/>
                <w:szCs w:val="26"/>
                <w:lang w:val="lv-LV" w:eastAsia="ja-JP"/>
              </w:rPr>
              <w:t>Eiropas Komisija</w:t>
            </w:r>
            <w:r w:rsidR="00826D15" w:rsidRPr="00F500DC">
              <w:rPr>
                <w:rFonts w:eastAsia="PMingLiU"/>
                <w:sz w:val="26"/>
                <w:szCs w:val="26"/>
                <w:lang w:val="lv-LV" w:eastAsia="ja-JP"/>
              </w:rPr>
              <w:t xml:space="preserve">s publiskā konsultācija par īstermiņa eksporta kredīta apdrošināšanas pieejamību no </w:t>
            </w:r>
            <w:r w:rsidR="00E45341" w:rsidRPr="00E45341">
              <w:rPr>
                <w:rFonts w:eastAsia="PMingLiU"/>
                <w:sz w:val="26"/>
                <w:szCs w:val="26"/>
                <w:lang w:val="lv-LV" w:eastAsia="ja-JP"/>
              </w:rPr>
              <w:t>20</w:t>
            </w:r>
            <w:r w:rsidR="00826D15" w:rsidRPr="00E45341">
              <w:rPr>
                <w:rFonts w:eastAsia="PMingLiU"/>
                <w:sz w:val="26"/>
                <w:szCs w:val="26"/>
                <w:lang w:val="lv-LV" w:eastAsia="ja-JP"/>
              </w:rPr>
              <w:t>.0</w:t>
            </w:r>
            <w:r w:rsidR="00E45341" w:rsidRPr="00E45341">
              <w:rPr>
                <w:rFonts w:eastAsia="PMingLiU"/>
                <w:sz w:val="26"/>
                <w:szCs w:val="26"/>
                <w:lang w:val="lv-LV" w:eastAsia="ja-JP"/>
              </w:rPr>
              <w:t>1</w:t>
            </w:r>
            <w:r w:rsidR="00826D15" w:rsidRPr="00E45341">
              <w:rPr>
                <w:rFonts w:eastAsia="PMingLiU"/>
                <w:sz w:val="26"/>
                <w:szCs w:val="26"/>
                <w:lang w:val="lv-LV" w:eastAsia="ja-JP"/>
              </w:rPr>
              <w:t>.202</w:t>
            </w:r>
            <w:r w:rsidR="00E45341" w:rsidRPr="00E45341">
              <w:rPr>
                <w:rFonts w:eastAsia="PMingLiU"/>
                <w:sz w:val="26"/>
                <w:szCs w:val="26"/>
                <w:lang w:val="lv-LV" w:eastAsia="ja-JP"/>
              </w:rPr>
              <w:t>1</w:t>
            </w:r>
            <w:r w:rsidR="00826D15" w:rsidRPr="00E45341">
              <w:rPr>
                <w:rFonts w:eastAsia="PMingLiU"/>
                <w:sz w:val="26"/>
                <w:szCs w:val="26"/>
                <w:lang w:val="lv-LV" w:eastAsia="ja-JP"/>
              </w:rPr>
              <w:t xml:space="preserve">. līdz </w:t>
            </w:r>
            <w:r w:rsidR="00E45341" w:rsidRPr="00E45341">
              <w:rPr>
                <w:rFonts w:eastAsia="PMingLiU"/>
                <w:sz w:val="26"/>
                <w:szCs w:val="26"/>
                <w:lang w:val="lv-LV" w:eastAsia="ja-JP"/>
              </w:rPr>
              <w:t>25.01</w:t>
            </w:r>
            <w:r w:rsidR="00826D15" w:rsidRPr="00E45341">
              <w:rPr>
                <w:rFonts w:eastAsia="PMingLiU"/>
                <w:sz w:val="26"/>
                <w:szCs w:val="26"/>
                <w:lang w:val="lv-LV" w:eastAsia="ja-JP"/>
              </w:rPr>
              <w:t>.202</w:t>
            </w:r>
            <w:r w:rsidR="00E45341" w:rsidRPr="00E45341">
              <w:rPr>
                <w:rFonts w:eastAsia="PMingLiU"/>
                <w:sz w:val="26"/>
                <w:szCs w:val="26"/>
                <w:lang w:val="lv-LV" w:eastAsia="ja-JP"/>
              </w:rPr>
              <w:t>1</w:t>
            </w:r>
            <w:r w:rsidR="00826D15" w:rsidRPr="00E45341">
              <w:rPr>
                <w:rFonts w:eastAsia="PMingLiU"/>
                <w:sz w:val="26"/>
                <w:szCs w:val="26"/>
                <w:lang w:val="lv-LV" w:eastAsia="ja-JP"/>
              </w:rPr>
              <w:t>.</w:t>
            </w:r>
          </w:p>
        </w:tc>
      </w:tr>
      <w:tr w:rsidR="002B3D52" w:rsidRPr="00154DCF" w14:paraId="6FDF4FBF" w14:textId="77777777" w:rsidTr="00E4658A">
        <w:trPr>
          <w:trHeight w:val="339"/>
        </w:trPr>
        <w:tc>
          <w:tcPr>
            <w:tcW w:w="426" w:type="dxa"/>
          </w:tcPr>
          <w:p w14:paraId="78DD8EC2" w14:textId="77777777" w:rsidR="002B3D52" w:rsidRPr="00F500DC" w:rsidRDefault="002B3D52" w:rsidP="002B3D52">
            <w:pPr>
              <w:ind w:left="57" w:right="57"/>
              <w:jc w:val="both"/>
              <w:rPr>
                <w:rFonts w:eastAsia="PMingLiU"/>
                <w:bCs/>
                <w:sz w:val="26"/>
                <w:szCs w:val="26"/>
                <w:lang w:eastAsia="ja-JP"/>
              </w:rPr>
            </w:pPr>
            <w:r w:rsidRPr="00F500DC">
              <w:rPr>
                <w:rFonts w:eastAsia="PMingLiU"/>
                <w:bCs/>
                <w:sz w:val="26"/>
                <w:szCs w:val="26"/>
                <w:lang w:eastAsia="ja-JP"/>
              </w:rPr>
              <w:t>2.</w:t>
            </w:r>
          </w:p>
        </w:tc>
        <w:tc>
          <w:tcPr>
            <w:tcW w:w="2835" w:type="dxa"/>
          </w:tcPr>
          <w:p w14:paraId="66BA9558" w14:textId="77777777" w:rsidR="002B3D52" w:rsidRPr="00F500DC" w:rsidRDefault="002B3D52" w:rsidP="002B3D52">
            <w:pPr>
              <w:ind w:left="57" w:right="57"/>
              <w:rPr>
                <w:rFonts w:eastAsia="PMingLiU"/>
                <w:sz w:val="26"/>
                <w:szCs w:val="26"/>
                <w:lang w:val="lv-LV" w:eastAsia="ja-JP"/>
              </w:rPr>
            </w:pPr>
            <w:r w:rsidRPr="00F500DC">
              <w:rPr>
                <w:rFonts w:eastAsia="PMingLiU"/>
                <w:sz w:val="26"/>
                <w:szCs w:val="26"/>
                <w:lang w:val="lv-LV" w:eastAsia="ja-JP"/>
              </w:rPr>
              <w:t>Sabiedrības līdzdalība projekta izstrādē</w:t>
            </w:r>
          </w:p>
        </w:tc>
        <w:tc>
          <w:tcPr>
            <w:tcW w:w="5953" w:type="dxa"/>
          </w:tcPr>
          <w:p w14:paraId="2A8949C2" w14:textId="70109651" w:rsidR="002B3D52" w:rsidRPr="00F500DC" w:rsidRDefault="00E45341" w:rsidP="005C2508">
            <w:pPr>
              <w:shd w:val="clear" w:color="auto" w:fill="FFFFFF"/>
              <w:ind w:left="57" w:right="404"/>
              <w:jc w:val="both"/>
              <w:rPr>
                <w:rFonts w:eastAsia="PMingLiU"/>
                <w:sz w:val="26"/>
                <w:szCs w:val="26"/>
                <w:lang w:val="lv-LV" w:eastAsia="ja-JP"/>
              </w:rPr>
            </w:pPr>
            <w:r w:rsidRPr="00C6650F">
              <w:rPr>
                <w:rFonts w:eastAsia="PMingLiU"/>
                <w:sz w:val="26"/>
                <w:szCs w:val="26"/>
                <w:lang w:val="lv-LV" w:eastAsia="ja-JP"/>
              </w:rPr>
              <w:t xml:space="preserve">Sabiedrības līdzdalība tiek nodrošināta, ievietojot projektu Ekonomikas ministrijas </w:t>
            </w:r>
            <w:r w:rsidRPr="00C6650F">
              <w:rPr>
                <w:rFonts w:eastAsia="Times New Roman"/>
                <w:iCs/>
                <w:sz w:val="26"/>
                <w:szCs w:val="26"/>
                <w:lang w:val="lv-LV"/>
              </w:rPr>
              <w:t xml:space="preserve">un Ministru kabineta </w:t>
            </w:r>
            <w:r w:rsidRPr="00C6650F">
              <w:rPr>
                <w:rFonts w:eastAsia="PMingLiU"/>
                <w:sz w:val="26"/>
                <w:szCs w:val="26"/>
                <w:lang w:val="lv-LV" w:eastAsia="ja-JP"/>
              </w:rPr>
              <w:t xml:space="preserve">tīmekļa vietnēs sabiedriskajai apspriešanai - </w:t>
            </w:r>
            <w:bookmarkStart w:id="8" w:name="_GoBack"/>
            <w:r w:rsidR="009C7074">
              <w:lastRenderedPageBreak/>
              <w:fldChar w:fldCharType="begin"/>
            </w:r>
            <w:r w:rsidR="009C7074" w:rsidRPr="009C7074">
              <w:rPr>
                <w:lang w:val="lv-LV"/>
              </w:rPr>
              <w:instrText xml:space="preserve"> HYPERLINK "https://www.em.gov.lv/lv/Ministrija/sabiedribas_lidzdaliba/diskusiju_dokumenti/" </w:instrText>
            </w:r>
            <w:r w:rsidR="009C7074">
              <w:fldChar w:fldCharType="separate"/>
            </w:r>
            <w:r w:rsidRPr="00C6650F">
              <w:rPr>
                <w:rStyle w:val="Hyperlink"/>
                <w:rFonts w:eastAsia="PMingLiU"/>
                <w:sz w:val="26"/>
                <w:szCs w:val="26"/>
                <w:lang w:val="lv-LV" w:eastAsia="ja-JP"/>
              </w:rPr>
              <w:t>https://www.em.gov.lv/lv/Ministrija/sabiedribas_lidzdaliba/diskusiju_dokumenti/</w:t>
            </w:r>
            <w:r w:rsidR="009C7074">
              <w:rPr>
                <w:rStyle w:val="Hyperlink"/>
                <w:rFonts w:eastAsia="PMingLiU"/>
                <w:sz w:val="26"/>
                <w:szCs w:val="26"/>
                <w:lang w:val="lv-LV" w:eastAsia="ja-JP"/>
              </w:rPr>
              <w:fldChar w:fldCharType="end"/>
            </w:r>
            <w:bookmarkEnd w:id="8"/>
          </w:p>
        </w:tc>
      </w:tr>
      <w:tr w:rsidR="005C2508" w:rsidRPr="005C2508" w14:paraId="0A0B574D" w14:textId="77777777" w:rsidTr="00E4658A">
        <w:trPr>
          <w:trHeight w:val="476"/>
        </w:trPr>
        <w:tc>
          <w:tcPr>
            <w:tcW w:w="426" w:type="dxa"/>
          </w:tcPr>
          <w:p w14:paraId="65033C09" w14:textId="77777777" w:rsidR="005C2508" w:rsidRPr="00F500DC" w:rsidRDefault="005C2508" w:rsidP="005C2508">
            <w:pPr>
              <w:ind w:left="57" w:right="57"/>
              <w:jc w:val="both"/>
              <w:rPr>
                <w:rFonts w:eastAsia="PMingLiU"/>
                <w:bCs/>
                <w:sz w:val="26"/>
                <w:szCs w:val="26"/>
                <w:lang w:eastAsia="ja-JP"/>
              </w:rPr>
            </w:pPr>
            <w:r w:rsidRPr="00F500DC">
              <w:rPr>
                <w:rFonts w:eastAsia="PMingLiU"/>
                <w:bCs/>
                <w:sz w:val="26"/>
                <w:szCs w:val="26"/>
                <w:lang w:eastAsia="ja-JP"/>
              </w:rPr>
              <w:lastRenderedPageBreak/>
              <w:t>3.</w:t>
            </w:r>
          </w:p>
        </w:tc>
        <w:tc>
          <w:tcPr>
            <w:tcW w:w="2835" w:type="dxa"/>
          </w:tcPr>
          <w:p w14:paraId="4823039B" w14:textId="77777777" w:rsidR="005C2508" w:rsidRPr="00F500DC" w:rsidRDefault="005C2508" w:rsidP="005C2508">
            <w:pPr>
              <w:ind w:left="57" w:right="57"/>
              <w:rPr>
                <w:rFonts w:eastAsia="PMingLiU"/>
                <w:sz w:val="26"/>
                <w:szCs w:val="26"/>
                <w:lang w:val="lv-LV" w:eastAsia="ja-JP"/>
              </w:rPr>
            </w:pPr>
            <w:r w:rsidRPr="00F500DC">
              <w:rPr>
                <w:rFonts w:eastAsia="PMingLiU"/>
                <w:sz w:val="26"/>
                <w:szCs w:val="26"/>
                <w:lang w:val="lv-LV" w:eastAsia="ja-JP"/>
              </w:rPr>
              <w:t>Sabiedrības līdzdalības rezultāti</w:t>
            </w:r>
          </w:p>
        </w:tc>
        <w:tc>
          <w:tcPr>
            <w:tcW w:w="5953" w:type="dxa"/>
          </w:tcPr>
          <w:p w14:paraId="024E1F17" w14:textId="377E2EA4" w:rsidR="005C2508" w:rsidRPr="00F500DC" w:rsidRDefault="005C2508" w:rsidP="005C2508">
            <w:pPr>
              <w:shd w:val="clear" w:color="auto" w:fill="FFFFFF"/>
              <w:ind w:right="113"/>
              <w:jc w:val="both"/>
              <w:rPr>
                <w:rFonts w:eastAsia="PMingLiU"/>
                <w:sz w:val="26"/>
                <w:szCs w:val="26"/>
                <w:shd w:val="clear" w:color="auto" w:fill="FFFFFF"/>
                <w:lang w:val="lv-LV" w:eastAsia="ja-JP"/>
              </w:rPr>
            </w:pPr>
            <w:r w:rsidRPr="00E04790">
              <w:rPr>
                <w:rFonts w:eastAsia="PMingLiU"/>
                <w:sz w:val="26"/>
                <w:szCs w:val="26"/>
                <w:shd w:val="clear" w:color="auto" w:fill="FFFFFF"/>
                <w:lang w:val="lv-LV" w:eastAsia="ja-JP"/>
              </w:rPr>
              <w:t>Nav saņemti iebildumu par projekta virzību</w:t>
            </w:r>
          </w:p>
        </w:tc>
      </w:tr>
      <w:tr w:rsidR="005C2508" w:rsidRPr="00F500DC" w14:paraId="099A963D" w14:textId="77777777" w:rsidTr="00E4658A">
        <w:trPr>
          <w:trHeight w:val="205"/>
        </w:trPr>
        <w:tc>
          <w:tcPr>
            <w:tcW w:w="426" w:type="dxa"/>
          </w:tcPr>
          <w:p w14:paraId="7020E350" w14:textId="77777777" w:rsidR="005C2508" w:rsidRPr="00F500DC" w:rsidRDefault="005C2508" w:rsidP="005C2508">
            <w:pPr>
              <w:ind w:left="57" w:right="57"/>
              <w:jc w:val="both"/>
              <w:rPr>
                <w:rFonts w:eastAsia="PMingLiU"/>
                <w:bCs/>
                <w:sz w:val="26"/>
                <w:szCs w:val="26"/>
                <w:lang w:eastAsia="ja-JP"/>
              </w:rPr>
            </w:pPr>
            <w:r w:rsidRPr="00F500DC">
              <w:rPr>
                <w:rFonts w:eastAsia="PMingLiU"/>
                <w:bCs/>
                <w:sz w:val="26"/>
                <w:szCs w:val="26"/>
                <w:lang w:eastAsia="ja-JP"/>
              </w:rPr>
              <w:t>4.</w:t>
            </w:r>
          </w:p>
        </w:tc>
        <w:tc>
          <w:tcPr>
            <w:tcW w:w="2835" w:type="dxa"/>
          </w:tcPr>
          <w:p w14:paraId="38BD69B1" w14:textId="77777777" w:rsidR="005C2508" w:rsidRPr="00F500DC" w:rsidRDefault="005C2508" w:rsidP="005C2508">
            <w:pPr>
              <w:ind w:left="57" w:right="57"/>
              <w:rPr>
                <w:rFonts w:eastAsia="PMingLiU"/>
                <w:sz w:val="26"/>
                <w:szCs w:val="26"/>
                <w:lang w:val="lv-LV" w:eastAsia="ja-JP"/>
              </w:rPr>
            </w:pPr>
            <w:r w:rsidRPr="00F500DC">
              <w:rPr>
                <w:rFonts w:eastAsia="PMingLiU"/>
                <w:sz w:val="26"/>
                <w:szCs w:val="26"/>
                <w:lang w:val="lv-LV" w:eastAsia="ja-JP"/>
              </w:rPr>
              <w:t>Cita informācija</w:t>
            </w:r>
          </w:p>
        </w:tc>
        <w:tc>
          <w:tcPr>
            <w:tcW w:w="5953" w:type="dxa"/>
          </w:tcPr>
          <w:p w14:paraId="558C7CBF" w14:textId="45DBE75B" w:rsidR="005C2508" w:rsidRPr="00F500DC" w:rsidRDefault="005C2508" w:rsidP="005C2508">
            <w:pPr>
              <w:ind w:right="113"/>
              <w:contextualSpacing/>
              <w:jc w:val="both"/>
              <w:rPr>
                <w:rFonts w:eastAsia="PMingLiU"/>
                <w:sz w:val="26"/>
                <w:szCs w:val="26"/>
                <w:lang w:val="lv-LV" w:eastAsia="ja-JP"/>
              </w:rPr>
            </w:pPr>
            <w:r w:rsidRPr="00F500DC">
              <w:rPr>
                <w:rFonts w:eastAsia="Times New Roman"/>
                <w:sz w:val="26"/>
                <w:szCs w:val="26"/>
                <w:lang w:val="lv-LV"/>
              </w:rPr>
              <w:t>Projekts šo jomu neskar</w:t>
            </w:r>
          </w:p>
        </w:tc>
      </w:tr>
    </w:tbl>
    <w:p w14:paraId="64254AEE" w14:textId="77777777" w:rsidR="009B49EE" w:rsidRPr="00F500DC" w:rsidRDefault="009B49EE" w:rsidP="00844176">
      <w:pPr>
        <w:rPr>
          <w:rFonts w:eastAsia="Times New Roman"/>
          <w:color w:val="000000"/>
          <w:sz w:val="26"/>
          <w:szCs w:val="26"/>
          <w:lang w:val="lv-LV" w:eastAsia="lv-LV"/>
        </w:rPr>
      </w:pPr>
    </w:p>
    <w:p w14:paraId="66341B1E" w14:textId="77777777" w:rsidR="009B49EE" w:rsidRPr="00F500DC" w:rsidRDefault="009B49EE" w:rsidP="00844176">
      <w:pPr>
        <w:rPr>
          <w:rFonts w:eastAsia="Times New Roman"/>
          <w:sz w:val="26"/>
          <w:szCs w:val="26"/>
          <w:lang w:val="lv-LV" w:eastAsia="lv-LV"/>
        </w:rPr>
      </w:pPr>
    </w:p>
    <w:tbl>
      <w:tblPr>
        <w:tblW w:w="9129"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
        <w:gridCol w:w="2843"/>
        <w:gridCol w:w="6018"/>
      </w:tblGrid>
      <w:tr w:rsidR="00844176" w:rsidRPr="00154DCF" w14:paraId="72278BCA" w14:textId="77777777" w:rsidTr="00871E2F">
        <w:trPr>
          <w:trHeight w:val="375"/>
        </w:trPr>
        <w:tc>
          <w:tcPr>
            <w:tcW w:w="9129" w:type="dxa"/>
            <w:gridSpan w:val="3"/>
            <w:tcBorders>
              <w:top w:val="outset" w:sz="6" w:space="0" w:color="414142"/>
              <w:left w:val="outset" w:sz="6" w:space="0" w:color="414142"/>
              <w:bottom w:val="outset" w:sz="6" w:space="0" w:color="414142"/>
              <w:right w:val="outset" w:sz="6" w:space="0" w:color="414142"/>
            </w:tcBorders>
            <w:hideMark/>
          </w:tcPr>
          <w:p w14:paraId="34C12EA7" w14:textId="53912CA3" w:rsidR="00844176" w:rsidRPr="00F500DC" w:rsidRDefault="00844176" w:rsidP="00FA2346">
            <w:pPr>
              <w:spacing w:before="100" w:beforeAutospacing="1" w:after="100" w:afterAutospacing="1"/>
              <w:ind w:firstLine="300"/>
              <w:jc w:val="center"/>
              <w:rPr>
                <w:rFonts w:eastAsia="Times New Roman"/>
                <w:sz w:val="26"/>
                <w:szCs w:val="26"/>
                <w:lang w:val="lv-LV" w:eastAsia="lv-LV"/>
              </w:rPr>
            </w:pPr>
            <w:r w:rsidRPr="00F500DC">
              <w:rPr>
                <w:rFonts w:eastAsia="Times New Roman"/>
                <w:b/>
                <w:bCs/>
                <w:color w:val="000000"/>
                <w:sz w:val="26"/>
                <w:szCs w:val="26"/>
                <w:lang w:val="lv-LV" w:eastAsia="lv-LV"/>
              </w:rPr>
              <w:t>VII. Tiesību akta projekta izpildes nodrošināšana un tās ietekme uz institūcijām</w:t>
            </w:r>
          </w:p>
        </w:tc>
      </w:tr>
      <w:tr w:rsidR="003B2203" w:rsidRPr="00F500DC" w14:paraId="3BE578E7" w14:textId="77777777" w:rsidTr="00B73A5D">
        <w:trPr>
          <w:trHeight w:val="420"/>
        </w:trPr>
        <w:tc>
          <w:tcPr>
            <w:tcW w:w="268" w:type="dxa"/>
            <w:tcBorders>
              <w:top w:val="outset" w:sz="6" w:space="0" w:color="414142"/>
              <w:left w:val="outset" w:sz="6" w:space="0" w:color="414142"/>
              <w:bottom w:val="outset" w:sz="6" w:space="0" w:color="414142"/>
              <w:right w:val="outset" w:sz="6" w:space="0" w:color="414142"/>
            </w:tcBorders>
            <w:hideMark/>
          </w:tcPr>
          <w:p w14:paraId="722ABD64" w14:textId="77777777" w:rsidR="003B2203" w:rsidRPr="00F500DC" w:rsidRDefault="003B2203" w:rsidP="003B2203">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1.</w:t>
            </w:r>
          </w:p>
        </w:tc>
        <w:tc>
          <w:tcPr>
            <w:tcW w:w="2843" w:type="dxa"/>
            <w:tcBorders>
              <w:top w:val="outset" w:sz="6" w:space="0" w:color="414142"/>
              <w:left w:val="outset" w:sz="6" w:space="0" w:color="414142"/>
              <w:bottom w:val="outset" w:sz="6" w:space="0" w:color="414142"/>
              <w:right w:val="outset" w:sz="6" w:space="0" w:color="414142"/>
            </w:tcBorders>
            <w:hideMark/>
          </w:tcPr>
          <w:p w14:paraId="6CB08CA7" w14:textId="77777777" w:rsidR="003B2203" w:rsidRPr="00F500DC" w:rsidRDefault="003B2203" w:rsidP="003B2203">
            <w:pPr>
              <w:ind w:right="112"/>
              <w:jc w:val="both"/>
              <w:rPr>
                <w:sz w:val="26"/>
                <w:szCs w:val="26"/>
                <w:lang w:val="lv-LV"/>
              </w:rPr>
            </w:pPr>
            <w:r w:rsidRPr="00F500DC">
              <w:rPr>
                <w:sz w:val="26"/>
                <w:szCs w:val="26"/>
                <w:lang w:val="lv-LV"/>
              </w:rPr>
              <w:t>Projekta izpildē iesaistītās institūcijas</w:t>
            </w:r>
          </w:p>
        </w:tc>
        <w:tc>
          <w:tcPr>
            <w:tcW w:w="6018" w:type="dxa"/>
            <w:tcBorders>
              <w:top w:val="outset" w:sz="6" w:space="0" w:color="414142"/>
              <w:left w:val="outset" w:sz="6" w:space="0" w:color="414142"/>
              <w:bottom w:val="outset" w:sz="6" w:space="0" w:color="414142"/>
              <w:right w:val="outset" w:sz="6" w:space="0" w:color="414142"/>
            </w:tcBorders>
            <w:hideMark/>
          </w:tcPr>
          <w:p w14:paraId="4C10CF17" w14:textId="38681284" w:rsidR="003B2203" w:rsidRPr="00F500DC" w:rsidRDefault="003B2203" w:rsidP="003B2203">
            <w:pPr>
              <w:ind w:left="82" w:right="161"/>
              <w:jc w:val="both"/>
              <w:rPr>
                <w:sz w:val="26"/>
                <w:szCs w:val="26"/>
                <w:lang w:val="lv-LV"/>
              </w:rPr>
            </w:pPr>
            <w:r w:rsidRPr="00F500DC">
              <w:rPr>
                <w:sz w:val="26"/>
                <w:szCs w:val="26"/>
                <w:lang w:val="lv-LV"/>
              </w:rPr>
              <w:t>Ekonomikas ministrija, sabiedrība Altum</w:t>
            </w:r>
            <w:r w:rsidR="00353073" w:rsidRPr="00F500DC">
              <w:rPr>
                <w:sz w:val="26"/>
                <w:szCs w:val="26"/>
                <w:lang w:val="lv-LV"/>
              </w:rPr>
              <w:t>.</w:t>
            </w:r>
          </w:p>
        </w:tc>
      </w:tr>
      <w:tr w:rsidR="003B2203" w:rsidRPr="00154DCF" w14:paraId="2CF2C3EA" w14:textId="77777777" w:rsidTr="00B73A5D">
        <w:trPr>
          <w:trHeight w:val="450"/>
        </w:trPr>
        <w:tc>
          <w:tcPr>
            <w:tcW w:w="268" w:type="dxa"/>
            <w:tcBorders>
              <w:top w:val="outset" w:sz="6" w:space="0" w:color="414142"/>
              <w:left w:val="outset" w:sz="6" w:space="0" w:color="414142"/>
              <w:bottom w:val="outset" w:sz="6" w:space="0" w:color="414142"/>
              <w:right w:val="outset" w:sz="6" w:space="0" w:color="414142"/>
            </w:tcBorders>
            <w:hideMark/>
          </w:tcPr>
          <w:p w14:paraId="6D5BFDB2" w14:textId="77777777" w:rsidR="003B2203" w:rsidRPr="00F500DC" w:rsidRDefault="003B2203" w:rsidP="003B2203">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2.</w:t>
            </w:r>
          </w:p>
        </w:tc>
        <w:tc>
          <w:tcPr>
            <w:tcW w:w="2843" w:type="dxa"/>
            <w:tcBorders>
              <w:top w:val="outset" w:sz="6" w:space="0" w:color="414142"/>
              <w:left w:val="outset" w:sz="6" w:space="0" w:color="414142"/>
              <w:bottom w:val="outset" w:sz="6" w:space="0" w:color="414142"/>
              <w:right w:val="outset" w:sz="6" w:space="0" w:color="414142"/>
            </w:tcBorders>
            <w:hideMark/>
          </w:tcPr>
          <w:p w14:paraId="7D209650" w14:textId="77777777" w:rsidR="003B2203" w:rsidRPr="00F500DC" w:rsidRDefault="003B2203" w:rsidP="003B2203">
            <w:pPr>
              <w:ind w:right="112"/>
              <w:jc w:val="both"/>
              <w:rPr>
                <w:sz w:val="26"/>
                <w:szCs w:val="26"/>
                <w:lang w:val="lv-LV"/>
              </w:rPr>
            </w:pPr>
            <w:r w:rsidRPr="00F500DC">
              <w:rPr>
                <w:sz w:val="26"/>
                <w:szCs w:val="26"/>
                <w:lang w:val="lv-LV"/>
              </w:rPr>
              <w:t>Projekta izpildes ietekme uz pārvaldes funkcijām un institucionālo struktūru. Jaunu institūciju izveide, esošu institūciju likvidācija vai reorganizācija, to ietekme uz institūcijas cilvēkresursiem.</w:t>
            </w:r>
          </w:p>
        </w:tc>
        <w:tc>
          <w:tcPr>
            <w:tcW w:w="6018" w:type="dxa"/>
            <w:tcBorders>
              <w:top w:val="outset" w:sz="6" w:space="0" w:color="414142"/>
              <w:left w:val="outset" w:sz="6" w:space="0" w:color="414142"/>
              <w:bottom w:val="outset" w:sz="6" w:space="0" w:color="414142"/>
              <w:right w:val="outset" w:sz="6" w:space="0" w:color="414142"/>
            </w:tcBorders>
            <w:hideMark/>
          </w:tcPr>
          <w:p w14:paraId="5F5A7977" w14:textId="456D6975" w:rsidR="003B2203" w:rsidRPr="00F500DC" w:rsidRDefault="00B57996" w:rsidP="003B2203">
            <w:pPr>
              <w:ind w:left="82" w:right="161"/>
              <w:jc w:val="both"/>
              <w:rPr>
                <w:sz w:val="26"/>
                <w:szCs w:val="26"/>
                <w:lang w:val="lv-LV"/>
              </w:rPr>
            </w:pPr>
            <w:r w:rsidRPr="00F500DC">
              <w:rPr>
                <w:sz w:val="26"/>
                <w:szCs w:val="26"/>
                <w:lang w:val="lv-LV"/>
              </w:rPr>
              <w:t>Projekta</w:t>
            </w:r>
            <w:r w:rsidR="00B92A20" w:rsidRPr="00F500DC">
              <w:rPr>
                <w:sz w:val="26"/>
                <w:szCs w:val="26"/>
                <w:lang w:val="lv-LV"/>
              </w:rPr>
              <w:t xml:space="preserve"> </w:t>
            </w:r>
            <w:r w:rsidR="003B2203" w:rsidRPr="00F500DC">
              <w:rPr>
                <w:sz w:val="26"/>
                <w:szCs w:val="26"/>
                <w:lang w:val="lv-LV"/>
              </w:rPr>
              <w:t>izpilde tiks nodrošināta Ekonomikas ministrijas un sabiedrības Altum esošo funkciju un cilvēkresursu ietvaros, kā arī nav paredzēta jaunu institūciju izveide, esošu institūciju likvidācija vai reorganizācija.</w:t>
            </w:r>
          </w:p>
        </w:tc>
      </w:tr>
      <w:tr w:rsidR="00844176" w:rsidRPr="00F500DC" w14:paraId="2EBACAF6" w14:textId="77777777" w:rsidTr="00B73A5D">
        <w:trPr>
          <w:trHeight w:val="390"/>
        </w:trPr>
        <w:tc>
          <w:tcPr>
            <w:tcW w:w="268" w:type="dxa"/>
            <w:tcBorders>
              <w:top w:val="outset" w:sz="6" w:space="0" w:color="414142"/>
              <w:left w:val="outset" w:sz="6" w:space="0" w:color="414142"/>
              <w:bottom w:val="outset" w:sz="6" w:space="0" w:color="414142"/>
              <w:right w:val="outset" w:sz="6" w:space="0" w:color="414142"/>
            </w:tcBorders>
            <w:hideMark/>
          </w:tcPr>
          <w:p w14:paraId="7852C13F" w14:textId="77777777" w:rsidR="00844176" w:rsidRPr="00F500DC" w:rsidRDefault="00844176" w:rsidP="00871E2F">
            <w:pPr>
              <w:spacing w:before="100" w:beforeAutospacing="1" w:after="100" w:afterAutospacing="1"/>
              <w:rPr>
                <w:rFonts w:eastAsia="Times New Roman"/>
                <w:sz w:val="26"/>
                <w:szCs w:val="26"/>
                <w:lang w:val="lv-LV" w:eastAsia="lv-LV"/>
              </w:rPr>
            </w:pPr>
            <w:r w:rsidRPr="00F500DC">
              <w:rPr>
                <w:rFonts w:eastAsia="Times New Roman"/>
                <w:color w:val="000000"/>
                <w:sz w:val="26"/>
                <w:szCs w:val="26"/>
                <w:lang w:val="lv-LV" w:eastAsia="lv-LV"/>
              </w:rPr>
              <w:t>3.</w:t>
            </w:r>
          </w:p>
        </w:tc>
        <w:tc>
          <w:tcPr>
            <w:tcW w:w="2843" w:type="dxa"/>
            <w:tcBorders>
              <w:top w:val="outset" w:sz="6" w:space="0" w:color="414142"/>
              <w:left w:val="outset" w:sz="6" w:space="0" w:color="414142"/>
              <w:bottom w:val="outset" w:sz="6" w:space="0" w:color="414142"/>
              <w:right w:val="outset" w:sz="6" w:space="0" w:color="414142"/>
            </w:tcBorders>
            <w:hideMark/>
          </w:tcPr>
          <w:p w14:paraId="19CC748B" w14:textId="77777777" w:rsidR="00844176" w:rsidRPr="00F500DC" w:rsidRDefault="00844176" w:rsidP="00871E2F">
            <w:pPr>
              <w:jc w:val="both"/>
              <w:rPr>
                <w:rFonts w:eastAsia="Times New Roman"/>
                <w:sz w:val="26"/>
                <w:szCs w:val="26"/>
                <w:lang w:val="lv-LV" w:eastAsia="lv-LV"/>
              </w:rPr>
            </w:pPr>
            <w:r w:rsidRPr="00F500DC">
              <w:rPr>
                <w:rFonts w:eastAsia="Times New Roman"/>
                <w:sz w:val="26"/>
                <w:szCs w:val="26"/>
                <w:lang w:val="lv-LV" w:eastAsia="lv-LV"/>
              </w:rPr>
              <w:t>Cita informācija</w:t>
            </w:r>
          </w:p>
        </w:tc>
        <w:tc>
          <w:tcPr>
            <w:tcW w:w="6018" w:type="dxa"/>
            <w:tcBorders>
              <w:top w:val="outset" w:sz="6" w:space="0" w:color="414142"/>
              <w:left w:val="outset" w:sz="6" w:space="0" w:color="414142"/>
              <w:bottom w:val="outset" w:sz="6" w:space="0" w:color="414142"/>
              <w:right w:val="outset" w:sz="6" w:space="0" w:color="414142"/>
            </w:tcBorders>
            <w:hideMark/>
          </w:tcPr>
          <w:p w14:paraId="539FA647" w14:textId="00DB32A0" w:rsidR="00844176" w:rsidRPr="00F500DC" w:rsidRDefault="00041B47" w:rsidP="002932D2">
            <w:pPr>
              <w:jc w:val="both"/>
              <w:rPr>
                <w:rFonts w:eastAsia="Times New Roman"/>
                <w:sz w:val="26"/>
                <w:szCs w:val="26"/>
                <w:lang w:val="lv-LV" w:eastAsia="lv-LV"/>
              </w:rPr>
            </w:pPr>
            <w:r w:rsidRPr="00F500DC">
              <w:rPr>
                <w:rFonts w:eastAsia="Times New Roman"/>
                <w:sz w:val="26"/>
                <w:szCs w:val="26"/>
                <w:lang w:val="lv-LV"/>
              </w:rPr>
              <w:t>Projekts šo jomu neskar</w:t>
            </w:r>
          </w:p>
        </w:tc>
      </w:tr>
    </w:tbl>
    <w:p w14:paraId="7FC0F3F0" w14:textId="1E3ACBC7" w:rsidR="000A0059" w:rsidRPr="00F500DC" w:rsidRDefault="000A0059" w:rsidP="00EA6CD3">
      <w:pPr>
        <w:tabs>
          <w:tab w:val="right" w:pos="9072"/>
        </w:tabs>
        <w:rPr>
          <w:sz w:val="26"/>
          <w:szCs w:val="26"/>
          <w:lang w:val="lv-LV"/>
        </w:rPr>
      </w:pPr>
    </w:p>
    <w:p w14:paraId="03EE94B5" w14:textId="77777777" w:rsidR="00862580" w:rsidRPr="00F500DC" w:rsidRDefault="00862580" w:rsidP="00862580">
      <w:pPr>
        <w:jc w:val="both"/>
        <w:rPr>
          <w:sz w:val="26"/>
          <w:szCs w:val="26"/>
        </w:rPr>
      </w:pPr>
    </w:p>
    <w:p w14:paraId="39A26501" w14:textId="77777777" w:rsidR="00E45341" w:rsidRPr="00E45341" w:rsidRDefault="00E45341" w:rsidP="00E45341">
      <w:pPr>
        <w:jc w:val="both"/>
        <w:rPr>
          <w:sz w:val="26"/>
          <w:szCs w:val="26"/>
          <w:lang w:val="lv-LV"/>
        </w:rPr>
      </w:pPr>
      <w:r w:rsidRPr="00E45341">
        <w:rPr>
          <w:sz w:val="26"/>
          <w:szCs w:val="26"/>
          <w:lang w:val="lv-LV"/>
        </w:rPr>
        <w:t xml:space="preserve">Ekonomikas ministrs </w:t>
      </w:r>
      <w:r w:rsidRPr="00E45341">
        <w:rPr>
          <w:sz w:val="26"/>
          <w:szCs w:val="26"/>
          <w:lang w:val="lv-LV"/>
        </w:rPr>
        <w:tab/>
      </w:r>
      <w:r w:rsidRPr="00E45341">
        <w:rPr>
          <w:sz w:val="26"/>
          <w:szCs w:val="26"/>
          <w:lang w:val="lv-LV"/>
        </w:rPr>
        <w:tab/>
      </w:r>
      <w:r w:rsidRPr="00E45341">
        <w:rPr>
          <w:sz w:val="26"/>
          <w:szCs w:val="26"/>
          <w:lang w:val="lv-LV"/>
        </w:rPr>
        <w:tab/>
      </w:r>
      <w:r w:rsidRPr="00E45341">
        <w:rPr>
          <w:sz w:val="26"/>
          <w:szCs w:val="26"/>
          <w:lang w:val="lv-LV"/>
        </w:rPr>
        <w:tab/>
      </w:r>
      <w:r w:rsidRPr="00E45341">
        <w:rPr>
          <w:sz w:val="26"/>
          <w:szCs w:val="26"/>
          <w:lang w:val="lv-LV"/>
        </w:rPr>
        <w:tab/>
      </w:r>
      <w:r w:rsidRPr="00E45341">
        <w:rPr>
          <w:sz w:val="26"/>
          <w:szCs w:val="26"/>
          <w:lang w:val="lv-LV"/>
        </w:rPr>
        <w:tab/>
      </w:r>
      <w:r w:rsidRPr="00E45341">
        <w:rPr>
          <w:sz w:val="26"/>
          <w:szCs w:val="26"/>
          <w:lang w:val="lv-LV"/>
        </w:rPr>
        <w:tab/>
        <w:t>J. </w:t>
      </w:r>
      <w:proofErr w:type="spellStart"/>
      <w:r w:rsidRPr="00E45341">
        <w:rPr>
          <w:sz w:val="26"/>
          <w:szCs w:val="26"/>
          <w:lang w:val="lv-LV"/>
        </w:rPr>
        <w:t>Vitenbergs</w:t>
      </w:r>
      <w:proofErr w:type="spellEnd"/>
    </w:p>
    <w:p w14:paraId="2609ADAF" w14:textId="77777777" w:rsidR="00E45341" w:rsidRPr="00E45341" w:rsidRDefault="00E45341" w:rsidP="00E45341">
      <w:pPr>
        <w:jc w:val="both"/>
        <w:rPr>
          <w:sz w:val="26"/>
          <w:szCs w:val="26"/>
          <w:lang w:val="lv-LV"/>
        </w:rPr>
      </w:pPr>
      <w:r w:rsidRPr="00E45341">
        <w:rPr>
          <w:sz w:val="26"/>
          <w:szCs w:val="26"/>
          <w:lang w:val="lv-LV"/>
        </w:rPr>
        <w:tab/>
      </w:r>
      <w:r w:rsidRPr="00E45341">
        <w:rPr>
          <w:sz w:val="26"/>
          <w:szCs w:val="26"/>
          <w:lang w:val="lv-LV"/>
        </w:rPr>
        <w:tab/>
      </w:r>
      <w:r w:rsidRPr="00E45341">
        <w:rPr>
          <w:sz w:val="26"/>
          <w:szCs w:val="26"/>
          <w:lang w:val="lv-LV"/>
        </w:rPr>
        <w:tab/>
      </w:r>
      <w:r w:rsidRPr="00E45341">
        <w:rPr>
          <w:sz w:val="26"/>
          <w:szCs w:val="26"/>
          <w:lang w:val="lv-LV"/>
        </w:rPr>
        <w:tab/>
      </w:r>
    </w:p>
    <w:p w14:paraId="5C58CFA4" w14:textId="77777777" w:rsidR="00E45341" w:rsidRPr="00E45341" w:rsidRDefault="00E45341" w:rsidP="00E45341">
      <w:pPr>
        <w:jc w:val="both"/>
        <w:rPr>
          <w:sz w:val="26"/>
          <w:szCs w:val="26"/>
          <w:lang w:val="lv-LV"/>
        </w:rPr>
      </w:pPr>
      <w:r w:rsidRPr="00E45341">
        <w:rPr>
          <w:sz w:val="26"/>
          <w:szCs w:val="26"/>
          <w:lang w:val="lv-LV"/>
        </w:rPr>
        <w:t>Vīza:</w:t>
      </w:r>
    </w:p>
    <w:p w14:paraId="5622A1D7" w14:textId="77777777" w:rsidR="00E45341" w:rsidRPr="00E45341" w:rsidRDefault="00E45341" w:rsidP="00E45341">
      <w:pPr>
        <w:jc w:val="both"/>
        <w:rPr>
          <w:sz w:val="26"/>
          <w:szCs w:val="26"/>
          <w:lang w:val="lv-LV"/>
        </w:rPr>
      </w:pPr>
      <w:r w:rsidRPr="00E45341">
        <w:rPr>
          <w:sz w:val="26"/>
          <w:szCs w:val="26"/>
          <w:lang w:val="lv-LV"/>
        </w:rPr>
        <w:t xml:space="preserve">Valsts sekretārs </w:t>
      </w:r>
      <w:r w:rsidRPr="00E45341">
        <w:rPr>
          <w:sz w:val="26"/>
          <w:szCs w:val="26"/>
          <w:lang w:val="lv-LV"/>
        </w:rPr>
        <w:tab/>
      </w:r>
      <w:r w:rsidRPr="00E45341">
        <w:rPr>
          <w:sz w:val="26"/>
          <w:szCs w:val="26"/>
          <w:lang w:val="lv-LV"/>
        </w:rPr>
        <w:tab/>
      </w:r>
      <w:r w:rsidRPr="00E45341">
        <w:rPr>
          <w:sz w:val="26"/>
          <w:szCs w:val="26"/>
          <w:lang w:val="lv-LV"/>
        </w:rPr>
        <w:tab/>
      </w:r>
      <w:r w:rsidRPr="00E45341">
        <w:rPr>
          <w:sz w:val="26"/>
          <w:szCs w:val="26"/>
          <w:lang w:val="lv-LV"/>
        </w:rPr>
        <w:tab/>
      </w:r>
      <w:r w:rsidRPr="00E45341">
        <w:rPr>
          <w:sz w:val="26"/>
          <w:szCs w:val="26"/>
          <w:lang w:val="lv-LV"/>
        </w:rPr>
        <w:tab/>
      </w:r>
      <w:r w:rsidRPr="00E45341">
        <w:rPr>
          <w:sz w:val="26"/>
          <w:szCs w:val="26"/>
          <w:lang w:val="lv-LV"/>
        </w:rPr>
        <w:tab/>
      </w:r>
      <w:r w:rsidRPr="00E45341">
        <w:rPr>
          <w:sz w:val="26"/>
          <w:szCs w:val="26"/>
          <w:lang w:val="lv-LV"/>
        </w:rPr>
        <w:tab/>
      </w:r>
      <w:r w:rsidRPr="00E45341">
        <w:rPr>
          <w:sz w:val="26"/>
          <w:szCs w:val="26"/>
          <w:lang w:val="lv-LV"/>
        </w:rPr>
        <w:tab/>
      </w:r>
      <w:proofErr w:type="spellStart"/>
      <w:r w:rsidRPr="00E45341">
        <w:rPr>
          <w:sz w:val="26"/>
          <w:szCs w:val="26"/>
          <w:lang w:val="lv-LV"/>
        </w:rPr>
        <w:t>E.Valantis</w:t>
      </w:r>
      <w:proofErr w:type="spellEnd"/>
    </w:p>
    <w:p w14:paraId="05FBE7A1" w14:textId="77777777" w:rsidR="0097715B" w:rsidRPr="00F500DC" w:rsidRDefault="0097715B" w:rsidP="00B73A5D">
      <w:pPr>
        <w:tabs>
          <w:tab w:val="left" w:pos="6237"/>
        </w:tabs>
        <w:ind w:firstLine="720"/>
        <w:contextualSpacing/>
        <w:rPr>
          <w:sz w:val="26"/>
          <w:szCs w:val="26"/>
          <w:lang w:val="lv-LV"/>
        </w:rPr>
      </w:pPr>
    </w:p>
    <w:p w14:paraId="2A024035" w14:textId="77777777" w:rsidR="00862580" w:rsidRPr="00F500DC" w:rsidRDefault="00862580" w:rsidP="00862580">
      <w:pPr>
        <w:tabs>
          <w:tab w:val="left" w:pos="6237"/>
        </w:tabs>
        <w:ind w:firstLine="720"/>
        <w:rPr>
          <w:sz w:val="26"/>
          <w:szCs w:val="26"/>
          <w:lang w:val="lv-LV"/>
        </w:rPr>
      </w:pPr>
    </w:p>
    <w:p w14:paraId="3365EE2C" w14:textId="77777777" w:rsidR="00862580" w:rsidRPr="00F500DC" w:rsidRDefault="00862580" w:rsidP="00862580">
      <w:pPr>
        <w:tabs>
          <w:tab w:val="left" w:pos="6237"/>
        </w:tabs>
        <w:ind w:firstLine="720"/>
        <w:rPr>
          <w:sz w:val="26"/>
          <w:szCs w:val="26"/>
        </w:rPr>
      </w:pPr>
    </w:p>
    <w:p w14:paraId="7FE050EB" w14:textId="77777777" w:rsidR="00862580" w:rsidRPr="00F500DC" w:rsidRDefault="00862580" w:rsidP="00862580">
      <w:pPr>
        <w:tabs>
          <w:tab w:val="left" w:pos="6840"/>
        </w:tabs>
        <w:jc w:val="both"/>
        <w:rPr>
          <w:sz w:val="18"/>
          <w:szCs w:val="18"/>
        </w:rPr>
      </w:pPr>
      <w:r w:rsidRPr="00F500DC">
        <w:rPr>
          <w:sz w:val="18"/>
          <w:szCs w:val="18"/>
        </w:rPr>
        <w:t>Tetere, 67013044</w:t>
      </w:r>
    </w:p>
    <w:p w14:paraId="5B8D44CD" w14:textId="77777777" w:rsidR="00862580" w:rsidRPr="00F500DC" w:rsidRDefault="009C7074" w:rsidP="00862580">
      <w:pPr>
        <w:pStyle w:val="Header"/>
        <w:tabs>
          <w:tab w:val="clear" w:pos="4153"/>
          <w:tab w:val="clear" w:pos="8306"/>
        </w:tabs>
        <w:rPr>
          <w:sz w:val="18"/>
          <w:szCs w:val="18"/>
        </w:rPr>
      </w:pPr>
      <w:hyperlink r:id="rId8" w:history="1">
        <w:r w:rsidR="00862580" w:rsidRPr="00F500DC">
          <w:rPr>
            <w:rStyle w:val="Hyperlink"/>
            <w:sz w:val="18"/>
            <w:szCs w:val="18"/>
          </w:rPr>
          <w:t>Dita.Tetere@em.gov.lv</w:t>
        </w:r>
      </w:hyperlink>
      <w:r w:rsidR="00862580" w:rsidRPr="00F500DC">
        <w:rPr>
          <w:sz w:val="18"/>
          <w:szCs w:val="18"/>
        </w:rPr>
        <w:t xml:space="preserve">  </w:t>
      </w:r>
    </w:p>
    <w:p w14:paraId="15AA3A25" w14:textId="77777777" w:rsidR="00733C32" w:rsidRPr="00F500DC" w:rsidRDefault="00733C32">
      <w:pPr>
        <w:rPr>
          <w:sz w:val="26"/>
          <w:szCs w:val="26"/>
        </w:rPr>
      </w:pPr>
    </w:p>
    <w:sectPr w:rsidR="00733C32" w:rsidRPr="00F500DC" w:rsidSect="006938D7">
      <w:headerReference w:type="default" r:id="rId9"/>
      <w:footerReference w:type="default" r:id="rId10"/>
      <w:footerReference w:type="first" r:id="rId11"/>
      <w:endnotePr>
        <w:numFmt w:val="decimal"/>
      </w:endnotePr>
      <w:type w:val="continuous"/>
      <w:pgSz w:w="11906" w:h="16838"/>
      <w:pgMar w:top="1304" w:right="1134" w:bottom="1021"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3673C" w16cex:dateUtc="2021-03-10T13:41:00Z"/>
  <w16cex:commentExtensible w16cex:durableId="23F3685A" w16cex:dateUtc="2021-03-10T13:46:00Z"/>
  <w16cex:commentExtensible w16cex:durableId="23FB0E5C" w16cex:dateUtc="2021-03-16T09: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FD7B4" w14:textId="77777777" w:rsidR="00723863" w:rsidRDefault="00723863" w:rsidP="006B2FEF">
      <w:r>
        <w:separator/>
      </w:r>
    </w:p>
  </w:endnote>
  <w:endnote w:type="continuationSeparator" w:id="0">
    <w:p w14:paraId="630D49B1" w14:textId="77777777" w:rsidR="00723863" w:rsidRDefault="00723863" w:rsidP="006B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alibri"/>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D52F" w14:textId="24DD65C9" w:rsidR="004937D3" w:rsidRPr="00BB55EA" w:rsidRDefault="004937D3" w:rsidP="00E37F50">
    <w:pPr>
      <w:pStyle w:val="Footer"/>
      <w:jc w:val="both"/>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FF2A6" w14:textId="337A7502" w:rsidR="004937D3" w:rsidRDefault="004937D3" w:rsidP="00CD6800">
    <w:pPr>
      <w:pStyle w:val="Footer"/>
      <w:tabs>
        <w:tab w:val="clear" w:pos="4153"/>
        <w:tab w:val="clear" w:pos="8306"/>
        <w:tab w:val="left" w:pos="628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6A05" w14:textId="77777777" w:rsidR="00723863" w:rsidRDefault="00723863" w:rsidP="006B2FEF">
      <w:r>
        <w:separator/>
      </w:r>
    </w:p>
  </w:footnote>
  <w:footnote w:type="continuationSeparator" w:id="0">
    <w:p w14:paraId="58CBAC8A" w14:textId="77777777" w:rsidR="00723863" w:rsidRDefault="00723863" w:rsidP="006B2FEF">
      <w:r>
        <w:continuationSeparator/>
      </w:r>
    </w:p>
  </w:footnote>
  <w:footnote w:id="1">
    <w:p w14:paraId="7A05C7C5" w14:textId="688E7AB8" w:rsidR="004937D3" w:rsidRDefault="004937D3" w:rsidP="0064515C">
      <w:pPr>
        <w:pStyle w:val="FootnoteText"/>
      </w:pPr>
      <w:r>
        <w:rPr>
          <w:rStyle w:val="FootnoteReference"/>
        </w:rPr>
        <w:footnoteRef/>
      </w:r>
      <w:r>
        <w:t xml:space="preserve"> </w:t>
      </w:r>
      <w:r w:rsidR="00504D25" w:rsidRPr="00504D25">
        <w:rPr>
          <w:i/>
          <w:iCs/>
        </w:rPr>
        <w:t xml:space="preserve">Komisijas paziņojums </w:t>
      </w:r>
      <w:r w:rsidR="00504D25">
        <w:rPr>
          <w:i/>
          <w:iCs/>
        </w:rPr>
        <w:t>“</w:t>
      </w:r>
      <w:r w:rsidR="00B613EE">
        <w:rPr>
          <w:i/>
          <w:iCs/>
        </w:rPr>
        <w:t>Piektais</w:t>
      </w:r>
      <w:r w:rsidRPr="0064515C">
        <w:rPr>
          <w:i/>
          <w:iCs/>
        </w:rPr>
        <w:t xml:space="preserve"> grozījums Pagaidu regulējumā valsts atbalsta pasākumiem, ar ko atbalsta ekonomiku</w:t>
      </w:r>
      <w:r>
        <w:rPr>
          <w:i/>
          <w:iCs/>
        </w:rPr>
        <w:t xml:space="preserve"> </w:t>
      </w:r>
      <w:r w:rsidRPr="0064515C">
        <w:rPr>
          <w:i/>
          <w:iCs/>
        </w:rPr>
        <w:t>pašreizējā Covid-19 uzliesmojuma situācijā, un grozījums pielikumā Komisijas Paziņojumam</w:t>
      </w:r>
      <w:r>
        <w:rPr>
          <w:i/>
          <w:iCs/>
        </w:rPr>
        <w:t xml:space="preserve"> </w:t>
      </w:r>
      <w:r w:rsidRPr="0064515C">
        <w:rPr>
          <w:i/>
          <w:iCs/>
        </w:rPr>
        <w:t>dalībvalstīm par Līguma par Eiropas Savienības darbību 107. un 108. panta piemērošanu īstermiņa</w:t>
      </w:r>
      <w:r>
        <w:rPr>
          <w:i/>
          <w:iCs/>
        </w:rPr>
        <w:t xml:space="preserve"> </w:t>
      </w:r>
      <w:r w:rsidRPr="0064515C">
        <w:rPr>
          <w:i/>
          <w:iCs/>
        </w:rPr>
        <w:t>eksporta kredīta apdrošināšanai</w:t>
      </w:r>
      <w:r w:rsidR="00504D25">
        <w:rPr>
          <w:i/>
          <w:iCs/>
        </w:rPr>
        <w:t>”</w:t>
      </w:r>
      <w:r w:rsidR="00B613EE">
        <w:rPr>
          <w:i/>
          <w:iCs/>
        </w:rPr>
        <w:t xml:space="preserve"> </w:t>
      </w:r>
      <w:r w:rsidRPr="0064515C">
        <w:rPr>
          <w:i/>
          <w:iCs/>
        </w:rPr>
        <w:t>(</w:t>
      </w:r>
      <w:r w:rsidR="00B613EE" w:rsidRPr="00B613EE">
        <w:rPr>
          <w:i/>
          <w:iCs/>
        </w:rPr>
        <w:t xml:space="preserve">C(2021) 564 </w:t>
      </w:r>
      <w:proofErr w:type="spellStart"/>
      <w:r w:rsidR="00B613EE" w:rsidRPr="00B613EE">
        <w:rPr>
          <w:i/>
          <w:iCs/>
        </w:rPr>
        <w:t>final</w:t>
      </w:r>
      <w:proofErr w:type="spellEnd"/>
      <w:r w:rsidRPr="0064515C">
        <w:rPr>
          <w:i/>
          <w:iCs/>
        </w:rPr>
        <w:t xml:space="preserve">) </w:t>
      </w:r>
      <w:r>
        <w:rPr>
          <w:i/>
          <w:iCs/>
        </w:rPr>
        <w:t xml:space="preserve">(turpmāk – </w:t>
      </w:r>
      <w:r w:rsidR="000032E8">
        <w:rPr>
          <w:i/>
          <w:iCs/>
        </w:rPr>
        <w:t>Pagaidu regulējums</w:t>
      </w:r>
      <w:r>
        <w:rPr>
          <w:i/>
          <w:iCs/>
        </w:rPr>
        <w:t>)</w:t>
      </w:r>
      <w:r w:rsidR="00504D25" w:rsidRPr="00504D25">
        <w:rPr>
          <w:i/>
          <w:iCs/>
        </w:rPr>
        <w:t>.</w:t>
      </w:r>
    </w:p>
  </w:footnote>
  <w:footnote w:id="2">
    <w:p w14:paraId="6649E85D" w14:textId="3C71C882" w:rsidR="00E616D7" w:rsidRDefault="00E616D7" w:rsidP="00E616D7">
      <w:pPr>
        <w:pStyle w:val="FootnoteText"/>
      </w:pPr>
      <w:r>
        <w:rPr>
          <w:rStyle w:val="FootnoteReference"/>
        </w:rPr>
        <w:footnoteRef/>
      </w:r>
      <w:r>
        <w:t xml:space="preserve"> </w:t>
      </w:r>
      <w:r w:rsidRPr="00E616D7">
        <w:rPr>
          <w:i/>
          <w:iCs/>
        </w:rPr>
        <w:t>Komisijas Paziņojums dalībvalstīm par Līguma par Eiropas Savienības darbību 107. un 108. panta piemērošanu īstermiņa eksporta kredīta apdrošināšanai</w:t>
      </w:r>
      <w:r>
        <w:rPr>
          <w:i/>
          <w:iCs/>
        </w:rPr>
        <w:t xml:space="preserve"> </w:t>
      </w:r>
      <w:r w:rsidRPr="00E616D7">
        <w:rPr>
          <w:i/>
          <w:iCs/>
        </w:rPr>
        <w:t>(</w:t>
      </w:r>
      <w:r>
        <w:rPr>
          <w:i/>
          <w:iCs/>
        </w:rPr>
        <w:t xml:space="preserve"> </w:t>
      </w:r>
      <w:r w:rsidRPr="00E616D7">
        <w:rPr>
          <w:i/>
          <w:iCs/>
        </w:rPr>
        <w:t>2012/C 392/01</w:t>
      </w:r>
      <w:r>
        <w:rPr>
          <w:i/>
          <w:iCs/>
        </w:rPr>
        <w:t>)</w:t>
      </w:r>
      <w:r w:rsidRPr="00E616D7">
        <w:t xml:space="preserve"> </w:t>
      </w:r>
      <w:r>
        <w:t>(</w:t>
      </w:r>
      <w:r>
        <w:rPr>
          <w:i/>
          <w:iCs/>
        </w:rPr>
        <w:t>turpmāk –paziņojums</w:t>
      </w:r>
      <w:r w:rsidRPr="00E616D7">
        <w:rPr>
          <w:i/>
          <w:iCs/>
        </w:rPr>
        <w:t xml:space="preserve"> par ĪEKA</w:t>
      </w:r>
      <w:r>
        <w:rPr>
          <w:i/>
          <w:iCs/>
        </w:rPr>
        <w:t>).</w:t>
      </w:r>
    </w:p>
  </w:footnote>
  <w:footnote w:id="3">
    <w:p w14:paraId="59422B06" w14:textId="77777777" w:rsidR="00AE0A53" w:rsidRDefault="00AE0A53" w:rsidP="00AE0A53">
      <w:pPr>
        <w:pStyle w:val="FootnoteText"/>
        <w:ind w:right="-625"/>
      </w:pPr>
      <w:r>
        <w:rPr>
          <w:rStyle w:val="FootnoteReference"/>
          <w:rFonts w:eastAsia="Calibri"/>
        </w:rPr>
        <w:footnoteRef/>
      </w:r>
      <w:r>
        <w:t xml:space="preserve"> </w:t>
      </w:r>
      <w:r w:rsidRPr="00392F19">
        <w:t xml:space="preserve">Eiropas Komisijas lēmums par valsts atbalsta saderību ar Eiropas Savienības iekšējo tirgu (SA.47233 (2017/N)) </w:t>
      </w:r>
    </w:p>
  </w:footnote>
  <w:footnote w:id="4">
    <w:p w14:paraId="5CE46228" w14:textId="64BAF0E0" w:rsidR="00A72837" w:rsidRDefault="00A72837">
      <w:pPr>
        <w:pStyle w:val="FootnoteText"/>
      </w:pPr>
      <w:r>
        <w:rPr>
          <w:rStyle w:val="FootnoteReference"/>
        </w:rPr>
        <w:footnoteRef/>
      </w:r>
      <w:r>
        <w:t xml:space="preserve"> </w:t>
      </w:r>
      <w:r w:rsidRPr="00A72837">
        <w:t>Eiropas komisijas 16.12.2020 atbildes uz jautājumiem, kas uzdoti ar Finanšu ministrijas 23.11.2020 vēstuli Nr. 7-3/18 / 6159.</w:t>
      </w:r>
    </w:p>
  </w:footnote>
  <w:footnote w:id="5">
    <w:p w14:paraId="2B9CEDDA" w14:textId="1CB00003" w:rsidR="00137CB1" w:rsidRDefault="00137CB1">
      <w:pPr>
        <w:pStyle w:val="FootnoteText"/>
      </w:pPr>
      <w:r>
        <w:rPr>
          <w:rStyle w:val="FootnoteReference"/>
        </w:rPr>
        <w:footnoteRef/>
      </w:r>
      <w:r>
        <w:t xml:space="preserve"> </w:t>
      </w:r>
      <w:r w:rsidRPr="00137CB1">
        <w:t>https://www.bank.lv/lb-publikacijas/zinas-un-raksti/latvijas-bankas-informacija-presei/12357-par-latvijas-bankas-makroekonomiskajam-prognozem-2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627235"/>
      <w:docPartObj>
        <w:docPartGallery w:val="Page Numbers (Top of Page)"/>
        <w:docPartUnique/>
      </w:docPartObj>
    </w:sdtPr>
    <w:sdtEndPr>
      <w:rPr>
        <w:sz w:val="24"/>
        <w:szCs w:val="24"/>
      </w:rPr>
    </w:sdtEndPr>
    <w:sdtContent>
      <w:p w14:paraId="06079B9A" w14:textId="2A33C95A" w:rsidR="004937D3" w:rsidRPr="00B014C2" w:rsidRDefault="004937D3">
        <w:pPr>
          <w:pStyle w:val="Header"/>
          <w:jc w:val="center"/>
          <w:rPr>
            <w:sz w:val="24"/>
            <w:szCs w:val="24"/>
          </w:rPr>
        </w:pPr>
        <w:r w:rsidRPr="00B014C2">
          <w:rPr>
            <w:sz w:val="24"/>
            <w:szCs w:val="24"/>
          </w:rPr>
          <w:fldChar w:fldCharType="begin"/>
        </w:r>
        <w:r w:rsidRPr="00B014C2">
          <w:rPr>
            <w:sz w:val="24"/>
            <w:szCs w:val="24"/>
          </w:rPr>
          <w:instrText xml:space="preserve"> PAGE   \* MERGEFORMAT </w:instrText>
        </w:r>
        <w:r w:rsidRPr="00B014C2">
          <w:rPr>
            <w:sz w:val="24"/>
            <w:szCs w:val="24"/>
          </w:rPr>
          <w:fldChar w:fldCharType="separate"/>
        </w:r>
        <w:r>
          <w:rPr>
            <w:noProof/>
            <w:sz w:val="24"/>
            <w:szCs w:val="24"/>
          </w:rPr>
          <w:t>7</w:t>
        </w:r>
        <w:r w:rsidRPr="00B014C2">
          <w:rPr>
            <w:sz w:val="24"/>
            <w:szCs w:val="24"/>
          </w:rPr>
          <w:fldChar w:fldCharType="end"/>
        </w:r>
      </w:p>
    </w:sdtContent>
  </w:sdt>
  <w:p w14:paraId="6CE91A04" w14:textId="77777777" w:rsidR="004937D3" w:rsidRDefault="004937D3">
    <w:pPr>
      <w:pStyle w:val="Header"/>
    </w:pPr>
  </w:p>
  <w:p w14:paraId="4597F8B3" w14:textId="77777777" w:rsidR="004937D3" w:rsidRDefault="004937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61A"/>
    <w:multiLevelType w:val="hybridMultilevel"/>
    <w:tmpl w:val="E90AB3D0"/>
    <w:lvl w:ilvl="0" w:tplc="69484720">
      <w:start w:val="5"/>
      <w:numFmt w:val="bullet"/>
      <w:lvlText w:val="-"/>
      <w:lvlJc w:val="left"/>
      <w:pPr>
        <w:ind w:left="359" w:hanging="360"/>
      </w:pPr>
      <w:rPr>
        <w:rFonts w:ascii="Times New Roman" w:eastAsia="Calibri" w:hAnsi="Times New Roman" w:cs="Times New Roman" w:hint="default"/>
      </w:rPr>
    </w:lvl>
    <w:lvl w:ilvl="1" w:tplc="04260003" w:tentative="1">
      <w:start w:val="1"/>
      <w:numFmt w:val="bullet"/>
      <w:lvlText w:val="o"/>
      <w:lvlJc w:val="left"/>
      <w:pPr>
        <w:ind w:left="1079" w:hanging="360"/>
      </w:pPr>
      <w:rPr>
        <w:rFonts w:ascii="Courier New" w:hAnsi="Courier New" w:cs="Courier New" w:hint="default"/>
      </w:rPr>
    </w:lvl>
    <w:lvl w:ilvl="2" w:tplc="04260005" w:tentative="1">
      <w:start w:val="1"/>
      <w:numFmt w:val="bullet"/>
      <w:lvlText w:val=""/>
      <w:lvlJc w:val="left"/>
      <w:pPr>
        <w:ind w:left="1799" w:hanging="360"/>
      </w:pPr>
      <w:rPr>
        <w:rFonts w:ascii="Wingdings" w:hAnsi="Wingdings" w:hint="default"/>
      </w:rPr>
    </w:lvl>
    <w:lvl w:ilvl="3" w:tplc="04260001" w:tentative="1">
      <w:start w:val="1"/>
      <w:numFmt w:val="bullet"/>
      <w:lvlText w:val=""/>
      <w:lvlJc w:val="left"/>
      <w:pPr>
        <w:ind w:left="2519" w:hanging="360"/>
      </w:pPr>
      <w:rPr>
        <w:rFonts w:ascii="Symbol" w:hAnsi="Symbol" w:hint="default"/>
      </w:rPr>
    </w:lvl>
    <w:lvl w:ilvl="4" w:tplc="04260003" w:tentative="1">
      <w:start w:val="1"/>
      <w:numFmt w:val="bullet"/>
      <w:lvlText w:val="o"/>
      <w:lvlJc w:val="left"/>
      <w:pPr>
        <w:ind w:left="3239" w:hanging="360"/>
      </w:pPr>
      <w:rPr>
        <w:rFonts w:ascii="Courier New" w:hAnsi="Courier New" w:cs="Courier New" w:hint="default"/>
      </w:rPr>
    </w:lvl>
    <w:lvl w:ilvl="5" w:tplc="04260005" w:tentative="1">
      <w:start w:val="1"/>
      <w:numFmt w:val="bullet"/>
      <w:lvlText w:val=""/>
      <w:lvlJc w:val="left"/>
      <w:pPr>
        <w:ind w:left="3959" w:hanging="360"/>
      </w:pPr>
      <w:rPr>
        <w:rFonts w:ascii="Wingdings" w:hAnsi="Wingdings" w:hint="default"/>
      </w:rPr>
    </w:lvl>
    <w:lvl w:ilvl="6" w:tplc="04260001" w:tentative="1">
      <w:start w:val="1"/>
      <w:numFmt w:val="bullet"/>
      <w:lvlText w:val=""/>
      <w:lvlJc w:val="left"/>
      <w:pPr>
        <w:ind w:left="4679" w:hanging="360"/>
      </w:pPr>
      <w:rPr>
        <w:rFonts w:ascii="Symbol" w:hAnsi="Symbol" w:hint="default"/>
      </w:rPr>
    </w:lvl>
    <w:lvl w:ilvl="7" w:tplc="04260003" w:tentative="1">
      <w:start w:val="1"/>
      <w:numFmt w:val="bullet"/>
      <w:lvlText w:val="o"/>
      <w:lvlJc w:val="left"/>
      <w:pPr>
        <w:ind w:left="5399" w:hanging="360"/>
      </w:pPr>
      <w:rPr>
        <w:rFonts w:ascii="Courier New" w:hAnsi="Courier New" w:cs="Courier New" w:hint="default"/>
      </w:rPr>
    </w:lvl>
    <w:lvl w:ilvl="8" w:tplc="04260005" w:tentative="1">
      <w:start w:val="1"/>
      <w:numFmt w:val="bullet"/>
      <w:lvlText w:val=""/>
      <w:lvlJc w:val="left"/>
      <w:pPr>
        <w:ind w:left="6119" w:hanging="360"/>
      </w:pPr>
      <w:rPr>
        <w:rFonts w:ascii="Wingdings" w:hAnsi="Wingdings" w:hint="default"/>
      </w:rPr>
    </w:lvl>
  </w:abstractNum>
  <w:abstractNum w:abstractNumId="1" w15:restartNumberingAfterBreak="0">
    <w:nsid w:val="03975E69"/>
    <w:multiLevelType w:val="hybridMultilevel"/>
    <w:tmpl w:val="E09A29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1D5F0E"/>
    <w:multiLevelType w:val="hybridMultilevel"/>
    <w:tmpl w:val="4B546A86"/>
    <w:lvl w:ilvl="0" w:tplc="1D9AE45C">
      <w:numFmt w:val="bullet"/>
      <w:lvlText w:val="–"/>
      <w:lvlJc w:val="left"/>
      <w:pPr>
        <w:ind w:left="142" w:hanging="360"/>
      </w:pPr>
      <w:rPr>
        <w:rFonts w:ascii="Times New Roman" w:eastAsia="Calibri" w:hAnsi="Times New Roman" w:cs="Times New Roman" w:hint="default"/>
      </w:rPr>
    </w:lvl>
    <w:lvl w:ilvl="1" w:tplc="04260003" w:tentative="1">
      <w:start w:val="1"/>
      <w:numFmt w:val="bullet"/>
      <w:lvlText w:val="o"/>
      <w:lvlJc w:val="left"/>
      <w:pPr>
        <w:ind w:left="862" w:hanging="360"/>
      </w:pPr>
      <w:rPr>
        <w:rFonts w:ascii="Courier New" w:hAnsi="Courier New" w:cs="Courier New" w:hint="default"/>
      </w:rPr>
    </w:lvl>
    <w:lvl w:ilvl="2" w:tplc="04260005" w:tentative="1">
      <w:start w:val="1"/>
      <w:numFmt w:val="bullet"/>
      <w:lvlText w:val=""/>
      <w:lvlJc w:val="left"/>
      <w:pPr>
        <w:ind w:left="1582" w:hanging="360"/>
      </w:pPr>
      <w:rPr>
        <w:rFonts w:ascii="Wingdings" w:hAnsi="Wingdings" w:hint="default"/>
      </w:rPr>
    </w:lvl>
    <w:lvl w:ilvl="3" w:tplc="04260001" w:tentative="1">
      <w:start w:val="1"/>
      <w:numFmt w:val="bullet"/>
      <w:lvlText w:val=""/>
      <w:lvlJc w:val="left"/>
      <w:pPr>
        <w:ind w:left="2302" w:hanging="360"/>
      </w:pPr>
      <w:rPr>
        <w:rFonts w:ascii="Symbol" w:hAnsi="Symbol" w:hint="default"/>
      </w:rPr>
    </w:lvl>
    <w:lvl w:ilvl="4" w:tplc="04260003" w:tentative="1">
      <w:start w:val="1"/>
      <w:numFmt w:val="bullet"/>
      <w:lvlText w:val="o"/>
      <w:lvlJc w:val="left"/>
      <w:pPr>
        <w:ind w:left="3022" w:hanging="360"/>
      </w:pPr>
      <w:rPr>
        <w:rFonts w:ascii="Courier New" w:hAnsi="Courier New" w:cs="Courier New" w:hint="default"/>
      </w:rPr>
    </w:lvl>
    <w:lvl w:ilvl="5" w:tplc="04260005" w:tentative="1">
      <w:start w:val="1"/>
      <w:numFmt w:val="bullet"/>
      <w:lvlText w:val=""/>
      <w:lvlJc w:val="left"/>
      <w:pPr>
        <w:ind w:left="3742" w:hanging="360"/>
      </w:pPr>
      <w:rPr>
        <w:rFonts w:ascii="Wingdings" w:hAnsi="Wingdings" w:hint="default"/>
      </w:rPr>
    </w:lvl>
    <w:lvl w:ilvl="6" w:tplc="04260001" w:tentative="1">
      <w:start w:val="1"/>
      <w:numFmt w:val="bullet"/>
      <w:lvlText w:val=""/>
      <w:lvlJc w:val="left"/>
      <w:pPr>
        <w:ind w:left="4462" w:hanging="360"/>
      </w:pPr>
      <w:rPr>
        <w:rFonts w:ascii="Symbol" w:hAnsi="Symbol" w:hint="default"/>
      </w:rPr>
    </w:lvl>
    <w:lvl w:ilvl="7" w:tplc="04260003" w:tentative="1">
      <w:start w:val="1"/>
      <w:numFmt w:val="bullet"/>
      <w:lvlText w:val="o"/>
      <w:lvlJc w:val="left"/>
      <w:pPr>
        <w:ind w:left="5182" w:hanging="360"/>
      </w:pPr>
      <w:rPr>
        <w:rFonts w:ascii="Courier New" w:hAnsi="Courier New" w:cs="Courier New" w:hint="default"/>
      </w:rPr>
    </w:lvl>
    <w:lvl w:ilvl="8" w:tplc="04260005" w:tentative="1">
      <w:start w:val="1"/>
      <w:numFmt w:val="bullet"/>
      <w:lvlText w:val=""/>
      <w:lvlJc w:val="left"/>
      <w:pPr>
        <w:ind w:left="5902" w:hanging="360"/>
      </w:pPr>
      <w:rPr>
        <w:rFonts w:ascii="Wingdings" w:hAnsi="Wingdings" w:hint="default"/>
      </w:rPr>
    </w:lvl>
  </w:abstractNum>
  <w:abstractNum w:abstractNumId="3" w15:restartNumberingAfterBreak="0">
    <w:nsid w:val="063438F4"/>
    <w:multiLevelType w:val="hybridMultilevel"/>
    <w:tmpl w:val="FFCA72A0"/>
    <w:lvl w:ilvl="0" w:tplc="0FCC61A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08234B5B"/>
    <w:multiLevelType w:val="hybridMultilevel"/>
    <w:tmpl w:val="C3D0B870"/>
    <w:lvl w:ilvl="0" w:tplc="5234076A">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8171BC"/>
    <w:multiLevelType w:val="hybridMultilevel"/>
    <w:tmpl w:val="6BAE6320"/>
    <w:lvl w:ilvl="0" w:tplc="46BAD366">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6" w15:restartNumberingAfterBreak="0">
    <w:nsid w:val="12EF10FF"/>
    <w:multiLevelType w:val="hybridMultilevel"/>
    <w:tmpl w:val="E09A29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55B1C"/>
    <w:multiLevelType w:val="hybridMultilevel"/>
    <w:tmpl w:val="35C08D2E"/>
    <w:lvl w:ilvl="0" w:tplc="54407738">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8" w15:restartNumberingAfterBreak="0">
    <w:nsid w:val="19CF3FAE"/>
    <w:multiLevelType w:val="hybridMultilevel"/>
    <w:tmpl w:val="D0140E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D607B6"/>
    <w:multiLevelType w:val="hybridMultilevel"/>
    <w:tmpl w:val="0A8611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CDC60C8"/>
    <w:multiLevelType w:val="hybridMultilevel"/>
    <w:tmpl w:val="AC582DDE"/>
    <w:lvl w:ilvl="0" w:tplc="52EA6420">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1" w15:restartNumberingAfterBreak="0">
    <w:nsid w:val="1FA95D05"/>
    <w:multiLevelType w:val="hybridMultilevel"/>
    <w:tmpl w:val="77C41132"/>
    <w:lvl w:ilvl="0" w:tplc="37E0056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20ED6D6B"/>
    <w:multiLevelType w:val="hybridMultilevel"/>
    <w:tmpl w:val="97702146"/>
    <w:lvl w:ilvl="0" w:tplc="E70C35C8">
      <w:numFmt w:val="bullet"/>
      <w:lvlText w:val="-"/>
      <w:lvlJc w:val="left"/>
      <w:pPr>
        <w:ind w:left="1080" w:hanging="360"/>
      </w:pPr>
      <w:rPr>
        <w:rFonts w:ascii="Century Gothic" w:eastAsia="Calibri" w:hAnsi="Century Gothic"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228D2668"/>
    <w:multiLevelType w:val="hybridMultilevel"/>
    <w:tmpl w:val="AAA4C9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EE420C"/>
    <w:multiLevelType w:val="hybridMultilevel"/>
    <w:tmpl w:val="431E2A94"/>
    <w:lvl w:ilvl="0" w:tplc="0B2E20D0">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B2F58BF"/>
    <w:multiLevelType w:val="hybridMultilevel"/>
    <w:tmpl w:val="E6A269FE"/>
    <w:lvl w:ilvl="0" w:tplc="AA6C735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2C34708A"/>
    <w:multiLevelType w:val="hybridMultilevel"/>
    <w:tmpl w:val="E7E03FB6"/>
    <w:lvl w:ilvl="0" w:tplc="42DAF454">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7" w15:restartNumberingAfterBreak="0">
    <w:nsid w:val="315539C9"/>
    <w:multiLevelType w:val="hybridMultilevel"/>
    <w:tmpl w:val="3FF28906"/>
    <w:lvl w:ilvl="0" w:tplc="69484720">
      <w:start w:val="5"/>
      <w:numFmt w:val="bullet"/>
      <w:lvlText w:val="-"/>
      <w:lvlJc w:val="left"/>
      <w:pPr>
        <w:ind w:left="502" w:hanging="360"/>
      </w:pPr>
      <w:rPr>
        <w:rFonts w:ascii="Times New Roman" w:eastAsia="Calibri"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8" w15:restartNumberingAfterBreak="0">
    <w:nsid w:val="338939FF"/>
    <w:multiLevelType w:val="hybridMultilevel"/>
    <w:tmpl w:val="E09A29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991720"/>
    <w:multiLevelType w:val="hybridMultilevel"/>
    <w:tmpl w:val="5C242DD4"/>
    <w:lvl w:ilvl="0" w:tplc="9F2AC0A0">
      <w:start w:val="7"/>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CE6625"/>
    <w:multiLevelType w:val="hybridMultilevel"/>
    <w:tmpl w:val="CE320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E60574"/>
    <w:multiLevelType w:val="hybridMultilevel"/>
    <w:tmpl w:val="626C33EE"/>
    <w:lvl w:ilvl="0" w:tplc="77765C2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366B6A2C"/>
    <w:multiLevelType w:val="hybridMultilevel"/>
    <w:tmpl w:val="1DE2ED08"/>
    <w:lvl w:ilvl="0" w:tplc="0AA833F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3" w15:restartNumberingAfterBreak="0">
    <w:nsid w:val="3BD17CA9"/>
    <w:multiLevelType w:val="hybridMultilevel"/>
    <w:tmpl w:val="CBA2BB18"/>
    <w:lvl w:ilvl="0" w:tplc="1C52F500">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CF4202D"/>
    <w:multiLevelType w:val="hybridMultilevel"/>
    <w:tmpl w:val="281E85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1947D25"/>
    <w:multiLevelType w:val="hybridMultilevel"/>
    <w:tmpl w:val="331ACE06"/>
    <w:lvl w:ilvl="0" w:tplc="C7B604AA">
      <w:start w:val="2"/>
      <w:numFmt w:val="bullet"/>
      <w:lvlText w:val="-"/>
      <w:lvlJc w:val="left"/>
      <w:pPr>
        <w:ind w:left="720" w:hanging="360"/>
      </w:pPr>
      <w:rPr>
        <w:rFonts w:ascii="Century Gothic" w:eastAsia="Calibri" w:hAnsi="Century Gothic"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42352863"/>
    <w:multiLevelType w:val="hybridMultilevel"/>
    <w:tmpl w:val="2F5EAFB6"/>
    <w:lvl w:ilvl="0" w:tplc="58D68196">
      <w:start w:val="1"/>
      <w:numFmt w:val="decimal"/>
      <w:lvlText w:val="(%1)"/>
      <w:lvlJc w:val="left"/>
      <w:pPr>
        <w:ind w:left="4122" w:hanging="360"/>
      </w:pPr>
      <w:rPr>
        <w:rFonts w:ascii="Times New Roman" w:hAnsi="Times New Roman" w:cs="Times New Roman" w:hint="default"/>
        <w:b w:val="0"/>
        <w:i w:val="0"/>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7E72288"/>
    <w:multiLevelType w:val="hybridMultilevel"/>
    <w:tmpl w:val="C624FC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D836411"/>
    <w:multiLevelType w:val="hybridMultilevel"/>
    <w:tmpl w:val="65BEAB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9171A8"/>
    <w:multiLevelType w:val="hybridMultilevel"/>
    <w:tmpl w:val="CCE6514C"/>
    <w:lvl w:ilvl="0" w:tplc="62BE90FE">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265F8E"/>
    <w:multiLevelType w:val="hybridMultilevel"/>
    <w:tmpl w:val="B5E8051A"/>
    <w:lvl w:ilvl="0" w:tplc="4B78912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5A510D38"/>
    <w:multiLevelType w:val="hybridMultilevel"/>
    <w:tmpl w:val="888CE90E"/>
    <w:lvl w:ilvl="0" w:tplc="04260001">
      <w:start w:val="1"/>
      <w:numFmt w:val="bullet"/>
      <w:lvlText w:val=""/>
      <w:lvlJc w:val="left"/>
      <w:pPr>
        <w:ind w:left="501" w:hanging="360"/>
      </w:pPr>
      <w:rPr>
        <w:rFonts w:ascii="Symbol" w:hAnsi="Symbol" w:hint="default"/>
        <w:b w:val="0"/>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1">
      <w:start w:val="1"/>
      <w:numFmt w:val="bullet"/>
      <w:lvlText w:val=""/>
      <w:lvlJc w:val="left"/>
      <w:pPr>
        <w:ind w:left="2661" w:hanging="360"/>
      </w:pPr>
      <w:rPr>
        <w:rFonts w:ascii="Symbol" w:hAnsi="Symbol" w:hint="default"/>
      </w:r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33" w15:restartNumberingAfterBreak="0">
    <w:nsid w:val="5A931078"/>
    <w:multiLevelType w:val="hybridMultilevel"/>
    <w:tmpl w:val="7CB21D14"/>
    <w:lvl w:ilvl="0" w:tplc="28746E5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2BD2601"/>
    <w:multiLevelType w:val="hybridMultilevel"/>
    <w:tmpl w:val="61B286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166FC1"/>
    <w:multiLevelType w:val="hybridMultilevel"/>
    <w:tmpl w:val="E09A29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8A2F4E"/>
    <w:multiLevelType w:val="hybridMultilevel"/>
    <w:tmpl w:val="3508ED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7B72757"/>
    <w:multiLevelType w:val="hybridMultilevel"/>
    <w:tmpl w:val="A7FCEC66"/>
    <w:lvl w:ilvl="0" w:tplc="EFF408B0">
      <w:start w:val="2016"/>
      <w:numFmt w:val="bullet"/>
      <w:lvlText w:val="-"/>
      <w:lvlJc w:val="left"/>
      <w:pPr>
        <w:ind w:left="502" w:hanging="360"/>
      </w:pPr>
      <w:rPr>
        <w:rFonts w:ascii="Times New Roman" w:eastAsia="Calibri"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8" w15:restartNumberingAfterBreak="0">
    <w:nsid w:val="6FED38EF"/>
    <w:multiLevelType w:val="hybridMultilevel"/>
    <w:tmpl w:val="C48CD6D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05E154F"/>
    <w:multiLevelType w:val="hybridMultilevel"/>
    <w:tmpl w:val="9168DF8E"/>
    <w:lvl w:ilvl="0" w:tplc="BEE0299C">
      <w:start w:val="2016"/>
      <w:numFmt w:val="bullet"/>
      <w:lvlText w:val="-"/>
      <w:lvlJc w:val="left"/>
      <w:pPr>
        <w:ind w:left="502" w:hanging="360"/>
      </w:pPr>
      <w:rPr>
        <w:rFonts w:ascii="Times New Roman" w:eastAsia="Calibri"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40" w15:restartNumberingAfterBreak="0">
    <w:nsid w:val="766266BE"/>
    <w:multiLevelType w:val="hybridMultilevel"/>
    <w:tmpl w:val="E154F6C2"/>
    <w:lvl w:ilvl="0" w:tplc="22EACA3E">
      <w:start w:val="30"/>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7AE11B1"/>
    <w:multiLevelType w:val="hybridMultilevel"/>
    <w:tmpl w:val="60EA4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DE4F9C"/>
    <w:multiLevelType w:val="hybridMultilevel"/>
    <w:tmpl w:val="FADEBF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EE86341"/>
    <w:multiLevelType w:val="hybridMultilevel"/>
    <w:tmpl w:val="A698B9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num>
  <w:num w:numId="2">
    <w:abstractNumId w:val="42"/>
  </w:num>
  <w:num w:numId="3">
    <w:abstractNumId w:val="31"/>
  </w:num>
  <w:num w:numId="4">
    <w:abstractNumId w:val="11"/>
  </w:num>
  <w:num w:numId="5">
    <w:abstractNumId w:val="16"/>
  </w:num>
  <w:num w:numId="6">
    <w:abstractNumId w:val="5"/>
  </w:num>
  <w:num w:numId="7">
    <w:abstractNumId w:val="23"/>
  </w:num>
  <w:num w:numId="8">
    <w:abstractNumId w:val="43"/>
  </w:num>
  <w:num w:numId="9">
    <w:abstractNumId w:val="32"/>
  </w:num>
  <w:num w:numId="10">
    <w:abstractNumId w:val="0"/>
  </w:num>
  <w:num w:numId="11">
    <w:abstractNumId w:val="2"/>
  </w:num>
  <w:num w:numId="12">
    <w:abstractNumId w:val="17"/>
  </w:num>
  <w:num w:numId="13">
    <w:abstractNumId w:val="36"/>
  </w:num>
  <w:num w:numId="14">
    <w:abstractNumId w:val="38"/>
  </w:num>
  <w:num w:numId="15">
    <w:abstractNumId w:val="15"/>
  </w:num>
  <w:num w:numId="16">
    <w:abstractNumId w:val="39"/>
  </w:num>
  <w:num w:numId="17">
    <w:abstractNumId w:val="33"/>
  </w:num>
  <w:num w:numId="18">
    <w:abstractNumId w:val="37"/>
  </w:num>
  <w:num w:numId="19">
    <w:abstractNumId w:val="22"/>
  </w:num>
  <w:num w:numId="20">
    <w:abstractNumId w:val="7"/>
  </w:num>
  <w:num w:numId="21">
    <w:abstractNumId w:val="10"/>
  </w:num>
  <w:num w:numId="22">
    <w:abstractNumId w:val="8"/>
  </w:num>
  <w:num w:numId="23">
    <w:abstractNumId w:val="21"/>
  </w:num>
  <w:num w:numId="24">
    <w:abstractNumId w:val="13"/>
  </w:num>
  <w:num w:numId="25">
    <w:abstractNumId w:val="18"/>
  </w:num>
  <w:num w:numId="26">
    <w:abstractNumId w:val="19"/>
  </w:num>
  <w:num w:numId="27">
    <w:abstractNumId w:val="27"/>
  </w:num>
  <w:num w:numId="28">
    <w:abstractNumId w:val="34"/>
  </w:num>
  <w:num w:numId="29">
    <w:abstractNumId w:val="14"/>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26"/>
  </w:num>
  <w:num w:numId="33">
    <w:abstractNumId w:val="6"/>
  </w:num>
  <w:num w:numId="34">
    <w:abstractNumId w:val="35"/>
  </w:num>
  <w:num w:numId="35">
    <w:abstractNumId w:val="1"/>
  </w:num>
  <w:num w:numId="36">
    <w:abstractNumId w:val="20"/>
  </w:num>
  <w:num w:numId="37">
    <w:abstractNumId w:val="30"/>
  </w:num>
  <w:num w:numId="38">
    <w:abstractNumId w:val="4"/>
  </w:num>
  <w:num w:numId="39">
    <w:abstractNumId w:val="28"/>
  </w:num>
  <w:num w:numId="40">
    <w:abstractNumId w:val="12"/>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D3"/>
    <w:rsid w:val="000008A9"/>
    <w:rsid w:val="00002BB4"/>
    <w:rsid w:val="000032E8"/>
    <w:rsid w:val="00003BD1"/>
    <w:rsid w:val="000058AA"/>
    <w:rsid w:val="0001048C"/>
    <w:rsid w:val="000136B6"/>
    <w:rsid w:val="00013B61"/>
    <w:rsid w:val="00014B9F"/>
    <w:rsid w:val="00015551"/>
    <w:rsid w:val="00016159"/>
    <w:rsid w:val="00017A7C"/>
    <w:rsid w:val="00017DD8"/>
    <w:rsid w:val="0002003C"/>
    <w:rsid w:val="0002596F"/>
    <w:rsid w:val="00026F18"/>
    <w:rsid w:val="00026FFF"/>
    <w:rsid w:val="0003012D"/>
    <w:rsid w:val="00030B7E"/>
    <w:rsid w:val="0003245D"/>
    <w:rsid w:val="0003265E"/>
    <w:rsid w:val="000373C0"/>
    <w:rsid w:val="00041B47"/>
    <w:rsid w:val="000430AC"/>
    <w:rsid w:val="0004380E"/>
    <w:rsid w:val="00043C33"/>
    <w:rsid w:val="00044743"/>
    <w:rsid w:val="00045463"/>
    <w:rsid w:val="000463A8"/>
    <w:rsid w:val="00047095"/>
    <w:rsid w:val="000527A4"/>
    <w:rsid w:val="000541AA"/>
    <w:rsid w:val="000678CD"/>
    <w:rsid w:val="00070F56"/>
    <w:rsid w:val="00071082"/>
    <w:rsid w:val="0007156D"/>
    <w:rsid w:val="00071BC9"/>
    <w:rsid w:val="00072B02"/>
    <w:rsid w:val="0007330D"/>
    <w:rsid w:val="00074090"/>
    <w:rsid w:val="000773A5"/>
    <w:rsid w:val="00077C9F"/>
    <w:rsid w:val="00077D13"/>
    <w:rsid w:val="0008002B"/>
    <w:rsid w:val="00080352"/>
    <w:rsid w:val="00080880"/>
    <w:rsid w:val="00081EC5"/>
    <w:rsid w:val="0008515E"/>
    <w:rsid w:val="00085640"/>
    <w:rsid w:val="0009324B"/>
    <w:rsid w:val="00094B1E"/>
    <w:rsid w:val="00095280"/>
    <w:rsid w:val="00096060"/>
    <w:rsid w:val="000964C6"/>
    <w:rsid w:val="000A0059"/>
    <w:rsid w:val="000A14E3"/>
    <w:rsid w:val="000A3897"/>
    <w:rsid w:val="000B0748"/>
    <w:rsid w:val="000B1926"/>
    <w:rsid w:val="000B1B64"/>
    <w:rsid w:val="000B2C54"/>
    <w:rsid w:val="000B3449"/>
    <w:rsid w:val="000B3FAB"/>
    <w:rsid w:val="000B492B"/>
    <w:rsid w:val="000C33C1"/>
    <w:rsid w:val="000C4418"/>
    <w:rsid w:val="000D2474"/>
    <w:rsid w:val="000D3D56"/>
    <w:rsid w:val="000D43D9"/>
    <w:rsid w:val="000D74B9"/>
    <w:rsid w:val="000E257B"/>
    <w:rsid w:val="000E53C3"/>
    <w:rsid w:val="000E56F8"/>
    <w:rsid w:val="000E5DD2"/>
    <w:rsid w:val="000F0A62"/>
    <w:rsid w:val="000F4230"/>
    <w:rsid w:val="000F55A5"/>
    <w:rsid w:val="00102922"/>
    <w:rsid w:val="00102B1D"/>
    <w:rsid w:val="00106E43"/>
    <w:rsid w:val="00107B57"/>
    <w:rsid w:val="00110128"/>
    <w:rsid w:val="0011606F"/>
    <w:rsid w:val="0011609A"/>
    <w:rsid w:val="001256C6"/>
    <w:rsid w:val="0012624C"/>
    <w:rsid w:val="00137388"/>
    <w:rsid w:val="00137CB1"/>
    <w:rsid w:val="00137D26"/>
    <w:rsid w:val="00137F96"/>
    <w:rsid w:val="001412C5"/>
    <w:rsid w:val="00143BB6"/>
    <w:rsid w:val="00145366"/>
    <w:rsid w:val="00145D01"/>
    <w:rsid w:val="00146697"/>
    <w:rsid w:val="001511E3"/>
    <w:rsid w:val="00151BBD"/>
    <w:rsid w:val="00152387"/>
    <w:rsid w:val="0015295F"/>
    <w:rsid w:val="00153205"/>
    <w:rsid w:val="00154DCF"/>
    <w:rsid w:val="00156C28"/>
    <w:rsid w:val="00161BA7"/>
    <w:rsid w:val="001650AC"/>
    <w:rsid w:val="001655DD"/>
    <w:rsid w:val="00165747"/>
    <w:rsid w:val="00165F5E"/>
    <w:rsid w:val="0016668A"/>
    <w:rsid w:val="00166A8B"/>
    <w:rsid w:val="0016744E"/>
    <w:rsid w:val="00172082"/>
    <w:rsid w:val="00177250"/>
    <w:rsid w:val="00177882"/>
    <w:rsid w:val="00177C69"/>
    <w:rsid w:val="00180E2B"/>
    <w:rsid w:val="00183B65"/>
    <w:rsid w:val="00186A4D"/>
    <w:rsid w:val="00187140"/>
    <w:rsid w:val="00190B3D"/>
    <w:rsid w:val="001935C8"/>
    <w:rsid w:val="001946C8"/>
    <w:rsid w:val="00195D43"/>
    <w:rsid w:val="001A02C5"/>
    <w:rsid w:val="001A1368"/>
    <w:rsid w:val="001A1439"/>
    <w:rsid w:val="001A38EA"/>
    <w:rsid w:val="001A3ED2"/>
    <w:rsid w:val="001A7C3A"/>
    <w:rsid w:val="001A7E1D"/>
    <w:rsid w:val="001B03B8"/>
    <w:rsid w:val="001B0F5D"/>
    <w:rsid w:val="001B6A79"/>
    <w:rsid w:val="001B7454"/>
    <w:rsid w:val="001C0801"/>
    <w:rsid w:val="001C143C"/>
    <w:rsid w:val="001C1B72"/>
    <w:rsid w:val="001C2832"/>
    <w:rsid w:val="001C362D"/>
    <w:rsid w:val="001C563A"/>
    <w:rsid w:val="001C5ED6"/>
    <w:rsid w:val="001C6208"/>
    <w:rsid w:val="001C68A2"/>
    <w:rsid w:val="001D0561"/>
    <w:rsid w:val="001D0800"/>
    <w:rsid w:val="001D3167"/>
    <w:rsid w:val="001D43CE"/>
    <w:rsid w:val="001D514F"/>
    <w:rsid w:val="001D7397"/>
    <w:rsid w:val="001D7DC1"/>
    <w:rsid w:val="001E1B0F"/>
    <w:rsid w:val="001E216A"/>
    <w:rsid w:val="001E3588"/>
    <w:rsid w:val="001E4C2F"/>
    <w:rsid w:val="001E5FBC"/>
    <w:rsid w:val="001E76BE"/>
    <w:rsid w:val="001E7DAD"/>
    <w:rsid w:val="001F1430"/>
    <w:rsid w:val="001F2A37"/>
    <w:rsid w:val="001F2BA2"/>
    <w:rsid w:val="001F6DBE"/>
    <w:rsid w:val="001F7086"/>
    <w:rsid w:val="001F7AAD"/>
    <w:rsid w:val="00200E7D"/>
    <w:rsid w:val="0020468C"/>
    <w:rsid w:val="00205F08"/>
    <w:rsid w:val="0020712E"/>
    <w:rsid w:val="002107BF"/>
    <w:rsid w:val="00211315"/>
    <w:rsid w:val="00215C6A"/>
    <w:rsid w:val="002177B0"/>
    <w:rsid w:val="00217F5B"/>
    <w:rsid w:val="00224E84"/>
    <w:rsid w:val="002267E7"/>
    <w:rsid w:val="00230191"/>
    <w:rsid w:val="002326E5"/>
    <w:rsid w:val="0023582E"/>
    <w:rsid w:val="00237878"/>
    <w:rsid w:val="002425C9"/>
    <w:rsid w:val="002438ED"/>
    <w:rsid w:val="00244A9E"/>
    <w:rsid w:val="00246849"/>
    <w:rsid w:val="00250127"/>
    <w:rsid w:val="0025023B"/>
    <w:rsid w:val="00250F9F"/>
    <w:rsid w:val="00252EEF"/>
    <w:rsid w:val="00253B6C"/>
    <w:rsid w:val="00254651"/>
    <w:rsid w:val="00254901"/>
    <w:rsid w:val="00255BAC"/>
    <w:rsid w:val="002601C7"/>
    <w:rsid w:val="00261B97"/>
    <w:rsid w:val="002651EA"/>
    <w:rsid w:val="00265C6D"/>
    <w:rsid w:val="00273388"/>
    <w:rsid w:val="0027369F"/>
    <w:rsid w:val="00273700"/>
    <w:rsid w:val="00273B21"/>
    <w:rsid w:val="00277D9D"/>
    <w:rsid w:val="00281C0B"/>
    <w:rsid w:val="0028302E"/>
    <w:rsid w:val="00290EE2"/>
    <w:rsid w:val="00292062"/>
    <w:rsid w:val="002932D2"/>
    <w:rsid w:val="002957B7"/>
    <w:rsid w:val="002A0435"/>
    <w:rsid w:val="002A0BC1"/>
    <w:rsid w:val="002A166A"/>
    <w:rsid w:val="002A3EC2"/>
    <w:rsid w:val="002A6400"/>
    <w:rsid w:val="002B15C8"/>
    <w:rsid w:val="002B1DA2"/>
    <w:rsid w:val="002B3D52"/>
    <w:rsid w:val="002B3EAE"/>
    <w:rsid w:val="002B4900"/>
    <w:rsid w:val="002B6364"/>
    <w:rsid w:val="002B6DDD"/>
    <w:rsid w:val="002B7F82"/>
    <w:rsid w:val="002C1312"/>
    <w:rsid w:val="002C15A0"/>
    <w:rsid w:val="002C22CF"/>
    <w:rsid w:val="002C2A54"/>
    <w:rsid w:val="002C3A9B"/>
    <w:rsid w:val="002C3E23"/>
    <w:rsid w:val="002C3E51"/>
    <w:rsid w:val="002C504B"/>
    <w:rsid w:val="002C7BF6"/>
    <w:rsid w:val="002D5E34"/>
    <w:rsid w:val="002D6A10"/>
    <w:rsid w:val="002D6BDB"/>
    <w:rsid w:val="002D744A"/>
    <w:rsid w:val="002D7ABF"/>
    <w:rsid w:val="002D7D0E"/>
    <w:rsid w:val="002E024D"/>
    <w:rsid w:val="002E1075"/>
    <w:rsid w:val="002E2217"/>
    <w:rsid w:val="002E4452"/>
    <w:rsid w:val="002E4D37"/>
    <w:rsid w:val="002E5643"/>
    <w:rsid w:val="002E678E"/>
    <w:rsid w:val="002E708A"/>
    <w:rsid w:val="002E7635"/>
    <w:rsid w:val="002F06CE"/>
    <w:rsid w:val="002F06E1"/>
    <w:rsid w:val="002F5587"/>
    <w:rsid w:val="002F741D"/>
    <w:rsid w:val="00300B84"/>
    <w:rsid w:val="00300F39"/>
    <w:rsid w:val="00301A6D"/>
    <w:rsid w:val="0030247A"/>
    <w:rsid w:val="00303955"/>
    <w:rsid w:val="00304810"/>
    <w:rsid w:val="003061FB"/>
    <w:rsid w:val="00306270"/>
    <w:rsid w:val="0031008A"/>
    <w:rsid w:val="00310924"/>
    <w:rsid w:val="0031259B"/>
    <w:rsid w:val="00314298"/>
    <w:rsid w:val="00314D9C"/>
    <w:rsid w:val="003176D3"/>
    <w:rsid w:val="003228DE"/>
    <w:rsid w:val="00323C8A"/>
    <w:rsid w:val="00326096"/>
    <w:rsid w:val="003334FB"/>
    <w:rsid w:val="0033779C"/>
    <w:rsid w:val="00337AC6"/>
    <w:rsid w:val="00341BEB"/>
    <w:rsid w:val="00343A18"/>
    <w:rsid w:val="0034476B"/>
    <w:rsid w:val="003469B5"/>
    <w:rsid w:val="00346CE0"/>
    <w:rsid w:val="00353073"/>
    <w:rsid w:val="00354ABE"/>
    <w:rsid w:val="00356AEA"/>
    <w:rsid w:val="00360657"/>
    <w:rsid w:val="00364B19"/>
    <w:rsid w:val="00366AFE"/>
    <w:rsid w:val="00367B98"/>
    <w:rsid w:val="003702AA"/>
    <w:rsid w:val="00373A49"/>
    <w:rsid w:val="00374F73"/>
    <w:rsid w:val="00375F30"/>
    <w:rsid w:val="00376F09"/>
    <w:rsid w:val="00380AC5"/>
    <w:rsid w:val="00381382"/>
    <w:rsid w:val="003814A5"/>
    <w:rsid w:val="00381B26"/>
    <w:rsid w:val="00382FEC"/>
    <w:rsid w:val="003855AD"/>
    <w:rsid w:val="00385772"/>
    <w:rsid w:val="00387734"/>
    <w:rsid w:val="00390C1B"/>
    <w:rsid w:val="0039139B"/>
    <w:rsid w:val="003913FB"/>
    <w:rsid w:val="00392998"/>
    <w:rsid w:val="00395460"/>
    <w:rsid w:val="00396152"/>
    <w:rsid w:val="00397D0E"/>
    <w:rsid w:val="003A1D77"/>
    <w:rsid w:val="003A24AD"/>
    <w:rsid w:val="003A40AD"/>
    <w:rsid w:val="003A554C"/>
    <w:rsid w:val="003A6A32"/>
    <w:rsid w:val="003B1693"/>
    <w:rsid w:val="003B2203"/>
    <w:rsid w:val="003B32EC"/>
    <w:rsid w:val="003B3488"/>
    <w:rsid w:val="003B412A"/>
    <w:rsid w:val="003B587F"/>
    <w:rsid w:val="003B5E55"/>
    <w:rsid w:val="003B5F6A"/>
    <w:rsid w:val="003B63BE"/>
    <w:rsid w:val="003B7B62"/>
    <w:rsid w:val="003C072B"/>
    <w:rsid w:val="003C3D3D"/>
    <w:rsid w:val="003C7796"/>
    <w:rsid w:val="003D0448"/>
    <w:rsid w:val="003D1A86"/>
    <w:rsid w:val="003D1F27"/>
    <w:rsid w:val="003D3E7E"/>
    <w:rsid w:val="003D7F0B"/>
    <w:rsid w:val="003E145E"/>
    <w:rsid w:val="003E171B"/>
    <w:rsid w:val="003E33F9"/>
    <w:rsid w:val="003E3959"/>
    <w:rsid w:val="003E4132"/>
    <w:rsid w:val="003E58C7"/>
    <w:rsid w:val="003E5A6D"/>
    <w:rsid w:val="003E5D7B"/>
    <w:rsid w:val="003E637A"/>
    <w:rsid w:val="003E6F1A"/>
    <w:rsid w:val="003F0341"/>
    <w:rsid w:val="003F0521"/>
    <w:rsid w:val="003F24C7"/>
    <w:rsid w:val="003F288B"/>
    <w:rsid w:val="003F2B20"/>
    <w:rsid w:val="003F2C34"/>
    <w:rsid w:val="003F30FC"/>
    <w:rsid w:val="003F3183"/>
    <w:rsid w:val="003F45CD"/>
    <w:rsid w:val="003F4CC7"/>
    <w:rsid w:val="003F7C94"/>
    <w:rsid w:val="00401192"/>
    <w:rsid w:val="00401397"/>
    <w:rsid w:val="004038BC"/>
    <w:rsid w:val="00406AE2"/>
    <w:rsid w:val="004070DD"/>
    <w:rsid w:val="0041036A"/>
    <w:rsid w:val="0041202B"/>
    <w:rsid w:val="0041316A"/>
    <w:rsid w:val="00413E61"/>
    <w:rsid w:val="004158F6"/>
    <w:rsid w:val="00415A66"/>
    <w:rsid w:val="00416A31"/>
    <w:rsid w:val="00417136"/>
    <w:rsid w:val="00420760"/>
    <w:rsid w:val="004224C2"/>
    <w:rsid w:val="004227D3"/>
    <w:rsid w:val="00423B46"/>
    <w:rsid w:val="00425AA9"/>
    <w:rsid w:val="00426250"/>
    <w:rsid w:val="00426A69"/>
    <w:rsid w:val="00426B77"/>
    <w:rsid w:val="00431019"/>
    <w:rsid w:val="00433EC2"/>
    <w:rsid w:val="004352F7"/>
    <w:rsid w:val="0043554A"/>
    <w:rsid w:val="0043619D"/>
    <w:rsid w:val="004362D3"/>
    <w:rsid w:val="00437DF1"/>
    <w:rsid w:val="00442A8B"/>
    <w:rsid w:val="00442D1E"/>
    <w:rsid w:val="00443016"/>
    <w:rsid w:val="00444344"/>
    <w:rsid w:val="00445945"/>
    <w:rsid w:val="00450691"/>
    <w:rsid w:val="00450D9C"/>
    <w:rsid w:val="00452140"/>
    <w:rsid w:val="00452889"/>
    <w:rsid w:val="00453BB3"/>
    <w:rsid w:val="0045729A"/>
    <w:rsid w:val="00461942"/>
    <w:rsid w:val="004619FE"/>
    <w:rsid w:val="00463574"/>
    <w:rsid w:val="004666F3"/>
    <w:rsid w:val="00467343"/>
    <w:rsid w:val="0047031A"/>
    <w:rsid w:val="004741BD"/>
    <w:rsid w:val="00475004"/>
    <w:rsid w:val="004763DC"/>
    <w:rsid w:val="0047735D"/>
    <w:rsid w:val="0048125C"/>
    <w:rsid w:val="00481C20"/>
    <w:rsid w:val="00483B86"/>
    <w:rsid w:val="00485293"/>
    <w:rsid w:val="004853B1"/>
    <w:rsid w:val="00485E47"/>
    <w:rsid w:val="00490499"/>
    <w:rsid w:val="00492139"/>
    <w:rsid w:val="00493508"/>
    <w:rsid w:val="004937D3"/>
    <w:rsid w:val="0049647B"/>
    <w:rsid w:val="00497AB8"/>
    <w:rsid w:val="004A2EE3"/>
    <w:rsid w:val="004A4356"/>
    <w:rsid w:val="004A5EEF"/>
    <w:rsid w:val="004B0B1D"/>
    <w:rsid w:val="004B1EB2"/>
    <w:rsid w:val="004C0738"/>
    <w:rsid w:val="004C0C33"/>
    <w:rsid w:val="004C0FE6"/>
    <w:rsid w:val="004C20F1"/>
    <w:rsid w:val="004C253C"/>
    <w:rsid w:val="004C2FC4"/>
    <w:rsid w:val="004C56E9"/>
    <w:rsid w:val="004D0B68"/>
    <w:rsid w:val="004D0F95"/>
    <w:rsid w:val="004D232B"/>
    <w:rsid w:val="004D3010"/>
    <w:rsid w:val="004D3ABB"/>
    <w:rsid w:val="004D49FA"/>
    <w:rsid w:val="004E17D7"/>
    <w:rsid w:val="004E4946"/>
    <w:rsid w:val="004E5D38"/>
    <w:rsid w:val="004E603B"/>
    <w:rsid w:val="004E626B"/>
    <w:rsid w:val="004E6C7D"/>
    <w:rsid w:val="004F13BD"/>
    <w:rsid w:val="004F1F0D"/>
    <w:rsid w:val="004F27D9"/>
    <w:rsid w:val="004F478F"/>
    <w:rsid w:val="004F4D6B"/>
    <w:rsid w:val="0050230D"/>
    <w:rsid w:val="0050364D"/>
    <w:rsid w:val="00503D17"/>
    <w:rsid w:val="00503DF8"/>
    <w:rsid w:val="00504D25"/>
    <w:rsid w:val="00504D6E"/>
    <w:rsid w:val="00510191"/>
    <w:rsid w:val="005116FB"/>
    <w:rsid w:val="00514B75"/>
    <w:rsid w:val="00515D44"/>
    <w:rsid w:val="00520B50"/>
    <w:rsid w:val="00525FE3"/>
    <w:rsid w:val="00530DE5"/>
    <w:rsid w:val="00531AFF"/>
    <w:rsid w:val="00531C6F"/>
    <w:rsid w:val="00532875"/>
    <w:rsid w:val="00534305"/>
    <w:rsid w:val="00534ADE"/>
    <w:rsid w:val="00534D4D"/>
    <w:rsid w:val="00537F6A"/>
    <w:rsid w:val="00537FF8"/>
    <w:rsid w:val="005464E6"/>
    <w:rsid w:val="00546938"/>
    <w:rsid w:val="00547ACF"/>
    <w:rsid w:val="00552639"/>
    <w:rsid w:val="00552AF1"/>
    <w:rsid w:val="00552F3A"/>
    <w:rsid w:val="00554561"/>
    <w:rsid w:val="00555557"/>
    <w:rsid w:val="00557AA8"/>
    <w:rsid w:val="00566916"/>
    <w:rsid w:val="00566F71"/>
    <w:rsid w:val="00567050"/>
    <w:rsid w:val="00567FC5"/>
    <w:rsid w:val="00571CCF"/>
    <w:rsid w:val="00572180"/>
    <w:rsid w:val="00572337"/>
    <w:rsid w:val="00573FFE"/>
    <w:rsid w:val="00575FC3"/>
    <w:rsid w:val="0057625C"/>
    <w:rsid w:val="00576743"/>
    <w:rsid w:val="005771D5"/>
    <w:rsid w:val="00581784"/>
    <w:rsid w:val="00584453"/>
    <w:rsid w:val="00584AD8"/>
    <w:rsid w:val="00591838"/>
    <w:rsid w:val="00592809"/>
    <w:rsid w:val="00593343"/>
    <w:rsid w:val="00594A83"/>
    <w:rsid w:val="00595355"/>
    <w:rsid w:val="005965B3"/>
    <w:rsid w:val="00597F23"/>
    <w:rsid w:val="005A0C78"/>
    <w:rsid w:val="005A1132"/>
    <w:rsid w:val="005A4807"/>
    <w:rsid w:val="005A5A80"/>
    <w:rsid w:val="005B224C"/>
    <w:rsid w:val="005B297A"/>
    <w:rsid w:val="005B29EF"/>
    <w:rsid w:val="005B2DA5"/>
    <w:rsid w:val="005B357B"/>
    <w:rsid w:val="005B3CC0"/>
    <w:rsid w:val="005B476F"/>
    <w:rsid w:val="005B4B5F"/>
    <w:rsid w:val="005B5F05"/>
    <w:rsid w:val="005B6095"/>
    <w:rsid w:val="005B65B8"/>
    <w:rsid w:val="005B6A0D"/>
    <w:rsid w:val="005B6D1C"/>
    <w:rsid w:val="005C04E5"/>
    <w:rsid w:val="005C1764"/>
    <w:rsid w:val="005C2508"/>
    <w:rsid w:val="005C3B2C"/>
    <w:rsid w:val="005C3D03"/>
    <w:rsid w:val="005C51FA"/>
    <w:rsid w:val="005C5413"/>
    <w:rsid w:val="005C63C7"/>
    <w:rsid w:val="005C6628"/>
    <w:rsid w:val="005C6B2C"/>
    <w:rsid w:val="005C71A2"/>
    <w:rsid w:val="005C73E4"/>
    <w:rsid w:val="005C7B1F"/>
    <w:rsid w:val="005D06E8"/>
    <w:rsid w:val="005D1195"/>
    <w:rsid w:val="005D2167"/>
    <w:rsid w:val="005D2D68"/>
    <w:rsid w:val="005D688E"/>
    <w:rsid w:val="005D6B98"/>
    <w:rsid w:val="005D794E"/>
    <w:rsid w:val="005E30B2"/>
    <w:rsid w:val="005E39B3"/>
    <w:rsid w:val="005E4164"/>
    <w:rsid w:val="005E6324"/>
    <w:rsid w:val="005F188F"/>
    <w:rsid w:val="005F1D39"/>
    <w:rsid w:val="005F3FC6"/>
    <w:rsid w:val="005F75C4"/>
    <w:rsid w:val="006002BF"/>
    <w:rsid w:val="00600301"/>
    <w:rsid w:val="006008D1"/>
    <w:rsid w:val="006116E2"/>
    <w:rsid w:val="00611ADA"/>
    <w:rsid w:val="00611E0A"/>
    <w:rsid w:val="00611E18"/>
    <w:rsid w:val="00611FC0"/>
    <w:rsid w:val="00613A4A"/>
    <w:rsid w:val="00614157"/>
    <w:rsid w:val="00614A2A"/>
    <w:rsid w:val="00614ECD"/>
    <w:rsid w:val="006216EC"/>
    <w:rsid w:val="006226BA"/>
    <w:rsid w:val="006231D7"/>
    <w:rsid w:val="006251B0"/>
    <w:rsid w:val="00626031"/>
    <w:rsid w:val="00630C6C"/>
    <w:rsid w:val="00630ED2"/>
    <w:rsid w:val="00631935"/>
    <w:rsid w:val="00636B91"/>
    <w:rsid w:val="006373FF"/>
    <w:rsid w:val="00643C60"/>
    <w:rsid w:val="0064515C"/>
    <w:rsid w:val="00645799"/>
    <w:rsid w:val="00646A6F"/>
    <w:rsid w:val="00646C29"/>
    <w:rsid w:val="00653397"/>
    <w:rsid w:val="006535C3"/>
    <w:rsid w:val="006553CD"/>
    <w:rsid w:val="006559F5"/>
    <w:rsid w:val="0065752A"/>
    <w:rsid w:val="00661782"/>
    <w:rsid w:val="00662C11"/>
    <w:rsid w:val="006678E3"/>
    <w:rsid w:val="00672822"/>
    <w:rsid w:val="006729D2"/>
    <w:rsid w:val="00673B07"/>
    <w:rsid w:val="00673BC6"/>
    <w:rsid w:val="006775B3"/>
    <w:rsid w:val="00684808"/>
    <w:rsid w:val="0068608E"/>
    <w:rsid w:val="006909B7"/>
    <w:rsid w:val="00690F72"/>
    <w:rsid w:val="00692AB0"/>
    <w:rsid w:val="006938D7"/>
    <w:rsid w:val="00694CFA"/>
    <w:rsid w:val="00697025"/>
    <w:rsid w:val="006978F7"/>
    <w:rsid w:val="006B2D92"/>
    <w:rsid w:val="006B2FEF"/>
    <w:rsid w:val="006B4B31"/>
    <w:rsid w:val="006B6581"/>
    <w:rsid w:val="006B6D6C"/>
    <w:rsid w:val="006C20C5"/>
    <w:rsid w:val="006C2EC1"/>
    <w:rsid w:val="006C5ECD"/>
    <w:rsid w:val="006D1520"/>
    <w:rsid w:val="006D2482"/>
    <w:rsid w:val="006D2F0C"/>
    <w:rsid w:val="006D3604"/>
    <w:rsid w:val="006D536E"/>
    <w:rsid w:val="006D5EB4"/>
    <w:rsid w:val="006E09BA"/>
    <w:rsid w:val="006E2082"/>
    <w:rsid w:val="006E3BE5"/>
    <w:rsid w:val="006E5D5B"/>
    <w:rsid w:val="006E67BA"/>
    <w:rsid w:val="006E6E53"/>
    <w:rsid w:val="006F2362"/>
    <w:rsid w:val="006F24AB"/>
    <w:rsid w:val="006F47EB"/>
    <w:rsid w:val="006F4B13"/>
    <w:rsid w:val="006F4DE9"/>
    <w:rsid w:val="006F5AAD"/>
    <w:rsid w:val="006F61B5"/>
    <w:rsid w:val="006F71C2"/>
    <w:rsid w:val="007008B0"/>
    <w:rsid w:val="00700AC3"/>
    <w:rsid w:val="00700AD6"/>
    <w:rsid w:val="00700E68"/>
    <w:rsid w:val="00701065"/>
    <w:rsid w:val="0070175E"/>
    <w:rsid w:val="00701E2D"/>
    <w:rsid w:val="007026AB"/>
    <w:rsid w:val="00703DC5"/>
    <w:rsid w:val="007040F2"/>
    <w:rsid w:val="007049DF"/>
    <w:rsid w:val="007120EE"/>
    <w:rsid w:val="0071279F"/>
    <w:rsid w:val="0071492B"/>
    <w:rsid w:val="007153C5"/>
    <w:rsid w:val="00716073"/>
    <w:rsid w:val="0071617E"/>
    <w:rsid w:val="007161D3"/>
    <w:rsid w:val="00720C35"/>
    <w:rsid w:val="00720E7B"/>
    <w:rsid w:val="00722964"/>
    <w:rsid w:val="00723863"/>
    <w:rsid w:val="007262F0"/>
    <w:rsid w:val="007314F1"/>
    <w:rsid w:val="00731BE9"/>
    <w:rsid w:val="00731E2B"/>
    <w:rsid w:val="00733C32"/>
    <w:rsid w:val="00740FD6"/>
    <w:rsid w:val="007420D7"/>
    <w:rsid w:val="00742C92"/>
    <w:rsid w:val="00743C58"/>
    <w:rsid w:val="0074545C"/>
    <w:rsid w:val="00752DBC"/>
    <w:rsid w:val="00753FF4"/>
    <w:rsid w:val="0075411D"/>
    <w:rsid w:val="00756F8A"/>
    <w:rsid w:val="00757367"/>
    <w:rsid w:val="00760295"/>
    <w:rsid w:val="00760B97"/>
    <w:rsid w:val="00762675"/>
    <w:rsid w:val="00762FC8"/>
    <w:rsid w:val="00763E5E"/>
    <w:rsid w:val="00764843"/>
    <w:rsid w:val="00765825"/>
    <w:rsid w:val="007700D3"/>
    <w:rsid w:val="00770970"/>
    <w:rsid w:val="0077131C"/>
    <w:rsid w:val="0077138B"/>
    <w:rsid w:val="007714B8"/>
    <w:rsid w:val="0077534E"/>
    <w:rsid w:val="007779BB"/>
    <w:rsid w:val="0078045E"/>
    <w:rsid w:val="00780B70"/>
    <w:rsid w:val="007811CF"/>
    <w:rsid w:val="00782847"/>
    <w:rsid w:val="00783777"/>
    <w:rsid w:val="00783D20"/>
    <w:rsid w:val="00785232"/>
    <w:rsid w:val="00785C6D"/>
    <w:rsid w:val="007862D0"/>
    <w:rsid w:val="0079247D"/>
    <w:rsid w:val="00794F2D"/>
    <w:rsid w:val="007954D3"/>
    <w:rsid w:val="00796159"/>
    <w:rsid w:val="00797AAD"/>
    <w:rsid w:val="007A2F02"/>
    <w:rsid w:val="007A5127"/>
    <w:rsid w:val="007A5185"/>
    <w:rsid w:val="007A5C51"/>
    <w:rsid w:val="007B2C6C"/>
    <w:rsid w:val="007B41D7"/>
    <w:rsid w:val="007C114B"/>
    <w:rsid w:val="007C1A7D"/>
    <w:rsid w:val="007C4094"/>
    <w:rsid w:val="007C45C5"/>
    <w:rsid w:val="007C608D"/>
    <w:rsid w:val="007D11C0"/>
    <w:rsid w:val="007D50AE"/>
    <w:rsid w:val="007D516C"/>
    <w:rsid w:val="007E1704"/>
    <w:rsid w:val="007E1BAC"/>
    <w:rsid w:val="007E1EA6"/>
    <w:rsid w:val="007E2FDE"/>
    <w:rsid w:val="007E4BFB"/>
    <w:rsid w:val="007E4C1F"/>
    <w:rsid w:val="007E6943"/>
    <w:rsid w:val="007F0204"/>
    <w:rsid w:val="007F2DB0"/>
    <w:rsid w:val="007F5C3C"/>
    <w:rsid w:val="007F5C58"/>
    <w:rsid w:val="007F6449"/>
    <w:rsid w:val="007F6674"/>
    <w:rsid w:val="007F6EA8"/>
    <w:rsid w:val="00800732"/>
    <w:rsid w:val="00803D1B"/>
    <w:rsid w:val="0080630B"/>
    <w:rsid w:val="00806AB5"/>
    <w:rsid w:val="00807142"/>
    <w:rsid w:val="008074E3"/>
    <w:rsid w:val="00807802"/>
    <w:rsid w:val="0080799C"/>
    <w:rsid w:val="008100EC"/>
    <w:rsid w:val="00810C18"/>
    <w:rsid w:val="0081196F"/>
    <w:rsid w:val="0081407D"/>
    <w:rsid w:val="00814421"/>
    <w:rsid w:val="00814AFC"/>
    <w:rsid w:val="00814B22"/>
    <w:rsid w:val="008202CC"/>
    <w:rsid w:val="00820533"/>
    <w:rsid w:val="00822862"/>
    <w:rsid w:val="0082293D"/>
    <w:rsid w:val="0082350A"/>
    <w:rsid w:val="0082597B"/>
    <w:rsid w:val="00826D15"/>
    <w:rsid w:val="00830B1B"/>
    <w:rsid w:val="00831A5D"/>
    <w:rsid w:val="00831DB4"/>
    <w:rsid w:val="008340FF"/>
    <w:rsid w:val="008365EC"/>
    <w:rsid w:val="00837390"/>
    <w:rsid w:val="00842BD9"/>
    <w:rsid w:val="00844176"/>
    <w:rsid w:val="00844A6C"/>
    <w:rsid w:val="00846B2A"/>
    <w:rsid w:val="008503CA"/>
    <w:rsid w:val="008520B9"/>
    <w:rsid w:val="0085318D"/>
    <w:rsid w:val="008565FB"/>
    <w:rsid w:val="00862580"/>
    <w:rsid w:val="00862834"/>
    <w:rsid w:val="00865C34"/>
    <w:rsid w:val="00871516"/>
    <w:rsid w:val="00871E2F"/>
    <w:rsid w:val="008764DD"/>
    <w:rsid w:val="00877499"/>
    <w:rsid w:val="008841EB"/>
    <w:rsid w:val="00885759"/>
    <w:rsid w:val="0088688D"/>
    <w:rsid w:val="00891622"/>
    <w:rsid w:val="00891C00"/>
    <w:rsid w:val="0089560D"/>
    <w:rsid w:val="00895E41"/>
    <w:rsid w:val="00896281"/>
    <w:rsid w:val="0089734D"/>
    <w:rsid w:val="008A0A32"/>
    <w:rsid w:val="008A1056"/>
    <w:rsid w:val="008A2450"/>
    <w:rsid w:val="008A3626"/>
    <w:rsid w:val="008A7CC5"/>
    <w:rsid w:val="008B1CC3"/>
    <w:rsid w:val="008B206C"/>
    <w:rsid w:val="008B4335"/>
    <w:rsid w:val="008B55D5"/>
    <w:rsid w:val="008B56DF"/>
    <w:rsid w:val="008B5B2C"/>
    <w:rsid w:val="008B5EFB"/>
    <w:rsid w:val="008C053B"/>
    <w:rsid w:val="008C4728"/>
    <w:rsid w:val="008C7959"/>
    <w:rsid w:val="008D081E"/>
    <w:rsid w:val="008D1364"/>
    <w:rsid w:val="008D4F09"/>
    <w:rsid w:val="008D539E"/>
    <w:rsid w:val="008D65D5"/>
    <w:rsid w:val="008D75EB"/>
    <w:rsid w:val="008D7F23"/>
    <w:rsid w:val="008E1D74"/>
    <w:rsid w:val="008E1F57"/>
    <w:rsid w:val="008E303E"/>
    <w:rsid w:val="008E5D85"/>
    <w:rsid w:val="008E68AA"/>
    <w:rsid w:val="008E751B"/>
    <w:rsid w:val="00900C33"/>
    <w:rsid w:val="0090193D"/>
    <w:rsid w:val="00901AA4"/>
    <w:rsid w:val="009034C7"/>
    <w:rsid w:val="009043DD"/>
    <w:rsid w:val="0090549B"/>
    <w:rsid w:val="00906ABE"/>
    <w:rsid w:val="00906C1A"/>
    <w:rsid w:val="00907DD7"/>
    <w:rsid w:val="00910BBC"/>
    <w:rsid w:val="009129D8"/>
    <w:rsid w:val="009165D6"/>
    <w:rsid w:val="00917D6F"/>
    <w:rsid w:val="00921504"/>
    <w:rsid w:val="00922352"/>
    <w:rsid w:val="00925290"/>
    <w:rsid w:val="0092710C"/>
    <w:rsid w:val="00927893"/>
    <w:rsid w:val="0093112B"/>
    <w:rsid w:val="0093298F"/>
    <w:rsid w:val="00934AD3"/>
    <w:rsid w:val="00936CFD"/>
    <w:rsid w:val="00937BB0"/>
    <w:rsid w:val="0094022B"/>
    <w:rsid w:val="00942D63"/>
    <w:rsid w:val="00943EBA"/>
    <w:rsid w:val="00944067"/>
    <w:rsid w:val="0094437B"/>
    <w:rsid w:val="009447DA"/>
    <w:rsid w:val="009455DB"/>
    <w:rsid w:val="00951ED7"/>
    <w:rsid w:val="00954428"/>
    <w:rsid w:val="00954541"/>
    <w:rsid w:val="00954C0F"/>
    <w:rsid w:val="00956218"/>
    <w:rsid w:val="00956C4B"/>
    <w:rsid w:val="009577FE"/>
    <w:rsid w:val="00957E64"/>
    <w:rsid w:val="00961605"/>
    <w:rsid w:val="00963C88"/>
    <w:rsid w:val="00965995"/>
    <w:rsid w:val="00966814"/>
    <w:rsid w:val="00970D58"/>
    <w:rsid w:val="00973167"/>
    <w:rsid w:val="009759F9"/>
    <w:rsid w:val="0097715B"/>
    <w:rsid w:val="00981A52"/>
    <w:rsid w:val="00993596"/>
    <w:rsid w:val="00995A83"/>
    <w:rsid w:val="0099755E"/>
    <w:rsid w:val="009A6766"/>
    <w:rsid w:val="009A692C"/>
    <w:rsid w:val="009A7544"/>
    <w:rsid w:val="009A7E10"/>
    <w:rsid w:val="009B1CEB"/>
    <w:rsid w:val="009B2576"/>
    <w:rsid w:val="009B3508"/>
    <w:rsid w:val="009B3AE3"/>
    <w:rsid w:val="009B43EB"/>
    <w:rsid w:val="009B49EE"/>
    <w:rsid w:val="009B584C"/>
    <w:rsid w:val="009B6613"/>
    <w:rsid w:val="009B7000"/>
    <w:rsid w:val="009B75D4"/>
    <w:rsid w:val="009C061A"/>
    <w:rsid w:val="009C0D4C"/>
    <w:rsid w:val="009C108E"/>
    <w:rsid w:val="009C1FE8"/>
    <w:rsid w:val="009C228A"/>
    <w:rsid w:val="009C282F"/>
    <w:rsid w:val="009C2E2D"/>
    <w:rsid w:val="009C3257"/>
    <w:rsid w:val="009C62D7"/>
    <w:rsid w:val="009C7074"/>
    <w:rsid w:val="009C7F6E"/>
    <w:rsid w:val="009D0A96"/>
    <w:rsid w:val="009D1051"/>
    <w:rsid w:val="009D43B2"/>
    <w:rsid w:val="009D4A32"/>
    <w:rsid w:val="009D4B8F"/>
    <w:rsid w:val="009E1DDF"/>
    <w:rsid w:val="009E5C84"/>
    <w:rsid w:val="009F0FC9"/>
    <w:rsid w:val="009F1A7E"/>
    <w:rsid w:val="00A02CAC"/>
    <w:rsid w:val="00A03E32"/>
    <w:rsid w:val="00A06120"/>
    <w:rsid w:val="00A100E6"/>
    <w:rsid w:val="00A13FC8"/>
    <w:rsid w:val="00A14369"/>
    <w:rsid w:val="00A154D5"/>
    <w:rsid w:val="00A2067E"/>
    <w:rsid w:val="00A21E62"/>
    <w:rsid w:val="00A21F19"/>
    <w:rsid w:val="00A21F38"/>
    <w:rsid w:val="00A229AC"/>
    <w:rsid w:val="00A23E8B"/>
    <w:rsid w:val="00A2453E"/>
    <w:rsid w:val="00A25225"/>
    <w:rsid w:val="00A25F14"/>
    <w:rsid w:val="00A26676"/>
    <w:rsid w:val="00A267B2"/>
    <w:rsid w:val="00A27A02"/>
    <w:rsid w:val="00A30DAB"/>
    <w:rsid w:val="00A312C7"/>
    <w:rsid w:val="00A325F5"/>
    <w:rsid w:val="00A32A3F"/>
    <w:rsid w:val="00A337C5"/>
    <w:rsid w:val="00A33B10"/>
    <w:rsid w:val="00A34958"/>
    <w:rsid w:val="00A34EAB"/>
    <w:rsid w:val="00A350B9"/>
    <w:rsid w:val="00A37CD5"/>
    <w:rsid w:val="00A41FB2"/>
    <w:rsid w:val="00A42112"/>
    <w:rsid w:val="00A468F1"/>
    <w:rsid w:val="00A47501"/>
    <w:rsid w:val="00A5287A"/>
    <w:rsid w:val="00A541ED"/>
    <w:rsid w:val="00A562DC"/>
    <w:rsid w:val="00A56E9B"/>
    <w:rsid w:val="00A64B0F"/>
    <w:rsid w:val="00A66F1F"/>
    <w:rsid w:val="00A676B1"/>
    <w:rsid w:val="00A71979"/>
    <w:rsid w:val="00A72837"/>
    <w:rsid w:val="00A73448"/>
    <w:rsid w:val="00A829D2"/>
    <w:rsid w:val="00A86F1C"/>
    <w:rsid w:val="00A9174A"/>
    <w:rsid w:val="00A92A07"/>
    <w:rsid w:val="00A93054"/>
    <w:rsid w:val="00A94B68"/>
    <w:rsid w:val="00A9557F"/>
    <w:rsid w:val="00A969CC"/>
    <w:rsid w:val="00A96C8D"/>
    <w:rsid w:val="00A9708B"/>
    <w:rsid w:val="00AA1BFB"/>
    <w:rsid w:val="00AA2598"/>
    <w:rsid w:val="00AA3A72"/>
    <w:rsid w:val="00AA5063"/>
    <w:rsid w:val="00AB0BBA"/>
    <w:rsid w:val="00AB3EB4"/>
    <w:rsid w:val="00AB3F37"/>
    <w:rsid w:val="00AB6AE8"/>
    <w:rsid w:val="00AC24BD"/>
    <w:rsid w:val="00AD00F6"/>
    <w:rsid w:val="00AD1D82"/>
    <w:rsid w:val="00AD2587"/>
    <w:rsid w:val="00AD3D79"/>
    <w:rsid w:val="00AD5B91"/>
    <w:rsid w:val="00AD5C75"/>
    <w:rsid w:val="00AD6AEF"/>
    <w:rsid w:val="00AE0055"/>
    <w:rsid w:val="00AE091D"/>
    <w:rsid w:val="00AE0A53"/>
    <w:rsid w:val="00AE38CE"/>
    <w:rsid w:val="00AE4AB1"/>
    <w:rsid w:val="00AE5675"/>
    <w:rsid w:val="00AE57EC"/>
    <w:rsid w:val="00AE64F9"/>
    <w:rsid w:val="00AF03D0"/>
    <w:rsid w:val="00AF13D9"/>
    <w:rsid w:val="00AF1C04"/>
    <w:rsid w:val="00AF254A"/>
    <w:rsid w:val="00AF3603"/>
    <w:rsid w:val="00AF36C9"/>
    <w:rsid w:val="00AF5DF5"/>
    <w:rsid w:val="00AF755E"/>
    <w:rsid w:val="00B02EDD"/>
    <w:rsid w:val="00B0569D"/>
    <w:rsid w:val="00B05F64"/>
    <w:rsid w:val="00B10B94"/>
    <w:rsid w:val="00B111A5"/>
    <w:rsid w:val="00B117F2"/>
    <w:rsid w:val="00B13379"/>
    <w:rsid w:val="00B13C6F"/>
    <w:rsid w:val="00B14D75"/>
    <w:rsid w:val="00B15DBA"/>
    <w:rsid w:val="00B2297A"/>
    <w:rsid w:val="00B230F6"/>
    <w:rsid w:val="00B26202"/>
    <w:rsid w:val="00B300C7"/>
    <w:rsid w:val="00B32793"/>
    <w:rsid w:val="00B35F05"/>
    <w:rsid w:val="00B404B6"/>
    <w:rsid w:val="00B412A4"/>
    <w:rsid w:val="00B414FF"/>
    <w:rsid w:val="00B4164D"/>
    <w:rsid w:val="00B4246F"/>
    <w:rsid w:val="00B450C4"/>
    <w:rsid w:val="00B457C4"/>
    <w:rsid w:val="00B462F7"/>
    <w:rsid w:val="00B4697F"/>
    <w:rsid w:val="00B46A16"/>
    <w:rsid w:val="00B50D88"/>
    <w:rsid w:val="00B51427"/>
    <w:rsid w:val="00B5564B"/>
    <w:rsid w:val="00B55A30"/>
    <w:rsid w:val="00B57996"/>
    <w:rsid w:val="00B613EE"/>
    <w:rsid w:val="00B618A9"/>
    <w:rsid w:val="00B621AF"/>
    <w:rsid w:val="00B652FE"/>
    <w:rsid w:val="00B65CF6"/>
    <w:rsid w:val="00B700CC"/>
    <w:rsid w:val="00B71169"/>
    <w:rsid w:val="00B73A5D"/>
    <w:rsid w:val="00B74B38"/>
    <w:rsid w:val="00B762A0"/>
    <w:rsid w:val="00B77E56"/>
    <w:rsid w:val="00B80371"/>
    <w:rsid w:val="00B8269F"/>
    <w:rsid w:val="00B837AE"/>
    <w:rsid w:val="00B83EED"/>
    <w:rsid w:val="00B8453D"/>
    <w:rsid w:val="00B85A89"/>
    <w:rsid w:val="00B868AD"/>
    <w:rsid w:val="00B86F40"/>
    <w:rsid w:val="00B90FF9"/>
    <w:rsid w:val="00B92A20"/>
    <w:rsid w:val="00B931EB"/>
    <w:rsid w:val="00B9742D"/>
    <w:rsid w:val="00BA2274"/>
    <w:rsid w:val="00BB0BAA"/>
    <w:rsid w:val="00BB1EA2"/>
    <w:rsid w:val="00BB480B"/>
    <w:rsid w:val="00BB4E62"/>
    <w:rsid w:val="00BB55EA"/>
    <w:rsid w:val="00BC3D73"/>
    <w:rsid w:val="00BC603E"/>
    <w:rsid w:val="00BC608E"/>
    <w:rsid w:val="00BC69DC"/>
    <w:rsid w:val="00BC7045"/>
    <w:rsid w:val="00BD20AE"/>
    <w:rsid w:val="00BD2A9F"/>
    <w:rsid w:val="00BD4E08"/>
    <w:rsid w:val="00BD7AE1"/>
    <w:rsid w:val="00BE15E4"/>
    <w:rsid w:val="00BE57D2"/>
    <w:rsid w:val="00BE6127"/>
    <w:rsid w:val="00BF13E6"/>
    <w:rsid w:val="00BF15B9"/>
    <w:rsid w:val="00BF7BD9"/>
    <w:rsid w:val="00BF7D60"/>
    <w:rsid w:val="00C017FE"/>
    <w:rsid w:val="00C0447C"/>
    <w:rsid w:val="00C04CAF"/>
    <w:rsid w:val="00C050AF"/>
    <w:rsid w:val="00C05EF2"/>
    <w:rsid w:val="00C12263"/>
    <w:rsid w:val="00C12CF8"/>
    <w:rsid w:val="00C136CD"/>
    <w:rsid w:val="00C14D1E"/>
    <w:rsid w:val="00C15EB7"/>
    <w:rsid w:val="00C212B4"/>
    <w:rsid w:val="00C21746"/>
    <w:rsid w:val="00C2191C"/>
    <w:rsid w:val="00C220E6"/>
    <w:rsid w:val="00C23051"/>
    <w:rsid w:val="00C23427"/>
    <w:rsid w:val="00C23F73"/>
    <w:rsid w:val="00C25016"/>
    <w:rsid w:val="00C2517F"/>
    <w:rsid w:val="00C26333"/>
    <w:rsid w:val="00C264E6"/>
    <w:rsid w:val="00C26E37"/>
    <w:rsid w:val="00C271E6"/>
    <w:rsid w:val="00C32742"/>
    <w:rsid w:val="00C32C97"/>
    <w:rsid w:val="00C353F8"/>
    <w:rsid w:val="00C35A54"/>
    <w:rsid w:val="00C416DB"/>
    <w:rsid w:val="00C423B7"/>
    <w:rsid w:val="00C42887"/>
    <w:rsid w:val="00C42ACD"/>
    <w:rsid w:val="00C446A5"/>
    <w:rsid w:val="00C45150"/>
    <w:rsid w:val="00C46737"/>
    <w:rsid w:val="00C50F67"/>
    <w:rsid w:val="00C52004"/>
    <w:rsid w:val="00C54D4D"/>
    <w:rsid w:val="00C6333E"/>
    <w:rsid w:val="00C633A8"/>
    <w:rsid w:val="00C64DE5"/>
    <w:rsid w:val="00C65AAE"/>
    <w:rsid w:val="00C66A4D"/>
    <w:rsid w:val="00C70CB4"/>
    <w:rsid w:val="00C7141D"/>
    <w:rsid w:val="00C72945"/>
    <w:rsid w:val="00C77C68"/>
    <w:rsid w:val="00C80326"/>
    <w:rsid w:val="00C8287D"/>
    <w:rsid w:val="00C85115"/>
    <w:rsid w:val="00C86896"/>
    <w:rsid w:val="00C86AE5"/>
    <w:rsid w:val="00C933DE"/>
    <w:rsid w:val="00C94CC7"/>
    <w:rsid w:val="00CA082C"/>
    <w:rsid w:val="00CA0BCB"/>
    <w:rsid w:val="00CA373F"/>
    <w:rsid w:val="00CA70DD"/>
    <w:rsid w:val="00CA7442"/>
    <w:rsid w:val="00CA7708"/>
    <w:rsid w:val="00CB2A80"/>
    <w:rsid w:val="00CB5A26"/>
    <w:rsid w:val="00CB6AC4"/>
    <w:rsid w:val="00CC6AA4"/>
    <w:rsid w:val="00CD173A"/>
    <w:rsid w:val="00CD1C12"/>
    <w:rsid w:val="00CD1F7F"/>
    <w:rsid w:val="00CD2401"/>
    <w:rsid w:val="00CD6800"/>
    <w:rsid w:val="00CE0AC5"/>
    <w:rsid w:val="00CE14EA"/>
    <w:rsid w:val="00CE1DD6"/>
    <w:rsid w:val="00CE35E1"/>
    <w:rsid w:val="00CE5541"/>
    <w:rsid w:val="00CF3053"/>
    <w:rsid w:val="00CF4607"/>
    <w:rsid w:val="00CF6767"/>
    <w:rsid w:val="00CF747C"/>
    <w:rsid w:val="00D00576"/>
    <w:rsid w:val="00D0207F"/>
    <w:rsid w:val="00D02A2E"/>
    <w:rsid w:val="00D04299"/>
    <w:rsid w:val="00D0506F"/>
    <w:rsid w:val="00D05A7A"/>
    <w:rsid w:val="00D073AA"/>
    <w:rsid w:val="00D07B78"/>
    <w:rsid w:val="00D12B80"/>
    <w:rsid w:val="00D13BD0"/>
    <w:rsid w:val="00D13D6F"/>
    <w:rsid w:val="00D165F4"/>
    <w:rsid w:val="00D16C33"/>
    <w:rsid w:val="00D20CC5"/>
    <w:rsid w:val="00D20CCF"/>
    <w:rsid w:val="00D217AC"/>
    <w:rsid w:val="00D26474"/>
    <w:rsid w:val="00D31BE1"/>
    <w:rsid w:val="00D328FA"/>
    <w:rsid w:val="00D33B93"/>
    <w:rsid w:val="00D33EC0"/>
    <w:rsid w:val="00D36EC8"/>
    <w:rsid w:val="00D37973"/>
    <w:rsid w:val="00D40161"/>
    <w:rsid w:val="00D41F46"/>
    <w:rsid w:val="00D42754"/>
    <w:rsid w:val="00D42A31"/>
    <w:rsid w:val="00D455A4"/>
    <w:rsid w:val="00D5265D"/>
    <w:rsid w:val="00D604E6"/>
    <w:rsid w:val="00D62E09"/>
    <w:rsid w:val="00D64101"/>
    <w:rsid w:val="00D64FFD"/>
    <w:rsid w:val="00D65474"/>
    <w:rsid w:val="00D67CE9"/>
    <w:rsid w:val="00D70AAA"/>
    <w:rsid w:val="00D71454"/>
    <w:rsid w:val="00D71684"/>
    <w:rsid w:val="00D767E6"/>
    <w:rsid w:val="00D76D7C"/>
    <w:rsid w:val="00D77A0C"/>
    <w:rsid w:val="00D8131B"/>
    <w:rsid w:val="00D8180A"/>
    <w:rsid w:val="00D81D94"/>
    <w:rsid w:val="00D8420C"/>
    <w:rsid w:val="00D84DE0"/>
    <w:rsid w:val="00D96FBA"/>
    <w:rsid w:val="00D97622"/>
    <w:rsid w:val="00DA1FCE"/>
    <w:rsid w:val="00DA239C"/>
    <w:rsid w:val="00DA6D73"/>
    <w:rsid w:val="00DB3228"/>
    <w:rsid w:val="00DB3721"/>
    <w:rsid w:val="00DB3D04"/>
    <w:rsid w:val="00DC64F8"/>
    <w:rsid w:val="00DC72F1"/>
    <w:rsid w:val="00DD00BE"/>
    <w:rsid w:val="00DD02D4"/>
    <w:rsid w:val="00DD0953"/>
    <w:rsid w:val="00DD1CB9"/>
    <w:rsid w:val="00DD1F77"/>
    <w:rsid w:val="00DD2637"/>
    <w:rsid w:val="00DD2F35"/>
    <w:rsid w:val="00DD595D"/>
    <w:rsid w:val="00DD5986"/>
    <w:rsid w:val="00DD696D"/>
    <w:rsid w:val="00DE76B5"/>
    <w:rsid w:val="00DF0BB3"/>
    <w:rsid w:val="00DF2030"/>
    <w:rsid w:val="00DF3247"/>
    <w:rsid w:val="00DF3993"/>
    <w:rsid w:val="00DF6E04"/>
    <w:rsid w:val="00DF6E16"/>
    <w:rsid w:val="00E00218"/>
    <w:rsid w:val="00E0029E"/>
    <w:rsid w:val="00E018E1"/>
    <w:rsid w:val="00E0333C"/>
    <w:rsid w:val="00E0484E"/>
    <w:rsid w:val="00E077DA"/>
    <w:rsid w:val="00E07AC4"/>
    <w:rsid w:val="00E10305"/>
    <w:rsid w:val="00E1062C"/>
    <w:rsid w:val="00E1136D"/>
    <w:rsid w:val="00E116BA"/>
    <w:rsid w:val="00E11D29"/>
    <w:rsid w:val="00E140A6"/>
    <w:rsid w:val="00E15447"/>
    <w:rsid w:val="00E15B7B"/>
    <w:rsid w:val="00E20773"/>
    <w:rsid w:val="00E20926"/>
    <w:rsid w:val="00E2107F"/>
    <w:rsid w:val="00E23059"/>
    <w:rsid w:val="00E231E0"/>
    <w:rsid w:val="00E27E5A"/>
    <w:rsid w:val="00E30352"/>
    <w:rsid w:val="00E33146"/>
    <w:rsid w:val="00E37F50"/>
    <w:rsid w:val="00E40942"/>
    <w:rsid w:val="00E4227F"/>
    <w:rsid w:val="00E45341"/>
    <w:rsid w:val="00E4658A"/>
    <w:rsid w:val="00E50E6F"/>
    <w:rsid w:val="00E539B3"/>
    <w:rsid w:val="00E55EC8"/>
    <w:rsid w:val="00E56469"/>
    <w:rsid w:val="00E56D02"/>
    <w:rsid w:val="00E57209"/>
    <w:rsid w:val="00E5727D"/>
    <w:rsid w:val="00E57FAB"/>
    <w:rsid w:val="00E616D7"/>
    <w:rsid w:val="00E713A7"/>
    <w:rsid w:val="00E72404"/>
    <w:rsid w:val="00E74A15"/>
    <w:rsid w:val="00E7553C"/>
    <w:rsid w:val="00E7567F"/>
    <w:rsid w:val="00E81F3E"/>
    <w:rsid w:val="00E834B0"/>
    <w:rsid w:val="00E854D2"/>
    <w:rsid w:val="00E85807"/>
    <w:rsid w:val="00E86211"/>
    <w:rsid w:val="00E86ACB"/>
    <w:rsid w:val="00E900E0"/>
    <w:rsid w:val="00E9122B"/>
    <w:rsid w:val="00E91C8C"/>
    <w:rsid w:val="00E92209"/>
    <w:rsid w:val="00E93CFE"/>
    <w:rsid w:val="00E94399"/>
    <w:rsid w:val="00E953B9"/>
    <w:rsid w:val="00EA06FB"/>
    <w:rsid w:val="00EA0EBB"/>
    <w:rsid w:val="00EA1619"/>
    <w:rsid w:val="00EA49CE"/>
    <w:rsid w:val="00EA4CBA"/>
    <w:rsid w:val="00EA6CD3"/>
    <w:rsid w:val="00EA7EDF"/>
    <w:rsid w:val="00EB1612"/>
    <w:rsid w:val="00EB184B"/>
    <w:rsid w:val="00EC03E6"/>
    <w:rsid w:val="00EC218F"/>
    <w:rsid w:val="00EC3D51"/>
    <w:rsid w:val="00ED053C"/>
    <w:rsid w:val="00ED0911"/>
    <w:rsid w:val="00ED0A46"/>
    <w:rsid w:val="00ED18C9"/>
    <w:rsid w:val="00ED2979"/>
    <w:rsid w:val="00ED377A"/>
    <w:rsid w:val="00ED4255"/>
    <w:rsid w:val="00ED5CF7"/>
    <w:rsid w:val="00ED603E"/>
    <w:rsid w:val="00EE0244"/>
    <w:rsid w:val="00EE44FE"/>
    <w:rsid w:val="00EE4A54"/>
    <w:rsid w:val="00EE4C51"/>
    <w:rsid w:val="00EE61BD"/>
    <w:rsid w:val="00EE7BA0"/>
    <w:rsid w:val="00EF2696"/>
    <w:rsid w:val="00EF44DD"/>
    <w:rsid w:val="00EF55B6"/>
    <w:rsid w:val="00F00E88"/>
    <w:rsid w:val="00F01888"/>
    <w:rsid w:val="00F019FA"/>
    <w:rsid w:val="00F02EB7"/>
    <w:rsid w:val="00F05823"/>
    <w:rsid w:val="00F0662E"/>
    <w:rsid w:val="00F066C5"/>
    <w:rsid w:val="00F06F21"/>
    <w:rsid w:val="00F12A88"/>
    <w:rsid w:val="00F15773"/>
    <w:rsid w:val="00F20489"/>
    <w:rsid w:val="00F2083E"/>
    <w:rsid w:val="00F30608"/>
    <w:rsid w:val="00F30A0A"/>
    <w:rsid w:val="00F32822"/>
    <w:rsid w:val="00F352DD"/>
    <w:rsid w:val="00F40672"/>
    <w:rsid w:val="00F40762"/>
    <w:rsid w:val="00F40F20"/>
    <w:rsid w:val="00F418C2"/>
    <w:rsid w:val="00F42208"/>
    <w:rsid w:val="00F449A8"/>
    <w:rsid w:val="00F44B3E"/>
    <w:rsid w:val="00F45EAE"/>
    <w:rsid w:val="00F47CAA"/>
    <w:rsid w:val="00F500DC"/>
    <w:rsid w:val="00F51164"/>
    <w:rsid w:val="00F522D4"/>
    <w:rsid w:val="00F53217"/>
    <w:rsid w:val="00F542FA"/>
    <w:rsid w:val="00F61989"/>
    <w:rsid w:val="00F64D33"/>
    <w:rsid w:val="00F652EB"/>
    <w:rsid w:val="00F65551"/>
    <w:rsid w:val="00F70443"/>
    <w:rsid w:val="00F7097D"/>
    <w:rsid w:val="00F716EF"/>
    <w:rsid w:val="00F773E1"/>
    <w:rsid w:val="00F77D50"/>
    <w:rsid w:val="00F81A0A"/>
    <w:rsid w:val="00F838F0"/>
    <w:rsid w:val="00F858D1"/>
    <w:rsid w:val="00F859FA"/>
    <w:rsid w:val="00F85A24"/>
    <w:rsid w:val="00F86B44"/>
    <w:rsid w:val="00F9016C"/>
    <w:rsid w:val="00F929ED"/>
    <w:rsid w:val="00F9305D"/>
    <w:rsid w:val="00F94D89"/>
    <w:rsid w:val="00F9522F"/>
    <w:rsid w:val="00F96110"/>
    <w:rsid w:val="00F9767D"/>
    <w:rsid w:val="00FA2346"/>
    <w:rsid w:val="00FA3AB1"/>
    <w:rsid w:val="00FA4EC5"/>
    <w:rsid w:val="00FA5EE1"/>
    <w:rsid w:val="00FB1472"/>
    <w:rsid w:val="00FB48EB"/>
    <w:rsid w:val="00FC3C7A"/>
    <w:rsid w:val="00FC6839"/>
    <w:rsid w:val="00FD01FC"/>
    <w:rsid w:val="00FD061B"/>
    <w:rsid w:val="00FD0BB0"/>
    <w:rsid w:val="00FD0CB6"/>
    <w:rsid w:val="00FD5F34"/>
    <w:rsid w:val="00FD5FEF"/>
    <w:rsid w:val="00FE2D33"/>
    <w:rsid w:val="00FE6FC3"/>
    <w:rsid w:val="00FE76B5"/>
    <w:rsid w:val="00FE76D2"/>
    <w:rsid w:val="00FF22AC"/>
    <w:rsid w:val="00FF3664"/>
    <w:rsid w:val="00FF42CE"/>
    <w:rsid w:val="00FF5967"/>
    <w:rsid w:val="00FF6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049DE3"/>
  <w15:docId w15:val="{FFC5070A-869C-45D7-974A-330AE73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D3"/>
    <w:pPr>
      <w:spacing w:after="0" w:line="240" w:lineRule="auto"/>
    </w:pPr>
    <w:rPr>
      <w:rFonts w:ascii="Times New Roman" w:eastAsia="Calibri" w:hAnsi="Times New Roman" w:cs="Times New Roman"/>
      <w:sz w:val="20"/>
      <w:szCs w:val="20"/>
      <w:lang w:val="en-AU"/>
    </w:rPr>
  </w:style>
  <w:style w:type="paragraph" w:styleId="Heading3">
    <w:name w:val="heading 3"/>
    <w:basedOn w:val="Normal"/>
    <w:link w:val="Heading3Char"/>
    <w:uiPriority w:val="9"/>
    <w:qFormat/>
    <w:rsid w:val="00844A6C"/>
    <w:pPr>
      <w:spacing w:before="100" w:beforeAutospacing="1" w:after="100" w:afterAutospacing="1"/>
      <w:outlineLvl w:val="2"/>
    </w:pPr>
    <w:rPr>
      <w:rFonts w:eastAsia="Times New Roman"/>
      <w:b/>
      <w:bCs/>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6CD3"/>
    <w:pPr>
      <w:tabs>
        <w:tab w:val="center" w:pos="4153"/>
        <w:tab w:val="right" w:pos="8306"/>
      </w:tabs>
    </w:pPr>
  </w:style>
  <w:style w:type="character" w:customStyle="1" w:styleId="FooterChar">
    <w:name w:val="Footer Char"/>
    <w:basedOn w:val="DefaultParagraphFont"/>
    <w:link w:val="Footer"/>
    <w:uiPriority w:val="99"/>
    <w:rsid w:val="00EA6CD3"/>
    <w:rPr>
      <w:rFonts w:ascii="Times New Roman" w:eastAsia="Calibri" w:hAnsi="Times New Roman" w:cs="Times New Roman"/>
      <w:sz w:val="20"/>
      <w:szCs w:val="20"/>
      <w:lang w:val="en-AU"/>
    </w:rPr>
  </w:style>
  <w:style w:type="paragraph" w:styleId="BodyText">
    <w:name w:val="Body Text"/>
    <w:basedOn w:val="Normal"/>
    <w:link w:val="BodyTextChar"/>
    <w:unhideWhenUsed/>
    <w:rsid w:val="00EA6CD3"/>
    <w:pPr>
      <w:jc w:val="both"/>
    </w:pPr>
    <w:rPr>
      <w:rFonts w:eastAsia="Times New Roman"/>
      <w:sz w:val="28"/>
      <w:lang w:val="lv-LV" w:eastAsia="lv-LV"/>
    </w:rPr>
  </w:style>
  <w:style w:type="character" w:customStyle="1" w:styleId="BodyTextChar">
    <w:name w:val="Body Text Char"/>
    <w:basedOn w:val="DefaultParagraphFont"/>
    <w:link w:val="BodyText"/>
    <w:rsid w:val="00EA6CD3"/>
    <w:rPr>
      <w:rFonts w:ascii="Times New Roman" w:eastAsia="Times New Roman" w:hAnsi="Times New Roman" w:cs="Times New Roman"/>
      <w:sz w:val="28"/>
      <w:szCs w:val="20"/>
      <w:lang w:eastAsia="lv-LV"/>
    </w:rPr>
  </w:style>
  <w:style w:type="paragraph" w:styleId="Header">
    <w:name w:val="header"/>
    <w:basedOn w:val="Normal"/>
    <w:link w:val="HeaderChar"/>
    <w:unhideWhenUsed/>
    <w:rsid w:val="00EA6CD3"/>
    <w:pPr>
      <w:tabs>
        <w:tab w:val="center" w:pos="4153"/>
        <w:tab w:val="right" w:pos="8306"/>
      </w:tabs>
    </w:pPr>
  </w:style>
  <w:style w:type="character" w:customStyle="1" w:styleId="HeaderChar">
    <w:name w:val="Header Char"/>
    <w:basedOn w:val="DefaultParagraphFont"/>
    <w:link w:val="Header"/>
    <w:rsid w:val="00EA6CD3"/>
    <w:rPr>
      <w:rFonts w:ascii="Times New Roman" w:eastAsia="Calibri" w:hAnsi="Times New Roman" w:cs="Times New Roman"/>
      <w:sz w:val="20"/>
      <w:szCs w:val="20"/>
      <w:lang w:val="en-AU"/>
    </w:rPr>
  </w:style>
  <w:style w:type="paragraph" w:customStyle="1" w:styleId="naisf">
    <w:name w:val="naisf"/>
    <w:basedOn w:val="Normal"/>
    <w:rsid w:val="00EA6CD3"/>
    <w:pPr>
      <w:spacing w:before="75" w:after="75"/>
      <w:ind w:firstLine="375"/>
      <w:jc w:val="both"/>
    </w:pPr>
    <w:rPr>
      <w:rFonts w:eastAsia="Times New Roman"/>
      <w:sz w:val="24"/>
      <w:szCs w:val="24"/>
      <w:lang w:val="lv-LV" w:eastAsia="lv-LV"/>
    </w:rPr>
  </w:style>
  <w:style w:type="paragraph" w:customStyle="1" w:styleId="naiskr">
    <w:name w:val="naiskr"/>
    <w:basedOn w:val="Normal"/>
    <w:rsid w:val="00EA6CD3"/>
    <w:pPr>
      <w:spacing w:before="75" w:after="75"/>
    </w:pPr>
    <w:rPr>
      <w:rFonts w:eastAsia="Times New Roman"/>
      <w:sz w:val="24"/>
      <w:szCs w:val="24"/>
      <w:lang w:val="lv-LV" w:eastAsia="lv-LV"/>
    </w:rPr>
  </w:style>
  <w:style w:type="paragraph" w:customStyle="1" w:styleId="tv2131">
    <w:name w:val="tv2131"/>
    <w:basedOn w:val="Normal"/>
    <w:rsid w:val="00EA6CD3"/>
    <w:pPr>
      <w:spacing w:line="360" w:lineRule="auto"/>
      <w:ind w:firstLine="335"/>
    </w:pPr>
    <w:rPr>
      <w:rFonts w:eastAsia="Times New Roman"/>
      <w:color w:val="414142"/>
      <w:sz w:val="22"/>
      <w:szCs w:val="22"/>
      <w:lang w:val="en-US"/>
    </w:rPr>
  </w:style>
  <w:style w:type="paragraph" w:styleId="BalloonText">
    <w:name w:val="Balloon Text"/>
    <w:basedOn w:val="Normal"/>
    <w:link w:val="BalloonTextChar"/>
    <w:uiPriority w:val="99"/>
    <w:semiHidden/>
    <w:unhideWhenUsed/>
    <w:rsid w:val="008D65D5"/>
    <w:rPr>
      <w:rFonts w:ascii="Tahoma" w:hAnsi="Tahoma" w:cs="Tahoma"/>
      <w:sz w:val="16"/>
      <w:szCs w:val="16"/>
    </w:rPr>
  </w:style>
  <w:style w:type="character" w:customStyle="1" w:styleId="BalloonTextChar">
    <w:name w:val="Balloon Text Char"/>
    <w:basedOn w:val="DefaultParagraphFont"/>
    <w:link w:val="BalloonText"/>
    <w:uiPriority w:val="99"/>
    <w:semiHidden/>
    <w:rsid w:val="008D65D5"/>
    <w:rPr>
      <w:rFonts w:ascii="Tahoma" w:eastAsia="Calibri" w:hAnsi="Tahoma" w:cs="Tahoma"/>
      <w:sz w:val="16"/>
      <w:szCs w:val="16"/>
      <w:lang w:val="en-AU"/>
    </w:rPr>
  </w:style>
  <w:style w:type="paragraph" w:styleId="ListParagraph">
    <w:name w:val="List Paragraph"/>
    <w:aliases w:val="2,Strip,H&amp;P List Paragraph,Saraksta rindkopa,Saraksta rindkopa1"/>
    <w:basedOn w:val="Normal"/>
    <w:link w:val="ListParagraphChar"/>
    <w:uiPriority w:val="34"/>
    <w:qFormat/>
    <w:rsid w:val="00166A8B"/>
    <w:pPr>
      <w:ind w:left="720"/>
      <w:contextualSpacing/>
    </w:pPr>
  </w:style>
  <w:style w:type="character" w:styleId="CommentReference">
    <w:name w:val="annotation reference"/>
    <w:basedOn w:val="DefaultParagraphFont"/>
    <w:uiPriority w:val="99"/>
    <w:unhideWhenUsed/>
    <w:rsid w:val="00961605"/>
    <w:rPr>
      <w:sz w:val="16"/>
      <w:szCs w:val="16"/>
    </w:rPr>
  </w:style>
  <w:style w:type="paragraph" w:styleId="CommentText">
    <w:name w:val="annotation text"/>
    <w:basedOn w:val="Normal"/>
    <w:link w:val="CommentTextChar"/>
    <w:unhideWhenUsed/>
    <w:rsid w:val="00961605"/>
  </w:style>
  <w:style w:type="character" w:customStyle="1" w:styleId="CommentTextChar">
    <w:name w:val="Comment Text Char"/>
    <w:basedOn w:val="DefaultParagraphFont"/>
    <w:link w:val="CommentText"/>
    <w:rsid w:val="00961605"/>
    <w:rPr>
      <w:rFonts w:ascii="Times New Roman" w:eastAsia="Calibri"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61605"/>
    <w:rPr>
      <w:b/>
      <w:bCs/>
    </w:rPr>
  </w:style>
  <w:style w:type="character" w:customStyle="1" w:styleId="CommentSubjectChar">
    <w:name w:val="Comment Subject Char"/>
    <w:basedOn w:val="CommentTextChar"/>
    <w:link w:val="CommentSubject"/>
    <w:uiPriority w:val="99"/>
    <w:semiHidden/>
    <w:rsid w:val="00961605"/>
    <w:rPr>
      <w:rFonts w:ascii="Times New Roman" w:eastAsia="Calibri" w:hAnsi="Times New Roman" w:cs="Times New Roman"/>
      <w:b/>
      <w:bCs/>
      <w:sz w:val="20"/>
      <w:szCs w:val="20"/>
      <w:lang w:val="en-AU"/>
    </w:rPr>
  </w:style>
  <w:style w:type="character" w:styleId="Hyperlink">
    <w:name w:val="Hyperlink"/>
    <w:basedOn w:val="DefaultParagraphFont"/>
    <w:uiPriority w:val="99"/>
    <w:unhideWhenUsed/>
    <w:rsid w:val="00B46A16"/>
    <w:rPr>
      <w:color w:val="0000FF" w:themeColor="hyperlink"/>
      <w:u w:val="single"/>
    </w:rPr>
  </w:style>
  <w:style w:type="paragraph" w:styleId="FootnoteText">
    <w:name w:val="footnote text"/>
    <w:basedOn w:val="Normal"/>
    <w:link w:val="FootnoteTextChar"/>
    <w:uiPriority w:val="99"/>
    <w:rsid w:val="00AD6AEF"/>
    <w:pPr>
      <w:jc w:val="both"/>
    </w:pPr>
    <w:rPr>
      <w:rFonts w:eastAsia="Times New Roman"/>
      <w:lang w:val="lv-LV"/>
    </w:rPr>
  </w:style>
  <w:style w:type="character" w:customStyle="1" w:styleId="FootnoteTextChar">
    <w:name w:val="Footnote Text Char"/>
    <w:basedOn w:val="DefaultParagraphFont"/>
    <w:link w:val="FootnoteText"/>
    <w:uiPriority w:val="99"/>
    <w:rsid w:val="00AD6A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AD6AEF"/>
    <w:rPr>
      <w:rFonts w:ascii="Times New Roman" w:hAnsi="Times New Roman"/>
      <w:vertAlign w:val="superscript"/>
    </w:rPr>
  </w:style>
  <w:style w:type="character" w:customStyle="1" w:styleId="apple-converted-space">
    <w:name w:val="apple-converted-space"/>
    <w:basedOn w:val="DefaultParagraphFont"/>
    <w:rsid w:val="00753FF4"/>
  </w:style>
  <w:style w:type="character" w:customStyle="1" w:styleId="bumpedfont15">
    <w:name w:val="bumpedfont15"/>
    <w:rsid w:val="006C20C5"/>
  </w:style>
  <w:style w:type="character" w:styleId="PlaceholderText">
    <w:name w:val="Placeholder Text"/>
    <w:basedOn w:val="DefaultParagraphFont"/>
    <w:uiPriority w:val="99"/>
    <w:semiHidden/>
    <w:rsid w:val="00200E7D"/>
    <w:rPr>
      <w:color w:val="808080"/>
    </w:rPr>
  </w:style>
  <w:style w:type="character" w:customStyle="1" w:styleId="ListParagraphChar">
    <w:name w:val="List Paragraph Char"/>
    <w:aliases w:val="2 Char,Strip Char,H&amp;P List Paragraph Char,Saraksta rindkopa Char,Saraksta rindkopa1 Char"/>
    <w:link w:val="ListParagraph"/>
    <w:uiPriority w:val="34"/>
    <w:locked/>
    <w:rsid w:val="00D165F4"/>
    <w:rPr>
      <w:rFonts w:ascii="Times New Roman" w:eastAsia="Calibri" w:hAnsi="Times New Roman" w:cs="Times New Roman"/>
      <w:sz w:val="20"/>
      <w:szCs w:val="20"/>
      <w:lang w:val="en-AU"/>
    </w:rPr>
  </w:style>
  <w:style w:type="paragraph" w:styleId="NormalWeb">
    <w:name w:val="Normal (Web)"/>
    <w:basedOn w:val="Normal"/>
    <w:uiPriority w:val="99"/>
    <w:semiHidden/>
    <w:unhideWhenUsed/>
    <w:rsid w:val="005E30B2"/>
    <w:pPr>
      <w:spacing w:before="100" w:beforeAutospacing="1" w:after="100" w:afterAutospacing="1"/>
    </w:pPr>
    <w:rPr>
      <w:rFonts w:eastAsia="Times New Roman"/>
      <w:sz w:val="24"/>
      <w:szCs w:val="24"/>
      <w:lang w:val="lv-LV" w:eastAsia="lv-LV"/>
    </w:rPr>
  </w:style>
  <w:style w:type="paragraph" w:customStyle="1" w:styleId="naisnod">
    <w:name w:val="naisnod"/>
    <w:basedOn w:val="Normal"/>
    <w:rsid w:val="00DC64F8"/>
    <w:pPr>
      <w:spacing w:before="100" w:beforeAutospacing="1" w:after="100" w:afterAutospacing="1"/>
    </w:pPr>
    <w:rPr>
      <w:rFonts w:eastAsia="Times New Roman"/>
      <w:sz w:val="24"/>
      <w:szCs w:val="24"/>
      <w:lang w:val="lv-LV" w:eastAsia="lv-LV"/>
    </w:rPr>
  </w:style>
  <w:style w:type="paragraph" w:customStyle="1" w:styleId="Default">
    <w:name w:val="Default"/>
    <w:rsid w:val="00FE76B5"/>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tv213">
    <w:name w:val="tv213"/>
    <w:basedOn w:val="Normal"/>
    <w:rsid w:val="00F94D89"/>
    <w:pPr>
      <w:spacing w:before="100" w:beforeAutospacing="1" w:after="100" w:afterAutospacing="1"/>
    </w:pPr>
    <w:rPr>
      <w:rFonts w:eastAsia="Times New Roman"/>
      <w:sz w:val="24"/>
      <w:szCs w:val="24"/>
      <w:lang w:val="lv-LV" w:eastAsia="lv-LV"/>
    </w:rPr>
  </w:style>
  <w:style w:type="paragraph" w:styleId="Revision">
    <w:name w:val="Revision"/>
    <w:hidden/>
    <w:uiPriority w:val="99"/>
    <w:semiHidden/>
    <w:rsid w:val="00733C32"/>
    <w:pPr>
      <w:spacing w:after="0" w:line="240" w:lineRule="auto"/>
    </w:pPr>
    <w:rPr>
      <w:rFonts w:ascii="Times New Roman" w:eastAsia="Calibri" w:hAnsi="Times New Roman" w:cs="Times New Roman"/>
      <w:sz w:val="20"/>
      <w:szCs w:val="20"/>
      <w:lang w:val="en-AU"/>
    </w:rPr>
  </w:style>
  <w:style w:type="character" w:styleId="FollowedHyperlink">
    <w:name w:val="FollowedHyperlink"/>
    <w:basedOn w:val="DefaultParagraphFont"/>
    <w:uiPriority w:val="99"/>
    <w:semiHidden/>
    <w:unhideWhenUsed/>
    <w:rsid w:val="00547ACF"/>
    <w:rPr>
      <w:color w:val="800080" w:themeColor="followedHyperlink"/>
      <w:u w:val="single"/>
    </w:rPr>
  </w:style>
  <w:style w:type="character" w:customStyle="1" w:styleId="Mention1">
    <w:name w:val="Mention1"/>
    <w:basedOn w:val="DefaultParagraphFont"/>
    <w:uiPriority w:val="99"/>
    <w:semiHidden/>
    <w:unhideWhenUsed/>
    <w:rsid w:val="00547ACF"/>
    <w:rPr>
      <w:color w:val="2B579A"/>
      <w:shd w:val="clear" w:color="auto" w:fill="E6E6E6"/>
    </w:rPr>
  </w:style>
  <w:style w:type="character" w:customStyle="1" w:styleId="Mention2">
    <w:name w:val="Mention2"/>
    <w:basedOn w:val="DefaultParagraphFont"/>
    <w:uiPriority w:val="99"/>
    <w:semiHidden/>
    <w:unhideWhenUsed/>
    <w:rsid w:val="00B621AF"/>
    <w:rPr>
      <w:color w:val="2B579A"/>
      <w:shd w:val="clear" w:color="auto" w:fill="E6E6E6"/>
    </w:rPr>
  </w:style>
  <w:style w:type="character" w:styleId="BookTitle">
    <w:name w:val="Book Title"/>
    <w:basedOn w:val="DefaultParagraphFont"/>
    <w:uiPriority w:val="33"/>
    <w:qFormat/>
    <w:rsid w:val="00D97622"/>
    <w:rPr>
      <w:b/>
      <w:bCs/>
      <w:i/>
      <w:iCs/>
      <w:spacing w:val="5"/>
    </w:rPr>
  </w:style>
  <w:style w:type="character" w:styleId="UnresolvedMention">
    <w:name w:val="Unresolved Mention"/>
    <w:basedOn w:val="DefaultParagraphFont"/>
    <w:uiPriority w:val="99"/>
    <w:semiHidden/>
    <w:unhideWhenUsed/>
    <w:rsid w:val="005A0C78"/>
    <w:rPr>
      <w:color w:val="808080"/>
      <w:shd w:val="clear" w:color="auto" w:fill="E6E6E6"/>
    </w:rPr>
  </w:style>
  <w:style w:type="paragraph" w:styleId="EndnoteText">
    <w:name w:val="endnote text"/>
    <w:basedOn w:val="Normal"/>
    <w:link w:val="EndnoteTextChar"/>
    <w:uiPriority w:val="99"/>
    <w:semiHidden/>
    <w:unhideWhenUsed/>
    <w:rsid w:val="00E81F3E"/>
  </w:style>
  <w:style w:type="character" w:customStyle="1" w:styleId="EndnoteTextChar">
    <w:name w:val="Endnote Text Char"/>
    <w:basedOn w:val="DefaultParagraphFont"/>
    <w:link w:val="EndnoteText"/>
    <w:uiPriority w:val="99"/>
    <w:semiHidden/>
    <w:rsid w:val="00E81F3E"/>
    <w:rPr>
      <w:rFonts w:ascii="Times New Roman" w:eastAsia="Calibri" w:hAnsi="Times New Roman" w:cs="Times New Roman"/>
      <w:sz w:val="20"/>
      <w:szCs w:val="20"/>
      <w:lang w:val="en-AU"/>
    </w:rPr>
  </w:style>
  <w:style w:type="character" w:styleId="EndnoteReference">
    <w:name w:val="endnote reference"/>
    <w:basedOn w:val="DefaultParagraphFont"/>
    <w:uiPriority w:val="99"/>
    <w:semiHidden/>
    <w:unhideWhenUsed/>
    <w:rsid w:val="00E81F3E"/>
    <w:rPr>
      <w:vertAlign w:val="superscript"/>
    </w:rPr>
  </w:style>
  <w:style w:type="paragraph" w:customStyle="1" w:styleId="tvhtml">
    <w:name w:val="tv_html"/>
    <w:basedOn w:val="Normal"/>
    <w:rsid w:val="005B4B5F"/>
    <w:pPr>
      <w:spacing w:before="100" w:beforeAutospacing="1" w:after="100" w:afterAutospacing="1"/>
    </w:pPr>
    <w:rPr>
      <w:rFonts w:eastAsia="Times New Roman"/>
      <w:sz w:val="24"/>
      <w:szCs w:val="24"/>
      <w:lang w:val="lv-LV" w:eastAsia="lv-LV"/>
    </w:rPr>
  </w:style>
  <w:style w:type="paragraph" w:customStyle="1" w:styleId="doc-ti">
    <w:name w:val="doc-ti"/>
    <w:basedOn w:val="Normal"/>
    <w:rsid w:val="005C71A2"/>
    <w:pPr>
      <w:spacing w:before="100" w:beforeAutospacing="1" w:after="100" w:afterAutospacing="1"/>
    </w:pPr>
    <w:rPr>
      <w:rFonts w:eastAsia="Times New Roman"/>
      <w:sz w:val="24"/>
      <w:szCs w:val="24"/>
      <w:lang w:val="lv-LV" w:eastAsia="lv-LV"/>
    </w:rPr>
  </w:style>
  <w:style w:type="paragraph" w:customStyle="1" w:styleId="no-doc-c">
    <w:name w:val="no-doc-c"/>
    <w:basedOn w:val="Normal"/>
    <w:rsid w:val="005C71A2"/>
    <w:pPr>
      <w:spacing w:before="100" w:beforeAutospacing="1" w:after="100" w:afterAutospacing="1"/>
    </w:pPr>
    <w:rPr>
      <w:rFonts w:eastAsia="Times New Roman"/>
      <w:sz w:val="24"/>
      <w:szCs w:val="24"/>
      <w:lang w:val="lv-LV" w:eastAsia="lv-LV"/>
    </w:rPr>
  </w:style>
  <w:style w:type="table" w:styleId="PlainTable1">
    <w:name w:val="Plain Table 1"/>
    <w:basedOn w:val="TableNormal"/>
    <w:uiPriority w:val="41"/>
    <w:rsid w:val="002830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830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844A6C"/>
    <w:rPr>
      <w:rFonts w:ascii="Times New Roman" w:eastAsia="Times New Roman" w:hAnsi="Times New Roman" w:cs="Times New Roman"/>
      <w:b/>
      <w:bCs/>
      <w:sz w:val="27"/>
      <w:szCs w:val="27"/>
      <w:lang w:eastAsia="lv-LV"/>
    </w:rPr>
  </w:style>
  <w:style w:type="character" w:styleId="Strong">
    <w:name w:val="Strong"/>
    <w:basedOn w:val="DefaultParagraphFont"/>
    <w:uiPriority w:val="22"/>
    <w:qFormat/>
    <w:rsid w:val="0047735D"/>
    <w:rPr>
      <w:b/>
      <w:bCs/>
    </w:rPr>
  </w:style>
  <w:style w:type="paragraph" w:customStyle="1" w:styleId="xmsonormal">
    <w:name w:val="x_msonormal"/>
    <w:basedOn w:val="Normal"/>
    <w:rsid w:val="00B613EE"/>
    <w:rPr>
      <w:rFonts w:eastAsiaTheme="minorHAnsi"/>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5903">
      <w:bodyDiv w:val="1"/>
      <w:marLeft w:val="0"/>
      <w:marRight w:val="0"/>
      <w:marTop w:val="0"/>
      <w:marBottom w:val="0"/>
      <w:divBdr>
        <w:top w:val="none" w:sz="0" w:space="0" w:color="auto"/>
        <w:left w:val="none" w:sz="0" w:space="0" w:color="auto"/>
        <w:bottom w:val="none" w:sz="0" w:space="0" w:color="auto"/>
        <w:right w:val="none" w:sz="0" w:space="0" w:color="auto"/>
      </w:divBdr>
    </w:div>
    <w:div w:id="153881098">
      <w:bodyDiv w:val="1"/>
      <w:marLeft w:val="0"/>
      <w:marRight w:val="0"/>
      <w:marTop w:val="0"/>
      <w:marBottom w:val="0"/>
      <w:divBdr>
        <w:top w:val="none" w:sz="0" w:space="0" w:color="auto"/>
        <w:left w:val="none" w:sz="0" w:space="0" w:color="auto"/>
        <w:bottom w:val="none" w:sz="0" w:space="0" w:color="auto"/>
        <w:right w:val="none" w:sz="0" w:space="0" w:color="auto"/>
      </w:divBdr>
    </w:div>
    <w:div w:id="187447022">
      <w:bodyDiv w:val="1"/>
      <w:marLeft w:val="0"/>
      <w:marRight w:val="0"/>
      <w:marTop w:val="0"/>
      <w:marBottom w:val="0"/>
      <w:divBdr>
        <w:top w:val="none" w:sz="0" w:space="0" w:color="auto"/>
        <w:left w:val="none" w:sz="0" w:space="0" w:color="auto"/>
        <w:bottom w:val="none" w:sz="0" w:space="0" w:color="auto"/>
        <w:right w:val="none" w:sz="0" w:space="0" w:color="auto"/>
      </w:divBdr>
    </w:div>
    <w:div w:id="223838125">
      <w:bodyDiv w:val="1"/>
      <w:marLeft w:val="0"/>
      <w:marRight w:val="0"/>
      <w:marTop w:val="0"/>
      <w:marBottom w:val="0"/>
      <w:divBdr>
        <w:top w:val="none" w:sz="0" w:space="0" w:color="auto"/>
        <w:left w:val="none" w:sz="0" w:space="0" w:color="auto"/>
        <w:bottom w:val="none" w:sz="0" w:space="0" w:color="auto"/>
        <w:right w:val="none" w:sz="0" w:space="0" w:color="auto"/>
      </w:divBdr>
    </w:div>
    <w:div w:id="385682458">
      <w:bodyDiv w:val="1"/>
      <w:marLeft w:val="0"/>
      <w:marRight w:val="0"/>
      <w:marTop w:val="0"/>
      <w:marBottom w:val="0"/>
      <w:divBdr>
        <w:top w:val="none" w:sz="0" w:space="0" w:color="auto"/>
        <w:left w:val="none" w:sz="0" w:space="0" w:color="auto"/>
        <w:bottom w:val="none" w:sz="0" w:space="0" w:color="auto"/>
        <w:right w:val="none" w:sz="0" w:space="0" w:color="auto"/>
      </w:divBdr>
    </w:div>
    <w:div w:id="438522940">
      <w:bodyDiv w:val="1"/>
      <w:marLeft w:val="0"/>
      <w:marRight w:val="0"/>
      <w:marTop w:val="0"/>
      <w:marBottom w:val="0"/>
      <w:divBdr>
        <w:top w:val="none" w:sz="0" w:space="0" w:color="auto"/>
        <w:left w:val="none" w:sz="0" w:space="0" w:color="auto"/>
        <w:bottom w:val="none" w:sz="0" w:space="0" w:color="auto"/>
        <w:right w:val="none" w:sz="0" w:space="0" w:color="auto"/>
      </w:divBdr>
    </w:div>
    <w:div w:id="447352891">
      <w:bodyDiv w:val="1"/>
      <w:marLeft w:val="0"/>
      <w:marRight w:val="0"/>
      <w:marTop w:val="0"/>
      <w:marBottom w:val="0"/>
      <w:divBdr>
        <w:top w:val="none" w:sz="0" w:space="0" w:color="auto"/>
        <w:left w:val="none" w:sz="0" w:space="0" w:color="auto"/>
        <w:bottom w:val="none" w:sz="0" w:space="0" w:color="auto"/>
        <w:right w:val="none" w:sz="0" w:space="0" w:color="auto"/>
      </w:divBdr>
    </w:div>
    <w:div w:id="772239477">
      <w:bodyDiv w:val="1"/>
      <w:marLeft w:val="0"/>
      <w:marRight w:val="0"/>
      <w:marTop w:val="0"/>
      <w:marBottom w:val="0"/>
      <w:divBdr>
        <w:top w:val="none" w:sz="0" w:space="0" w:color="auto"/>
        <w:left w:val="none" w:sz="0" w:space="0" w:color="auto"/>
        <w:bottom w:val="none" w:sz="0" w:space="0" w:color="auto"/>
        <w:right w:val="none" w:sz="0" w:space="0" w:color="auto"/>
      </w:divBdr>
    </w:div>
    <w:div w:id="801000092">
      <w:bodyDiv w:val="1"/>
      <w:marLeft w:val="0"/>
      <w:marRight w:val="0"/>
      <w:marTop w:val="0"/>
      <w:marBottom w:val="0"/>
      <w:divBdr>
        <w:top w:val="none" w:sz="0" w:space="0" w:color="auto"/>
        <w:left w:val="none" w:sz="0" w:space="0" w:color="auto"/>
        <w:bottom w:val="none" w:sz="0" w:space="0" w:color="auto"/>
        <w:right w:val="none" w:sz="0" w:space="0" w:color="auto"/>
      </w:divBdr>
    </w:div>
    <w:div w:id="815999629">
      <w:bodyDiv w:val="1"/>
      <w:marLeft w:val="0"/>
      <w:marRight w:val="0"/>
      <w:marTop w:val="0"/>
      <w:marBottom w:val="0"/>
      <w:divBdr>
        <w:top w:val="none" w:sz="0" w:space="0" w:color="auto"/>
        <w:left w:val="none" w:sz="0" w:space="0" w:color="auto"/>
        <w:bottom w:val="none" w:sz="0" w:space="0" w:color="auto"/>
        <w:right w:val="none" w:sz="0" w:space="0" w:color="auto"/>
      </w:divBdr>
    </w:div>
    <w:div w:id="825973275">
      <w:bodyDiv w:val="1"/>
      <w:marLeft w:val="0"/>
      <w:marRight w:val="0"/>
      <w:marTop w:val="0"/>
      <w:marBottom w:val="0"/>
      <w:divBdr>
        <w:top w:val="none" w:sz="0" w:space="0" w:color="auto"/>
        <w:left w:val="none" w:sz="0" w:space="0" w:color="auto"/>
        <w:bottom w:val="none" w:sz="0" w:space="0" w:color="auto"/>
        <w:right w:val="none" w:sz="0" w:space="0" w:color="auto"/>
      </w:divBdr>
    </w:div>
    <w:div w:id="922841649">
      <w:bodyDiv w:val="1"/>
      <w:marLeft w:val="0"/>
      <w:marRight w:val="0"/>
      <w:marTop w:val="0"/>
      <w:marBottom w:val="0"/>
      <w:divBdr>
        <w:top w:val="none" w:sz="0" w:space="0" w:color="auto"/>
        <w:left w:val="none" w:sz="0" w:space="0" w:color="auto"/>
        <w:bottom w:val="none" w:sz="0" w:space="0" w:color="auto"/>
        <w:right w:val="none" w:sz="0" w:space="0" w:color="auto"/>
      </w:divBdr>
    </w:div>
    <w:div w:id="936519848">
      <w:bodyDiv w:val="1"/>
      <w:marLeft w:val="0"/>
      <w:marRight w:val="0"/>
      <w:marTop w:val="0"/>
      <w:marBottom w:val="0"/>
      <w:divBdr>
        <w:top w:val="none" w:sz="0" w:space="0" w:color="auto"/>
        <w:left w:val="none" w:sz="0" w:space="0" w:color="auto"/>
        <w:bottom w:val="none" w:sz="0" w:space="0" w:color="auto"/>
        <w:right w:val="none" w:sz="0" w:space="0" w:color="auto"/>
      </w:divBdr>
    </w:div>
    <w:div w:id="1077441616">
      <w:bodyDiv w:val="1"/>
      <w:marLeft w:val="0"/>
      <w:marRight w:val="0"/>
      <w:marTop w:val="0"/>
      <w:marBottom w:val="0"/>
      <w:divBdr>
        <w:top w:val="none" w:sz="0" w:space="0" w:color="auto"/>
        <w:left w:val="none" w:sz="0" w:space="0" w:color="auto"/>
        <w:bottom w:val="none" w:sz="0" w:space="0" w:color="auto"/>
        <w:right w:val="none" w:sz="0" w:space="0" w:color="auto"/>
      </w:divBdr>
    </w:div>
    <w:div w:id="1138106844">
      <w:bodyDiv w:val="1"/>
      <w:marLeft w:val="0"/>
      <w:marRight w:val="0"/>
      <w:marTop w:val="0"/>
      <w:marBottom w:val="0"/>
      <w:divBdr>
        <w:top w:val="none" w:sz="0" w:space="0" w:color="auto"/>
        <w:left w:val="none" w:sz="0" w:space="0" w:color="auto"/>
        <w:bottom w:val="none" w:sz="0" w:space="0" w:color="auto"/>
        <w:right w:val="none" w:sz="0" w:space="0" w:color="auto"/>
      </w:divBdr>
    </w:div>
    <w:div w:id="1279022274">
      <w:bodyDiv w:val="1"/>
      <w:marLeft w:val="0"/>
      <w:marRight w:val="0"/>
      <w:marTop w:val="0"/>
      <w:marBottom w:val="0"/>
      <w:divBdr>
        <w:top w:val="none" w:sz="0" w:space="0" w:color="auto"/>
        <w:left w:val="none" w:sz="0" w:space="0" w:color="auto"/>
        <w:bottom w:val="none" w:sz="0" w:space="0" w:color="auto"/>
        <w:right w:val="none" w:sz="0" w:space="0" w:color="auto"/>
      </w:divBdr>
    </w:div>
    <w:div w:id="1294561877">
      <w:bodyDiv w:val="1"/>
      <w:marLeft w:val="0"/>
      <w:marRight w:val="0"/>
      <w:marTop w:val="0"/>
      <w:marBottom w:val="0"/>
      <w:divBdr>
        <w:top w:val="none" w:sz="0" w:space="0" w:color="auto"/>
        <w:left w:val="none" w:sz="0" w:space="0" w:color="auto"/>
        <w:bottom w:val="none" w:sz="0" w:space="0" w:color="auto"/>
        <w:right w:val="none" w:sz="0" w:space="0" w:color="auto"/>
      </w:divBdr>
    </w:div>
    <w:div w:id="1354841859">
      <w:bodyDiv w:val="1"/>
      <w:marLeft w:val="0"/>
      <w:marRight w:val="0"/>
      <w:marTop w:val="0"/>
      <w:marBottom w:val="0"/>
      <w:divBdr>
        <w:top w:val="none" w:sz="0" w:space="0" w:color="auto"/>
        <w:left w:val="none" w:sz="0" w:space="0" w:color="auto"/>
        <w:bottom w:val="none" w:sz="0" w:space="0" w:color="auto"/>
        <w:right w:val="none" w:sz="0" w:space="0" w:color="auto"/>
      </w:divBdr>
    </w:div>
    <w:div w:id="1373574577">
      <w:bodyDiv w:val="1"/>
      <w:marLeft w:val="0"/>
      <w:marRight w:val="0"/>
      <w:marTop w:val="0"/>
      <w:marBottom w:val="0"/>
      <w:divBdr>
        <w:top w:val="none" w:sz="0" w:space="0" w:color="auto"/>
        <w:left w:val="none" w:sz="0" w:space="0" w:color="auto"/>
        <w:bottom w:val="none" w:sz="0" w:space="0" w:color="auto"/>
        <w:right w:val="none" w:sz="0" w:space="0" w:color="auto"/>
      </w:divBdr>
    </w:div>
    <w:div w:id="1526485280">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sChild>
        <w:div w:id="1560093764">
          <w:marLeft w:val="0"/>
          <w:marRight w:val="0"/>
          <w:marTop w:val="0"/>
          <w:marBottom w:val="0"/>
          <w:divBdr>
            <w:top w:val="none" w:sz="0" w:space="0" w:color="auto"/>
            <w:left w:val="none" w:sz="0" w:space="0" w:color="auto"/>
            <w:bottom w:val="none" w:sz="0" w:space="0" w:color="auto"/>
            <w:right w:val="none" w:sz="0" w:space="0" w:color="auto"/>
          </w:divBdr>
        </w:div>
      </w:divsChild>
    </w:div>
    <w:div w:id="1575358383">
      <w:bodyDiv w:val="1"/>
      <w:marLeft w:val="0"/>
      <w:marRight w:val="0"/>
      <w:marTop w:val="0"/>
      <w:marBottom w:val="0"/>
      <w:divBdr>
        <w:top w:val="none" w:sz="0" w:space="0" w:color="auto"/>
        <w:left w:val="none" w:sz="0" w:space="0" w:color="auto"/>
        <w:bottom w:val="none" w:sz="0" w:space="0" w:color="auto"/>
        <w:right w:val="none" w:sz="0" w:space="0" w:color="auto"/>
      </w:divBdr>
    </w:div>
    <w:div w:id="1685815095">
      <w:bodyDiv w:val="1"/>
      <w:marLeft w:val="0"/>
      <w:marRight w:val="0"/>
      <w:marTop w:val="0"/>
      <w:marBottom w:val="0"/>
      <w:divBdr>
        <w:top w:val="none" w:sz="0" w:space="0" w:color="auto"/>
        <w:left w:val="none" w:sz="0" w:space="0" w:color="auto"/>
        <w:bottom w:val="none" w:sz="0" w:space="0" w:color="auto"/>
        <w:right w:val="none" w:sz="0" w:space="0" w:color="auto"/>
      </w:divBdr>
    </w:div>
    <w:div w:id="1832064246">
      <w:bodyDiv w:val="1"/>
      <w:marLeft w:val="0"/>
      <w:marRight w:val="0"/>
      <w:marTop w:val="0"/>
      <w:marBottom w:val="0"/>
      <w:divBdr>
        <w:top w:val="none" w:sz="0" w:space="0" w:color="auto"/>
        <w:left w:val="none" w:sz="0" w:space="0" w:color="auto"/>
        <w:bottom w:val="none" w:sz="0" w:space="0" w:color="auto"/>
        <w:right w:val="none" w:sz="0" w:space="0" w:color="auto"/>
      </w:divBdr>
    </w:div>
    <w:div w:id="1843668056">
      <w:bodyDiv w:val="1"/>
      <w:marLeft w:val="0"/>
      <w:marRight w:val="0"/>
      <w:marTop w:val="0"/>
      <w:marBottom w:val="0"/>
      <w:divBdr>
        <w:top w:val="none" w:sz="0" w:space="0" w:color="auto"/>
        <w:left w:val="none" w:sz="0" w:space="0" w:color="auto"/>
        <w:bottom w:val="none" w:sz="0" w:space="0" w:color="auto"/>
        <w:right w:val="none" w:sz="0" w:space="0" w:color="auto"/>
      </w:divBdr>
    </w:div>
    <w:div w:id="1856773880">
      <w:bodyDiv w:val="1"/>
      <w:marLeft w:val="0"/>
      <w:marRight w:val="0"/>
      <w:marTop w:val="0"/>
      <w:marBottom w:val="0"/>
      <w:divBdr>
        <w:top w:val="none" w:sz="0" w:space="0" w:color="auto"/>
        <w:left w:val="none" w:sz="0" w:space="0" w:color="auto"/>
        <w:bottom w:val="none" w:sz="0" w:space="0" w:color="auto"/>
        <w:right w:val="none" w:sz="0" w:space="0" w:color="auto"/>
      </w:divBdr>
    </w:div>
    <w:div w:id="1872843452">
      <w:bodyDiv w:val="1"/>
      <w:marLeft w:val="0"/>
      <w:marRight w:val="0"/>
      <w:marTop w:val="0"/>
      <w:marBottom w:val="0"/>
      <w:divBdr>
        <w:top w:val="none" w:sz="0" w:space="0" w:color="auto"/>
        <w:left w:val="none" w:sz="0" w:space="0" w:color="auto"/>
        <w:bottom w:val="none" w:sz="0" w:space="0" w:color="auto"/>
        <w:right w:val="none" w:sz="0" w:space="0" w:color="auto"/>
      </w:divBdr>
    </w:div>
    <w:div w:id="1937401921">
      <w:bodyDiv w:val="1"/>
      <w:marLeft w:val="0"/>
      <w:marRight w:val="0"/>
      <w:marTop w:val="0"/>
      <w:marBottom w:val="0"/>
      <w:divBdr>
        <w:top w:val="none" w:sz="0" w:space="0" w:color="auto"/>
        <w:left w:val="none" w:sz="0" w:space="0" w:color="auto"/>
        <w:bottom w:val="none" w:sz="0" w:space="0" w:color="auto"/>
        <w:right w:val="none" w:sz="0" w:space="0" w:color="auto"/>
      </w:divBdr>
    </w:div>
    <w:div w:id="1975064037">
      <w:bodyDiv w:val="1"/>
      <w:marLeft w:val="0"/>
      <w:marRight w:val="0"/>
      <w:marTop w:val="0"/>
      <w:marBottom w:val="0"/>
      <w:divBdr>
        <w:top w:val="none" w:sz="0" w:space="0" w:color="auto"/>
        <w:left w:val="none" w:sz="0" w:space="0" w:color="auto"/>
        <w:bottom w:val="none" w:sz="0" w:space="0" w:color="auto"/>
        <w:right w:val="none" w:sz="0" w:space="0" w:color="auto"/>
      </w:divBdr>
    </w:div>
    <w:div w:id="205226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ta.Tetere@e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78E40-A093-49D1-AC0D-AE2B4212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8973</Words>
  <Characters>5116</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Altum</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Dita.Tetere@em.gov.lv</dc:creator>
  <dc:description>67013298
Signe.Tuklere@em.gov</dc:description>
  <cp:lastModifiedBy>Dita Tetere</cp:lastModifiedBy>
  <cp:revision>6</cp:revision>
  <cp:lastPrinted>2019-12-03T13:26:00Z</cp:lastPrinted>
  <dcterms:created xsi:type="dcterms:W3CDTF">2021-03-16T09:16:00Z</dcterms:created>
  <dcterms:modified xsi:type="dcterms:W3CDTF">2021-03-17T13:43:00Z</dcterms:modified>
</cp:coreProperties>
</file>