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682B1" w14:textId="197E35D7" w:rsidR="00E43995" w:rsidRDefault="00E43995" w:rsidP="006D398D">
      <w:pPr>
        <w:spacing w:before="120" w:after="120" w:line="240" w:lineRule="auto"/>
        <w:ind w:firstLine="301"/>
        <w:jc w:val="center"/>
        <w:rPr>
          <w:rFonts w:ascii="Times New Roman" w:eastAsia="Times New Roman" w:hAnsi="Times New Roman" w:cs="Times New Roman"/>
          <w:b/>
          <w:bCs/>
          <w:sz w:val="26"/>
          <w:szCs w:val="26"/>
          <w:lang w:eastAsia="lv-LV"/>
        </w:rPr>
      </w:pPr>
      <w:r>
        <w:rPr>
          <w:rFonts w:ascii="Times New Roman" w:eastAsia="Times New Roman" w:hAnsi="Times New Roman" w:cs="Times New Roman"/>
          <w:b/>
          <w:bCs/>
          <w:sz w:val="26"/>
          <w:szCs w:val="26"/>
          <w:lang w:eastAsia="lv-LV"/>
        </w:rPr>
        <w:t>Likumprojekta “Grozījumi likumā “Par akcīzes nodokli”</w:t>
      </w:r>
      <w:r w:rsidR="00202FFE">
        <w:rPr>
          <w:rFonts w:ascii="Times New Roman" w:eastAsia="Times New Roman" w:hAnsi="Times New Roman" w:cs="Times New Roman"/>
          <w:b/>
          <w:bCs/>
          <w:sz w:val="26"/>
          <w:szCs w:val="26"/>
          <w:lang w:eastAsia="lv-LV"/>
        </w:rPr>
        <w:t>”</w:t>
      </w:r>
      <w:r>
        <w:rPr>
          <w:rFonts w:ascii="Times New Roman" w:eastAsia="Times New Roman" w:hAnsi="Times New Roman" w:cs="Times New Roman"/>
          <w:b/>
          <w:bCs/>
          <w:sz w:val="26"/>
          <w:szCs w:val="26"/>
          <w:lang w:eastAsia="lv-LV"/>
        </w:rPr>
        <w:t xml:space="preserve"> sākotnējās ietekmes novērtējuma ziņojums</w:t>
      </w:r>
      <w:r>
        <w:rPr>
          <w:rFonts w:ascii="Times New Roman" w:eastAsia="Times New Roman" w:hAnsi="Times New Roman" w:cs="Times New Roman"/>
          <w:b/>
          <w:bCs/>
          <w:sz w:val="26"/>
          <w:szCs w:val="26"/>
          <w:lang w:eastAsia="lv-LV"/>
        </w:rPr>
        <w:br/>
        <w:t>(anotācija)</w:t>
      </w:r>
    </w:p>
    <w:p w14:paraId="1F0086A9" w14:textId="77777777" w:rsidR="00987784" w:rsidRDefault="00987784" w:rsidP="006D398D">
      <w:pPr>
        <w:spacing w:before="120" w:after="120" w:line="24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3261"/>
        <w:gridCol w:w="5800"/>
      </w:tblGrid>
      <w:tr w:rsidR="00987784" w:rsidRPr="00294E3E" w14:paraId="54729B91" w14:textId="77777777" w:rsidTr="00987784">
        <w:trPr>
          <w:cantSplit/>
        </w:trPr>
        <w:tc>
          <w:tcPr>
            <w:tcW w:w="9061" w:type="dxa"/>
            <w:gridSpan w:val="2"/>
            <w:shd w:val="clear" w:color="auto" w:fill="FFFFFF"/>
            <w:vAlign w:val="center"/>
            <w:hideMark/>
          </w:tcPr>
          <w:p w14:paraId="723ACA5F" w14:textId="77777777" w:rsidR="00987784" w:rsidRPr="00294E3E" w:rsidRDefault="00987784" w:rsidP="006D398D">
            <w:pPr>
              <w:spacing w:before="120" w:after="120" w:line="240" w:lineRule="auto"/>
              <w:jc w:val="center"/>
              <w:rPr>
                <w:rFonts w:ascii="Times New Roman" w:hAnsi="Times New Roman" w:cs="Times New Roman"/>
                <w:b/>
                <w:iCs/>
                <w:sz w:val="24"/>
                <w:szCs w:val="24"/>
              </w:rPr>
            </w:pPr>
            <w:r w:rsidRPr="00294E3E">
              <w:rPr>
                <w:rFonts w:ascii="Times New Roman" w:hAnsi="Times New Roman" w:cs="Times New Roman"/>
                <w:b/>
                <w:iCs/>
                <w:sz w:val="24"/>
                <w:szCs w:val="24"/>
              </w:rPr>
              <w:t>Tiesību akta projekta anotācijas kopsavilkums</w:t>
            </w:r>
          </w:p>
        </w:tc>
      </w:tr>
      <w:tr w:rsidR="00987784" w:rsidRPr="00294E3E" w14:paraId="770C7DCD" w14:textId="77777777" w:rsidTr="00987784">
        <w:trPr>
          <w:cantSplit/>
        </w:trPr>
        <w:tc>
          <w:tcPr>
            <w:tcW w:w="3261" w:type="dxa"/>
            <w:shd w:val="clear" w:color="auto" w:fill="FFFFFF"/>
            <w:hideMark/>
          </w:tcPr>
          <w:p w14:paraId="4BC6E9A9" w14:textId="77777777" w:rsidR="00987784" w:rsidRPr="00294E3E" w:rsidRDefault="00987784" w:rsidP="006D398D">
            <w:pPr>
              <w:spacing w:before="120" w:after="120" w:line="240" w:lineRule="auto"/>
              <w:rPr>
                <w:rFonts w:ascii="Times New Roman" w:hAnsi="Times New Roman" w:cs="Times New Roman"/>
                <w:iCs/>
                <w:sz w:val="24"/>
                <w:szCs w:val="24"/>
              </w:rPr>
            </w:pPr>
            <w:r w:rsidRPr="00294E3E">
              <w:rPr>
                <w:rFonts w:ascii="Times New Roman" w:hAnsi="Times New Roman" w:cs="Times New Roman"/>
                <w:iCs/>
                <w:sz w:val="24"/>
                <w:szCs w:val="24"/>
              </w:rPr>
              <w:t>Mērķis, risinājums un projekta spēkā stāšanās laiks (500 zīmes bez atstarpēm)</w:t>
            </w:r>
          </w:p>
        </w:tc>
        <w:tc>
          <w:tcPr>
            <w:tcW w:w="5800" w:type="dxa"/>
            <w:shd w:val="clear" w:color="auto" w:fill="FFFFFF"/>
            <w:hideMark/>
          </w:tcPr>
          <w:p w14:paraId="6DC422B0" w14:textId="6CCF51E1" w:rsidR="00F04C7F" w:rsidRDefault="00E43995" w:rsidP="00C768BD">
            <w:pPr>
              <w:spacing w:before="120" w:after="120" w:line="240" w:lineRule="auto"/>
              <w:ind w:left="109" w:right="110"/>
              <w:jc w:val="both"/>
              <w:rPr>
                <w:rFonts w:ascii="Times New Roman" w:hAnsi="Times New Roman" w:cs="Times New Roman"/>
                <w:sz w:val="24"/>
                <w:szCs w:val="24"/>
              </w:rPr>
            </w:pPr>
            <w:r>
              <w:rPr>
                <w:rFonts w:ascii="Times New Roman" w:hAnsi="Times New Roman" w:cs="Times New Roman"/>
                <w:sz w:val="24"/>
                <w:szCs w:val="24"/>
              </w:rPr>
              <w:t xml:space="preserve">Likumprojekta “Grozījumi likumā “Par akcīzes nodokli”” (turpmāk </w:t>
            </w:r>
            <w:r w:rsidRPr="00C14386">
              <w:rPr>
                <w:rFonts w:ascii="Times New Roman" w:hAnsi="Times New Roman" w:cs="Times New Roman"/>
                <w:sz w:val="24"/>
                <w:szCs w:val="24"/>
              </w:rPr>
              <w:t xml:space="preserve">– </w:t>
            </w:r>
            <w:r w:rsidR="006E5015" w:rsidRPr="00C14386">
              <w:rPr>
                <w:rFonts w:ascii="Times New Roman" w:hAnsi="Times New Roman" w:cs="Times New Roman"/>
                <w:sz w:val="24"/>
                <w:szCs w:val="24"/>
              </w:rPr>
              <w:t>l</w:t>
            </w:r>
            <w:r w:rsidRPr="00C14386">
              <w:rPr>
                <w:rFonts w:ascii="Times New Roman" w:hAnsi="Times New Roman" w:cs="Times New Roman"/>
                <w:sz w:val="24"/>
                <w:szCs w:val="24"/>
              </w:rPr>
              <w:t xml:space="preserve">ikumprojekts) mērķis ir </w:t>
            </w:r>
            <w:r w:rsidR="00C768BD">
              <w:rPr>
                <w:rFonts w:ascii="Times New Roman" w:hAnsi="Times New Roman" w:cs="Times New Roman"/>
                <w:sz w:val="24"/>
                <w:szCs w:val="24"/>
              </w:rPr>
              <w:t xml:space="preserve">aizstāt iepriekš noteikto valsts atbalsta sniegšanu saskaņā ar </w:t>
            </w:r>
            <w:r w:rsidR="00C768BD" w:rsidRPr="009E3719">
              <w:rPr>
                <w:rFonts w:ascii="Times New Roman" w:hAnsi="Times New Roman" w:cs="Times New Roman"/>
                <w:i/>
                <w:iCs/>
                <w:sz w:val="24"/>
                <w:szCs w:val="24"/>
              </w:rPr>
              <w:t>de minimis</w:t>
            </w:r>
            <w:r w:rsidR="00C768BD">
              <w:rPr>
                <w:rFonts w:ascii="Times New Roman" w:hAnsi="Times New Roman" w:cs="Times New Roman"/>
                <w:sz w:val="24"/>
                <w:szCs w:val="24"/>
              </w:rPr>
              <w:t xml:space="preserve"> regulējumu ar vispārīgo samazināto nodokļu likmi un tādējādi turpināt </w:t>
            </w:r>
            <w:r w:rsidR="00CA66CD" w:rsidRPr="00C14386">
              <w:rPr>
                <w:rFonts w:ascii="Times New Roman" w:hAnsi="Times New Roman" w:cs="Times New Roman"/>
                <w:sz w:val="24"/>
                <w:szCs w:val="24"/>
              </w:rPr>
              <w:t>sekmēt</w:t>
            </w:r>
            <w:r w:rsidRPr="00C14386">
              <w:rPr>
                <w:rFonts w:ascii="Times New Roman" w:hAnsi="Times New Roman" w:cs="Times New Roman"/>
                <w:sz w:val="24"/>
                <w:szCs w:val="24"/>
              </w:rPr>
              <w:t xml:space="preserve"> </w:t>
            </w:r>
            <w:r w:rsidR="00CA66CD">
              <w:rPr>
                <w:rFonts w:ascii="Times New Roman" w:hAnsi="Times New Roman" w:cs="Times New Roman"/>
                <w:sz w:val="24"/>
                <w:szCs w:val="24"/>
              </w:rPr>
              <w:t>siltumnīcefekta gāzu emisiju samazināšanu transportā</w:t>
            </w:r>
            <w:r w:rsidR="00CA66CD" w:rsidRPr="00C14386" w:rsidDel="00731B54">
              <w:rPr>
                <w:rFonts w:ascii="Times New Roman" w:hAnsi="Times New Roman" w:cs="Times New Roman"/>
                <w:sz w:val="24"/>
                <w:szCs w:val="24"/>
              </w:rPr>
              <w:t xml:space="preserve"> </w:t>
            </w:r>
            <w:r w:rsidR="00CA66CD">
              <w:rPr>
                <w:rFonts w:ascii="Times New Roman" w:hAnsi="Times New Roman" w:cs="Times New Roman"/>
                <w:sz w:val="24"/>
                <w:szCs w:val="24"/>
              </w:rPr>
              <w:t xml:space="preserve"> </w:t>
            </w:r>
            <w:r w:rsidR="00FE0C31">
              <w:rPr>
                <w:rFonts w:ascii="Times New Roman" w:hAnsi="Times New Roman" w:cs="Times New Roman"/>
                <w:sz w:val="24"/>
                <w:szCs w:val="24"/>
              </w:rPr>
              <w:t>un pakāpenisku pāreju uz videi draudzīgākas un gaisa kvalitāti mazāk ietekmējošas degvielas izmantošanu</w:t>
            </w:r>
            <w:r w:rsidR="00CA66CD">
              <w:rPr>
                <w:rFonts w:ascii="Times New Roman" w:hAnsi="Times New Roman" w:cs="Times New Roman"/>
                <w:sz w:val="24"/>
                <w:szCs w:val="24"/>
              </w:rPr>
              <w:t xml:space="preserve">, veicinot </w:t>
            </w:r>
            <w:r w:rsidR="00CA66CD" w:rsidRPr="00C14386">
              <w:rPr>
                <w:rFonts w:ascii="Times New Roman" w:hAnsi="Times New Roman" w:cs="Times New Roman"/>
                <w:sz w:val="24"/>
                <w:szCs w:val="24"/>
              </w:rPr>
              <w:t xml:space="preserve">dabasgāzes </w:t>
            </w:r>
            <w:r w:rsidR="00CA66CD">
              <w:rPr>
                <w:rFonts w:ascii="Times New Roman" w:hAnsi="Times New Roman" w:cs="Times New Roman"/>
                <w:sz w:val="24"/>
                <w:szCs w:val="24"/>
              </w:rPr>
              <w:t>uzpildes punktu izveidi  transportlīdzekļiem, kuros kā degvielu izmanto dabasgāzi</w:t>
            </w:r>
            <w:r w:rsidR="00BF27D6">
              <w:rPr>
                <w:rFonts w:ascii="Times New Roman" w:hAnsi="Times New Roman" w:cs="Times New Roman"/>
                <w:sz w:val="24"/>
                <w:szCs w:val="24"/>
              </w:rPr>
              <w:t>,</w:t>
            </w:r>
            <w:r w:rsidR="00CA66CD">
              <w:rPr>
                <w:rFonts w:ascii="Times New Roman" w:hAnsi="Times New Roman" w:cs="Times New Roman"/>
                <w:sz w:val="24"/>
                <w:szCs w:val="24"/>
              </w:rPr>
              <w:t xml:space="preserve"> un infrastruktūras attīstību</w:t>
            </w:r>
            <w:r w:rsidR="00F04C7F">
              <w:rPr>
                <w:rFonts w:ascii="Times New Roman" w:hAnsi="Times New Roman" w:cs="Times New Roman"/>
                <w:sz w:val="24"/>
                <w:szCs w:val="24"/>
              </w:rPr>
              <w:t>.</w:t>
            </w:r>
          </w:p>
          <w:p w14:paraId="5A226C37" w14:textId="4AA47B43" w:rsidR="00BF27D6" w:rsidRDefault="00F04C7F" w:rsidP="00E056C6">
            <w:pPr>
              <w:spacing w:before="120" w:after="120" w:line="240" w:lineRule="auto"/>
              <w:ind w:left="109" w:right="110"/>
              <w:jc w:val="both"/>
              <w:rPr>
                <w:rFonts w:ascii="Times New Roman" w:hAnsi="Times New Roman" w:cs="Times New Roman"/>
                <w:sz w:val="24"/>
                <w:szCs w:val="24"/>
              </w:rPr>
            </w:pPr>
            <w:r>
              <w:rPr>
                <w:rFonts w:ascii="Times New Roman" w:hAnsi="Times New Roman" w:cs="Times New Roman"/>
                <w:sz w:val="24"/>
                <w:szCs w:val="24"/>
              </w:rPr>
              <w:t xml:space="preserve">Likumprojekts paredz </w:t>
            </w:r>
            <w:r w:rsidR="00742AA7">
              <w:rPr>
                <w:rFonts w:ascii="Times New Roman" w:hAnsi="Times New Roman" w:cs="Times New Roman"/>
                <w:sz w:val="24"/>
                <w:szCs w:val="24"/>
              </w:rPr>
              <w:t>turpin</w:t>
            </w:r>
            <w:r>
              <w:rPr>
                <w:rFonts w:ascii="Times New Roman" w:hAnsi="Times New Roman" w:cs="Times New Roman"/>
                <w:sz w:val="24"/>
                <w:szCs w:val="24"/>
              </w:rPr>
              <w:t>ā</w:t>
            </w:r>
            <w:r w:rsidR="00742AA7">
              <w:rPr>
                <w:rFonts w:ascii="Times New Roman" w:hAnsi="Times New Roman" w:cs="Times New Roman"/>
                <w:sz w:val="24"/>
                <w:szCs w:val="24"/>
              </w:rPr>
              <w:t xml:space="preserve">t iepriekš </w:t>
            </w:r>
            <w:r w:rsidR="000D145E">
              <w:rPr>
                <w:rFonts w:ascii="Times New Roman" w:hAnsi="Times New Roman" w:cs="Times New Roman"/>
                <w:sz w:val="24"/>
                <w:szCs w:val="24"/>
              </w:rPr>
              <w:t>terminēti</w:t>
            </w:r>
            <w:r w:rsidR="00DF630A">
              <w:rPr>
                <w:rFonts w:ascii="Times New Roman" w:hAnsi="Times New Roman" w:cs="Times New Roman"/>
                <w:sz w:val="24"/>
                <w:szCs w:val="24"/>
              </w:rPr>
              <w:t xml:space="preserve"> līdz </w:t>
            </w:r>
            <w:r w:rsidR="00C768BD">
              <w:rPr>
                <w:rFonts w:ascii="Times New Roman" w:hAnsi="Times New Roman" w:cs="Times New Roman"/>
                <w:sz w:val="24"/>
                <w:szCs w:val="24"/>
              </w:rPr>
              <w:t>2025.gada 31.decembrim</w:t>
            </w:r>
            <w:r w:rsidR="00DF630A">
              <w:rPr>
                <w:rFonts w:ascii="Times New Roman" w:hAnsi="Times New Roman" w:cs="Times New Roman"/>
                <w:sz w:val="24"/>
                <w:szCs w:val="24"/>
              </w:rPr>
              <w:t xml:space="preserve"> </w:t>
            </w:r>
            <w:r w:rsidR="00742AA7">
              <w:rPr>
                <w:rFonts w:ascii="Times New Roman" w:hAnsi="Times New Roman" w:cs="Times New Roman"/>
                <w:sz w:val="24"/>
                <w:szCs w:val="24"/>
              </w:rPr>
              <w:t>noteikto</w:t>
            </w:r>
            <w:r w:rsidR="000D145E">
              <w:rPr>
                <w:rFonts w:ascii="Times New Roman" w:hAnsi="Times New Roman" w:cs="Times New Roman"/>
                <w:sz w:val="24"/>
                <w:szCs w:val="24"/>
              </w:rPr>
              <w:t xml:space="preserve"> </w:t>
            </w:r>
            <w:r w:rsidR="005E64E3">
              <w:rPr>
                <w:rFonts w:ascii="Times New Roman" w:hAnsi="Times New Roman" w:cs="Times New Roman"/>
                <w:sz w:val="24"/>
                <w:szCs w:val="24"/>
              </w:rPr>
              <w:t>akcīzes nodok</w:t>
            </w:r>
            <w:r w:rsidR="00742AA7">
              <w:rPr>
                <w:rFonts w:ascii="Times New Roman" w:hAnsi="Times New Roman" w:cs="Times New Roman"/>
                <w:sz w:val="24"/>
                <w:szCs w:val="24"/>
              </w:rPr>
              <w:t>ļa</w:t>
            </w:r>
            <w:r w:rsidR="005E64E3">
              <w:rPr>
                <w:rFonts w:ascii="Times New Roman" w:hAnsi="Times New Roman" w:cs="Times New Roman"/>
                <w:sz w:val="24"/>
                <w:szCs w:val="24"/>
              </w:rPr>
              <w:t xml:space="preserve"> dabasgāzei, kuru izmanto </w:t>
            </w:r>
            <w:r w:rsidR="000D145E">
              <w:rPr>
                <w:rFonts w:ascii="Times New Roman" w:hAnsi="Times New Roman" w:cs="Times New Roman"/>
                <w:sz w:val="24"/>
                <w:szCs w:val="24"/>
              </w:rPr>
              <w:t>transportā</w:t>
            </w:r>
            <w:r w:rsidR="009A7D5A">
              <w:rPr>
                <w:rFonts w:ascii="Times New Roman" w:hAnsi="Times New Roman" w:cs="Times New Roman"/>
                <w:sz w:val="24"/>
                <w:szCs w:val="24"/>
              </w:rPr>
              <w:t>,</w:t>
            </w:r>
            <w:r w:rsidR="00742AA7">
              <w:rPr>
                <w:rFonts w:ascii="Times New Roman" w:hAnsi="Times New Roman" w:cs="Times New Roman"/>
                <w:sz w:val="24"/>
                <w:szCs w:val="24"/>
              </w:rPr>
              <w:t xml:space="preserve"> samazināšanu</w:t>
            </w:r>
            <w:r w:rsidR="000D145E">
              <w:rPr>
                <w:rFonts w:ascii="Times New Roman" w:hAnsi="Times New Roman" w:cs="Times New Roman"/>
                <w:sz w:val="24"/>
                <w:szCs w:val="24"/>
              </w:rPr>
              <w:t xml:space="preserve">, </w:t>
            </w:r>
            <w:r w:rsidR="001C4455">
              <w:rPr>
                <w:rFonts w:ascii="Times New Roman" w:hAnsi="Times New Roman" w:cs="Times New Roman"/>
                <w:sz w:val="24"/>
                <w:szCs w:val="24"/>
              </w:rPr>
              <w:t>negrozot jau  tagad likumā noteikto</w:t>
            </w:r>
            <w:r w:rsidR="000D145E">
              <w:rPr>
                <w:rFonts w:ascii="Times New Roman" w:hAnsi="Times New Roman" w:cs="Times New Roman"/>
                <w:sz w:val="24"/>
                <w:szCs w:val="24"/>
              </w:rPr>
              <w:t xml:space="preserve">, ka no 2021.gada līdz 2025.gada </w:t>
            </w:r>
            <w:r w:rsidR="008D1BB6">
              <w:rPr>
                <w:rFonts w:ascii="Times New Roman" w:hAnsi="Times New Roman" w:cs="Times New Roman"/>
                <w:sz w:val="24"/>
                <w:szCs w:val="24"/>
              </w:rPr>
              <w:t xml:space="preserve">beigām </w:t>
            </w:r>
            <w:r w:rsidR="000D145E">
              <w:rPr>
                <w:rFonts w:ascii="Times New Roman" w:hAnsi="Times New Roman" w:cs="Times New Roman"/>
                <w:sz w:val="24"/>
                <w:szCs w:val="24"/>
              </w:rPr>
              <w:t>akcīzes nodokļa likme dabasgāzei kā transporta degvielai</w:t>
            </w:r>
            <w:r w:rsidR="005E64E3">
              <w:rPr>
                <w:rFonts w:ascii="Times New Roman" w:hAnsi="Times New Roman" w:cs="Times New Roman"/>
                <w:sz w:val="24"/>
                <w:szCs w:val="24"/>
              </w:rPr>
              <w:t xml:space="preserve"> </w:t>
            </w:r>
            <w:r w:rsidR="00F44322">
              <w:rPr>
                <w:rFonts w:ascii="Times New Roman" w:hAnsi="Times New Roman" w:cs="Times New Roman"/>
                <w:sz w:val="24"/>
                <w:szCs w:val="24"/>
              </w:rPr>
              <w:t>ir 1,91 euro par 1 MWh jeb 20 euro par 1000 m</w:t>
            </w:r>
            <w:r w:rsidR="006B2327" w:rsidRPr="00661F14">
              <w:rPr>
                <w:rFonts w:ascii="Times New Roman" w:hAnsi="Times New Roman"/>
                <w:sz w:val="28"/>
                <w:szCs w:val="28"/>
                <w:vertAlign w:val="superscript"/>
              </w:rPr>
              <w:t>3</w:t>
            </w:r>
            <w:r w:rsidR="00742AA7">
              <w:rPr>
                <w:rFonts w:ascii="Times New Roman" w:hAnsi="Times New Roman" w:cs="Times New Roman"/>
                <w:sz w:val="24"/>
                <w:szCs w:val="24"/>
              </w:rPr>
              <w:t>,</w:t>
            </w:r>
            <w:r w:rsidR="008255F8">
              <w:rPr>
                <w:rFonts w:ascii="Times New Roman" w:hAnsi="Times New Roman" w:cs="Times New Roman"/>
                <w:sz w:val="24"/>
                <w:szCs w:val="24"/>
              </w:rPr>
              <w:t xml:space="preserve"> bet </w:t>
            </w:r>
            <w:r w:rsidR="00742AA7">
              <w:rPr>
                <w:rFonts w:ascii="Times New Roman" w:hAnsi="Times New Roman" w:cs="Times New Roman"/>
                <w:sz w:val="24"/>
                <w:szCs w:val="24"/>
              </w:rPr>
              <w:t xml:space="preserve">paredzot iepriekš noteikto valsts atbalsta sniegšanu saskaņā ar </w:t>
            </w:r>
            <w:r w:rsidR="00742AA7" w:rsidRPr="009E3719">
              <w:rPr>
                <w:rFonts w:ascii="Times New Roman" w:hAnsi="Times New Roman" w:cs="Times New Roman"/>
                <w:i/>
                <w:iCs/>
                <w:sz w:val="24"/>
                <w:szCs w:val="24"/>
              </w:rPr>
              <w:t>de minimis</w:t>
            </w:r>
            <w:r w:rsidR="00742AA7">
              <w:rPr>
                <w:rFonts w:ascii="Times New Roman" w:hAnsi="Times New Roman" w:cs="Times New Roman"/>
                <w:sz w:val="24"/>
                <w:szCs w:val="24"/>
              </w:rPr>
              <w:t xml:space="preserve"> regulējumu </w:t>
            </w:r>
            <w:r w:rsidR="008255F8">
              <w:rPr>
                <w:rFonts w:ascii="Times New Roman" w:hAnsi="Times New Roman" w:cs="Times New Roman"/>
                <w:sz w:val="24"/>
                <w:szCs w:val="24"/>
              </w:rPr>
              <w:t xml:space="preserve">aizstāt </w:t>
            </w:r>
            <w:r w:rsidR="00742AA7">
              <w:rPr>
                <w:rFonts w:ascii="Times New Roman" w:hAnsi="Times New Roman" w:cs="Times New Roman"/>
                <w:sz w:val="24"/>
                <w:szCs w:val="24"/>
              </w:rPr>
              <w:t xml:space="preserve">ar </w:t>
            </w:r>
            <w:r w:rsidR="008255F8">
              <w:rPr>
                <w:rFonts w:ascii="Times New Roman" w:hAnsi="Times New Roman" w:cs="Times New Roman"/>
                <w:sz w:val="24"/>
                <w:szCs w:val="24"/>
              </w:rPr>
              <w:t>vispārīgo samazināto nodokļu likmi 1,91 euro par 1 MWh jeb 20 euro par 1000 m</w:t>
            </w:r>
            <w:r w:rsidR="008255F8" w:rsidRPr="00661F14">
              <w:rPr>
                <w:rFonts w:ascii="Times New Roman" w:hAnsi="Times New Roman"/>
                <w:sz w:val="28"/>
                <w:szCs w:val="28"/>
                <w:vertAlign w:val="superscript"/>
              </w:rPr>
              <w:t>3</w:t>
            </w:r>
            <w:r w:rsidR="00123EA5">
              <w:rPr>
                <w:rFonts w:ascii="Times New Roman" w:hAnsi="Times New Roman" w:cs="Times New Roman"/>
                <w:sz w:val="24"/>
                <w:szCs w:val="24"/>
              </w:rPr>
              <w:t>,</w:t>
            </w:r>
            <w:r w:rsidR="005E1BFF">
              <w:rPr>
                <w:rFonts w:ascii="Times New Roman" w:hAnsi="Times New Roman" w:cs="Times New Roman"/>
                <w:sz w:val="24"/>
                <w:szCs w:val="24"/>
              </w:rPr>
              <w:t xml:space="preserve"> </w:t>
            </w:r>
            <w:r w:rsidR="00123EA5">
              <w:rPr>
                <w:rFonts w:ascii="Times New Roman" w:hAnsi="Times New Roman" w:cs="Times New Roman"/>
                <w:sz w:val="24"/>
                <w:szCs w:val="24"/>
              </w:rPr>
              <w:t>ņ</w:t>
            </w:r>
            <w:r w:rsidR="008255F8">
              <w:rPr>
                <w:rFonts w:ascii="Times New Roman" w:hAnsi="Times New Roman" w:cs="Times New Roman"/>
                <w:sz w:val="24"/>
                <w:szCs w:val="24"/>
              </w:rPr>
              <w:t xml:space="preserve">emot vērā, ka šāds nodokļa samazinājums ir saskaņojams kā </w:t>
            </w:r>
            <w:r w:rsidR="009E3719">
              <w:rPr>
                <w:rFonts w:ascii="Times New Roman" w:hAnsi="Times New Roman" w:cs="Times New Roman"/>
                <w:sz w:val="24"/>
                <w:szCs w:val="24"/>
              </w:rPr>
              <w:t>v</w:t>
            </w:r>
            <w:r w:rsidR="00742AA7">
              <w:rPr>
                <w:rFonts w:ascii="Times New Roman" w:hAnsi="Times New Roman" w:cs="Times New Roman"/>
                <w:sz w:val="24"/>
                <w:szCs w:val="24"/>
              </w:rPr>
              <w:t>alsts atbalsta sniegšan</w:t>
            </w:r>
            <w:r w:rsidR="008255F8">
              <w:rPr>
                <w:rFonts w:ascii="Times New Roman" w:hAnsi="Times New Roman" w:cs="Times New Roman"/>
                <w:sz w:val="24"/>
                <w:szCs w:val="24"/>
              </w:rPr>
              <w:t>a</w:t>
            </w:r>
            <w:r w:rsidR="00742AA7">
              <w:rPr>
                <w:rFonts w:ascii="Times New Roman" w:hAnsi="Times New Roman" w:cs="Times New Roman"/>
                <w:sz w:val="24"/>
                <w:szCs w:val="24"/>
              </w:rPr>
              <w:t xml:space="preserve"> saskaņā ar </w:t>
            </w:r>
            <w:r w:rsidR="00DF630A" w:rsidRPr="00DF630A">
              <w:rPr>
                <w:rFonts w:ascii="Times New Roman" w:hAnsi="Times New Roman" w:cs="Times New Roman"/>
                <w:sz w:val="24"/>
                <w:szCs w:val="24"/>
              </w:rPr>
              <w:t>Komisijas 2014. gada 28. jūnija paziņojum</w:t>
            </w:r>
            <w:r w:rsidR="00DF630A">
              <w:rPr>
                <w:rFonts w:ascii="Times New Roman" w:hAnsi="Times New Roman" w:cs="Times New Roman"/>
                <w:sz w:val="24"/>
                <w:szCs w:val="24"/>
              </w:rPr>
              <w:t>ā</w:t>
            </w:r>
            <w:r w:rsidR="00DF630A" w:rsidRPr="00DF630A">
              <w:rPr>
                <w:rFonts w:ascii="Times New Roman" w:hAnsi="Times New Roman" w:cs="Times New Roman"/>
                <w:sz w:val="24"/>
                <w:szCs w:val="24"/>
              </w:rPr>
              <w:t xml:space="preserve"> Nr. 2014/C 200/01  “Pamatnostādnes par valsts atbalstu vides aizsardzībai un enerģētikai 2014.–2020. gadam” </w:t>
            </w:r>
            <w:r w:rsidR="00DF630A">
              <w:rPr>
                <w:rFonts w:ascii="Times New Roman" w:hAnsi="Times New Roman" w:cs="Times New Roman"/>
                <w:sz w:val="24"/>
                <w:szCs w:val="24"/>
              </w:rPr>
              <w:t xml:space="preserve">norādītiem </w:t>
            </w:r>
            <w:r w:rsidR="00DF630A" w:rsidRPr="00DF630A">
              <w:rPr>
                <w:rFonts w:ascii="Times New Roman" w:hAnsi="Times New Roman" w:cs="Times New Roman"/>
                <w:sz w:val="24"/>
                <w:szCs w:val="24"/>
              </w:rPr>
              <w:t>nosacījum</w:t>
            </w:r>
            <w:r w:rsidR="00DF630A">
              <w:rPr>
                <w:rFonts w:ascii="Times New Roman" w:hAnsi="Times New Roman" w:cs="Times New Roman"/>
                <w:sz w:val="24"/>
                <w:szCs w:val="24"/>
              </w:rPr>
              <w:t>iem.</w:t>
            </w:r>
            <w:r w:rsidR="008255F8">
              <w:rPr>
                <w:rFonts w:ascii="Times New Roman" w:hAnsi="Times New Roman" w:cs="Times New Roman"/>
                <w:sz w:val="24"/>
                <w:szCs w:val="24"/>
              </w:rPr>
              <w:t xml:space="preserve"> </w:t>
            </w:r>
          </w:p>
          <w:p w14:paraId="50FF8E8C" w14:textId="0447B934" w:rsidR="00987784" w:rsidRPr="00294E3E" w:rsidRDefault="00C14386" w:rsidP="00EA776E">
            <w:pPr>
              <w:spacing w:before="120" w:after="120" w:line="240" w:lineRule="auto"/>
              <w:ind w:left="109" w:right="110"/>
              <w:jc w:val="both"/>
              <w:rPr>
                <w:rFonts w:ascii="Times New Roman" w:hAnsi="Times New Roman" w:cs="Times New Roman"/>
                <w:i/>
                <w:iCs/>
                <w:sz w:val="24"/>
                <w:szCs w:val="24"/>
              </w:rPr>
            </w:pPr>
            <w:r>
              <w:rPr>
                <w:rFonts w:ascii="Times New Roman" w:hAnsi="Times New Roman" w:cs="Times New Roman"/>
                <w:sz w:val="24"/>
                <w:szCs w:val="24"/>
              </w:rPr>
              <w:t>Likumprojekts</w:t>
            </w:r>
            <w:r w:rsidR="000D17E1" w:rsidRPr="000D17E1">
              <w:rPr>
                <w:rFonts w:ascii="Times New Roman" w:hAnsi="Times New Roman" w:cs="Times New Roman"/>
                <w:sz w:val="24"/>
                <w:szCs w:val="24"/>
              </w:rPr>
              <w:t xml:space="preserve"> stāsies spēkā</w:t>
            </w:r>
            <w:r w:rsidR="009E3719">
              <w:rPr>
                <w:rFonts w:ascii="Times New Roman" w:hAnsi="Times New Roman" w:cs="Times New Roman"/>
                <w:sz w:val="24"/>
                <w:szCs w:val="24"/>
              </w:rPr>
              <w:t xml:space="preserve"> </w:t>
            </w:r>
            <w:r w:rsidR="008255F8">
              <w:rPr>
                <w:rFonts w:ascii="Times New Roman" w:hAnsi="Times New Roman" w:cs="Times New Roman"/>
                <w:sz w:val="24"/>
                <w:szCs w:val="24"/>
              </w:rPr>
              <w:t>pēc Eiropas Kom</w:t>
            </w:r>
            <w:r w:rsidR="00BC5734">
              <w:rPr>
                <w:rFonts w:ascii="Times New Roman" w:hAnsi="Times New Roman" w:cs="Times New Roman"/>
                <w:sz w:val="24"/>
                <w:szCs w:val="24"/>
              </w:rPr>
              <w:t>i</w:t>
            </w:r>
            <w:r w:rsidR="008255F8">
              <w:rPr>
                <w:rFonts w:ascii="Times New Roman" w:hAnsi="Times New Roman" w:cs="Times New Roman"/>
                <w:sz w:val="24"/>
                <w:szCs w:val="24"/>
              </w:rPr>
              <w:t xml:space="preserve">sijas </w:t>
            </w:r>
            <w:r w:rsidR="0055528B">
              <w:rPr>
                <w:rFonts w:ascii="Times New Roman" w:hAnsi="Times New Roman" w:cs="Times New Roman"/>
                <w:sz w:val="24"/>
                <w:szCs w:val="24"/>
              </w:rPr>
              <w:t xml:space="preserve">(turpmāk – Komisija) </w:t>
            </w:r>
            <w:r w:rsidR="008255F8">
              <w:rPr>
                <w:rFonts w:ascii="Times New Roman" w:hAnsi="Times New Roman" w:cs="Times New Roman"/>
                <w:sz w:val="24"/>
                <w:szCs w:val="24"/>
              </w:rPr>
              <w:t>saskaņošanas lēmuma</w:t>
            </w:r>
            <w:r w:rsidR="00126A64">
              <w:rPr>
                <w:rFonts w:ascii="Times New Roman" w:hAnsi="Times New Roman" w:cs="Times New Roman"/>
                <w:sz w:val="24"/>
                <w:szCs w:val="24"/>
              </w:rPr>
              <w:t xml:space="preserve"> paziņo</w:t>
            </w:r>
            <w:r w:rsidR="00271A4F">
              <w:rPr>
                <w:rFonts w:ascii="Times New Roman" w:hAnsi="Times New Roman" w:cs="Times New Roman"/>
                <w:sz w:val="24"/>
                <w:szCs w:val="24"/>
              </w:rPr>
              <w:t>šanas</w:t>
            </w:r>
            <w:r w:rsidR="008255F8">
              <w:rPr>
                <w:rFonts w:ascii="Times New Roman" w:hAnsi="Times New Roman" w:cs="Times New Roman"/>
                <w:sz w:val="24"/>
                <w:szCs w:val="24"/>
              </w:rPr>
              <w:t>.</w:t>
            </w:r>
          </w:p>
        </w:tc>
      </w:tr>
    </w:tbl>
    <w:p w14:paraId="354325B9" w14:textId="750799E3" w:rsidR="00071810" w:rsidRPr="00A71A5A" w:rsidRDefault="00071810" w:rsidP="006D398D">
      <w:pPr>
        <w:pStyle w:val="Title"/>
        <w:spacing w:before="120" w:after="120"/>
        <w:ind w:firstLine="539"/>
        <w:jc w:val="both"/>
        <w:rPr>
          <w:i/>
          <w:i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4"/>
        <w:gridCol w:w="2680"/>
        <w:gridCol w:w="5817"/>
      </w:tblGrid>
      <w:tr w:rsidR="00987784" w:rsidRPr="00294E3E" w14:paraId="7B56ECAB" w14:textId="77777777" w:rsidTr="00071810">
        <w:tc>
          <w:tcPr>
            <w:tcW w:w="5000" w:type="pct"/>
            <w:gridSpan w:val="3"/>
            <w:vAlign w:val="center"/>
            <w:hideMark/>
          </w:tcPr>
          <w:p w14:paraId="6C0AF49C" w14:textId="77777777" w:rsidR="00987784" w:rsidRPr="00294E3E" w:rsidRDefault="00987784" w:rsidP="00071810">
            <w:pPr>
              <w:spacing w:before="120" w:after="120" w:line="240" w:lineRule="auto"/>
              <w:jc w:val="center"/>
              <w:rPr>
                <w:rFonts w:ascii="Times New Roman" w:hAnsi="Times New Roman" w:cs="Times New Roman"/>
                <w:b/>
                <w:bCs/>
                <w:sz w:val="24"/>
                <w:szCs w:val="24"/>
              </w:rPr>
            </w:pPr>
            <w:r w:rsidRPr="00294E3E">
              <w:rPr>
                <w:rFonts w:ascii="Times New Roman" w:hAnsi="Times New Roman" w:cs="Times New Roman"/>
                <w:b/>
                <w:bCs/>
                <w:sz w:val="24"/>
                <w:szCs w:val="24"/>
              </w:rPr>
              <w:t>I. Tiesību akta projekta izstrādes nepieciešamība</w:t>
            </w:r>
          </w:p>
        </w:tc>
      </w:tr>
      <w:tr w:rsidR="00987784" w:rsidRPr="00294E3E" w14:paraId="5CDD656A" w14:textId="77777777" w:rsidTr="00071810">
        <w:tc>
          <w:tcPr>
            <w:tcW w:w="311" w:type="pct"/>
            <w:hideMark/>
          </w:tcPr>
          <w:p w14:paraId="50C260D2" w14:textId="77777777" w:rsidR="00987784" w:rsidRPr="00294E3E" w:rsidRDefault="00987784" w:rsidP="00071810">
            <w:pPr>
              <w:spacing w:before="120" w:after="120" w:line="240" w:lineRule="auto"/>
              <w:jc w:val="center"/>
              <w:rPr>
                <w:rFonts w:ascii="Times New Roman" w:hAnsi="Times New Roman" w:cs="Times New Roman"/>
                <w:sz w:val="24"/>
                <w:szCs w:val="24"/>
              </w:rPr>
            </w:pPr>
            <w:r w:rsidRPr="00294E3E">
              <w:rPr>
                <w:rFonts w:ascii="Times New Roman" w:hAnsi="Times New Roman" w:cs="Times New Roman"/>
                <w:sz w:val="24"/>
                <w:szCs w:val="24"/>
              </w:rPr>
              <w:t>1.</w:t>
            </w:r>
          </w:p>
        </w:tc>
        <w:tc>
          <w:tcPr>
            <w:tcW w:w="1479" w:type="pct"/>
            <w:hideMark/>
          </w:tcPr>
          <w:p w14:paraId="4C092624" w14:textId="77777777" w:rsidR="00987784" w:rsidRPr="00294E3E" w:rsidRDefault="00987784" w:rsidP="00071810">
            <w:pPr>
              <w:spacing w:before="120" w:after="120" w:line="240" w:lineRule="auto"/>
              <w:rPr>
                <w:rFonts w:ascii="Times New Roman" w:hAnsi="Times New Roman" w:cs="Times New Roman"/>
                <w:sz w:val="24"/>
                <w:szCs w:val="24"/>
              </w:rPr>
            </w:pPr>
            <w:r w:rsidRPr="00294E3E">
              <w:rPr>
                <w:rFonts w:ascii="Times New Roman" w:hAnsi="Times New Roman" w:cs="Times New Roman"/>
                <w:sz w:val="24"/>
                <w:szCs w:val="24"/>
              </w:rPr>
              <w:t>Pamatojums</w:t>
            </w:r>
          </w:p>
        </w:tc>
        <w:tc>
          <w:tcPr>
            <w:tcW w:w="3210" w:type="pct"/>
            <w:hideMark/>
          </w:tcPr>
          <w:p w14:paraId="7BA0A4C0" w14:textId="532733D1" w:rsidR="00C51CC4" w:rsidRPr="00CA152D" w:rsidRDefault="003353B7" w:rsidP="00A71A5A">
            <w:pPr>
              <w:spacing w:before="120" w:after="120" w:line="240" w:lineRule="auto"/>
              <w:ind w:right="252"/>
              <w:jc w:val="both"/>
              <w:rPr>
                <w:rFonts w:ascii="Times New Roman" w:hAnsi="Times New Roman" w:cs="Times New Roman"/>
                <w:sz w:val="24"/>
                <w:szCs w:val="24"/>
              </w:rPr>
            </w:pPr>
            <w:r>
              <w:rPr>
                <w:rFonts w:ascii="Times New Roman" w:hAnsi="Times New Roman" w:cs="Times New Roman"/>
                <w:sz w:val="24"/>
                <w:szCs w:val="24"/>
              </w:rPr>
              <w:t>Ekonomikas ministrijas iniciatīva.</w:t>
            </w:r>
            <w:r w:rsidDel="003353B7">
              <w:rPr>
                <w:rFonts w:ascii="Times New Roman" w:hAnsi="Times New Roman" w:cs="Times New Roman"/>
                <w:sz w:val="24"/>
                <w:szCs w:val="24"/>
              </w:rPr>
              <w:t xml:space="preserve"> </w:t>
            </w:r>
          </w:p>
        </w:tc>
      </w:tr>
      <w:tr w:rsidR="00987784" w:rsidRPr="00294E3E" w14:paraId="52DB9876" w14:textId="77777777" w:rsidTr="00071810">
        <w:tc>
          <w:tcPr>
            <w:tcW w:w="311" w:type="pct"/>
            <w:hideMark/>
          </w:tcPr>
          <w:p w14:paraId="34888387" w14:textId="77777777" w:rsidR="00987784" w:rsidRPr="00294E3E" w:rsidRDefault="00987784" w:rsidP="00071810">
            <w:pPr>
              <w:spacing w:before="120" w:after="120" w:line="240" w:lineRule="auto"/>
              <w:jc w:val="center"/>
              <w:rPr>
                <w:rFonts w:ascii="Times New Roman" w:hAnsi="Times New Roman" w:cs="Times New Roman"/>
                <w:sz w:val="24"/>
                <w:szCs w:val="24"/>
              </w:rPr>
            </w:pPr>
            <w:r w:rsidRPr="00294E3E">
              <w:rPr>
                <w:rFonts w:ascii="Times New Roman" w:hAnsi="Times New Roman" w:cs="Times New Roman"/>
                <w:sz w:val="24"/>
                <w:szCs w:val="24"/>
              </w:rPr>
              <w:t>2.</w:t>
            </w:r>
          </w:p>
        </w:tc>
        <w:tc>
          <w:tcPr>
            <w:tcW w:w="1479" w:type="pct"/>
            <w:hideMark/>
          </w:tcPr>
          <w:p w14:paraId="742A9AB8" w14:textId="77777777" w:rsidR="00987784" w:rsidRPr="00294E3E" w:rsidRDefault="00987784" w:rsidP="00071810">
            <w:pPr>
              <w:spacing w:before="120" w:after="120" w:line="240" w:lineRule="auto"/>
              <w:rPr>
                <w:rFonts w:ascii="Times New Roman" w:hAnsi="Times New Roman" w:cs="Times New Roman"/>
                <w:sz w:val="24"/>
                <w:szCs w:val="24"/>
              </w:rPr>
            </w:pPr>
            <w:r w:rsidRPr="00294E3E">
              <w:rPr>
                <w:rFonts w:ascii="Times New Roman" w:hAnsi="Times New Roman" w:cs="Times New Roman"/>
                <w:sz w:val="24"/>
                <w:szCs w:val="24"/>
              </w:rPr>
              <w:t>Pašreizējā situācija un problēmas, kuru risināšanai tiesību akta projekts izstrādāts, tiesiskā regulējuma mērķis un būtība</w:t>
            </w:r>
          </w:p>
        </w:tc>
        <w:tc>
          <w:tcPr>
            <w:tcW w:w="3210" w:type="pct"/>
          </w:tcPr>
          <w:p w14:paraId="0953BEA9" w14:textId="2CC47330" w:rsidR="00F04C7F" w:rsidRPr="00C768BD" w:rsidRDefault="00F04C7F" w:rsidP="00A71A5A">
            <w:pPr>
              <w:spacing w:before="120" w:after="120" w:line="240" w:lineRule="auto"/>
              <w:ind w:right="110"/>
              <w:jc w:val="both"/>
              <w:rPr>
                <w:rFonts w:ascii="Times New Roman" w:hAnsi="Times New Roman" w:cs="Times New Roman"/>
                <w:color w:val="000000" w:themeColor="text1"/>
                <w:sz w:val="24"/>
                <w:szCs w:val="24"/>
              </w:rPr>
            </w:pPr>
            <w:r w:rsidRPr="001924CB">
              <w:rPr>
                <w:rFonts w:ascii="Times New Roman" w:hAnsi="Times New Roman" w:cs="Times New Roman"/>
                <w:color w:val="000000" w:themeColor="text1"/>
                <w:sz w:val="24"/>
                <w:szCs w:val="24"/>
              </w:rPr>
              <w:t xml:space="preserve">Lai nodrošinātu </w:t>
            </w:r>
            <w:r w:rsidR="003353B7" w:rsidRPr="00C768BD">
              <w:rPr>
                <w:rFonts w:ascii="Times New Roman" w:hAnsi="Times New Roman" w:cs="Times New Roman"/>
                <w:color w:val="000000" w:themeColor="text1"/>
                <w:sz w:val="24"/>
                <w:szCs w:val="24"/>
              </w:rPr>
              <w:t>Ministru kabineta 2020. gada 2. septembra sēdes protokola Nr. 51</w:t>
            </w:r>
            <w:r w:rsidRPr="00C768BD">
              <w:rPr>
                <w:rFonts w:ascii="Times New Roman" w:hAnsi="Times New Roman" w:cs="Times New Roman"/>
                <w:color w:val="000000" w:themeColor="text1"/>
                <w:sz w:val="24"/>
                <w:szCs w:val="24"/>
              </w:rPr>
              <w:t xml:space="preserve"> </w:t>
            </w:r>
            <w:r w:rsidR="003353B7" w:rsidRPr="001924CB">
              <w:rPr>
                <w:rFonts w:ascii="Times New Roman" w:hAnsi="Times New Roman" w:cs="Times New Roman"/>
                <w:color w:val="000000" w:themeColor="text1"/>
                <w:sz w:val="24"/>
                <w:szCs w:val="24"/>
              </w:rPr>
              <w:t xml:space="preserve">45.§ 3. punktā doto uzdevumu likumā “Par akcīzes nodokli” tika izstrādāti un 2021. gada 1. janvārī </w:t>
            </w:r>
            <w:r w:rsidRPr="00C768BD">
              <w:rPr>
                <w:rFonts w:ascii="Times New Roman" w:hAnsi="Times New Roman" w:cs="Times New Roman"/>
                <w:color w:val="000000" w:themeColor="text1"/>
                <w:sz w:val="24"/>
                <w:szCs w:val="24"/>
              </w:rPr>
              <w:t xml:space="preserve">stājās spēkā, tostarp, </w:t>
            </w:r>
            <w:r w:rsidR="003353B7" w:rsidRPr="00C768BD">
              <w:rPr>
                <w:rFonts w:ascii="Times New Roman" w:hAnsi="Times New Roman" w:cs="Times New Roman"/>
                <w:color w:val="000000" w:themeColor="text1"/>
                <w:sz w:val="24"/>
                <w:szCs w:val="24"/>
              </w:rPr>
              <w:t xml:space="preserve">šādi </w:t>
            </w:r>
            <w:r w:rsidRPr="007B7070">
              <w:rPr>
                <w:rFonts w:ascii="Times New Roman" w:hAnsi="Times New Roman" w:cs="Times New Roman"/>
                <w:color w:val="000000" w:themeColor="text1"/>
                <w:sz w:val="24"/>
                <w:szCs w:val="24"/>
              </w:rPr>
              <w:t>grozījumi:</w:t>
            </w:r>
          </w:p>
          <w:p w14:paraId="35333486" w14:textId="77777777" w:rsidR="00E868BB" w:rsidRPr="001924CB" w:rsidRDefault="00F04C7F" w:rsidP="00E868BB">
            <w:pPr>
              <w:pStyle w:val="ListParagraph"/>
              <w:numPr>
                <w:ilvl w:val="0"/>
                <w:numId w:val="4"/>
              </w:numPr>
              <w:spacing w:before="120" w:after="120" w:line="240" w:lineRule="auto"/>
              <w:ind w:right="110"/>
              <w:jc w:val="both"/>
              <w:rPr>
                <w:rFonts w:ascii="Times New Roman" w:hAnsi="Times New Roman" w:cs="Times New Roman"/>
                <w:color w:val="000000" w:themeColor="text1"/>
                <w:sz w:val="24"/>
                <w:szCs w:val="24"/>
              </w:rPr>
            </w:pPr>
            <w:r w:rsidRPr="00C768BD">
              <w:rPr>
                <w:rFonts w:ascii="Times New Roman" w:hAnsi="Times New Roman" w:cs="Times New Roman"/>
                <w:color w:val="000000" w:themeColor="text1"/>
                <w:sz w:val="24"/>
                <w:szCs w:val="24"/>
              </w:rPr>
              <w:t>15.</w:t>
            </w:r>
            <w:r w:rsidRPr="00C768BD">
              <w:rPr>
                <w:rFonts w:ascii="Times New Roman" w:hAnsi="Times New Roman" w:cs="Times New Roman"/>
                <w:color w:val="000000" w:themeColor="text1"/>
                <w:sz w:val="24"/>
                <w:szCs w:val="24"/>
                <w:vertAlign w:val="superscript"/>
              </w:rPr>
              <w:t>1</w:t>
            </w:r>
            <w:r w:rsidRPr="00C768BD">
              <w:rPr>
                <w:rFonts w:ascii="Times New Roman" w:hAnsi="Times New Roman" w:cs="Times New Roman"/>
                <w:color w:val="000000" w:themeColor="text1"/>
                <w:sz w:val="24"/>
                <w:szCs w:val="24"/>
              </w:rPr>
              <w:t>panta pirmās daļas 2.punktā, kur noteikts</w:t>
            </w:r>
            <w:r w:rsidR="00E868BB" w:rsidRPr="00C768BD">
              <w:rPr>
                <w:rFonts w:ascii="Times New Roman" w:hAnsi="Times New Roman" w:cs="Times New Roman"/>
                <w:color w:val="000000" w:themeColor="text1"/>
                <w:sz w:val="24"/>
                <w:szCs w:val="24"/>
              </w:rPr>
              <w:t xml:space="preserve">, ka dabasgāzes nodokļa izmantošanai par degvielu </w:t>
            </w:r>
            <w:r w:rsidR="00E868BB" w:rsidRPr="00C768BD">
              <w:rPr>
                <w:rFonts w:ascii="Times New Roman" w:hAnsi="Times New Roman" w:cs="Times New Roman"/>
                <w:color w:val="000000" w:themeColor="text1"/>
                <w:sz w:val="24"/>
                <w:szCs w:val="24"/>
              </w:rPr>
              <w:lastRenderedPageBreak/>
              <w:t xml:space="preserve">aprēķina pēc šādas likmes – 10 </w:t>
            </w:r>
            <w:r w:rsidR="00E868BB" w:rsidRPr="00C768BD">
              <w:rPr>
                <w:rFonts w:ascii="Times New Roman" w:hAnsi="Times New Roman" w:cs="Times New Roman"/>
                <w:i/>
                <w:iCs/>
                <w:color w:val="000000" w:themeColor="text1"/>
                <w:sz w:val="24"/>
                <w:szCs w:val="24"/>
              </w:rPr>
              <w:t>euro</w:t>
            </w:r>
            <w:r w:rsidR="00E868BB" w:rsidRPr="00C768BD">
              <w:rPr>
                <w:rFonts w:ascii="Times New Roman" w:hAnsi="Times New Roman" w:cs="Times New Roman"/>
                <w:color w:val="000000" w:themeColor="text1"/>
                <w:sz w:val="24"/>
                <w:szCs w:val="24"/>
              </w:rPr>
              <w:t xml:space="preserve"> par vienu megavatstundu (MWh), ņemot vērā dabasgāzes augstāko siltumspēju, iepriekš 9,64 </w:t>
            </w:r>
            <w:r w:rsidR="00E868BB" w:rsidRPr="00C768BD">
              <w:rPr>
                <w:rFonts w:ascii="Times New Roman" w:hAnsi="Times New Roman" w:cs="Times New Roman"/>
                <w:i/>
                <w:iCs/>
                <w:color w:val="000000" w:themeColor="text1"/>
                <w:sz w:val="24"/>
                <w:szCs w:val="24"/>
              </w:rPr>
              <w:t>euro</w:t>
            </w:r>
            <w:r w:rsidR="00E868BB" w:rsidRPr="00C768BD">
              <w:rPr>
                <w:rFonts w:ascii="Times New Roman" w:hAnsi="Times New Roman" w:cs="Times New Roman"/>
                <w:color w:val="000000" w:themeColor="text1"/>
                <w:sz w:val="24"/>
                <w:szCs w:val="24"/>
              </w:rPr>
              <w:t xml:space="preserve"> likmes vietā;</w:t>
            </w:r>
          </w:p>
          <w:p w14:paraId="16BC09B4" w14:textId="41292CF0" w:rsidR="00E868BB" w:rsidRPr="001924CB" w:rsidRDefault="008D7A7A" w:rsidP="00EA776E">
            <w:pPr>
              <w:pStyle w:val="ListParagraph"/>
              <w:numPr>
                <w:ilvl w:val="0"/>
                <w:numId w:val="4"/>
              </w:numPr>
              <w:spacing w:before="120" w:after="120" w:line="240" w:lineRule="auto"/>
              <w:ind w:right="110"/>
              <w:jc w:val="both"/>
              <w:rPr>
                <w:rFonts w:ascii="Times New Roman" w:hAnsi="Times New Roman" w:cs="Times New Roman"/>
                <w:color w:val="000000" w:themeColor="text1"/>
                <w:sz w:val="24"/>
                <w:szCs w:val="24"/>
              </w:rPr>
            </w:pPr>
            <w:r w:rsidRPr="001924CB">
              <w:rPr>
                <w:rFonts w:ascii="Times New Roman" w:hAnsi="Times New Roman" w:cs="Times New Roman"/>
                <w:color w:val="000000" w:themeColor="text1"/>
                <w:sz w:val="24"/>
                <w:szCs w:val="24"/>
              </w:rPr>
              <w:t>t</w:t>
            </w:r>
            <w:r w:rsidR="00E868BB" w:rsidRPr="001924CB">
              <w:rPr>
                <w:rFonts w:ascii="Times New Roman" w:hAnsi="Times New Roman" w:cs="Times New Roman"/>
                <w:color w:val="000000" w:themeColor="text1"/>
                <w:sz w:val="24"/>
                <w:szCs w:val="24"/>
              </w:rPr>
              <w:t>āpat papildināti pārejas noteikumi ar 124., 125. un 126. punktu, kur paredzēts, ka  šā likuma 15.</w:t>
            </w:r>
            <w:r w:rsidR="00E868BB" w:rsidRPr="001924CB">
              <w:rPr>
                <w:rFonts w:ascii="Times New Roman" w:hAnsi="Times New Roman" w:cs="Times New Roman"/>
                <w:color w:val="000000" w:themeColor="text1"/>
                <w:sz w:val="24"/>
                <w:szCs w:val="24"/>
                <w:vertAlign w:val="superscript"/>
              </w:rPr>
              <w:t>1</w:t>
            </w:r>
            <w:r w:rsidR="00E868BB" w:rsidRPr="001924CB">
              <w:rPr>
                <w:rFonts w:ascii="Times New Roman" w:hAnsi="Times New Roman" w:cs="Times New Roman"/>
                <w:color w:val="000000" w:themeColor="text1"/>
                <w:sz w:val="24"/>
                <w:szCs w:val="24"/>
              </w:rPr>
              <w:t> panta pirmās daļas 2. punktā noteikto nodokļa likmi dabasgāzei izmantošanai par degvielu (10 </w:t>
            </w:r>
            <w:r w:rsidR="00E868BB" w:rsidRPr="001924CB">
              <w:rPr>
                <w:rFonts w:ascii="Times New Roman" w:hAnsi="Times New Roman" w:cs="Times New Roman"/>
                <w:i/>
                <w:iCs/>
                <w:color w:val="000000" w:themeColor="text1"/>
                <w:sz w:val="24"/>
                <w:szCs w:val="24"/>
              </w:rPr>
              <w:t>euro</w:t>
            </w:r>
            <w:r w:rsidR="00E868BB" w:rsidRPr="001924CB">
              <w:rPr>
                <w:rFonts w:ascii="Times New Roman" w:hAnsi="Times New Roman" w:cs="Times New Roman"/>
                <w:color w:val="000000" w:themeColor="text1"/>
                <w:sz w:val="24"/>
                <w:szCs w:val="24"/>
              </w:rPr>
              <w:t> par vienu megavatstundu (MWh), ņemot vērā dabasgāzes augstāko siltumspēju) piemēro ar 2026. gada 1. janvāri. Līdz dienai, kad atbilstoši šo pārejas noteikumu 124. punktam sāk piemērot šā likuma 15.</w:t>
            </w:r>
            <w:r w:rsidR="00E868BB" w:rsidRPr="001924CB">
              <w:rPr>
                <w:rFonts w:ascii="Times New Roman" w:hAnsi="Times New Roman" w:cs="Times New Roman"/>
                <w:color w:val="000000" w:themeColor="text1"/>
                <w:sz w:val="24"/>
                <w:szCs w:val="24"/>
                <w:vertAlign w:val="superscript"/>
              </w:rPr>
              <w:t>1</w:t>
            </w:r>
            <w:r w:rsidR="00E868BB" w:rsidRPr="001924CB">
              <w:rPr>
                <w:rFonts w:ascii="Times New Roman" w:hAnsi="Times New Roman" w:cs="Times New Roman"/>
                <w:color w:val="000000" w:themeColor="text1"/>
                <w:sz w:val="24"/>
                <w:szCs w:val="24"/>
              </w:rPr>
              <w:t> panta pirmās daļas 2. punktā noteikto nodokļa likmi dabasgāzei izmantošanai par degvielu (līdz 2025. gada 31. decembrim), dabasgāzi izmantošanai par degvielu apliek ar nodokli - 1,91 </w:t>
            </w:r>
            <w:r w:rsidR="00E868BB" w:rsidRPr="001924CB">
              <w:rPr>
                <w:rFonts w:ascii="Times New Roman" w:hAnsi="Times New Roman" w:cs="Times New Roman"/>
                <w:i/>
                <w:iCs/>
                <w:color w:val="000000" w:themeColor="text1"/>
                <w:sz w:val="24"/>
                <w:szCs w:val="24"/>
              </w:rPr>
              <w:t>euro</w:t>
            </w:r>
            <w:r w:rsidR="00E868BB" w:rsidRPr="001924CB">
              <w:rPr>
                <w:rFonts w:ascii="Times New Roman" w:hAnsi="Times New Roman" w:cs="Times New Roman"/>
                <w:color w:val="000000" w:themeColor="text1"/>
                <w:sz w:val="24"/>
                <w:szCs w:val="24"/>
              </w:rPr>
              <w:t> par vienu megavatstundu (MWh), ņemot vērā dabasgāzes augstāko siltumspēju. Šo pārejas noteikumu 125. punktā minēto atbalstu nodokļa maksātājam piešķir Būvniecības valsts kontroles birojs kā </w:t>
            </w:r>
            <w:r w:rsidR="00E868BB" w:rsidRPr="001924CB">
              <w:rPr>
                <w:rFonts w:ascii="Times New Roman" w:hAnsi="Times New Roman" w:cs="Times New Roman"/>
                <w:i/>
                <w:iCs/>
                <w:color w:val="000000" w:themeColor="text1"/>
                <w:sz w:val="24"/>
                <w:szCs w:val="24"/>
              </w:rPr>
              <w:t>de minimis</w:t>
            </w:r>
            <w:r w:rsidR="00E868BB" w:rsidRPr="001924CB">
              <w:rPr>
                <w:rFonts w:ascii="Times New Roman" w:hAnsi="Times New Roman" w:cs="Times New Roman"/>
                <w:color w:val="000000" w:themeColor="text1"/>
                <w:sz w:val="24"/>
                <w:szCs w:val="24"/>
              </w:rPr>
              <w:t> atbalstu, ievērojot Komisijas 2013. gada 18. decembra regulu (ES) Nr. </w:t>
            </w:r>
            <w:hyperlink r:id="rId8" w:tgtFrame="_blank" w:history="1">
              <w:r w:rsidR="00E868BB" w:rsidRPr="001924CB">
                <w:rPr>
                  <w:rStyle w:val="Hyperlink"/>
                  <w:rFonts w:ascii="Times New Roman" w:hAnsi="Times New Roman" w:cs="Times New Roman"/>
                  <w:color w:val="000000" w:themeColor="text1"/>
                  <w:sz w:val="24"/>
                  <w:szCs w:val="24"/>
                  <w:u w:val="none"/>
                </w:rPr>
                <w:t>1407/2013</w:t>
              </w:r>
            </w:hyperlink>
            <w:r w:rsidR="00E868BB" w:rsidRPr="001924CB">
              <w:rPr>
                <w:rFonts w:ascii="Times New Roman" w:hAnsi="Times New Roman" w:cs="Times New Roman"/>
                <w:color w:val="000000" w:themeColor="text1"/>
                <w:sz w:val="24"/>
                <w:szCs w:val="24"/>
              </w:rPr>
              <w:t> par Līguma par Eiropas Savienības darbību 107. un 108. panta piemērošanu </w:t>
            </w:r>
            <w:r w:rsidR="00E868BB" w:rsidRPr="001924CB">
              <w:rPr>
                <w:rFonts w:ascii="Times New Roman" w:hAnsi="Times New Roman" w:cs="Times New Roman"/>
                <w:i/>
                <w:iCs/>
                <w:color w:val="000000" w:themeColor="text1"/>
                <w:sz w:val="24"/>
                <w:szCs w:val="24"/>
              </w:rPr>
              <w:t>de minimis</w:t>
            </w:r>
            <w:r w:rsidR="00E868BB" w:rsidRPr="001924CB">
              <w:rPr>
                <w:rFonts w:ascii="Times New Roman" w:hAnsi="Times New Roman" w:cs="Times New Roman"/>
                <w:color w:val="000000" w:themeColor="text1"/>
                <w:sz w:val="24"/>
                <w:szCs w:val="24"/>
              </w:rPr>
              <w:t> atbalstam vai regulu, kas to aizstāj.</w:t>
            </w:r>
          </w:p>
          <w:p w14:paraId="7344FD00" w14:textId="28483AA9" w:rsidR="00C51CC4" w:rsidRPr="001924CB" w:rsidRDefault="00E868BB" w:rsidP="00A71A5A">
            <w:pPr>
              <w:spacing w:before="120" w:after="120" w:line="240" w:lineRule="auto"/>
              <w:ind w:right="110"/>
              <w:jc w:val="both"/>
              <w:rPr>
                <w:rFonts w:ascii="Times New Roman" w:hAnsi="Times New Roman" w:cs="Times New Roman"/>
                <w:color w:val="000000" w:themeColor="text1"/>
                <w:sz w:val="24"/>
                <w:szCs w:val="24"/>
              </w:rPr>
            </w:pPr>
            <w:r w:rsidRPr="001924CB">
              <w:rPr>
                <w:rFonts w:ascii="Times New Roman" w:hAnsi="Times New Roman" w:cs="Times New Roman"/>
                <w:color w:val="000000" w:themeColor="text1"/>
                <w:sz w:val="24"/>
                <w:szCs w:val="24"/>
              </w:rPr>
              <w:t>Attiecīgi l</w:t>
            </w:r>
            <w:r w:rsidR="00A1091C" w:rsidRPr="001924CB">
              <w:rPr>
                <w:rFonts w:ascii="Times New Roman" w:hAnsi="Times New Roman" w:cs="Times New Roman"/>
                <w:color w:val="000000" w:themeColor="text1"/>
                <w:sz w:val="24"/>
                <w:szCs w:val="24"/>
              </w:rPr>
              <w:t>ikuma “Par akcīzes nodokļi” spēkā esoš</w:t>
            </w:r>
            <w:r w:rsidRPr="001924CB">
              <w:rPr>
                <w:rFonts w:ascii="Times New Roman" w:hAnsi="Times New Roman" w:cs="Times New Roman"/>
                <w:color w:val="000000" w:themeColor="text1"/>
                <w:sz w:val="24"/>
                <w:szCs w:val="24"/>
              </w:rPr>
              <w:t>ā</w:t>
            </w:r>
            <w:r w:rsidR="00A1091C" w:rsidRPr="001924CB">
              <w:rPr>
                <w:rFonts w:ascii="Times New Roman" w:hAnsi="Times New Roman" w:cs="Times New Roman"/>
                <w:color w:val="000000" w:themeColor="text1"/>
                <w:sz w:val="24"/>
                <w:szCs w:val="24"/>
              </w:rPr>
              <w:t xml:space="preserve"> redakcija no 2021.gada</w:t>
            </w:r>
            <w:r w:rsidRPr="001924CB">
              <w:rPr>
                <w:rFonts w:ascii="Times New Roman" w:hAnsi="Times New Roman" w:cs="Times New Roman"/>
                <w:color w:val="000000" w:themeColor="text1"/>
                <w:sz w:val="24"/>
                <w:szCs w:val="24"/>
              </w:rPr>
              <w:t xml:space="preserve"> 1. janvāra</w:t>
            </w:r>
            <w:r w:rsidR="00BF27D6" w:rsidRPr="001924CB">
              <w:rPr>
                <w:rFonts w:ascii="Times New Roman" w:hAnsi="Times New Roman" w:cs="Times New Roman"/>
                <w:color w:val="000000" w:themeColor="text1"/>
                <w:sz w:val="24"/>
                <w:szCs w:val="24"/>
              </w:rPr>
              <w:t xml:space="preserve"> </w:t>
            </w:r>
            <w:r w:rsidR="00C51CC4" w:rsidRPr="001924CB">
              <w:rPr>
                <w:rFonts w:ascii="Times New Roman" w:hAnsi="Times New Roman" w:cs="Times New Roman"/>
                <w:color w:val="000000" w:themeColor="text1"/>
                <w:sz w:val="24"/>
                <w:szCs w:val="24"/>
              </w:rPr>
              <w:t>terminēti samazin</w:t>
            </w:r>
            <w:r w:rsidR="008255F8" w:rsidRPr="001924CB">
              <w:rPr>
                <w:rFonts w:ascii="Times New Roman" w:hAnsi="Times New Roman" w:cs="Times New Roman"/>
                <w:color w:val="000000" w:themeColor="text1"/>
                <w:sz w:val="24"/>
                <w:szCs w:val="24"/>
              </w:rPr>
              <w:t>a</w:t>
            </w:r>
            <w:r w:rsidR="00C51CC4" w:rsidRPr="001924CB">
              <w:rPr>
                <w:rFonts w:ascii="Times New Roman" w:hAnsi="Times New Roman" w:cs="Times New Roman"/>
                <w:color w:val="000000" w:themeColor="text1"/>
                <w:sz w:val="24"/>
                <w:szCs w:val="24"/>
              </w:rPr>
              <w:t xml:space="preserve"> akcīzes nodokli dabasgāzei, kuru izmanto transportā, </w:t>
            </w:r>
            <w:r w:rsidR="00BF27D6" w:rsidRPr="001924CB">
              <w:rPr>
                <w:rFonts w:ascii="Times New Roman" w:hAnsi="Times New Roman" w:cs="Times New Roman"/>
                <w:color w:val="000000" w:themeColor="text1"/>
                <w:sz w:val="24"/>
                <w:szCs w:val="24"/>
              </w:rPr>
              <w:t>nosakot</w:t>
            </w:r>
            <w:r w:rsidR="00C51CC4" w:rsidRPr="001924CB">
              <w:rPr>
                <w:rFonts w:ascii="Times New Roman" w:hAnsi="Times New Roman" w:cs="Times New Roman"/>
                <w:color w:val="000000" w:themeColor="text1"/>
                <w:sz w:val="24"/>
                <w:szCs w:val="24"/>
              </w:rPr>
              <w:t>, ka no 2021.gada līdz 2025.gada</w:t>
            </w:r>
            <w:r w:rsidR="008D1BB6" w:rsidRPr="001924CB">
              <w:rPr>
                <w:rFonts w:ascii="Times New Roman" w:hAnsi="Times New Roman" w:cs="Times New Roman"/>
                <w:color w:val="000000" w:themeColor="text1"/>
                <w:sz w:val="24"/>
                <w:szCs w:val="24"/>
              </w:rPr>
              <w:t xml:space="preserve"> beigām</w:t>
            </w:r>
            <w:r w:rsidR="00C51CC4" w:rsidRPr="001924CB">
              <w:rPr>
                <w:rFonts w:ascii="Times New Roman" w:hAnsi="Times New Roman" w:cs="Times New Roman"/>
                <w:color w:val="000000" w:themeColor="text1"/>
                <w:sz w:val="24"/>
                <w:szCs w:val="24"/>
              </w:rPr>
              <w:t xml:space="preserve"> akcīzes nodokļa likme dabasgāzei (kā transporta degvielai) ir 1,91 euro par 1 MWh jeb 20 euro par 1000 m</w:t>
            </w:r>
            <w:r w:rsidR="00C51CC4" w:rsidRPr="001924CB">
              <w:rPr>
                <w:rFonts w:ascii="Times New Roman" w:hAnsi="Times New Roman" w:cs="Times New Roman"/>
                <w:color w:val="000000" w:themeColor="text1"/>
                <w:sz w:val="24"/>
                <w:szCs w:val="24"/>
                <w:vertAlign w:val="superscript"/>
              </w:rPr>
              <w:t>3</w:t>
            </w:r>
            <w:r w:rsidR="00C51CC4" w:rsidRPr="001924CB">
              <w:rPr>
                <w:rFonts w:ascii="Times New Roman" w:hAnsi="Times New Roman" w:cs="Times New Roman"/>
                <w:color w:val="000000" w:themeColor="text1"/>
                <w:sz w:val="24"/>
                <w:szCs w:val="24"/>
              </w:rPr>
              <w:t xml:space="preserve">, vienlaikus paredzot, ka no 2026.gada akcīzes nodokļa likme dabasgāzei (kā transporta degvielai) tiktu palielināta uz 10 euro par 1 MWh jeb 105 euro par 1000 m3. </w:t>
            </w:r>
          </w:p>
          <w:p w14:paraId="5C7B135E" w14:textId="57B485CF" w:rsidR="00965329" w:rsidRPr="001924CB" w:rsidRDefault="00965329" w:rsidP="00A71A5A">
            <w:pPr>
              <w:spacing w:before="120" w:after="120" w:line="240" w:lineRule="auto"/>
              <w:ind w:right="110"/>
              <w:jc w:val="both"/>
              <w:rPr>
                <w:rFonts w:ascii="Times New Roman" w:hAnsi="Times New Roman" w:cs="Times New Roman"/>
                <w:color w:val="000000" w:themeColor="text1"/>
                <w:sz w:val="24"/>
                <w:szCs w:val="24"/>
              </w:rPr>
            </w:pPr>
            <w:r w:rsidRPr="001924CB">
              <w:rPr>
                <w:rFonts w:ascii="Times New Roman" w:hAnsi="Times New Roman" w:cs="Times New Roman"/>
                <w:color w:val="000000" w:themeColor="text1"/>
                <w:sz w:val="24"/>
                <w:szCs w:val="24"/>
              </w:rPr>
              <w:t>Pašreizējai likuma “Par akcīzes nodokli” redakcijai stājoties spēkā 01.01.2021. saskaņā ar pašreizējās likuma “Par akcīzes nodokli” pārējas noteikumu 1</w:t>
            </w:r>
            <w:r w:rsidR="004E22CE" w:rsidRPr="001924CB">
              <w:rPr>
                <w:rFonts w:ascii="Times New Roman" w:hAnsi="Times New Roman" w:cs="Times New Roman"/>
                <w:color w:val="000000" w:themeColor="text1"/>
                <w:sz w:val="24"/>
                <w:szCs w:val="24"/>
              </w:rPr>
              <w:t>26</w:t>
            </w:r>
            <w:r w:rsidRPr="001924CB">
              <w:rPr>
                <w:rFonts w:ascii="Times New Roman" w:hAnsi="Times New Roman" w:cs="Times New Roman"/>
                <w:color w:val="000000" w:themeColor="text1"/>
                <w:sz w:val="24"/>
                <w:szCs w:val="24"/>
              </w:rPr>
              <w:t>. punktu likuma pār</w:t>
            </w:r>
            <w:r w:rsidR="009E3719" w:rsidRPr="001924CB">
              <w:rPr>
                <w:rFonts w:ascii="Times New Roman" w:hAnsi="Times New Roman" w:cs="Times New Roman"/>
                <w:color w:val="000000" w:themeColor="text1"/>
                <w:sz w:val="24"/>
                <w:szCs w:val="24"/>
              </w:rPr>
              <w:t>e</w:t>
            </w:r>
            <w:r w:rsidRPr="001924CB">
              <w:rPr>
                <w:rFonts w:ascii="Times New Roman" w:hAnsi="Times New Roman" w:cs="Times New Roman"/>
                <w:color w:val="000000" w:themeColor="text1"/>
                <w:sz w:val="24"/>
                <w:szCs w:val="24"/>
              </w:rPr>
              <w:t>jas noteikumos 1</w:t>
            </w:r>
            <w:r w:rsidR="004E22CE" w:rsidRPr="001924CB">
              <w:rPr>
                <w:rFonts w:ascii="Times New Roman" w:hAnsi="Times New Roman" w:cs="Times New Roman"/>
                <w:color w:val="000000" w:themeColor="text1"/>
                <w:sz w:val="24"/>
                <w:szCs w:val="24"/>
              </w:rPr>
              <w:t>25</w:t>
            </w:r>
            <w:r w:rsidRPr="001924CB">
              <w:rPr>
                <w:rFonts w:ascii="Times New Roman" w:hAnsi="Times New Roman" w:cs="Times New Roman"/>
                <w:color w:val="000000" w:themeColor="text1"/>
                <w:sz w:val="24"/>
                <w:szCs w:val="24"/>
              </w:rPr>
              <w:t xml:space="preserve">.punktā minēto atbalstu nodokļa maksātājam piešķir Būvniecības valsts kontroles birojs kā </w:t>
            </w:r>
            <w:r w:rsidRPr="001924CB">
              <w:rPr>
                <w:rFonts w:ascii="Times New Roman" w:hAnsi="Times New Roman" w:cs="Times New Roman"/>
                <w:i/>
                <w:iCs/>
                <w:color w:val="000000" w:themeColor="text1"/>
                <w:sz w:val="24"/>
                <w:szCs w:val="24"/>
              </w:rPr>
              <w:t>de minimis</w:t>
            </w:r>
            <w:r w:rsidRPr="001924CB">
              <w:rPr>
                <w:rFonts w:ascii="Times New Roman" w:hAnsi="Times New Roman" w:cs="Times New Roman"/>
                <w:color w:val="000000" w:themeColor="text1"/>
                <w:sz w:val="24"/>
                <w:szCs w:val="24"/>
              </w:rPr>
              <w:t xml:space="preserve"> atbalstu, ievērojot Komisijas 2013. gada 18. decembra regulas (ES) Nr. 1407/2013 par Līguma par Eiropas Savienības darbību 107. un 108. panta piemērošanu </w:t>
            </w:r>
            <w:r w:rsidRPr="001924CB">
              <w:rPr>
                <w:rFonts w:ascii="Times New Roman" w:hAnsi="Times New Roman" w:cs="Times New Roman"/>
                <w:i/>
                <w:iCs/>
                <w:color w:val="000000" w:themeColor="text1"/>
                <w:sz w:val="24"/>
                <w:szCs w:val="24"/>
              </w:rPr>
              <w:t>de minimis</w:t>
            </w:r>
            <w:r w:rsidRPr="001924CB">
              <w:rPr>
                <w:rFonts w:ascii="Times New Roman" w:hAnsi="Times New Roman" w:cs="Times New Roman"/>
                <w:color w:val="000000" w:themeColor="text1"/>
                <w:sz w:val="24"/>
                <w:szCs w:val="24"/>
              </w:rPr>
              <w:t xml:space="preserve"> atbalstam vai regulas, kas to aizstāj, nosacījumus.</w:t>
            </w:r>
          </w:p>
          <w:p w14:paraId="39F10AB1" w14:textId="760DC546" w:rsidR="00B43133" w:rsidRPr="001924CB" w:rsidRDefault="00965329" w:rsidP="00A71A5A">
            <w:pPr>
              <w:spacing w:before="120" w:after="120" w:line="240" w:lineRule="auto"/>
              <w:ind w:right="110"/>
              <w:jc w:val="both"/>
              <w:rPr>
                <w:rFonts w:ascii="Times New Roman" w:hAnsi="Times New Roman" w:cs="Times New Roman"/>
                <w:color w:val="000000" w:themeColor="text1"/>
                <w:sz w:val="24"/>
                <w:szCs w:val="24"/>
              </w:rPr>
            </w:pPr>
            <w:r w:rsidRPr="001924CB">
              <w:rPr>
                <w:rFonts w:ascii="Times New Roman" w:hAnsi="Times New Roman" w:cs="Times New Roman"/>
                <w:color w:val="000000" w:themeColor="text1"/>
                <w:sz w:val="24"/>
                <w:szCs w:val="24"/>
              </w:rPr>
              <w:t xml:space="preserve">Būvniecības valsts </w:t>
            </w:r>
            <w:r w:rsidR="00244A93" w:rsidRPr="001924CB">
              <w:rPr>
                <w:rFonts w:ascii="Times New Roman" w:hAnsi="Times New Roman" w:cs="Times New Roman"/>
                <w:color w:val="000000" w:themeColor="text1"/>
                <w:sz w:val="24"/>
                <w:szCs w:val="24"/>
              </w:rPr>
              <w:t xml:space="preserve">kontroles </w:t>
            </w:r>
            <w:r w:rsidRPr="001924CB">
              <w:rPr>
                <w:rFonts w:ascii="Times New Roman" w:hAnsi="Times New Roman" w:cs="Times New Roman"/>
                <w:color w:val="000000" w:themeColor="text1"/>
                <w:sz w:val="24"/>
                <w:szCs w:val="24"/>
              </w:rPr>
              <w:t xml:space="preserve">birojs līdz šim veiksmīgi administrējis valsts atbalsta sniegšanu, kura </w:t>
            </w:r>
            <w:r w:rsidR="003E590C" w:rsidRPr="001924CB">
              <w:rPr>
                <w:rFonts w:ascii="Times New Roman" w:hAnsi="Times New Roman" w:cs="Times New Roman"/>
                <w:color w:val="000000" w:themeColor="text1"/>
                <w:sz w:val="24"/>
                <w:szCs w:val="24"/>
              </w:rPr>
              <w:t xml:space="preserve">prognozētie </w:t>
            </w:r>
            <w:r w:rsidRPr="001924CB">
              <w:rPr>
                <w:rFonts w:ascii="Times New Roman" w:hAnsi="Times New Roman" w:cs="Times New Roman"/>
                <w:color w:val="000000" w:themeColor="text1"/>
                <w:sz w:val="24"/>
                <w:szCs w:val="24"/>
              </w:rPr>
              <w:t>apmēri</w:t>
            </w:r>
            <w:r w:rsidR="003E590C" w:rsidRPr="001924CB">
              <w:rPr>
                <w:rFonts w:ascii="Times New Roman" w:hAnsi="Times New Roman" w:cs="Times New Roman"/>
                <w:color w:val="000000" w:themeColor="text1"/>
                <w:sz w:val="24"/>
                <w:szCs w:val="24"/>
              </w:rPr>
              <w:t xml:space="preserve"> </w:t>
            </w:r>
            <w:r w:rsidR="00B43133" w:rsidRPr="001924CB">
              <w:rPr>
                <w:rFonts w:ascii="Times New Roman" w:hAnsi="Times New Roman" w:cs="Times New Roman"/>
                <w:color w:val="000000" w:themeColor="text1"/>
                <w:sz w:val="24"/>
                <w:szCs w:val="24"/>
              </w:rPr>
              <w:t>norādīti zemāk:</w:t>
            </w:r>
          </w:p>
          <w:p w14:paraId="1683ED06" w14:textId="5EAED725" w:rsidR="003E590C" w:rsidRPr="001924CB" w:rsidRDefault="00B43133" w:rsidP="003E590C">
            <w:pPr>
              <w:spacing w:before="120" w:after="120" w:line="240" w:lineRule="auto"/>
              <w:ind w:right="110"/>
              <w:jc w:val="both"/>
              <w:rPr>
                <w:rFonts w:ascii="Times New Roman" w:hAnsi="Times New Roman" w:cs="Times New Roman"/>
                <w:color w:val="000000" w:themeColor="text1"/>
                <w:sz w:val="24"/>
                <w:szCs w:val="24"/>
              </w:rPr>
            </w:pPr>
            <w:r w:rsidRPr="001924CB">
              <w:rPr>
                <w:rFonts w:ascii="Times New Roman" w:hAnsi="Times New Roman" w:cs="Times New Roman"/>
                <w:color w:val="000000" w:themeColor="text1"/>
                <w:sz w:val="24"/>
                <w:szCs w:val="24"/>
              </w:rPr>
              <w:lastRenderedPageBreak/>
              <w:t xml:space="preserve">2021.gadā </w:t>
            </w:r>
            <w:r w:rsidR="00244A93" w:rsidRPr="001924CB">
              <w:rPr>
                <w:rFonts w:ascii="Times New Roman" w:hAnsi="Times New Roman" w:cs="Times New Roman"/>
                <w:color w:val="000000" w:themeColor="text1"/>
                <w:sz w:val="24"/>
                <w:szCs w:val="24"/>
              </w:rPr>
              <w:t>Būvniecības v</w:t>
            </w:r>
            <w:r w:rsidRPr="001924CB">
              <w:rPr>
                <w:rFonts w:ascii="Times New Roman" w:hAnsi="Times New Roman" w:cs="Times New Roman"/>
                <w:color w:val="000000" w:themeColor="text1"/>
                <w:sz w:val="24"/>
                <w:szCs w:val="24"/>
              </w:rPr>
              <w:t xml:space="preserve">alsts </w:t>
            </w:r>
            <w:r w:rsidR="00244A93" w:rsidRPr="001924CB">
              <w:rPr>
                <w:rFonts w:ascii="Times New Roman" w:hAnsi="Times New Roman" w:cs="Times New Roman"/>
                <w:color w:val="000000" w:themeColor="text1"/>
                <w:sz w:val="24"/>
                <w:szCs w:val="24"/>
              </w:rPr>
              <w:t xml:space="preserve">kontroles </w:t>
            </w:r>
            <w:r w:rsidRPr="001924CB">
              <w:rPr>
                <w:rFonts w:ascii="Times New Roman" w:hAnsi="Times New Roman" w:cs="Times New Roman"/>
                <w:color w:val="000000" w:themeColor="text1"/>
                <w:sz w:val="24"/>
                <w:szCs w:val="24"/>
              </w:rPr>
              <w:t xml:space="preserve">birojs plāno sniegt valsts atbalstu saspiestai dabasgāzei transportam ne mazāk kā </w:t>
            </w:r>
            <w:r w:rsidR="003E590C" w:rsidRPr="001924CB">
              <w:rPr>
                <w:rFonts w:ascii="Times New Roman" w:hAnsi="Times New Roman" w:cs="Times New Roman"/>
                <w:color w:val="000000" w:themeColor="text1"/>
                <w:sz w:val="24"/>
                <w:szCs w:val="24"/>
              </w:rPr>
              <w:t xml:space="preserve">10 000 MWh </w:t>
            </w:r>
            <w:r w:rsidRPr="001924CB">
              <w:rPr>
                <w:rFonts w:ascii="Times New Roman" w:hAnsi="Times New Roman" w:cs="Times New Roman"/>
                <w:color w:val="000000" w:themeColor="text1"/>
                <w:sz w:val="24"/>
                <w:szCs w:val="24"/>
              </w:rPr>
              <w:t xml:space="preserve">enerģijas patēriņam, kas atbilst </w:t>
            </w:r>
            <w:r w:rsidR="003E590C" w:rsidRPr="001924CB">
              <w:rPr>
                <w:rFonts w:ascii="Times New Roman" w:hAnsi="Times New Roman" w:cs="Times New Roman"/>
                <w:color w:val="000000" w:themeColor="text1"/>
                <w:sz w:val="24"/>
                <w:szCs w:val="24"/>
              </w:rPr>
              <w:t xml:space="preserve">80 900 EUR lielam atbalstam </w:t>
            </w:r>
            <w:r w:rsidR="003E590C" w:rsidRPr="001924CB">
              <w:rPr>
                <w:rFonts w:ascii="Times New Roman" w:hAnsi="Times New Roman" w:cs="Times New Roman"/>
                <w:i/>
                <w:iCs/>
                <w:color w:val="000000" w:themeColor="text1"/>
                <w:sz w:val="24"/>
                <w:szCs w:val="24"/>
              </w:rPr>
              <w:t>de minimis</w:t>
            </w:r>
            <w:r w:rsidR="003E590C" w:rsidRPr="001924CB">
              <w:rPr>
                <w:rFonts w:ascii="Times New Roman" w:hAnsi="Times New Roman" w:cs="Times New Roman"/>
                <w:color w:val="000000" w:themeColor="text1"/>
                <w:sz w:val="24"/>
                <w:szCs w:val="24"/>
              </w:rPr>
              <w:t xml:space="preserve"> ietvaros.</w:t>
            </w:r>
          </w:p>
          <w:p w14:paraId="7ADAAEA7" w14:textId="00AD1C79" w:rsidR="00B43133" w:rsidRPr="001924CB" w:rsidRDefault="003E590C" w:rsidP="003E590C">
            <w:pPr>
              <w:spacing w:before="120" w:after="120" w:line="240" w:lineRule="auto"/>
              <w:ind w:right="110"/>
              <w:jc w:val="both"/>
              <w:rPr>
                <w:rFonts w:ascii="Times New Roman" w:hAnsi="Times New Roman" w:cs="Times New Roman"/>
                <w:color w:val="000000" w:themeColor="text1"/>
                <w:sz w:val="24"/>
                <w:szCs w:val="24"/>
              </w:rPr>
            </w:pPr>
            <w:r w:rsidRPr="001924CB">
              <w:rPr>
                <w:rFonts w:ascii="Times New Roman" w:hAnsi="Times New Roman" w:cs="Times New Roman"/>
                <w:color w:val="000000" w:themeColor="text1"/>
                <w:sz w:val="24"/>
                <w:szCs w:val="24"/>
              </w:rPr>
              <w:t xml:space="preserve">2022.gadā </w:t>
            </w:r>
            <w:r w:rsidR="00B43133" w:rsidRPr="001924CB">
              <w:rPr>
                <w:rFonts w:ascii="Times New Roman" w:hAnsi="Times New Roman" w:cs="Times New Roman"/>
                <w:color w:val="000000" w:themeColor="text1"/>
                <w:sz w:val="24"/>
                <w:szCs w:val="24"/>
              </w:rPr>
              <w:t>tiek plānots jau sagaidīt saspiestās dabas gāzes transportam patēriņa pieaugumu, kas tiek plānots 35 000 MWh</w:t>
            </w:r>
            <w:r w:rsidR="00233435" w:rsidRPr="001924CB">
              <w:rPr>
                <w:rFonts w:ascii="Times New Roman" w:hAnsi="Times New Roman" w:cs="Times New Roman"/>
                <w:color w:val="000000" w:themeColor="text1"/>
                <w:sz w:val="24"/>
                <w:szCs w:val="24"/>
              </w:rPr>
              <w:t xml:space="preserve"> apmērā</w:t>
            </w:r>
            <w:r w:rsidR="00B43133" w:rsidRPr="001924CB">
              <w:rPr>
                <w:rFonts w:ascii="Times New Roman" w:hAnsi="Times New Roman" w:cs="Times New Roman"/>
                <w:color w:val="000000" w:themeColor="text1"/>
                <w:sz w:val="24"/>
                <w:szCs w:val="24"/>
              </w:rPr>
              <w:t xml:space="preserve">, kas atbilst   283 150 EUR valsts atbalsta apjomam. </w:t>
            </w:r>
          </w:p>
          <w:p w14:paraId="14A033A7" w14:textId="66BFCF4D" w:rsidR="005A68C5" w:rsidRPr="001924CB" w:rsidRDefault="00B43133" w:rsidP="00EA776E">
            <w:pPr>
              <w:jc w:val="both"/>
              <w:rPr>
                <w:rFonts w:ascii="Times New Roman" w:hAnsi="Times New Roman" w:cs="Times New Roman"/>
                <w:color w:val="000000" w:themeColor="text1"/>
                <w:sz w:val="24"/>
                <w:szCs w:val="24"/>
              </w:rPr>
            </w:pPr>
            <w:r w:rsidRPr="001924CB">
              <w:rPr>
                <w:rFonts w:ascii="Times New Roman" w:hAnsi="Times New Roman" w:cs="Times New Roman"/>
                <w:color w:val="000000" w:themeColor="text1"/>
                <w:sz w:val="24"/>
                <w:szCs w:val="24"/>
              </w:rPr>
              <w:t>Ņemot vērā</w:t>
            </w:r>
            <w:r w:rsidR="00661D73" w:rsidRPr="001924CB">
              <w:rPr>
                <w:rFonts w:ascii="Times New Roman" w:hAnsi="Times New Roman" w:cs="Times New Roman"/>
                <w:color w:val="000000" w:themeColor="text1"/>
                <w:sz w:val="24"/>
                <w:szCs w:val="24"/>
              </w:rPr>
              <w:t>,</w:t>
            </w:r>
            <w:r w:rsidRPr="001924CB">
              <w:rPr>
                <w:rFonts w:ascii="Times New Roman" w:hAnsi="Times New Roman" w:cs="Times New Roman"/>
                <w:color w:val="000000" w:themeColor="text1"/>
                <w:sz w:val="24"/>
                <w:szCs w:val="24"/>
              </w:rPr>
              <w:t xml:space="preserve"> ka </w:t>
            </w:r>
            <w:r w:rsidRPr="001924CB">
              <w:rPr>
                <w:rFonts w:ascii="Times New Roman" w:hAnsi="Times New Roman" w:cs="Times New Roman"/>
                <w:i/>
                <w:iCs/>
                <w:color w:val="000000" w:themeColor="text1"/>
                <w:sz w:val="24"/>
                <w:szCs w:val="24"/>
              </w:rPr>
              <w:t>de minimis</w:t>
            </w:r>
            <w:r w:rsidRPr="001924CB">
              <w:rPr>
                <w:rFonts w:ascii="Times New Roman" w:hAnsi="Times New Roman" w:cs="Times New Roman"/>
                <w:color w:val="000000" w:themeColor="text1"/>
                <w:sz w:val="24"/>
                <w:szCs w:val="24"/>
              </w:rPr>
              <w:t xml:space="preserve"> regulējums paredz 200 000 eiro maksimālo </w:t>
            </w:r>
            <w:r w:rsidR="00DF190E" w:rsidRPr="001924CB">
              <w:rPr>
                <w:rFonts w:ascii="Times New Roman" w:hAnsi="Times New Roman" w:cs="Times New Roman"/>
                <w:color w:val="000000" w:themeColor="text1"/>
                <w:sz w:val="24"/>
                <w:szCs w:val="24"/>
              </w:rPr>
              <w:t xml:space="preserve">valsts atbalsta </w:t>
            </w:r>
            <w:r w:rsidRPr="001924CB">
              <w:rPr>
                <w:rFonts w:ascii="Times New Roman" w:hAnsi="Times New Roman" w:cs="Times New Roman"/>
                <w:color w:val="000000" w:themeColor="text1"/>
                <w:sz w:val="24"/>
                <w:szCs w:val="24"/>
              </w:rPr>
              <w:t>apjomu</w:t>
            </w:r>
            <w:r w:rsidR="00DF190E" w:rsidRPr="001924CB">
              <w:rPr>
                <w:rFonts w:ascii="Times New Roman" w:hAnsi="Times New Roman" w:cs="Times New Roman"/>
                <w:color w:val="000000" w:themeColor="text1"/>
                <w:sz w:val="24"/>
                <w:szCs w:val="24"/>
              </w:rPr>
              <w:t xml:space="preserve"> vienam saņēmējam</w:t>
            </w:r>
            <w:r w:rsidRPr="001924CB">
              <w:rPr>
                <w:rFonts w:ascii="Times New Roman" w:hAnsi="Times New Roman" w:cs="Times New Roman"/>
                <w:color w:val="000000" w:themeColor="text1"/>
                <w:sz w:val="24"/>
                <w:szCs w:val="24"/>
              </w:rPr>
              <w:t xml:space="preserve"> trīs </w:t>
            </w:r>
            <w:r w:rsidR="004D5920" w:rsidRPr="001924CB">
              <w:rPr>
                <w:rFonts w:ascii="Times New Roman" w:hAnsi="Times New Roman" w:cs="Times New Roman"/>
                <w:color w:val="000000" w:themeColor="text1"/>
                <w:sz w:val="24"/>
                <w:szCs w:val="24"/>
              </w:rPr>
              <w:t>gadu laik</w:t>
            </w:r>
            <w:r w:rsidR="00DF190E" w:rsidRPr="001924CB">
              <w:rPr>
                <w:rFonts w:ascii="Times New Roman" w:hAnsi="Times New Roman" w:cs="Times New Roman"/>
                <w:color w:val="000000" w:themeColor="text1"/>
                <w:sz w:val="24"/>
                <w:szCs w:val="24"/>
              </w:rPr>
              <w:t>a per</w:t>
            </w:r>
            <w:r w:rsidR="005A68C5" w:rsidRPr="001924CB">
              <w:rPr>
                <w:rFonts w:ascii="Times New Roman" w:hAnsi="Times New Roman" w:cs="Times New Roman"/>
                <w:color w:val="000000" w:themeColor="text1"/>
                <w:sz w:val="24"/>
                <w:szCs w:val="24"/>
              </w:rPr>
              <w:t>i</w:t>
            </w:r>
            <w:r w:rsidR="00DF190E" w:rsidRPr="001924CB">
              <w:rPr>
                <w:rFonts w:ascii="Times New Roman" w:hAnsi="Times New Roman" w:cs="Times New Roman"/>
                <w:color w:val="000000" w:themeColor="text1"/>
                <w:sz w:val="24"/>
                <w:szCs w:val="24"/>
              </w:rPr>
              <w:t>odā</w:t>
            </w:r>
            <w:r w:rsidR="004D5920" w:rsidRPr="001924CB">
              <w:rPr>
                <w:rFonts w:ascii="Times New Roman" w:hAnsi="Times New Roman" w:cs="Times New Roman"/>
                <w:color w:val="000000" w:themeColor="text1"/>
                <w:sz w:val="24"/>
                <w:szCs w:val="24"/>
              </w:rPr>
              <w:t xml:space="preserve">, 2022. gadā var rasties nepieciešamība valsts atbalsta sniegšanas turpināšanai kā pamatojumu valsts atbalsta sniegšanai izmantot citu Eiropas Savienības regulējumu, un proti: </w:t>
            </w:r>
            <w:r w:rsidR="005A68C5" w:rsidRPr="001924CB">
              <w:rPr>
                <w:rFonts w:ascii="Times New Roman" w:hAnsi="Times New Roman" w:cs="Times New Roman"/>
                <w:color w:val="000000" w:themeColor="text1"/>
                <w:sz w:val="24"/>
                <w:szCs w:val="24"/>
              </w:rPr>
              <w:t>ievērojot Komisijas 2014. gada 28. jūnija paziņojuma Nr. 2014/C 200/01  “Pamatnostādnes par valsts atbalstu vides aizsardzībai un enerģētikai 2014.–2020. gadam” nosacījumus atbilstoši 18 (i) apakšpunktā “atbalsts samazinātu vides nodokļu vai atbrīvojumu no tiem” noteiktajai atbalsta pasākuma definīcijai, ievērojot 3.1. iedaļā “Kopējie novērtēšanas principi” norādītus atbilstības kritērijus, 3.2. iedaļā “Vispārējie saderīguma nosacījumi” norādītos vispārējos atbalsta saderīguma nosacījumus, kā arī ievērojot atbalsta definīcijai piekritīgus 3.7.1</w:t>
            </w:r>
            <w:r w:rsidR="00FC6F77" w:rsidRPr="001924CB">
              <w:rPr>
                <w:rFonts w:ascii="Times New Roman" w:hAnsi="Times New Roman" w:cs="Times New Roman"/>
                <w:color w:val="000000" w:themeColor="text1"/>
                <w:sz w:val="24"/>
                <w:szCs w:val="24"/>
              </w:rPr>
              <w:t>.</w:t>
            </w:r>
            <w:r w:rsidR="005A68C5" w:rsidRPr="001924CB">
              <w:rPr>
                <w:rFonts w:ascii="Times New Roman" w:hAnsi="Times New Roman" w:cs="Times New Roman"/>
                <w:color w:val="000000" w:themeColor="text1"/>
                <w:sz w:val="24"/>
                <w:szCs w:val="24"/>
              </w:rPr>
              <w:t xml:space="preserve"> apakšiedaļā “Atbalsts samazinātu vides nodokļu vai atbrīvojumu no tiem veidā” norādītos nosacījumus vai Eiropas Savienības tiesību akta, kas aizstāj Komisijas paziņojumu, nosacījumus. </w:t>
            </w:r>
          </w:p>
          <w:p w14:paraId="16E8D2BA" w14:textId="44302370" w:rsidR="00E868BB" w:rsidRPr="001924CB" w:rsidRDefault="003E590C" w:rsidP="003E590C">
            <w:pPr>
              <w:spacing w:before="120" w:after="120" w:line="240" w:lineRule="auto"/>
              <w:ind w:right="110"/>
              <w:jc w:val="both"/>
              <w:rPr>
                <w:rFonts w:ascii="Times New Roman" w:hAnsi="Times New Roman" w:cs="Times New Roman"/>
                <w:color w:val="000000" w:themeColor="text1"/>
                <w:sz w:val="24"/>
                <w:szCs w:val="24"/>
              </w:rPr>
            </w:pPr>
            <w:r w:rsidRPr="001924CB">
              <w:rPr>
                <w:rFonts w:ascii="Times New Roman" w:hAnsi="Times New Roman" w:cs="Times New Roman"/>
                <w:color w:val="000000" w:themeColor="text1"/>
                <w:sz w:val="24"/>
                <w:szCs w:val="24"/>
              </w:rPr>
              <w:t xml:space="preserve">Tātad </w:t>
            </w:r>
            <w:bookmarkStart w:id="0" w:name="_Hlk66441578"/>
            <w:r w:rsidRPr="001924CB">
              <w:rPr>
                <w:rFonts w:ascii="Times New Roman" w:hAnsi="Times New Roman" w:cs="Times New Roman"/>
                <w:color w:val="000000" w:themeColor="text1"/>
                <w:sz w:val="24"/>
                <w:szCs w:val="24"/>
              </w:rPr>
              <w:t xml:space="preserve">šobrīd plānotie apjomi ļauj mums prognozēt, ka </w:t>
            </w:r>
            <w:r w:rsidR="008255F8" w:rsidRPr="001924CB">
              <w:rPr>
                <w:rFonts w:ascii="Times New Roman" w:hAnsi="Times New Roman" w:cs="Times New Roman"/>
                <w:color w:val="000000" w:themeColor="text1"/>
                <w:sz w:val="24"/>
                <w:szCs w:val="24"/>
              </w:rPr>
              <w:t xml:space="preserve">pastāv risks, ka </w:t>
            </w:r>
            <w:r w:rsidRPr="001924CB">
              <w:rPr>
                <w:rFonts w:ascii="Times New Roman" w:hAnsi="Times New Roman" w:cs="Times New Roman"/>
                <w:i/>
                <w:iCs/>
                <w:color w:val="000000" w:themeColor="text1"/>
                <w:sz w:val="24"/>
                <w:szCs w:val="24"/>
              </w:rPr>
              <w:t>de minimis</w:t>
            </w:r>
            <w:r w:rsidRPr="001924CB">
              <w:rPr>
                <w:rFonts w:ascii="Times New Roman" w:hAnsi="Times New Roman" w:cs="Times New Roman"/>
                <w:color w:val="000000" w:themeColor="text1"/>
                <w:sz w:val="24"/>
                <w:szCs w:val="24"/>
              </w:rPr>
              <w:t xml:space="preserve"> </w:t>
            </w:r>
            <w:r w:rsidR="005A68C5" w:rsidRPr="001924CB">
              <w:rPr>
                <w:rFonts w:ascii="Times New Roman" w:hAnsi="Times New Roman" w:cs="Times New Roman"/>
                <w:color w:val="000000" w:themeColor="text1"/>
                <w:sz w:val="24"/>
                <w:szCs w:val="24"/>
              </w:rPr>
              <w:t xml:space="preserve">regulējumu valsts atbalsta sniegšanā atsevišķiem valsts atbalsta saņēmējiem nevarēs piemērot jau </w:t>
            </w:r>
            <w:r w:rsidR="00233435" w:rsidRPr="001924CB">
              <w:rPr>
                <w:rFonts w:ascii="Times New Roman" w:hAnsi="Times New Roman" w:cs="Times New Roman"/>
                <w:color w:val="000000" w:themeColor="text1"/>
                <w:sz w:val="24"/>
                <w:szCs w:val="24"/>
              </w:rPr>
              <w:t xml:space="preserve">no </w:t>
            </w:r>
            <w:r w:rsidR="005A68C5" w:rsidRPr="001924CB">
              <w:rPr>
                <w:rFonts w:ascii="Times New Roman" w:hAnsi="Times New Roman" w:cs="Times New Roman"/>
                <w:color w:val="000000" w:themeColor="text1"/>
                <w:sz w:val="24"/>
                <w:szCs w:val="24"/>
              </w:rPr>
              <w:t>2</w:t>
            </w:r>
            <w:r w:rsidRPr="001924CB">
              <w:rPr>
                <w:rFonts w:ascii="Times New Roman" w:hAnsi="Times New Roman" w:cs="Times New Roman"/>
                <w:color w:val="000000" w:themeColor="text1"/>
                <w:sz w:val="24"/>
                <w:szCs w:val="24"/>
              </w:rPr>
              <w:t xml:space="preserve">022.gada </w:t>
            </w:r>
            <w:r w:rsidR="005A68C5" w:rsidRPr="001924CB">
              <w:rPr>
                <w:rFonts w:ascii="Times New Roman" w:hAnsi="Times New Roman" w:cs="Times New Roman"/>
                <w:color w:val="000000" w:themeColor="text1"/>
                <w:sz w:val="24"/>
                <w:szCs w:val="24"/>
              </w:rPr>
              <w:t>1. pus</w:t>
            </w:r>
            <w:r w:rsidR="00233435" w:rsidRPr="001924CB">
              <w:rPr>
                <w:rFonts w:ascii="Times New Roman" w:hAnsi="Times New Roman" w:cs="Times New Roman"/>
                <w:color w:val="000000" w:themeColor="text1"/>
                <w:sz w:val="24"/>
                <w:szCs w:val="24"/>
              </w:rPr>
              <w:t>es</w:t>
            </w:r>
            <w:r w:rsidR="00E868BB" w:rsidRPr="001924CB">
              <w:rPr>
                <w:rFonts w:ascii="Times New Roman" w:hAnsi="Times New Roman" w:cs="Times New Roman"/>
                <w:color w:val="000000" w:themeColor="text1"/>
                <w:sz w:val="24"/>
                <w:szCs w:val="24"/>
              </w:rPr>
              <w:t>.</w:t>
            </w:r>
          </w:p>
          <w:p w14:paraId="73B96784" w14:textId="7D0FC97D" w:rsidR="00B30C2A" w:rsidRPr="001924CB" w:rsidRDefault="00E868BB" w:rsidP="003E590C">
            <w:pPr>
              <w:spacing w:before="120" w:after="120" w:line="240" w:lineRule="auto"/>
              <w:ind w:right="110"/>
              <w:jc w:val="both"/>
              <w:rPr>
                <w:rFonts w:ascii="Times New Roman" w:hAnsi="Times New Roman" w:cs="Times New Roman"/>
                <w:color w:val="000000" w:themeColor="text1"/>
                <w:sz w:val="24"/>
                <w:szCs w:val="24"/>
              </w:rPr>
            </w:pPr>
            <w:r w:rsidRPr="001924CB">
              <w:rPr>
                <w:rFonts w:ascii="Times New Roman" w:hAnsi="Times New Roman" w:cs="Times New Roman"/>
                <w:color w:val="000000" w:themeColor="text1"/>
                <w:sz w:val="24"/>
                <w:szCs w:val="24"/>
              </w:rPr>
              <w:t xml:space="preserve">Tādēļ </w:t>
            </w:r>
            <w:r w:rsidR="008D7A7A" w:rsidRPr="001924CB">
              <w:rPr>
                <w:rFonts w:ascii="Times New Roman" w:hAnsi="Times New Roman" w:cs="Times New Roman"/>
                <w:color w:val="000000" w:themeColor="text1"/>
                <w:sz w:val="24"/>
                <w:szCs w:val="24"/>
              </w:rPr>
              <w:t>l</w:t>
            </w:r>
            <w:r w:rsidRPr="001924CB">
              <w:rPr>
                <w:rFonts w:ascii="Times New Roman" w:hAnsi="Times New Roman" w:cs="Times New Roman"/>
                <w:color w:val="000000" w:themeColor="text1"/>
                <w:sz w:val="24"/>
                <w:szCs w:val="24"/>
              </w:rPr>
              <w:t xml:space="preserve">ikumprojekts paredz pašlaik spēkā esošo valsts atbalsta sniegšanu saskaņā ar </w:t>
            </w:r>
            <w:r w:rsidRPr="001924CB">
              <w:rPr>
                <w:rFonts w:ascii="Times New Roman" w:hAnsi="Times New Roman" w:cs="Times New Roman"/>
                <w:i/>
                <w:iCs/>
                <w:color w:val="000000" w:themeColor="text1"/>
                <w:sz w:val="24"/>
                <w:szCs w:val="24"/>
              </w:rPr>
              <w:t>de minimis</w:t>
            </w:r>
            <w:r w:rsidRPr="001924CB">
              <w:rPr>
                <w:rFonts w:ascii="Times New Roman" w:hAnsi="Times New Roman" w:cs="Times New Roman"/>
                <w:color w:val="000000" w:themeColor="text1"/>
                <w:sz w:val="24"/>
                <w:szCs w:val="24"/>
              </w:rPr>
              <w:t xml:space="preserve"> regulējumu nepiemērot, izslēdzot no Likuma “Par akcīzes nodokli” Pārejas noteikumos 126.punktu, bet Pārejas noteikumu 125.punktā noteikto samazināto akcīzes nodokļu likmi dabasgāzei, kuru izmanto transportā, 1,91 euro par 1 MWh jeb 20 euro par 1000 m</w:t>
            </w:r>
            <w:r w:rsidRPr="001924CB">
              <w:rPr>
                <w:rFonts w:ascii="Times New Roman" w:hAnsi="Times New Roman"/>
                <w:color w:val="000000" w:themeColor="text1"/>
                <w:sz w:val="28"/>
                <w:szCs w:val="28"/>
                <w:vertAlign w:val="superscript"/>
              </w:rPr>
              <w:t>3</w:t>
            </w:r>
            <w:r w:rsidRPr="001924CB">
              <w:rPr>
                <w:rFonts w:ascii="Times New Roman" w:hAnsi="Times New Roman"/>
                <w:color w:val="000000" w:themeColor="text1"/>
                <w:sz w:val="28"/>
                <w:szCs w:val="28"/>
              </w:rPr>
              <w:t xml:space="preserve">, </w:t>
            </w:r>
            <w:r w:rsidRPr="001924CB">
              <w:rPr>
                <w:rFonts w:ascii="Times New Roman" w:hAnsi="Times New Roman"/>
                <w:color w:val="000000" w:themeColor="text1"/>
                <w:sz w:val="24"/>
                <w:szCs w:val="24"/>
              </w:rPr>
              <w:t>pamatot ar no Eiropas Komisijas saņemto atļauju, nemainot spēkā esošo nosacījumu, ka</w:t>
            </w:r>
            <w:r w:rsidRPr="001924CB">
              <w:rPr>
                <w:rFonts w:ascii="Times New Roman" w:hAnsi="Times New Roman"/>
                <w:color w:val="000000" w:themeColor="text1"/>
                <w:sz w:val="28"/>
                <w:szCs w:val="28"/>
              </w:rPr>
              <w:t xml:space="preserve"> </w:t>
            </w:r>
            <w:r w:rsidRPr="001924CB">
              <w:rPr>
                <w:rFonts w:ascii="Times New Roman" w:hAnsi="Times New Roman"/>
                <w:color w:val="000000" w:themeColor="text1"/>
                <w:sz w:val="24"/>
                <w:szCs w:val="24"/>
              </w:rPr>
              <w:t>šāds</w:t>
            </w:r>
            <w:r w:rsidRPr="001924CB">
              <w:rPr>
                <w:rFonts w:ascii="Times New Roman" w:hAnsi="Times New Roman"/>
                <w:color w:val="000000" w:themeColor="text1"/>
                <w:sz w:val="28"/>
                <w:szCs w:val="28"/>
              </w:rPr>
              <w:t xml:space="preserve"> </w:t>
            </w:r>
            <w:r w:rsidRPr="001924CB">
              <w:rPr>
                <w:rFonts w:ascii="Times New Roman" w:hAnsi="Times New Roman"/>
                <w:color w:val="000000" w:themeColor="text1"/>
                <w:sz w:val="24"/>
                <w:szCs w:val="24"/>
              </w:rPr>
              <w:t>samazinājums ir terminēts un ir spēkā līdz 2026.gada 1.janvārim.</w:t>
            </w:r>
            <w:r w:rsidR="008D7A7A" w:rsidRPr="001924CB">
              <w:rPr>
                <w:rFonts w:ascii="Times New Roman" w:hAnsi="Times New Roman"/>
                <w:color w:val="000000" w:themeColor="text1"/>
                <w:sz w:val="24"/>
                <w:szCs w:val="24"/>
              </w:rPr>
              <w:t xml:space="preserve"> </w:t>
            </w:r>
            <w:r w:rsidR="008D7A7A" w:rsidRPr="001924CB">
              <w:rPr>
                <w:rFonts w:ascii="Times New Roman" w:hAnsi="Times New Roman" w:cs="Times New Roman"/>
                <w:color w:val="000000" w:themeColor="text1"/>
                <w:sz w:val="24"/>
                <w:szCs w:val="24"/>
              </w:rPr>
              <w:t>T</w:t>
            </w:r>
            <w:r w:rsidR="00661D73" w:rsidRPr="001924CB">
              <w:rPr>
                <w:rFonts w:ascii="Times New Roman" w:hAnsi="Times New Roman" w:cs="Times New Roman"/>
                <w:color w:val="000000" w:themeColor="text1"/>
                <w:sz w:val="24"/>
                <w:szCs w:val="24"/>
              </w:rPr>
              <w:t>ādēļ valsts atba</w:t>
            </w:r>
            <w:r w:rsidR="001116F0" w:rsidRPr="001924CB">
              <w:rPr>
                <w:rFonts w:ascii="Times New Roman" w:hAnsi="Times New Roman" w:cs="Times New Roman"/>
                <w:color w:val="000000" w:themeColor="text1"/>
                <w:sz w:val="24"/>
                <w:szCs w:val="24"/>
              </w:rPr>
              <w:t>ls</w:t>
            </w:r>
            <w:r w:rsidR="00661D73" w:rsidRPr="001924CB">
              <w:rPr>
                <w:rFonts w:ascii="Times New Roman" w:hAnsi="Times New Roman" w:cs="Times New Roman"/>
                <w:color w:val="000000" w:themeColor="text1"/>
                <w:sz w:val="24"/>
                <w:szCs w:val="24"/>
              </w:rPr>
              <w:t>ta turpināšanu ne vēlāk, kā no 202</w:t>
            </w:r>
            <w:r w:rsidR="00B30C2A" w:rsidRPr="001924CB">
              <w:rPr>
                <w:rFonts w:ascii="Times New Roman" w:hAnsi="Times New Roman" w:cs="Times New Roman"/>
                <w:color w:val="000000" w:themeColor="text1"/>
                <w:sz w:val="24"/>
                <w:szCs w:val="24"/>
              </w:rPr>
              <w:t>2</w:t>
            </w:r>
            <w:r w:rsidR="00661D73" w:rsidRPr="001924CB">
              <w:rPr>
                <w:rFonts w:ascii="Times New Roman" w:hAnsi="Times New Roman" w:cs="Times New Roman"/>
                <w:color w:val="000000" w:themeColor="text1"/>
                <w:sz w:val="24"/>
                <w:szCs w:val="24"/>
              </w:rPr>
              <w:t xml:space="preserve">. gada 1.janvāra, jāpamato ar </w:t>
            </w:r>
            <w:r w:rsidR="0055528B" w:rsidRPr="001924CB">
              <w:rPr>
                <w:rFonts w:ascii="Times New Roman" w:hAnsi="Times New Roman" w:cs="Times New Roman"/>
                <w:color w:val="000000" w:themeColor="text1"/>
                <w:sz w:val="24"/>
                <w:szCs w:val="24"/>
              </w:rPr>
              <w:t xml:space="preserve">no </w:t>
            </w:r>
            <w:r w:rsidR="00661D73" w:rsidRPr="001924CB">
              <w:rPr>
                <w:rFonts w:ascii="Times New Roman" w:hAnsi="Times New Roman" w:cs="Times New Roman"/>
                <w:color w:val="000000" w:themeColor="text1"/>
                <w:sz w:val="24"/>
                <w:szCs w:val="24"/>
              </w:rPr>
              <w:t xml:space="preserve">Eiropas Komisijas saņemto </w:t>
            </w:r>
            <w:r w:rsidR="00F42CBE" w:rsidRPr="001924CB">
              <w:rPr>
                <w:rFonts w:ascii="Times New Roman" w:hAnsi="Times New Roman" w:cs="Times New Roman"/>
                <w:color w:val="000000" w:themeColor="text1"/>
                <w:sz w:val="24"/>
                <w:szCs w:val="24"/>
              </w:rPr>
              <w:t>valsts atbalsta saskaņo</w:t>
            </w:r>
            <w:bookmarkEnd w:id="0"/>
            <w:r w:rsidR="0055528B" w:rsidRPr="001924CB">
              <w:rPr>
                <w:rFonts w:ascii="Times New Roman" w:hAnsi="Times New Roman" w:cs="Times New Roman"/>
                <w:color w:val="000000" w:themeColor="text1"/>
                <w:sz w:val="24"/>
                <w:szCs w:val="24"/>
              </w:rPr>
              <w:t>šanas lēmumu</w:t>
            </w:r>
            <w:r w:rsidR="00661D73" w:rsidRPr="001924CB">
              <w:rPr>
                <w:rFonts w:ascii="Times New Roman" w:hAnsi="Times New Roman" w:cs="Times New Roman"/>
                <w:color w:val="000000" w:themeColor="text1"/>
                <w:sz w:val="24"/>
                <w:szCs w:val="24"/>
              </w:rPr>
              <w:t xml:space="preserve"> </w:t>
            </w:r>
          </w:p>
          <w:p w14:paraId="7BAC78E0" w14:textId="560AB0A4" w:rsidR="003E590C" w:rsidRPr="001924CB" w:rsidRDefault="00B30C2A" w:rsidP="003E590C">
            <w:pPr>
              <w:spacing w:before="120" w:after="120" w:line="240" w:lineRule="auto"/>
              <w:ind w:right="110"/>
              <w:jc w:val="both"/>
              <w:rPr>
                <w:rFonts w:ascii="Times New Roman" w:hAnsi="Times New Roman" w:cs="Times New Roman"/>
                <w:color w:val="000000" w:themeColor="text1"/>
                <w:sz w:val="24"/>
                <w:szCs w:val="24"/>
              </w:rPr>
            </w:pPr>
            <w:r w:rsidRPr="001924CB">
              <w:rPr>
                <w:rFonts w:ascii="Times New Roman" w:hAnsi="Times New Roman" w:cs="Times New Roman"/>
                <w:color w:val="000000" w:themeColor="text1"/>
                <w:sz w:val="24"/>
                <w:szCs w:val="24"/>
              </w:rPr>
              <w:t>Valsts atbalsta turpināšana nepieciešama, ņemot verā sekojošus apstākļus, kuriem bija noteicošā loma, dabas gāzes transportam tirgus attīstībā līdz 2021. gadam</w:t>
            </w:r>
            <w:r w:rsidR="00F42CBE" w:rsidRPr="001924CB">
              <w:rPr>
                <w:rFonts w:ascii="Times New Roman" w:hAnsi="Times New Roman" w:cs="Times New Roman"/>
                <w:color w:val="000000" w:themeColor="text1"/>
                <w:sz w:val="24"/>
                <w:szCs w:val="24"/>
              </w:rPr>
              <w:t xml:space="preserve"> un </w:t>
            </w:r>
            <w:r w:rsidR="00F42CBE" w:rsidRPr="001924CB">
              <w:rPr>
                <w:rFonts w:ascii="Times New Roman" w:hAnsi="Times New Roman" w:cs="Times New Roman"/>
                <w:color w:val="000000" w:themeColor="text1"/>
                <w:sz w:val="24"/>
                <w:szCs w:val="24"/>
              </w:rPr>
              <w:lastRenderedPageBreak/>
              <w:t>2021. gadā, kad dabas gāzes transportam nodokļa likme tika samazināta</w:t>
            </w:r>
            <w:r w:rsidRPr="001924CB">
              <w:rPr>
                <w:rFonts w:ascii="Times New Roman" w:hAnsi="Times New Roman" w:cs="Times New Roman"/>
                <w:color w:val="000000" w:themeColor="text1"/>
                <w:sz w:val="24"/>
                <w:szCs w:val="24"/>
              </w:rPr>
              <w:t>.</w:t>
            </w:r>
          </w:p>
          <w:p w14:paraId="53EE7CB3" w14:textId="49F42BD2" w:rsidR="00650FB4" w:rsidRPr="001924CB" w:rsidRDefault="00A1091C" w:rsidP="00A71A5A">
            <w:pPr>
              <w:spacing w:before="120" w:after="120" w:line="240" w:lineRule="auto"/>
              <w:ind w:right="110"/>
              <w:jc w:val="both"/>
              <w:rPr>
                <w:rFonts w:ascii="Times New Roman" w:hAnsi="Times New Roman" w:cs="Times New Roman"/>
                <w:color w:val="000000" w:themeColor="text1"/>
                <w:sz w:val="24"/>
                <w:szCs w:val="24"/>
              </w:rPr>
            </w:pPr>
            <w:r w:rsidRPr="001924CB">
              <w:rPr>
                <w:rFonts w:ascii="Times New Roman" w:hAnsi="Times New Roman" w:cs="Times New Roman"/>
                <w:color w:val="000000" w:themeColor="text1"/>
                <w:sz w:val="24"/>
                <w:szCs w:val="24"/>
              </w:rPr>
              <w:t xml:space="preserve">Līdz 2021. gadam </w:t>
            </w:r>
            <w:r w:rsidR="00650FB4" w:rsidRPr="001924CB">
              <w:rPr>
                <w:rFonts w:ascii="Times New Roman" w:hAnsi="Times New Roman" w:cs="Times New Roman"/>
                <w:color w:val="000000" w:themeColor="text1"/>
                <w:sz w:val="24"/>
                <w:szCs w:val="24"/>
              </w:rPr>
              <w:t xml:space="preserve"> likuma “Par akcīzes nodokli” (turpmāk – likums) 15.</w:t>
            </w:r>
            <w:r w:rsidR="00650FB4" w:rsidRPr="001924CB">
              <w:rPr>
                <w:rFonts w:ascii="Times New Roman" w:hAnsi="Times New Roman" w:cs="Times New Roman"/>
                <w:color w:val="000000" w:themeColor="text1"/>
                <w:sz w:val="24"/>
                <w:szCs w:val="24"/>
                <w:vertAlign w:val="superscript"/>
              </w:rPr>
              <w:t>1</w:t>
            </w:r>
            <w:r w:rsidR="00650FB4" w:rsidRPr="001924CB">
              <w:rPr>
                <w:rFonts w:ascii="Times New Roman" w:hAnsi="Times New Roman" w:cs="Times New Roman"/>
                <w:color w:val="000000" w:themeColor="text1"/>
                <w:sz w:val="24"/>
                <w:szCs w:val="24"/>
              </w:rPr>
              <w:t xml:space="preserve"> panta otrā daļa noteic</w:t>
            </w:r>
            <w:r w:rsidRPr="001924CB">
              <w:rPr>
                <w:rFonts w:ascii="Times New Roman" w:hAnsi="Times New Roman" w:cs="Times New Roman"/>
                <w:color w:val="000000" w:themeColor="text1"/>
                <w:sz w:val="24"/>
                <w:szCs w:val="24"/>
              </w:rPr>
              <w:t>a</w:t>
            </w:r>
            <w:r w:rsidR="00650FB4" w:rsidRPr="001924CB">
              <w:rPr>
                <w:rFonts w:ascii="Times New Roman" w:hAnsi="Times New Roman" w:cs="Times New Roman"/>
                <w:color w:val="000000" w:themeColor="text1"/>
                <w:sz w:val="24"/>
                <w:szCs w:val="24"/>
              </w:rPr>
              <w:t xml:space="preserve">, ka akcīzes nodoklis dabasgāzei kā degvielas veidam </w:t>
            </w:r>
            <w:r w:rsidRPr="001924CB">
              <w:rPr>
                <w:rFonts w:ascii="Times New Roman" w:hAnsi="Times New Roman" w:cs="Times New Roman"/>
                <w:color w:val="000000" w:themeColor="text1"/>
                <w:sz w:val="24"/>
                <w:szCs w:val="24"/>
              </w:rPr>
              <w:t>bija</w:t>
            </w:r>
            <w:r w:rsidR="00650FB4" w:rsidRPr="001924CB">
              <w:rPr>
                <w:rFonts w:ascii="Times New Roman" w:hAnsi="Times New Roman" w:cs="Times New Roman"/>
                <w:color w:val="000000" w:themeColor="text1"/>
                <w:sz w:val="24"/>
                <w:szCs w:val="24"/>
              </w:rPr>
              <w:t xml:space="preserve"> 9,64 EUR/MWh, savukārt citās Eiropas Savienības valstīs kā viens no atbalsta mehānismiem ir šāda nodokļa ievērojama samazināšana, kā piemēram, Lietuvā vai Polijā. </w:t>
            </w:r>
          </w:p>
          <w:p w14:paraId="0BA9A58E" w14:textId="18407F57" w:rsidR="00BF27D6" w:rsidRPr="001924CB" w:rsidRDefault="00BF27D6" w:rsidP="00A71A5A">
            <w:pPr>
              <w:spacing w:before="120" w:after="120" w:line="240" w:lineRule="auto"/>
              <w:ind w:right="110"/>
              <w:jc w:val="both"/>
              <w:rPr>
                <w:rFonts w:ascii="Times New Roman" w:hAnsi="Times New Roman" w:cs="Times New Roman"/>
                <w:color w:val="000000" w:themeColor="text1"/>
                <w:sz w:val="24"/>
                <w:szCs w:val="24"/>
              </w:rPr>
            </w:pPr>
          </w:p>
          <w:tbl>
            <w:tblPr>
              <w:tblW w:w="5742" w:type="dxa"/>
              <w:tblCellMar>
                <w:left w:w="0" w:type="dxa"/>
                <w:right w:w="0" w:type="dxa"/>
              </w:tblCellMar>
              <w:tblLook w:val="04A0" w:firstRow="1" w:lastRow="0" w:firstColumn="1" w:lastColumn="0" w:noHBand="0" w:noVBand="1"/>
            </w:tblPr>
            <w:tblGrid>
              <w:gridCol w:w="1247"/>
              <w:gridCol w:w="998"/>
              <w:gridCol w:w="1230"/>
              <w:gridCol w:w="1316"/>
              <w:gridCol w:w="951"/>
            </w:tblGrid>
            <w:tr w:rsidR="00C768BD" w:rsidRPr="00C768BD" w14:paraId="2BEE5FF1" w14:textId="419F042E" w:rsidTr="00AC69B4">
              <w:trPr>
                <w:trHeight w:val="489"/>
              </w:trPr>
              <w:tc>
                <w:tcPr>
                  <w:tcW w:w="2245" w:type="dxa"/>
                  <w:gridSpan w:val="2"/>
                  <w:tcBorders>
                    <w:top w:val="single" w:sz="8" w:space="0" w:color="auto"/>
                    <w:left w:val="single" w:sz="8" w:space="0" w:color="auto"/>
                    <w:bottom w:val="single" w:sz="8" w:space="0" w:color="auto"/>
                    <w:right w:val="single" w:sz="4" w:space="0" w:color="FFFFFF" w:themeColor="background1"/>
                  </w:tcBorders>
                  <w:shd w:val="clear" w:color="auto" w:fill="002060"/>
                  <w:tcMar>
                    <w:top w:w="0" w:type="dxa"/>
                    <w:left w:w="108" w:type="dxa"/>
                    <w:bottom w:w="0" w:type="dxa"/>
                    <w:right w:w="108" w:type="dxa"/>
                  </w:tcMar>
                </w:tcPr>
                <w:p w14:paraId="4C62B2FB" w14:textId="77777777" w:rsidR="00BF27D6" w:rsidRPr="001924CB" w:rsidRDefault="00BF27D6" w:rsidP="00BF27D6">
                  <w:pPr>
                    <w:jc w:val="center"/>
                    <w:rPr>
                      <w:rFonts w:ascii="Times New Roman" w:hAnsi="Times New Roman" w:cs="Times New Roman"/>
                      <w:i/>
                      <w:color w:val="000000" w:themeColor="text1"/>
                      <w:sz w:val="21"/>
                      <w:szCs w:val="21"/>
                    </w:rPr>
                  </w:pPr>
                </w:p>
              </w:tc>
              <w:tc>
                <w:tcPr>
                  <w:tcW w:w="1230" w:type="dxa"/>
                  <w:tcBorders>
                    <w:top w:val="single" w:sz="8" w:space="0" w:color="auto"/>
                    <w:left w:val="single" w:sz="4" w:space="0" w:color="FFFFFF" w:themeColor="background1"/>
                    <w:bottom w:val="single" w:sz="8" w:space="0" w:color="auto"/>
                    <w:right w:val="single" w:sz="4" w:space="0" w:color="FFFFFF" w:themeColor="background1"/>
                  </w:tcBorders>
                  <w:shd w:val="clear" w:color="auto" w:fill="002060"/>
                  <w:tcMar>
                    <w:top w:w="0" w:type="dxa"/>
                    <w:left w:w="108" w:type="dxa"/>
                    <w:bottom w:w="0" w:type="dxa"/>
                    <w:right w:w="108" w:type="dxa"/>
                  </w:tcMar>
                  <w:hideMark/>
                </w:tcPr>
                <w:p w14:paraId="0179376E" w14:textId="6F43C4BA" w:rsidR="00BF27D6" w:rsidRPr="001924CB" w:rsidRDefault="00BF27D6" w:rsidP="00BF27D6">
                  <w:pPr>
                    <w:jc w:val="center"/>
                    <w:rPr>
                      <w:rFonts w:ascii="Times New Roman" w:hAnsi="Times New Roman" w:cs="Times New Roman"/>
                      <w:color w:val="000000" w:themeColor="text1"/>
                      <w:sz w:val="21"/>
                      <w:szCs w:val="21"/>
                    </w:rPr>
                  </w:pPr>
                  <w:r w:rsidRPr="001924CB">
                    <w:rPr>
                      <w:rFonts w:ascii="Times New Roman" w:hAnsi="Times New Roman" w:cs="Times New Roman"/>
                      <w:color w:val="000000" w:themeColor="text1"/>
                      <w:sz w:val="21"/>
                      <w:szCs w:val="21"/>
                    </w:rPr>
                    <w:t xml:space="preserve"> </w:t>
                  </w:r>
                  <w:r w:rsidR="00F42CBE" w:rsidRPr="001924CB">
                    <w:rPr>
                      <w:rFonts w:ascii="Times New Roman" w:hAnsi="Times New Roman" w:cs="Times New Roman"/>
                      <w:color w:val="000000" w:themeColor="text1"/>
                      <w:sz w:val="21"/>
                      <w:szCs w:val="21"/>
                    </w:rPr>
                    <w:t>L</w:t>
                  </w:r>
                  <w:r w:rsidRPr="001924CB">
                    <w:rPr>
                      <w:rFonts w:ascii="Times New Roman" w:hAnsi="Times New Roman" w:cs="Times New Roman"/>
                      <w:color w:val="000000" w:themeColor="text1"/>
                      <w:sz w:val="21"/>
                      <w:szCs w:val="21"/>
                    </w:rPr>
                    <w:t xml:space="preserve">ikme </w:t>
                  </w:r>
                </w:p>
                <w:p w14:paraId="22502E2F" w14:textId="77777777" w:rsidR="00BF27D6" w:rsidRPr="001924CB" w:rsidRDefault="00BF27D6" w:rsidP="00BF27D6">
                  <w:pPr>
                    <w:jc w:val="center"/>
                    <w:rPr>
                      <w:rFonts w:ascii="Times New Roman" w:hAnsi="Times New Roman" w:cs="Times New Roman"/>
                      <w:b/>
                      <w:i/>
                      <w:color w:val="000000" w:themeColor="text1"/>
                      <w:sz w:val="21"/>
                      <w:szCs w:val="21"/>
                    </w:rPr>
                  </w:pPr>
                  <w:r w:rsidRPr="001924CB">
                    <w:rPr>
                      <w:rFonts w:ascii="Times New Roman" w:hAnsi="Times New Roman" w:cs="Times New Roman"/>
                      <w:b/>
                      <w:color w:val="000000" w:themeColor="text1"/>
                      <w:sz w:val="21"/>
                      <w:szCs w:val="21"/>
                    </w:rPr>
                    <w:t>2020.gadā</w:t>
                  </w:r>
                </w:p>
              </w:tc>
              <w:tc>
                <w:tcPr>
                  <w:tcW w:w="1316" w:type="dxa"/>
                  <w:tcBorders>
                    <w:top w:val="single" w:sz="8" w:space="0" w:color="auto"/>
                    <w:left w:val="single" w:sz="4" w:space="0" w:color="FFFFFF" w:themeColor="background1"/>
                    <w:bottom w:val="single" w:sz="8" w:space="0" w:color="auto"/>
                    <w:right w:val="single" w:sz="4" w:space="0" w:color="FFFFFF" w:themeColor="background1"/>
                  </w:tcBorders>
                  <w:shd w:val="clear" w:color="auto" w:fill="002060"/>
                  <w:tcMar>
                    <w:top w:w="0" w:type="dxa"/>
                    <w:left w:w="108" w:type="dxa"/>
                    <w:bottom w:w="0" w:type="dxa"/>
                    <w:right w:w="108" w:type="dxa"/>
                  </w:tcMar>
                  <w:hideMark/>
                </w:tcPr>
                <w:p w14:paraId="596B48D8" w14:textId="77777777" w:rsidR="00BF27D6" w:rsidRPr="001924CB" w:rsidRDefault="00BF27D6" w:rsidP="00BF27D6">
                  <w:pPr>
                    <w:jc w:val="center"/>
                    <w:rPr>
                      <w:rFonts w:ascii="Times New Roman" w:hAnsi="Times New Roman" w:cs="Times New Roman"/>
                      <w:i/>
                      <w:color w:val="000000" w:themeColor="text1"/>
                      <w:sz w:val="21"/>
                      <w:szCs w:val="21"/>
                    </w:rPr>
                  </w:pPr>
                  <w:r w:rsidRPr="001924CB">
                    <w:rPr>
                      <w:rFonts w:ascii="Times New Roman" w:hAnsi="Times New Roman" w:cs="Times New Roman"/>
                      <w:b/>
                      <w:color w:val="000000" w:themeColor="text1"/>
                      <w:sz w:val="21"/>
                      <w:szCs w:val="21"/>
                    </w:rPr>
                    <w:t>2021. – 2025.g.</w:t>
                  </w:r>
                </w:p>
              </w:tc>
              <w:tc>
                <w:tcPr>
                  <w:tcW w:w="951" w:type="dxa"/>
                  <w:tcBorders>
                    <w:top w:val="single" w:sz="8" w:space="0" w:color="auto"/>
                    <w:left w:val="single" w:sz="4" w:space="0" w:color="FFFFFF" w:themeColor="background1"/>
                    <w:bottom w:val="single" w:sz="8" w:space="0" w:color="auto"/>
                    <w:right w:val="single" w:sz="4" w:space="0" w:color="FFFFFF" w:themeColor="background1"/>
                  </w:tcBorders>
                  <w:shd w:val="clear" w:color="auto" w:fill="002060"/>
                </w:tcPr>
                <w:p w14:paraId="0C702092" w14:textId="3D469007" w:rsidR="00BF27D6" w:rsidRPr="001924CB" w:rsidRDefault="00650FB4" w:rsidP="00BF27D6">
                  <w:pPr>
                    <w:jc w:val="center"/>
                    <w:rPr>
                      <w:rFonts w:ascii="Times New Roman" w:hAnsi="Times New Roman" w:cs="Times New Roman"/>
                      <w:b/>
                      <w:color w:val="000000" w:themeColor="text1"/>
                      <w:sz w:val="21"/>
                      <w:szCs w:val="21"/>
                    </w:rPr>
                  </w:pPr>
                  <w:r w:rsidRPr="001924CB">
                    <w:rPr>
                      <w:rFonts w:ascii="Times New Roman" w:hAnsi="Times New Roman" w:cs="Times New Roman"/>
                      <w:b/>
                      <w:color w:val="000000" w:themeColor="text1"/>
                      <w:sz w:val="21"/>
                      <w:szCs w:val="21"/>
                    </w:rPr>
                    <w:t>Sākot ar 2026.g.</w:t>
                  </w:r>
                </w:p>
              </w:tc>
            </w:tr>
            <w:tr w:rsidR="00C768BD" w:rsidRPr="00C768BD" w14:paraId="4E807869" w14:textId="449E3BEF" w:rsidTr="00AC69B4">
              <w:trPr>
                <w:trHeight w:val="267"/>
              </w:trPr>
              <w:tc>
                <w:tcPr>
                  <w:tcW w:w="1247"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14:paraId="72E372D2" w14:textId="77777777" w:rsidR="00BF27D6" w:rsidRPr="001924CB" w:rsidRDefault="00BF27D6" w:rsidP="00BF27D6">
                  <w:pPr>
                    <w:jc w:val="both"/>
                    <w:rPr>
                      <w:rFonts w:ascii="Times New Roman" w:hAnsi="Times New Roman" w:cs="Times New Roman"/>
                      <w:color w:val="000000" w:themeColor="text1"/>
                      <w:sz w:val="21"/>
                      <w:szCs w:val="21"/>
                    </w:rPr>
                  </w:pPr>
                </w:p>
                <w:p w14:paraId="1AB8CD11" w14:textId="77777777" w:rsidR="00BF27D6" w:rsidRPr="001924CB" w:rsidRDefault="00BF27D6" w:rsidP="00BF27D6">
                  <w:pPr>
                    <w:jc w:val="both"/>
                    <w:rPr>
                      <w:rFonts w:ascii="Times New Roman" w:hAnsi="Times New Roman" w:cs="Times New Roman"/>
                      <w:color w:val="000000" w:themeColor="text1"/>
                      <w:sz w:val="21"/>
                      <w:szCs w:val="21"/>
                    </w:rPr>
                  </w:pPr>
                  <w:r w:rsidRPr="001924CB">
                    <w:rPr>
                      <w:rFonts w:ascii="Times New Roman" w:hAnsi="Times New Roman" w:cs="Times New Roman"/>
                      <w:color w:val="000000" w:themeColor="text1"/>
                      <w:sz w:val="21"/>
                      <w:szCs w:val="21"/>
                    </w:rPr>
                    <w:t>Dabasgāze kā degviela</w:t>
                  </w:r>
                </w:p>
              </w:tc>
              <w:tc>
                <w:tcPr>
                  <w:tcW w:w="998" w:type="dxa"/>
                  <w:tcBorders>
                    <w:top w:val="single" w:sz="8"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hideMark/>
                </w:tcPr>
                <w:p w14:paraId="3E9FB282" w14:textId="77777777" w:rsidR="00BF27D6" w:rsidRPr="001924CB" w:rsidRDefault="00BF27D6" w:rsidP="00BF27D6">
                  <w:pPr>
                    <w:jc w:val="center"/>
                    <w:rPr>
                      <w:rFonts w:ascii="Times New Roman" w:hAnsi="Times New Roman" w:cs="Times New Roman"/>
                      <w:i/>
                      <w:color w:val="000000" w:themeColor="text1"/>
                      <w:sz w:val="20"/>
                      <w:szCs w:val="20"/>
                    </w:rPr>
                  </w:pPr>
                  <w:r w:rsidRPr="001924CB">
                    <w:rPr>
                      <w:rFonts w:ascii="Times New Roman" w:hAnsi="Times New Roman" w:cs="Times New Roman"/>
                      <w:i/>
                      <w:color w:val="000000" w:themeColor="text1"/>
                      <w:sz w:val="20"/>
                      <w:szCs w:val="20"/>
                    </w:rPr>
                    <w:t>par 1000 m</w:t>
                  </w:r>
                  <w:r w:rsidRPr="001924CB">
                    <w:rPr>
                      <w:rFonts w:ascii="Times New Roman" w:eastAsia="Times New Roman" w:hAnsi="Times New Roman" w:cs="Times New Roman"/>
                      <w:color w:val="000000" w:themeColor="text1"/>
                      <w:sz w:val="20"/>
                      <w:szCs w:val="20"/>
                      <w:vertAlign w:val="superscript"/>
                      <w:lang w:eastAsia="lv-LV"/>
                    </w:rPr>
                    <w:t>3</w:t>
                  </w:r>
                </w:p>
              </w:tc>
              <w:tc>
                <w:tcPr>
                  <w:tcW w:w="123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0F8FFAF3" w14:textId="77777777" w:rsidR="00BF27D6" w:rsidRPr="001924CB" w:rsidRDefault="00BF27D6" w:rsidP="00BF27D6">
                  <w:pPr>
                    <w:jc w:val="center"/>
                    <w:rPr>
                      <w:rFonts w:ascii="Times New Roman" w:hAnsi="Times New Roman" w:cs="Times New Roman"/>
                      <w:b/>
                      <w:color w:val="000000" w:themeColor="text1"/>
                      <w:sz w:val="21"/>
                      <w:szCs w:val="21"/>
                    </w:rPr>
                  </w:pPr>
                  <w:r w:rsidRPr="001924CB">
                    <w:rPr>
                      <w:rFonts w:ascii="Times New Roman" w:hAnsi="Times New Roman" w:cs="Times New Roman"/>
                      <w:b/>
                      <w:color w:val="000000" w:themeColor="text1"/>
                      <w:sz w:val="21"/>
                      <w:szCs w:val="21"/>
                    </w:rPr>
                    <w:t>101</w:t>
                  </w:r>
                </w:p>
              </w:tc>
              <w:tc>
                <w:tcPr>
                  <w:tcW w:w="1316" w:type="dxa"/>
                  <w:tcBorders>
                    <w:top w:val="single" w:sz="8"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219AE7F6" w14:textId="77777777" w:rsidR="00BF27D6" w:rsidRPr="001924CB" w:rsidRDefault="00BF27D6" w:rsidP="00BF27D6">
                  <w:pPr>
                    <w:jc w:val="center"/>
                    <w:rPr>
                      <w:rFonts w:ascii="Times New Roman" w:hAnsi="Times New Roman" w:cs="Times New Roman"/>
                      <w:b/>
                      <w:color w:val="000000" w:themeColor="text1"/>
                      <w:sz w:val="21"/>
                      <w:szCs w:val="21"/>
                    </w:rPr>
                  </w:pPr>
                  <w:r w:rsidRPr="001924CB">
                    <w:rPr>
                      <w:rFonts w:ascii="Times New Roman" w:hAnsi="Times New Roman" w:cs="Times New Roman"/>
                      <w:b/>
                      <w:color w:val="000000" w:themeColor="text1"/>
                      <w:sz w:val="21"/>
                      <w:szCs w:val="21"/>
                    </w:rPr>
                    <w:t>20,00</w:t>
                  </w:r>
                </w:p>
              </w:tc>
              <w:tc>
                <w:tcPr>
                  <w:tcW w:w="951" w:type="dxa"/>
                  <w:tcBorders>
                    <w:top w:val="single" w:sz="8" w:space="0" w:color="auto"/>
                    <w:left w:val="nil"/>
                    <w:bottom w:val="single" w:sz="4" w:space="0" w:color="auto"/>
                    <w:right w:val="single" w:sz="8" w:space="0" w:color="auto"/>
                  </w:tcBorders>
                  <w:shd w:val="clear" w:color="auto" w:fill="FFFFFF" w:themeFill="background1"/>
                </w:tcPr>
                <w:p w14:paraId="056E10D3" w14:textId="0A28B9C2" w:rsidR="00BF27D6" w:rsidRPr="001924CB" w:rsidRDefault="00650FB4" w:rsidP="00BF27D6">
                  <w:pPr>
                    <w:jc w:val="center"/>
                    <w:rPr>
                      <w:rFonts w:ascii="Times New Roman" w:hAnsi="Times New Roman" w:cs="Times New Roman"/>
                      <w:b/>
                      <w:color w:val="000000" w:themeColor="text1"/>
                      <w:sz w:val="21"/>
                      <w:szCs w:val="21"/>
                    </w:rPr>
                  </w:pPr>
                  <w:r w:rsidRPr="001924CB">
                    <w:rPr>
                      <w:rFonts w:ascii="Times New Roman" w:hAnsi="Times New Roman" w:cs="Times New Roman"/>
                      <w:b/>
                      <w:color w:val="000000" w:themeColor="text1"/>
                      <w:sz w:val="21"/>
                      <w:szCs w:val="21"/>
                    </w:rPr>
                    <w:t>105</w:t>
                  </w:r>
                </w:p>
              </w:tc>
            </w:tr>
            <w:tr w:rsidR="00C768BD" w:rsidRPr="00C768BD" w14:paraId="29C0C8FE" w14:textId="6A882FB0" w:rsidTr="00AC69B4">
              <w:trPr>
                <w:trHeight w:val="267"/>
              </w:trPr>
              <w:tc>
                <w:tcPr>
                  <w:tcW w:w="1247" w:type="dxa"/>
                  <w:vMerge/>
                  <w:tcBorders>
                    <w:left w:val="single" w:sz="8" w:space="0" w:color="auto"/>
                    <w:bottom w:val="single" w:sz="4" w:space="0" w:color="auto"/>
                    <w:right w:val="single" w:sz="8" w:space="0" w:color="auto"/>
                  </w:tcBorders>
                  <w:tcMar>
                    <w:top w:w="0" w:type="dxa"/>
                    <w:left w:w="108" w:type="dxa"/>
                    <w:bottom w:w="0" w:type="dxa"/>
                    <w:right w:w="108" w:type="dxa"/>
                  </w:tcMar>
                  <w:hideMark/>
                </w:tcPr>
                <w:p w14:paraId="31983208" w14:textId="77777777" w:rsidR="00BF27D6" w:rsidRPr="001924CB" w:rsidRDefault="00BF27D6" w:rsidP="00BF27D6">
                  <w:pPr>
                    <w:rPr>
                      <w:rFonts w:ascii="Times New Roman" w:hAnsi="Times New Roman" w:cs="Times New Roman"/>
                      <w:color w:val="000000" w:themeColor="text1"/>
                      <w:sz w:val="21"/>
                      <w:szCs w:val="21"/>
                    </w:rPr>
                  </w:pPr>
                </w:p>
              </w:tc>
              <w:tc>
                <w:tcPr>
                  <w:tcW w:w="998"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hideMark/>
                </w:tcPr>
                <w:p w14:paraId="36C4273C" w14:textId="77777777" w:rsidR="00BF27D6" w:rsidRPr="001924CB" w:rsidRDefault="00BF27D6" w:rsidP="00BF27D6">
                  <w:pPr>
                    <w:jc w:val="center"/>
                    <w:rPr>
                      <w:rFonts w:ascii="Times New Roman" w:hAnsi="Times New Roman" w:cs="Times New Roman"/>
                      <w:i/>
                      <w:color w:val="000000" w:themeColor="text1"/>
                      <w:sz w:val="20"/>
                      <w:szCs w:val="20"/>
                    </w:rPr>
                  </w:pPr>
                  <w:r w:rsidRPr="001924CB">
                    <w:rPr>
                      <w:rFonts w:ascii="Times New Roman" w:hAnsi="Times New Roman" w:cs="Times New Roman"/>
                      <w:i/>
                      <w:color w:val="000000" w:themeColor="text1"/>
                      <w:sz w:val="20"/>
                      <w:szCs w:val="20"/>
                    </w:rPr>
                    <w:t>par  1 MWh</w:t>
                  </w:r>
                </w:p>
              </w:tc>
              <w:tc>
                <w:tcPr>
                  <w:tcW w:w="123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E2209D5" w14:textId="77777777" w:rsidR="00BF27D6" w:rsidRPr="001924CB" w:rsidRDefault="00BF27D6" w:rsidP="00BF27D6">
                  <w:pPr>
                    <w:jc w:val="center"/>
                    <w:rPr>
                      <w:rFonts w:ascii="Times New Roman" w:hAnsi="Times New Roman" w:cs="Times New Roman"/>
                      <w:b/>
                      <w:color w:val="000000" w:themeColor="text1"/>
                      <w:sz w:val="20"/>
                      <w:szCs w:val="20"/>
                    </w:rPr>
                  </w:pPr>
                  <w:r w:rsidRPr="001924CB">
                    <w:rPr>
                      <w:rFonts w:ascii="Times New Roman" w:hAnsi="Times New Roman" w:cs="Times New Roman"/>
                      <w:b/>
                      <w:color w:val="000000" w:themeColor="text1"/>
                      <w:sz w:val="20"/>
                      <w:szCs w:val="20"/>
                    </w:rPr>
                    <w:t>9,64</w:t>
                  </w:r>
                </w:p>
              </w:tc>
              <w:tc>
                <w:tcPr>
                  <w:tcW w:w="1316" w:type="dxa"/>
                  <w:tcBorders>
                    <w:top w:val="single" w:sz="4" w:space="0" w:color="auto"/>
                    <w:left w:val="nil"/>
                    <w:bottom w:val="single" w:sz="4" w:space="0" w:color="auto"/>
                    <w:right w:val="single" w:sz="4" w:space="0" w:color="auto"/>
                  </w:tcBorders>
                  <w:shd w:val="clear" w:color="auto" w:fill="FFFFFF" w:themeFill="background1"/>
                  <w:tcMar>
                    <w:top w:w="0" w:type="dxa"/>
                    <w:left w:w="108" w:type="dxa"/>
                    <w:bottom w:w="0" w:type="dxa"/>
                    <w:right w:w="108" w:type="dxa"/>
                  </w:tcMar>
                </w:tcPr>
                <w:p w14:paraId="1ADFEC79" w14:textId="77777777" w:rsidR="00BF27D6" w:rsidRPr="001924CB" w:rsidRDefault="00BF27D6" w:rsidP="00BF27D6">
                  <w:pPr>
                    <w:jc w:val="center"/>
                    <w:rPr>
                      <w:rFonts w:ascii="Times New Roman" w:hAnsi="Times New Roman" w:cs="Times New Roman"/>
                      <w:b/>
                      <w:color w:val="000000" w:themeColor="text1"/>
                      <w:sz w:val="21"/>
                      <w:szCs w:val="21"/>
                    </w:rPr>
                  </w:pPr>
                  <w:r w:rsidRPr="001924CB">
                    <w:rPr>
                      <w:rFonts w:ascii="Times New Roman" w:hAnsi="Times New Roman" w:cs="Times New Roman"/>
                      <w:b/>
                      <w:color w:val="000000" w:themeColor="text1"/>
                      <w:sz w:val="21"/>
                      <w:szCs w:val="21"/>
                    </w:rPr>
                    <w:t>1,91</w:t>
                  </w:r>
                </w:p>
              </w:tc>
              <w:tc>
                <w:tcPr>
                  <w:tcW w:w="951" w:type="dxa"/>
                  <w:tcBorders>
                    <w:top w:val="single" w:sz="4" w:space="0" w:color="auto"/>
                    <w:left w:val="nil"/>
                    <w:bottom w:val="single" w:sz="4" w:space="0" w:color="auto"/>
                    <w:right w:val="single" w:sz="4" w:space="0" w:color="auto"/>
                  </w:tcBorders>
                  <w:shd w:val="clear" w:color="auto" w:fill="FFFFFF" w:themeFill="background1"/>
                </w:tcPr>
                <w:p w14:paraId="059A6642" w14:textId="2605A820" w:rsidR="00BF27D6" w:rsidRPr="001924CB" w:rsidRDefault="00650FB4" w:rsidP="00BF27D6">
                  <w:pPr>
                    <w:jc w:val="center"/>
                    <w:rPr>
                      <w:rFonts w:ascii="Times New Roman" w:hAnsi="Times New Roman" w:cs="Times New Roman"/>
                      <w:b/>
                      <w:color w:val="000000" w:themeColor="text1"/>
                      <w:sz w:val="21"/>
                      <w:szCs w:val="21"/>
                    </w:rPr>
                  </w:pPr>
                  <w:r w:rsidRPr="001924CB">
                    <w:rPr>
                      <w:rFonts w:ascii="Times New Roman" w:hAnsi="Times New Roman" w:cs="Times New Roman"/>
                      <w:b/>
                      <w:color w:val="000000" w:themeColor="text1"/>
                      <w:sz w:val="21"/>
                      <w:szCs w:val="21"/>
                    </w:rPr>
                    <w:t>10</w:t>
                  </w:r>
                </w:p>
              </w:tc>
            </w:tr>
          </w:tbl>
          <w:p w14:paraId="464F4AFB" w14:textId="6CA277DB" w:rsidR="00BF27D6" w:rsidRPr="001924CB" w:rsidRDefault="00BF27D6" w:rsidP="00A71A5A">
            <w:pPr>
              <w:spacing w:before="120" w:after="120" w:line="240" w:lineRule="auto"/>
              <w:ind w:right="110"/>
              <w:jc w:val="both"/>
              <w:rPr>
                <w:rFonts w:ascii="Times New Roman" w:hAnsi="Times New Roman" w:cs="Times New Roman"/>
                <w:color w:val="000000" w:themeColor="text1"/>
                <w:sz w:val="24"/>
                <w:szCs w:val="24"/>
              </w:rPr>
            </w:pPr>
          </w:p>
          <w:p w14:paraId="4C6ADB97" w14:textId="08171D0D" w:rsidR="00650FB4" w:rsidRPr="001924CB" w:rsidRDefault="00F42CBE" w:rsidP="00650FB4">
            <w:pPr>
              <w:spacing w:before="120" w:after="120" w:line="240" w:lineRule="auto"/>
              <w:ind w:right="110"/>
              <w:jc w:val="both"/>
              <w:rPr>
                <w:rFonts w:ascii="Times New Roman" w:hAnsi="Times New Roman" w:cs="Times New Roman"/>
                <w:color w:val="000000" w:themeColor="text1"/>
                <w:sz w:val="24"/>
                <w:szCs w:val="24"/>
              </w:rPr>
            </w:pPr>
            <w:r w:rsidRPr="001924CB">
              <w:rPr>
                <w:rFonts w:ascii="Times New Roman" w:hAnsi="Times New Roman" w:cs="Times New Roman"/>
                <w:color w:val="000000" w:themeColor="text1"/>
                <w:sz w:val="24"/>
                <w:szCs w:val="24"/>
              </w:rPr>
              <w:t xml:space="preserve">Līdz 2021. gadam dabas gāzes transportam tirgus netika </w:t>
            </w:r>
            <w:r w:rsidR="002D2A6A" w:rsidRPr="001924CB">
              <w:rPr>
                <w:rFonts w:ascii="Times New Roman" w:hAnsi="Times New Roman" w:cs="Times New Roman"/>
                <w:color w:val="000000" w:themeColor="text1"/>
                <w:sz w:val="24"/>
                <w:szCs w:val="24"/>
              </w:rPr>
              <w:t xml:space="preserve">pietiekoši </w:t>
            </w:r>
            <w:r w:rsidRPr="001924CB">
              <w:rPr>
                <w:rFonts w:ascii="Times New Roman" w:hAnsi="Times New Roman" w:cs="Times New Roman"/>
                <w:color w:val="000000" w:themeColor="text1"/>
                <w:sz w:val="24"/>
                <w:szCs w:val="24"/>
              </w:rPr>
              <w:t>attīstīts</w:t>
            </w:r>
            <w:r w:rsidR="002D2A6A" w:rsidRPr="001924CB">
              <w:rPr>
                <w:rFonts w:ascii="Times New Roman" w:hAnsi="Times New Roman" w:cs="Times New Roman"/>
                <w:color w:val="000000" w:themeColor="text1"/>
                <w:sz w:val="24"/>
                <w:szCs w:val="24"/>
              </w:rPr>
              <w:t>, kas, piemēram, izriet no</w:t>
            </w:r>
            <w:r w:rsidRPr="001924CB">
              <w:rPr>
                <w:rFonts w:ascii="Times New Roman" w:hAnsi="Times New Roman" w:cs="Times New Roman"/>
                <w:color w:val="000000" w:themeColor="text1"/>
                <w:sz w:val="24"/>
                <w:szCs w:val="24"/>
              </w:rPr>
              <w:t xml:space="preserve">  </w:t>
            </w:r>
            <w:r w:rsidR="00650FB4" w:rsidRPr="001924CB">
              <w:rPr>
                <w:rFonts w:ascii="Times New Roman" w:hAnsi="Times New Roman" w:cs="Times New Roman"/>
                <w:color w:val="000000" w:themeColor="text1"/>
                <w:sz w:val="24"/>
                <w:szCs w:val="24"/>
              </w:rPr>
              <w:t>2017.gada 25.aprīļa Ministru kabineta rīkojumā Nr.202 “Par Alternatīvo degvielu attīstības plānu 2017.-2020.gadam” (turpmāk – Attīstības plāns) norādīt</w:t>
            </w:r>
            <w:r w:rsidR="002D2A6A" w:rsidRPr="001924CB">
              <w:rPr>
                <w:rFonts w:ascii="Times New Roman" w:hAnsi="Times New Roman" w:cs="Times New Roman"/>
                <w:color w:val="000000" w:themeColor="text1"/>
                <w:sz w:val="24"/>
                <w:szCs w:val="24"/>
              </w:rPr>
              <w:t>ā</w:t>
            </w:r>
            <w:r w:rsidR="00650FB4" w:rsidRPr="001924CB">
              <w:rPr>
                <w:rFonts w:ascii="Times New Roman" w:hAnsi="Times New Roman" w:cs="Times New Roman"/>
                <w:color w:val="000000" w:themeColor="text1"/>
                <w:sz w:val="24"/>
                <w:szCs w:val="24"/>
              </w:rPr>
              <w:t xml:space="preserve">, ka Latvijā reģistrēts mazs skaits transportlīdzekļu, kuri kā degvielu var izmantot dabasgāzi. Latvijā </w:t>
            </w:r>
            <w:r w:rsidR="002D2A6A" w:rsidRPr="001924CB">
              <w:rPr>
                <w:rFonts w:ascii="Times New Roman" w:hAnsi="Times New Roman" w:cs="Times New Roman"/>
                <w:color w:val="000000" w:themeColor="text1"/>
                <w:sz w:val="24"/>
                <w:szCs w:val="24"/>
              </w:rPr>
              <w:t>tajā laikā bija</w:t>
            </w:r>
            <w:r w:rsidR="00650FB4" w:rsidRPr="001924CB">
              <w:rPr>
                <w:rFonts w:ascii="Times New Roman" w:hAnsi="Times New Roman" w:cs="Times New Roman"/>
                <w:color w:val="000000" w:themeColor="text1"/>
                <w:sz w:val="24"/>
                <w:szCs w:val="24"/>
              </w:rPr>
              <w:t xml:space="preserve"> aptuveni 160 šādi transportlīdzekļi, Lietuvā – 380, Igaunijā – 400, Polijā – 3600 (2019.gada dati).  Lai arī šādu transportlīdzekļu radītās  emisijas ir būtiski zemākas (līdz pat 25%), nekā dīzeļdegvielai, šie transportlīdzekļi nav izplatīti, jo tiem nepieciešamā infrastruktūra Latvijā nav attīstīta. Tāpat Attīstības plānā konstatēts, ka dabasgāzei kā alternatīvās degvielas veidam uzmanību pievērsuši Eiropas vadošie autoražotāji. Jau 2017.gadā ar saspiestās dabasgāzes (turpmāk – CNG) darbināmu transportlīdzekļu piedāvājumā bija vairāk kā 50 pasažieru transportlīdzekļi un vieglie komerctransportlīdzekļi (Fiat, Lancia, Mercedes, Iveco, Volkswagen, Audi, Seat, Skoda, Opel un Volvo). Attīstības plānā arī ir secināts, ka Latvijā dabasgāzes izmantošana transportā ir maz attīstīta, jo nav pietiekams valsts atbalsts. </w:t>
            </w:r>
            <w:r w:rsidR="005A68C5" w:rsidRPr="001924CB">
              <w:rPr>
                <w:rFonts w:ascii="Times New Roman" w:hAnsi="Times New Roman" w:cs="Times New Roman"/>
                <w:color w:val="000000" w:themeColor="text1"/>
                <w:sz w:val="24"/>
                <w:szCs w:val="24"/>
              </w:rPr>
              <w:t>2020. gadā</w:t>
            </w:r>
            <w:r w:rsidR="00650FB4" w:rsidRPr="001924CB">
              <w:rPr>
                <w:rFonts w:ascii="Times New Roman" w:hAnsi="Times New Roman" w:cs="Times New Roman"/>
                <w:color w:val="000000" w:themeColor="text1"/>
                <w:sz w:val="24"/>
                <w:szCs w:val="24"/>
              </w:rPr>
              <w:t xml:space="preserve"> Latvijā ekspluatācijā nodot</w:t>
            </w:r>
            <w:r w:rsidR="00204815" w:rsidRPr="001924CB">
              <w:rPr>
                <w:rFonts w:ascii="Times New Roman" w:hAnsi="Times New Roman" w:cs="Times New Roman"/>
                <w:color w:val="000000" w:themeColor="text1"/>
                <w:sz w:val="24"/>
                <w:szCs w:val="24"/>
              </w:rPr>
              <w:t>i</w:t>
            </w:r>
            <w:r w:rsidR="00650FB4" w:rsidRPr="001924CB">
              <w:rPr>
                <w:rFonts w:ascii="Times New Roman" w:hAnsi="Times New Roman" w:cs="Times New Roman"/>
                <w:color w:val="000000" w:themeColor="text1"/>
                <w:sz w:val="24"/>
                <w:szCs w:val="24"/>
              </w:rPr>
              <w:t xml:space="preserve">  divi publiski pieejamie CNG un viens privātais CNG uzpildes punkts, savukārt kaimiņvalstīs ir jau attīstīti publisko staciju tīkli.   </w:t>
            </w:r>
          </w:p>
          <w:p w14:paraId="0698C25D" w14:textId="79C239C3" w:rsidR="00650FB4" w:rsidRPr="001924CB" w:rsidRDefault="00650FB4" w:rsidP="00650FB4">
            <w:pPr>
              <w:spacing w:before="120" w:after="120" w:line="240" w:lineRule="auto"/>
              <w:ind w:right="110"/>
              <w:jc w:val="both"/>
              <w:rPr>
                <w:rFonts w:ascii="Times New Roman" w:hAnsi="Times New Roman" w:cs="Times New Roman"/>
                <w:color w:val="000000" w:themeColor="text1"/>
                <w:sz w:val="24"/>
                <w:szCs w:val="24"/>
              </w:rPr>
            </w:pPr>
            <w:r w:rsidRPr="001924CB">
              <w:rPr>
                <w:rFonts w:ascii="Times New Roman" w:hAnsi="Times New Roman" w:cs="Times New Roman"/>
                <w:color w:val="000000" w:themeColor="text1"/>
                <w:sz w:val="24"/>
                <w:szCs w:val="24"/>
              </w:rPr>
              <w:t>Likumprojektā paredzētā regulējuma pieņemšana</w:t>
            </w:r>
            <w:r w:rsidR="00965329" w:rsidRPr="001924CB">
              <w:rPr>
                <w:rFonts w:ascii="Times New Roman" w:hAnsi="Times New Roman" w:cs="Times New Roman"/>
                <w:color w:val="000000" w:themeColor="text1"/>
                <w:sz w:val="24"/>
                <w:szCs w:val="24"/>
              </w:rPr>
              <w:t>s loģika balstās uz iepriekš noteikto</w:t>
            </w:r>
            <w:r w:rsidRPr="001924CB">
              <w:rPr>
                <w:rFonts w:ascii="Times New Roman" w:hAnsi="Times New Roman" w:cs="Times New Roman"/>
                <w:color w:val="000000" w:themeColor="text1"/>
                <w:sz w:val="24"/>
                <w:szCs w:val="24"/>
              </w:rPr>
              <w:t xml:space="preserve"> nepieciešam</w:t>
            </w:r>
            <w:r w:rsidR="00204815" w:rsidRPr="001924CB">
              <w:rPr>
                <w:rFonts w:ascii="Times New Roman" w:hAnsi="Times New Roman" w:cs="Times New Roman"/>
                <w:color w:val="000000" w:themeColor="text1"/>
                <w:sz w:val="24"/>
                <w:szCs w:val="24"/>
              </w:rPr>
              <w:t>īb</w:t>
            </w:r>
            <w:r w:rsidR="00965329" w:rsidRPr="001924CB">
              <w:rPr>
                <w:rFonts w:ascii="Times New Roman" w:hAnsi="Times New Roman" w:cs="Times New Roman"/>
                <w:color w:val="000000" w:themeColor="text1"/>
                <w:sz w:val="24"/>
                <w:szCs w:val="24"/>
              </w:rPr>
              <w:t>u</w:t>
            </w:r>
            <w:r w:rsidRPr="001924CB">
              <w:rPr>
                <w:rFonts w:ascii="Times New Roman" w:hAnsi="Times New Roman" w:cs="Times New Roman"/>
                <w:color w:val="000000" w:themeColor="text1"/>
                <w:sz w:val="24"/>
                <w:szCs w:val="24"/>
              </w:rPr>
              <w:t xml:space="preserve"> </w:t>
            </w:r>
            <w:r w:rsidR="002D2A6A" w:rsidRPr="001924CB">
              <w:rPr>
                <w:rFonts w:ascii="Times New Roman" w:hAnsi="Times New Roman" w:cs="Times New Roman"/>
                <w:color w:val="000000" w:themeColor="text1"/>
                <w:sz w:val="24"/>
                <w:szCs w:val="24"/>
              </w:rPr>
              <w:t xml:space="preserve">turpināt </w:t>
            </w:r>
            <w:r w:rsidRPr="001924CB">
              <w:rPr>
                <w:rFonts w:ascii="Times New Roman" w:hAnsi="Times New Roman" w:cs="Times New Roman"/>
                <w:color w:val="000000" w:themeColor="text1"/>
                <w:sz w:val="24"/>
                <w:szCs w:val="24"/>
              </w:rPr>
              <w:t xml:space="preserve">veicināt CNG uzpildes punktu izveidi Latvijas teritorijā transportlīdzekļiem, kuros kā degvielu izmanto dabasgāzi, </w:t>
            </w:r>
            <w:r w:rsidRPr="001924CB">
              <w:rPr>
                <w:rFonts w:ascii="Times New Roman" w:hAnsi="Times New Roman" w:cs="Times New Roman"/>
                <w:color w:val="000000" w:themeColor="text1"/>
                <w:sz w:val="24"/>
                <w:szCs w:val="24"/>
              </w:rPr>
              <w:lastRenderedPageBreak/>
              <w:t>un siltumnīcefekta gāzu emisiju samazināšanu transportā, kā arī</w:t>
            </w:r>
            <w:r w:rsidR="00204815" w:rsidRPr="001924CB">
              <w:rPr>
                <w:rFonts w:ascii="Times New Roman" w:hAnsi="Times New Roman" w:cs="Times New Roman"/>
                <w:color w:val="000000" w:themeColor="text1"/>
                <w:sz w:val="24"/>
                <w:szCs w:val="24"/>
              </w:rPr>
              <w:t>,</w:t>
            </w:r>
            <w:r w:rsidRPr="001924CB">
              <w:rPr>
                <w:rFonts w:ascii="Times New Roman" w:hAnsi="Times New Roman" w:cs="Times New Roman"/>
                <w:color w:val="000000" w:themeColor="text1"/>
                <w:sz w:val="24"/>
                <w:szCs w:val="24"/>
              </w:rPr>
              <w:t xml:space="preserve"> lai veicinātu pakāpenisku pāreju uz videi draudzīgākas un gaisa kvalitāti mazāk ietekmējošas degvielas izmantošanu. Viens no risinājumiem, kā izvirzīto mērķi sasniegt, ir ievērojams terminētais akcīzes nodokļa samazinājum</w:t>
            </w:r>
            <w:r w:rsidR="002D2A6A" w:rsidRPr="001924CB">
              <w:rPr>
                <w:rFonts w:ascii="Times New Roman" w:hAnsi="Times New Roman" w:cs="Times New Roman"/>
                <w:color w:val="000000" w:themeColor="text1"/>
                <w:sz w:val="24"/>
                <w:szCs w:val="24"/>
              </w:rPr>
              <w:t>a atbalsta turpinājums</w:t>
            </w:r>
            <w:r w:rsidRPr="001924CB">
              <w:rPr>
                <w:rFonts w:ascii="Times New Roman" w:hAnsi="Times New Roman" w:cs="Times New Roman"/>
                <w:color w:val="000000" w:themeColor="text1"/>
                <w:sz w:val="24"/>
                <w:szCs w:val="24"/>
              </w:rPr>
              <w:t xml:space="preserve"> dabasgāzei, kuru izmanto kā transporta degvielu.  </w:t>
            </w:r>
          </w:p>
          <w:p w14:paraId="31C46906" w14:textId="230206EA" w:rsidR="00C51CC4" w:rsidRPr="001924CB" w:rsidRDefault="00C51CC4" w:rsidP="00EA776E">
            <w:pPr>
              <w:spacing w:before="120" w:after="120" w:line="240" w:lineRule="auto"/>
              <w:jc w:val="both"/>
              <w:rPr>
                <w:rFonts w:ascii="Times New Roman" w:hAnsi="Times New Roman" w:cs="Times New Roman"/>
                <w:color w:val="000000" w:themeColor="text1"/>
                <w:sz w:val="24"/>
                <w:szCs w:val="24"/>
              </w:rPr>
            </w:pPr>
            <w:r w:rsidRPr="001924CB">
              <w:rPr>
                <w:rFonts w:ascii="Times New Roman" w:hAnsi="Times New Roman" w:cs="Times New Roman"/>
                <w:color w:val="000000" w:themeColor="text1"/>
                <w:sz w:val="24"/>
                <w:szCs w:val="24"/>
              </w:rPr>
              <w:t>CNG ir viena no labākajām alternatīvām dīzeļdegvielai, lai dekarbonizētu kravas transportlīdzekļu segmentu, kura dekarbonizācija ar citiem instrumentiem vidējā termiņā nebūs iespējama, bet ir atbildīga par aptuveni 50% no visām SEG emisijām, kas radītas ceļu transportā.</w:t>
            </w:r>
            <w:r w:rsidR="00CF4BDB" w:rsidRPr="001924CB">
              <w:rPr>
                <w:rFonts w:ascii="Times New Roman" w:hAnsi="Times New Roman" w:cs="Times New Roman"/>
                <w:color w:val="000000" w:themeColor="text1"/>
                <w:sz w:val="24"/>
                <w:szCs w:val="24"/>
              </w:rPr>
              <w:t xml:space="preserve"> Tā veicina gaisa piesārņojuma samazināšanos un uzlabo gaisa kvalitāti pilsētās, palīdzot virzīties pretī Eiropas Savienības klimata mērķiem. Vienlaikus ar likumprojektu tiek veicināta </w:t>
            </w:r>
            <w:bookmarkStart w:id="1" w:name="_Hlk66883834"/>
            <w:r w:rsidR="00CF4BDB" w:rsidRPr="001924CB">
              <w:rPr>
                <w:rFonts w:ascii="Times New Roman" w:hAnsi="Times New Roman" w:cs="Times New Roman"/>
                <w:color w:val="000000" w:themeColor="text1"/>
                <w:sz w:val="24"/>
                <w:szCs w:val="24"/>
              </w:rPr>
              <w:t xml:space="preserve">Direktīvas 2014/94/ES (2014. gada 22. oktobris) par alternatīvo degvielas infrastruktūras ieviešanu </w:t>
            </w:r>
            <w:bookmarkEnd w:id="1"/>
            <w:r w:rsidR="00CF4BDB" w:rsidRPr="001924CB">
              <w:rPr>
                <w:rFonts w:ascii="Times New Roman" w:hAnsi="Times New Roman" w:cs="Times New Roman"/>
                <w:color w:val="000000" w:themeColor="text1"/>
                <w:sz w:val="24"/>
                <w:szCs w:val="24"/>
              </w:rPr>
              <w:t xml:space="preserve">(turpmāk – Direktīva) 6. panta 7. un 8. punktā dalībvalstij noteikto infrastruktūras attīstības prasību īstenošana. Proti, </w:t>
            </w:r>
            <w:r w:rsidRPr="001924CB">
              <w:rPr>
                <w:rFonts w:ascii="Times New Roman" w:hAnsi="Times New Roman" w:cs="Times New Roman"/>
                <w:color w:val="000000" w:themeColor="text1"/>
                <w:sz w:val="24"/>
                <w:szCs w:val="24"/>
              </w:rPr>
              <w:t>kā viens no pasākumiem dabasgāzes kā degvielas izmantošanas veicināšanai Latvijā ir dabasgāzei, kuru izmanto kā transporta degvielu, akcīzes nodokļa samazinājum</w:t>
            </w:r>
            <w:r w:rsidR="002D2A6A" w:rsidRPr="001924CB">
              <w:rPr>
                <w:rFonts w:ascii="Times New Roman" w:hAnsi="Times New Roman" w:cs="Times New Roman"/>
                <w:color w:val="000000" w:themeColor="text1"/>
                <w:sz w:val="24"/>
                <w:szCs w:val="24"/>
              </w:rPr>
              <w:t>a valsts atbalsta turpinājums</w:t>
            </w:r>
            <w:r w:rsidRPr="001924CB">
              <w:rPr>
                <w:rFonts w:ascii="Times New Roman" w:hAnsi="Times New Roman" w:cs="Times New Roman"/>
                <w:color w:val="000000" w:themeColor="text1"/>
                <w:sz w:val="24"/>
                <w:szCs w:val="24"/>
              </w:rPr>
              <w:t xml:space="preserve">. </w:t>
            </w:r>
          </w:p>
          <w:p w14:paraId="0DB8F920" w14:textId="1FD01135" w:rsidR="00C51CC4" w:rsidRPr="001924CB" w:rsidRDefault="00650FB4" w:rsidP="00A71A5A">
            <w:pPr>
              <w:spacing w:before="120" w:after="120" w:line="240" w:lineRule="auto"/>
              <w:jc w:val="both"/>
              <w:rPr>
                <w:rFonts w:ascii="Times New Roman" w:hAnsi="Times New Roman" w:cs="Times New Roman"/>
                <w:color w:val="000000" w:themeColor="text1"/>
                <w:sz w:val="24"/>
                <w:szCs w:val="24"/>
              </w:rPr>
            </w:pPr>
            <w:r w:rsidRPr="001924CB">
              <w:rPr>
                <w:rFonts w:ascii="Times New Roman" w:hAnsi="Times New Roman" w:cs="Times New Roman"/>
                <w:color w:val="000000" w:themeColor="text1"/>
                <w:sz w:val="24"/>
                <w:szCs w:val="24"/>
              </w:rPr>
              <w:t>Papildus</w:t>
            </w:r>
            <w:r w:rsidR="00C51CC4" w:rsidRPr="001924CB">
              <w:rPr>
                <w:rFonts w:ascii="Times New Roman" w:hAnsi="Times New Roman" w:cs="Times New Roman"/>
                <w:color w:val="000000" w:themeColor="text1"/>
                <w:sz w:val="24"/>
                <w:szCs w:val="24"/>
              </w:rPr>
              <w:t>, likumprojekta ieviešana nepieciešama, lai</w:t>
            </w:r>
            <w:r w:rsidR="002D2A6A" w:rsidRPr="001924CB">
              <w:rPr>
                <w:rFonts w:ascii="Times New Roman" w:hAnsi="Times New Roman" w:cs="Times New Roman"/>
                <w:color w:val="000000" w:themeColor="text1"/>
                <w:sz w:val="24"/>
                <w:szCs w:val="24"/>
              </w:rPr>
              <w:t xml:space="preserve"> turpinātu </w:t>
            </w:r>
            <w:r w:rsidR="00C51CC4" w:rsidRPr="001924CB">
              <w:rPr>
                <w:rFonts w:ascii="Times New Roman" w:hAnsi="Times New Roman" w:cs="Times New Roman"/>
                <w:color w:val="000000" w:themeColor="text1"/>
                <w:sz w:val="24"/>
                <w:szCs w:val="24"/>
              </w:rPr>
              <w:t xml:space="preserve"> īstenot 2019.gada janvāra Deklarācijas par Artura Krišjāņa Kariņa vadītā Ministru kabineta iecerēto darbību 36.punktā izvirzīto mērķi un veicinātu infrastruktūras attīstību preču un cilvēku mobilitātei. Alternatīvo degvielu infrastruktūra Eiropas Savienības mērogā netiek attīstīta saskaņoti. Ir jāizbūvē jauni infrastruktūras tīkli, piemēram, elektroenerģijai, dabasgāzei un attiecīgos gadījumos - ūdeņradim. Ir svarīgi atzīt katras degvielas tehnoloģijas un ar to saistītās infrastruktūras attīstības dažādos posmus, tostarp uzņēmējdarbības modeļu briedumu saistībā ar privātajiem ieguldītājiem un alternatīvo degvielu pieejamību un pieņ</w:t>
            </w:r>
            <w:r w:rsidR="009E3719" w:rsidRPr="001924CB">
              <w:rPr>
                <w:rFonts w:ascii="Times New Roman" w:hAnsi="Times New Roman" w:cs="Times New Roman"/>
                <w:color w:val="000000" w:themeColor="text1"/>
                <w:sz w:val="24"/>
                <w:szCs w:val="24"/>
              </w:rPr>
              <w:t>e</w:t>
            </w:r>
            <w:r w:rsidR="00C51CC4" w:rsidRPr="001924CB">
              <w:rPr>
                <w:rFonts w:ascii="Times New Roman" w:hAnsi="Times New Roman" w:cs="Times New Roman"/>
                <w:color w:val="000000" w:themeColor="text1"/>
                <w:sz w:val="24"/>
                <w:szCs w:val="24"/>
              </w:rPr>
              <w:t xml:space="preserve">mamību lietotājiem. Būtu jānodrošina tehnoloģiskā neitralitāte, un valsts politikas regulējumos būtu pienācīgi jāņem vērā prasība atbalstīt alternatīvo degvielu komerciālo attīstību. </w:t>
            </w:r>
          </w:p>
          <w:p w14:paraId="0C39EC3D" w14:textId="77777777" w:rsidR="00C51CC4" w:rsidRPr="001924CB" w:rsidRDefault="00C51CC4" w:rsidP="00A71A5A">
            <w:pPr>
              <w:spacing w:before="120" w:after="120" w:line="240" w:lineRule="auto"/>
              <w:jc w:val="both"/>
              <w:rPr>
                <w:rFonts w:ascii="Times New Roman" w:hAnsi="Times New Roman" w:cs="Times New Roman"/>
                <w:color w:val="000000" w:themeColor="text1"/>
                <w:sz w:val="24"/>
                <w:szCs w:val="24"/>
              </w:rPr>
            </w:pPr>
            <w:r w:rsidRPr="001924CB">
              <w:rPr>
                <w:rFonts w:ascii="Times New Roman" w:hAnsi="Times New Roman" w:cs="Times New Roman"/>
                <w:color w:val="000000" w:themeColor="text1"/>
                <w:sz w:val="24"/>
                <w:szCs w:val="24"/>
              </w:rPr>
              <w:t xml:space="preserve">Dabasgāzes izmantošana  transportā sniedz būtiskas priekšrocības vides aizsardzības kontekstā, jo īpaši tad, kad tā tiek lietota kombinācijā ar biometānu, kas ievērojami ļauj samazināt SEG emisijas un paaugstināt atjaunojamo energoresursu īpatsvaru transporta sektora galapatēriņā. Atbilstoši 2018.gada 21.decembra Eiropas Parlamenta un Padomes Direktīvai Nr.2018/2001 par no atjaunojamajiem energoresursiem iegūtas enerģijas izmantošanas veicināšanu 25.panta prasībām, Latvijai no 2022.gada būs jānodrošina </w:t>
            </w:r>
            <w:r w:rsidRPr="001924CB">
              <w:rPr>
                <w:rFonts w:ascii="Times New Roman" w:hAnsi="Times New Roman" w:cs="Times New Roman"/>
                <w:color w:val="000000" w:themeColor="text1"/>
                <w:sz w:val="24"/>
                <w:szCs w:val="24"/>
              </w:rPr>
              <w:lastRenderedPageBreak/>
              <w:t xml:space="preserve">zināms tā saucamo moderno biodegvielu (piemēram, biometāna) patēriņš, tam pieaugot līdz 3,5% 2030.gadā. </w:t>
            </w:r>
          </w:p>
          <w:p w14:paraId="252888B3" w14:textId="578CB4C7" w:rsidR="00C51CC4" w:rsidRPr="001924CB" w:rsidRDefault="00C51CC4" w:rsidP="00A71A5A">
            <w:pPr>
              <w:spacing w:before="120" w:after="120" w:line="240" w:lineRule="auto"/>
              <w:jc w:val="both"/>
              <w:rPr>
                <w:rFonts w:ascii="Times New Roman" w:hAnsi="Times New Roman" w:cs="Times New Roman"/>
                <w:color w:val="000000" w:themeColor="text1"/>
                <w:sz w:val="24"/>
                <w:szCs w:val="24"/>
              </w:rPr>
            </w:pPr>
            <w:r w:rsidRPr="001924CB">
              <w:rPr>
                <w:rFonts w:ascii="Times New Roman" w:hAnsi="Times New Roman" w:cs="Times New Roman"/>
                <w:color w:val="000000" w:themeColor="text1"/>
                <w:sz w:val="24"/>
                <w:szCs w:val="24"/>
              </w:rPr>
              <w:t xml:space="preserve">Attīstoties CNG infrastruktūrai, tiktu nodrošināta siltumnīcefekta gāzu un gaisa piesārņojošo vielu emisiju samazināšana, kā arī netieši tiktu sekmēta atjaunojamo energoresursu izmantošanas mērķu sasniegšana, jo potenciāli nākotnē CNG infrastruktūra būs izmantojama arī ne-emisiju degvielu (biometāns, ūdeņradis, sintētiskā gāze) piegādei galapatēriņā transportā. </w:t>
            </w:r>
          </w:p>
          <w:p w14:paraId="566A8C16" w14:textId="39E3EFB9" w:rsidR="00C51CC4" w:rsidRPr="001924CB" w:rsidRDefault="00C51CC4" w:rsidP="00A71A5A">
            <w:pPr>
              <w:spacing w:before="120" w:after="120" w:line="240" w:lineRule="auto"/>
              <w:jc w:val="both"/>
              <w:rPr>
                <w:rFonts w:ascii="Times New Roman" w:hAnsi="Times New Roman" w:cs="Times New Roman"/>
                <w:color w:val="000000" w:themeColor="text1"/>
                <w:sz w:val="24"/>
                <w:szCs w:val="24"/>
              </w:rPr>
            </w:pPr>
            <w:r w:rsidRPr="001924CB">
              <w:rPr>
                <w:rFonts w:ascii="Times New Roman" w:hAnsi="Times New Roman" w:cs="Times New Roman"/>
                <w:color w:val="000000" w:themeColor="text1"/>
                <w:sz w:val="24"/>
                <w:szCs w:val="24"/>
              </w:rPr>
              <w:t>Lai no 2026.gada izvairītos no akcīzes nodokļa ieņēmumu samazinājuma</w:t>
            </w:r>
            <w:r w:rsidR="00202FFE" w:rsidRPr="001924CB">
              <w:rPr>
                <w:rFonts w:ascii="Times New Roman" w:hAnsi="Times New Roman" w:cs="Times New Roman"/>
                <w:color w:val="000000" w:themeColor="text1"/>
                <w:sz w:val="24"/>
                <w:szCs w:val="24"/>
              </w:rPr>
              <w:t>,</w:t>
            </w:r>
            <w:r w:rsidRPr="001924CB">
              <w:rPr>
                <w:rFonts w:ascii="Times New Roman" w:hAnsi="Times New Roman" w:cs="Times New Roman"/>
                <w:color w:val="000000" w:themeColor="text1"/>
                <w:sz w:val="24"/>
                <w:szCs w:val="24"/>
              </w:rPr>
              <w:t xml:space="preserve"> kā arī, lai novērstu </w:t>
            </w:r>
            <w:r w:rsidR="00782302" w:rsidRPr="001924CB">
              <w:rPr>
                <w:rFonts w:ascii="Times New Roman" w:hAnsi="Times New Roman" w:cs="Times New Roman"/>
                <w:color w:val="000000" w:themeColor="text1"/>
                <w:sz w:val="24"/>
                <w:szCs w:val="24"/>
              </w:rPr>
              <w:t xml:space="preserve">valsts </w:t>
            </w:r>
            <w:r w:rsidRPr="001924CB">
              <w:rPr>
                <w:rFonts w:ascii="Times New Roman" w:hAnsi="Times New Roman" w:cs="Times New Roman"/>
                <w:color w:val="000000" w:themeColor="text1"/>
                <w:sz w:val="24"/>
                <w:szCs w:val="24"/>
              </w:rPr>
              <w:t xml:space="preserve"> atbalsta sniegšanu neierobežotā laikā,  būtiski ir paredzēt, ka no 2026.gada akcīzes nodokļa likme tiek pa</w:t>
            </w:r>
            <w:r w:rsidR="00244A93" w:rsidRPr="001924CB">
              <w:rPr>
                <w:rFonts w:ascii="Times New Roman" w:hAnsi="Times New Roman" w:cs="Times New Roman"/>
                <w:color w:val="000000" w:themeColor="text1"/>
                <w:sz w:val="24"/>
                <w:szCs w:val="24"/>
              </w:rPr>
              <w:t>a</w:t>
            </w:r>
            <w:r w:rsidRPr="001924CB">
              <w:rPr>
                <w:rFonts w:ascii="Times New Roman" w:hAnsi="Times New Roman" w:cs="Times New Roman"/>
                <w:color w:val="000000" w:themeColor="text1"/>
                <w:sz w:val="24"/>
                <w:szCs w:val="24"/>
              </w:rPr>
              <w:t>ugstināta</w:t>
            </w:r>
            <w:r w:rsidR="002D2A6A" w:rsidRPr="001924CB">
              <w:rPr>
                <w:rFonts w:ascii="Times New Roman" w:hAnsi="Times New Roman" w:cs="Times New Roman"/>
                <w:color w:val="000000" w:themeColor="text1"/>
                <w:sz w:val="24"/>
                <w:szCs w:val="24"/>
              </w:rPr>
              <w:t>, kā to nosaka pašreiz</w:t>
            </w:r>
            <w:r w:rsidR="00782302" w:rsidRPr="001924CB">
              <w:rPr>
                <w:rFonts w:ascii="Times New Roman" w:hAnsi="Times New Roman" w:cs="Times New Roman"/>
                <w:color w:val="000000" w:themeColor="text1"/>
                <w:sz w:val="24"/>
                <w:szCs w:val="24"/>
              </w:rPr>
              <w:t xml:space="preserve"> spēkā esošās likuma normas, kuras nav paredzēts grozīt ar š</w:t>
            </w:r>
            <w:r w:rsidR="008D7A7A" w:rsidRPr="001924CB">
              <w:rPr>
                <w:rFonts w:ascii="Times New Roman" w:hAnsi="Times New Roman" w:cs="Times New Roman"/>
                <w:color w:val="000000" w:themeColor="text1"/>
                <w:sz w:val="24"/>
                <w:szCs w:val="24"/>
              </w:rPr>
              <w:t>ī</w:t>
            </w:r>
            <w:r w:rsidR="00782302" w:rsidRPr="001924CB">
              <w:rPr>
                <w:rFonts w:ascii="Times New Roman" w:hAnsi="Times New Roman" w:cs="Times New Roman"/>
                <w:color w:val="000000" w:themeColor="text1"/>
                <w:sz w:val="24"/>
                <w:szCs w:val="24"/>
              </w:rPr>
              <w:t xml:space="preserve"> likumprojekta pieņemšanu.</w:t>
            </w:r>
            <w:r w:rsidRPr="001924CB">
              <w:rPr>
                <w:rFonts w:ascii="Times New Roman" w:hAnsi="Times New Roman" w:cs="Times New Roman"/>
                <w:color w:val="000000" w:themeColor="text1"/>
                <w:sz w:val="24"/>
                <w:szCs w:val="24"/>
              </w:rPr>
              <w:t xml:space="preserve"> Akcīzes nodokļa samazināšana uz laiku CNG, kuru izmanto transportā, tiek prognozēta kā pietiekams atbalsts tirgum, lai tā dalībnieki uzskatītu par ekonomiski pamatotu un izdevīgu savas infrastruktūras attīstīšanu Latvijas teritorijā, kas savukārt novērš papildu nepieciešamību veikt ieguldījumus no valsts budžeta infrastruktūras attīstībā, lai </w:t>
            </w:r>
            <w:r w:rsidR="005069C7" w:rsidRPr="001924CB">
              <w:rPr>
                <w:rFonts w:ascii="Times New Roman" w:hAnsi="Times New Roman" w:cs="Times New Roman"/>
                <w:color w:val="000000" w:themeColor="text1"/>
                <w:sz w:val="24"/>
                <w:szCs w:val="24"/>
              </w:rPr>
              <w:t xml:space="preserve">veicinātu </w:t>
            </w:r>
            <w:r w:rsidRPr="001924CB">
              <w:rPr>
                <w:rFonts w:ascii="Times New Roman" w:hAnsi="Times New Roman" w:cs="Times New Roman"/>
                <w:color w:val="000000" w:themeColor="text1"/>
                <w:sz w:val="24"/>
                <w:szCs w:val="24"/>
              </w:rPr>
              <w:t>Direktīvas 6.panta</w:t>
            </w:r>
            <w:r w:rsidR="00244A93" w:rsidRPr="001924CB">
              <w:rPr>
                <w:rFonts w:ascii="Times New Roman" w:hAnsi="Times New Roman" w:cs="Times New Roman"/>
                <w:color w:val="000000" w:themeColor="text1"/>
                <w:sz w:val="24"/>
                <w:szCs w:val="24"/>
              </w:rPr>
              <w:t xml:space="preserve"> 7. un 8. punkta</w:t>
            </w:r>
            <w:r w:rsidRPr="001924CB">
              <w:rPr>
                <w:rFonts w:ascii="Times New Roman" w:hAnsi="Times New Roman" w:cs="Times New Roman"/>
                <w:color w:val="000000" w:themeColor="text1"/>
                <w:sz w:val="24"/>
                <w:szCs w:val="24"/>
              </w:rPr>
              <w:t xml:space="preserve"> prasību</w:t>
            </w:r>
            <w:r w:rsidR="005069C7" w:rsidRPr="001924CB">
              <w:rPr>
                <w:rFonts w:ascii="Times New Roman" w:hAnsi="Times New Roman" w:cs="Times New Roman"/>
                <w:color w:val="000000" w:themeColor="text1"/>
                <w:sz w:val="24"/>
                <w:szCs w:val="24"/>
              </w:rPr>
              <w:t xml:space="preserve"> īstenošanu</w:t>
            </w:r>
            <w:r w:rsidRPr="001924CB">
              <w:rPr>
                <w:rFonts w:ascii="Times New Roman" w:hAnsi="Times New Roman" w:cs="Times New Roman"/>
                <w:color w:val="000000" w:themeColor="text1"/>
                <w:sz w:val="24"/>
                <w:szCs w:val="24"/>
              </w:rPr>
              <w:t>.</w:t>
            </w:r>
          </w:p>
          <w:p w14:paraId="7ECC4BD3" w14:textId="0CD0CE7A" w:rsidR="008F2193" w:rsidRPr="001924CB" w:rsidRDefault="00C51CC4" w:rsidP="00AC69B4">
            <w:pPr>
              <w:spacing w:before="120" w:after="120" w:line="240" w:lineRule="auto"/>
              <w:jc w:val="both"/>
              <w:rPr>
                <w:rFonts w:ascii="Times New Roman" w:hAnsi="Times New Roman" w:cs="Times New Roman"/>
                <w:color w:val="000000" w:themeColor="text1"/>
                <w:sz w:val="24"/>
                <w:szCs w:val="24"/>
                <w:u w:val="single"/>
              </w:rPr>
            </w:pPr>
            <w:bookmarkStart w:id="2" w:name="_Hlk66441296"/>
            <w:r w:rsidRPr="001924CB">
              <w:rPr>
                <w:rFonts w:ascii="Times New Roman" w:hAnsi="Times New Roman" w:cs="Times New Roman"/>
                <w:color w:val="000000" w:themeColor="text1"/>
                <w:sz w:val="24"/>
                <w:szCs w:val="24"/>
                <w:u w:val="single"/>
              </w:rPr>
              <w:t xml:space="preserve">Plānotā tiesiskā regulējuma mērķis ir </w:t>
            </w:r>
            <w:r w:rsidR="00B03654" w:rsidRPr="001924CB">
              <w:rPr>
                <w:rFonts w:ascii="Times New Roman" w:hAnsi="Times New Roman" w:cs="Times New Roman"/>
                <w:color w:val="000000" w:themeColor="text1"/>
                <w:sz w:val="24"/>
                <w:szCs w:val="24"/>
                <w:u w:val="single"/>
              </w:rPr>
              <w:t xml:space="preserve">turpināt </w:t>
            </w:r>
            <w:r w:rsidRPr="001924CB">
              <w:rPr>
                <w:rFonts w:ascii="Times New Roman" w:hAnsi="Times New Roman" w:cs="Times New Roman"/>
                <w:color w:val="000000" w:themeColor="text1"/>
                <w:sz w:val="24"/>
                <w:szCs w:val="24"/>
                <w:u w:val="single"/>
              </w:rPr>
              <w:t xml:space="preserve">mazināt finansiālos apgrūtinājumus tirgus dalībniekiem, kuri vēlas tirgot dabasgāzi kā transporta degvielu, </w:t>
            </w:r>
            <w:r w:rsidR="005069C7" w:rsidRPr="001924CB">
              <w:rPr>
                <w:rFonts w:ascii="Times New Roman" w:hAnsi="Times New Roman" w:cs="Times New Roman"/>
                <w:color w:val="000000" w:themeColor="text1"/>
                <w:sz w:val="24"/>
                <w:szCs w:val="24"/>
                <w:u w:val="single"/>
              </w:rPr>
              <w:t>tādējādi arī veicinot</w:t>
            </w:r>
            <w:r w:rsidRPr="001924CB">
              <w:rPr>
                <w:rFonts w:ascii="Times New Roman" w:hAnsi="Times New Roman" w:cs="Times New Roman"/>
                <w:color w:val="000000" w:themeColor="text1"/>
                <w:sz w:val="24"/>
                <w:szCs w:val="24"/>
                <w:u w:val="single"/>
              </w:rPr>
              <w:t xml:space="preserve"> Direktīvas prasīb</w:t>
            </w:r>
            <w:r w:rsidR="00340A9E" w:rsidRPr="001924CB">
              <w:rPr>
                <w:rFonts w:ascii="Times New Roman" w:hAnsi="Times New Roman" w:cs="Times New Roman"/>
                <w:color w:val="000000" w:themeColor="text1"/>
                <w:sz w:val="24"/>
                <w:szCs w:val="24"/>
                <w:u w:val="single"/>
              </w:rPr>
              <w:t>u īstenošanu</w:t>
            </w:r>
            <w:r w:rsidRPr="001924CB">
              <w:rPr>
                <w:rFonts w:ascii="Times New Roman" w:hAnsi="Times New Roman" w:cs="Times New Roman"/>
                <w:color w:val="000000" w:themeColor="text1"/>
                <w:sz w:val="24"/>
                <w:szCs w:val="24"/>
                <w:u w:val="single"/>
              </w:rPr>
              <w:t>, kā arī samazinātu transporta sektora radītās emisijas, tostarp, uzlabotu gaisa kvalitāti pilsētās.</w:t>
            </w:r>
          </w:p>
          <w:bookmarkEnd w:id="2"/>
          <w:p w14:paraId="01206551" w14:textId="4E1D4EC0" w:rsidR="00C51CC4" w:rsidRPr="001924CB" w:rsidRDefault="00650FB4" w:rsidP="009E3719">
            <w:pPr>
              <w:spacing w:before="120" w:after="120" w:line="240" w:lineRule="auto"/>
              <w:jc w:val="both"/>
              <w:rPr>
                <w:b/>
                <w:bCs/>
                <w:color w:val="000000" w:themeColor="text1"/>
              </w:rPr>
            </w:pPr>
            <w:r w:rsidRPr="001924CB">
              <w:rPr>
                <w:rFonts w:ascii="Times New Roman" w:hAnsi="Times New Roman" w:cs="Times New Roman"/>
                <w:b/>
                <w:bCs/>
                <w:color w:val="000000" w:themeColor="text1"/>
                <w:sz w:val="24"/>
                <w:szCs w:val="24"/>
                <w:u w:val="single"/>
              </w:rPr>
              <w:t>Likumprojekts paredz</w:t>
            </w:r>
            <w:r w:rsidR="009E3719" w:rsidRPr="001924CB">
              <w:rPr>
                <w:rFonts w:ascii="Times New Roman" w:hAnsi="Times New Roman" w:cs="Times New Roman"/>
                <w:b/>
                <w:bCs/>
                <w:color w:val="000000" w:themeColor="text1"/>
                <w:sz w:val="24"/>
                <w:szCs w:val="24"/>
                <w:u w:val="single"/>
              </w:rPr>
              <w:t>,</w:t>
            </w:r>
            <w:r w:rsidRPr="001924CB">
              <w:rPr>
                <w:rFonts w:ascii="Times New Roman" w:hAnsi="Times New Roman" w:cs="Times New Roman"/>
                <w:b/>
                <w:bCs/>
                <w:color w:val="000000" w:themeColor="text1"/>
                <w:sz w:val="24"/>
                <w:szCs w:val="24"/>
                <w:u w:val="single"/>
              </w:rPr>
              <w:t xml:space="preserve"> kā </w:t>
            </w:r>
            <w:r w:rsidR="004439AA" w:rsidRPr="001924CB">
              <w:rPr>
                <w:rFonts w:ascii="Times New Roman" w:hAnsi="Times New Roman" w:cs="Times New Roman"/>
                <w:b/>
                <w:bCs/>
                <w:color w:val="000000" w:themeColor="text1"/>
                <w:sz w:val="24"/>
                <w:szCs w:val="24"/>
                <w:u w:val="single"/>
              </w:rPr>
              <w:t>minēt</w:t>
            </w:r>
            <w:r w:rsidR="005A68C5" w:rsidRPr="001924CB">
              <w:rPr>
                <w:rFonts w:ascii="Times New Roman" w:hAnsi="Times New Roman" w:cs="Times New Roman"/>
                <w:b/>
                <w:bCs/>
                <w:color w:val="000000" w:themeColor="text1"/>
                <w:sz w:val="24"/>
                <w:szCs w:val="24"/>
                <w:u w:val="single"/>
              </w:rPr>
              <w:t>a</w:t>
            </w:r>
            <w:r w:rsidR="009E3719" w:rsidRPr="001924CB">
              <w:rPr>
                <w:rFonts w:ascii="Times New Roman" w:hAnsi="Times New Roman" w:cs="Times New Roman"/>
                <w:b/>
                <w:bCs/>
                <w:color w:val="000000" w:themeColor="text1"/>
                <w:sz w:val="24"/>
                <w:szCs w:val="24"/>
                <w:u w:val="single"/>
              </w:rPr>
              <w:t>i</w:t>
            </w:r>
            <w:r w:rsidR="005A68C5" w:rsidRPr="001924CB">
              <w:rPr>
                <w:rFonts w:ascii="Times New Roman" w:hAnsi="Times New Roman" w:cs="Times New Roman"/>
                <w:b/>
                <w:bCs/>
                <w:color w:val="000000" w:themeColor="text1"/>
                <w:sz w:val="24"/>
                <w:szCs w:val="24"/>
                <w:u w:val="single"/>
              </w:rPr>
              <w:t>s</w:t>
            </w:r>
            <w:r w:rsidR="004439AA" w:rsidRPr="001924CB">
              <w:rPr>
                <w:rFonts w:ascii="Times New Roman" w:hAnsi="Times New Roman" w:cs="Times New Roman"/>
                <w:b/>
                <w:bCs/>
                <w:color w:val="000000" w:themeColor="text1"/>
                <w:sz w:val="24"/>
                <w:szCs w:val="24"/>
                <w:u w:val="single"/>
              </w:rPr>
              <w:t xml:space="preserve"> </w:t>
            </w:r>
            <w:r w:rsidR="00B03654" w:rsidRPr="001924CB">
              <w:rPr>
                <w:rFonts w:ascii="Times New Roman" w:hAnsi="Times New Roman" w:cs="Times New Roman"/>
                <w:b/>
                <w:bCs/>
                <w:color w:val="000000" w:themeColor="text1"/>
                <w:sz w:val="24"/>
                <w:szCs w:val="24"/>
                <w:u w:val="single"/>
              </w:rPr>
              <w:t xml:space="preserve">valsts </w:t>
            </w:r>
            <w:r w:rsidR="004439AA" w:rsidRPr="001924CB">
              <w:rPr>
                <w:rFonts w:ascii="Times New Roman" w:hAnsi="Times New Roman" w:cs="Times New Roman"/>
                <w:b/>
                <w:bCs/>
                <w:color w:val="000000" w:themeColor="text1"/>
                <w:sz w:val="24"/>
                <w:szCs w:val="24"/>
                <w:u w:val="single"/>
              </w:rPr>
              <w:t>atbalst</w:t>
            </w:r>
            <w:r w:rsidR="005A68C5" w:rsidRPr="001924CB">
              <w:rPr>
                <w:rFonts w:ascii="Times New Roman" w:hAnsi="Times New Roman" w:cs="Times New Roman"/>
                <w:b/>
                <w:bCs/>
                <w:color w:val="000000" w:themeColor="text1"/>
                <w:sz w:val="24"/>
                <w:szCs w:val="24"/>
                <w:u w:val="single"/>
              </w:rPr>
              <w:t>s</w:t>
            </w:r>
            <w:r w:rsidR="004439AA" w:rsidRPr="001924CB">
              <w:rPr>
                <w:rFonts w:ascii="Times New Roman" w:hAnsi="Times New Roman" w:cs="Times New Roman"/>
                <w:b/>
                <w:bCs/>
                <w:color w:val="000000" w:themeColor="text1"/>
                <w:sz w:val="24"/>
                <w:szCs w:val="24"/>
                <w:u w:val="single"/>
              </w:rPr>
              <w:t xml:space="preserve"> nodokļa maksātājam</w:t>
            </w:r>
            <w:r w:rsidR="005A68C5" w:rsidRPr="001924CB">
              <w:rPr>
                <w:rFonts w:ascii="Times New Roman" w:hAnsi="Times New Roman" w:cs="Times New Roman"/>
                <w:b/>
                <w:bCs/>
                <w:color w:val="000000" w:themeColor="text1"/>
                <w:sz w:val="24"/>
                <w:szCs w:val="24"/>
                <w:u w:val="single"/>
              </w:rPr>
              <w:t xml:space="preserve">, kuru </w:t>
            </w:r>
            <w:r w:rsidR="004439AA" w:rsidRPr="001924CB">
              <w:rPr>
                <w:rFonts w:ascii="Times New Roman" w:hAnsi="Times New Roman" w:cs="Times New Roman"/>
                <w:b/>
                <w:bCs/>
                <w:color w:val="000000" w:themeColor="text1"/>
                <w:sz w:val="24"/>
                <w:szCs w:val="24"/>
                <w:u w:val="single"/>
              </w:rPr>
              <w:t xml:space="preserve"> Būvniecības valsts kontroles </w:t>
            </w:r>
            <w:r w:rsidR="0084018B" w:rsidRPr="001924CB">
              <w:rPr>
                <w:rFonts w:ascii="Times New Roman" w:hAnsi="Times New Roman" w:cs="Times New Roman"/>
                <w:b/>
                <w:bCs/>
                <w:color w:val="000000" w:themeColor="text1"/>
                <w:sz w:val="24"/>
                <w:szCs w:val="24"/>
                <w:u w:val="single"/>
              </w:rPr>
              <w:t xml:space="preserve">birojs </w:t>
            </w:r>
            <w:r w:rsidR="00B03654" w:rsidRPr="001924CB">
              <w:rPr>
                <w:rFonts w:ascii="Times New Roman" w:hAnsi="Times New Roman" w:cs="Times New Roman"/>
                <w:b/>
                <w:bCs/>
                <w:color w:val="000000" w:themeColor="text1"/>
                <w:sz w:val="24"/>
                <w:szCs w:val="24"/>
                <w:u w:val="single"/>
              </w:rPr>
              <w:t xml:space="preserve">no 2021. gada </w:t>
            </w:r>
            <w:r w:rsidR="004439AA" w:rsidRPr="001924CB">
              <w:rPr>
                <w:rFonts w:ascii="Times New Roman" w:hAnsi="Times New Roman" w:cs="Times New Roman"/>
                <w:b/>
                <w:bCs/>
                <w:color w:val="000000" w:themeColor="text1"/>
                <w:sz w:val="24"/>
                <w:szCs w:val="24"/>
                <w:u w:val="single"/>
              </w:rPr>
              <w:t xml:space="preserve">piešķir kā </w:t>
            </w:r>
            <w:r w:rsidRPr="001924CB">
              <w:rPr>
                <w:rFonts w:ascii="Times New Roman" w:hAnsi="Times New Roman" w:cs="Times New Roman"/>
                <w:b/>
                <w:bCs/>
                <w:i/>
                <w:iCs/>
                <w:color w:val="000000" w:themeColor="text1"/>
                <w:sz w:val="24"/>
                <w:szCs w:val="24"/>
                <w:u w:val="single"/>
              </w:rPr>
              <w:t>de minimis</w:t>
            </w:r>
            <w:r w:rsidRPr="001924CB">
              <w:rPr>
                <w:rFonts w:ascii="Times New Roman" w:hAnsi="Times New Roman" w:cs="Times New Roman"/>
                <w:b/>
                <w:bCs/>
                <w:color w:val="000000" w:themeColor="text1"/>
                <w:sz w:val="24"/>
                <w:szCs w:val="24"/>
                <w:u w:val="single"/>
              </w:rPr>
              <w:t xml:space="preserve"> atbalstu</w:t>
            </w:r>
            <w:r w:rsidR="00271A4F" w:rsidRPr="001924CB">
              <w:rPr>
                <w:rFonts w:ascii="Times New Roman" w:hAnsi="Times New Roman" w:cs="Times New Roman"/>
                <w:b/>
                <w:bCs/>
                <w:color w:val="000000" w:themeColor="text1"/>
                <w:sz w:val="24"/>
                <w:szCs w:val="24"/>
                <w:u w:val="single"/>
              </w:rPr>
              <w:t>,</w:t>
            </w:r>
            <w:r w:rsidR="005A68C5" w:rsidRPr="001924CB">
              <w:rPr>
                <w:rFonts w:ascii="Times New Roman" w:hAnsi="Times New Roman" w:cs="Times New Roman"/>
                <w:b/>
                <w:bCs/>
                <w:color w:val="000000" w:themeColor="text1"/>
                <w:sz w:val="24"/>
                <w:szCs w:val="24"/>
                <w:u w:val="single"/>
              </w:rPr>
              <w:t xml:space="preserve"> tiks sniegts </w:t>
            </w:r>
            <w:r w:rsidR="008F5E87" w:rsidRPr="001924CB">
              <w:rPr>
                <w:rFonts w:ascii="Times New Roman" w:hAnsi="Times New Roman" w:cs="Times New Roman"/>
                <w:b/>
                <w:bCs/>
                <w:color w:val="000000" w:themeColor="text1"/>
                <w:sz w:val="24"/>
                <w:szCs w:val="24"/>
                <w:u w:val="single"/>
              </w:rPr>
              <w:t xml:space="preserve">uz </w:t>
            </w:r>
            <w:r w:rsidR="00271A4F" w:rsidRPr="001924CB">
              <w:rPr>
                <w:rFonts w:ascii="Times New Roman" w:hAnsi="Times New Roman" w:cs="Times New Roman"/>
                <w:b/>
                <w:bCs/>
                <w:color w:val="000000" w:themeColor="text1"/>
                <w:sz w:val="24"/>
                <w:szCs w:val="24"/>
                <w:u w:val="single"/>
              </w:rPr>
              <w:t xml:space="preserve">Komisijas </w:t>
            </w:r>
            <w:r w:rsidR="008F5E87" w:rsidRPr="001924CB">
              <w:rPr>
                <w:rFonts w:ascii="Times New Roman" w:hAnsi="Times New Roman" w:cs="Times New Roman"/>
                <w:b/>
                <w:bCs/>
                <w:color w:val="000000" w:themeColor="text1"/>
                <w:sz w:val="24"/>
                <w:szCs w:val="24"/>
                <w:u w:val="single"/>
              </w:rPr>
              <w:t xml:space="preserve">valsts atbalsta </w:t>
            </w:r>
            <w:r w:rsidR="00271A4F" w:rsidRPr="001924CB">
              <w:rPr>
                <w:rFonts w:ascii="Times New Roman" w:hAnsi="Times New Roman" w:cs="Times New Roman"/>
                <w:b/>
                <w:bCs/>
                <w:color w:val="000000" w:themeColor="text1"/>
                <w:sz w:val="24"/>
                <w:szCs w:val="24"/>
                <w:u w:val="single"/>
              </w:rPr>
              <w:t>saskaņošanas lēmuma pamata</w:t>
            </w:r>
            <w:r w:rsidR="00271A4F" w:rsidRPr="001924CB">
              <w:rPr>
                <w:rFonts w:ascii="Times New Roman" w:hAnsi="Times New Roman" w:cs="Times New Roman"/>
                <w:b/>
                <w:bCs/>
                <w:color w:val="000000" w:themeColor="text1"/>
                <w:sz w:val="24"/>
                <w:szCs w:val="24"/>
              </w:rPr>
              <w:t>.</w:t>
            </w:r>
            <w:r w:rsidR="00C11796" w:rsidRPr="001924CB">
              <w:rPr>
                <w:rFonts w:ascii="Times New Roman" w:hAnsi="Times New Roman" w:cs="Times New Roman"/>
                <w:b/>
                <w:bCs/>
                <w:color w:val="000000" w:themeColor="text1"/>
                <w:sz w:val="24"/>
                <w:szCs w:val="24"/>
              </w:rPr>
              <w:t xml:space="preserve"> </w:t>
            </w:r>
          </w:p>
        </w:tc>
      </w:tr>
      <w:tr w:rsidR="00987784" w:rsidRPr="00294E3E" w14:paraId="528B691B" w14:textId="77777777" w:rsidTr="00071810">
        <w:tc>
          <w:tcPr>
            <w:tcW w:w="311" w:type="pct"/>
            <w:hideMark/>
          </w:tcPr>
          <w:p w14:paraId="4D74BE02" w14:textId="77777777" w:rsidR="00987784" w:rsidRPr="00294E3E" w:rsidRDefault="00987784" w:rsidP="00071810">
            <w:pPr>
              <w:spacing w:before="120" w:after="120" w:line="240" w:lineRule="auto"/>
              <w:jc w:val="center"/>
              <w:rPr>
                <w:rFonts w:ascii="Times New Roman" w:hAnsi="Times New Roman" w:cs="Times New Roman"/>
                <w:sz w:val="24"/>
                <w:szCs w:val="24"/>
              </w:rPr>
            </w:pPr>
            <w:r w:rsidRPr="00294E3E">
              <w:rPr>
                <w:rFonts w:ascii="Times New Roman" w:hAnsi="Times New Roman" w:cs="Times New Roman"/>
                <w:sz w:val="24"/>
                <w:szCs w:val="24"/>
              </w:rPr>
              <w:lastRenderedPageBreak/>
              <w:t>3.</w:t>
            </w:r>
          </w:p>
        </w:tc>
        <w:tc>
          <w:tcPr>
            <w:tcW w:w="1479" w:type="pct"/>
            <w:hideMark/>
          </w:tcPr>
          <w:p w14:paraId="12AA418C" w14:textId="77777777" w:rsidR="00987784" w:rsidRPr="00294E3E" w:rsidRDefault="00987784" w:rsidP="00071810">
            <w:pPr>
              <w:spacing w:before="120" w:after="120" w:line="240" w:lineRule="auto"/>
              <w:rPr>
                <w:rFonts w:ascii="Times New Roman" w:hAnsi="Times New Roman" w:cs="Times New Roman"/>
                <w:sz w:val="24"/>
                <w:szCs w:val="24"/>
              </w:rPr>
            </w:pPr>
            <w:r w:rsidRPr="00294E3E">
              <w:rPr>
                <w:rFonts w:ascii="Times New Roman" w:hAnsi="Times New Roman" w:cs="Times New Roman"/>
                <w:sz w:val="24"/>
                <w:szCs w:val="24"/>
              </w:rPr>
              <w:t>Projekta izstrādē iesaistītās institūcijas un publiskas personas kapitālsabiedrības</w:t>
            </w:r>
          </w:p>
        </w:tc>
        <w:tc>
          <w:tcPr>
            <w:tcW w:w="3210" w:type="pct"/>
            <w:hideMark/>
          </w:tcPr>
          <w:p w14:paraId="28A16423" w14:textId="52C1C47B" w:rsidR="000D4B64" w:rsidRPr="00294E3E" w:rsidRDefault="004D5939" w:rsidP="00071810">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Ekonomikas ministrija, </w:t>
            </w:r>
            <w:r w:rsidR="00660B1B">
              <w:rPr>
                <w:rFonts w:ascii="Times New Roman" w:hAnsi="Times New Roman" w:cs="Times New Roman"/>
                <w:sz w:val="24"/>
                <w:szCs w:val="24"/>
              </w:rPr>
              <w:t xml:space="preserve">Finanšu ministrija, </w:t>
            </w:r>
            <w:r w:rsidR="0024268E">
              <w:rPr>
                <w:rFonts w:ascii="Times New Roman" w:hAnsi="Times New Roman" w:cs="Times New Roman"/>
                <w:sz w:val="24"/>
                <w:szCs w:val="24"/>
              </w:rPr>
              <w:t>Satiksmes ministrija,</w:t>
            </w:r>
            <w:r w:rsidR="0024781F">
              <w:rPr>
                <w:rFonts w:ascii="Times New Roman" w:hAnsi="Times New Roman" w:cs="Times New Roman"/>
                <w:sz w:val="24"/>
                <w:szCs w:val="24"/>
              </w:rPr>
              <w:t xml:space="preserve"> </w:t>
            </w:r>
            <w:r w:rsidR="00E63FEA">
              <w:rPr>
                <w:rFonts w:ascii="Times New Roman" w:hAnsi="Times New Roman" w:cs="Times New Roman"/>
                <w:sz w:val="24"/>
                <w:szCs w:val="24"/>
              </w:rPr>
              <w:t>Vides aizsardzības un reģionālās attīstības ministrija</w:t>
            </w:r>
            <w:r w:rsidR="0084018B">
              <w:rPr>
                <w:rFonts w:ascii="Times New Roman" w:hAnsi="Times New Roman" w:cs="Times New Roman"/>
                <w:sz w:val="24"/>
                <w:szCs w:val="24"/>
              </w:rPr>
              <w:t xml:space="preserve"> un </w:t>
            </w:r>
            <w:r w:rsidR="004439AA">
              <w:rPr>
                <w:rFonts w:ascii="Times New Roman" w:hAnsi="Times New Roman" w:cs="Times New Roman"/>
                <w:sz w:val="24"/>
                <w:szCs w:val="24"/>
              </w:rPr>
              <w:t>Būvniecības valsts kontroles biro</w:t>
            </w:r>
            <w:r w:rsidR="00AC69B4">
              <w:rPr>
                <w:rFonts w:ascii="Times New Roman" w:hAnsi="Times New Roman" w:cs="Times New Roman"/>
                <w:sz w:val="24"/>
                <w:szCs w:val="24"/>
              </w:rPr>
              <w:t>j</w:t>
            </w:r>
            <w:r w:rsidR="004439AA">
              <w:rPr>
                <w:rFonts w:ascii="Times New Roman" w:hAnsi="Times New Roman" w:cs="Times New Roman"/>
                <w:sz w:val="24"/>
                <w:szCs w:val="24"/>
              </w:rPr>
              <w:t>s</w:t>
            </w:r>
            <w:r w:rsidR="00AC69B4">
              <w:rPr>
                <w:rFonts w:ascii="Times New Roman" w:hAnsi="Times New Roman" w:cs="Times New Roman"/>
                <w:sz w:val="24"/>
                <w:szCs w:val="24"/>
              </w:rPr>
              <w:t>.</w:t>
            </w:r>
          </w:p>
        </w:tc>
      </w:tr>
      <w:tr w:rsidR="00987784" w:rsidRPr="00294E3E" w14:paraId="14AE5DA8" w14:textId="77777777" w:rsidTr="00071810">
        <w:tc>
          <w:tcPr>
            <w:tcW w:w="311" w:type="pct"/>
            <w:hideMark/>
          </w:tcPr>
          <w:p w14:paraId="494C1B35" w14:textId="77777777" w:rsidR="00987784" w:rsidRPr="00294E3E" w:rsidRDefault="00987784" w:rsidP="00071810">
            <w:pPr>
              <w:spacing w:before="120" w:after="120" w:line="240" w:lineRule="auto"/>
              <w:jc w:val="center"/>
              <w:rPr>
                <w:rFonts w:ascii="Times New Roman" w:hAnsi="Times New Roman" w:cs="Times New Roman"/>
                <w:sz w:val="24"/>
                <w:szCs w:val="24"/>
              </w:rPr>
            </w:pPr>
            <w:r w:rsidRPr="00294E3E">
              <w:rPr>
                <w:rFonts w:ascii="Times New Roman" w:hAnsi="Times New Roman" w:cs="Times New Roman"/>
                <w:sz w:val="24"/>
                <w:szCs w:val="24"/>
              </w:rPr>
              <w:t>4.</w:t>
            </w:r>
          </w:p>
        </w:tc>
        <w:tc>
          <w:tcPr>
            <w:tcW w:w="1479" w:type="pct"/>
            <w:hideMark/>
          </w:tcPr>
          <w:p w14:paraId="07BC9766" w14:textId="77777777" w:rsidR="00987784" w:rsidRPr="00294E3E" w:rsidRDefault="00987784" w:rsidP="00071810">
            <w:pPr>
              <w:spacing w:before="120" w:after="120" w:line="240" w:lineRule="auto"/>
              <w:rPr>
                <w:rFonts w:ascii="Times New Roman" w:hAnsi="Times New Roman" w:cs="Times New Roman"/>
                <w:sz w:val="24"/>
                <w:szCs w:val="24"/>
              </w:rPr>
            </w:pPr>
            <w:r w:rsidRPr="00294E3E">
              <w:rPr>
                <w:rFonts w:ascii="Times New Roman" w:hAnsi="Times New Roman" w:cs="Times New Roman"/>
                <w:sz w:val="24"/>
                <w:szCs w:val="24"/>
              </w:rPr>
              <w:t>Cita informācija</w:t>
            </w:r>
          </w:p>
        </w:tc>
        <w:tc>
          <w:tcPr>
            <w:tcW w:w="3210" w:type="pct"/>
            <w:hideMark/>
          </w:tcPr>
          <w:p w14:paraId="6908E10B" w14:textId="578E35F4" w:rsidR="00987784" w:rsidRPr="00294E3E" w:rsidRDefault="00E9541E" w:rsidP="00071810">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Nav</w:t>
            </w:r>
            <w:r w:rsidR="00AC69B4">
              <w:rPr>
                <w:rFonts w:ascii="Times New Roman" w:hAnsi="Times New Roman" w:cs="Times New Roman"/>
                <w:sz w:val="24"/>
                <w:szCs w:val="24"/>
              </w:rPr>
              <w:t>.</w:t>
            </w:r>
            <w:r w:rsidR="0070679C" w:rsidRPr="00294E3E">
              <w:rPr>
                <w:rFonts w:ascii="Times New Roman" w:hAnsi="Times New Roman" w:cs="Times New Roman"/>
                <w:sz w:val="24"/>
                <w:szCs w:val="24"/>
              </w:rPr>
              <w:t xml:space="preserve"> </w:t>
            </w:r>
          </w:p>
        </w:tc>
      </w:tr>
      <w:tr w:rsidR="00987784" w:rsidRPr="00294E3E" w14:paraId="73AF7B01" w14:textId="77777777" w:rsidTr="00071810">
        <w:tc>
          <w:tcPr>
            <w:tcW w:w="5000" w:type="pct"/>
            <w:gridSpan w:val="3"/>
            <w:vAlign w:val="center"/>
            <w:hideMark/>
          </w:tcPr>
          <w:p w14:paraId="004BB6C6" w14:textId="77777777" w:rsidR="00987784" w:rsidRPr="00244B73" w:rsidRDefault="00987784" w:rsidP="006D398D">
            <w:pPr>
              <w:keepNext/>
              <w:spacing w:before="120" w:after="120" w:line="240" w:lineRule="auto"/>
              <w:jc w:val="center"/>
              <w:rPr>
                <w:rFonts w:ascii="Times New Roman" w:hAnsi="Times New Roman" w:cs="Times New Roman"/>
                <w:sz w:val="24"/>
                <w:szCs w:val="24"/>
              </w:rPr>
            </w:pPr>
            <w:r w:rsidRPr="00294E3E">
              <w:rPr>
                <w:rFonts w:ascii="Times New Roman" w:hAnsi="Times New Roman" w:cs="Times New Roman"/>
                <w:b/>
                <w:bCs/>
                <w:sz w:val="24"/>
                <w:szCs w:val="24"/>
              </w:rPr>
              <w:lastRenderedPageBreak/>
              <w:t>II. Tiesību akta projekta ietekme uz sabiedrību, tautsaimniecības attīstību un administratīvo slogu</w:t>
            </w:r>
          </w:p>
        </w:tc>
      </w:tr>
      <w:tr w:rsidR="00987784" w:rsidRPr="00294E3E" w14:paraId="680F3835" w14:textId="77777777" w:rsidTr="00071810">
        <w:tc>
          <w:tcPr>
            <w:tcW w:w="311" w:type="pct"/>
            <w:hideMark/>
          </w:tcPr>
          <w:p w14:paraId="2E0ED498" w14:textId="77777777" w:rsidR="00987784" w:rsidRPr="00294E3E" w:rsidRDefault="00987784" w:rsidP="006D398D">
            <w:pPr>
              <w:keepNext/>
              <w:spacing w:before="120" w:after="120" w:line="240" w:lineRule="auto"/>
              <w:jc w:val="center"/>
              <w:rPr>
                <w:rFonts w:ascii="Times New Roman" w:hAnsi="Times New Roman" w:cs="Times New Roman"/>
                <w:sz w:val="24"/>
                <w:szCs w:val="24"/>
              </w:rPr>
            </w:pPr>
            <w:r w:rsidRPr="00294E3E">
              <w:rPr>
                <w:rFonts w:ascii="Times New Roman" w:hAnsi="Times New Roman" w:cs="Times New Roman"/>
                <w:sz w:val="24"/>
                <w:szCs w:val="24"/>
              </w:rPr>
              <w:t>1.</w:t>
            </w:r>
          </w:p>
        </w:tc>
        <w:tc>
          <w:tcPr>
            <w:tcW w:w="1479" w:type="pct"/>
            <w:hideMark/>
          </w:tcPr>
          <w:p w14:paraId="09FE9D6B" w14:textId="77777777" w:rsidR="00987784" w:rsidRPr="00244B73" w:rsidRDefault="00987784" w:rsidP="006D398D">
            <w:pPr>
              <w:keepNext/>
              <w:spacing w:before="120" w:after="120" w:line="240" w:lineRule="auto"/>
              <w:rPr>
                <w:rFonts w:ascii="Times New Roman" w:hAnsi="Times New Roman" w:cs="Times New Roman"/>
                <w:sz w:val="24"/>
                <w:szCs w:val="24"/>
              </w:rPr>
            </w:pPr>
            <w:r w:rsidRPr="00294E3E">
              <w:rPr>
                <w:rFonts w:ascii="Times New Roman" w:hAnsi="Times New Roman" w:cs="Times New Roman"/>
                <w:sz w:val="24"/>
                <w:szCs w:val="24"/>
              </w:rPr>
              <w:t>Sabiedrības mērķgrupas, kuras tiesiskais regulējums ietekmē vai varētu ietekmēt</w:t>
            </w:r>
          </w:p>
        </w:tc>
        <w:tc>
          <w:tcPr>
            <w:tcW w:w="3210" w:type="pct"/>
            <w:hideMark/>
          </w:tcPr>
          <w:p w14:paraId="07E9CF51" w14:textId="48540242" w:rsidR="0082272E" w:rsidRPr="0082272E" w:rsidRDefault="0082272E" w:rsidP="00A71A5A">
            <w:pPr>
              <w:keepNext/>
              <w:spacing w:before="120" w:after="120" w:line="240" w:lineRule="auto"/>
              <w:jc w:val="both"/>
              <w:rPr>
                <w:rFonts w:ascii="Times New Roman" w:hAnsi="Times New Roman" w:cs="Times New Roman"/>
                <w:sz w:val="24"/>
                <w:szCs w:val="24"/>
              </w:rPr>
            </w:pPr>
            <w:r w:rsidRPr="0082272E">
              <w:rPr>
                <w:rFonts w:ascii="Times New Roman" w:hAnsi="Times New Roman" w:cs="Times New Roman"/>
                <w:sz w:val="24"/>
                <w:szCs w:val="24"/>
              </w:rPr>
              <w:t xml:space="preserve">Likumprojekta pieņemšana attiecas uz komersantiem un personām, kas atbilstoši likumā </w:t>
            </w:r>
            <w:r w:rsidR="004439AA">
              <w:rPr>
                <w:rFonts w:ascii="Times New Roman" w:hAnsi="Times New Roman" w:cs="Times New Roman"/>
                <w:sz w:val="24"/>
                <w:szCs w:val="24"/>
              </w:rPr>
              <w:t xml:space="preserve">“Par akcīzes nodokli” </w:t>
            </w:r>
            <w:r w:rsidRPr="0082272E">
              <w:rPr>
                <w:rFonts w:ascii="Times New Roman" w:hAnsi="Times New Roman" w:cs="Times New Roman"/>
                <w:sz w:val="24"/>
                <w:szCs w:val="24"/>
              </w:rPr>
              <w:t>noteiktajām prasībām ir akcīzes nodokļa maksātāji.</w:t>
            </w:r>
          </w:p>
          <w:p w14:paraId="2FC307CE" w14:textId="77777777" w:rsidR="00987784" w:rsidRPr="00294E3E" w:rsidRDefault="0082272E" w:rsidP="00A71A5A">
            <w:pPr>
              <w:keepNext/>
              <w:spacing w:before="120" w:after="120" w:line="240" w:lineRule="auto"/>
              <w:jc w:val="both"/>
              <w:rPr>
                <w:rFonts w:ascii="Times New Roman" w:hAnsi="Times New Roman" w:cs="Times New Roman"/>
                <w:sz w:val="24"/>
                <w:szCs w:val="24"/>
              </w:rPr>
            </w:pPr>
            <w:r w:rsidRPr="0082272E">
              <w:rPr>
                <w:rFonts w:ascii="Times New Roman" w:hAnsi="Times New Roman" w:cs="Times New Roman"/>
                <w:sz w:val="24"/>
                <w:szCs w:val="24"/>
              </w:rPr>
              <w:t xml:space="preserve">Likumprojekts attiecas uz komersantiem, kas veic darbības ar </w:t>
            </w:r>
            <w:r>
              <w:rPr>
                <w:rFonts w:ascii="Times New Roman" w:hAnsi="Times New Roman" w:cs="Times New Roman"/>
                <w:sz w:val="24"/>
                <w:szCs w:val="24"/>
              </w:rPr>
              <w:t>dabasgāzi, kuru izmanto kā transporta degvielu</w:t>
            </w:r>
            <w:r w:rsidRPr="0082272E">
              <w:rPr>
                <w:rFonts w:ascii="Times New Roman" w:hAnsi="Times New Roman" w:cs="Times New Roman"/>
                <w:sz w:val="24"/>
                <w:szCs w:val="24"/>
              </w:rPr>
              <w:t>.</w:t>
            </w:r>
            <w:r w:rsidR="00064B37">
              <w:rPr>
                <w:rFonts w:ascii="Times New Roman" w:hAnsi="Times New Roman" w:cs="Times New Roman"/>
                <w:sz w:val="24"/>
                <w:szCs w:val="24"/>
              </w:rPr>
              <w:t xml:space="preserve"> Likumprojekts ir saistošs a</w:t>
            </w:r>
            <w:r w:rsidR="00B06107">
              <w:rPr>
                <w:rFonts w:ascii="Times New Roman" w:hAnsi="Times New Roman" w:cs="Times New Roman"/>
                <w:sz w:val="24"/>
                <w:szCs w:val="24"/>
              </w:rPr>
              <w:t>utomobiļu lietotāji</w:t>
            </w:r>
            <w:r w:rsidR="00064B37">
              <w:rPr>
                <w:rFonts w:ascii="Times New Roman" w:hAnsi="Times New Roman" w:cs="Times New Roman"/>
                <w:sz w:val="24"/>
                <w:szCs w:val="24"/>
              </w:rPr>
              <w:t>em</w:t>
            </w:r>
            <w:r w:rsidR="00B06107">
              <w:rPr>
                <w:rFonts w:ascii="Times New Roman" w:hAnsi="Times New Roman" w:cs="Times New Roman"/>
                <w:sz w:val="24"/>
                <w:szCs w:val="24"/>
              </w:rPr>
              <w:t>, automobiļu tirgotāji</w:t>
            </w:r>
            <w:r w:rsidR="00064B37">
              <w:rPr>
                <w:rFonts w:ascii="Times New Roman" w:hAnsi="Times New Roman" w:cs="Times New Roman"/>
                <w:sz w:val="24"/>
                <w:szCs w:val="24"/>
              </w:rPr>
              <w:t>em</w:t>
            </w:r>
            <w:r w:rsidR="00B06107">
              <w:rPr>
                <w:rFonts w:ascii="Times New Roman" w:hAnsi="Times New Roman" w:cs="Times New Roman"/>
                <w:sz w:val="24"/>
                <w:szCs w:val="24"/>
              </w:rPr>
              <w:t xml:space="preserve">, </w:t>
            </w:r>
            <w:r w:rsidR="00113FE4">
              <w:rPr>
                <w:rFonts w:ascii="Times New Roman" w:hAnsi="Times New Roman" w:cs="Times New Roman"/>
                <w:sz w:val="24"/>
                <w:szCs w:val="24"/>
              </w:rPr>
              <w:t>dabasgāzes tirgotāji</w:t>
            </w:r>
            <w:r w:rsidR="00064B37">
              <w:rPr>
                <w:rFonts w:ascii="Times New Roman" w:hAnsi="Times New Roman" w:cs="Times New Roman"/>
                <w:sz w:val="24"/>
                <w:szCs w:val="24"/>
              </w:rPr>
              <w:t xml:space="preserve">em un dabasgāzes infrastruktūras operatoriem. </w:t>
            </w:r>
          </w:p>
        </w:tc>
      </w:tr>
      <w:tr w:rsidR="00987784" w:rsidRPr="00294E3E" w14:paraId="742B11DA" w14:textId="77777777" w:rsidTr="00071810">
        <w:tc>
          <w:tcPr>
            <w:tcW w:w="311" w:type="pct"/>
            <w:hideMark/>
          </w:tcPr>
          <w:p w14:paraId="2AEC494F" w14:textId="77777777" w:rsidR="00987784" w:rsidRPr="00294E3E" w:rsidRDefault="00987784" w:rsidP="006D398D">
            <w:pPr>
              <w:keepNext/>
              <w:spacing w:before="120" w:after="120" w:line="240" w:lineRule="auto"/>
              <w:jc w:val="center"/>
              <w:rPr>
                <w:rFonts w:ascii="Times New Roman" w:hAnsi="Times New Roman" w:cs="Times New Roman"/>
                <w:sz w:val="24"/>
                <w:szCs w:val="24"/>
              </w:rPr>
            </w:pPr>
            <w:r w:rsidRPr="00294E3E">
              <w:rPr>
                <w:rFonts w:ascii="Times New Roman" w:hAnsi="Times New Roman" w:cs="Times New Roman"/>
                <w:sz w:val="24"/>
                <w:szCs w:val="24"/>
              </w:rPr>
              <w:t>2.</w:t>
            </w:r>
          </w:p>
        </w:tc>
        <w:tc>
          <w:tcPr>
            <w:tcW w:w="1479" w:type="pct"/>
            <w:hideMark/>
          </w:tcPr>
          <w:p w14:paraId="45C51F6F" w14:textId="77777777" w:rsidR="00987784" w:rsidRPr="00244B73" w:rsidRDefault="00987784" w:rsidP="006D398D">
            <w:pPr>
              <w:keepNext/>
              <w:spacing w:before="120" w:after="120" w:line="240" w:lineRule="auto"/>
              <w:rPr>
                <w:rFonts w:ascii="Times New Roman" w:hAnsi="Times New Roman" w:cs="Times New Roman"/>
                <w:sz w:val="24"/>
                <w:szCs w:val="24"/>
              </w:rPr>
            </w:pPr>
            <w:r w:rsidRPr="00294E3E">
              <w:rPr>
                <w:rFonts w:ascii="Times New Roman" w:hAnsi="Times New Roman" w:cs="Times New Roman"/>
                <w:sz w:val="24"/>
                <w:szCs w:val="24"/>
              </w:rPr>
              <w:t>Tiesiskā regulējuma ietekme uz tautsaimniecību un administratīvo slogu</w:t>
            </w:r>
          </w:p>
        </w:tc>
        <w:tc>
          <w:tcPr>
            <w:tcW w:w="3210" w:type="pct"/>
            <w:hideMark/>
          </w:tcPr>
          <w:p w14:paraId="3653C6F5" w14:textId="4DDB9246" w:rsidR="00B06107" w:rsidRDefault="00113FE4" w:rsidP="00A71A5A">
            <w:pPr>
              <w:keepNext/>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Tiesiskais regulējums </w:t>
            </w:r>
            <w:r w:rsidR="00B06107">
              <w:rPr>
                <w:rFonts w:ascii="Times New Roman" w:hAnsi="Times New Roman" w:cs="Times New Roman"/>
                <w:sz w:val="24"/>
                <w:szCs w:val="24"/>
              </w:rPr>
              <w:t>ne</w:t>
            </w:r>
            <w:r w:rsidR="00C51CC4">
              <w:rPr>
                <w:rFonts w:ascii="Times New Roman" w:hAnsi="Times New Roman" w:cs="Times New Roman"/>
                <w:sz w:val="24"/>
                <w:szCs w:val="24"/>
              </w:rPr>
              <w:t>radīs</w:t>
            </w:r>
            <w:r w:rsidR="00B06107">
              <w:rPr>
                <w:rFonts w:ascii="Times New Roman" w:hAnsi="Times New Roman" w:cs="Times New Roman"/>
                <w:sz w:val="24"/>
                <w:szCs w:val="24"/>
              </w:rPr>
              <w:t xml:space="preserve"> </w:t>
            </w:r>
            <w:r w:rsidR="00736107">
              <w:rPr>
                <w:rFonts w:ascii="Times New Roman" w:hAnsi="Times New Roman" w:cs="Times New Roman"/>
                <w:sz w:val="24"/>
                <w:szCs w:val="24"/>
              </w:rPr>
              <w:t xml:space="preserve"> </w:t>
            </w:r>
            <w:r w:rsidR="00B06107">
              <w:rPr>
                <w:rFonts w:ascii="Times New Roman" w:hAnsi="Times New Roman" w:cs="Times New Roman"/>
                <w:sz w:val="24"/>
                <w:szCs w:val="24"/>
              </w:rPr>
              <w:t>negatīvu ietekmi</w:t>
            </w:r>
            <w:r>
              <w:rPr>
                <w:rFonts w:ascii="Times New Roman" w:hAnsi="Times New Roman" w:cs="Times New Roman"/>
                <w:sz w:val="24"/>
                <w:szCs w:val="24"/>
              </w:rPr>
              <w:t xml:space="preserve"> uz tautsaimniecību</w:t>
            </w:r>
            <w:r w:rsidR="00B06107">
              <w:rPr>
                <w:rFonts w:ascii="Times New Roman" w:hAnsi="Times New Roman" w:cs="Times New Roman"/>
                <w:sz w:val="24"/>
                <w:szCs w:val="24"/>
              </w:rPr>
              <w:t xml:space="preserve">, </w:t>
            </w:r>
            <w:r w:rsidR="009E3719">
              <w:rPr>
                <w:rFonts w:ascii="Times New Roman" w:hAnsi="Times New Roman" w:cs="Times New Roman"/>
                <w:sz w:val="24"/>
                <w:szCs w:val="24"/>
              </w:rPr>
              <w:t xml:space="preserve">ņemot vērā to, ka nav paredzētas esošās akcīzes nodokļa likmes izmaiņas saspiestai dabasgāzei transportam. </w:t>
            </w:r>
          </w:p>
          <w:p w14:paraId="10A8AB7C" w14:textId="77777777" w:rsidR="00113FE4" w:rsidRDefault="00BC4BFB" w:rsidP="00A71A5A">
            <w:pPr>
              <w:keepNext/>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Tiesiskais regulējums neietekmēs</w:t>
            </w:r>
            <w:r w:rsidR="003928EB">
              <w:rPr>
                <w:rFonts w:ascii="Times New Roman" w:hAnsi="Times New Roman" w:cs="Times New Roman"/>
                <w:sz w:val="24"/>
                <w:szCs w:val="24"/>
              </w:rPr>
              <w:t xml:space="preserve"> negatīvi</w:t>
            </w:r>
            <w:r w:rsidR="00F041A7">
              <w:rPr>
                <w:rFonts w:ascii="Times New Roman" w:hAnsi="Times New Roman" w:cs="Times New Roman"/>
                <w:sz w:val="24"/>
                <w:szCs w:val="24"/>
              </w:rPr>
              <w:t xml:space="preserve"> konkurenci.</w:t>
            </w:r>
          </w:p>
          <w:p w14:paraId="31C75C82" w14:textId="77777777" w:rsidR="00F041A7" w:rsidRDefault="00F041A7" w:rsidP="00A71A5A">
            <w:pPr>
              <w:keepNext/>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Tiesiskais regulējums </w:t>
            </w:r>
            <w:r w:rsidR="003928EB">
              <w:rPr>
                <w:rFonts w:ascii="Times New Roman" w:hAnsi="Times New Roman" w:cs="Times New Roman"/>
                <w:sz w:val="24"/>
                <w:szCs w:val="24"/>
              </w:rPr>
              <w:t>pozitīvi ietekmēs</w:t>
            </w:r>
            <w:r>
              <w:rPr>
                <w:rFonts w:ascii="Times New Roman" w:hAnsi="Times New Roman" w:cs="Times New Roman"/>
                <w:sz w:val="24"/>
                <w:szCs w:val="24"/>
              </w:rPr>
              <w:t xml:space="preserve"> vidi</w:t>
            </w:r>
            <w:r w:rsidR="003928EB">
              <w:rPr>
                <w:rFonts w:ascii="Times New Roman" w:hAnsi="Times New Roman" w:cs="Times New Roman"/>
                <w:sz w:val="24"/>
                <w:szCs w:val="24"/>
              </w:rPr>
              <w:t>, jo palielinoties transportlīdzekļu skaitam, kuri izmanto CNG, samazināsies radītās CO</w:t>
            </w:r>
            <w:r w:rsidR="003928EB" w:rsidRPr="003928EB">
              <w:rPr>
                <w:rFonts w:ascii="Times New Roman" w:hAnsi="Times New Roman" w:cs="Times New Roman"/>
                <w:sz w:val="24"/>
                <w:szCs w:val="24"/>
                <w:vertAlign w:val="subscript"/>
              </w:rPr>
              <w:t>2</w:t>
            </w:r>
            <w:r w:rsidR="003928EB">
              <w:rPr>
                <w:rFonts w:ascii="Times New Roman" w:hAnsi="Times New Roman" w:cs="Times New Roman"/>
                <w:sz w:val="24"/>
                <w:szCs w:val="24"/>
              </w:rPr>
              <w:t xml:space="preserve"> emisijas</w:t>
            </w:r>
            <w:r>
              <w:rPr>
                <w:rFonts w:ascii="Times New Roman" w:hAnsi="Times New Roman" w:cs="Times New Roman"/>
                <w:sz w:val="24"/>
                <w:szCs w:val="24"/>
              </w:rPr>
              <w:t>.</w:t>
            </w:r>
          </w:p>
          <w:p w14:paraId="4834C45D" w14:textId="5599FDA8" w:rsidR="00F041A7" w:rsidRDefault="00F041A7" w:rsidP="00A71A5A">
            <w:pPr>
              <w:keepNext/>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Tiesiskais regulējums neietekmēs veselību</w:t>
            </w:r>
            <w:r w:rsidR="003928EB">
              <w:rPr>
                <w:rFonts w:ascii="Times New Roman" w:hAnsi="Times New Roman" w:cs="Times New Roman"/>
                <w:sz w:val="24"/>
                <w:szCs w:val="24"/>
              </w:rPr>
              <w:t xml:space="preserve"> vai ietekmēs to pozitīvi</w:t>
            </w:r>
            <w:r w:rsidR="00736107">
              <w:rPr>
                <w:rFonts w:ascii="Times New Roman" w:hAnsi="Times New Roman" w:cs="Times New Roman"/>
                <w:sz w:val="24"/>
                <w:szCs w:val="24"/>
              </w:rPr>
              <w:t>,</w:t>
            </w:r>
            <w:r w:rsidR="003928EB">
              <w:rPr>
                <w:rFonts w:ascii="Times New Roman" w:hAnsi="Times New Roman" w:cs="Times New Roman"/>
                <w:sz w:val="24"/>
                <w:szCs w:val="24"/>
              </w:rPr>
              <w:t xml:space="preserve"> uzlabojoties gaisa kvalitātei pilsētās ilgtermiņā</w:t>
            </w:r>
            <w:r>
              <w:rPr>
                <w:rFonts w:ascii="Times New Roman" w:hAnsi="Times New Roman" w:cs="Times New Roman"/>
                <w:sz w:val="24"/>
                <w:szCs w:val="24"/>
              </w:rPr>
              <w:t>.</w:t>
            </w:r>
          </w:p>
          <w:p w14:paraId="2B5DF529" w14:textId="77777777" w:rsidR="00F041A7" w:rsidRDefault="00F041A7" w:rsidP="00A71A5A">
            <w:pPr>
              <w:keepNext/>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Tiesiskais regulējums neietekmēs nevalstiskās organizācijas.</w:t>
            </w:r>
          </w:p>
          <w:p w14:paraId="4E92E369" w14:textId="77777777" w:rsidR="00F041A7" w:rsidRPr="00294E3E" w:rsidRDefault="00F041A7" w:rsidP="00A71A5A">
            <w:pPr>
              <w:keepNext/>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Tiesiskais regulējums </w:t>
            </w:r>
            <w:r w:rsidR="0082272E">
              <w:rPr>
                <w:rFonts w:ascii="Times New Roman" w:hAnsi="Times New Roman" w:cs="Times New Roman"/>
                <w:sz w:val="24"/>
                <w:szCs w:val="24"/>
              </w:rPr>
              <w:t>neietekmēs</w:t>
            </w:r>
            <w:r>
              <w:rPr>
                <w:rFonts w:ascii="Times New Roman" w:hAnsi="Times New Roman" w:cs="Times New Roman"/>
                <w:sz w:val="24"/>
                <w:szCs w:val="24"/>
              </w:rPr>
              <w:t xml:space="preserve"> administratīvo slogu</w:t>
            </w:r>
            <w:r w:rsidR="003928EB">
              <w:rPr>
                <w:rFonts w:ascii="Times New Roman" w:hAnsi="Times New Roman" w:cs="Times New Roman"/>
                <w:sz w:val="24"/>
                <w:szCs w:val="24"/>
              </w:rPr>
              <w:t>.</w:t>
            </w:r>
          </w:p>
        </w:tc>
      </w:tr>
      <w:tr w:rsidR="00987784" w:rsidRPr="00294E3E" w14:paraId="24506576" w14:textId="77777777" w:rsidTr="00071810">
        <w:tc>
          <w:tcPr>
            <w:tcW w:w="311" w:type="pct"/>
            <w:hideMark/>
          </w:tcPr>
          <w:p w14:paraId="3358C8D0" w14:textId="77777777" w:rsidR="00987784" w:rsidRPr="00294E3E" w:rsidRDefault="00987784" w:rsidP="006D398D">
            <w:pPr>
              <w:keepNext/>
              <w:spacing w:before="120" w:after="120" w:line="240" w:lineRule="auto"/>
              <w:jc w:val="center"/>
              <w:rPr>
                <w:rFonts w:ascii="Times New Roman" w:hAnsi="Times New Roman" w:cs="Times New Roman"/>
                <w:sz w:val="24"/>
                <w:szCs w:val="24"/>
              </w:rPr>
            </w:pPr>
            <w:r w:rsidRPr="00294E3E">
              <w:rPr>
                <w:rFonts w:ascii="Times New Roman" w:hAnsi="Times New Roman" w:cs="Times New Roman"/>
                <w:sz w:val="24"/>
                <w:szCs w:val="24"/>
              </w:rPr>
              <w:t>3.</w:t>
            </w:r>
          </w:p>
        </w:tc>
        <w:tc>
          <w:tcPr>
            <w:tcW w:w="1479" w:type="pct"/>
            <w:hideMark/>
          </w:tcPr>
          <w:p w14:paraId="701CADB3" w14:textId="77777777" w:rsidR="00987784" w:rsidRPr="00244B73" w:rsidRDefault="00987784" w:rsidP="006D398D">
            <w:pPr>
              <w:keepNext/>
              <w:spacing w:before="120" w:after="120" w:line="240" w:lineRule="auto"/>
              <w:rPr>
                <w:rFonts w:ascii="Times New Roman" w:hAnsi="Times New Roman" w:cs="Times New Roman"/>
                <w:sz w:val="24"/>
                <w:szCs w:val="24"/>
              </w:rPr>
            </w:pPr>
            <w:r w:rsidRPr="00294E3E">
              <w:rPr>
                <w:rFonts w:ascii="Times New Roman" w:hAnsi="Times New Roman" w:cs="Times New Roman"/>
                <w:sz w:val="24"/>
                <w:szCs w:val="24"/>
              </w:rPr>
              <w:t>Administratīvo izmaksu monetārs novērtējums</w:t>
            </w:r>
          </w:p>
        </w:tc>
        <w:tc>
          <w:tcPr>
            <w:tcW w:w="3210" w:type="pct"/>
            <w:hideMark/>
          </w:tcPr>
          <w:p w14:paraId="17409993" w14:textId="3DADBA10" w:rsidR="00987784" w:rsidRPr="00294E3E" w:rsidRDefault="0084018B" w:rsidP="00A71A5A">
            <w:pPr>
              <w:keepNext/>
              <w:spacing w:before="120" w:after="120" w:line="240" w:lineRule="auto"/>
              <w:jc w:val="both"/>
              <w:rPr>
                <w:rFonts w:ascii="Times New Roman" w:hAnsi="Times New Roman" w:cs="Times New Roman"/>
                <w:sz w:val="24"/>
                <w:szCs w:val="24"/>
              </w:rPr>
            </w:pPr>
            <w:r w:rsidRPr="00AA543A">
              <w:rPr>
                <w:rFonts w:ascii="Times New Roman" w:hAnsi="Times New Roman" w:cs="Times New Roman"/>
                <w:color w:val="000000" w:themeColor="text1"/>
                <w:sz w:val="24"/>
                <w:szCs w:val="24"/>
              </w:rPr>
              <w:t>Pr</w:t>
            </w:r>
            <w:r>
              <w:rPr>
                <w:rFonts w:ascii="Times New Roman" w:hAnsi="Times New Roman" w:cs="Times New Roman"/>
                <w:color w:val="000000" w:themeColor="text1"/>
                <w:sz w:val="24"/>
                <w:szCs w:val="24"/>
              </w:rPr>
              <w:t>ojekts šo jomu neskar.</w:t>
            </w:r>
          </w:p>
        </w:tc>
      </w:tr>
      <w:tr w:rsidR="00987784" w:rsidRPr="00294E3E" w14:paraId="0F9B56AA" w14:textId="77777777" w:rsidTr="00071810">
        <w:tc>
          <w:tcPr>
            <w:tcW w:w="311" w:type="pct"/>
            <w:hideMark/>
          </w:tcPr>
          <w:p w14:paraId="3B51172A" w14:textId="77777777" w:rsidR="00987784" w:rsidRPr="00294E3E" w:rsidRDefault="00987784" w:rsidP="006D398D">
            <w:pPr>
              <w:keepNext/>
              <w:spacing w:before="120" w:after="120" w:line="240" w:lineRule="auto"/>
              <w:jc w:val="center"/>
              <w:rPr>
                <w:rFonts w:ascii="Times New Roman" w:hAnsi="Times New Roman" w:cs="Times New Roman"/>
                <w:sz w:val="24"/>
                <w:szCs w:val="24"/>
              </w:rPr>
            </w:pPr>
            <w:r w:rsidRPr="00294E3E">
              <w:rPr>
                <w:rFonts w:ascii="Times New Roman" w:hAnsi="Times New Roman" w:cs="Times New Roman"/>
                <w:sz w:val="24"/>
                <w:szCs w:val="24"/>
              </w:rPr>
              <w:t>4.</w:t>
            </w:r>
          </w:p>
        </w:tc>
        <w:tc>
          <w:tcPr>
            <w:tcW w:w="1479" w:type="pct"/>
            <w:hideMark/>
          </w:tcPr>
          <w:p w14:paraId="30F2820C" w14:textId="77777777" w:rsidR="00987784" w:rsidRPr="00294E3E" w:rsidRDefault="00987784" w:rsidP="006D398D">
            <w:pPr>
              <w:keepNext/>
              <w:spacing w:before="120" w:after="120" w:line="240" w:lineRule="auto"/>
              <w:rPr>
                <w:rFonts w:ascii="Times New Roman" w:hAnsi="Times New Roman" w:cs="Times New Roman"/>
                <w:sz w:val="24"/>
                <w:szCs w:val="24"/>
              </w:rPr>
            </w:pPr>
            <w:r w:rsidRPr="00294E3E">
              <w:rPr>
                <w:rFonts w:ascii="Times New Roman" w:hAnsi="Times New Roman" w:cs="Times New Roman"/>
                <w:sz w:val="24"/>
                <w:szCs w:val="24"/>
              </w:rPr>
              <w:t>Atbilstības izmaksu monetārs novērtējums</w:t>
            </w:r>
          </w:p>
        </w:tc>
        <w:tc>
          <w:tcPr>
            <w:tcW w:w="3210" w:type="pct"/>
            <w:hideMark/>
          </w:tcPr>
          <w:p w14:paraId="6273CD64" w14:textId="2A411424" w:rsidR="00987784" w:rsidRPr="00294E3E" w:rsidRDefault="0084018B" w:rsidP="00A71A5A">
            <w:pPr>
              <w:keepNext/>
              <w:spacing w:before="120" w:after="120" w:line="240" w:lineRule="auto"/>
              <w:jc w:val="both"/>
              <w:rPr>
                <w:rFonts w:ascii="Times New Roman" w:hAnsi="Times New Roman" w:cs="Times New Roman"/>
                <w:sz w:val="24"/>
                <w:szCs w:val="24"/>
              </w:rPr>
            </w:pPr>
            <w:r w:rsidRPr="00AA543A">
              <w:rPr>
                <w:rFonts w:ascii="Times New Roman" w:hAnsi="Times New Roman" w:cs="Times New Roman"/>
                <w:color w:val="000000" w:themeColor="text1"/>
                <w:sz w:val="24"/>
                <w:szCs w:val="24"/>
              </w:rPr>
              <w:t>Pr</w:t>
            </w:r>
            <w:r>
              <w:rPr>
                <w:rFonts w:ascii="Times New Roman" w:hAnsi="Times New Roman" w:cs="Times New Roman"/>
                <w:color w:val="000000" w:themeColor="text1"/>
                <w:sz w:val="24"/>
                <w:szCs w:val="24"/>
              </w:rPr>
              <w:t>ojekts šo jomu neskar.</w:t>
            </w:r>
          </w:p>
        </w:tc>
      </w:tr>
      <w:tr w:rsidR="00987784" w:rsidRPr="00294E3E" w14:paraId="74AE5EB3" w14:textId="77777777" w:rsidTr="00071810">
        <w:tc>
          <w:tcPr>
            <w:tcW w:w="311" w:type="pct"/>
            <w:hideMark/>
          </w:tcPr>
          <w:p w14:paraId="5558695C" w14:textId="77777777" w:rsidR="00987784" w:rsidRPr="00294E3E" w:rsidRDefault="00987784" w:rsidP="006D398D">
            <w:pPr>
              <w:keepNext/>
              <w:spacing w:before="120" w:after="120" w:line="240" w:lineRule="auto"/>
              <w:jc w:val="center"/>
              <w:rPr>
                <w:rFonts w:ascii="Times New Roman" w:hAnsi="Times New Roman" w:cs="Times New Roman"/>
                <w:sz w:val="24"/>
                <w:szCs w:val="24"/>
              </w:rPr>
            </w:pPr>
            <w:r w:rsidRPr="00294E3E">
              <w:rPr>
                <w:rFonts w:ascii="Times New Roman" w:hAnsi="Times New Roman" w:cs="Times New Roman"/>
                <w:sz w:val="24"/>
                <w:szCs w:val="24"/>
              </w:rPr>
              <w:t>5.</w:t>
            </w:r>
          </w:p>
        </w:tc>
        <w:tc>
          <w:tcPr>
            <w:tcW w:w="1479" w:type="pct"/>
            <w:hideMark/>
          </w:tcPr>
          <w:p w14:paraId="3BCED1B4" w14:textId="77777777" w:rsidR="00987784" w:rsidRPr="00294E3E" w:rsidRDefault="00987784" w:rsidP="006D398D">
            <w:pPr>
              <w:keepNext/>
              <w:spacing w:before="120" w:after="120" w:line="240" w:lineRule="auto"/>
              <w:rPr>
                <w:rFonts w:ascii="Times New Roman" w:hAnsi="Times New Roman" w:cs="Times New Roman"/>
                <w:sz w:val="24"/>
                <w:szCs w:val="24"/>
              </w:rPr>
            </w:pPr>
            <w:r w:rsidRPr="00294E3E">
              <w:rPr>
                <w:rFonts w:ascii="Times New Roman" w:hAnsi="Times New Roman" w:cs="Times New Roman"/>
                <w:sz w:val="24"/>
                <w:szCs w:val="24"/>
              </w:rPr>
              <w:t>Cita informācija</w:t>
            </w:r>
          </w:p>
        </w:tc>
        <w:tc>
          <w:tcPr>
            <w:tcW w:w="3210" w:type="pct"/>
            <w:hideMark/>
          </w:tcPr>
          <w:p w14:paraId="084FB3B8" w14:textId="03A3DE8A" w:rsidR="00294E3E" w:rsidRPr="00294E3E" w:rsidRDefault="000D5A02" w:rsidP="00A71A5A">
            <w:pPr>
              <w:keepNext/>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Nav</w:t>
            </w:r>
            <w:r w:rsidR="00AC69B4">
              <w:rPr>
                <w:rFonts w:ascii="Times New Roman" w:hAnsi="Times New Roman" w:cs="Times New Roman"/>
                <w:sz w:val="24"/>
                <w:szCs w:val="24"/>
              </w:rPr>
              <w:t>.</w:t>
            </w:r>
          </w:p>
        </w:tc>
      </w:tr>
    </w:tbl>
    <w:p w14:paraId="6073F675" w14:textId="77777777" w:rsidR="00EE6343" w:rsidRDefault="00EE6343" w:rsidP="006D398D">
      <w:pPr>
        <w:pStyle w:val="Title"/>
        <w:spacing w:before="120" w:after="120"/>
        <w:ind w:firstLine="539"/>
        <w:jc w:val="both"/>
        <w:rPr>
          <w:sz w:val="24"/>
          <w:szCs w:val="24"/>
        </w:rPr>
      </w:pPr>
    </w:p>
    <w:p w14:paraId="5BC2C30A" w14:textId="77777777" w:rsidR="00071810" w:rsidRDefault="00071810" w:rsidP="006D398D">
      <w:pPr>
        <w:pStyle w:val="Title"/>
        <w:spacing w:before="120" w:after="120"/>
        <w:ind w:firstLine="539"/>
        <w:jc w:val="both"/>
        <w:rPr>
          <w:sz w:val="24"/>
          <w:szCs w:val="24"/>
        </w:rPr>
      </w:pPr>
    </w:p>
    <w:p w14:paraId="59C13CFC" w14:textId="77777777" w:rsidR="00071810" w:rsidRPr="00294E3E" w:rsidRDefault="00071810" w:rsidP="006D398D">
      <w:pPr>
        <w:pStyle w:val="Title"/>
        <w:spacing w:before="120" w:after="120"/>
        <w:ind w:firstLine="539"/>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574"/>
        <w:gridCol w:w="1065"/>
        <w:gridCol w:w="1073"/>
        <w:gridCol w:w="1065"/>
        <w:gridCol w:w="1073"/>
        <w:gridCol w:w="1065"/>
        <w:gridCol w:w="1073"/>
        <w:gridCol w:w="1073"/>
      </w:tblGrid>
      <w:tr w:rsidR="00987784" w:rsidRPr="00294E3E" w14:paraId="6683049E" w14:textId="77777777" w:rsidTr="00C764FD">
        <w:trPr>
          <w:cantSplit/>
        </w:trPr>
        <w:tc>
          <w:tcPr>
            <w:tcW w:w="9061" w:type="dxa"/>
            <w:gridSpan w:val="8"/>
            <w:shd w:val="clear" w:color="auto" w:fill="auto"/>
            <w:vAlign w:val="center"/>
            <w:hideMark/>
          </w:tcPr>
          <w:p w14:paraId="654D6E08" w14:textId="77777777" w:rsidR="00987784" w:rsidRPr="00294E3E" w:rsidRDefault="00987784" w:rsidP="006D398D">
            <w:pPr>
              <w:spacing w:before="120" w:after="120" w:line="240" w:lineRule="auto"/>
              <w:jc w:val="center"/>
              <w:rPr>
                <w:rFonts w:ascii="Times New Roman" w:hAnsi="Times New Roman" w:cs="Times New Roman"/>
                <w:b/>
                <w:bCs/>
                <w:sz w:val="24"/>
                <w:szCs w:val="24"/>
              </w:rPr>
            </w:pPr>
            <w:r w:rsidRPr="00294E3E">
              <w:rPr>
                <w:rFonts w:ascii="Times New Roman" w:hAnsi="Times New Roman" w:cs="Times New Roman"/>
                <w:b/>
                <w:bCs/>
                <w:sz w:val="24"/>
                <w:szCs w:val="24"/>
              </w:rPr>
              <w:t>III. Tiesību akta projekta ietekme uz valsts budžetu un pašvaldību budžetiem</w:t>
            </w:r>
          </w:p>
        </w:tc>
      </w:tr>
      <w:tr w:rsidR="00E0008B" w:rsidRPr="003C0EC2" w14:paraId="3A3FC0C1" w14:textId="77777777" w:rsidTr="00C764FD">
        <w:tblPrEx>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shd w:val="clear" w:color="auto" w:fill="FFFFFF"/>
          <w:tblCellMar>
            <w:top w:w="20" w:type="dxa"/>
            <w:left w:w="20" w:type="dxa"/>
            <w:bottom w:w="20" w:type="dxa"/>
            <w:right w:w="20" w:type="dxa"/>
          </w:tblCellMar>
        </w:tblPrEx>
        <w:tc>
          <w:tcPr>
            <w:tcW w:w="1574" w:type="dxa"/>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AE4FA6E" w14:textId="77777777" w:rsidR="003C0EC2" w:rsidRPr="00C764FD" w:rsidRDefault="003C0EC2" w:rsidP="003C0EC2">
            <w:pPr>
              <w:spacing w:before="100" w:beforeAutospacing="1" w:after="100" w:afterAutospacing="1" w:line="315" w:lineRule="atLeast"/>
              <w:jc w:val="center"/>
              <w:rPr>
                <w:rFonts w:ascii="Times New Roman" w:eastAsia="Times New Roman" w:hAnsi="Times New Roman" w:cs="Times New Roman"/>
                <w:color w:val="414142"/>
                <w:sz w:val="24"/>
                <w:szCs w:val="24"/>
                <w:lang w:eastAsia="lv-LV"/>
              </w:rPr>
            </w:pPr>
            <w:r w:rsidRPr="00C764FD">
              <w:rPr>
                <w:rFonts w:ascii="Times New Roman" w:eastAsia="Times New Roman" w:hAnsi="Times New Roman" w:cs="Times New Roman"/>
                <w:color w:val="414142"/>
                <w:sz w:val="24"/>
                <w:szCs w:val="24"/>
                <w:lang w:eastAsia="lv-LV"/>
              </w:rPr>
              <w:t>Rādītāji</w:t>
            </w:r>
          </w:p>
        </w:tc>
        <w:tc>
          <w:tcPr>
            <w:tcW w:w="2138" w:type="dxa"/>
            <w:gridSpan w:val="2"/>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D680E8C" w14:textId="77777777" w:rsidR="003C0EC2" w:rsidRPr="00C764FD" w:rsidRDefault="003C0EC2" w:rsidP="003C0EC2">
            <w:pPr>
              <w:spacing w:before="100" w:beforeAutospacing="1" w:after="100" w:afterAutospacing="1" w:line="315" w:lineRule="atLeast"/>
              <w:jc w:val="center"/>
              <w:rPr>
                <w:rFonts w:ascii="Times New Roman" w:eastAsia="Times New Roman" w:hAnsi="Times New Roman" w:cs="Times New Roman"/>
                <w:color w:val="414142"/>
                <w:sz w:val="24"/>
                <w:szCs w:val="24"/>
                <w:lang w:eastAsia="lv-LV"/>
              </w:rPr>
            </w:pPr>
            <w:r w:rsidRPr="00C764FD">
              <w:rPr>
                <w:rFonts w:ascii="Times New Roman" w:eastAsia="Times New Roman" w:hAnsi="Times New Roman" w:cs="Times New Roman"/>
                <w:color w:val="414142"/>
                <w:sz w:val="24"/>
                <w:szCs w:val="24"/>
                <w:lang w:eastAsia="lv-LV"/>
              </w:rPr>
              <w:t>n-gads</w:t>
            </w:r>
          </w:p>
        </w:tc>
        <w:tc>
          <w:tcPr>
            <w:tcW w:w="5349" w:type="dxa"/>
            <w:gridSpan w:val="5"/>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C0300BB" w14:textId="77777777" w:rsidR="003C0EC2" w:rsidRPr="00C764FD" w:rsidRDefault="003C0EC2" w:rsidP="003C0EC2">
            <w:pPr>
              <w:spacing w:before="100" w:beforeAutospacing="1" w:after="100" w:afterAutospacing="1" w:line="315" w:lineRule="atLeast"/>
              <w:jc w:val="center"/>
              <w:rPr>
                <w:rFonts w:ascii="Times New Roman" w:eastAsia="Times New Roman" w:hAnsi="Times New Roman" w:cs="Times New Roman"/>
                <w:color w:val="414142"/>
                <w:sz w:val="24"/>
                <w:szCs w:val="24"/>
                <w:lang w:eastAsia="lv-LV"/>
              </w:rPr>
            </w:pPr>
            <w:r w:rsidRPr="00C764FD">
              <w:rPr>
                <w:rFonts w:ascii="Times New Roman" w:eastAsia="Times New Roman" w:hAnsi="Times New Roman" w:cs="Times New Roman"/>
                <w:color w:val="414142"/>
                <w:sz w:val="24"/>
                <w:szCs w:val="24"/>
                <w:lang w:eastAsia="lv-LV"/>
              </w:rPr>
              <w:t>Turpmākie trīs gadi (</w:t>
            </w:r>
            <w:r w:rsidRPr="00C764FD">
              <w:rPr>
                <w:rFonts w:ascii="Times New Roman" w:eastAsia="Times New Roman" w:hAnsi="Times New Roman" w:cs="Times New Roman"/>
                <w:i/>
                <w:iCs/>
                <w:color w:val="414142"/>
                <w:sz w:val="24"/>
                <w:szCs w:val="24"/>
                <w:lang w:eastAsia="lv-LV"/>
              </w:rPr>
              <w:t>euro</w:t>
            </w:r>
            <w:r w:rsidRPr="00C764FD">
              <w:rPr>
                <w:rFonts w:ascii="Times New Roman" w:eastAsia="Times New Roman" w:hAnsi="Times New Roman" w:cs="Times New Roman"/>
                <w:color w:val="414142"/>
                <w:sz w:val="24"/>
                <w:szCs w:val="24"/>
                <w:lang w:eastAsia="lv-LV"/>
              </w:rPr>
              <w:t>)</w:t>
            </w:r>
          </w:p>
        </w:tc>
      </w:tr>
      <w:tr w:rsidR="00E0008B" w:rsidRPr="003C0EC2" w14:paraId="403002A3" w14:textId="77777777" w:rsidTr="00C764FD">
        <w:tblPrEx>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shd w:val="clear" w:color="auto" w:fill="FFFFFF"/>
          <w:tblCellMar>
            <w:top w:w="20" w:type="dxa"/>
            <w:left w:w="20" w:type="dxa"/>
            <w:bottom w:w="20" w:type="dxa"/>
            <w:right w:w="20" w:type="dxa"/>
          </w:tblCellMar>
        </w:tblPrEx>
        <w:tc>
          <w:tcPr>
            <w:tcW w:w="1574" w:type="dxa"/>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AD27625" w14:textId="77777777" w:rsidR="003C0EC2" w:rsidRPr="00C764FD" w:rsidRDefault="003C0EC2" w:rsidP="003C0EC2">
            <w:pPr>
              <w:spacing w:after="0" w:line="240" w:lineRule="auto"/>
              <w:rPr>
                <w:rFonts w:ascii="Times New Roman" w:eastAsia="Times New Roman" w:hAnsi="Times New Roman" w:cs="Times New Roman"/>
                <w:color w:val="414142"/>
                <w:sz w:val="24"/>
                <w:szCs w:val="24"/>
                <w:lang w:eastAsia="lv-LV"/>
              </w:rPr>
            </w:pPr>
          </w:p>
        </w:tc>
        <w:tc>
          <w:tcPr>
            <w:tcW w:w="2138" w:type="dxa"/>
            <w:gridSpan w:val="2"/>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70B2E9A" w14:textId="77777777" w:rsidR="003C0EC2" w:rsidRPr="00C764FD" w:rsidRDefault="003C0EC2" w:rsidP="003C0EC2">
            <w:pPr>
              <w:spacing w:after="0" w:line="240" w:lineRule="auto"/>
              <w:rPr>
                <w:rFonts w:ascii="Times New Roman" w:eastAsia="Times New Roman" w:hAnsi="Times New Roman" w:cs="Times New Roman"/>
                <w:color w:val="414142"/>
                <w:sz w:val="24"/>
                <w:szCs w:val="24"/>
                <w:lang w:eastAsia="lv-LV"/>
              </w:rPr>
            </w:pPr>
          </w:p>
        </w:tc>
        <w:tc>
          <w:tcPr>
            <w:tcW w:w="2138" w:type="dxa"/>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3079686" w14:textId="77777777" w:rsidR="003C0EC2" w:rsidRPr="00C764FD" w:rsidRDefault="003C0EC2" w:rsidP="003C0EC2">
            <w:pPr>
              <w:spacing w:before="100" w:beforeAutospacing="1" w:after="100" w:afterAutospacing="1" w:line="315" w:lineRule="atLeast"/>
              <w:jc w:val="center"/>
              <w:rPr>
                <w:rFonts w:ascii="Times New Roman" w:eastAsia="Times New Roman" w:hAnsi="Times New Roman" w:cs="Times New Roman"/>
                <w:color w:val="414142"/>
                <w:sz w:val="24"/>
                <w:szCs w:val="24"/>
                <w:lang w:eastAsia="lv-LV"/>
              </w:rPr>
            </w:pPr>
            <w:r w:rsidRPr="00C764FD">
              <w:rPr>
                <w:rFonts w:ascii="Times New Roman" w:eastAsia="Times New Roman" w:hAnsi="Times New Roman" w:cs="Times New Roman"/>
                <w:color w:val="414142"/>
                <w:sz w:val="24"/>
                <w:szCs w:val="24"/>
                <w:lang w:eastAsia="lv-LV"/>
              </w:rPr>
              <w:t>n+1</w:t>
            </w:r>
          </w:p>
        </w:tc>
        <w:tc>
          <w:tcPr>
            <w:tcW w:w="2138" w:type="dxa"/>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5265E96" w14:textId="77777777" w:rsidR="003C0EC2" w:rsidRPr="00C764FD" w:rsidRDefault="003C0EC2" w:rsidP="003C0EC2">
            <w:pPr>
              <w:spacing w:before="100" w:beforeAutospacing="1" w:after="100" w:afterAutospacing="1" w:line="315" w:lineRule="atLeast"/>
              <w:jc w:val="center"/>
              <w:rPr>
                <w:rFonts w:ascii="Times New Roman" w:eastAsia="Times New Roman" w:hAnsi="Times New Roman" w:cs="Times New Roman"/>
                <w:color w:val="414142"/>
                <w:sz w:val="24"/>
                <w:szCs w:val="24"/>
                <w:lang w:eastAsia="lv-LV"/>
              </w:rPr>
            </w:pPr>
            <w:r w:rsidRPr="00C764FD">
              <w:rPr>
                <w:rFonts w:ascii="Times New Roman" w:eastAsia="Times New Roman" w:hAnsi="Times New Roman" w:cs="Times New Roman"/>
                <w:color w:val="414142"/>
                <w:sz w:val="24"/>
                <w:szCs w:val="24"/>
                <w:lang w:eastAsia="lv-LV"/>
              </w:rPr>
              <w:t>n+2</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C07540A" w14:textId="77777777" w:rsidR="003C0EC2" w:rsidRPr="00C764FD" w:rsidRDefault="003C0EC2" w:rsidP="003C0EC2">
            <w:pPr>
              <w:spacing w:before="100" w:beforeAutospacing="1" w:after="100" w:afterAutospacing="1" w:line="315" w:lineRule="atLeast"/>
              <w:jc w:val="center"/>
              <w:rPr>
                <w:rFonts w:ascii="Times New Roman" w:eastAsia="Times New Roman" w:hAnsi="Times New Roman" w:cs="Times New Roman"/>
                <w:color w:val="414142"/>
                <w:sz w:val="24"/>
                <w:szCs w:val="24"/>
                <w:lang w:eastAsia="lv-LV"/>
              </w:rPr>
            </w:pPr>
            <w:r w:rsidRPr="00C764FD">
              <w:rPr>
                <w:rFonts w:ascii="Times New Roman" w:eastAsia="Times New Roman" w:hAnsi="Times New Roman" w:cs="Times New Roman"/>
                <w:color w:val="414142"/>
                <w:sz w:val="24"/>
                <w:szCs w:val="24"/>
                <w:lang w:eastAsia="lv-LV"/>
              </w:rPr>
              <w:t>n+3</w:t>
            </w:r>
          </w:p>
        </w:tc>
      </w:tr>
      <w:tr w:rsidR="00E0008B" w:rsidRPr="003C0EC2" w14:paraId="6FB63623" w14:textId="77777777" w:rsidTr="00C764FD">
        <w:tblPrEx>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shd w:val="clear" w:color="auto" w:fill="FFFFFF"/>
          <w:tblCellMar>
            <w:top w:w="20" w:type="dxa"/>
            <w:left w:w="20" w:type="dxa"/>
            <w:bottom w:w="20" w:type="dxa"/>
            <w:right w:w="20" w:type="dxa"/>
          </w:tblCellMar>
        </w:tblPrEx>
        <w:tc>
          <w:tcPr>
            <w:tcW w:w="1574" w:type="dxa"/>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CE1FC90" w14:textId="77777777" w:rsidR="003C0EC2" w:rsidRPr="00C764FD" w:rsidRDefault="003C0EC2" w:rsidP="003C0EC2">
            <w:pPr>
              <w:spacing w:after="0" w:line="240" w:lineRule="auto"/>
              <w:rPr>
                <w:rFonts w:ascii="Times New Roman" w:eastAsia="Times New Roman" w:hAnsi="Times New Roman" w:cs="Times New Roman"/>
                <w:color w:val="414142"/>
                <w:sz w:val="24"/>
                <w:szCs w:val="24"/>
                <w:lang w:eastAsia="lv-LV"/>
              </w:rPr>
            </w:pPr>
          </w:p>
        </w:tc>
        <w:tc>
          <w:tcPr>
            <w:tcW w:w="106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4A2CF84" w14:textId="77777777" w:rsidR="003C0EC2" w:rsidRPr="00C764FD" w:rsidRDefault="003C0EC2" w:rsidP="003C0EC2">
            <w:pPr>
              <w:spacing w:before="100" w:beforeAutospacing="1" w:after="100" w:afterAutospacing="1" w:line="315" w:lineRule="atLeast"/>
              <w:jc w:val="center"/>
              <w:rPr>
                <w:rFonts w:ascii="Times New Roman" w:eastAsia="Times New Roman" w:hAnsi="Times New Roman" w:cs="Times New Roman"/>
                <w:color w:val="414142"/>
                <w:sz w:val="24"/>
                <w:szCs w:val="24"/>
                <w:lang w:eastAsia="lv-LV"/>
              </w:rPr>
            </w:pPr>
            <w:r w:rsidRPr="00C764FD">
              <w:rPr>
                <w:rFonts w:ascii="Times New Roman" w:eastAsia="Times New Roman" w:hAnsi="Times New Roman" w:cs="Times New Roman"/>
                <w:color w:val="414142"/>
                <w:sz w:val="24"/>
                <w:szCs w:val="24"/>
                <w:lang w:eastAsia="lv-LV"/>
              </w:rPr>
              <w:t xml:space="preserve">saskaņā ar valsts </w:t>
            </w:r>
            <w:r w:rsidRPr="00C764FD">
              <w:rPr>
                <w:rFonts w:ascii="Times New Roman" w:eastAsia="Times New Roman" w:hAnsi="Times New Roman" w:cs="Times New Roman"/>
                <w:color w:val="414142"/>
                <w:sz w:val="24"/>
                <w:szCs w:val="24"/>
                <w:lang w:eastAsia="lv-LV"/>
              </w:rPr>
              <w:lastRenderedPageBreak/>
              <w:t>budžetu kārtējam gadam</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4FFE56E" w14:textId="77777777" w:rsidR="003C0EC2" w:rsidRPr="00C764FD" w:rsidRDefault="003C0EC2" w:rsidP="003C0EC2">
            <w:pPr>
              <w:spacing w:before="100" w:beforeAutospacing="1" w:after="100" w:afterAutospacing="1" w:line="315" w:lineRule="atLeast"/>
              <w:jc w:val="center"/>
              <w:rPr>
                <w:rFonts w:ascii="Times New Roman" w:eastAsia="Times New Roman" w:hAnsi="Times New Roman" w:cs="Times New Roman"/>
                <w:color w:val="414142"/>
                <w:sz w:val="24"/>
                <w:szCs w:val="24"/>
                <w:lang w:eastAsia="lv-LV"/>
              </w:rPr>
            </w:pPr>
            <w:r w:rsidRPr="00C764FD">
              <w:rPr>
                <w:rFonts w:ascii="Times New Roman" w:eastAsia="Times New Roman" w:hAnsi="Times New Roman" w:cs="Times New Roman"/>
                <w:color w:val="414142"/>
                <w:sz w:val="24"/>
                <w:szCs w:val="24"/>
                <w:lang w:eastAsia="lv-LV"/>
              </w:rPr>
              <w:lastRenderedPageBreak/>
              <w:t xml:space="preserve">izmaiņas kārtējā </w:t>
            </w:r>
            <w:r w:rsidRPr="00C764FD">
              <w:rPr>
                <w:rFonts w:ascii="Times New Roman" w:eastAsia="Times New Roman" w:hAnsi="Times New Roman" w:cs="Times New Roman"/>
                <w:color w:val="414142"/>
                <w:sz w:val="24"/>
                <w:szCs w:val="24"/>
                <w:lang w:eastAsia="lv-LV"/>
              </w:rPr>
              <w:lastRenderedPageBreak/>
              <w:t>gadā, salīdzinot ar valsts budžetu kārtējam gadam</w:t>
            </w:r>
          </w:p>
        </w:tc>
        <w:tc>
          <w:tcPr>
            <w:tcW w:w="106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81164B5" w14:textId="77777777" w:rsidR="003C0EC2" w:rsidRPr="00C764FD" w:rsidRDefault="003C0EC2" w:rsidP="003C0EC2">
            <w:pPr>
              <w:spacing w:before="100" w:beforeAutospacing="1" w:after="100" w:afterAutospacing="1" w:line="315" w:lineRule="atLeast"/>
              <w:jc w:val="center"/>
              <w:rPr>
                <w:rFonts w:ascii="Times New Roman" w:eastAsia="Times New Roman" w:hAnsi="Times New Roman" w:cs="Times New Roman"/>
                <w:color w:val="414142"/>
                <w:sz w:val="24"/>
                <w:szCs w:val="24"/>
                <w:lang w:eastAsia="lv-LV"/>
              </w:rPr>
            </w:pPr>
            <w:r w:rsidRPr="00C764FD">
              <w:rPr>
                <w:rFonts w:ascii="Times New Roman" w:eastAsia="Times New Roman" w:hAnsi="Times New Roman" w:cs="Times New Roman"/>
                <w:color w:val="414142"/>
                <w:sz w:val="24"/>
                <w:szCs w:val="24"/>
                <w:lang w:eastAsia="lv-LV"/>
              </w:rPr>
              <w:lastRenderedPageBreak/>
              <w:t xml:space="preserve">saskaņā ar vidēja </w:t>
            </w:r>
            <w:r w:rsidRPr="00C764FD">
              <w:rPr>
                <w:rFonts w:ascii="Times New Roman" w:eastAsia="Times New Roman" w:hAnsi="Times New Roman" w:cs="Times New Roman"/>
                <w:color w:val="414142"/>
                <w:sz w:val="24"/>
                <w:szCs w:val="24"/>
                <w:lang w:eastAsia="lv-LV"/>
              </w:rPr>
              <w:lastRenderedPageBreak/>
              <w:t>termiņa budžeta ietvaru</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E5152FC" w14:textId="77777777" w:rsidR="003C0EC2" w:rsidRPr="00C764FD" w:rsidRDefault="003C0EC2" w:rsidP="003C0EC2">
            <w:pPr>
              <w:spacing w:before="100" w:beforeAutospacing="1" w:after="100" w:afterAutospacing="1" w:line="315" w:lineRule="atLeast"/>
              <w:jc w:val="center"/>
              <w:rPr>
                <w:rFonts w:ascii="Times New Roman" w:eastAsia="Times New Roman" w:hAnsi="Times New Roman" w:cs="Times New Roman"/>
                <w:color w:val="414142"/>
                <w:sz w:val="24"/>
                <w:szCs w:val="24"/>
                <w:lang w:eastAsia="lv-LV"/>
              </w:rPr>
            </w:pPr>
            <w:r w:rsidRPr="00C764FD">
              <w:rPr>
                <w:rFonts w:ascii="Times New Roman" w:eastAsia="Times New Roman" w:hAnsi="Times New Roman" w:cs="Times New Roman"/>
                <w:color w:val="414142"/>
                <w:sz w:val="24"/>
                <w:szCs w:val="24"/>
                <w:lang w:eastAsia="lv-LV"/>
              </w:rPr>
              <w:lastRenderedPageBreak/>
              <w:t xml:space="preserve">izmaiņas, salīdzinot </w:t>
            </w:r>
            <w:r w:rsidRPr="00C764FD">
              <w:rPr>
                <w:rFonts w:ascii="Times New Roman" w:eastAsia="Times New Roman" w:hAnsi="Times New Roman" w:cs="Times New Roman"/>
                <w:color w:val="414142"/>
                <w:sz w:val="24"/>
                <w:szCs w:val="24"/>
                <w:lang w:eastAsia="lv-LV"/>
              </w:rPr>
              <w:lastRenderedPageBreak/>
              <w:t>ar vidēja termiņa budžeta ietvaru n+1 gadam</w:t>
            </w:r>
          </w:p>
        </w:tc>
        <w:tc>
          <w:tcPr>
            <w:tcW w:w="106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0E98895" w14:textId="77777777" w:rsidR="003C0EC2" w:rsidRPr="00C764FD" w:rsidRDefault="003C0EC2" w:rsidP="003C0EC2">
            <w:pPr>
              <w:spacing w:before="100" w:beforeAutospacing="1" w:after="100" w:afterAutospacing="1" w:line="315" w:lineRule="atLeast"/>
              <w:jc w:val="center"/>
              <w:rPr>
                <w:rFonts w:ascii="Times New Roman" w:eastAsia="Times New Roman" w:hAnsi="Times New Roman" w:cs="Times New Roman"/>
                <w:color w:val="414142"/>
                <w:sz w:val="24"/>
                <w:szCs w:val="24"/>
                <w:lang w:eastAsia="lv-LV"/>
              </w:rPr>
            </w:pPr>
            <w:r w:rsidRPr="00C764FD">
              <w:rPr>
                <w:rFonts w:ascii="Times New Roman" w:eastAsia="Times New Roman" w:hAnsi="Times New Roman" w:cs="Times New Roman"/>
                <w:color w:val="414142"/>
                <w:sz w:val="24"/>
                <w:szCs w:val="24"/>
                <w:lang w:eastAsia="lv-LV"/>
              </w:rPr>
              <w:lastRenderedPageBreak/>
              <w:t xml:space="preserve">saskaņā ar vidēja </w:t>
            </w:r>
            <w:r w:rsidRPr="00C764FD">
              <w:rPr>
                <w:rFonts w:ascii="Times New Roman" w:eastAsia="Times New Roman" w:hAnsi="Times New Roman" w:cs="Times New Roman"/>
                <w:color w:val="414142"/>
                <w:sz w:val="24"/>
                <w:szCs w:val="24"/>
                <w:lang w:eastAsia="lv-LV"/>
              </w:rPr>
              <w:lastRenderedPageBreak/>
              <w:t>termiņa budžeta ietvaru</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A29797E" w14:textId="77777777" w:rsidR="003C0EC2" w:rsidRPr="00C764FD" w:rsidRDefault="003C0EC2" w:rsidP="003C0EC2">
            <w:pPr>
              <w:spacing w:before="100" w:beforeAutospacing="1" w:after="100" w:afterAutospacing="1" w:line="315" w:lineRule="atLeast"/>
              <w:jc w:val="center"/>
              <w:rPr>
                <w:rFonts w:ascii="Times New Roman" w:eastAsia="Times New Roman" w:hAnsi="Times New Roman" w:cs="Times New Roman"/>
                <w:color w:val="414142"/>
                <w:sz w:val="24"/>
                <w:szCs w:val="24"/>
                <w:lang w:eastAsia="lv-LV"/>
              </w:rPr>
            </w:pPr>
            <w:r w:rsidRPr="00C764FD">
              <w:rPr>
                <w:rFonts w:ascii="Times New Roman" w:eastAsia="Times New Roman" w:hAnsi="Times New Roman" w:cs="Times New Roman"/>
                <w:color w:val="414142"/>
                <w:sz w:val="24"/>
                <w:szCs w:val="24"/>
                <w:lang w:eastAsia="lv-LV"/>
              </w:rPr>
              <w:lastRenderedPageBreak/>
              <w:t xml:space="preserve">izmaiņas, salīdzinot </w:t>
            </w:r>
            <w:r w:rsidRPr="00C764FD">
              <w:rPr>
                <w:rFonts w:ascii="Times New Roman" w:eastAsia="Times New Roman" w:hAnsi="Times New Roman" w:cs="Times New Roman"/>
                <w:color w:val="414142"/>
                <w:sz w:val="24"/>
                <w:szCs w:val="24"/>
                <w:lang w:eastAsia="lv-LV"/>
              </w:rPr>
              <w:lastRenderedPageBreak/>
              <w:t>ar vidēja termiņa budžeta ietvaru n+2 gadam</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426CDE9" w14:textId="77777777" w:rsidR="003C0EC2" w:rsidRPr="00C764FD" w:rsidRDefault="003C0EC2" w:rsidP="003C0EC2">
            <w:pPr>
              <w:spacing w:before="100" w:beforeAutospacing="1" w:after="100" w:afterAutospacing="1" w:line="315" w:lineRule="atLeast"/>
              <w:jc w:val="center"/>
              <w:rPr>
                <w:rFonts w:ascii="Times New Roman" w:eastAsia="Times New Roman" w:hAnsi="Times New Roman" w:cs="Times New Roman"/>
                <w:color w:val="414142"/>
                <w:sz w:val="24"/>
                <w:szCs w:val="24"/>
                <w:lang w:eastAsia="lv-LV"/>
              </w:rPr>
            </w:pPr>
            <w:r w:rsidRPr="00C764FD">
              <w:rPr>
                <w:rFonts w:ascii="Times New Roman" w:eastAsia="Times New Roman" w:hAnsi="Times New Roman" w:cs="Times New Roman"/>
                <w:color w:val="414142"/>
                <w:sz w:val="24"/>
                <w:szCs w:val="24"/>
                <w:lang w:eastAsia="lv-LV"/>
              </w:rPr>
              <w:lastRenderedPageBreak/>
              <w:t xml:space="preserve">izmaiņas, salīdzinot </w:t>
            </w:r>
            <w:r w:rsidRPr="00C764FD">
              <w:rPr>
                <w:rFonts w:ascii="Times New Roman" w:eastAsia="Times New Roman" w:hAnsi="Times New Roman" w:cs="Times New Roman"/>
                <w:color w:val="414142"/>
                <w:sz w:val="24"/>
                <w:szCs w:val="24"/>
                <w:lang w:eastAsia="lv-LV"/>
              </w:rPr>
              <w:lastRenderedPageBreak/>
              <w:t>ar vidēja termiņa budžeta ietvaru n+2 gadam</w:t>
            </w:r>
          </w:p>
        </w:tc>
      </w:tr>
      <w:tr w:rsidR="00E0008B" w:rsidRPr="003C0EC2" w14:paraId="11CBB3A3" w14:textId="77777777" w:rsidTr="00C764FD">
        <w:tblPrEx>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shd w:val="clear" w:color="auto" w:fill="FFFFFF"/>
          <w:tblCellMar>
            <w:top w:w="20" w:type="dxa"/>
            <w:left w:w="20" w:type="dxa"/>
            <w:bottom w:w="20" w:type="dxa"/>
            <w:right w:w="20" w:type="dxa"/>
          </w:tblCellMar>
        </w:tblPrEx>
        <w:tc>
          <w:tcPr>
            <w:tcW w:w="1574"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C47DC65" w14:textId="77777777" w:rsidR="003C0EC2" w:rsidRPr="00C764FD" w:rsidRDefault="003C0EC2" w:rsidP="003C0EC2">
            <w:pPr>
              <w:spacing w:before="100" w:beforeAutospacing="1" w:after="100" w:afterAutospacing="1" w:line="315" w:lineRule="atLeast"/>
              <w:jc w:val="center"/>
              <w:rPr>
                <w:rFonts w:ascii="Times New Roman" w:eastAsia="Times New Roman" w:hAnsi="Times New Roman" w:cs="Times New Roman"/>
                <w:color w:val="414142"/>
                <w:sz w:val="24"/>
                <w:szCs w:val="24"/>
                <w:lang w:eastAsia="lv-LV"/>
              </w:rPr>
            </w:pPr>
            <w:r w:rsidRPr="00C764FD">
              <w:rPr>
                <w:rFonts w:ascii="Times New Roman" w:eastAsia="Times New Roman" w:hAnsi="Times New Roman" w:cs="Times New Roman"/>
                <w:color w:val="414142"/>
                <w:sz w:val="24"/>
                <w:szCs w:val="24"/>
                <w:lang w:eastAsia="lv-LV"/>
              </w:rPr>
              <w:lastRenderedPageBreak/>
              <w:t>1</w:t>
            </w:r>
          </w:p>
        </w:tc>
        <w:tc>
          <w:tcPr>
            <w:tcW w:w="106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BDED5F3" w14:textId="77777777" w:rsidR="003C0EC2" w:rsidRPr="00C764FD" w:rsidRDefault="003C0EC2" w:rsidP="003C0EC2">
            <w:pPr>
              <w:spacing w:before="100" w:beforeAutospacing="1" w:after="100" w:afterAutospacing="1" w:line="315" w:lineRule="atLeast"/>
              <w:jc w:val="center"/>
              <w:rPr>
                <w:rFonts w:ascii="Times New Roman" w:eastAsia="Times New Roman" w:hAnsi="Times New Roman" w:cs="Times New Roman"/>
                <w:color w:val="414142"/>
                <w:sz w:val="24"/>
                <w:szCs w:val="24"/>
                <w:lang w:eastAsia="lv-LV"/>
              </w:rPr>
            </w:pPr>
            <w:r w:rsidRPr="00C764FD">
              <w:rPr>
                <w:rFonts w:ascii="Times New Roman" w:eastAsia="Times New Roman" w:hAnsi="Times New Roman" w:cs="Times New Roman"/>
                <w:color w:val="414142"/>
                <w:sz w:val="24"/>
                <w:szCs w:val="24"/>
                <w:lang w:eastAsia="lv-LV"/>
              </w:rPr>
              <w:t>2</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EC29B27" w14:textId="77777777" w:rsidR="003C0EC2" w:rsidRPr="00C764FD" w:rsidRDefault="003C0EC2" w:rsidP="003C0EC2">
            <w:pPr>
              <w:spacing w:before="100" w:beforeAutospacing="1" w:after="100" w:afterAutospacing="1" w:line="315" w:lineRule="atLeast"/>
              <w:jc w:val="center"/>
              <w:rPr>
                <w:rFonts w:ascii="Times New Roman" w:eastAsia="Times New Roman" w:hAnsi="Times New Roman" w:cs="Times New Roman"/>
                <w:color w:val="414142"/>
                <w:sz w:val="24"/>
                <w:szCs w:val="24"/>
                <w:lang w:eastAsia="lv-LV"/>
              </w:rPr>
            </w:pPr>
            <w:r w:rsidRPr="00C764FD">
              <w:rPr>
                <w:rFonts w:ascii="Times New Roman" w:eastAsia="Times New Roman" w:hAnsi="Times New Roman" w:cs="Times New Roman"/>
                <w:color w:val="414142"/>
                <w:sz w:val="24"/>
                <w:szCs w:val="24"/>
                <w:lang w:eastAsia="lv-LV"/>
              </w:rPr>
              <w:t>3</w:t>
            </w:r>
          </w:p>
        </w:tc>
        <w:tc>
          <w:tcPr>
            <w:tcW w:w="106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AC6F2C6" w14:textId="77777777" w:rsidR="003C0EC2" w:rsidRPr="00C764FD" w:rsidRDefault="003C0EC2" w:rsidP="003C0EC2">
            <w:pPr>
              <w:spacing w:before="100" w:beforeAutospacing="1" w:after="100" w:afterAutospacing="1" w:line="315" w:lineRule="atLeast"/>
              <w:jc w:val="center"/>
              <w:rPr>
                <w:rFonts w:ascii="Times New Roman" w:eastAsia="Times New Roman" w:hAnsi="Times New Roman" w:cs="Times New Roman"/>
                <w:color w:val="414142"/>
                <w:sz w:val="24"/>
                <w:szCs w:val="24"/>
                <w:lang w:eastAsia="lv-LV"/>
              </w:rPr>
            </w:pPr>
            <w:r w:rsidRPr="00C764FD">
              <w:rPr>
                <w:rFonts w:ascii="Times New Roman" w:eastAsia="Times New Roman" w:hAnsi="Times New Roman" w:cs="Times New Roman"/>
                <w:color w:val="414142"/>
                <w:sz w:val="24"/>
                <w:szCs w:val="24"/>
                <w:lang w:eastAsia="lv-LV"/>
              </w:rPr>
              <w:t>4</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D5C53F9" w14:textId="77777777" w:rsidR="003C0EC2" w:rsidRPr="00C764FD" w:rsidRDefault="003C0EC2" w:rsidP="003C0EC2">
            <w:pPr>
              <w:spacing w:before="100" w:beforeAutospacing="1" w:after="100" w:afterAutospacing="1" w:line="315" w:lineRule="atLeast"/>
              <w:jc w:val="center"/>
              <w:rPr>
                <w:rFonts w:ascii="Times New Roman" w:eastAsia="Times New Roman" w:hAnsi="Times New Roman" w:cs="Times New Roman"/>
                <w:color w:val="414142"/>
                <w:sz w:val="24"/>
                <w:szCs w:val="24"/>
                <w:lang w:eastAsia="lv-LV"/>
              </w:rPr>
            </w:pPr>
            <w:r w:rsidRPr="00C764FD">
              <w:rPr>
                <w:rFonts w:ascii="Times New Roman" w:eastAsia="Times New Roman" w:hAnsi="Times New Roman" w:cs="Times New Roman"/>
                <w:color w:val="414142"/>
                <w:sz w:val="24"/>
                <w:szCs w:val="24"/>
                <w:lang w:eastAsia="lv-LV"/>
              </w:rPr>
              <w:t>5</w:t>
            </w:r>
          </w:p>
        </w:tc>
        <w:tc>
          <w:tcPr>
            <w:tcW w:w="106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A0E3A38" w14:textId="77777777" w:rsidR="003C0EC2" w:rsidRPr="00C764FD" w:rsidRDefault="003C0EC2" w:rsidP="003C0EC2">
            <w:pPr>
              <w:spacing w:before="100" w:beforeAutospacing="1" w:after="100" w:afterAutospacing="1" w:line="315" w:lineRule="atLeast"/>
              <w:jc w:val="center"/>
              <w:rPr>
                <w:rFonts w:ascii="Times New Roman" w:eastAsia="Times New Roman" w:hAnsi="Times New Roman" w:cs="Times New Roman"/>
                <w:color w:val="414142"/>
                <w:sz w:val="24"/>
                <w:szCs w:val="24"/>
                <w:lang w:eastAsia="lv-LV"/>
              </w:rPr>
            </w:pPr>
            <w:r w:rsidRPr="00C764FD">
              <w:rPr>
                <w:rFonts w:ascii="Times New Roman" w:eastAsia="Times New Roman" w:hAnsi="Times New Roman" w:cs="Times New Roman"/>
                <w:color w:val="414142"/>
                <w:sz w:val="24"/>
                <w:szCs w:val="24"/>
                <w:lang w:eastAsia="lv-LV"/>
              </w:rPr>
              <w:t>6</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EDC4A1E" w14:textId="77777777" w:rsidR="003C0EC2" w:rsidRPr="00C764FD" w:rsidRDefault="003C0EC2" w:rsidP="003C0EC2">
            <w:pPr>
              <w:spacing w:before="100" w:beforeAutospacing="1" w:after="100" w:afterAutospacing="1" w:line="315" w:lineRule="atLeast"/>
              <w:jc w:val="center"/>
              <w:rPr>
                <w:rFonts w:ascii="Times New Roman" w:eastAsia="Times New Roman" w:hAnsi="Times New Roman" w:cs="Times New Roman"/>
                <w:color w:val="414142"/>
                <w:sz w:val="24"/>
                <w:szCs w:val="24"/>
                <w:lang w:eastAsia="lv-LV"/>
              </w:rPr>
            </w:pPr>
            <w:r w:rsidRPr="00C764FD">
              <w:rPr>
                <w:rFonts w:ascii="Times New Roman" w:eastAsia="Times New Roman" w:hAnsi="Times New Roman" w:cs="Times New Roman"/>
                <w:color w:val="414142"/>
                <w:sz w:val="24"/>
                <w:szCs w:val="24"/>
                <w:lang w:eastAsia="lv-LV"/>
              </w:rPr>
              <w:t>7</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414173A" w14:textId="77777777" w:rsidR="003C0EC2" w:rsidRPr="00C764FD" w:rsidRDefault="003C0EC2" w:rsidP="003C0EC2">
            <w:pPr>
              <w:spacing w:before="100" w:beforeAutospacing="1" w:after="100" w:afterAutospacing="1" w:line="315" w:lineRule="atLeast"/>
              <w:jc w:val="center"/>
              <w:rPr>
                <w:rFonts w:ascii="Times New Roman" w:eastAsia="Times New Roman" w:hAnsi="Times New Roman" w:cs="Times New Roman"/>
                <w:color w:val="414142"/>
                <w:sz w:val="24"/>
                <w:szCs w:val="24"/>
                <w:lang w:eastAsia="lv-LV"/>
              </w:rPr>
            </w:pPr>
            <w:r w:rsidRPr="00C764FD">
              <w:rPr>
                <w:rFonts w:ascii="Times New Roman" w:eastAsia="Times New Roman" w:hAnsi="Times New Roman" w:cs="Times New Roman"/>
                <w:color w:val="414142"/>
                <w:sz w:val="24"/>
                <w:szCs w:val="24"/>
                <w:lang w:eastAsia="lv-LV"/>
              </w:rPr>
              <w:t>8</w:t>
            </w:r>
          </w:p>
        </w:tc>
      </w:tr>
      <w:tr w:rsidR="00411E23" w:rsidRPr="003C0EC2" w14:paraId="22D5FC72" w14:textId="77777777" w:rsidTr="00C764FD">
        <w:tblPrEx>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shd w:val="clear" w:color="auto" w:fill="FFFFFF"/>
          <w:tblCellMar>
            <w:top w:w="20" w:type="dxa"/>
            <w:left w:w="20" w:type="dxa"/>
            <w:bottom w:w="20" w:type="dxa"/>
            <w:right w:w="20" w:type="dxa"/>
          </w:tblCellMar>
        </w:tblPrEx>
        <w:tc>
          <w:tcPr>
            <w:tcW w:w="1574" w:type="dxa"/>
            <w:tcBorders>
              <w:top w:val="outset" w:sz="6" w:space="0" w:color="414142"/>
              <w:left w:val="outset" w:sz="6" w:space="0" w:color="414142"/>
              <w:bottom w:val="outset" w:sz="6" w:space="0" w:color="414142"/>
              <w:right w:val="outset" w:sz="6" w:space="0" w:color="414142"/>
            </w:tcBorders>
            <w:shd w:val="clear" w:color="auto" w:fill="FFFFFF"/>
            <w:hideMark/>
          </w:tcPr>
          <w:p w14:paraId="4EB72418" w14:textId="77777777" w:rsidR="003C0EC2" w:rsidRPr="00C764FD" w:rsidRDefault="003C0EC2" w:rsidP="003C0EC2">
            <w:pPr>
              <w:spacing w:after="0" w:line="240" w:lineRule="auto"/>
              <w:rPr>
                <w:rFonts w:ascii="Times New Roman" w:eastAsia="Times New Roman" w:hAnsi="Times New Roman" w:cs="Times New Roman"/>
                <w:color w:val="414142"/>
                <w:sz w:val="24"/>
                <w:szCs w:val="24"/>
                <w:lang w:eastAsia="lv-LV"/>
              </w:rPr>
            </w:pPr>
            <w:r w:rsidRPr="00C764FD">
              <w:rPr>
                <w:rFonts w:ascii="Times New Roman" w:eastAsia="Times New Roman" w:hAnsi="Times New Roman" w:cs="Times New Roman"/>
                <w:color w:val="414142"/>
                <w:sz w:val="24"/>
                <w:szCs w:val="24"/>
                <w:lang w:eastAsia="lv-LV"/>
              </w:rPr>
              <w:t>1. Budžeta ieņēmumi</w:t>
            </w:r>
          </w:p>
        </w:tc>
        <w:tc>
          <w:tcPr>
            <w:tcW w:w="106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2F0892E" w14:textId="186144FC" w:rsidR="003C0EC2" w:rsidRPr="00C764FD" w:rsidRDefault="003C0EC2" w:rsidP="003C0EC2">
            <w:pPr>
              <w:spacing w:after="0" w:line="240" w:lineRule="auto"/>
              <w:rPr>
                <w:rFonts w:ascii="Times New Roman" w:eastAsia="Times New Roman" w:hAnsi="Times New Roman" w:cs="Times New Roman"/>
                <w:color w:val="414142"/>
                <w:sz w:val="24"/>
                <w:szCs w:val="24"/>
                <w:lang w:eastAsia="lv-LV"/>
              </w:rPr>
            </w:pPr>
            <w:r w:rsidRPr="00C764FD">
              <w:rPr>
                <w:rFonts w:ascii="Times New Roman" w:eastAsia="Times New Roman" w:hAnsi="Times New Roman" w:cs="Times New Roman"/>
                <w:color w:val="414142"/>
                <w:sz w:val="24"/>
                <w:szCs w:val="24"/>
                <w:lang w:eastAsia="lv-LV"/>
              </w:rPr>
              <w:t> </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0CB8918" w14:textId="66A03297" w:rsidR="003C0EC2" w:rsidRPr="00C764FD" w:rsidRDefault="003C0EC2" w:rsidP="003C0EC2">
            <w:pPr>
              <w:spacing w:after="0" w:line="240" w:lineRule="auto"/>
              <w:rPr>
                <w:rFonts w:ascii="Times New Roman" w:eastAsia="Times New Roman" w:hAnsi="Times New Roman" w:cs="Times New Roman"/>
                <w:color w:val="414142"/>
                <w:sz w:val="24"/>
                <w:szCs w:val="24"/>
                <w:lang w:eastAsia="lv-LV"/>
              </w:rPr>
            </w:pPr>
            <w:r w:rsidRPr="00C764FD">
              <w:rPr>
                <w:rFonts w:ascii="Times New Roman" w:eastAsia="Times New Roman" w:hAnsi="Times New Roman" w:cs="Times New Roman"/>
                <w:color w:val="414142"/>
                <w:sz w:val="24"/>
                <w:szCs w:val="24"/>
                <w:lang w:eastAsia="lv-LV"/>
              </w:rPr>
              <w:t> </w:t>
            </w:r>
          </w:p>
        </w:tc>
        <w:tc>
          <w:tcPr>
            <w:tcW w:w="1065" w:type="dxa"/>
            <w:tcBorders>
              <w:top w:val="outset" w:sz="6" w:space="0" w:color="414142"/>
              <w:left w:val="outset" w:sz="6" w:space="0" w:color="414142"/>
              <w:bottom w:val="outset" w:sz="6" w:space="0" w:color="414142"/>
              <w:right w:val="outset" w:sz="6" w:space="0" w:color="414142"/>
            </w:tcBorders>
            <w:shd w:val="clear" w:color="auto" w:fill="FFFFFF"/>
            <w:vAlign w:val="center"/>
          </w:tcPr>
          <w:p w14:paraId="5B574053" w14:textId="629B898A" w:rsidR="003C0EC2" w:rsidRPr="00C764FD" w:rsidRDefault="003C0EC2" w:rsidP="003C0EC2">
            <w:pPr>
              <w:spacing w:after="0" w:line="240" w:lineRule="auto"/>
              <w:rPr>
                <w:rFonts w:ascii="Times New Roman" w:eastAsia="Times New Roman" w:hAnsi="Times New Roman" w:cs="Times New Roman"/>
                <w:color w:val="414142"/>
                <w:sz w:val="24"/>
                <w:szCs w:val="24"/>
                <w:lang w:eastAsia="lv-LV"/>
              </w:rPr>
            </w:pP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D4B8B7E" w14:textId="03F86733" w:rsidR="003C0EC2" w:rsidRPr="00C764FD" w:rsidRDefault="003C0EC2" w:rsidP="003C0EC2">
            <w:pPr>
              <w:spacing w:after="0" w:line="240" w:lineRule="auto"/>
              <w:rPr>
                <w:rFonts w:ascii="Times New Roman" w:eastAsia="Times New Roman" w:hAnsi="Times New Roman" w:cs="Times New Roman"/>
                <w:color w:val="414142"/>
                <w:sz w:val="24"/>
                <w:szCs w:val="24"/>
                <w:lang w:eastAsia="lv-LV"/>
              </w:rPr>
            </w:pPr>
            <w:r w:rsidRPr="00C764FD">
              <w:rPr>
                <w:rFonts w:ascii="Times New Roman" w:eastAsia="Times New Roman" w:hAnsi="Times New Roman" w:cs="Times New Roman"/>
                <w:color w:val="414142"/>
                <w:sz w:val="24"/>
                <w:szCs w:val="24"/>
                <w:lang w:eastAsia="lv-LV"/>
              </w:rPr>
              <w:t> </w:t>
            </w:r>
          </w:p>
        </w:tc>
        <w:tc>
          <w:tcPr>
            <w:tcW w:w="106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633245D" w14:textId="6B9BD0DD" w:rsidR="003C0EC2" w:rsidRPr="00C764FD" w:rsidRDefault="003C0EC2" w:rsidP="003C0EC2">
            <w:pPr>
              <w:spacing w:after="0" w:line="240" w:lineRule="auto"/>
              <w:rPr>
                <w:rFonts w:ascii="Times New Roman" w:eastAsia="Times New Roman" w:hAnsi="Times New Roman" w:cs="Times New Roman"/>
                <w:color w:val="414142"/>
                <w:sz w:val="24"/>
                <w:szCs w:val="24"/>
                <w:lang w:eastAsia="lv-LV"/>
              </w:rPr>
            </w:pPr>
            <w:r w:rsidRPr="00C764FD">
              <w:rPr>
                <w:rFonts w:ascii="Times New Roman" w:eastAsia="Times New Roman" w:hAnsi="Times New Roman" w:cs="Times New Roman"/>
                <w:color w:val="414142"/>
                <w:sz w:val="24"/>
                <w:szCs w:val="24"/>
                <w:lang w:eastAsia="lv-LV"/>
              </w:rPr>
              <w:t> </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306B11E" w14:textId="53A8971C" w:rsidR="003C0EC2" w:rsidRPr="00C764FD" w:rsidRDefault="003C0EC2" w:rsidP="003C0EC2">
            <w:pPr>
              <w:spacing w:after="0" w:line="240" w:lineRule="auto"/>
              <w:rPr>
                <w:rFonts w:ascii="Times New Roman" w:eastAsia="Times New Roman" w:hAnsi="Times New Roman" w:cs="Times New Roman"/>
                <w:color w:val="414142"/>
                <w:sz w:val="24"/>
                <w:szCs w:val="24"/>
                <w:lang w:eastAsia="lv-LV"/>
              </w:rPr>
            </w:pPr>
            <w:r w:rsidRPr="00C764FD">
              <w:rPr>
                <w:rFonts w:ascii="Times New Roman" w:eastAsia="Times New Roman" w:hAnsi="Times New Roman" w:cs="Times New Roman"/>
                <w:color w:val="414142"/>
                <w:sz w:val="24"/>
                <w:szCs w:val="24"/>
                <w:lang w:eastAsia="lv-LV"/>
              </w:rPr>
              <w:t> </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2C5A19D" w14:textId="05B9EB83" w:rsidR="003C0EC2" w:rsidRPr="00C764FD" w:rsidRDefault="003C0EC2" w:rsidP="003C0EC2">
            <w:pPr>
              <w:spacing w:after="0" w:line="240" w:lineRule="auto"/>
              <w:rPr>
                <w:rFonts w:ascii="Times New Roman" w:eastAsia="Times New Roman" w:hAnsi="Times New Roman" w:cs="Times New Roman"/>
                <w:color w:val="414142"/>
                <w:sz w:val="24"/>
                <w:szCs w:val="24"/>
                <w:lang w:eastAsia="lv-LV"/>
              </w:rPr>
            </w:pPr>
            <w:r w:rsidRPr="00C764FD">
              <w:rPr>
                <w:rFonts w:ascii="Times New Roman" w:eastAsia="Times New Roman" w:hAnsi="Times New Roman" w:cs="Times New Roman"/>
                <w:color w:val="414142"/>
                <w:sz w:val="24"/>
                <w:szCs w:val="24"/>
                <w:lang w:eastAsia="lv-LV"/>
              </w:rPr>
              <w:t> </w:t>
            </w:r>
          </w:p>
        </w:tc>
      </w:tr>
      <w:tr w:rsidR="00E0008B" w:rsidRPr="003C0EC2" w14:paraId="3B9372D1" w14:textId="77777777" w:rsidTr="00C764FD">
        <w:tblPrEx>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shd w:val="clear" w:color="auto" w:fill="FFFFFF"/>
          <w:tblCellMar>
            <w:top w:w="20" w:type="dxa"/>
            <w:left w:w="20" w:type="dxa"/>
            <w:bottom w:w="20" w:type="dxa"/>
            <w:right w:w="20" w:type="dxa"/>
          </w:tblCellMar>
        </w:tblPrEx>
        <w:tc>
          <w:tcPr>
            <w:tcW w:w="1574" w:type="dxa"/>
            <w:tcBorders>
              <w:top w:val="outset" w:sz="6" w:space="0" w:color="414142"/>
              <w:left w:val="outset" w:sz="6" w:space="0" w:color="414142"/>
              <w:bottom w:val="outset" w:sz="6" w:space="0" w:color="414142"/>
              <w:right w:val="outset" w:sz="6" w:space="0" w:color="414142"/>
            </w:tcBorders>
            <w:shd w:val="clear" w:color="auto" w:fill="FFFFFF"/>
            <w:hideMark/>
          </w:tcPr>
          <w:p w14:paraId="0642775C" w14:textId="77777777" w:rsidR="003C0EC2" w:rsidRPr="00C764FD" w:rsidRDefault="003C0EC2" w:rsidP="003C0EC2">
            <w:pPr>
              <w:spacing w:after="0" w:line="240" w:lineRule="auto"/>
              <w:rPr>
                <w:rFonts w:ascii="Times New Roman" w:eastAsia="Times New Roman" w:hAnsi="Times New Roman" w:cs="Times New Roman"/>
                <w:color w:val="414142"/>
                <w:sz w:val="24"/>
                <w:szCs w:val="24"/>
                <w:lang w:eastAsia="lv-LV"/>
              </w:rPr>
            </w:pPr>
            <w:r w:rsidRPr="00C764FD">
              <w:rPr>
                <w:rFonts w:ascii="Times New Roman" w:eastAsia="Times New Roman" w:hAnsi="Times New Roman" w:cs="Times New Roman"/>
                <w:color w:val="414142"/>
                <w:sz w:val="24"/>
                <w:szCs w:val="24"/>
                <w:lang w:eastAsia="lv-LV"/>
              </w:rPr>
              <w:t>1.1. valsts pamatbudžets, tai skaitā ieņēmumi no maksas pakalpojumiem un citi pašu ieņēmumi</w:t>
            </w:r>
          </w:p>
        </w:tc>
        <w:tc>
          <w:tcPr>
            <w:tcW w:w="106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EE9C503" w14:textId="618B7B02" w:rsidR="003C0EC2" w:rsidRPr="00C764FD" w:rsidRDefault="003C0EC2"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t> </w:t>
            </w:r>
            <w:r w:rsidR="00411E23" w:rsidRPr="00C764FD">
              <w:rPr>
                <w:rFonts w:ascii="Times New Roman" w:eastAsia="Times New Roman" w:hAnsi="Times New Roman" w:cs="Times New Roman"/>
                <w:color w:val="414142"/>
                <w:lang w:eastAsia="lv-LV"/>
              </w:rPr>
              <w:t>nav precīzi aprēķināms</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937CD99" w14:textId="78C27007" w:rsidR="003C0EC2" w:rsidRPr="00C764FD" w:rsidRDefault="003C0EC2"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t> </w:t>
            </w:r>
            <w:r w:rsidR="00411E23" w:rsidRPr="00C764FD">
              <w:rPr>
                <w:rFonts w:ascii="Times New Roman" w:hAnsi="Times New Roman" w:cs="Times New Roman"/>
                <w:color w:val="414142"/>
                <w:shd w:val="clear" w:color="auto" w:fill="FFFFFF"/>
              </w:rPr>
              <w:t>nav precīzi aprēķināms</w:t>
            </w:r>
          </w:p>
        </w:tc>
        <w:tc>
          <w:tcPr>
            <w:tcW w:w="106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CD72153" w14:textId="2B85BE17" w:rsidR="003C0EC2" w:rsidRPr="00C764FD" w:rsidRDefault="003C0EC2"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t> </w:t>
            </w:r>
            <w:r w:rsidR="00411E23" w:rsidRPr="00C764FD">
              <w:rPr>
                <w:rFonts w:ascii="Times New Roman" w:hAnsi="Times New Roman" w:cs="Times New Roman"/>
                <w:color w:val="414142"/>
                <w:shd w:val="clear" w:color="auto" w:fill="FFFFFF"/>
              </w:rPr>
              <w:t>nav precīzi aprēķināms</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4265694" w14:textId="672C16E8" w:rsidR="003C0EC2" w:rsidRPr="00C764FD" w:rsidRDefault="003C0EC2"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t> </w:t>
            </w:r>
            <w:r w:rsidR="00411E23" w:rsidRPr="00C764FD">
              <w:rPr>
                <w:rFonts w:ascii="Times New Roman" w:hAnsi="Times New Roman" w:cs="Times New Roman"/>
                <w:color w:val="414142"/>
                <w:shd w:val="clear" w:color="auto" w:fill="FFFFFF"/>
              </w:rPr>
              <w:t>nav precīzi aprēķināms</w:t>
            </w:r>
          </w:p>
        </w:tc>
        <w:tc>
          <w:tcPr>
            <w:tcW w:w="106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DD4350D" w14:textId="09C69818" w:rsidR="003C0EC2" w:rsidRPr="00C764FD" w:rsidRDefault="003C0EC2"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t> </w:t>
            </w:r>
            <w:r w:rsidR="00411E23" w:rsidRPr="00C764FD">
              <w:rPr>
                <w:rFonts w:ascii="Times New Roman" w:hAnsi="Times New Roman" w:cs="Times New Roman"/>
                <w:color w:val="414142"/>
                <w:shd w:val="clear" w:color="auto" w:fill="FFFFFF"/>
              </w:rPr>
              <w:t>nav precīzi aprēķināms</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103D990" w14:textId="41738944" w:rsidR="003C0EC2" w:rsidRPr="00C764FD" w:rsidRDefault="003C0EC2"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t> </w:t>
            </w:r>
            <w:r w:rsidR="00411E23" w:rsidRPr="00C764FD">
              <w:rPr>
                <w:rFonts w:ascii="Times New Roman" w:hAnsi="Times New Roman" w:cs="Times New Roman"/>
                <w:color w:val="414142"/>
                <w:shd w:val="clear" w:color="auto" w:fill="FFFFFF"/>
              </w:rPr>
              <w:t>nav precīzi aprēķināms</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BBE38BD" w14:textId="7247D79A" w:rsidR="003C0EC2" w:rsidRPr="00C764FD" w:rsidRDefault="003C0EC2"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t> </w:t>
            </w:r>
            <w:r w:rsidR="00411E23" w:rsidRPr="00C764FD">
              <w:rPr>
                <w:rFonts w:ascii="Times New Roman" w:hAnsi="Times New Roman" w:cs="Times New Roman"/>
                <w:color w:val="414142"/>
                <w:shd w:val="clear" w:color="auto" w:fill="FFFFFF"/>
              </w:rPr>
              <w:t>nav precīzi aprēķināms</w:t>
            </w:r>
          </w:p>
        </w:tc>
      </w:tr>
      <w:tr w:rsidR="00E0008B" w:rsidRPr="003C0EC2" w14:paraId="5EB186FA" w14:textId="77777777" w:rsidTr="00C764FD">
        <w:tblPrEx>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shd w:val="clear" w:color="auto" w:fill="FFFFFF"/>
          <w:tblCellMar>
            <w:top w:w="20" w:type="dxa"/>
            <w:left w:w="20" w:type="dxa"/>
            <w:bottom w:w="20" w:type="dxa"/>
            <w:right w:w="20" w:type="dxa"/>
          </w:tblCellMar>
        </w:tblPrEx>
        <w:tc>
          <w:tcPr>
            <w:tcW w:w="1574" w:type="dxa"/>
            <w:tcBorders>
              <w:top w:val="outset" w:sz="6" w:space="0" w:color="414142"/>
              <w:left w:val="outset" w:sz="6" w:space="0" w:color="414142"/>
              <w:bottom w:val="outset" w:sz="6" w:space="0" w:color="414142"/>
              <w:right w:val="outset" w:sz="6" w:space="0" w:color="414142"/>
            </w:tcBorders>
            <w:shd w:val="clear" w:color="auto" w:fill="FFFFFF"/>
            <w:hideMark/>
          </w:tcPr>
          <w:p w14:paraId="22A892B2" w14:textId="77777777" w:rsidR="003C0EC2" w:rsidRPr="00C764FD" w:rsidRDefault="003C0EC2" w:rsidP="003C0EC2">
            <w:pPr>
              <w:spacing w:after="0" w:line="240" w:lineRule="auto"/>
              <w:rPr>
                <w:rFonts w:ascii="Times New Roman" w:eastAsia="Times New Roman" w:hAnsi="Times New Roman" w:cs="Times New Roman"/>
                <w:color w:val="414142"/>
                <w:sz w:val="24"/>
                <w:szCs w:val="24"/>
                <w:lang w:eastAsia="lv-LV"/>
              </w:rPr>
            </w:pPr>
            <w:r w:rsidRPr="00C764FD">
              <w:rPr>
                <w:rFonts w:ascii="Times New Roman" w:eastAsia="Times New Roman" w:hAnsi="Times New Roman" w:cs="Times New Roman"/>
                <w:color w:val="414142"/>
                <w:sz w:val="24"/>
                <w:szCs w:val="24"/>
                <w:lang w:eastAsia="lv-LV"/>
              </w:rPr>
              <w:t>1.2. valsts speciālais budžets</w:t>
            </w:r>
          </w:p>
        </w:tc>
        <w:tc>
          <w:tcPr>
            <w:tcW w:w="106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810772E" w14:textId="2F7BE597" w:rsidR="003C0EC2" w:rsidRPr="00C764FD" w:rsidRDefault="003C0EC2"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t> </w:t>
            </w:r>
            <w:r w:rsidR="00411E23" w:rsidRPr="00C764FD">
              <w:rPr>
                <w:rFonts w:ascii="Times New Roman" w:eastAsia="Times New Roman" w:hAnsi="Times New Roman" w:cs="Times New Roman"/>
                <w:color w:val="414142"/>
                <w:lang w:eastAsia="lv-LV"/>
              </w:rPr>
              <w:t>0</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AB8E23F" w14:textId="3F239238" w:rsidR="003C0EC2" w:rsidRPr="00C764FD" w:rsidRDefault="003C0EC2"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t> </w:t>
            </w:r>
            <w:r w:rsidR="00411E23" w:rsidRPr="00C764FD">
              <w:rPr>
                <w:rFonts w:ascii="Times New Roman" w:eastAsia="Times New Roman" w:hAnsi="Times New Roman" w:cs="Times New Roman"/>
                <w:color w:val="414142"/>
                <w:lang w:eastAsia="lv-LV"/>
              </w:rPr>
              <w:t>0</w:t>
            </w:r>
          </w:p>
        </w:tc>
        <w:tc>
          <w:tcPr>
            <w:tcW w:w="106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1CC701D" w14:textId="52AD494E" w:rsidR="003C0EC2" w:rsidRPr="00C764FD" w:rsidRDefault="003C0EC2"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t> </w:t>
            </w:r>
            <w:r w:rsidR="00411E23" w:rsidRPr="00C764FD">
              <w:rPr>
                <w:rFonts w:ascii="Times New Roman" w:eastAsia="Times New Roman" w:hAnsi="Times New Roman" w:cs="Times New Roman"/>
                <w:color w:val="414142"/>
                <w:lang w:eastAsia="lv-LV"/>
              </w:rPr>
              <w:t>0</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AF5F196" w14:textId="5CE222CE" w:rsidR="003C0EC2" w:rsidRPr="00C764FD" w:rsidRDefault="003C0EC2"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t> </w:t>
            </w:r>
            <w:r w:rsidR="00411E23" w:rsidRPr="00C764FD">
              <w:rPr>
                <w:rFonts w:ascii="Times New Roman" w:eastAsia="Times New Roman" w:hAnsi="Times New Roman" w:cs="Times New Roman"/>
                <w:color w:val="414142"/>
                <w:lang w:eastAsia="lv-LV"/>
              </w:rPr>
              <w:t>0</w:t>
            </w:r>
          </w:p>
        </w:tc>
        <w:tc>
          <w:tcPr>
            <w:tcW w:w="106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841D44B" w14:textId="6A5E2122" w:rsidR="003C0EC2" w:rsidRPr="00C764FD" w:rsidRDefault="003C0EC2"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t> </w:t>
            </w:r>
            <w:r w:rsidR="00411E23" w:rsidRPr="00C764FD">
              <w:rPr>
                <w:rFonts w:ascii="Times New Roman" w:eastAsia="Times New Roman" w:hAnsi="Times New Roman" w:cs="Times New Roman"/>
                <w:color w:val="414142"/>
                <w:lang w:eastAsia="lv-LV"/>
              </w:rPr>
              <w:t>0</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07A220E" w14:textId="382A0F8F" w:rsidR="003C0EC2" w:rsidRPr="00C764FD" w:rsidRDefault="003C0EC2"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t> </w:t>
            </w:r>
            <w:r w:rsidR="00411E23" w:rsidRPr="00C764FD">
              <w:rPr>
                <w:rFonts w:ascii="Times New Roman" w:eastAsia="Times New Roman" w:hAnsi="Times New Roman" w:cs="Times New Roman"/>
                <w:color w:val="414142"/>
                <w:lang w:eastAsia="lv-LV"/>
              </w:rPr>
              <w:t>0</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87940A2" w14:textId="40A3C49B" w:rsidR="003C0EC2" w:rsidRPr="00C764FD" w:rsidRDefault="003C0EC2"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t> </w:t>
            </w:r>
            <w:r w:rsidR="00411E23" w:rsidRPr="00C764FD">
              <w:rPr>
                <w:rFonts w:ascii="Times New Roman" w:eastAsia="Times New Roman" w:hAnsi="Times New Roman" w:cs="Times New Roman"/>
                <w:color w:val="414142"/>
                <w:lang w:eastAsia="lv-LV"/>
              </w:rPr>
              <w:t>0</w:t>
            </w:r>
          </w:p>
        </w:tc>
      </w:tr>
      <w:tr w:rsidR="00E0008B" w:rsidRPr="003C0EC2" w14:paraId="15F595A3" w14:textId="77777777" w:rsidTr="00C764FD">
        <w:tblPrEx>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shd w:val="clear" w:color="auto" w:fill="FFFFFF"/>
          <w:tblCellMar>
            <w:top w:w="20" w:type="dxa"/>
            <w:left w:w="20" w:type="dxa"/>
            <w:bottom w:w="20" w:type="dxa"/>
            <w:right w:w="20" w:type="dxa"/>
          </w:tblCellMar>
        </w:tblPrEx>
        <w:tc>
          <w:tcPr>
            <w:tcW w:w="1574" w:type="dxa"/>
            <w:tcBorders>
              <w:top w:val="outset" w:sz="6" w:space="0" w:color="414142"/>
              <w:left w:val="outset" w:sz="6" w:space="0" w:color="414142"/>
              <w:bottom w:val="outset" w:sz="6" w:space="0" w:color="414142"/>
              <w:right w:val="outset" w:sz="6" w:space="0" w:color="414142"/>
            </w:tcBorders>
            <w:shd w:val="clear" w:color="auto" w:fill="FFFFFF"/>
            <w:hideMark/>
          </w:tcPr>
          <w:p w14:paraId="5B941609" w14:textId="77777777" w:rsidR="003C0EC2" w:rsidRPr="00C764FD" w:rsidRDefault="003C0EC2" w:rsidP="003C0EC2">
            <w:pPr>
              <w:spacing w:after="0" w:line="240" w:lineRule="auto"/>
              <w:rPr>
                <w:rFonts w:ascii="Times New Roman" w:eastAsia="Times New Roman" w:hAnsi="Times New Roman" w:cs="Times New Roman"/>
                <w:color w:val="414142"/>
                <w:sz w:val="24"/>
                <w:szCs w:val="24"/>
                <w:lang w:eastAsia="lv-LV"/>
              </w:rPr>
            </w:pPr>
            <w:r w:rsidRPr="00C764FD">
              <w:rPr>
                <w:rFonts w:ascii="Times New Roman" w:eastAsia="Times New Roman" w:hAnsi="Times New Roman" w:cs="Times New Roman"/>
                <w:color w:val="414142"/>
                <w:sz w:val="24"/>
                <w:szCs w:val="24"/>
                <w:lang w:eastAsia="lv-LV"/>
              </w:rPr>
              <w:t>1.3. pašvaldību budžets</w:t>
            </w:r>
          </w:p>
        </w:tc>
        <w:tc>
          <w:tcPr>
            <w:tcW w:w="106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B1E42B7" w14:textId="65BA381C" w:rsidR="003C0EC2" w:rsidRPr="00C764FD" w:rsidRDefault="003C0EC2"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t> </w:t>
            </w:r>
            <w:r w:rsidR="00411E23" w:rsidRPr="00C764FD">
              <w:rPr>
                <w:rFonts w:ascii="Times New Roman" w:eastAsia="Times New Roman" w:hAnsi="Times New Roman" w:cs="Times New Roman"/>
                <w:color w:val="414142"/>
                <w:lang w:eastAsia="lv-LV"/>
              </w:rPr>
              <w:t>0</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2F25274" w14:textId="34078727" w:rsidR="003C0EC2" w:rsidRPr="00C764FD" w:rsidRDefault="003C0EC2"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t> </w:t>
            </w:r>
            <w:r w:rsidR="00411E23" w:rsidRPr="00C764FD">
              <w:rPr>
                <w:rFonts w:ascii="Times New Roman" w:eastAsia="Times New Roman" w:hAnsi="Times New Roman" w:cs="Times New Roman"/>
                <w:color w:val="414142"/>
                <w:lang w:eastAsia="lv-LV"/>
              </w:rPr>
              <w:t>0</w:t>
            </w:r>
          </w:p>
        </w:tc>
        <w:tc>
          <w:tcPr>
            <w:tcW w:w="106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551FC2B" w14:textId="1FD8BC1C" w:rsidR="003C0EC2" w:rsidRPr="00C764FD" w:rsidRDefault="003C0EC2"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t> </w:t>
            </w:r>
            <w:r w:rsidR="00411E23" w:rsidRPr="00C764FD">
              <w:rPr>
                <w:rFonts w:ascii="Times New Roman" w:eastAsia="Times New Roman" w:hAnsi="Times New Roman" w:cs="Times New Roman"/>
                <w:color w:val="414142"/>
                <w:lang w:eastAsia="lv-LV"/>
              </w:rPr>
              <w:t>0</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543B0CD" w14:textId="58B548F3" w:rsidR="003C0EC2" w:rsidRPr="00C764FD" w:rsidRDefault="003C0EC2"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t> </w:t>
            </w:r>
            <w:r w:rsidR="00411E23" w:rsidRPr="00C764FD">
              <w:rPr>
                <w:rFonts w:ascii="Times New Roman" w:eastAsia="Times New Roman" w:hAnsi="Times New Roman" w:cs="Times New Roman"/>
                <w:color w:val="414142"/>
                <w:lang w:eastAsia="lv-LV"/>
              </w:rPr>
              <w:t>0</w:t>
            </w:r>
          </w:p>
        </w:tc>
        <w:tc>
          <w:tcPr>
            <w:tcW w:w="106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0E25E46" w14:textId="3DBC76C2" w:rsidR="003C0EC2" w:rsidRPr="00C764FD" w:rsidRDefault="003C0EC2"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t> </w:t>
            </w:r>
            <w:r w:rsidR="00411E23" w:rsidRPr="00C764FD">
              <w:rPr>
                <w:rFonts w:ascii="Times New Roman" w:eastAsia="Times New Roman" w:hAnsi="Times New Roman" w:cs="Times New Roman"/>
                <w:color w:val="414142"/>
                <w:lang w:eastAsia="lv-LV"/>
              </w:rPr>
              <w:t>0</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74766F0" w14:textId="0224BA36" w:rsidR="003C0EC2" w:rsidRPr="00C764FD" w:rsidRDefault="003C0EC2"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t> </w:t>
            </w:r>
            <w:r w:rsidR="00411E23" w:rsidRPr="00C764FD">
              <w:rPr>
                <w:rFonts w:ascii="Times New Roman" w:eastAsia="Times New Roman" w:hAnsi="Times New Roman" w:cs="Times New Roman"/>
                <w:color w:val="414142"/>
                <w:lang w:eastAsia="lv-LV"/>
              </w:rPr>
              <w:t>0</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944F846" w14:textId="560852E7" w:rsidR="003C0EC2" w:rsidRPr="00C764FD" w:rsidRDefault="003C0EC2"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t> </w:t>
            </w:r>
            <w:r w:rsidR="00411E23" w:rsidRPr="00C764FD">
              <w:rPr>
                <w:rFonts w:ascii="Times New Roman" w:eastAsia="Times New Roman" w:hAnsi="Times New Roman" w:cs="Times New Roman"/>
                <w:color w:val="414142"/>
                <w:lang w:eastAsia="lv-LV"/>
              </w:rPr>
              <w:t>0</w:t>
            </w:r>
          </w:p>
        </w:tc>
      </w:tr>
      <w:tr w:rsidR="00E0008B" w:rsidRPr="003C0EC2" w14:paraId="715694C6" w14:textId="77777777" w:rsidTr="00C764FD">
        <w:tblPrEx>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shd w:val="clear" w:color="auto" w:fill="FFFFFF"/>
          <w:tblCellMar>
            <w:top w:w="20" w:type="dxa"/>
            <w:left w:w="20" w:type="dxa"/>
            <w:bottom w:w="20" w:type="dxa"/>
            <w:right w:w="20" w:type="dxa"/>
          </w:tblCellMar>
        </w:tblPrEx>
        <w:tc>
          <w:tcPr>
            <w:tcW w:w="1574" w:type="dxa"/>
            <w:tcBorders>
              <w:top w:val="outset" w:sz="6" w:space="0" w:color="414142"/>
              <w:left w:val="outset" w:sz="6" w:space="0" w:color="414142"/>
              <w:bottom w:val="outset" w:sz="6" w:space="0" w:color="414142"/>
              <w:right w:val="outset" w:sz="6" w:space="0" w:color="414142"/>
            </w:tcBorders>
            <w:shd w:val="clear" w:color="auto" w:fill="FFFFFF"/>
            <w:hideMark/>
          </w:tcPr>
          <w:p w14:paraId="097A3987" w14:textId="77777777" w:rsidR="003C0EC2" w:rsidRPr="00C764FD" w:rsidRDefault="003C0EC2" w:rsidP="003C0EC2">
            <w:pPr>
              <w:spacing w:after="0" w:line="240" w:lineRule="auto"/>
              <w:rPr>
                <w:rFonts w:ascii="Times New Roman" w:eastAsia="Times New Roman" w:hAnsi="Times New Roman" w:cs="Times New Roman"/>
                <w:color w:val="414142"/>
                <w:sz w:val="24"/>
                <w:szCs w:val="24"/>
                <w:lang w:eastAsia="lv-LV"/>
              </w:rPr>
            </w:pPr>
            <w:r w:rsidRPr="00C764FD">
              <w:rPr>
                <w:rFonts w:ascii="Times New Roman" w:eastAsia="Times New Roman" w:hAnsi="Times New Roman" w:cs="Times New Roman"/>
                <w:color w:val="414142"/>
                <w:sz w:val="24"/>
                <w:szCs w:val="24"/>
                <w:lang w:eastAsia="lv-LV"/>
              </w:rPr>
              <w:t>2. Budžeta izdevumi</w:t>
            </w:r>
          </w:p>
        </w:tc>
        <w:tc>
          <w:tcPr>
            <w:tcW w:w="106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0FDA312" w14:textId="77777777" w:rsidR="003C0EC2" w:rsidRPr="00C764FD" w:rsidRDefault="003C0EC2"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t> </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D65B7C5" w14:textId="77777777" w:rsidR="003C0EC2" w:rsidRPr="00C764FD" w:rsidRDefault="003C0EC2"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t> </w:t>
            </w:r>
          </w:p>
        </w:tc>
        <w:tc>
          <w:tcPr>
            <w:tcW w:w="106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247A5F5" w14:textId="77777777" w:rsidR="003C0EC2" w:rsidRPr="00C764FD" w:rsidRDefault="003C0EC2"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t> </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1B673FB" w14:textId="77777777" w:rsidR="003C0EC2" w:rsidRPr="00C764FD" w:rsidRDefault="003C0EC2"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t> </w:t>
            </w:r>
          </w:p>
        </w:tc>
        <w:tc>
          <w:tcPr>
            <w:tcW w:w="106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F8C4511" w14:textId="77777777" w:rsidR="003C0EC2" w:rsidRPr="00C764FD" w:rsidRDefault="003C0EC2"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t> </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34271B2" w14:textId="77777777" w:rsidR="003C0EC2" w:rsidRPr="00C764FD" w:rsidRDefault="003C0EC2"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t> </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7108F4F" w14:textId="77777777" w:rsidR="003C0EC2" w:rsidRPr="00C764FD" w:rsidRDefault="003C0EC2"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t> </w:t>
            </w:r>
          </w:p>
        </w:tc>
      </w:tr>
      <w:tr w:rsidR="00E0008B" w:rsidRPr="003C0EC2" w14:paraId="1BCC99E6" w14:textId="77777777" w:rsidTr="00C764FD">
        <w:tblPrEx>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shd w:val="clear" w:color="auto" w:fill="FFFFFF"/>
          <w:tblCellMar>
            <w:top w:w="20" w:type="dxa"/>
            <w:left w:w="20" w:type="dxa"/>
            <w:bottom w:w="20" w:type="dxa"/>
            <w:right w:w="20" w:type="dxa"/>
          </w:tblCellMar>
        </w:tblPrEx>
        <w:tc>
          <w:tcPr>
            <w:tcW w:w="1574" w:type="dxa"/>
            <w:tcBorders>
              <w:top w:val="outset" w:sz="6" w:space="0" w:color="414142"/>
              <w:left w:val="outset" w:sz="6" w:space="0" w:color="414142"/>
              <w:bottom w:val="outset" w:sz="6" w:space="0" w:color="414142"/>
              <w:right w:val="outset" w:sz="6" w:space="0" w:color="414142"/>
            </w:tcBorders>
            <w:shd w:val="clear" w:color="auto" w:fill="FFFFFF"/>
            <w:hideMark/>
          </w:tcPr>
          <w:p w14:paraId="21967049" w14:textId="77777777" w:rsidR="003C0EC2" w:rsidRPr="00C764FD" w:rsidRDefault="003C0EC2" w:rsidP="003C0EC2">
            <w:pPr>
              <w:spacing w:after="0" w:line="240" w:lineRule="auto"/>
              <w:rPr>
                <w:rFonts w:ascii="Times New Roman" w:eastAsia="Times New Roman" w:hAnsi="Times New Roman" w:cs="Times New Roman"/>
                <w:color w:val="414142"/>
                <w:sz w:val="24"/>
                <w:szCs w:val="24"/>
                <w:lang w:eastAsia="lv-LV"/>
              </w:rPr>
            </w:pPr>
            <w:r w:rsidRPr="00C764FD">
              <w:rPr>
                <w:rFonts w:ascii="Times New Roman" w:eastAsia="Times New Roman" w:hAnsi="Times New Roman" w:cs="Times New Roman"/>
                <w:color w:val="414142"/>
                <w:sz w:val="24"/>
                <w:szCs w:val="24"/>
                <w:lang w:eastAsia="lv-LV"/>
              </w:rPr>
              <w:t>2.1. valsts pamatbudžets</w:t>
            </w:r>
          </w:p>
        </w:tc>
        <w:tc>
          <w:tcPr>
            <w:tcW w:w="106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35E59D7" w14:textId="488CA800" w:rsidR="003C0EC2" w:rsidRPr="00C764FD" w:rsidRDefault="003C0EC2"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t> </w:t>
            </w:r>
            <w:r w:rsidR="00411E23" w:rsidRPr="00C764FD">
              <w:rPr>
                <w:rFonts w:ascii="Times New Roman" w:eastAsia="Times New Roman" w:hAnsi="Times New Roman" w:cs="Times New Roman"/>
                <w:color w:val="414142"/>
                <w:lang w:eastAsia="lv-LV"/>
              </w:rPr>
              <w:t>0</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5A96538" w14:textId="5715F6AB" w:rsidR="003C0EC2" w:rsidRPr="00C764FD" w:rsidRDefault="003C0EC2"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t> </w:t>
            </w:r>
            <w:r w:rsidR="00411E23" w:rsidRPr="00C764FD">
              <w:rPr>
                <w:rFonts w:ascii="Times New Roman" w:eastAsia="Times New Roman" w:hAnsi="Times New Roman" w:cs="Times New Roman"/>
                <w:color w:val="414142"/>
                <w:lang w:eastAsia="lv-LV"/>
              </w:rPr>
              <w:t>0</w:t>
            </w:r>
          </w:p>
        </w:tc>
        <w:tc>
          <w:tcPr>
            <w:tcW w:w="106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E9D068F" w14:textId="00A4E2D4" w:rsidR="003C0EC2" w:rsidRPr="00C764FD" w:rsidRDefault="003C0EC2"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t> </w:t>
            </w:r>
            <w:r w:rsidR="00411E23" w:rsidRPr="00C764FD">
              <w:rPr>
                <w:rFonts w:ascii="Times New Roman" w:eastAsia="Times New Roman" w:hAnsi="Times New Roman" w:cs="Times New Roman"/>
                <w:color w:val="414142"/>
                <w:lang w:eastAsia="lv-LV"/>
              </w:rPr>
              <w:t>0</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9118778" w14:textId="509E9749" w:rsidR="003C0EC2" w:rsidRPr="00C764FD" w:rsidRDefault="003C0EC2"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t> </w:t>
            </w:r>
            <w:r w:rsidR="00411E23" w:rsidRPr="00C764FD">
              <w:rPr>
                <w:rFonts w:ascii="Times New Roman" w:eastAsia="Times New Roman" w:hAnsi="Times New Roman" w:cs="Times New Roman"/>
                <w:color w:val="414142"/>
                <w:lang w:eastAsia="lv-LV"/>
              </w:rPr>
              <w:t>0</w:t>
            </w:r>
          </w:p>
        </w:tc>
        <w:tc>
          <w:tcPr>
            <w:tcW w:w="106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086F99B" w14:textId="6F1EB52B" w:rsidR="003C0EC2" w:rsidRPr="00C764FD" w:rsidRDefault="003C0EC2"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t> </w:t>
            </w:r>
            <w:r w:rsidR="00411E23" w:rsidRPr="00C764FD">
              <w:rPr>
                <w:rFonts w:ascii="Times New Roman" w:eastAsia="Times New Roman" w:hAnsi="Times New Roman" w:cs="Times New Roman"/>
                <w:color w:val="414142"/>
                <w:lang w:eastAsia="lv-LV"/>
              </w:rPr>
              <w:t>0</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522A88B" w14:textId="08191C46" w:rsidR="003C0EC2" w:rsidRPr="00C764FD" w:rsidRDefault="003C0EC2"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t> </w:t>
            </w:r>
            <w:r w:rsidR="00411E23" w:rsidRPr="00C764FD">
              <w:rPr>
                <w:rFonts w:ascii="Times New Roman" w:eastAsia="Times New Roman" w:hAnsi="Times New Roman" w:cs="Times New Roman"/>
                <w:color w:val="414142"/>
                <w:lang w:eastAsia="lv-LV"/>
              </w:rPr>
              <w:t>0</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DA8B24B" w14:textId="465E6167" w:rsidR="003C0EC2" w:rsidRPr="00C764FD" w:rsidRDefault="003C0EC2"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t> </w:t>
            </w:r>
            <w:r w:rsidR="00411E23" w:rsidRPr="00C764FD">
              <w:rPr>
                <w:rFonts w:ascii="Times New Roman" w:eastAsia="Times New Roman" w:hAnsi="Times New Roman" w:cs="Times New Roman"/>
                <w:color w:val="414142"/>
                <w:lang w:eastAsia="lv-LV"/>
              </w:rPr>
              <w:t>0</w:t>
            </w:r>
          </w:p>
        </w:tc>
      </w:tr>
      <w:tr w:rsidR="00E0008B" w:rsidRPr="003C0EC2" w14:paraId="1424EFC8" w14:textId="77777777" w:rsidTr="00C764FD">
        <w:tblPrEx>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shd w:val="clear" w:color="auto" w:fill="FFFFFF"/>
          <w:tblCellMar>
            <w:top w:w="20" w:type="dxa"/>
            <w:left w:w="20" w:type="dxa"/>
            <w:bottom w:w="20" w:type="dxa"/>
            <w:right w:w="20" w:type="dxa"/>
          </w:tblCellMar>
        </w:tblPrEx>
        <w:tc>
          <w:tcPr>
            <w:tcW w:w="1574" w:type="dxa"/>
            <w:tcBorders>
              <w:top w:val="outset" w:sz="6" w:space="0" w:color="414142"/>
              <w:left w:val="outset" w:sz="6" w:space="0" w:color="414142"/>
              <w:bottom w:val="outset" w:sz="6" w:space="0" w:color="414142"/>
              <w:right w:val="outset" w:sz="6" w:space="0" w:color="414142"/>
            </w:tcBorders>
            <w:shd w:val="clear" w:color="auto" w:fill="FFFFFF"/>
            <w:hideMark/>
          </w:tcPr>
          <w:p w14:paraId="1338DE4E" w14:textId="77777777" w:rsidR="003C0EC2" w:rsidRPr="00C764FD" w:rsidRDefault="003C0EC2" w:rsidP="003C0EC2">
            <w:pPr>
              <w:spacing w:after="0" w:line="240" w:lineRule="auto"/>
              <w:rPr>
                <w:rFonts w:ascii="Times New Roman" w:eastAsia="Times New Roman" w:hAnsi="Times New Roman" w:cs="Times New Roman"/>
                <w:color w:val="414142"/>
                <w:sz w:val="24"/>
                <w:szCs w:val="24"/>
                <w:lang w:eastAsia="lv-LV"/>
              </w:rPr>
            </w:pPr>
            <w:r w:rsidRPr="00C764FD">
              <w:rPr>
                <w:rFonts w:ascii="Times New Roman" w:eastAsia="Times New Roman" w:hAnsi="Times New Roman" w:cs="Times New Roman"/>
                <w:color w:val="414142"/>
                <w:sz w:val="24"/>
                <w:szCs w:val="24"/>
                <w:lang w:eastAsia="lv-LV"/>
              </w:rPr>
              <w:t>2.2. valsts speciālais budžets</w:t>
            </w:r>
          </w:p>
        </w:tc>
        <w:tc>
          <w:tcPr>
            <w:tcW w:w="106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7B51056" w14:textId="2DCB7A32" w:rsidR="003C0EC2" w:rsidRPr="00C764FD" w:rsidRDefault="003C0EC2"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t> </w:t>
            </w:r>
            <w:r w:rsidR="00411E23" w:rsidRPr="00C764FD">
              <w:rPr>
                <w:rFonts w:ascii="Times New Roman" w:eastAsia="Times New Roman" w:hAnsi="Times New Roman" w:cs="Times New Roman"/>
                <w:color w:val="414142"/>
                <w:lang w:eastAsia="lv-LV"/>
              </w:rPr>
              <w:t>0</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84056FC" w14:textId="721B9878" w:rsidR="003C0EC2" w:rsidRPr="00C764FD" w:rsidRDefault="003C0EC2"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t> </w:t>
            </w:r>
            <w:r w:rsidR="00411E23" w:rsidRPr="00C764FD">
              <w:rPr>
                <w:rFonts w:ascii="Times New Roman" w:eastAsia="Times New Roman" w:hAnsi="Times New Roman" w:cs="Times New Roman"/>
                <w:color w:val="414142"/>
                <w:lang w:eastAsia="lv-LV"/>
              </w:rPr>
              <w:t>0</w:t>
            </w:r>
          </w:p>
        </w:tc>
        <w:tc>
          <w:tcPr>
            <w:tcW w:w="106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755CDAC" w14:textId="27B5184D" w:rsidR="003C0EC2" w:rsidRPr="00C764FD" w:rsidRDefault="003C0EC2"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t> </w:t>
            </w:r>
            <w:r w:rsidR="00411E23" w:rsidRPr="00C764FD">
              <w:rPr>
                <w:rFonts w:ascii="Times New Roman" w:eastAsia="Times New Roman" w:hAnsi="Times New Roman" w:cs="Times New Roman"/>
                <w:color w:val="414142"/>
                <w:lang w:eastAsia="lv-LV"/>
              </w:rPr>
              <w:t>0</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1C02E4D" w14:textId="6971FA3E" w:rsidR="003C0EC2" w:rsidRPr="00C764FD" w:rsidRDefault="003C0EC2"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t> </w:t>
            </w:r>
            <w:r w:rsidR="00411E23" w:rsidRPr="00C764FD">
              <w:rPr>
                <w:rFonts w:ascii="Times New Roman" w:eastAsia="Times New Roman" w:hAnsi="Times New Roman" w:cs="Times New Roman"/>
                <w:color w:val="414142"/>
                <w:lang w:eastAsia="lv-LV"/>
              </w:rPr>
              <w:t>0</w:t>
            </w:r>
          </w:p>
        </w:tc>
        <w:tc>
          <w:tcPr>
            <w:tcW w:w="106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4BD329D" w14:textId="549A062C" w:rsidR="003C0EC2" w:rsidRPr="00C764FD" w:rsidRDefault="003C0EC2"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t> </w:t>
            </w:r>
            <w:r w:rsidR="00411E23" w:rsidRPr="00C764FD">
              <w:rPr>
                <w:rFonts w:ascii="Times New Roman" w:eastAsia="Times New Roman" w:hAnsi="Times New Roman" w:cs="Times New Roman"/>
                <w:color w:val="414142"/>
                <w:lang w:eastAsia="lv-LV"/>
              </w:rPr>
              <w:t>0</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94B876E" w14:textId="33EBA42C" w:rsidR="003C0EC2" w:rsidRPr="00C764FD" w:rsidRDefault="003C0EC2"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t> </w:t>
            </w:r>
            <w:r w:rsidR="00411E23" w:rsidRPr="00C764FD">
              <w:rPr>
                <w:rFonts w:ascii="Times New Roman" w:eastAsia="Times New Roman" w:hAnsi="Times New Roman" w:cs="Times New Roman"/>
                <w:color w:val="414142"/>
                <w:lang w:eastAsia="lv-LV"/>
              </w:rPr>
              <w:t>0</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1974AFF" w14:textId="7205EBD2" w:rsidR="003C0EC2" w:rsidRPr="00C764FD" w:rsidRDefault="003C0EC2"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t> </w:t>
            </w:r>
            <w:r w:rsidR="00411E23" w:rsidRPr="00C764FD">
              <w:rPr>
                <w:rFonts w:ascii="Times New Roman" w:eastAsia="Times New Roman" w:hAnsi="Times New Roman" w:cs="Times New Roman"/>
                <w:color w:val="414142"/>
                <w:lang w:eastAsia="lv-LV"/>
              </w:rPr>
              <w:t>0</w:t>
            </w:r>
          </w:p>
        </w:tc>
      </w:tr>
      <w:tr w:rsidR="00E0008B" w:rsidRPr="003C0EC2" w14:paraId="608F0989" w14:textId="77777777" w:rsidTr="00C764FD">
        <w:tblPrEx>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shd w:val="clear" w:color="auto" w:fill="FFFFFF"/>
          <w:tblCellMar>
            <w:top w:w="20" w:type="dxa"/>
            <w:left w:w="20" w:type="dxa"/>
            <w:bottom w:w="20" w:type="dxa"/>
            <w:right w:w="20" w:type="dxa"/>
          </w:tblCellMar>
        </w:tblPrEx>
        <w:tc>
          <w:tcPr>
            <w:tcW w:w="1574" w:type="dxa"/>
            <w:tcBorders>
              <w:top w:val="outset" w:sz="6" w:space="0" w:color="414142"/>
              <w:left w:val="outset" w:sz="6" w:space="0" w:color="414142"/>
              <w:bottom w:val="outset" w:sz="6" w:space="0" w:color="414142"/>
              <w:right w:val="outset" w:sz="6" w:space="0" w:color="414142"/>
            </w:tcBorders>
            <w:shd w:val="clear" w:color="auto" w:fill="FFFFFF"/>
            <w:hideMark/>
          </w:tcPr>
          <w:p w14:paraId="680F88A5" w14:textId="77777777" w:rsidR="003C0EC2" w:rsidRPr="00C764FD" w:rsidRDefault="003C0EC2" w:rsidP="003C0EC2">
            <w:pPr>
              <w:spacing w:after="0" w:line="240" w:lineRule="auto"/>
              <w:rPr>
                <w:rFonts w:ascii="Times New Roman" w:eastAsia="Times New Roman" w:hAnsi="Times New Roman" w:cs="Times New Roman"/>
                <w:color w:val="414142"/>
                <w:sz w:val="24"/>
                <w:szCs w:val="24"/>
                <w:lang w:eastAsia="lv-LV"/>
              </w:rPr>
            </w:pPr>
            <w:r w:rsidRPr="00C764FD">
              <w:rPr>
                <w:rFonts w:ascii="Times New Roman" w:eastAsia="Times New Roman" w:hAnsi="Times New Roman" w:cs="Times New Roman"/>
                <w:color w:val="414142"/>
                <w:sz w:val="24"/>
                <w:szCs w:val="24"/>
                <w:lang w:eastAsia="lv-LV"/>
              </w:rPr>
              <w:t>2.3. pašvaldību budžets</w:t>
            </w:r>
          </w:p>
        </w:tc>
        <w:tc>
          <w:tcPr>
            <w:tcW w:w="106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6FA1C9A" w14:textId="6834CE33" w:rsidR="003C0EC2" w:rsidRPr="00C764FD" w:rsidRDefault="003C0EC2"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t> </w:t>
            </w:r>
            <w:r w:rsidR="00411E23" w:rsidRPr="00C764FD">
              <w:rPr>
                <w:rFonts w:ascii="Times New Roman" w:eastAsia="Times New Roman" w:hAnsi="Times New Roman" w:cs="Times New Roman"/>
                <w:color w:val="414142"/>
                <w:lang w:eastAsia="lv-LV"/>
              </w:rPr>
              <w:t>0</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42800AF" w14:textId="4CD75E8E" w:rsidR="003C0EC2" w:rsidRPr="00C764FD" w:rsidRDefault="003C0EC2"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t> </w:t>
            </w:r>
            <w:r w:rsidR="00411E23" w:rsidRPr="00C764FD">
              <w:rPr>
                <w:rFonts w:ascii="Times New Roman" w:eastAsia="Times New Roman" w:hAnsi="Times New Roman" w:cs="Times New Roman"/>
                <w:color w:val="414142"/>
                <w:lang w:eastAsia="lv-LV"/>
              </w:rPr>
              <w:t>0</w:t>
            </w:r>
          </w:p>
        </w:tc>
        <w:tc>
          <w:tcPr>
            <w:tcW w:w="106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DAF1103" w14:textId="7D535A3B" w:rsidR="003C0EC2" w:rsidRPr="00C764FD" w:rsidRDefault="003C0EC2"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t> </w:t>
            </w:r>
            <w:r w:rsidR="00411E23" w:rsidRPr="00C764FD">
              <w:rPr>
                <w:rFonts w:ascii="Times New Roman" w:eastAsia="Times New Roman" w:hAnsi="Times New Roman" w:cs="Times New Roman"/>
                <w:color w:val="414142"/>
                <w:lang w:eastAsia="lv-LV"/>
              </w:rPr>
              <w:t>0</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02C9F52" w14:textId="01B971D0" w:rsidR="003C0EC2" w:rsidRPr="00C764FD" w:rsidRDefault="003C0EC2"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t> </w:t>
            </w:r>
            <w:r w:rsidR="00411E23" w:rsidRPr="00C764FD">
              <w:rPr>
                <w:rFonts w:ascii="Times New Roman" w:eastAsia="Times New Roman" w:hAnsi="Times New Roman" w:cs="Times New Roman"/>
                <w:color w:val="414142"/>
                <w:lang w:eastAsia="lv-LV"/>
              </w:rPr>
              <w:t>0</w:t>
            </w:r>
          </w:p>
        </w:tc>
        <w:tc>
          <w:tcPr>
            <w:tcW w:w="106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AE8D0C1" w14:textId="424FED16" w:rsidR="003C0EC2" w:rsidRPr="00C764FD" w:rsidRDefault="003C0EC2"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t> </w:t>
            </w:r>
            <w:r w:rsidR="00411E23" w:rsidRPr="00C764FD">
              <w:rPr>
                <w:rFonts w:ascii="Times New Roman" w:eastAsia="Times New Roman" w:hAnsi="Times New Roman" w:cs="Times New Roman"/>
                <w:color w:val="414142"/>
                <w:lang w:eastAsia="lv-LV"/>
              </w:rPr>
              <w:t>0</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09D25ED" w14:textId="0F474B80" w:rsidR="003C0EC2" w:rsidRPr="00C764FD" w:rsidRDefault="003C0EC2"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t> </w:t>
            </w:r>
            <w:r w:rsidR="00411E23" w:rsidRPr="00C764FD">
              <w:rPr>
                <w:rFonts w:ascii="Times New Roman" w:eastAsia="Times New Roman" w:hAnsi="Times New Roman" w:cs="Times New Roman"/>
                <w:color w:val="414142"/>
                <w:lang w:eastAsia="lv-LV"/>
              </w:rPr>
              <w:t>0</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7C4B636" w14:textId="3D282433" w:rsidR="003C0EC2" w:rsidRPr="00C764FD" w:rsidRDefault="003C0EC2"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t> </w:t>
            </w:r>
            <w:r w:rsidR="00411E23" w:rsidRPr="00C764FD">
              <w:rPr>
                <w:rFonts w:ascii="Times New Roman" w:eastAsia="Times New Roman" w:hAnsi="Times New Roman" w:cs="Times New Roman"/>
                <w:color w:val="414142"/>
                <w:lang w:eastAsia="lv-LV"/>
              </w:rPr>
              <w:t>0</w:t>
            </w:r>
          </w:p>
        </w:tc>
      </w:tr>
      <w:tr w:rsidR="00E0008B" w:rsidRPr="003C0EC2" w14:paraId="03193F40" w14:textId="77777777" w:rsidTr="00C764FD">
        <w:tblPrEx>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shd w:val="clear" w:color="auto" w:fill="FFFFFF"/>
          <w:tblCellMar>
            <w:top w:w="20" w:type="dxa"/>
            <w:left w:w="20" w:type="dxa"/>
            <w:bottom w:w="20" w:type="dxa"/>
            <w:right w:w="20" w:type="dxa"/>
          </w:tblCellMar>
        </w:tblPrEx>
        <w:tc>
          <w:tcPr>
            <w:tcW w:w="1574" w:type="dxa"/>
            <w:tcBorders>
              <w:top w:val="outset" w:sz="6" w:space="0" w:color="414142"/>
              <w:left w:val="outset" w:sz="6" w:space="0" w:color="414142"/>
              <w:bottom w:val="outset" w:sz="6" w:space="0" w:color="414142"/>
              <w:right w:val="outset" w:sz="6" w:space="0" w:color="414142"/>
            </w:tcBorders>
            <w:shd w:val="clear" w:color="auto" w:fill="FFFFFF"/>
            <w:hideMark/>
          </w:tcPr>
          <w:p w14:paraId="6A6DB764" w14:textId="77777777" w:rsidR="003C0EC2" w:rsidRPr="00C764FD" w:rsidRDefault="003C0EC2" w:rsidP="003C0EC2">
            <w:pPr>
              <w:spacing w:after="0" w:line="240" w:lineRule="auto"/>
              <w:rPr>
                <w:rFonts w:ascii="Times New Roman" w:eastAsia="Times New Roman" w:hAnsi="Times New Roman" w:cs="Times New Roman"/>
                <w:color w:val="414142"/>
                <w:sz w:val="24"/>
                <w:szCs w:val="24"/>
                <w:lang w:eastAsia="lv-LV"/>
              </w:rPr>
            </w:pPr>
            <w:r w:rsidRPr="00C764FD">
              <w:rPr>
                <w:rFonts w:ascii="Times New Roman" w:eastAsia="Times New Roman" w:hAnsi="Times New Roman" w:cs="Times New Roman"/>
                <w:color w:val="414142"/>
                <w:sz w:val="24"/>
                <w:szCs w:val="24"/>
                <w:lang w:eastAsia="lv-LV"/>
              </w:rPr>
              <w:t>3. Finansiālā ietekme</w:t>
            </w:r>
          </w:p>
        </w:tc>
        <w:tc>
          <w:tcPr>
            <w:tcW w:w="106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E216361" w14:textId="77777777" w:rsidR="003C0EC2" w:rsidRPr="00C764FD" w:rsidRDefault="003C0EC2"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t> </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1EE30DE" w14:textId="77777777" w:rsidR="003C0EC2" w:rsidRPr="00C764FD" w:rsidRDefault="003C0EC2"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t> </w:t>
            </w:r>
          </w:p>
        </w:tc>
        <w:tc>
          <w:tcPr>
            <w:tcW w:w="106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9D58A12" w14:textId="77777777" w:rsidR="003C0EC2" w:rsidRPr="00C764FD" w:rsidRDefault="003C0EC2"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t> </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01E8AB7" w14:textId="77777777" w:rsidR="003C0EC2" w:rsidRPr="00C764FD" w:rsidRDefault="003C0EC2"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t> </w:t>
            </w:r>
          </w:p>
        </w:tc>
        <w:tc>
          <w:tcPr>
            <w:tcW w:w="106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EBC4E79" w14:textId="77777777" w:rsidR="003C0EC2" w:rsidRPr="00C764FD" w:rsidRDefault="003C0EC2"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t> </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91B3014" w14:textId="77777777" w:rsidR="003C0EC2" w:rsidRPr="00C764FD" w:rsidRDefault="003C0EC2"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t> </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3104AFA" w14:textId="77777777" w:rsidR="003C0EC2" w:rsidRPr="00C764FD" w:rsidRDefault="003C0EC2"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t> </w:t>
            </w:r>
          </w:p>
        </w:tc>
      </w:tr>
      <w:tr w:rsidR="00E0008B" w:rsidRPr="003C0EC2" w14:paraId="23E5B739" w14:textId="77777777" w:rsidTr="00C764FD">
        <w:tblPrEx>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shd w:val="clear" w:color="auto" w:fill="FFFFFF"/>
          <w:tblCellMar>
            <w:top w:w="20" w:type="dxa"/>
            <w:left w:w="20" w:type="dxa"/>
            <w:bottom w:w="20" w:type="dxa"/>
            <w:right w:w="20" w:type="dxa"/>
          </w:tblCellMar>
        </w:tblPrEx>
        <w:tc>
          <w:tcPr>
            <w:tcW w:w="1574" w:type="dxa"/>
            <w:tcBorders>
              <w:top w:val="outset" w:sz="6" w:space="0" w:color="414142"/>
              <w:left w:val="outset" w:sz="6" w:space="0" w:color="414142"/>
              <w:bottom w:val="outset" w:sz="6" w:space="0" w:color="414142"/>
              <w:right w:val="outset" w:sz="6" w:space="0" w:color="414142"/>
            </w:tcBorders>
            <w:shd w:val="clear" w:color="auto" w:fill="FFFFFF"/>
            <w:hideMark/>
          </w:tcPr>
          <w:p w14:paraId="7A9C3956" w14:textId="77777777" w:rsidR="003C0EC2" w:rsidRPr="00C764FD" w:rsidRDefault="003C0EC2" w:rsidP="003C0EC2">
            <w:pPr>
              <w:spacing w:after="0" w:line="240" w:lineRule="auto"/>
              <w:rPr>
                <w:rFonts w:ascii="Times New Roman" w:eastAsia="Times New Roman" w:hAnsi="Times New Roman" w:cs="Times New Roman"/>
                <w:color w:val="414142"/>
                <w:sz w:val="24"/>
                <w:szCs w:val="24"/>
                <w:lang w:eastAsia="lv-LV"/>
              </w:rPr>
            </w:pPr>
            <w:r w:rsidRPr="00C764FD">
              <w:rPr>
                <w:rFonts w:ascii="Times New Roman" w:eastAsia="Times New Roman" w:hAnsi="Times New Roman" w:cs="Times New Roman"/>
                <w:color w:val="414142"/>
                <w:sz w:val="24"/>
                <w:szCs w:val="24"/>
                <w:lang w:eastAsia="lv-LV"/>
              </w:rPr>
              <w:t>3.1. valsts pamatbudžets</w:t>
            </w:r>
          </w:p>
        </w:tc>
        <w:tc>
          <w:tcPr>
            <w:tcW w:w="106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6509633" w14:textId="1FEE1914" w:rsidR="003C0EC2" w:rsidRPr="00C764FD" w:rsidRDefault="003C0EC2"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t> </w:t>
            </w:r>
            <w:r w:rsidR="00411E23" w:rsidRPr="00C764FD">
              <w:rPr>
                <w:rFonts w:ascii="Times New Roman" w:eastAsia="Times New Roman" w:hAnsi="Times New Roman" w:cs="Times New Roman"/>
                <w:color w:val="414142"/>
                <w:lang w:eastAsia="lv-LV"/>
              </w:rPr>
              <w:t>nav precīzi aprēķināms</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C9EF9F7" w14:textId="66CB1ADA" w:rsidR="003C0EC2" w:rsidRPr="00C764FD" w:rsidRDefault="003C0EC2"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t> </w:t>
            </w:r>
            <w:r w:rsidR="00411E23" w:rsidRPr="00C764FD">
              <w:rPr>
                <w:rFonts w:ascii="Times New Roman" w:eastAsia="Times New Roman" w:hAnsi="Times New Roman" w:cs="Times New Roman"/>
                <w:color w:val="414142"/>
                <w:lang w:eastAsia="lv-LV"/>
              </w:rPr>
              <w:t>nav precīzi aprēķināms</w:t>
            </w:r>
          </w:p>
        </w:tc>
        <w:tc>
          <w:tcPr>
            <w:tcW w:w="106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9E877F6" w14:textId="62100A01" w:rsidR="003C0EC2" w:rsidRPr="00C764FD" w:rsidRDefault="003C0EC2"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t> </w:t>
            </w:r>
            <w:r w:rsidR="00411E23" w:rsidRPr="00C764FD">
              <w:rPr>
                <w:rFonts w:ascii="Times New Roman" w:eastAsia="Times New Roman" w:hAnsi="Times New Roman" w:cs="Times New Roman"/>
                <w:color w:val="414142"/>
                <w:lang w:eastAsia="lv-LV"/>
              </w:rPr>
              <w:t>nav precīzi aprēķināms</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64EDC53" w14:textId="2C60DBE1" w:rsidR="003C0EC2" w:rsidRPr="00C764FD" w:rsidRDefault="003C0EC2"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t> </w:t>
            </w:r>
            <w:r w:rsidR="00411E23" w:rsidRPr="00C764FD">
              <w:rPr>
                <w:rFonts w:ascii="Times New Roman" w:eastAsia="Times New Roman" w:hAnsi="Times New Roman" w:cs="Times New Roman"/>
                <w:color w:val="414142"/>
                <w:lang w:eastAsia="lv-LV"/>
              </w:rPr>
              <w:t>nav precīzi aprēķināms</w:t>
            </w:r>
          </w:p>
        </w:tc>
        <w:tc>
          <w:tcPr>
            <w:tcW w:w="106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A6752B1" w14:textId="3DC0C7BF" w:rsidR="003C0EC2" w:rsidRPr="00C764FD" w:rsidRDefault="003C0EC2"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t> </w:t>
            </w:r>
            <w:r w:rsidR="00411E23" w:rsidRPr="00C764FD">
              <w:rPr>
                <w:rFonts w:ascii="Times New Roman" w:eastAsia="Times New Roman" w:hAnsi="Times New Roman" w:cs="Times New Roman"/>
                <w:color w:val="414142"/>
                <w:lang w:eastAsia="lv-LV"/>
              </w:rPr>
              <w:t>nav precīzi aprēķināms</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8DC116A" w14:textId="63BF3818" w:rsidR="003C0EC2" w:rsidRPr="00C764FD" w:rsidRDefault="003C0EC2"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t> </w:t>
            </w:r>
            <w:r w:rsidR="00411E23" w:rsidRPr="00C764FD">
              <w:rPr>
                <w:rFonts w:ascii="Times New Roman" w:eastAsia="Times New Roman" w:hAnsi="Times New Roman" w:cs="Times New Roman"/>
                <w:color w:val="414142"/>
                <w:lang w:eastAsia="lv-LV"/>
              </w:rPr>
              <w:t>nav precīzi aprēķināms</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D94E36E" w14:textId="683A8D65" w:rsidR="003C0EC2" w:rsidRPr="00C764FD" w:rsidRDefault="003C0EC2"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t> </w:t>
            </w:r>
            <w:r w:rsidR="00411E23" w:rsidRPr="00C764FD">
              <w:rPr>
                <w:rFonts w:ascii="Times New Roman" w:eastAsia="Times New Roman" w:hAnsi="Times New Roman" w:cs="Times New Roman"/>
                <w:color w:val="414142"/>
                <w:lang w:eastAsia="lv-LV"/>
              </w:rPr>
              <w:t>nav precīzi aprēķināms</w:t>
            </w:r>
          </w:p>
        </w:tc>
      </w:tr>
      <w:tr w:rsidR="00E0008B" w:rsidRPr="003C0EC2" w14:paraId="5B3603EE" w14:textId="77777777" w:rsidTr="00C764FD">
        <w:tblPrEx>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shd w:val="clear" w:color="auto" w:fill="FFFFFF"/>
          <w:tblCellMar>
            <w:top w:w="20" w:type="dxa"/>
            <w:left w:w="20" w:type="dxa"/>
            <w:bottom w:w="20" w:type="dxa"/>
            <w:right w:w="20" w:type="dxa"/>
          </w:tblCellMar>
        </w:tblPrEx>
        <w:tc>
          <w:tcPr>
            <w:tcW w:w="1574" w:type="dxa"/>
            <w:tcBorders>
              <w:top w:val="outset" w:sz="6" w:space="0" w:color="414142"/>
              <w:left w:val="outset" w:sz="6" w:space="0" w:color="414142"/>
              <w:bottom w:val="outset" w:sz="6" w:space="0" w:color="414142"/>
              <w:right w:val="outset" w:sz="6" w:space="0" w:color="414142"/>
            </w:tcBorders>
            <w:shd w:val="clear" w:color="auto" w:fill="FFFFFF"/>
            <w:hideMark/>
          </w:tcPr>
          <w:p w14:paraId="3EB2CB64" w14:textId="77777777" w:rsidR="003C0EC2" w:rsidRPr="00C764FD" w:rsidRDefault="003C0EC2" w:rsidP="003C0EC2">
            <w:pPr>
              <w:spacing w:after="0" w:line="240" w:lineRule="auto"/>
              <w:rPr>
                <w:rFonts w:ascii="Times New Roman" w:eastAsia="Times New Roman" w:hAnsi="Times New Roman" w:cs="Times New Roman"/>
                <w:color w:val="414142"/>
                <w:sz w:val="24"/>
                <w:szCs w:val="24"/>
                <w:lang w:eastAsia="lv-LV"/>
              </w:rPr>
            </w:pPr>
            <w:r w:rsidRPr="00C764FD">
              <w:rPr>
                <w:rFonts w:ascii="Times New Roman" w:eastAsia="Times New Roman" w:hAnsi="Times New Roman" w:cs="Times New Roman"/>
                <w:color w:val="414142"/>
                <w:sz w:val="24"/>
                <w:szCs w:val="24"/>
                <w:lang w:eastAsia="lv-LV"/>
              </w:rPr>
              <w:t>3.2. speciālais budžets</w:t>
            </w:r>
          </w:p>
        </w:tc>
        <w:tc>
          <w:tcPr>
            <w:tcW w:w="106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C319251" w14:textId="294F5B5F" w:rsidR="003C0EC2" w:rsidRPr="00C764FD" w:rsidRDefault="003C0EC2"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t> </w:t>
            </w:r>
            <w:r w:rsidR="00411E23" w:rsidRPr="00C764FD">
              <w:rPr>
                <w:rFonts w:ascii="Times New Roman" w:eastAsia="Times New Roman" w:hAnsi="Times New Roman" w:cs="Times New Roman"/>
                <w:color w:val="414142"/>
                <w:lang w:eastAsia="lv-LV"/>
              </w:rPr>
              <w:t>0</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4C72935" w14:textId="64711E3B" w:rsidR="003C0EC2" w:rsidRPr="00C764FD" w:rsidRDefault="003C0EC2"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t> </w:t>
            </w:r>
            <w:r w:rsidR="00411E23" w:rsidRPr="00C764FD">
              <w:rPr>
                <w:rFonts w:ascii="Times New Roman" w:eastAsia="Times New Roman" w:hAnsi="Times New Roman" w:cs="Times New Roman"/>
                <w:color w:val="414142"/>
                <w:lang w:eastAsia="lv-LV"/>
              </w:rPr>
              <w:t>0</w:t>
            </w:r>
          </w:p>
        </w:tc>
        <w:tc>
          <w:tcPr>
            <w:tcW w:w="106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784B2CB" w14:textId="62A1ABA7" w:rsidR="003C0EC2" w:rsidRPr="00C764FD" w:rsidRDefault="003C0EC2"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t> </w:t>
            </w:r>
            <w:r w:rsidR="00411E23" w:rsidRPr="00C764FD">
              <w:rPr>
                <w:rFonts w:ascii="Times New Roman" w:eastAsia="Times New Roman" w:hAnsi="Times New Roman" w:cs="Times New Roman"/>
                <w:color w:val="414142"/>
                <w:lang w:eastAsia="lv-LV"/>
              </w:rPr>
              <w:t>0</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8CBD5BD" w14:textId="6F4306EC" w:rsidR="003C0EC2" w:rsidRPr="00C764FD" w:rsidRDefault="003C0EC2"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t> </w:t>
            </w:r>
            <w:r w:rsidR="00411E23" w:rsidRPr="00C764FD">
              <w:rPr>
                <w:rFonts w:ascii="Times New Roman" w:eastAsia="Times New Roman" w:hAnsi="Times New Roman" w:cs="Times New Roman"/>
                <w:color w:val="414142"/>
                <w:lang w:eastAsia="lv-LV"/>
              </w:rPr>
              <w:t>0</w:t>
            </w:r>
          </w:p>
        </w:tc>
        <w:tc>
          <w:tcPr>
            <w:tcW w:w="106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ED36BC8" w14:textId="796D8318" w:rsidR="003C0EC2" w:rsidRPr="00C764FD" w:rsidRDefault="003C0EC2"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t> </w:t>
            </w:r>
            <w:r w:rsidR="00411E23" w:rsidRPr="00C764FD">
              <w:rPr>
                <w:rFonts w:ascii="Times New Roman" w:eastAsia="Times New Roman" w:hAnsi="Times New Roman" w:cs="Times New Roman"/>
                <w:color w:val="414142"/>
                <w:lang w:eastAsia="lv-LV"/>
              </w:rPr>
              <w:t>0</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FDAB35D" w14:textId="794B1731" w:rsidR="003C0EC2" w:rsidRPr="00C764FD" w:rsidRDefault="00411E23"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t>0</w:t>
            </w:r>
            <w:r w:rsidR="003C0EC2" w:rsidRPr="00C764FD">
              <w:rPr>
                <w:rFonts w:ascii="Times New Roman" w:eastAsia="Times New Roman" w:hAnsi="Times New Roman" w:cs="Times New Roman"/>
                <w:color w:val="414142"/>
                <w:lang w:eastAsia="lv-LV"/>
              </w:rPr>
              <w:t> </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4200394" w14:textId="50C5AD28" w:rsidR="003C0EC2" w:rsidRPr="00C764FD" w:rsidRDefault="00411E23"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t>0</w:t>
            </w:r>
            <w:r w:rsidR="003C0EC2" w:rsidRPr="00C764FD">
              <w:rPr>
                <w:rFonts w:ascii="Times New Roman" w:eastAsia="Times New Roman" w:hAnsi="Times New Roman" w:cs="Times New Roman"/>
                <w:color w:val="414142"/>
                <w:lang w:eastAsia="lv-LV"/>
              </w:rPr>
              <w:t> </w:t>
            </w:r>
          </w:p>
        </w:tc>
      </w:tr>
      <w:tr w:rsidR="00E0008B" w:rsidRPr="003C0EC2" w14:paraId="43F7F51D" w14:textId="77777777" w:rsidTr="00C764FD">
        <w:tblPrEx>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shd w:val="clear" w:color="auto" w:fill="FFFFFF"/>
          <w:tblCellMar>
            <w:top w:w="20" w:type="dxa"/>
            <w:left w:w="20" w:type="dxa"/>
            <w:bottom w:w="20" w:type="dxa"/>
            <w:right w:w="20" w:type="dxa"/>
          </w:tblCellMar>
        </w:tblPrEx>
        <w:tc>
          <w:tcPr>
            <w:tcW w:w="1574" w:type="dxa"/>
            <w:tcBorders>
              <w:top w:val="outset" w:sz="6" w:space="0" w:color="414142"/>
              <w:left w:val="outset" w:sz="6" w:space="0" w:color="414142"/>
              <w:bottom w:val="outset" w:sz="6" w:space="0" w:color="414142"/>
              <w:right w:val="outset" w:sz="6" w:space="0" w:color="414142"/>
            </w:tcBorders>
            <w:shd w:val="clear" w:color="auto" w:fill="FFFFFF"/>
            <w:hideMark/>
          </w:tcPr>
          <w:p w14:paraId="4241A005" w14:textId="77777777" w:rsidR="003C0EC2" w:rsidRPr="00C764FD" w:rsidRDefault="003C0EC2" w:rsidP="003C0EC2">
            <w:pPr>
              <w:spacing w:after="0" w:line="240" w:lineRule="auto"/>
              <w:rPr>
                <w:rFonts w:ascii="Times New Roman" w:eastAsia="Times New Roman" w:hAnsi="Times New Roman" w:cs="Times New Roman"/>
                <w:color w:val="414142"/>
                <w:sz w:val="24"/>
                <w:szCs w:val="24"/>
                <w:lang w:eastAsia="lv-LV"/>
              </w:rPr>
            </w:pPr>
            <w:r w:rsidRPr="00C764FD">
              <w:rPr>
                <w:rFonts w:ascii="Times New Roman" w:eastAsia="Times New Roman" w:hAnsi="Times New Roman" w:cs="Times New Roman"/>
                <w:color w:val="414142"/>
                <w:sz w:val="24"/>
                <w:szCs w:val="24"/>
                <w:lang w:eastAsia="lv-LV"/>
              </w:rPr>
              <w:t>3.3. pašvaldību budžets</w:t>
            </w:r>
          </w:p>
        </w:tc>
        <w:tc>
          <w:tcPr>
            <w:tcW w:w="106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AA4C27F" w14:textId="4A90C932" w:rsidR="003C0EC2" w:rsidRPr="00C764FD" w:rsidRDefault="003C0EC2"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t> </w:t>
            </w:r>
            <w:r w:rsidR="00411E23" w:rsidRPr="00C764FD">
              <w:rPr>
                <w:rFonts w:ascii="Times New Roman" w:eastAsia="Times New Roman" w:hAnsi="Times New Roman" w:cs="Times New Roman"/>
                <w:color w:val="414142"/>
                <w:lang w:eastAsia="lv-LV"/>
              </w:rPr>
              <w:t>0</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DC66471" w14:textId="2F83720F" w:rsidR="003C0EC2" w:rsidRPr="00C764FD" w:rsidRDefault="003C0EC2"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t> </w:t>
            </w:r>
            <w:r w:rsidR="00411E23" w:rsidRPr="00C764FD">
              <w:rPr>
                <w:rFonts w:ascii="Times New Roman" w:eastAsia="Times New Roman" w:hAnsi="Times New Roman" w:cs="Times New Roman"/>
                <w:color w:val="414142"/>
                <w:lang w:eastAsia="lv-LV"/>
              </w:rPr>
              <w:t>0</w:t>
            </w:r>
          </w:p>
        </w:tc>
        <w:tc>
          <w:tcPr>
            <w:tcW w:w="106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F0828E1" w14:textId="60BB7CB1" w:rsidR="003C0EC2" w:rsidRPr="00C764FD" w:rsidRDefault="003C0EC2"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t> </w:t>
            </w:r>
            <w:r w:rsidR="00411E23" w:rsidRPr="00C764FD">
              <w:rPr>
                <w:rFonts w:ascii="Times New Roman" w:eastAsia="Times New Roman" w:hAnsi="Times New Roman" w:cs="Times New Roman"/>
                <w:color w:val="414142"/>
                <w:lang w:eastAsia="lv-LV"/>
              </w:rPr>
              <w:t>0</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71513D0" w14:textId="13AB8AF0" w:rsidR="003C0EC2" w:rsidRPr="00C764FD" w:rsidRDefault="003C0EC2"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t> </w:t>
            </w:r>
            <w:r w:rsidR="00411E23" w:rsidRPr="00C764FD">
              <w:rPr>
                <w:rFonts w:ascii="Times New Roman" w:eastAsia="Times New Roman" w:hAnsi="Times New Roman" w:cs="Times New Roman"/>
                <w:color w:val="414142"/>
                <w:lang w:eastAsia="lv-LV"/>
              </w:rPr>
              <w:t>0</w:t>
            </w:r>
          </w:p>
        </w:tc>
        <w:tc>
          <w:tcPr>
            <w:tcW w:w="106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EA5BE65" w14:textId="36FDDD99" w:rsidR="003C0EC2" w:rsidRPr="00C764FD" w:rsidRDefault="003C0EC2"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t> </w:t>
            </w:r>
            <w:r w:rsidR="00411E23" w:rsidRPr="00C764FD">
              <w:rPr>
                <w:rFonts w:ascii="Times New Roman" w:eastAsia="Times New Roman" w:hAnsi="Times New Roman" w:cs="Times New Roman"/>
                <w:color w:val="414142"/>
                <w:lang w:eastAsia="lv-LV"/>
              </w:rPr>
              <w:t>0</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7860C7F" w14:textId="442B0A34" w:rsidR="003C0EC2" w:rsidRPr="00C764FD" w:rsidRDefault="003C0EC2"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t> </w:t>
            </w:r>
            <w:r w:rsidR="00411E23" w:rsidRPr="00C764FD">
              <w:rPr>
                <w:rFonts w:ascii="Times New Roman" w:eastAsia="Times New Roman" w:hAnsi="Times New Roman" w:cs="Times New Roman"/>
                <w:color w:val="414142"/>
                <w:lang w:eastAsia="lv-LV"/>
              </w:rPr>
              <w:t>0</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C9A3BE0" w14:textId="42333BA4" w:rsidR="003C0EC2" w:rsidRPr="00C764FD" w:rsidRDefault="003C0EC2"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t> </w:t>
            </w:r>
            <w:r w:rsidR="00411E23" w:rsidRPr="00C764FD">
              <w:rPr>
                <w:rFonts w:ascii="Times New Roman" w:eastAsia="Times New Roman" w:hAnsi="Times New Roman" w:cs="Times New Roman"/>
                <w:color w:val="414142"/>
                <w:lang w:eastAsia="lv-LV"/>
              </w:rPr>
              <w:t>0</w:t>
            </w:r>
          </w:p>
        </w:tc>
      </w:tr>
      <w:tr w:rsidR="00E0008B" w:rsidRPr="003C0EC2" w14:paraId="4A4713CD" w14:textId="77777777" w:rsidTr="00C764FD">
        <w:tblPrEx>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shd w:val="clear" w:color="auto" w:fill="FFFFFF"/>
          <w:tblCellMar>
            <w:top w:w="20" w:type="dxa"/>
            <w:left w:w="20" w:type="dxa"/>
            <w:bottom w:w="20" w:type="dxa"/>
            <w:right w:w="20" w:type="dxa"/>
          </w:tblCellMar>
        </w:tblPrEx>
        <w:tc>
          <w:tcPr>
            <w:tcW w:w="1574" w:type="dxa"/>
            <w:tcBorders>
              <w:top w:val="outset" w:sz="6" w:space="0" w:color="414142"/>
              <w:left w:val="outset" w:sz="6" w:space="0" w:color="414142"/>
              <w:bottom w:val="outset" w:sz="6" w:space="0" w:color="414142"/>
              <w:right w:val="outset" w:sz="6" w:space="0" w:color="414142"/>
            </w:tcBorders>
            <w:shd w:val="clear" w:color="auto" w:fill="FFFFFF"/>
            <w:hideMark/>
          </w:tcPr>
          <w:p w14:paraId="1A833360" w14:textId="77777777" w:rsidR="003C0EC2" w:rsidRPr="00C764FD" w:rsidRDefault="003C0EC2" w:rsidP="003C0EC2">
            <w:pPr>
              <w:spacing w:after="0" w:line="240" w:lineRule="auto"/>
              <w:rPr>
                <w:rFonts w:ascii="Times New Roman" w:eastAsia="Times New Roman" w:hAnsi="Times New Roman" w:cs="Times New Roman"/>
                <w:color w:val="414142"/>
                <w:sz w:val="24"/>
                <w:szCs w:val="24"/>
                <w:lang w:eastAsia="lv-LV"/>
              </w:rPr>
            </w:pPr>
            <w:r w:rsidRPr="00C764FD">
              <w:rPr>
                <w:rFonts w:ascii="Times New Roman" w:eastAsia="Times New Roman" w:hAnsi="Times New Roman" w:cs="Times New Roman"/>
                <w:color w:val="414142"/>
                <w:sz w:val="24"/>
                <w:szCs w:val="24"/>
                <w:lang w:eastAsia="lv-LV"/>
              </w:rPr>
              <w:t xml:space="preserve">4. Finanšu līdzekļi papildu izdevumu finansēšanai (kompensējošu izdevumu </w:t>
            </w:r>
            <w:r w:rsidRPr="00C764FD">
              <w:rPr>
                <w:rFonts w:ascii="Times New Roman" w:eastAsia="Times New Roman" w:hAnsi="Times New Roman" w:cs="Times New Roman"/>
                <w:color w:val="414142"/>
                <w:sz w:val="24"/>
                <w:szCs w:val="24"/>
                <w:lang w:eastAsia="lv-LV"/>
              </w:rPr>
              <w:lastRenderedPageBreak/>
              <w:t>samazinājumu norāda ar "+" zīmi)</w:t>
            </w:r>
          </w:p>
        </w:tc>
        <w:tc>
          <w:tcPr>
            <w:tcW w:w="106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656BB8C" w14:textId="4283D8BF" w:rsidR="003C0EC2" w:rsidRPr="00C764FD" w:rsidRDefault="00411E23"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lastRenderedPageBreak/>
              <w:t>0</w:t>
            </w:r>
            <w:r w:rsidR="003C0EC2" w:rsidRPr="00C764FD">
              <w:rPr>
                <w:rFonts w:ascii="Times New Roman" w:eastAsia="Times New Roman" w:hAnsi="Times New Roman" w:cs="Times New Roman"/>
                <w:color w:val="414142"/>
                <w:lang w:eastAsia="lv-LV"/>
              </w:rPr>
              <w:t> </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865C340" w14:textId="571EECE1" w:rsidR="003C0EC2" w:rsidRPr="00C764FD" w:rsidRDefault="003C0EC2"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t> </w:t>
            </w:r>
            <w:r w:rsidR="00411E23" w:rsidRPr="00C764FD">
              <w:rPr>
                <w:rFonts w:ascii="Times New Roman" w:eastAsia="Times New Roman" w:hAnsi="Times New Roman" w:cs="Times New Roman"/>
                <w:color w:val="414142"/>
                <w:lang w:eastAsia="lv-LV"/>
              </w:rPr>
              <w:t>0</w:t>
            </w:r>
          </w:p>
        </w:tc>
        <w:tc>
          <w:tcPr>
            <w:tcW w:w="106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3003C7A" w14:textId="5872573E" w:rsidR="003C0EC2" w:rsidRPr="00C764FD" w:rsidRDefault="003C0EC2"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t> </w:t>
            </w:r>
            <w:r w:rsidR="00411E23" w:rsidRPr="00C764FD">
              <w:rPr>
                <w:rFonts w:ascii="Times New Roman" w:eastAsia="Times New Roman" w:hAnsi="Times New Roman" w:cs="Times New Roman"/>
                <w:color w:val="414142"/>
                <w:lang w:eastAsia="lv-LV"/>
              </w:rPr>
              <w:t>0</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B1CE013" w14:textId="3589C7C1" w:rsidR="003C0EC2" w:rsidRPr="00C764FD" w:rsidRDefault="003C0EC2"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t> </w:t>
            </w:r>
            <w:r w:rsidR="00411E23" w:rsidRPr="00C764FD">
              <w:rPr>
                <w:rFonts w:ascii="Times New Roman" w:eastAsia="Times New Roman" w:hAnsi="Times New Roman" w:cs="Times New Roman"/>
                <w:color w:val="414142"/>
                <w:lang w:eastAsia="lv-LV"/>
              </w:rPr>
              <w:t>0</w:t>
            </w:r>
          </w:p>
        </w:tc>
        <w:tc>
          <w:tcPr>
            <w:tcW w:w="106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DCD04E2" w14:textId="01C115FA" w:rsidR="003C0EC2" w:rsidRPr="00C764FD" w:rsidRDefault="003C0EC2"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t> </w:t>
            </w:r>
            <w:r w:rsidR="00411E23" w:rsidRPr="00C764FD">
              <w:rPr>
                <w:rFonts w:ascii="Times New Roman" w:eastAsia="Times New Roman" w:hAnsi="Times New Roman" w:cs="Times New Roman"/>
                <w:color w:val="414142"/>
                <w:lang w:eastAsia="lv-LV"/>
              </w:rPr>
              <w:t>0</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D410CA0" w14:textId="6774C9A5" w:rsidR="003C0EC2" w:rsidRPr="00C764FD" w:rsidRDefault="003C0EC2"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t> </w:t>
            </w:r>
            <w:r w:rsidR="00411E23" w:rsidRPr="00C764FD">
              <w:rPr>
                <w:rFonts w:ascii="Times New Roman" w:eastAsia="Times New Roman" w:hAnsi="Times New Roman" w:cs="Times New Roman"/>
                <w:color w:val="414142"/>
                <w:lang w:eastAsia="lv-LV"/>
              </w:rPr>
              <w:t>0</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38E0449" w14:textId="0668B722" w:rsidR="003C0EC2" w:rsidRPr="00C764FD" w:rsidRDefault="003C0EC2"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t> </w:t>
            </w:r>
            <w:r w:rsidR="00411E23" w:rsidRPr="00C764FD">
              <w:rPr>
                <w:rFonts w:ascii="Times New Roman" w:eastAsia="Times New Roman" w:hAnsi="Times New Roman" w:cs="Times New Roman"/>
                <w:color w:val="414142"/>
                <w:lang w:eastAsia="lv-LV"/>
              </w:rPr>
              <w:t>0</w:t>
            </w:r>
          </w:p>
        </w:tc>
      </w:tr>
      <w:tr w:rsidR="00E0008B" w:rsidRPr="003C0EC2" w14:paraId="1F34B991" w14:textId="77777777" w:rsidTr="00C764FD">
        <w:tblPrEx>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shd w:val="clear" w:color="auto" w:fill="FFFFFF"/>
          <w:tblCellMar>
            <w:top w:w="20" w:type="dxa"/>
            <w:left w:w="20" w:type="dxa"/>
            <w:bottom w:w="20" w:type="dxa"/>
            <w:right w:w="20" w:type="dxa"/>
          </w:tblCellMar>
        </w:tblPrEx>
        <w:tc>
          <w:tcPr>
            <w:tcW w:w="1574" w:type="dxa"/>
            <w:tcBorders>
              <w:top w:val="outset" w:sz="6" w:space="0" w:color="414142"/>
              <w:left w:val="outset" w:sz="6" w:space="0" w:color="414142"/>
              <w:bottom w:val="outset" w:sz="6" w:space="0" w:color="414142"/>
              <w:right w:val="outset" w:sz="6" w:space="0" w:color="414142"/>
            </w:tcBorders>
            <w:shd w:val="clear" w:color="auto" w:fill="FFFFFF"/>
            <w:hideMark/>
          </w:tcPr>
          <w:p w14:paraId="23CF6A8E" w14:textId="77777777" w:rsidR="003C0EC2" w:rsidRPr="00C764FD" w:rsidRDefault="003C0EC2" w:rsidP="003C0EC2">
            <w:pPr>
              <w:spacing w:after="0" w:line="240" w:lineRule="auto"/>
              <w:rPr>
                <w:rFonts w:ascii="Times New Roman" w:eastAsia="Times New Roman" w:hAnsi="Times New Roman" w:cs="Times New Roman"/>
                <w:color w:val="414142"/>
                <w:sz w:val="24"/>
                <w:szCs w:val="24"/>
                <w:lang w:eastAsia="lv-LV"/>
              </w:rPr>
            </w:pPr>
            <w:r w:rsidRPr="00C764FD">
              <w:rPr>
                <w:rFonts w:ascii="Times New Roman" w:eastAsia="Times New Roman" w:hAnsi="Times New Roman" w:cs="Times New Roman"/>
                <w:color w:val="414142"/>
                <w:sz w:val="24"/>
                <w:szCs w:val="24"/>
                <w:lang w:eastAsia="lv-LV"/>
              </w:rPr>
              <w:t>5. Precizēta finansiālā ietekme</w:t>
            </w:r>
          </w:p>
        </w:tc>
        <w:tc>
          <w:tcPr>
            <w:tcW w:w="1065" w:type="dxa"/>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7377D36" w14:textId="77777777" w:rsidR="003C0EC2" w:rsidRPr="00C764FD" w:rsidRDefault="003C0EC2"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t> </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6CB603A" w14:textId="77777777" w:rsidR="003C0EC2" w:rsidRPr="00C764FD" w:rsidRDefault="003C0EC2"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t> </w:t>
            </w:r>
          </w:p>
        </w:tc>
        <w:tc>
          <w:tcPr>
            <w:tcW w:w="1065" w:type="dxa"/>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3376238" w14:textId="77777777" w:rsidR="003C0EC2" w:rsidRPr="00C764FD" w:rsidRDefault="003C0EC2"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t> </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EBFCD52" w14:textId="77777777" w:rsidR="003C0EC2" w:rsidRPr="00C764FD" w:rsidRDefault="003C0EC2"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t> </w:t>
            </w:r>
          </w:p>
        </w:tc>
        <w:tc>
          <w:tcPr>
            <w:tcW w:w="1065" w:type="dxa"/>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F34877F" w14:textId="77777777" w:rsidR="003C0EC2" w:rsidRPr="00C764FD" w:rsidRDefault="003C0EC2"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t> </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D3F02A1" w14:textId="77777777" w:rsidR="003C0EC2" w:rsidRPr="00C764FD" w:rsidRDefault="003C0EC2"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t> </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554BF1F" w14:textId="77777777" w:rsidR="003C0EC2" w:rsidRPr="00C764FD" w:rsidRDefault="003C0EC2"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t> </w:t>
            </w:r>
          </w:p>
        </w:tc>
      </w:tr>
      <w:tr w:rsidR="003C0EC2" w:rsidRPr="003C0EC2" w14:paraId="1E4F0E2D" w14:textId="77777777" w:rsidTr="00C764FD">
        <w:tblPrEx>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shd w:val="clear" w:color="auto" w:fill="FFFFFF"/>
          <w:tblCellMar>
            <w:top w:w="20" w:type="dxa"/>
            <w:left w:w="20" w:type="dxa"/>
            <w:bottom w:w="20" w:type="dxa"/>
            <w:right w:w="20" w:type="dxa"/>
          </w:tblCellMar>
        </w:tblPrEx>
        <w:tc>
          <w:tcPr>
            <w:tcW w:w="1574" w:type="dxa"/>
            <w:tcBorders>
              <w:top w:val="outset" w:sz="6" w:space="0" w:color="414142"/>
              <w:left w:val="outset" w:sz="6" w:space="0" w:color="414142"/>
              <w:bottom w:val="outset" w:sz="6" w:space="0" w:color="414142"/>
              <w:right w:val="outset" w:sz="6" w:space="0" w:color="414142"/>
            </w:tcBorders>
            <w:shd w:val="clear" w:color="auto" w:fill="FFFFFF"/>
            <w:hideMark/>
          </w:tcPr>
          <w:p w14:paraId="44BFB715" w14:textId="77777777" w:rsidR="003C0EC2" w:rsidRPr="00C764FD" w:rsidRDefault="003C0EC2" w:rsidP="003C0EC2">
            <w:pPr>
              <w:spacing w:after="0" w:line="240" w:lineRule="auto"/>
              <w:rPr>
                <w:rFonts w:ascii="Times New Roman" w:eastAsia="Times New Roman" w:hAnsi="Times New Roman" w:cs="Times New Roman"/>
                <w:color w:val="414142"/>
                <w:sz w:val="24"/>
                <w:szCs w:val="24"/>
                <w:lang w:eastAsia="lv-LV"/>
              </w:rPr>
            </w:pPr>
            <w:r w:rsidRPr="00C764FD">
              <w:rPr>
                <w:rFonts w:ascii="Times New Roman" w:eastAsia="Times New Roman" w:hAnsi="Times New Roman" w:cs="Times New Roman"/>
                <w:color w:val="414142"/>
                <w:sz w:val="24"/>
                <w:szCs w:val="24"/>
                <w:lang w:eastAsia="lv-LV"/>
              </w:rPr>
              <w:t>5.1. valsts pamatbudžets</w:t>
            </w:r>
          </w:p>
        </w:tc>
        <w:tc>
          <w:tcPr>
            <w:tcW w:w="1065" w:type="dxa"/>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9DF7E71" w14:textId="77777777" w:rsidR="003C0EC2" w:rsidRPr="00C764FD" w:rsidRDefault="003C0EC2" w:rsidP="003C0EC2">
            <w:pPr>
              <w:spacing w:after="0" w:line="240" w:lineRule="auto"/>
              <w:rPr>
                <w:rFonts w:ascii="Times New Roman" w:eastAsia="Times New Roman" w:hAnsi="Times New Roman" w:cs="Times New Roman"/>
                <w:color w:val="414142"/>
                <w:lang w:eastAsia="lv-LV"/>
              </w:rPr>
            </w:pP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E027869" w14:textId="2747AF64" w:rsidR="003C0EC2" w:rsidRPr="00C764FD" w:rsidRDefault="003C0EC2"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t> </w:t>
            </w:r>
            <w:r w:rsidR="00411E23" w:rsidRPr="00C764FD">
              <w:rPr>
                <w:rFonts w:ascii="Times New Roman" w:eastAsia="Times New Roman" w:hAnsi="Times New Roman" w:cs="Times New Roman"/>
                <w:color w:val="414142"/>
                <w:lang w:eastAsia="lv-LV"/>
              </w:rPr>
              <w:t>nav precīzi aprēķināms</w:t>
            </w:r>
          </w:p>
        </w:tc>
        <w:tc>
          <w:tcPr>
            <w:tcW w:w="1065" w:type="dxa"/>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FD2394D" w14:textId="77777777" w:rsidR="003C0EC2" w:rsidRPr="00C764FD" w:rsidRDefault="003C0EC2" w:rsidP="003C0EC2">
            <w:pPr>
              <w:spacing w:after="0" w:line="240" w:lineRule="auto"/>
              <w:rPr>
                <w:rFonts w:ascii="Times New Roman" w:eastAsia="Times New Roman" w:hAnsi="Times New Roman" w:cs="Times New Roman"/>
                <w:color w:val="414142"/>
                <w:lang w:eastAsia="lv-LV"/>
              </w:rPr>
            </w:pP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EECFAB0" w14:textId="0B7086ED" w:rsidR="003C0EC2" w:rsidRPr="00C764FD" w:rsidRDefault="003C0EC2"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t> </w:t>
            </w:r>
            <w:r w:rsidR="00411E23" w:rsidRPr="00C764FD">
              <w:rPr>
                <w:rFonts w:ascii="Times New Roman" w:eastAsia="Times New Roman" w:hAnsi="Times New Roman" w:cs="Times New Roman"/>
                <w:color w:val="414142"/>
                <w:lang w:eastAsia="lv-LV"/>
              </w:rPr>
              <w:t>nav precīzi aprēķināms</w:t>
            </w:r>
          </w:p>
        </w:tc>
        <w:tc>
          <w:tcPr>
            <w:tcW w:w="1065" w:type="dxa"/>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45A2939" w14:textId="77777777" w:rsidR="003C0EC2" w:rsidRPr="00C764FD" w:rsidRDefault="003C0EC2" w:rsidP="003C0EC2">
            <w:pPr>
              <w:spacing w:after="0" w:line="240" w:lineRule="auto"/>
              <w:rPr>
                <w:rFonts w:ascii="Times New Roman" w:eastAsia="Times New Roman" w:hAnsi="Times New Roman" w:cs="Times New Roman"/>
                <w:color w:val="414142"/>
                <w:lang w:eastAsia="lv-LV"/>
              </w:rPr>
            </w:pP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1EC5024" w14:textId="34923019" w:rsidR="003C0EC2" w:rsidRPr="00C764FD" w:rsidRDefault="003C0EC2"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t> </w:t>
            </w:r>
            <w:r w:rsidR="00411E23" w:rsidRPr="00C764FD">
              <w:rPr>
                <w:rFonts w:ascii="Times New Roman" w:eastAsia="Times New Roman" w:hAnsi="Times New Roman" w:cs="Times New Roman"/>
                <w:color w:val="414142"/>
                <w:lang w:eastAsia="lv-LV"/>
              </w:rPr>
              <w:t>nav precīzi aprēķināms</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1CB4626" w14:textId="385B551D" w:rsidR="003C0EC2" w:rsidRPr="00C764FD" w:rsidRDefault="003C0EC2"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t> </w:t>
            </w:r>
            <w:r w:rsidR="00411E23" w:rsidRPr="00C764FD">
              <w:rPr>
                <w:rFonts w:ascii="Times New Roman" w:eastAsia="Times New Roman" w:hAnsi="Times New Roman" w:cs="Times New Roman"/>
                <w:color w:val="414142"/>
                <w:lang w:eastAsia="lv-LV"/>
              </w:rPr>
              <w:t>nav precīzi aprēķināms</w:t>
            </w:r>
          </w:p>
        </w:tc>
      </w:tr>
      <w:tr w:rsidR="003C0EC2" w:rsidRPr="003C0EC2" w14:paraId="57388D60" w14:textId="77777777" w:rsidTr="00C764FD">
        <w:tblPrEx>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shd w:val="clear" w:color="auto" w:fill="FFFFFF"/>
          <w:tblCellMar>
            <w:top w:w="20" w:type="dxa"/>
            <w:left w:w="20" w:type="dxa"/>
            <w:bottom w:w="20" w:type="dxa"/>
            <w:right w:w="20" w:type="dxa"/>
          </w:tblCellMar>
        </w:tblPrEx>
        <w:tc>
          <w:tcPr>
            <w:tcW w:w="1574" w:type="dxa"/>
            <w:tcBorders>
              <w:top w:val="outset" w:sz="6" w:space="0" w:color="414142"/>
              <w:left w:val="outset" w:sz="6" w:space="0" w:color="414142"/>
              <w:bottom w:val="outset" w:sz="6" w:space="0" w:color="414142"/>
              <w:right w:val="outset" w:sz="6" w:space="0" w:color="414142"/>
            </w:tcBorders>
            <w:shd w:val="clear" w:color="auto" w:fill="FFFFFF"/>
            <w:hideMark/>
          </w:tcPr>
          <w:p w14:paraId="59DF9D40" w14:textId="77777777" w:rsidR="003C0EC2" w:rsidRPr="00C764FD" w:rsidRDefault="003C0EC2" w:rsidP="003C0EC2">
            <w:pPr>
              <w:spacing w:after="0" w:line="240" w:lineRule="auto"/>
              <w:rPr>
                <w:rFonts w:ascii="Times New Roman" w:eastAsia="Times New Roman" w:hAnsi="Times New Roman" w:cs="Times New Roman"/>
                <w:color w:val="414142"/>
                <w:sz w:val="24"/>
                <w:szCs w:val="24"/>
                <w:lang w:eastAsia="lv-LV"/>
              </w:rPr>
            </w:pPr>
            <w:r w:rsidRPr="00C764FD">
              <w:rPr>
                <w:rFonts w:ascii="Times New Roman" w:eastAsia="Times New Roman" w:hAnsi="Times New Roman" w:cs="Times New Roman"/>
                <w:color w:val="414142"/>
                <w:sz w:val="24"/>
                <w:szCs w:val="24"/>
                <w:lang w:eastAsia="lv-LV"/>
              </w:rPr>
              <w:t>5.2. speciālais budžets</w:t>
            </w:r>
          </w:p>
        </w:tc>
        <w:tc>
          <w:tcPr>
            <w:tcW w:w="1065" w:type="dxa"/>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2A09656" w14:textId="77777777" w:rsidR="003C0EC2" w:rsidRPr="00C764FD" w:rsidRDefault="003C0EC2" w:rsidP="003C0EC2">
            <w:pPr>
              <w:spacing w:after="0" w:line="240" w:lineRule="auto"/>
              <w:rPr>
                <w:rFonts w:ascii="Times New Roman" w:eastAsia="Times New Roman" w:hAnsi="Times New Roman" w:cs="Times New Roman"/>
                <w:color w:val="414142"/>
                <w:lang w:eastAsia="lv-LV"/>
              </w:rPr>
            </w:pP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5B44546" w14:textId="04204894" w:rsidR="003C0EC2" w:rsidRPr="00C764FD" w:rsidRDefault="003C0EC2"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t> </w:t>
            </w:r>
            <w:r w:rsidR="00411E23" w:rsidRPr="00C764FD">
              <w:rPr>
                <w:rFonts w:ascii="Times New Roman" w:eastAsia="Times New Roman" w:hAnsi="Times New Roman" w:cs="Times New Roman"/>
                <w:color w:val="414142"/>
                <w:lang w:eastAsia="lv-LV"/>
              </w:rPr>
              <w:t>0</w:t>
            </w:r>
          </w:p>
        </w:tc>
        <w:tc>
          <w:tcPr>
            <w:tcW w:w="1065" w:type="dxa"/>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FD254CA" w14:textId="77777777" w:rsidR="003C0EC2" w:rsidRPr="00C764FD" w:rsidRDefault="003C0EC2" w:rsidP="003C0EC2">
            <w:pPr>
              <w:spacing w:after="0" w:line="240" w:lineRule="auto"/>
              <w:rPr>
                <w:rFonts w:ascii="Times New Roman" w:eastAsia="Times New Roman" w:hAnsi="Times New Roman" w:cs="Times New Roman"/>
                <w:color w:val="414142"/>
                <w:lang w:eastAsia="lv-LV"/>
              </w:rPr>
            </w:pP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30B925E" w14:textId="747D6467" w:rsidR="003C0EC2" w:rsidRPr="00C764FD" w:rsidRDefault="003C0EC2"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t> </w:t>
            </w:r>
            <w:r w:rsidR="00411E23" w:rsidRPr="00C764FD">
              <w:rPr>
                <w:rFonts w:ascii="Times New Roman" w:eastAsia="Times New Roman" w:hAnsi="Times New Roman" w:cs="Times New Roman"/>
                <w:color w:val="414142"/>
                <w:lang w:eastAsia="lv-LV"/>
              </w:rPr>
              <w:t>0</w:t>
            </w:r>
          </w:p>
        </w:tc>
        <w:tc>
          <w:tcPr>
            <w:tcW w:w="1065" w:type="dxa"/>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DFAD07A" w14:textId="77777777" w:rsidR="003C0EC2" w:rsidRPr="00C764FD" w:rsidRDefault="003C0EC2" w:rsidP="003C0EC2">
            <w:pPr>
              <w:spacing w:after="0" w:line="240" w:lineRule="auto"/>
              <w:rPr>
                <w:rFonts w:ascii="Times New Roman" w:eastAsia="Times New Roman" w:hAnsi="Times New Roman" w:cs="Times New Roman"/>
                <w:color w:val="414142"/>
                <w:lang w:eastAsia="lv-LV"/>
              </w:rPr>
            </w:pP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A1CB83B" w14:textId="51F29FD1" w:rsidR="003C0EC2" w:rsidRPr="00C764FD" w:rsidRDefault="003C0EC2"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t> </w:t>
            </w:r>
            <w:r w:rsidR="00411E23" w:rsidRPr="00C764FD">
              <w:rPr>
                <w:rFonts w:ascii="Times New Roman" w:eastAsia="Times New Roman" w:hAnsi="Times New Roman" w:cs="Times New Roman"/>
                <w:color w:val="414142"/>
                <w:lang w:eastAsia="lv-LV"/>
              </w:rPr>
              <w:t>0</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AD48D2B" w14:textId="20B0446C" w:rsidR="003C0EC2" w:rsidRPr="00C764FD" w:rsidRDefault="003C0EC2"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t> </w:t>
            </w:r>
            <w:r w:rsidR="00411E23" w:rsidRPr="00C764FD">
              <w:rPr>
                <w:rFonts w:ascii="Times New Roman" w:eastAsia="Times New Roman" w:hAnsi="Times New Roman" w:cs="Times New Roman"/>
                <w:color w:val="414142"/>
                <w:lang w:eastAsia="lv-LV"/>
              </w:rPr>
              <w:t>0</w:t>
            </w:r>
          </w:p>
        </w:tc>
      </w:tr>
      <w:tr w:rsidR="003C0EC2" w:rsidRPr="003C0EC2" w14:paraId="0537826B" w14:textId="77777777" w:rsidTr="00C764FD">
        <w:tblPrEx>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shd w:val="clear" w:color="auto" w:fill="FFFFFF"/>
          <w:tblCellMar>
            <w:top w:w="20" w:type="dxa"/>
            <w:left w:w="20" w:type="dxa"/>
            <w:bottom w:w="20" w:type="dxa"/>
            <w:right w:w="20" w:type="dxa"/>
          </w:tblCellMar>
        </w:tblPrEx>
        <w:tc>
          <w:tcPr>
            <w:tcW w:w="1574" w:type="dxa"/>
            <w:tcBorders>
              <w:top w:val="outset" w:sz="6" w:space="0" w:color="414142"/>
              <w:left w:val="outset" w:sz="6" w:space="0" w:color="414142"/>
              <w:bottom w:val="outset" w:sz="6" w:space="0" w:color="414142"/>
              <w:right w:val="outset" w:sz="6" w:space="0" w:color="414142"/>
            </w:tcBorders>
            <w:shd w:val="clear" w:color="auto" w:fill="FFFFFF"/>
            <w:hideMark/>
          </w:tcPr>
          <w:p w14:paraId="2F948527" w14:textId="77777777" w:rsidR="003C0EC2" w:rsidRPr="00C764FD" w:rsidRDefault="003C0EC2" w:rsidP="003C0EC2">
            <w:pPr>
              <w:spacing w:after="0" w:line="240" w:lineRule="auto"/>
              <w:rPr>
                <w:rFonts w:ascii="Times New Roman" w:eastAsia="Times New Roman" w:hAnsi="Times New Roman" w:cs="Times New Roman"/>
                <w:color w:val="414142"/>
                <w:sz w:val="24"/>
                <w:szCs w:val="24"/>
                <w:lang w:eastAsia="lv-LV"/>
              </w:rPr>
            </w:pPr>
            <w:r w:rsidRPr="00C764FD">
              <w:rPr>
                <w:rFonts w:ascii="Times New Roman" w:eastAsia="Times New Roman" w:hAnsi="Times New Roman" w:cs="Times New Roman"/>
                <w:color w:val="414142"/>
                <w:sz w:val="24"/>
                <w:szCs w:val="24"/>
                <w:lang w:eastAsia="lv-LV"/>
              </w:rPr>
              <w:t>5.3. pašvaldību budžets</w:t>
            </w:r>
          </w:p>
        </w:tc>
        <w:tc>
          <w:tcPr>
            <w:tcW w:w="1065" w:type="dxa"/>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FC4E482" w14:textId="77777777" w:rsidR="003C0EC2" w:rsidRPr="00C764FD" w:rsidRDefault="003C0EC2" w:rsidP="003C0EC2">
            <w:pPr>
              <w:spacing w:after="0" w:line="240" w:lineRule="auto"/>
              <w:rPr>
                <w:rFonts w:ascii="Times New Roman" w:eastAsia="Times New Roman" w:hAnsi="Times New Roman" w:cs="Times New Roman"/>
                <w:color w:val="414142"/>
                <w:lang w:eastAsia="lv-LV"/>
              </w:rPr>
            </w:pP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F7F4A08" w14:textId="658D008C" w:rsidR="003C0EC2" w:rsidRPr="00C764FD" w:rsidRDefault="003C0EC2"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t> </w:t>
            </w:r>
            <w:r w:rsidR="00411E23" w:rsidRPr="00C764FD">
              <w:rPr>
                <w:rFonts w:ascii="Times New Roman" w:eastAsia="Times New Roman" w:hAnsi="Times New Roman" w:cs="Times New Roman"/>
                <w:color w:val="414142"/>
                <w:lang w:eastAsia="lv-LV"/>
              </w:rPr>
              <w:t>0</w:t>
            </w:r>
          </w:p>
        </w:tc>
        <w:tc>
          <w:tcPr>
            <w:tcW w:w="1065" w:type="dxa"/>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1480A06" w14:textId="77777777" w:rsidR="003C0EC2" w:rsidRPr="00C764FD" w:rsidRDefault="003C0EC2" w:rsidP="003C0EC2">
            <w:pPr>
              <w:spacing w:after="0" w:line="240" w:lineRule="auto"/>
              <w:rPr>
                <w:rFonts w:ascii="Times New Roman" w:eastAsia="Times New Roman" w:hAnsi="Times New Roman" w:cs="Times New Roman"/>
                <w:color w:val="414142"/>
                <w:lang w:eastAsia="lv-LV"/>
              </w:rPr>
            </w:pP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3B5380F" w14:textId="0981C1C0" w:rsidR="003C0EC2" w:rsidRPr="00C764FD" w:rsidRDefault="003C0EC2"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t> </w:t>
            </w:r>
            <w:r w:rsidR="00411E23" w:rsidRPr="00C764FD">
              <w:rPr>
                <w:rFonts w:ascii="Times New Roman" w:eastAsia="Times New Roman" w:hAnsi="Times New Roman" w:cs="Times New Roman"/>
                <w:color w:val="414142"/>
                <w:lang w:eastAsia="lv-LV"/>
              </w:rPr>
              <w:t>0</w:t>
            </w:r>
          </w:p>
        </w:tc>
        <w:tc>
          <w:tcPr>
            <w:tcW w:w="1065" w:type="dxa"/>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A3473EA" w14:textId="77777777" w:rsidR="003C0EC2" w:rsidRPr="00C764FD" w:rsidRDefault="003C0EC2" w:rsidP="003C0EC2">
            <w:pPr>
              <w:spacing w:after="0" w:line="240" w:lineRule="auto"/>
              <w:rPr>
                <w:rFonts w:ascii="Times New Roman" w:eastAsia="Times New Roman" w:hAnsi="Times New Roman" w:cs="Times New Roman"/>
                <w:color w:val="414142"/>
                <w:lang w:eastAsia="lv-LV"/>
              </w:rPr>
            </w:pP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94F9C7D" w14:textId="63E9F030" w:rsidR="003C0EC2" w:rsidRPr="00C764FD" w:rsidRDefault="003C0EC2"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t> </w:t>
            </w:r>
            <w:r w:rsidR="00411E23" w:rsidRPr="00C764FD">
              <w:rPr>
                <w:rFonts w:ascii="Times New Roman" w:eastAsia="Times New Roman" w:hAnsi="Times New Roman" w:cs="Times New Roman"/>
                <w:color w:val="414142"/>
                <w:lang w:eastAsia="lv-LV"/>
              </w:rPr>
              <w:t>0</w:t>
            </w:r>
          </w:p>
        </w:tc>
        <w:tc>
          <w:tcPr>
            <w:tcW w:w="1073"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E33685D" w14:textId="253D94B0" w:rsidR="003C0EC2" w:rsidRPr="00C764FD" w:rsidRDefault="003C0EC2"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t> </w:t>
            </w:r>
            <w:r w:rsidR="00411E23" w:rsidRPr="00C764FD">
              <w:rPr>
                <w:rFonts w:ascii="Times New Roman" w:eastAsia="Times New Roman" w:hAnsi="Times New Roman" w:cs="Times New Roman"/>
                <w:color w:val="414142"/>
                <w:lang w:eastAsia="lv-LV"/>
              </w:rPr>
              <w:t>0</w:t>
            </w:r>
          </w:p>
        </w:tc>
      </w:tr>
      <w:tr w:rsidR="00E0008B" w:rsidRPr="003C0EC2" w14:paraId="43647A90" w14:textId="77777777" w:rsidTr="00C764FD">
        <w:tblPrEx>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shd w:val="clear" w:color="auto" w:fill="FFFFFF"/>
          <w:tblCellMar>
            <w:top w:w="20" w:type="dxa"/>
            <w:left w:w="20" w:type="dxa"/>
            <w:bottom w:w="20" w:type="dxa"/>
            <w:right w:w="20" w:type="dxa"/>
          </w:tblCellMar>
        </w:tblPrEx>
        <w:tc>
          <w:tcPr>
            <w:tcW w:w="1574" w:type="dxa"/>
            <w:tcBorders>
              <w:top w:val="outset" w:sz="6" w:space="0" w:color="414142"/>
              <w:left w:val="outset" w:sz="6" w:space="0" w:color="414142"/>
              <w:bottom w:val="outset" w:sz="6" w:space="0" w:color="414142"/>
              <w:right w:val="outset" w:sz="6" w:space="0" w:color="414142"/>
            </w:tcBorders>
            <w:shd w:val="clear" w:color="auto" w:fill="FFFFFF"/>
            <w:hideMark/>
          </w:tcPr>
          <w:p w14:paraId="3D92F30D" w14:textId="77777777" w:rsidR="003C0EC2" w:rsidRPr="00C764FD" w:rsidRDefault="003C0EC2" w:rsidP="003C0EC2">
            <w:pPr>
              <w:spacing w:after="0" w:line="240" w:lineRule="auto"/>
              <w:rPr>
                <w:rFonts w:ascii="Times New Roman" w:eastAsia="Times New Roman" w:hAnsi="Times New Roman" w:cs="Times New Roman"/>
                <w:color w:val="414142"/>
                <w:sz w:val="24"/>
                <w:szCs w:val="24"/>
                <w:lang w:eastAsia="lv-LV"/>
              </w:rPr>
            </w:pPr>
            <w:r w:rsidRPr="00C764FD">
              <w:rPr>
                <w:rFonts w:ascii="Times New Roman" w:eastAsia="Times New Roman" w:hAnsi="Times New Roman" w:cs="Times New Roman"/>
                <w:color w:val="414142"/>
                <w:sz w:val="24"/>
                <w:szCs w:val="24"/>
                <w:lang w:eastAsia="lv-LV"/>
              </w:rPr>
              <w:t>6. Detalizēts ieņēmumu un izdevumu aprēķins (ja nepieciešams, detalizētu ieņēmumu un izdevumu aprēķinu var pievienot anotācijas pielikumā)</w:t>
            </w:r>
          </w:p>
        </w:tc>
        <w:tc>
          <w:tcPr>
            <w:tcW w:w="7487" w:type="dxa"/>
            <w:gridSpan w:val="7"/>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9830BB2" w14:textId="14EBD777" w:rsidR="003C0EC2" w:rsidRPr="00C764FD" w:rsidRDefault="003C0EC2" w:rsidP="003C0EC2">
            <w:pPr>
              <w:spacing w:after="0" w:line="240" w:lineRule="auto"/>
              <w:rPr>
                <w:rFonts w:ascii="Times New Roman" w:eastAsia="Times New Roman" w:hAnsi="Times New Roman" w:cs="Times New Roman"/>
                <w:color w:val="414142"/>
                <w:lang w:eastAsia="lv-LV"/>
              </w:rPr>
            </w:pPr>
            <w:r w:rsidRPr="00C764FD">
              <w:rPr>
                <w:rFonts w:ascii="Times New Roman" w:eastAsia="Times New Roman" w:hAnsi="Times New Roman" w:cs="Times New Roman"/>
                <w:color w:val="414142"/>
                <w:lang w:eastAsia="lv-LV"/>
              </w:rPr>
              <w:t> </w:t>
            </w:r>
            <w:r w:rsidR="00411E23" w:rsidRPr="00C764FD">
              <w:rPr>
                <w:rFonts w:ascii="Times New Roman" w:eastAsia="Times New Roman" w:hAnsi="Times New Roman" w:cs="Times New Roman"/>
                <w:color w:val="414142"/>
                <w:lang w:eastAsia="lv-LV"/>
              </w:rPr>
              <w:t>nav precīzi aprēķināms</w:t>
            </w:r>
          </w:p>
        </w:tc>
      </w:tr>
      <w:tr w:rsidR="00E0008B" w:rsidRPr="003C0EC2" w14:paraId="633DE184" w14:textId="77777777" w:rsidTr="00C764FD">
        <w:tblPrEx>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shd w:val="clear" w:color="auto" w:fill="FFFFFF"/>
          <w:tblCellMar>
            <w:top w:w="20" w:type="dxa"/>
            <w:left w:w="20" w:type="dxa"/>
            <w:bottom w:w="20" w:type="dxa"/>
            <w:right w:w="20" w:type="dxa"/>
          </w:tblCellMar>
        </w:tblPrEx>
        <w:tc>
          <w:tcPr>
            <w:tcW w:w="1574" w:type="dxa"/>
            <w:tcBorders>
              <w:top w:val="outset" w:sz="6" w:space="0" w:color="414142"/>
              <w:left w:val="outset" w:sz="6" w:space="0" w:color="414142"/>
              <w:bottom w:val="outset" w:sz="6" w:space="0" w:color="414142"/>
              <w:right w:val="outset" w:sz="6" w:space="0" w:color="414142"/>
            </w:tcBorders>
            <w:shd w:val="clear" w:color="auto" w:fill="FFFFFF"/>
            <w:hideMark/>
          </w:tcPr>
          <w:p w14:paraId="00BECA6C" w14:textId="77777777" w:rsidR="003C0EC2" w:rsidRPr="00C764FD" w:rsidRDefault="003C0EC2" w:rsidP="003C0EC2">
            <w:pPr>
              <w:spacing w:after="0" w:line="240" w:lineRule="auto"/>
              <w:rPr>
                <w:rFonts w:ascii="Times New Roman" w:eastAsia="Times New Roman" w:hAnsi="Times New Roman" w:cs="Times New Roman"/>
                <w:color w:val="414142"/>
                <w:sz w:val="24"/>
                <w:szCs w:val="24"/>
                <w:lang w:eastAsia="lv-LV"/>
              </w:rPr>
            </w:pPr>
            <w:r w:rsidRPr="00C764FD">
              <w:rPr>
                <w:rFonts w:ascii="Times New Roman" w:eastAsia="Times New Roman" w:hAnsi="Times New Roman" w:cs="Times New Roman"/>
                <w:color w:val="414142"/>
                <w:sz w:val="24"/>
                <w:szCs w:val="24"/>
                <w:lang w:eastAsia="lv-LV"/>
              </w:rPr>
              <w:t>6.1. detalizēts ieņēmumu aprēķins</w:t>
            </w:r>
          </w:p>
        </w:tc>
        <w:tc>
          <w:tcPr>
            <w:tcW w:w="7487" w:type="dxa"/>
            <w:gridSpan w:val="7"/>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2683820" w14:textId="77777777" w:rsidR="003C0EC2" w:rsidRPr="00C764FD" w:rsidRDefault="003C0EC2" w:rsidP="003C0EC2">
            <w:pPr>
              <w:spacing w:after="0" w:line="240" w:lineRule="auto"/>
              <w:rPr>
                <w:rFonts w:ascii="Times New Roman" w:eastAsia="Times New Roman" w:hAnsi="Times New Roman" w:cs="Times New Roman"/>
                <w:color w:val="414142"/>
                <w:lang w:eastAsia="lv-LV"/>
              </w:rPr>
            </w:pPr>
          </w:p>
        </w:tc>
      </w:tr>
      <w:tr w:rsidR="00E0008B" w:rsidRPr="003C0EC2" w14:paraId="02863973" w14:textId="77777777" w:rsidTr="00C764FD">
        <w:tblPrEx>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shd w:val="clear" w:color="auto" w:fill="FFFFFF"/>
          <w:tblCellMar>
            <w:top w:w="20" w:type="dxa"/>
            <w:left w:w="20" w:type="dxa"/>
            <w:bottom w:w="20" w:type="dxa"/>
            <w:right w:w="20" w:type="dxa"/>
          </w:tblCellMar>
        </w:tblPrEx>
        <w:tc>
          <w:tcPr>
            <w:tcW w:w="1574" w:type="dxa"/>
            <w:tcBorders>
              <w:top w:val="outset" w:sz="6" w:space="0" w:color="414142"/>
              <w:left w:val="outset" w:sz="6" w:space="0" w:color="414142"/>
              <w:bottom w:val="outset" w:sz="6" w:space="0" w:color="414142"/>
              <w:right w:val="outset" w:sz="6" w:space="0" w:color="414142"/>
            </w:tcBorders>
            <w:shd w:val="clear" w:color="auto" w:fill="FFFFFF"/>
            <w:hideMark/>
          </w:tcPr>
          <w:p w14:paraId="58016BA4" w14:textId="77777777" w:rsidR="003C0EC2" w:rsidRPr="00C764FD" w:rsidRDefault="003C0EC2" w:rsidP="003C0EC2">
            <w:pPr>
              <w:spacing w:after="0" w:line="240" w:lineRule="auto"/>
              <w:rPr>
                <w:rFonts w:ascii="Times New Roman" w:eastAsia="Times New Roman" w:hAnsi="Times New Roman" w:cs="Times New Roman"/>
                <w:color w:val="414142"/>
                <w:sz w:val="24"/>
                <w:szCs w:val="24"/>
                <w:lang w:eastAsia="lv-LV"/>
              </w:rPr>
            </w:pPr>
            <w:r w:rsidRPr="00C764FD">
              <w:rPr>
                <w:rFonts w:ascii="Times New Roman" w:eastAsia="Times New Roman" w:hAnsi="Times New Roman" w:cs="Times New Roman"/>
                <w:color w:val="414142"/>
                <w:sz w:val="24"/>
                <w:szCs w:val="24"/>
                <w:lang w:eastAsia="lv-LV"/>
              </w:rPr>
              <w:t>6.2. detalizēts izdevumu aprēķins</w:t>
            </w:r>
          </w:p>
        </w:tc>
        <w:tc>
          <w:tcPr>
            <w:tcW w:w="7487" w:type="dxa"/>
            <w:gridSpan w:val="7"/>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98B5D47" w14:textId="77777777" w:rsidR="003C0EC2" w:rsidRPr="00C764FD" w:rsidRDefault="003C0EC2" w:rsidP="003C0EC2">
            <w:pPr>
              <w:spacing w:after="0" w:line="240" w:lineRule="auto"/>
              <w:rPr>
                <w:rFonts w:ascii="Times New Roman" w:eastAsia="Times New Roman" w:hAnsi="Times New Roman" w:cs="Times New Roman"/>
                <w:color w:val="414142"/>
                <w:lang w:eastAsia="lv-LV"/>
              </w:rPr>
            </w:pPr>
          </w:p>
        </w:tc>
      </w:tr>
      <w:tr w:rsidR="00E0008B" w:rsidRPr="003C0EC2" w14:paraId="550A2014" w14:textId="77777777" w:rsidTr="00C764FD">
        <w:tblPrEx>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shd w:val="clear" w:color="auto" w:fill="FFFFFF"/>
          <w:tblCellMar>
            <w:top w:w="20" w:type="dxa"/>
            <w:left w:w="20" w:type="dxa"/>
            <w:bottom w:w="20" w:type="dxa"/>
            <w:right w:w="20" w:type="dxa"/>
          </w:tblCellMar>
        </w:tblPrEx>
        <w:tc>
          <w:tcPr>
            <w:tcW w:w="1574" w:type="dxa"/>
            <w:tcBorders>
              <w:top w:val="outset" w:sz="6" w:space="0" w:color="414142"/>
              <w:left w:val="outset" w:sz="6" w:space="0" w:color="414142"/>
              <w:bottom w:val="outset" w:sz="6" w:space="0" w:color="414142"/>
              <w:right w:val="outset" w:sz="6" w:space="0" w:color="414142"/>
            </w:tcBorders>
            <w:shd w:val="clear" w:color="auto" w:fill="FFFFFF"/>
            <w:hideMark/>
          </w:tcPr>
          <w:p w14:paraId="72569D48" w14:textId="77777777" w:rsidR="003C0EC2" w:rsidRPr="00C764FD" w:rsidRDefault="003C0EC2" w:rsidP="003C0EC2">
            <w:pPr>
              <w:spacing w:after="0" w:line="240" w:lineRule="auto"/>
              <w:rPr>
                <w:rFonts w:ascii="Times New Roman" w:eastAsia="Times New Roman" w:hAnsi="Times New Roman" w:cs="Times New Roman"/>
                <w:color w:val="414142"/>
                <w:sz w:val="24"/>
                <w:szCs w:val="24"/>
                <w:lang w:eastAsia="lv-LV"/>
              </w:rPr>
            </w:pPr>
            <w:r w:rsidRPr="00C764FD">
              <w:rPr>
                <w:rFonts w:ascii="Times New Roman" w:eastAsia="Times New Roman" w:hAnsi="Times New Roman" w:cs="Times New Roman"/>
                <w:color w:val="414142"/>
                <w:sz w:val="24"/>
                <w:szCs w:val="24"/>
                <w:lang w:eastAsia="lv-LV"/>
              </w:rPr>
              <w:t>7. Amata vietu skaita izmaiņas</w:t>
            </w:r>
          </w:p>
        </w:tc>
        <w:tc>
          <w:tcPr>
            <w:tcW w:w="7487" w:type="dxa"/>
            <w:gridSpan w:val="7"/>
            <w:tcBorders>
              <w:top w:val="outset" w:sz="6" w:space="0" w:color="414142"/>
              <w:left w:val="outset" w:sz="6" w:space="0" w:color="414142"/>
              <w:bottom w:val="outset" w:sz="6" w:space="0" w:color="414142"/>
              <w:right w:val="outset" w:sz="6" w:space="0" w:color="414142"/>
            </w:tcBorders>
            <w:shd w:val="clear" w:color="auto" w:fill="FFFFFF"/>
            <w:hideMark/>
          </w:tcPr>
          <w:p w14:paraId="003230EB" w14:textId="77777777" w:rsidR="003C0EC2" w:rsidRDefault="00240AAE" w:rsidP="003C0EC2">
            <w:pPr>
              <w:spacing w:after="0" w:line="240" w:lineRule="auto"/>
              <w:rPr>
                <w:rFonts w:ascii="Times New Roman" w:eastAsia="Times New Roman" w:hAnsi="Times New Roman" w:cs="Times New Roman"/>
                <w:color w:val="414142"/>
                <w:lang w:eastAsia="lv-LV"/>
              </w:rPr>
            </w:pPr>
            <w:r>
              <w:rPr>
                <w:rFonts w:ascii="Times New Roman" w:eastAsia="Times New Roman" w:hAnsi="Times New Roman" w:cs="Times New Roman"/>
                <w:color w:val="414142"/>
                <w:lang w:eastAsia="lv-LV"/>
              </w:rPr>
              <w:t>0</w:t>
            </w:r>
          </w:p>
          <w:p w14:paraId="7FDCCF50" w14:textId="0416F7EF" w:rsidR="00240AAE" w:rsidRPr="00C764FD" w:rsidRDefault="00240AAE" w:rsidP="003C0EC2">
            <w:pPr>
              <w:spacing w:after="0" w:line="240" w:lineRule="auto"/>
              <w:rPr>
                <w:rFonts w:ascii="Times New Roman" w:eastAsia="Times New Roman" w:hAnsi="Times New Roman" w:cs="Times New Roman"/>
                <w:color w:val="414142"/>
                <w:lang w:eastAsia="lv-LV"/>
              </w:rPr>
            </w:pPr>
          </w:p>
        </w:tc>
      </w:tr>
      <w:tr w:rsidR="00E0008B" w:rsidRPr="003C0EC2" w14:paraId="13040B07" w14:textId="77777777" w:rsidTr="00C764FD">
        <w:tblPrEx>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shd w:val="clear" w:color="auto" w:fill="FFFFFF"/>
          <w:tblCellMar>
            <w:top w:w="20" w:type="dxa"/>
            <w:left w:w="20" w:type="dxa"/>
            <w:bottom w:w="20" w:type="dxa"/>
            <w:right w:w="20" w:type="dxa"/>
          </w:tblCellMar>
        </w:tblPrEx>
        <w:tc>
          <w:tcPr>
            <w:tcW w:w="1574" w:type="dxa"/>
            <w:tcBorders>
              <w:top w:val="outset" w:sz="6" w:space="0" w:color="414142"/>
              <w:left w:val="outset" w:sz="6" w:space="0" w:color="414142"/>
              <w:bottom w:val="outset" w:sz="6" w:space="0" w:color="414142"/>
              <w:right w:val="outset" w:sz="6" w:space="0" w:color="414142"/>
            </w:tcBorders>
            <w:shd w:val="clear" w:color="auto" w:fill="FFFFFF"/>
            <w:hideMark/>
          </w:tcPr>
          <w:p w14:paraId="007D8E63" w14:textId="77777777" w:rsidR="003C0EC2" w:rsidRPr="00C764FD" w:rsidRDefault="003C0EC2" w:rsidP="003C0EC2">
            <w:pPr>
              <w:spacing w:after="0" w:line="240" w:lineRule="auto"/>
              <w:rPr>
                <w:rFonts w:ascii="Times New Roman" w:eastAsia="Times New Roman" w:hAnsi="Times New Roman" w:cs="Times New Roman"/>
                <w:color w:val="414142"/>
                <w:sz w:val="24"/>
                <w:szCs w:val="24"/>
                <w:lang w:eastAsia="lv-LV"/>
              </w:rPr>
            </w:pPr>
            <w:r w:rsidRPr="00C764FD">
              <w:rPr>
                <w:rFonts w:ascii="Times New Roman" w:eastAsia="Times New Roman" w:hAnsi="Times New Roman" w:cs="Times New Roman"/>
                <w:color w:val="414142"/>
                <w:sz w:val="24"/>
                <w:szCs w:val="24"/>
                <w:lang w:eastAsia="lv-LV"/>
              </w:rPr>
              <w:t>8. Cita informācija</w:t>
            </w:r>
          </w:p>
        </w:tc>
        <w:tc>
          <w:tcPr>
            <w:tcW w:w="7487" w:type="dxa"/>
            <w:gridSpan w:val="7"/>
            <w:tcBorders>
              <w:top w:val="outset" w:sz="6" w:space="0" w:color="414142"/>
              <w:left w:val="outset" w:sz="6" w:space="0" w:color="414142"/>
              <w:bottom w:val="outset" w:sz="6" w:space="0" w:color="414142"/>
              <w:right w:val="outset" w:sz="6" w:space="0" w:color="414142"/>
            </w:tcBorders>
            <w:shd w:val="clear" w:color="auto" w:fill="FFFFFF"/>
            <w:hideMark/>
          </w:tcPr>
          <w:p w14:paraId="399D3044" w14:textId="3B57DD92" w:rsidR="00966E1C" w:rsidRDefault="00896CBF" w:rsidP="00E0008B">
            <w:pPr>
              <w:spacing w:after="0" w:line="240" w:lineRule="auto"/>
              <w:rPr>
                <w:rFonts w:ascii="Times New Roman" w:eastAsia="Times New Roman" w:hAnsi="Times New Roman" w:cs="Times New Roman"/>
                <w:color w:val="414142"/>
                <w:lang w:eastAsia="lv-LV"/>
              </w:rPr>
            </w:pPr>
            <w:r>
              <w:rPr>
                <w:rFonts w:ascii="Times New Roman" w:eastAsia="Times New Roman" w:hAnsi="Times New Roman" w:cs="Times New Roman"/>
                <w:color w:val="414142"/>
                <w:lang w:eastAsia="lv-LV"/>
              </w:rPr>
              <w:t>Nav</w:t>
            </w:r>
            <w:r w:rsidR="007978C7">
              <w:rPr>
                <w:rFonts w:ascii="Times New Roman" w:eastAsia="Times New Roman" w:hAnsi="Times New Roman" w:cs="Times New Roman"/>
                <w:color w:val="414142"/>
                <w:lang w:eastAsia="lv-LV"/>
              </w:rPr>
              <w:t>.</w:t>
            </w:r>
          </w:p>
          <w:p w14:paraId="74BA907A" w14:textId="77777777" w:rsidR="00966E1C" w:rsidRDefault="00966E1C" w:rsidP="00E0008B">
            <w:pPr>
              <w:spacing w:after="0" w:line="240" w:lineRule="auto"/>
              <w:rPr>
                <w:rFonts w:ascii="Times New Roman" w:eastAsia="Times New Roman" w:hAnsi="Times New Roman" w:cs="Times New Roman"/>
                <w:color w:val="414142"/>
                <w:lang w:eastAsia="lv-LV"/>
              </w:rPr>
            </w:pPr>
          </w:p>
          <w:p w14:paraId="7455765C" w14:textId="77777777" w:rsidR="00966E1C" w:rsidRPr="00C764FD" w:rsidRDefault="00966E1C" w:rsidP="00E0008B">
            <w:pPr>
              <w:spacing w:after="0" w:line="240" w:lineRule="auto"/>
              <w:rPr>
                <w:rFonts w:ascii="Times New Roman" w:eastAsia="Times New Roman" w:hAnsi="Times New Roman" w:cs="Times New Roman"/>
                <w:color w:val="414142"/>
                <w:lang w:eastAsia="lv-LV"/>
              </w:rPr>
            </w:pPr>
          </w:p>
          <w:p w14:paraId="6BCC2DC0" w14:textId="4FC82E06" w:rsidR="003C0EC2" w:rsidRPr="00C764FD" w:rsidRDefault="003C0EC2" w:rsidP="00E0008B">
            <w:pPr>
              <w:spacing w:after="0" w:line="240" w:lineRule="auto"/>
              <w:rPr>
                <w:rFonts w:ascii="Times New Roman" w:eastAsia="Times New Roman" w:hAnsi="Times New Roman" w:cs="Times New Roman"/>
                <w:color w:val="414142"/>
                <w:lang w:eastAsia="lv-LV"/>
              </w:rPr>
            </w:pPr>
          </w:p>
        </w:tc>
      </w:tr>
    </w:tbl>
    <w:p w14:paraId="4C796DDB" w14:textId="77777777" w:rsidR="00F44F14" w:rsidRPr="00294E3E" w:rsidRDefault="00F44F14" w:rsidP="006D398D">
      <w:pPr>
        <w:spacing w:before="120" w:after="120" w:line="240" w:lineRule="auto"/>
        <w:rPr>
          <w:rFonts w:ascii="Times New Roman" w:hAnsi="Times New Roman" w:cs="Times New Roman"/>
          <w:sz w:val="24"/>
          <w:szCs w:val="24"/>
        </w:rPr>
      </w:pPr>
    </w:p>
    <w:tbl>
      <w:tblPr>
        <w:tblW w:w="5002"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9065"/>
      </w:tblGrid>
      <w:tr w:rsidR="00987784" w:rsidRPr="00294E3E" w14:paraId="471B40C2" w14:textId="77777777" w:rsidTr="00987784">
        <w:trPr>
          <w:cantSplit/>
        </w:trPr>
        <w:tc>
          <w:tcPr>
            <w:tcW w:w="9065" w:type="dxa"/>
            <w:vAlign w:val="center"/>
            <w:hideMark/>
          </w:tcPr>
          <w:p w14:paraId="69784C7D" w14:textId="77777777" w:rsidR="00987784" w:rsidRPr="00294E3E" w:rsidRDefault="00987784" w:rsidP="006D398D">
            <w:pPr>
              <w:spacing w:before="120" w:after="120" w:line="240" w:lineRule="auto"/>
              <w:jc w:val="center"/>
              <w:rPr>
                <w:rFonts w:ascii="Times New Roman" w:hAnsi="Times New Roman" w:cs="Times New Roman"/>
                <w:b/>
                <w:bCs/>
                <w:sz w:val="24"/>
                <w:szCs w:val="24"/>
              </w:rPr>
            </w:pPr>
            <w:r w:rsidRPr="00294E3E">
              <w:rPr>
                <w:rFonts w:ascii="Times New Roman" w:hAnsi="Times New Roman" w:cs="Times New Roman"/>
                <w:b/>
                <w:bCs/>
                <w:sz w:val="24"/>
                <w:szCs w:val="24"/>
              </w:rPr>
              <w:t>IV. Tiesību akta projekta ietekme uz spēkā esošo tiesību normu sistēmu</w:t>
            </w:r>
          </w:p>
        </w:tc>
      </w:tr>
      <w:tr w:rsidR="00AA543A" w:rsidRPr="004F02C8" w14:paraId="673A177D" w14:textId="77777777" w:rsidTr="00AA543A">
        <w:trPr>
          <w:cantSplit/>
        </w:trPr>
        <w:tc>
          <w:tcPr>
            <w:tcW w:w="9065" w:type="dxa"/>
            <w:vAlign w:val="center"/>
          </w:tcPr>
          <w:p w14:paraId="7B903B26" w14:textId="0C24E638" w:rsidR="00AA543A" w:rsidRPr="001B5800" w:rsidRDefault="00AA543A" w:rsidP="00AA543A">
            <w:pPr>
              <w:spacing w:before="120" w:after="120" w:line="240" w:lineRule="auto"/>
              <w:ind w:left="134" w:right="110"/>
              <w:jc w:val="center"/>
              <w:rPr>
                <w:rFonts w:ascii="Times New Roman" w:hAnsi="Times New Roman" w:cs="Times New Roman"/>
                <w:color w:val="000000" w:themeColor="text1"/>
                <w:sz w:val="24"/>
                <w:szCs w:val="24"/>
              </w:rPr>
            </w:pPr>
            <w:r w:rsidRPr="00AA543A">
              <w:rPr>
                <w:rFonts w:ascii="Times New Roman" w:hAnsi="Times New Roman" w:cs="Times New Roman"/>
                <w:color w:val="000000" w:themeColor="text1"/>
                <w:sz w:val="24"/>
                <w:szCs w:val="24"/>
              </w:rPr>
              <w:t>Pr</w:t>
            </w:r>
            <w:r>
              <w:rPr>
                <w:rFonts w:ascii="Times New Roman" w:hAnsi="Times New Roman" w:cs="Times New Roman"/>
                <w:color w:val="000000" w:themeColor="text1"/>
                <w:sz w:val="24"/>
                <w:szCs w:val="24"/>
              </w:rPr>
              <w:t>ojekts šo jomu neskar</w:t>
            </w:r>
            <w:r w:rsidR="00A411D8">
              <w:rPr>
                <w:rFonts w:ascii="Times New Roman" w:hAnsi="Times New Roman" w:cs="Times New Roman"/>
                <w:color w:val="000000" w:themeColor="text1"/>
                <w:sz w:val="24"/>
                <w:szCs w:val="24"/>
              </w:rPr>
              <w:t>.</w:t>
            </w:r>
          </w:p>
        </w:tc>
      </w:tr>
    </w:tbl>
    <w:p w14:paraId="3AA40BD3" w14:textId="77777777" w:rsidR="00987784" w:rsidRPr="004F02C8" w:rsidRDefault="00987784" w:rsidP="006D398D">
      <w:pPr>
        <w:pStyle w:val="Title"/>
        <w:spacing w:before="120" w:after="120"/>
        <w:ind w:firstLine="539"/>
        <w:jc w:val="both"/>
        <w:rPr>
          <w:color w:val="FF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3"/>
        <w:gridCol w:w="969"/>
        <w:gridCol w:w="1711"/>
        <w:gridCol w:w="709"/>
        <w:gridCol w:w="2887"/>
        <w:gridCol w:w="2222"/>
      </w:tblGrid>
      <w:tr w:rsidR="004F02C8" w:rsidRPr="004F02C8" w14:paraId="6DE3A6E3" w14:textId="77777777" w:rsidTr="00EC7DA9">
        <w:trPr>
          <w:cantSplit/>
        </w:trPr>
        <w:tc>
          <w:tcPr>
            <w:tcW w:w="5000" w:type="pct"/>
            <w:gridSpan w:val="6"/>
            <w:vAlign w:val="center"/>
            <w:hideMark/>
          </w:tcPr>
          <w:p w14:paraId="42666955" w14:textId="77777777" w:rsidR="00987784" w:rsidRPr="001B5800" w:rsidRDefault="00987784" w:rsidP="006D398D">
            <w:pPr>
              <w:spacing w:before="120" w:after="120" w:line="240" w:lineRule="auto"/>
              <w:jc w:val="center"/>
              <w:rPr>
                <w:rFonts w:ascii="Times New Roman" w:hAnsi="Times New Roman" w:cs="Times New Roman"/>
                <w:b/>
                <w:bCs/>
                <w:color w:val="000000" w:themeColor="text1"/>
                <w:sz w:val="24"/>
                <w:szCs w:val="24"/>
              </w:rPr>
            </w:pPr>
            <w:r w:rsidRPr="001B5800">
              <w:rPr>
                <w:rFonts w:ascii="Times New Roman" w:hAnsi="Times New Roman" w:cs="Times New Roman"/>
                <w:b/>
                <w:bCs/>
                <w:color w:val="000000" w:themeColor="text1"/>
                <w:sz w:val="24"/>
                <w:szCs w:val="24"/>
              </w:rPr>
              <w:t>V. Tiesību akta projekta atbilstība Latvijas Republikas starptautiskajām saistībām</w:t>
            </w:r>
          </w:p>
        </w:tc>
      </w:tr>
      <w:tr w:rsidR="004F02C8" w:rsidRPr="004F02C8" w14:paraId="581DB756" w14:textId="77777777" w:rsidTr="00EC7DA9">
        <w:trPr>
          <w:cantSplit/>
        </w:trPr>
        <w:tc>
          <w:tcPr>
            <w:tcW w:w="311" w:type="pct"/>
            <w:hideMark/>
          </w:tcPr>
          <w:p w14:paraId="51863778" w14:textId="77777777" w:rsidR="00987784" w:rsidRPr="001B5800" w:rsidRDefault="00987784" w:rsidP="006D398D">
            <w:pPr>
              <w:spacing w:before="120" w:after="120" w:line="240" w:lineRule="auto"/>
              <w:jc w:val="center"/>
              <w:rPr>
                <w:rFonts w:ascii="Times New Roman" w:hAnsi="Times New Roman" w:cs="Times New Roman"/>
                <w:color w:val="000000" w:themeColor="text1"/>
                <w:sz w:val="24"/>
                <w:szCs w:val="24"/>
              </w:rPr>
            </w:pPr>
            <w:r w:rsidRPr="001B5800">
              <w:rPr>
                <w:rFonts w:ascii="Times New Roman" w:hAnsi="Times New Roman" w:cs="Times New Roman"/>
                <w:color w:val="000000" w:themeColor="text1"/>
                <w:sz w:val="24"/>
                <w:szCs w:val="24"/>
              </w:rPr>
              <w:t>1.</w:t>
            </w:r>
          </w:p>
        </w:tc>
        <w:tc>
          <w:tcPr>
            <w:tcW w:w="1479" w:type="pct"/>
            <w:gridSpan w:val="2"/>
            <w:hideMark/>
          </w:tcPr>
          <w:p w14:paraId="250ACABD" w14:textId="77777777" w:rsidR="00987784" w:rsidRPr="001B5800" w:rsidRDefault="00987784" w:rsidP="006D398D">
            <w:pPr>
              <w:spacing w:before="120" w:after="120" w:line="240" w:lineRule="auto"/>
              <w:rPr>
                <w:rFonts w:ascii="Times New Roman" w:hAnsi="Times New Roman" w:cs="Times New Roman"/>
                <w:color w:val="000000" w:themeColor="text1"/>
                <w:sz w:val="24"/>
                <w:szCs w:val="24"/>
              </w:rPr>
            </w:pPr>
            <w:r w:rsidRPr="001B5800">
              <w:rPr>
                <w:rFonts w:ascii="Times New Roman" w:hAnsi="Times New Roman" w:cs="Times New Roman"/>
                <w:color w:val="000000" w:themeColor="text1"/>
                <w:sz w:val="24"/>
                <w:szCs w:val="24"/>
              </w:rPr>
              <w:t>Saistības pret Eiropas Savienību</w:t>
            </w:r>
          </w:p>
        </w:tc>
        <w:tc>
          <w:tcPr>
            <w:tcW w:w="3210" w:type="pct"/>
            <w:gridSpan w:val="3"/>
            <w:hideMark/>
          </w:tcPr>
          <w:p w14:paraId="2A108DD4" w14:textId="477AA4E8" w:rsidR="00987784" w:rsidRPr="001B5800" w:rsidRDefault="00987784" w:rsidP="00C764FD">
            <w:pPr>
              <w:spacing w:before="120" w:after="120" w:line="240" w:lineRule="auto"/>
              <w:jc w:val="both"/>
              <w:rPr>
                <w:rFonts w:ascii="Times New Roman" w:hAnsi="Times New Roman" w:cs="Times New Roman"/>
                <w:color w:val="000000" w:themeColor="text1"/>
                <w:sz w:val="24"/>
                <w:szCs w:val="24"/>
              </w:rPr>
            </w:pPr>
          </w:p>
        </w:tc>
      </w:tr>
      <w:tr w:rsidR="004F02C8" w:rsidRPr="004F02C8" w14:paraId="46BD877F" w14:textId="77777777" w:rsidTr="00EC7DA9">
        <w:trPr>
          <w:cantSplit/>
        </w:trPr>
        <w:tc>
          <w:tcPr>
            <w:tcW w:w="311" w:type="pct"/>
            <w:hideMark/>
          </w:tcPr>
          <w:p w14:paraId="070F365D" w14:textId="77777777" w:rsidR="00987784" w:rsidRPr="001B5800" w:rsidRDefault="00987784" w:rsidP="006D398D">
            <w:pPr>
              <w:spacing w:before="120" w:after="120" w:line="240" w:lineRule="auto"/>
              <w:jc w:val="center"/>
              <w:rPr>
                <w:rFonts w:ascii="Times New Roman" w:hAnsi="Times New Roman" w:cs="Times New Roman"/>
                <w:color w:val="000000" w:themeColor="text1"/>
                <w:sz w:val="24"/>
                <w:szCs w:val="24"/>
              </w:rPr>
            </w:pPr>
            <w:r w:rsidRPr="001B5800">
              <w:rPr>
                <w:rFonts w:ascii="Times New Roman" w:hAnsi="Times New Roman" w:cs="Times New Roman"/>
                <w:color w:val="000000" w:themeColor="text1"/>
                <w:sz w:val="24"/>
                <w:szCs w:val="24"/>
              </w:rPr>
              <w:lastRenderedPageBreak/>
              <w:t>2.</w:t>
            </w:r>
          </w:p>
        </w:tc>
        <w:tc>
          <w:tcPr>
            <w:tcW w:w="1479" w:type="pct"/>
            <w:gridSpan w:val="2"/>
            <w:hideMark/>
          </w:tcPr>
          <w:p w14:paraId="6DA53246" w14:textId="77777777" w:rsidR="00987784" w:rsidRPr="001B5800" w:rsidRDefault="00987784" w:rsidP="006D398D">
            <w:pPr>
              <w:spacing w:before="120" w:after="120" w:line="240" w:lineRule="auto"/>
              <w:rPr>
                <w:rFonts w:ascii="Times New Roman" w:hAnsi="Times New Roman" w:cs="Times New Roman"/>
                <w:color w:val="000000" w:themeColor="text1"/>
                <w:sz w:val="24"/>
                <w:szCs w:val="24"/>
              </w:rPr>
            </w:pPr>
            <w:r w:rsidRPr="001B5800">
              <w:rPr>
                <w:rFonts w:ascii="Times New Roman" w:hAnsi="Times New Roman" w:cs="Times New Roman"/>
                <w:color w:val="000000" w:themeColor="text1"/>
                <w:sz w:val="24"/>
                <w:szCs w:val="24"/>
              </w:rPr>
              <w:t>Citas starptautiskās saistības</w:t>
            </w:r>
          </w:p>
        </w:tc>
        <w:tc>
          <w:tcPr>
            <w:tcW w:w="3210" w:type="pct"/>
            <w:gridSpan w:val="3"/>
            <w:hideMark/>
          </w:tcPr>
          <w:p w14:paraId="758692E0" w14:textId="3E00C1B1" w:rsidR="00987784" w:rsidRPr="001B5800" w:rsidRDefault="00AA543A" w:rsidP="00A71A5A">
            <w:pPr>
              <w:spacing w:before="120" w:after="12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Projekts šo jomu neskar</w:t>
            </w:r>
            <w:r w:rsidR="00A411D8">
              <w:rPr>
                <w:rFonts w:ascii="Times New Roman" w:hAnsi="Times New Roman" w:cs="Times New Roman"/>
                <w:color w:val="000000" w:themeColor="text1"/>
                <w:sz w:val="24"/>
                <w:szCs w:val="24"/>
              </w:rPr>
              <w:t>.</w:t>
            </w:r>
          </w:p>
        </w:tc>
      </w:tr>
      <w:tr w:rsidR="00987784" w:rsidRPr="004F02C8" w14:paraId="5A297794" w14:textId="77777777" w:rsidTr="00EC7DA9">
        <w:trPr>
          <w:cantSplit/>
        </w:trPr>
        <w:tc>
          <w:tcPr>
            <w:tcW w:w="311" w:type="pct"/>
            <w:hideMark/>
          </w:tcPr>
          <w:p w14:paraId="7003F12B" w14:textId="77777777" w:rsidR="00987784" w:rsidRPr="001B5800" w:rsidRDefault="00987784" w:rsidP="006D398D">
            <w:pPr>
              <w:spacing w:before="120" w:after="120" w:line="240" w:lineRule="auto"/>
              <w:jc w:val="center"/>
              <w:rPr>
                <w:rFonts w:ascii="Times New Roman" w:hAnsi="Times New Roman" w:cs="Times New Roman"/>
                <w:color w:val="000000" w:themeColor="text1"/>
                <w:sz w:val="24"/>
                <w:szCs w:val="24"/>
              </w:rPr>
            </w:pPr>
            <w:r w:rsidRPr="001B5800">
              <w:rPr>
                <w:rFonts w:ascii="Times New Roman" w:hAnsi="Times New Roman" w:cs="Times New Roman"/>
                <w:color w:val="000000" w:themeColor="text1"/>
                <w:sz w:val="24"/>
                <w:szCs w:val="24"/>
              </w:rPr>
              <w:t>3.</w:t>
            </w:r>
          </w:p>
        </w:tc>
        <w:tc>
          <w:tcPr>
            <w:tcW w:w="1479" w:type="pct"/>
            <w:gridSpan w:val="2"/>
            <w:hideMark/>
          </w:tcPr>
          <w:p w14:paraId="6247FD40" w14:textId="77777777" w:rsidR="00987784" w:rsidRPr="001B5800" w:rsidRDefault="00987784" w:rsidP="006D398D">
            <w:pPr>
              <w:spacing w:before="120" w:after="120" w:line="240" w:lineRule="auto"/>
              <w:rPr>
                <w:rFonts w:ascii="Times New Roman" w:hAnsi="Times New Roman" w:cs="Times New Roman"/>
                <w:color w:val="000000" w:themeColor="text1"/>
                <w:sz w:val="24"/>
                <w:szCs w:val="24"/>
              </w:rPr>
            </w:pPr>
            <w:r w:rsidRPr="001B5800">
              <w:rPr>
                <w:rFonts w:ascii="Times New Roman" w:hAnsi="Times New Roman" w:cs="Times New Roman"/>
                <w:color w:val="000000" w:themeColor="text1"/>
                <w:sz w:val="24"/>
                <w:szCs w:val="24"/>
              </w:rPr>
              <w:t>Cita informācija</w:t>
            </w:r>
          </w:p>
        </w:tc>
        <w:tc>
          <w:tcPr>
            <w:tcW w:w="3210" w:type="pct"/>
            <w:gridSpan w:val="3"/>
            <w:hideMark/>
          </w:tcPr>
          <w:p w14:paraId="7ECB5930" w14:textId="14A65020" w:rsidR="00987784" w:rsidRPr="001B5800" w:rsidRDefault="0070679C" w:rsidP="00EA776E">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Par </w:t>
            </w:r>
            <w:r w:rsidRPr="00D663E6">
              <w:rPr>
                <w:rFonts w:ascii="Times New Roman" w:hAnsi="Times New Roman" w:cs="Times New Roman"/>
                <w:color w:val="000000" w:themeColor="text1"/>
                <w:sz w:val="24"/>
                <w:szCs w:val="24"/>
              </w:rPr>
              <w:t>Eiropas Parlamenta un Padomes 2014.gada 22.oktobra Direktīvas 2014/94/ES par alternatīvo degvielu infrastruktūr</w:t>
            </w:r>
            <w:r>
              <w:rPr>
                <w:rFonts w:ascii="Times New Roman" w:hAnsi="Times New Roman" w:cs="Times New Roman"/>
                <w:color w:val="000000" w:themeColor="text1"/>
                <w:sz w:val="24"/>
                <w:szCs w:val="24"/>
              </w:rPr>
              <w:t>u</w:t>
            </w:r>
            <w:r>
              <w:rPr>
                <w:rFonts w:ascii="Times New Roman" w:hAnsi="Times New Roman" w:cs="Times New Roman"/>
                <w:sz w:val="24"/>
                <w:szCs w:val="24"/>
              </w:rPr>
              <w:t xml:space="preserve"> pārņemšanu atbildīgā institūcija ir Satiksmes ministrija. Tomēr ar likumprojektu Ekonomikas ministrijas ieskatā tiek veicināta Direktīvas 6. panta 7. un 8. punkta pārņemšanas prasību izpilde, jo prognozējams, ka valsts atbalsta turpinājums, piemērojot vispārīgo samazināto nodokļu likmi dabasgāzei, kuru izmanto kā transporta degvielu, ir </w:t>
            </w:r>
            <w:r w:rsidRPr="00477F5E">
              <w:rPr>
                <w:rFonts w:ascii="Times New Roman" w:hAnsi="Times New Roman" w:cs="Times New Roman"/>
                <w:sz w:val="24"/>
                <w:szCs w:val="24"/>
              </w:rPr>
              <w:t>viens no pasākumiem dabasgāzes kā degvielas izmantošanas veicināšanai Latvijā</w:t>
            </w:r>
            <w:r>
              <w:rPr>
                <w:rFonts w:ascii="Times New Roman" w:hAnsi="Times New Roman" w:cs="Times New Roman"/>
                <w:sz w:val="24"/>
                <w:szCs w:val="24"/>
              </w:rPr>
              <w:t>.</w:t>
            </w:r>
          </w:p>
        </w:tc>
      </w:tr>
      <w:tr w:rsidR="00B6105A" w:rsidRPr="00B6105A" w14:paraId="5BEEF35B" w14:textId="77777777" w:rsidTr="006D398D">
        <w:trPr>
          <w:cantSplit/>
        </w:trPr>
        <w:tc>
          <w:tcPr>
            <w:tcW w:w="5000" w:type="pct"/>
            <w:gridSpan w:val="6"/>
            <w:vAlign w:val="center"/>
            <w:hideMark/>
          </w:tcPr>
          <w:p w14:paraId="03DD4D66" w14:textId="77777777" w:rsidR="00987784" w:rsidRPr="00B6105A" w:rsidRDefault="00987784" w:rsidP="006D398D">
            <w:pPr>
              <w:spacing w:before="120" w:after="120" w:line="240" w:lineRule="auto"/>
              <w:jc w:val="center"/>
              <w:rPr>
                <w:rFonts w:ascii="Times New Roman" w:hAnsi="Times New Roman" w:cs="Times New Roman"/>
                <w:b/>
                <w:bCs/>
                <w:color w:val="000000" w:themeColor="text1"/>
                <w:sz w:val="24"/>
                <w:szCs w:val="24"/>
              </w:rPr>
            </w:pPr>
            <w:r w:rsidRPr="00B6105A">
              <w:rPr>
                <w:rFonts w:ascii="Times New Roman" w:hAnsi="Times New Roman" w:cs="Times New Roman"/>
                <w:b/>
                <w:bCs/>
                <w:color w:val="000000" w:themeColor="text1"/>
                <w:sz w:val="24"/>
                <w:szCs w:val="24"/>
              </w:rPr>
              <w:t>1. tabula</w:t>
            </w:r>
            <w:r w:rsidRPr="00B6105A">
              <w:rPr>
                <w:rFonts w:ascii="Times New Roman" w:hAnsi="Times New Roman" w:cs="Times New Roman"/>
                <w:b/>
                <w:bCs/>
                <w:color w:val="000000" w:themeColor="text1"/>
                <w:sz w:val="24"/>
                <w:szCs w:val="24"/>
              </w:rPr>
              <w:br/>
              <w:t>Tiesību akta projekta atbilstība ES tiesību aktiem</w:t>
            </w:r>
          </w:p>
        </w:tc>
      </w:tr>
      <w:tr w:rsidR="00B6105A" w:rsidRPr="00B6105A" w14:paraId="311D3161" w14:textId="77777777" w:rsidTr="006D398D">
        <w:trPr>
          <w:cantSplit/>
        </w:trPr>
        <w:tc>
          <w:tcPr>
            <w:tcW w:w="846" w:type="pct"/>
            <w:gridSpan w:val="2"/>
            <w:hideMark/>
          </w:tcPr>
          <w:p w14:paraId="78FAD7D3" w14:textId="77777777" w:rsidR="00987784" w:rsidRPr="00B6105A" w:rsidRDefault="00D663E6" w:rsidP="006D398D">
            <w:pPr>
              <w:spacing w:before="120" w:after="120" w:line="240" w:lineRule="auto"/>
              <w:rPr>
                <w:rFonts w:ascii="Times New Roman" w:hAnsi="Times New Roman" w:cs="Times New Roman"/>
                <w:color w:val="000000" w:themeColor="text1"/>
                <w:sz w:val="24"/>
                <w:szCs w:val="24"/>
              </w:rPr>
            </w:pPr>
            <w:r w:rsidRPr="00D663E6">
              <w:rPr>
                <w:rFonts w:ascii="Times New Roman" w:hAnsi="Times New Roman" w:cs="Times New Roman"/>
                <w:color w:val="000000" w:themeColor="text1"/>
                <w:sz w:val="24"/>
                <w:szCs w:val="24"/>
              </w:rPr>
              <w:t>Attiecīgā ES tiesību akta datums, numurs un nosaukums</w:t>
            </w:r>
          </w:p>
        </w:tc>
        <w:tc>
          <w:tcPr>
            <w:tcW w:w="4154" w:type="pct"/>
            <w:gridSpan w:val="4"/>
            <w:hideMark/>
          </w:tcPr>
          <w:p w14:paraId="4A36BDD3" w14:textId="48DA10FA" w:rsidR="00987784" w:rsidRPr="00B6105A" w:rsidRDefault="004B20E2" w:rsidP="00C764FD">
            <w:pPr>
              <w:spacing w:before="120" w:after="120" w:line="240" w:lineRule="auto"/>
              <w:ind w:left="136" w:right="11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Projekts šo jomu neskar.</w:t>
            </w:r>
          </w:p>
        </w:tc>
      </w:tr>
      <w:tr w:rsidR="00B6105A" w:rsidRPr="00B6105A" w14:paraId="703FE6D1" w14:textId="77777777" w:rsidTr="006D398D">
        <w:trPr>
          <w:cantSplit/>
        </w:trPr>
        <w:tc>
          <w:tcPr>
            <w:tcW w:w="846" w:type="pct"/>
            <w:gridSpan w:val="2"/>
            <w:vAlign w:val="center"/>
            <w:hideMark/>
          </w:tcPr>
          <w:p w14:paraId="47FC1507" w14:textId="77777777" w:rsidR="00987784" w:rsidRPr="00B6105A" w:rsidRDefault="00987784" w:rsidP="006D398D">
            <w:pPr>
              <w:spacing w:before="120" w:after="120" w:line="240" w:lineRule="auto"/>
              <w:jc w:val="center"/>
              <w:rPr>
                <w:rFonts w:ascii="Times New Roman" w:hAnsi="Times New Roman" w:cs="Times New Roman"/>
                <w:color w:val="000000" w:themeColor="text1"/>
                <w:sz w:val="24"/>
                <w:szCs w:val="24"/>
              </w:rPr>
            </w:pPr>
            <w:r w:rsidRPr="00B6105A">
              <w:rPr>
                <w:rFonts w:ascii="Times New Roman" w:hAnsi="Times New Roman" w:cs="Times New Roman"/>
                <w:color w:val="000000" w:themeColor="text1"/>
                <w:sz w:val="24"/>
                <w:szCs w:val="24"/>
              </w:rPr>
              <w:t>A</w:t>
            </w:r>
          </w:p>
        </w:tc>
        <w:tc>
          <w:tcPr>
            <w:tcW w:w="1335" w:type="pct"/>
            <w:gridSpan w:val="2"/>
            <w:vAlign w:val="center"/>
            <w:hideMark/>
          </w:tcPr>
          <w:p w14:paraId="2CBF8FA0" w14:textId="77777777" w:rsidR="00987784" w:rsidRPr="00B6105A" w:rsidRDefault="00987784" w:rsidP="006D398D">
            <w:pPr>
              <w:spacing w:before="120" w:after="120" w:line="240" w:lineRule="auto"/>
              <w:jc w:val="center"/>
              <w:rPr>
                <w:rFonts w:ascii="Times New Roman" w:hAnsi="Times New Roman" w:cs="Times New Roman"/>
                <w:color w:val="000000" w:themeColor="text1"/>
                <w:sz w:val="24"/>
                <w:szCs w:val="24"/>
              </w:rPr>
            </w:pPr>
            <w:r w:rsidRPr="00B6105A">
              <w:rPr>
                <w:rFonts w:ascii="Times New Roman" w:hAnsi="Times New Roman" w:cs="Times New Roman"/>
                <w:color w:val="000000" w:themeColor="text1"/>
                <w:sz w:val="24"/>
                <w:szCs w:val="24"/>
              </w:rPr>
              <w:t>B</w:t>
            </w:r>
          </w:p>
        </w:tc>
        <w:tc>
          <w:tcPr>
            <w:tcW w:w="1593" w:type="pct"/>
            <w:vAlign w:val="center"/>
            <w:hideMark/>
          </w:tcPr>
          <w:p w14:paraId="4BF5BE0C" w14:textId="77777777" w:rsidR="00987784" w:rsidRPr="00B6105A" w:rsidRDefault="00987784" w:rsidP="006D398D">
            <w:pPr>
              <w:spacing w:before="120" w:after="120" w:line="240" w:lineRule="auto"/>
              <w:jc w:val="center"/>
              <w:rPr>
                <w:rFonts w:ascii="Times New Roman" w:hAnsi="Times New Roman" w:cs="Times New Roman"/>
                <w:color w:val="000000" w:themeColor="text1"/>
                <w:sz w:val="24"/>
                <w:szCs w:val="24"/>
              </w:rPr>
            </w:pPr>
            <w:r w:rsidRPr="00B6105A">
              <w:rPr>
                <w:rFonts w:ascii="Times New Roman" w:hAnsi="Times New Roman" w:cs="Times New Roman"/>
                <w:color w:val="000000" w:themeColor="text1"/>
                <w:sz w:val="24"/>
                <w:szCs w:val="24"/>
              </w:rPr>
              <w:t>C</w:t>
            </w:r>
          </w:p>
        </w:tc>
        <w:tc>
          <w:tcPr>
            <w:tcW w:w="1226" w:type="pct"/>
            <w:vAlign w:val="center"/>
            <w:hideMark/>
          </w:tcPr>
          <w:p w14:paraId="2D88B2CB" w14:textId="77777777" w:rsidR="00987784" w:rsidRPr="00B6105A" w:rsidRDefault="00987784" w:rsidP="006D398D">
            <w:pPr>
              <w:spacing w:before="120" w:after="120" w:line="240" w:lineRule="auto"/>
              <w:jc w:val="center"/>
              <w:rPr>
                <w:rFonts w:ascii="Times New Roman" w:hAnsi="Times New Roman" w:cs="Times New Roman"/>
                <w:color w:val="000000" w:themeColor="text1"/>
                <w:sz w:val="24"/>
                <w:szCs w:val="24"/>
              </w:rPr>
            </w:pPr>
            <w:r w:rsidRPr="00B6105A">
              <w:rPr>
                <w:rFonts w:ascii="Times New Roman" w:hAnsi="Times New Roman" w:cs="Times New Roman"/>
                <w:color w:val="000000" w:themeColor="text1"/>
                <w:sz w:val="24"/>
                <w:szCs w:val="24"/>
              </w:rPr>
              <w:t>D</w:t>
            </w:r>
          </w:p>
        </w:tc>
      </w:tr>
      <w:tr w:rsidR="00B6105A" w:rsidRPr="00B6105A" w14:paraId="1702A719" w14:textId="77777777" w:rsidTr="006D398D">
        <w:trPr>
          <w:cantSplit/>
        </w:trPr>
        <w:tc>
          <w:tcPr>
            <w:tcW w:w="846" w:type="pct"/>
            <w:gridSpan w:val="2"/>
            <w:hideMark/>
          </w:tcPr>
          <w:p w14:paraId="5E86CE4B" w14:textId="77777777" w:rsidR="00987784" w:rsidRPr="00B6105A" w:rsidRDefault="00987784" w:rsidP="006D398D">
            <w:pPr>
              <w:spacing w:before="120" w:after="120" w:line="240" w:lineRule="auto"/>
              <w:rPr>
                <w:rFonts w:ascii="Times New Roman" w:hAnsi="Times New Roman" w:cs="Times New Roman"/>
                <w:color w:val="000000" w:themeColor="text1"/>
                <w:sz w:val="24"/>
                <w:szCs w:val="24"/>
              </w:rPr>
            </w:pPr>
            <w:r w:rsidRPr="00B6105A">
              <w:rPr>
                <w:rFonts w:ascii="Times New Roman" w:hAnsi="Times New Roman" w:cs="Times New Roman"/>
                <w:color w:val="000000" w:themeColor="text1"/>
                <w:sz w:val="24"/>
                <w:szCs w:val="24"/>
              </w:rPr>
              <w:lastRenderedPageBreak/>
              <w:t>Attiecīgā ES tiesību akta panta numurs (uzskaitot katru tiesību akta vienību – pantu, daļu, punktu, apakšpunktu)</w:t>
            </w:r>
          </w:p>
        </w:tc>
        <w:tc>
          <w:tcPr>
            <w:tcW w:w="1335" w:type="pct"/>
            <w:gridSpan w:val="2"/>
            <w:hideMark/>
          </w:tcPr>
          <w:p w14:paraId="74A50283" w14:textId="77777777" w:rsidR="00987784" w:rsidRPr="00B6105A" w:rsidRDefault="00987784" w:rsidP="006D398D">
            <w:pPr>
              <w:spacing w:before="120" w:after="120" w:line="240" w:lineRule="auto"/>
              <w:rPr>
                <w:rFonts w:ascii="Times New Roman" w:hAnsi="Times New Roman" w:cs="Times New Roman"/>
                <w:color w:val="000000" w:themeColor="text1"/>
                <w:sz w:val="24"/>
                <w:szCs w:val="24"/>
              </w:rPr>
            </w:pPr>
            <w:r w:rsidRPr="00B6105A">
              <w:rPr>
                <w:rFonts w:ascii="Times New Roman" w:hAnsi="Times New Roman" w:cs="Times New Roman"/>
                <w:color w:val="000000" w:themeColor="text1"/>
                <w:sz w:val="24"/>
                <w:szCs w:val="24"/>
              </w:rPr>
              <w:t>Projekta vienība, kas pārņem vai ievieš katru šīs tabulas A ailē minēto ES tiesību akta vienību, vai tiesību akts, kur attiecīgā ES tiesību akta vienība pārņemta vai ieviesta</w:t>
            </w:r>
          </w:p>
        </w:tc>
        <w:tc>
          <w:tcPr>
            <w:tcW w:w="1593" w:type="pct"/>
            <w:hideMark/>
          </w:tcPr>
          <w:p w14:paraId="795E51AC" w14:textId="77777777" w:rsidR="00987784" w:rsidRPr="00B6105A" w:rsidRDefault="00987784" w:rsidP="006D398D">
            <w:pPr>
              <w:spacing w:before="120" w:after="120" w:line="240" w:lineRule="auto"/>
              <w:rPr>
                <w:rFonts w:ascii="Times New Roman" w:hAnsi="Times New Roman" w:cs="Times New Roman"/>
                <w:color w:val="000000" w:themeColor="text1"/>
                <w:sz w:val="24"/>
                <w:szCs w:val="24"/>
              </w:rPr>
            </w:pPr>
            <w:r w:rsidRPr="00B6105A">
              <w:rPr>
                <w:rFonts w:ascii="Times New Roman" w:hAnsi="Times New Roman" w:cs="Times New Roman"/>
                <w:color w:val="000000" w:themeColor="text1"/>
                <w:sz w:val="24"/>
                <w:szCs w:val="24"/>
              </w:rPr>
              <w:t>Informācija par to, vai šīs tabulas A ailē minētās ES tiesību akta vienības tiek pārņemtas vai ieviestas pilnībā vai daļēji.</w:t>
            </w:r>
            <w:r w:rsidRPr="00B6105A">
              <w:rPr>
                <w:rFonts w:ascii="Times New Roman" w:hAnsi="Times New Roman" w:cs="Times New Roman"/>
                <w:color w:val="000000" w:themeColor="text1"/>
                <w:sz w:val="24"/>
                <w:szCs w:val="24"/>
              </w:rPr>
              <w:br/>
              <w:t>Ja attiecīgā ES tiesību akta vienība tiek pārņemta vai ieviesta daļēji, sniedz attiecīgu skaidrojumu, kā arī precīzi norāda, kad un kādā veidā ES tiesību akta vienība tiks pārņemta vai ieviesta pilnībā.</w:t>
            </w:r>
            <w:r w:rsidRPr="00B6105A">
              <w:rPr>
                <w:rFonts w:ascii="Times New Roman" w:hAnsi="Times New Roman" w:cs="Times New Roman"/>
                <w:color w:val="000000" w:themeColor="text1"/>
                <w:sz w:val="24"/>
                <w:szCs w:val="24"/>
              </w:rPr>
              <w:br/>
              <w:t>Norāda institūciju, kas ir atbildīga par šo saistību izpildi pilnībā</w:t>
            </w:r>
          </w:p>
        </w:tc>
        <w:tc>
          <w:tcPr>
            <w:tcW w:w="1226" w:type="pct"/>
            <w:hideMark/>
          </w:tcPr>
          <w:p w14:paraId="32703DE1" w14:textId="77777777" w:rsidR="00987784" w:rsidRPr="00B6105A" w:rsidRDefault="00987784" w:rsidP="006D398D">
            <w:pPr>
              <w:spacing w:before="120" w:after="120" w:line="240" w:lineRule="auto"/>
              <w:rPr>
                <w:rFonts w:ascii="Times New Roman" w:hAnsi="Times New Roman" w:cs="Times New Roman"/>
                <w:color w:val="000000" w:themeColor="text1"/>
                <w:sz w:val="24"/>
                <w:szCs w:val="24"/>
              </w:rPr>
            </w:pPr>
            <w:r w:rsidRPr="00B6105A">
              <w:rPr>
                <w:rFonts w:ascii="Times New Roman" w:hAnsi="Times New Roman" w:cs="Times New Roman"/>
                <w:color w:val="000000" w:themeColor="text1"/>
                <w:sz w:val="24"/>
                <w:szCs w:val="24"/>
              </w:rPr>
              <w:t>Informācija par to, vai šīs tabulas B ailē minētās projekta vienības paredz stingrākas prasības nekā šīs tabulas A ailē minētās ES tiesību akta vienības.</w:t>
            </w:r>
            <w:r w:rsidRPr="00B6105A">
              <w:rPr>
                <w:rFonts w:ascii="Times New Roman" w:hAnsi="Times New Roman" w:cs="Times New Roman"/>
                <w:color w:val="000000" w:themeColor="text1"/>
                <w:sz w:val="24"/>
                <w:szCs w:val="24"/>
              </w:rPr>
              <w:br/>
              <w:t>Ja projekts satur stingrākas prasības nekā attiecīgais ES tiesību akts, norāda pamatojumu un samērīgumu.</w:t>
            </w:r>
            <w:r w:rsidRPr="00B6105A">
              <w:rPr>
                <w:rFonts w:ascii="Times New Roman" w:hAnsi="Times New Roman" w:cs="Times New Roman"/>
                <w:color w:val="000000" w:themeColor="text1"/>
                <w:sz w:val="24"/>
                <w:szCs w:val="24"/>
              </w:rPr>
              <w:br/>
              <w:t>Norāda iespējamās alternatīvas (t. sk. alternatīvas, kas neparedz tiesiskā regulējuma izstrādi) – kādos gadījumos būtu iespējams izvairīties no stingrāku prasību noteikšanas, nekā paredzēts attiecīgajos ES tiesību aktos</w:t>
            </w:r>
          </w:p>
        </w:tc>
      </w:tr>
      <w:tr w:rsidR="008324B7" w:rsidRPr="00B6105A" w14:paraId="56D1878A" w14:textId="77777777" w:rsidTr="006D398D">
        <w:trPr>
          <w:cantSplit/>
        </w:trPr>
        <w:tc>
          <w:tcPr>
            <w:tcW w:w="846" w:type="pct"/>
            <w:gridSpan w:val="2"/>
          </w:tcPr>
          <w:p w14:paraId="5BD13310" w14:textId="70CA198A" w:rsidR="008324B7" w:rsidRPr="00B6105A" w:rsidRDefault="008324B7" w:rsidP="006D398D">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Direktīvas 6. panta 7.</w:t>
            </w:r>
            <w:r w:rsidR="0073694D">
              <w:rPr>
                <w:rFonts w:ascii="Times New Roman" w:hAnsi="Times New Roman" w:cs="Times New Roman"/>
                <w:color w:val="000000" w:themeColor="text1"/>
                <w:sz w:val="24"/>
                <w:szCs w:val="24"/>
              </w:rPr>
              <w:t xml:space="preserve"> un 8. </w:t>
            </w:r>
            <w:r>
              <w:rPr>
                <w:rFonts w:ascii="Times New Roman" w:hAnsi="Times New Roman" w:cs="Times New Roman"/>
                <w:color w:val="000000" w:themeColor="text1"/>
                <w:sz w:val="24"/>
                <w:szCs w:val="24"/>
              </w:rPr>
              <w:t>punkts</w:t>
            </w:r>
          </w:p>
        </w:tc>
        <w:tc>
          <w:tcPr>
            <w:tcW w:w="1335" w:type="pct"/>
            <w:gridSpan w:val="2"/>
          </w:tcPr>
          <w:p w14:paraId="03A0C382" w14:textId="77777777" w:rsidR="008324B7" w:rsidRPr="00B6105A" w:rsidRDefault="008324B7" w:rsidP="006D398D">
            <w:pPr>
              <w:spacing w:before="120" w:after="120" w:line="240" w:lineRule="auto"/>
              <w:jc w:val="both"/>
              <w:rPr>
                <w:rFonts w:ascii="Times New Roman" w:hAnsi="Times New Roman" w:cs="Times New Roman"/>
                <w:color w:val="000000" w:themeColor="text1"/>
                <w:sz w:val="24"/>
                <w:szCs w:val="24"/>
              </w:rPr>
            </w:pPr>
          </w:p>
        </w:tc>
        <w:tc>
          <w:tcPr>
            <w:tcW w:w="1593" w:type="pct"/>
          </w:tcPr>
          <w:p w14:paraId="49790BC5" w14:textId="2CF31362" w:rsidR="008324B7" w:rsidRDefault="0073694D" w:rsidP="006D398D">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Nav pārņemts.</w:t>
            </w:r>
          </w:p>
          <w:p w14:paraId="43C57196" w14:textId="1EB927F1" w:rsidR="008324B7" w:rsidRDefault="008324B7" w:rsidP="006D398D">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Prasīb</w:t>
            </w:r>
            <w:r w:rsidR="0073694D">
              <w:rPr>
                <w:rFonts w:ascii="Times New Roman" w:hAnsi="Times New Roman" w:cs="Times New Roman"/>
                <w:color w:val="000000" w:themeColor="text1"/>
                <w:sz w:val="24"/>
                <w:szCs w:val="24"/>
              </w:rPr>
              <w:t xml:space="preserve">u pārņemšanu </w:t>
            </w:r>
            <w:r w:rsidR="00235E37">
              <w:rPr>
                <w:rFonts w:ascii="Times New Roman" w:hAnsi="Times New Roman" w:cs="Times New Roman"/>
                <w:color w:val="000000" w:themeColor="text1"/>
                <w:sz w:val="24"/>
                <w:szCs w:val="24"/>
              </w:rPr>
              <w:t xml:space="preserve">būtiski </w:t>
            </w:r>
            <w:r w:rsidR="0073694D">
              <w:rPr>
                <w:rFonts w:ascii="Times New Roman" w:hAnsi="Times New Roman" w:cs="Times New Roman"/>
                <w:color w:val="000000" w:themeColor="text1"/>
                <w:sz w:val="24"/>
                <w:szCs w:val="24"/>
              </w:rPr>
              <w:t xml:space="preserve">veicinās šī </w:t>
            </w:r>
            <w:r>
              <w:rPr>
                <w:rFonts w:ascii="Times New Roman" w:hAnsi="Times New Roman" w:cs="Times New Roman"/>
                <w:color w:val="000000" w:themeColor="text1"/>
                <w:sz w:val="24"/>
                <w:szCs w:val="24"/>
              </w:rPr>
              <w:t>likumprojekt</w:t>
            </w:r>
            <w:r w:rsidR="0073694D">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xml:space="preserve"> “</w:t>
            </w:r>
            <w:r w:rsidRPr="008324B7">
              <w:rPr>
                <w:rFonts w:ascii="Times New Roman" w:hAnsi="Times New Roman" w:cs="Times New Roman"/>
                <w:color w:val="000000" w:themeColor="text1"/>
                <w:sz w:val="24"/>
                <w:szCs w:val="24"/>
              </w:rPr>
              <w:t>Grozījumi likumā „Par akcīzes nodokli”</w:t>
            </w:r>
            <w:r>
              <w:rPr>
                <w:rFonts w:ascii="Times New Roman" w:hAnsi="Times New Roman" w:cs="Times New Roman"/>
                <w:color w:val="000000" w:themeColor="text1"/>
                <w:sz w:val="24"/>
                <w:szCs w:val="24"/>
              </w:rPr>
              <w:t>”</w:t>
            </w:r>
            <w:r w:rsidR="0073694D">
              <w:rPr>
                <w:rFonts w:ascii="Times New Roman" w:hAnsi="Times New Roman" w:cs="Times New Roman"/>
                <w:color w:val="000000" w:themeColor="text1"/>
                <w:sz w:val="24"/>
                <w:szCs w:val="24"/>
              </w:rPr>
              <w:t xml:space="preserve"> īstenošana.</w:t>
            </w:r>
          </w:p>
          <w:p w14:paraId="08A36C59" w14:textId="76172329" w:rsidR="008324B7" w:rsidRPr="00B6105A" w:rsidRDefault="008324B7" w:rsidP="006D398D">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Atbildīgā Satiksmes ministrija</w:t>
            </w:r>
            <w:r w:rsidR="00A411D8">
              <w:rPr>
                <w:rFonts w:ascii="Times New Roman" w:hAnsi="Times New Roman" w:cs="Times New Roman"/>
                <w:color w:val="000000" w:themeColor="text1"/>
                <w:sz w:val="24"/>
                <w:szCs w:val="24"/>
              </w:rPr>
              <w:t>.</w:t>
            </w:r>
          </w:p>
        </w:tc>
        <w:tc>
          <w:tcPr>
            <w:tcW w:w="1226" w:type="pct"/>
          </w:tcPr>
          <w:p w14:paraId="0080588B" w14:textId="77777777" w:rsidR="008324B7" w:rsidRPr="00B6105A" w:rsidRDefault="008324B7" w:rsidP="006D398D">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Neparedz stingrākas prasības</w:t>
            </w:r>
          </w:p>
        </w:tc>
      </w:tr>
      <w:tr w:rsidR="00B6105A" w:rsidRPr="00B6105A" w14:paraId="294DB428" w14:textId="77777777" w:rsidTr="006D398D">
        <w:trPr>
          <w:cantSplit/>
        </w:trPr>
        <w:tc>
          <w:tcPr>
            <w:tcW w:w="846" w:type="pct"/>
            <w:gridSpan w:val="2"/>
            <w:hideMark/>
          </w:tcPr>
          <w:p w14:paraId="3F499812" w14:textId="77777777" w:rsidR="00987784" w:rsidRPr="00B6105A" w:rsidRDefault="00987784" w:rsidP="006D398D">
            <w:pPr>
              <w:spacing w:before="120" w:after="120" w:line="240" w:lineRule="auto"/>
              <w:rPr>
                <w:rFonts w:ascii="Times New Roman" w:hAnsi="Times New Roman" w:cs="Times New Roman"/>
                <w:color w:val="000000" w:themeColor="text1"/>
                <w:sz w:val="24"/>
                <w:szCs w:val="24"/>
              </w:rPr>
            </w:pPr>
            <w:r w:rsidRPr="00B6105A">
              <w:rPr>
                <w:rFonts w:ascii="Times New Roman" w:hAnsi="Times New Roman" w:cs="Times New Roman"/>
                <w:color w:val="000000" w:themeColor="text1"/>
                <w:sz w:val="24"/>
                <w:szCs w:val="24"/>
              </w:rPr>
              <w:t>Kā ir izmantota ES tiesību aktā paredzētā rīcības brīvība dalībvalstij pārņemt vai ieviest noteiktas ES tiesību akta normas? Kādēļ?</w:t>
            </w:r>
          </w:p>
        </w:tc>
        <w:tc>
          <w:tcPr>
            <w:tcW w:w="4154" w:type="pct"/>
            <w:gridSpan w:val="4"/>
            <w:hideMark/>
          </w:tcPr>
          <w:p w14:paraId="055BAECD" w14:textId="70ACE4C9" w:rsidR="00987784" w:rsidRPr="00B6105A" w:rsidRDefault="00AA543A" w:rsidP="00503E46">
            <w:pPr>
              <w:spacing w:before="120" w:after="120" w:line="240" w:lineRule="auto"/>
              <w:ind w:firstLine="138"/>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lv-LV"/>
              </w:rPr>
              <w:t>Projekts šo jomu neskar</w:t>
            </w:r>
            <w:r w:rsidR="00A411D8">
              <w:rPr>
                <w:rFonts w:ascii="Times New Roman" w:eastAsia="Times New Roman" w:hAnsi="Times New Roman" w:cs="Times New Roman"/>
                <w:color w:val="000000" w:themeColor="text1"/>
                <w:sz w:val="24"/>
                <w:szCs w:val="24"/>
                <w:lang w:eastAsia="lv-LV"/>
              </w:rPr>
              <w:t>.</w:t>
            </w:r>
          </w:p>
        </w:tc>
      </w:tr>
      <w:tr w:rsidR="00B6105A" w:rsidRPr="00B6105A" w14:paraId="4BF05E9E" w14:textId="77777777" w:rsidTr="006D398D">
        <w:trPr>
          <w:cantSplit/>
        </w:trPr>
        <w:tc>
          <w:tcPr>
            <w:tcW w:w="846" w:type="pct"/>
            <w:gridSpan w:val="2"/>
            <w:hideMark/>
          </w:tcPr>
          <w:p w14:paraId="25053986" w14:textId="77777777" w:rsidR="00987784" w:rsidRPr="00B6105A" w:rsidRDefault="00987784" w:rsidP="006D398D">
            <w:pPr>
              <w:spacing w:before="120" w:after="120" w:line="240" w:lineRule="auto"/>
              <w:rPr>
                <w:rFonts w:ascii="Times New Roman" w:hAnsi="Times New Roman" w:cs="Times New Roman"/>
                <w:color w:val="000000" w:themeColor="text1"/>
                <w:sz w:val="24"/>
                <w:szCs w:val="24"/>
              </w:rPr>
            </w:pPr>
            <w:r w:rsidRPr="00B6105A">
              <w:rPr>
                <w:rFonts w:ascii="Times New Roman" w:hAnsi="Times New Roman" w:cs="Times New Roman"/>
                <w:color w:val="000000" w:themeColor="text1"/>
                <w:sz w:val="24"/>
                <w:szCs w:val="24"/>
              </w:rPr>
              <w:lastRenderedPageBreak/>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4154" w:type="pct"/>
            <w:gridSpan w:val="4"/>
            <w:hideMark/>
          </w:tcPr>
          <w:p w14:paraId="547C9F19" w14:textId="33D1EDD4" w:rsidR="00987784" w:rsidRPr="00B6105A" w:rsidRDefault="00AA543A" w:rsidP="00503E46">
            <w:pPr>
              <w:spacing w:before="120" w:after="120" w:line="240" w:lineRule="auto"/>
              <w:ind w:firstLine="138"/>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lv-LV"/>
              </w:rPr>
              <w:t>Projekts šo jomu neskar</w:t>
            </w:r>
            <w:r w:rsidR="00A411D8">
              <w:rPr>
                <w:rFonts w:ascii="Times New Roman" w:eastAsia="Times New Roman" w:hAnsi="Times New Roman" w:cs="Times New Roman"/>
                <w:color w:val="000000" w:themeColor="text1"/>
                <w:sz w:val="24"/>
                <w:szCs w:val="24"/>
                <w:lang w:eastAsia="lv-LV"/>
              </w:rPr>
              <w:t>.</w:t>
            </w:r>
          </w:p>
        </w:tc>
      </w:tr>
      <w:tr w:rsidR="00B6105A" w:rsidRPr="00B6105A" w14:paraId="63EEAE82" w14:textId="77777777" w:rsidTr="006D398D">
        <w:trPr>
          <w:cantSplit/>
        </w:trPr>
        <w:tc>
          <w:tcPr>
            <w:tcW w:w="846" w:type="pct"/>
            <w:gridSpan w:val="2"/>
            <w:hideMark/>
          </w:tcPr>
          <w:p w14:paraId="5F6AB9C0" w14:textId="77777777" w:rsidR="00987784" w:rsidRPr="00B6105A" w:rsidRDefault="00987784" w:rsidP="006D398D">
            <w:pPr>
              <w:spacing w:before="120" w:after="120" w:line="240" w:lineRule="auto"/>
              <w:rPr>
                <w:rFonts w:ascii="Times New Roman" w:hAnsi="Times New Roman" w:cs="Times New Roman"/>
                <w:color w:val="000000" w:themeColor="text1"/>
                <w:sz w:val="24"/>
                <w:szCs w:val="24"/>
              </w:rPr>
            </w:pPr>
            <w:r w:rsidRPr="00B6105A">
              <w:rPr>
                <w:rFonts w:ascii="Times New Roman" w:hAnsi="Times New Roman" w:cs="Times New Roman"/>
                <w:color w:val="000000" w:themeColor="text1"/>
                <w:sz w:val="24"/>
                <w:szCs w:val="24"/>
              </w:rPr>
              <w:t>Cita informācija</w:t>
            </w:r>
          </w:p>
        </w:tc>
        <w:tc>
          <w:tcPr>
            <w:tcW w:w="4154" w:type="pct"/>
            <w:gridSpan w:val="4"/>
            <w:hideMark/>
          </w:tcPr>
          <w:p w14:paraId="1C64D93D" w14:textId="5D9AAB07" w:rsidR="00987784" w:rsidRPr="00B6105A" w:rsidRDefault="00DF0747" w:rsidP="00503E46">
            <w:pPr>
              <w:spacing w:before="120" w:after="120" w:line="240" w:lineRule="auto"/>
              <w:ind w:firstLine="138"/>
              <w:jc w:val="both"/>
              <w:rPr>
                <w:rFonts w:ascii="Times New Roman" w:hAnsi="Times New Roman" w:cs="Times New Roman"/>
                <w:color w:val="000000" w:themeColor="text1"/>
                <w:sz w:val="24"/>
                <w:szCs w:val="24"/>
              </w:rPr>
            </w:pPr>
            <w:r w:rsidRPr="00DF0747">
              <w:rPr>
                <w:rFonts w:ascii="Times New Roman" w:eastAsiaTheme="minorEastAsia" w:hAnsi="Times New Roman" w:cs="Times New Roman"/>
                <w:color w:val="000000" w:themeColor="text1"/>
                <w:sz w:val="24"/>
                <w:szCs w:val="24"/>
              </w:rPr>
              <w:t>Par Eiropas Parlamenta un Padomes 2014.gada 22.oktobra Direktīvas 2014/94/ES par alternatīvo degvielu infrastruktūru pārņemšanu atbildīgā institūcija ir Satiksmes ministrija. Tomēr ar likumprojektu Ekonomikas ministrijas ieskatā tiek veicināta Direktīvas 6. panta 7. un 8. punkta pārņemšanas prasību izpilde, jo prognozējams, ka valsts atbalsta turpinājums, piemērojot vispārīgo samazināto nodokļu likmi dabasgāzei, kuru izmanto kā transporta degvielu, ir viens no pasākumiem dabasgāzes kā degvielas izmantošanas veicināšanai Latvijā.</w:t>
            </w:r>
          </w:p>
        </w:tc>
      </w:tr>
      <w:tr w:rsidR="00B6105A" w:rsidRPr="00B6105A" w14:paraId="432BC71F" w14:textId="77777777" w:rsidTr="006D398D">
        <w:trPr>
          <w:cantSplit/>
        </w:trPr>
        <w:tc>
          <w:tcPr>
            <w:tcW w:w="5000" w:type="pct"/>
            <w:gridSpan w:val="6"/>
            <w:vAlign w:val="center"/>
            <w:hideMark/>
          </w:tcPr>
          <w:p w14:paraId="56A997A7" w14:textId="77777777" w:rsidR="00987784" w:rsidRPr="00B6105A" w:rsidRDefault="00987784" w:rsidP="006D398D">
            <w:pPr>
              <w:spacing w:before="120" w:after="120" w:line="240" w:lineRule="auto"/>
              <w:jc w:val="center"/>
              <w:rPr>
                <w:rFonts w:ascii="Times New Roman" w:hAnsi="Times New Roman" w:cs="Times New Roman"/>
                <w:b/>
                <w:bCs/>
                <w:color w:val="000000" w:themeColor="text1"/>
                <w:sz w:val="24"/>
                <w:szCs w:val="24"/>
              </w:rPr>
            </w:pPr>
            <w:r w:rsidRPr="00B6105A">
              <w:rPr>
                <w:rFonts w:ascii="Times New Roman" w:hAnsi="Times New Roman" w:cs="Times New Roman"/>
                <w:b/>
                <w:bCs/>
                <w:color w:val="000000" w:themeColor="text1"/>
                <w:sz w:val="24"/>
                <w:szCs w:val="24"/>
              </w:rPr>
              <w:t>2. tabula</w:t>
            </w:r>
            <w:r w:rsidRPr="00B6105A">
              <w:rPr>
                <w:rFonts w:ascii="Times New Roman" w:hAnsi="Times New Roman" w:cs="Times New Roman"/>
                <w:b/>
                <w:bCs/>
                <w:color w:val="000000" w:themeColor="text1"/>
                <w:sz w:val="24"/>
                <w:szCs w:val="24"/>
              </w:rPr>
              <w:br/>
              <w:t>Ar tiesību akta projektu izpildītās vai uzņemtās saistības, kas izriet no starptautiskajiem tiesību aktiem vai starptautiskas institūcijas vai organizācijas dokumentiem.</w:t>
            </w:r>
            <w:r w:rsidRPr="00B6105A">
              <w:rPr>
                <w:rFonts w:ascii="Times New Roman" w:hAnsi="Times New Roman" w:cs="Times New Roman"/>
                <w:b/>
                <w:bCs/>
                <w:color w:val="000000" w:themeColor="text1"/>
                <w:sz w:val="24"/>
                <w:szCs w:val="24"/>
              </w:rPr>
              <w:br/>
              <w:t>Pasākumi šo saistību izpildei</w:t>
            </w:r>
          </w:p>
        </w:tc>
      </w:tr>
      <w:tr w:rsidR="00B6105A" w:rsidRPr="00B6105A" w14:paraId="1139DD00" w14:textId="77777777" w:rsidTr="006D398D">
        <w:trPr>
          <w:cantSplit/>
        </w:trPr>
        <w:tc>
          <w:tcPr>
            <w:tcW w:w="5000" w:type="pct"/>
            <w:gridSpan w:val="6"/>
          </w:tcPr>
          <w:p w14:paraId="0182C7DB" w14:textId="16F9B160" w:rsidR="00461FEE" w:rsidRPr="00B6105A" w:rsidRDefault="00AA543A" w:rsidP="006D398D">
            <w:pPr>
              <w:spacing w:before="120" w:after="120" w:line="240" w:lineRule="auto"/>
              <w:jc w:val="center"/>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Projekts šo jomu neskar</w:t>
            </w:r>
            <w:r w:rsidR="00A411D8">
              <w:rPr>
                <w:rFonts w:ascii="Times New Roman" w:hAnsi="Times New Roman" w:cs="Times New Roman"/>
                <w:bCs/>
                <w:color w:val="000000" w:themeColor="text1"/>
                <w:sz w:val="24"/>
                <w:szCs w:val="24"/>
              </w:rPr>
              <w:t>.</w:t>
            </w:r>
          </w:p>
        </w:tc>
      </w:tr>
    </w:tbl>
    <w:p w14:paraId="73E00491" w14:textId="77777777" w:rsidR="00987784" w:rsidRPr="004F02C8" w:rsidRDefault="00987784" w:rsidP="006D398D">
      <w:pPr>
        <w:pStyle w:val="Title"/>
        <w:spacing w:before="120" w:after="120"/>
        <w:ind w:firstLine="539"/>
        <w:jc w:val="both"/>
        <w:rPr>
          <w:color w:val="FF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4"/>
        <w:gridCol w:w="2680"/>
        <w:gridCol w:w="5817"/>
      </w:tblGrid>
      <w:tr w:rsidR="00B6105A" w:rsidRPr="00B6105A" w14:paraId="768BC30A" w14:textId="77777777" w:rsidTr="00EC7DA9">
        <w:trPr>
          <w:cantSplit/>
        </w:trPr>
        <w:tc>
          <w:tcPr>
            <w:tcW w:w="5000" w:type="pct"/>
            <w:gridSpan w:val="3"/>
            <w:vAlign w:val="center"/>
            <w:hideMark/>
          </w:tcPr>
          <w:p w14:paraId="741C2386" w14:textId="77777777" w:rsidR="00987784" w:rsidRPr="00B6105A" w:rsidRDefault="00987784" w:rsidP="006D398D">
            <w:pPr>
              <w:spacing w:before="120" w:after="120" w:line="240" w:lineRule="auto"/>
              <w:jc w:val="center"/>
              <w:rPr>
                <w:rFonts w:ascii="Times New Roman" w:hAnsi="Times New Roman" w:cs="Times New Roman"/>
                <w:b/>
                <w:bCs/>
                <w:color w:val="000000" w:themeColor="text1"/>
                <w:sz w:val="24"/>
                <w:szCs w:val="24"/>
              </w:rPr>
            </w:pPr>
            <w:bookmarkStart w:id="3" w:name="_Hlk66460805"/>
            <w:r w:rsidRPr="00B6105A">
              <w:rPr>
                <w:rFonts w:ascii="Times New Roman" w:hAnsi="Times New Roman" w:cs="Times New Roman"/>
                <w:b/>
                <w:bCs/>
                <w:color w:val="000000" w:themeColor="text1"/>
                <w:sz w:val="24"/>
                <w:szCs w:val="24"/>
              </w:rPr>
              <w:t>VI. Sabiedrības līdzdalība un komunikācijas aktivitātes</w:t>
            </w:r>
          </w:p>
        </w:tc>
      </w:tr>
      <w:tr w:rsidR="00B6105A" w:rsidRPr="00B6105A" w14:paraId="283004A1" w14:textId="77777777" w:rsidTr="00EC7DA9">
        <w:trPr>
          <w:cantSplit/>
        </w:trPr>
        <w:tc>
          <w:tcPr>
            <w:tcW w:w="311" w:type="pct"/>
            <w:hideMark/>
          </w:tcPr>
          <w:p w14:paraId="6AC63E1B" w14:textId="77777777" w:rsidR="00987784" w:rsidRPr="00B6105A" w:rsidRDefault="00987784" w:rsidP="006D398D">
            <w:pPr>
              <w:spacing w:before="120" w:after="120" w:line="240" w:lineRule="auto"/>
              <w:jc w:val="center"/>
              <w:rPr>
                <w:rFonts w:ascii="Times New Roman" w:hAnsi="Times New Roman" w:cs="Times New Roman"/>
                <w:color w:val="000000" w:themeColor="text1"/>
                <w:sz w:val="24"/>
                <w:szCs w:val="24"/>
              </w:rPr>
            </w:pPr>
            <w:r w:rsidRPr="00B6105A">
              <w:rPr>
                <w:rFonts w:ascii="Times New Roman" w:hAnsi="Times New Roman" w:cs="Times New Roman"/>
                <w:color w:val="000000" w:themeColor="text1"/>
                <w:sz w:val="24"/>
                <w:szCs w:val="24"/>
              </w:rPr>
              <w:lastRenderedPageBreak/>
              <w:t>1.</w:t>
            </w:r>
          </w:p>
        </w:tc>
        <w:tc>
          <w:tcPr>
            <w:tcW w:w="1479" w:type="pct"/>
            <w:hideMark/>
          </w:tcPr>
          <w:p w14:paraId="52498C2A" w14:textId="77777777" w:rsidR="00987784" w:rsidRPr="00B6105A" w:rsidRDefault="00987784" w:rsidP="006D398D">
            <w:pPr>
              <w:spacing w:before="120" w:after="120" w:line="240" w:lineRule="auto"/>
              <w:rPr>
                <w:rFonts w:ascii="Times New Roman" w:hAnsi="Times New Roman" w:cs="Times New Roman"/>
                <w:color w:val="000000" w:themeColor="text1"/>
                <w:sz w:val="24"/>
                <w:szCs w:val="24"/>
              </w:rPr>
            </w:pPr>
            <w:r w:rsidRPr="00B6105A">
              <w:rPr>
                <w:rFonts w:ascii="Times New Roman" w:hAnsi="Times New Roman" w:cs="Times New Roman"/>
                <w:color w:val="000000" w:themeColor="text1"/>
                <w:sz w:val="24"/>
                <w:szCs w:val="24"/>
              </w:rPr>
              <w:t>Plānotās sabiedrības līdzdalības un komunikācijas aktivitātes saistībā ar projektu</w:t>
            </w:r>
          </w:p>
        </w:tc>
        <w:tc>
          <w:tcPr>
            <w:tcW w:w="3210" w:type="pct"/>
            <w:hideMark/>
          </w:tcPr>
          <w:p w14:paraId="6A9318EC" w14:textId="1AD1CBF5" w:rsidR="006A44E0" w:rsidRPr="00B6105A" w:rsidRDefault="00172DEC" w:rsidP="00EA776E">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Sabiedrības līdzdalība </w:t>
            </w:r>
            <w:r w:rsidR="00EB482E">
              <w:rPr>
                <w:rFonts w:ascii="Times New Roman" w:hAnsi="Times New Roman" w:cs="Times New Roman"/>
                <w:color w:val="000000" w:themeColor="text1"/>
                <w:sz w:val="24"/>
                <w:szCs w:val="24"/>
              </w:rPr>
              <w:t xml:space="preserve">tiks </w:t>
            </w:r>
            <w:r>
              <w:rPr>
                <w:rFonts w:ascii="Times New Roman" w:hAnsi="Times New Roman" w:cs="Times New Roman"/>
                <w:color w:val="000000" w:themeColor="text1"/>
                <w:sz w:val="24"/>
                <w:szCs w:val="24"/>
              </w:rPr>
              <w:t>īstenota saskaņā ar Ministru kabineta 2009. gada 25. augusta noteikumu Nr. 970 “Sabiedrības līdzdalības kārtība attīstības plānošanas procesā” 7.4. apakšpunktu.</w:t>
            </w:r>
            <w:r w:rsidR="00D003CB">
              <w:rPr>
                <w:rFonts w:ascii="Times New Roman" w:hAnsi="Times New Roman" w:cs="Times New Roman"/>
                <w:color w:val="000000" w:themeColor="text1"/>
                <w:sz w:val="24"/>
                <w:szCs w:val="24"/>
              </w:rPr>
              <w:t xml:space="preserve"> </w:t>
            </w:r>
          </w:p>
        </w:tc>
      </w:tr>
      <w:tr w:rsidR="00B6105A" w:rsidRPr="00B6105A" w14:paraId="0347717A" w14:textId="77777777" w:rsidTr="00EC7DA9">
        <w:trPr>
          <w:cantSplit/>
        </w:trPr>
        <w:tc>
          <w:tcPr>
            <w:tcW w:w="311" w:type="pct"/>
            <w:hideMark/>
          </w:tcPr>
          <w:p w14:paraId="552E67BC" w14:textId="77777777" w:rsidR="00987784" w:rsidRPr="00B6105A" w:rsidRDefault="00987784" w:rsidP="006D398D">
            <w:pPr>
              <w:spacing w:before="120" w:after="120" w:line="240" w:lineRule="auto"/>
              <w:jc w:val="center"/>
              <w:rPr>
                <w:rFonts w:ascii="Times New Roman" w:hAnsi="Times New Roman" w:cs="Times New Roman"/>
                <w:color w:val="000000" w:themeColor="text1"/>
                <w:sz w:val="24"/>
                <w:szCs w:val="24"/>
              </w:rPr>
            </w:pPr>
            <w:r w:rsidRPr="00B6105A">
              <w:rPr>
                <w:rFonts w:ascii="Times New Roman" w:hAnsi="Times New Roman" w:cs="Times New Roman"/>
                <w:color w:val="000000" w:themeColor="text1"/>
                <w:sz w:val="24"/>
                <w:szCs w:val="24"/>
              </w:rPr>
              <w:t>2.</w:t>
            </w:r>
          </w:p>
        </w:tc>
        <w:tc>
          <w:tcPr>
            <w:tcW w:w="1479" w:type="pct"/>
            <w:hideMark/>
          </w:tcPr>
          <w:p w14:paraId="704E6991" w14:textId="77777777" w:rsidR="00987784" w:rsidRPr="00B6105A" w:rsidRDefault="00987784" w:rsidP="006D398D">
            <w:pPr>
              <w:spacing w:before="120" w:after="120" w:line="240" w:lineRule="auto"/>
              <w:rPr>
                <w:rFonts w:ascii="Times New Roman" w:hAnsi="Times New Roman" w:cs="Times New Roman"/>
                <w:color w:val="000000" w:themeColor="text1"/>
                <w:sz w:val="24"/>
                <w:szCs w:val="24"/>
              </w:rPr>
            </w:pPr>
            <w:r w:rsidRPr="00B6105A">
              <w:rPr>
                <w:rFonts w:ascii="Times New Roman" w:hAnsi="Times New Roman" w:cs="Times New Roman"/>
                <w:color w:val="000000" w:themeColor="text1"/>
                <w:sz w:val="24"/>
                <w:szCs w:val="24"/>
              </w:rPr>
              <w:t>Sabiedrības līdzdalība projekta izstrādē</w:t>
            </w:r>
          </w:p>
        </w:tc>
        <w:tc>
          <w:tcPr>
            <w:tcW w:w="3210" w:type="pct"/>
            <w:hideMark/>
          </w:tcPr>
          <w:p w14:paraId="0B34CA74" w14:textId="173E6603" w:rsidR="00987784" w:rsidRPr="00B6105A" w:rsidRDefault="00172DEC" w:rsidP="00CF6B7A">
            <w:pPr>
              <w:spacing w:before="120" w:after="120" w:line="240" w:lineRule="auto"/>
              <w:jc w:val="both"/>
              <w:rPr>
                <w:rFonts w:ascii="Times New Roman" w:hAnsi="Times New Roman" w:cs="Times New Roman"/>
                <w:color w:val="000000" w:themeColor="text1"/>
                <w:sz w:val="24"/>
                <w:szCs w:val="24"/>
              </w:rPr>
            </w:pPr>
            <w:r w:rsidRPr="00172DEC">
              <w:rPr>
                <w:rFonts w:ascii="Times New Roman" w:hAnsi="Times New Roman" w:cs="Times New Roman"/>
                <w:color w:val="000000" w:themeColor="text1"/>
                <w:sz w:val="24"/>
                <w:szCs w:val="24"/>
              </w:rPr>
              <w:t xml:space="preserve">Sabiedrības līdzdalība </w:t>
            </w:r>
            <w:r w:rsidR="003E5A3D">
              <w:rPr>
                <w:rFonts w:ascii="Times New Roman" w:hAnsi="Times New Roman" w:cs="Times New Roman"/>
                <w:color w:val="000000" w:themeColor="text1"/>
                <w:sz w:val="24"/>
                <w:szCs w:val="24"/>
              </w:rPr>
              <w:t xml:space="preserve">tiks </w:t>
            </w:r>
            <w:r w:rsidRPr="00172DEC">
              <w:rPr>
                <w:rFonts w:ascii="Times New Roman" w:hAnsi="Times New Roman" w:cs="Times New Roman"/>
                <w:color w:val="000000" w:themeColor="text1"/>
                <w:sz w:val="24"/>
                <w:szCs w:val="24"/>
              </w:rPr>
              <w:t>īstenota saskaņā ar Ministru kabineta 2009. gada 25. augusta noteikumu Nr. 970 “Sabiedrības līdzdalības kārtība attīstības plānošanas procesā” 7.4.</w:t>
            </w:r>
            <w:r w:rsidRPr="00172DEC">
              <w:rPr>
                <w:rFonts w:ascii="Times New Roman" w:hAnsi="Times New Roman" w:cs="Times New Roman"/>
                <w:color w:val="000000" w:themeColor="text1"/>
                <w:sz w:val="24"/>
                <w:szCs w:val="24"/>
                <w:vertAlign w:val="superscript"/>
              </w:rPr>
              <w:t>1</w:t>
            </w:r>
            <w:r w:rsidRPr="00172DEC">
              <w:rPr>
                <w:rFonts w:ascii="Times New Roman" w:hAnsi="Times New Roman" w:cs="Times New Roman"/>
                <w:color w:val="000000" w:themeColor="text1"/>
                <w:sz w:val="24"/>
                <w:szCs w:val="24"/>
              </w:rPr>
              <w:t xml:space="preserve">apakšpunktu – </w:t>
            </w:r>
            <w:r>
              <w:rPr>
                <w:rFonts w:ascii="Times New Roman" w:hAnsi="Times New Roman" w:cs="Times New Roman"/>
                <w:color w:val="000000" w:themeColor="text1"/>
                <w:sz w:val="24"/>
                <w:szCs w:val="24"/>
              </w:rPr>
              <w:t xml:space="preserve">Likumprojekts </w:t>
            </w:r>
            <w:r w:rsidR="00331A60">
              <w:rPr>
                <w:rFonts w:ascii="Times New Roman" w:hAnsi="Times New Roman" w:cs="Times New Roman"/>
                <w:color w:val="000000" w:themeColor="text1"/>
                <w:sz w:val="24"/>
                <w:szCs w:val="24"/>
              </w:rPr>
              <w:t xml:space="preserve">tiks </w:t>
            </w:r>
            <w:r w:rsidRPr="00172DEC">
              <w:rPr>
                <w:rFonts w:ascii="Times New Roman" w:hAnsi="Times New Roman" w:cs="Times New Roman"/>
                <w:color w:val="000000" w:themeColor="text1"/>
                <w:sz w:val="24"/>
                <w:szCs w:val="24"/>
              </w:rPr>
              <w:t>publicēts</w:t>
            </w:r>
            <w:r>
              <w:rPr>
                <w:rFonts w:ascii="Times New Roman" w:hAnsi="Times New Roman" w:cs="Times New Roman"/>
                <w:color w:val="000000" w:themeColor="text1"/>
                <w:sz w:val="24"/>
                <w:szCs w:val="24"/>
              </w:rPr>
              <w:t xml:space="preserve"> Ekonomikas ministrijas</w:t>
            </w:r>
            <w:r w:rsidR="00CF6B7A">
              <w:rPr>
                <w:rFonts w:ascii="Times New Roman" w:hAnsi="Times New Roman" w:cs="Times New Roman"/>
                <w:color w:val="000000" w:themeColor="text1"/>
                <w:sz w:val="24"/>
                <w:szCs w:val="24"/>
              </w:rPr>
              <w:t xml:space="preserve"> </w:t>
            </w:r>
            <w:r w:rsidR="00D466B6">
              <w:rPr>
                <w:rFonts w:ascii="Times New Roman" w:hAnsi="Times New Roman" w:cs="Times New Roman"/>
                <w:color w:val="000000" w:themeColor="text1"/>
                <w:sz w:val="24"/>
                <w:szCs w:val="24"/>
              </w:rPr>
              <w:t xml:space="preserve">tīmekļvietnē: </w:t>
            </w:r>
            <w:r w:rsidR="00D466B6" w:rsidRPr="00D466B6">
              <w:rPr>
                <w:rFonts w:ascii="Times New Roman" w:hAnsi="Times New Roman" w:cs="Times New Roman"/>
                <w:color w:val="000000" w:themeColor="text1"/>
                <w:sz w:val="24"/>
                <w:szCs w:val="24"/>
              </w:rPr>
              <w:t>https://www.em.gov.lv/lv/diskusiju-dokumenti</w:t>
            </w:r>
            <w:r w:rsidRPr="00172DEC">
              <w:rPr>
                <w:rFonts w:ascii="Times New Roman" w:hAnsi="Times New Roman" w:cs="Times New Roman"/>
                <w:color w:val="000000" w:themeColor="text1"/>
                <w:sz w:val="24"/>
                <w:szCs w:val="24"/>
              </w:rPr>
              <w:t xml:space="preserve"> </w:t>
            </w:r>
            <w:r w:rsidR="00331A60">
              <w:rPr>
                <w:rFonts w:ascii="Times New Roman" w:hAnsi="Times New Roman" w:cs="Times New Roman"/>
                <w:color w:val="000000" w:themeColor="text1"/>
                <w:sz w:val="24"/>
                <w:szCs w:val="24"/>
              </w:rPr>
              <w:t>.</w:t>
            </w:r>
            <w:r w:rsidR="00D003CB">
              <w:rPr>
                <w:rFonts w:ascii="Times New Roman" w:hAnsi="Times New Roman" w:cs="Times New Roman"/>
                <w:color w:val="000000" w:themeColor="text1"/>
                <w:sz w:val="24"/>
                <w:szCs w:val="24"/>
              </w:rPr>
              <w:t xml:space="preserve">  </w:t>
            </w:r>
          </w:p>
        </w:tc>
      </w:tr>
      <w:tr w:rsidR="00B6105A" w:rsidRPr="00B6105A" w14:paraId="057B04BC" w14:textId="77777777" w:rsidTr="00EC7DA9">
        <w:trPr>
          <w:cantSplit/>
        </w:trPr>
        <w:tc>
          <w:tcPr>
            <w:tcW w:w="311" w:type="pct"/>
            <w:hideMark/>
          </w:tcPr>
          <w:p w14:paraId="66D904AC" w14:textId="77777777" w:rsidR="00987784" w:rsidRPr="00B6105A" w:rsidRDefault="00987784" w:rsidP="006D398D">
            <w:pPr>
              <w:spacing w:before="120" w:after="120" w:line="240" w:lineRule="auto"/>
              <w:jc w:val="center"/>
              <w:rPr>
                <w:rFonts w:ascii="Times New Roman" w:hAnsi="Times New Roman" w:cs="Times New Roman"/>
                <w:color w:val="000000" w:themeColor="text1"/>
                <w:sz w:val="24"/>
                <w:szCs w:val="24"/>
              </w:rPr>
            </w:pPr>
            <w:r w:rsidRPr="00B6105A">
              <w:rPr>
                <w:rFonts w:ascii="Times New Roman" w:hAnsi="Times New Roman" w:cs="Times New Roman"/>
                <w:color w:val="000000" w:themeColor="text1"/>
                <w:sz w:val="24"/>
                <w:szCs w:val="24"/>
              </w:rPr>
              <w:t>3.</w:t>
            </w:r>
          </w:p>
        </w:tc>
        <w:tc>
          <w:tcPr>
            <w:tcW w:w="1479" w:type="pct"/>
            <w:hideMark/>
          </w:tcPr>
          <w:p w14:paraId="2E9532E6" w14:textId="77777777" w:rsidR="00987784" w:rsidRPr="00B6105A" w:rsidRDefault="00987784" w:rsidP="006D398D">
            <w:pPr>
              <w:spacing w:before="120" w:after="120" w:line="240" w:lineRule="auto"/>
              <w:rPr>
                <w:rFonts w:ascii="Times New Roman" w:hAnsi="Times New Roman" w:cs="Times New Roman"/>
                <w:color w:val="000000" w:themeColor="text1"/>
                <w:sz w:val="24"/>
                <w:szCs w:val="24"/>
              </w:rPr>
            </w:pPr>
            <w:r w:rsidRPr="00B6105A">
              <w:rPr>
                <w:rFonts w:ascii="Times New Roman" w:hAnsi="Times New Roman" w:cs="Times New Roman"/>
                <w:color w:val="000000" w:themeColor="text1"/>
                <w:sz w:val="24"/>
                <w:szCs w:val="24"/>
              </w:rPr>
              <w:t>Sabiedrības līdzdalības rezultāti</w:t>
            </w:r>
          </w:p>
        </w:tc>
        <w:tc>
          <w:tcPr>
            <w:tcW w:w="3210" w:type="pct"/>
            <w:hideMark/>
          </w:tcPr>
          <w:p w14:paraId="2CCE6810" w14:textId="7B5196C7" w:rsidR="00987784" w:rsidRPr="00B6105A" w:rsidRDefault="003E5A3D" w:rsidP="00A71A5A">
            <w:pPr>
              <w:spacing w:before="120" w:after="120" w:line="240" w:lineRule="auto"/>
              <w:rPr>
                <w:rFonts w:ascii="Times New Roman" w:hAnsi="Times New Roman" w:cs="Times New Roman"/>
                <w:color w:val="000000" w:themeColor="text1"/>
                <w:sz w:val="24"/>
                <w:szCs w:val="24"/>
              </w:rPr>
            </w:pPr>
            <w:r>
              <w:rPr>
                <w:rFonts w:ascii="Times New Roman" w:eastAsia="Times New Roman" w:hAnsi="Times New Roman"/>
                <w:iCs/>
                <w:sz w:val="24"/>
                <w:szCs w:val="24"/>
                <w:lang w:eastAsia="lv-LV"/>
              </w:rPr>
              <w:t>Tiks apkopoti pēc saņemto viedokļu apkopošanas.</w:t>
            </w:r>
            <w:r w:rsidR="00D466B6">
              <w:rPr>
                <w:rFonts w:ascii="Times New Roman" w:hAnsi="Times New Roman" w:cs="Times New Roman"/>
                <w:color w:val="000000" w:themeColor="text1"/>
                <w:sz w:val="24"/>
                <w:szCs w:val="24"/>
              </w:rPr>
              <w:t xml:space="preserve"> </w:t>
            </w:r>
            <w:r w:rsidR="00811E48">
              <w:rPr>
                <w:rFonts w:ascii="Times New Roman" w:hAnsi="Times New Roman" w:cs="Times New Roman"/>
                <w:color w:val="000000" w:themeColor="text1"/>
                <w:sz w:val="24"/>
                <w:szCs w:val="24"/>
              </w:rPr>
              <w:t xml:space="preserve">     </w:t>
            </w:r>
            <w:r w:rsidR="002B0C14">
              <w:rPr>
                <w:rFonts w:ascii="Times New Roman" w:hAnsi="Times New Roman" w:cs="Times New Roman"/>
                <w:color w:val="000000" w:themeColor="text1"/>
                <w:sz w:val="24"/>
                <w:szCs w:val="24"/>
              </w:rPr>
              <w:t xml:space="preserve"> </w:t>
            </w:r>
          </w:p>
        </w:tc>
      </w:tr>
      <w:tr w:rsidR="00B6105A" w:rsidRPr="00B6105A" w14:paraId="07B8EFA7" w14:textId="77777777" w:rsidTr="00EC7DA9">
        <w:trPr>
          <w:cantSplit/>
        </w:trPr>
        <w:tc>
          <w:tcPr>
            <w:tcW w:w="311" w:type="pct"/>
            <w:hideMark/>
          </w:tcPr>
          <w:p w14:paraId="5B714862" w14:textId="77777777" w:rsidR="00987784" w:rsidRPr="00B6105A" w:rsidRDefault="00987784" w:rsidP="006D398D">
            <w:pPr>
              <w:spacing w:before="120" w:after="120" w:line="240" w:lineRule="auto"/>
              <w:jc w:val="center"/>
              <w:rPr>
                <w:rFonts w:ascii="Times New Roman" w:hAnsi="Times New Roman" w:cs="Times New Roman"/>
                <w:color w:val="000000" w:themeColor="text1"/>
                <w:sz w:val="24"/>
                <w:szCs w:val="24"/>
              </w:rPr>
            </w:pPr>
            <w:r w:rsidRPr="00B6105A">
              <w:rPr>
                <w:rFonts w:ascii="Times New Roman" w:hAnsi="Times New Roman" w:cs="Times New Roman"/>
                <w:color w:val="000000" w:themeColor="text1"/>
                <w:sz w:val="24"/>
                <w:szCs w:val="24"/>
              </w:rPr>
              <w:t>4.</w:t>
            </w:r>
          </w:p>
        </w:tc>
        <w:tc>
          <w:tcPr>
            <w:tcW w:w="1479" w:type="pct"/>
            <w:hideMark/>
          </w:tcPr>
          <w:p w14:paraId="23F2B843" w14:textId="77777777" w:rsidR="00987784" w:rsidRPr="00B6105A" w:rsidRDefault="00987784" w:rsidP="006D398D">
            <w:pPr>
              <w:spacing w:before="120" w:after="120" w:line="240" w:lineRule="auto"/>
              <w:rPr>
                <w:rFonts w:ascii="Times New Roman" w:hAnsi="Times New Roman" w:cs="Times New Roman"/>
                <w:color w:val="000000" w:themeColor="text1"/>
                <w:sz w:val="24"/>
                <w:szCs w:val="24"/>
              </w:rPr>
            </w:pPr>
            <w:r w:rsidRPr="00B6105A">
              <w:rPr>
                <w:rFonts w:ascii="Times New Roman" w:hAnsi="Times New Roman" w:cs="Times New Roman"/>
                <w:color w:val="000000" w:themeColor="text1"/>
                <w:sz w:val="24"/>
                <w:szCs w:val="24"/>
              </w:rPr>
              <w:t>Cita informācija</w:t>
            </w:r>
          </w:p>
        </w:tc>
        <w:tc>
          <w:tcPr>
            <w:tcW w:w="3210" w:type="pct"/>
            <w:hideMark/>
          </w:tcPr>
          <w:p w14:paraId="3193A1F5" w14:textId="6B0FC16D" w:rsidR="00987784" w:rsidRPr="00B6105A" w:rsidRDefault="00E24946" w:rsidP="00503E46">
            <w:pPr>
              <w:spacing w:before="120" w:after="120" w:line="240" w:lineRule="auto"/>
              <w:ind w:firstLine="12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Nav.</w:t>
            </w:r>
          </w:p>
        </w:tc>
      </w:tr>
      <w:bookmarkEnd w:id="3"/>
    </w:tbl>
    <w:p w14:paraId="5CCE7D42" w14:textId="77777777" w:rsidR="00987784" w:rsidRPr="004F02C8" w:rsidRDefault="00987784" w:rsidP="006D398D">
      <w:pPr>
        <w:pStyle w:val="Title"/>
        <w:spacing w:before="120" w:after="120"/>
        <w:ind w:firstLine="539"/>
        <w:jc w:val="both"/>
        <w:rPr>
          <w:color w:val="FF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9061"/>
      </w:tblGrid>
      <w:tr w:rsidR="00B6105A" w:rsidRPr="00B6105A" w14:paraId="6780FF1A" w14:textId="77777777" w:rsidTr="00EC7DA9">
        <w:trPr>
          <w:cantSplit/>
        </w:trPr>
        <w:tc>
          <w:tcPr>
            <w:tcW w:w="5000" w:type="pct"/>
            <w:vAlign w:val="center"/>
            <w:hideMark/>
          </w:tcPr>
          <w:p w14:paraId="78A83187" w14:textId="77777777" w:rsidR="00987784" w:rsidRPr="00B6105A" w:rsidRDefault="00987784" w:rsidP="006D398D">
            <w:pPr>
              <w:spacing w:before="120" w:after="120" w:line="240" w:lineRule="auto"/>
              <w:jc w:val="center"/>
              <w:rPr>
                <w:rFonts w:ascii="Times New Roman" w:hAnsi="Times New Roman" w:cs="Times New Roman"/>
                <w:b/>
                <w:bCs/>
                <w:color w:val="000000" w:themeColor="text1"/>
                <w:sz w:val="24"/>
                <w:szCs w:val="24"/>
              </w:rPr>
            </w:pPr>
            <w:r w:rsidRPr="00B6105A">
              <w:rPr>
                <w:rFonts w:ascii="Times New Roman" w:hAnsi="Times New Roman" w:cs="Times New Roman"/>
                <w:b/>
                <w:bCs/>
                <w:color w:val="000000" w:themeColor="text1"/>
                <w:sz w:val="24"/>
                <w:szCs w:val="24"/>
              </w:rPr>
              <w:t>VII. Tiesību akta projekta izpildes nodrošināšana un tās ietekme uz institūcijām</w:t>
            </w:r>
          </w:p>
        </w:tc>
      </w:tr>
      <w:tr w:rsidR="00AA543A" w:rsidRPr="00B6105A" w14:paraId="31AFF28D" w14:textId="77777777" w:rsidTr="00AA543A">
        <w:trPr>
          <w:cantSplit/>
        </w:trPr>
        <w:tc>
          <w:tcPr>
            <w:tcW w:w="5000" w:type="pct"/>
            <w:vAlign w:val="center"/>
          </w:tcPr>
          <w:p w14:paraId="5AC77A69" w14:textId="25DAF1F2" w:rsidR="00AA543A" w:rsidRPr="00B6105A" w:rsidRDefault="00AA543A" w:rsidP="00A44C1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Projekts šo jomu neskar</w:t>
            </w:r>
            <w:r w:rsidR="00A411D8">
              <w:rPr>
                <w:rFonts w:ascii="Times New Roman" w:hAnsi="Times New Roman" w:cs="Times New Roman"/>
                <w:color w:val="000000" w:themeColor="text1"/>
                <w:sz w:val="24"/>
                <w:szCs w:val="24"/>
              </w:rPr>
              <w:t>.</w:t>
            </w:r>
          </w:p>
        </w:tc>
      </w:tr>
    </w:tbl>
    <w:p w14:paraId="1195D01E" w14:textId="77777777" w:rsidR="00B6105A" w:rsidRPr="00B6105A" w:rsidRDefault="00B6105A" w:rsidP="006D398D">
      <w:pPr>
        <w:spacing w:before="120" w:after="120" w:line="240" w:lineRule="auto"/>
        <w:rPr>
          <w:rFonts w:ascii="Times New Roman" w:hAnsi="Times New Roman" w:cs="Times New Roman"/>
          <w:color w:val="000000" w:themeColor="text1"/>
          <w:sz w:val="24"/>
          <w:szCs w:val="24"/>
        </w:rPr>
      </w:pPr>
    </w:p>
    <w:p w14:paraId="3B5DB689" w14:textId="2BDB7B79" w:rsidR="00D542A9" w:rsidRDefault="00680EF7" w:rsidP="006D398D">
      <w:pPr>
        <w:spacing w:before="120" w:after="12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Ekonomikas</w:t>
      </w:r>
      <w:r w:rsidR="00B6105A" w:rsidRPr="00B6105A">
        <w:rPr>
          <w:rFonts w:ascii="Times New Roman" w:hAnsi="Times New Roman" w:cs="Times New Roman"/>
          <w:color w:val="000000" w:themeColor="text1"/>
          <w:sz w:val="26"/>
          <w:szCs w:val="26"/>
        </w:rPr>
        <w:t xml:space="preserve"> ministrs</w:t>
      </w:r>
      <w:r w:rsidR="00B6105A" w:rsidRPr="00B6105A">
        <w:rPr>
          <w:rFonts w:ascii="Times New Roman" w:hAnsi="Times New Roman" w:cs="Times New Roman"/>
          <w:color w:val="000000" w:themeColor="text1"/>
          <w:sz w:val="26"/>
          <w:szCs w:val="26"/>
        </w:rPr>
        <w:tab/>
        <w:t xml:space="preserve">                                                                  </w:t>
      </w:r>
      <w:r>
        <w:rPr>
          <w:rFonts w:ascii="Times New Roman" w:hAnsi="Times New Roman" w:cs="Times New Roman"/>
          <w:color w:val="000000" w:themeColor="text1"/>
          <w:sz w:val="26"/>
          <w:szCs w:val="26"/>
        </w:rPr>
        <w:t xml:space="preserve">  </w:t>
      </w:r>
      <w:r w:rsidR="00E1252E">
        <w:rPr>
          <w:rFonts w:ascii="Times New Roman" w:hAnsi="Times New Roman" w:cs="Times New Roman"/>
          <w:color w:val="000000" w:themeColor="text1"/>
          <w:sz w:val="26"/>
          <w:szCs w:val="26"/>
        </w:rPr>
        <w:t>Jānis Vitenbergs</w:t>
      </w:r>
    </w:p>
    <w:p w14:paraId="1E1C8A5B" w14:textId="47F47DC7" w:rsidR="00012B61" w:rsidRDefault="00012B61" w:rsidP="006D398D">
      <w:pPr>
        <w:spacing w:before="120" w:after="120" w:line="240" w:lineRule="auto"/>
        <w:rPr>
          <w:rFonts w:ascii="Times New Roman" w:hAnsi="Times New Roman" w:cs="Times New Roman"/>
          <w:color w:val="000000" w:themeColor="text1"/>
          <w:sz w:val="26"/>
          <w:szCs w:val="26"/>
        </w:rPr>
      </w:pPr>
    </w:p>
    <w:p w14:paraId="38237BEB" w14:textId="77777777" w:rsidR="00012B61" w:rsidRPr="00012B61" w:rsidRDefault="00012B61" w:rsidP="00012B61">
      <w:pPr>
        <w:spacing w:after="0" w:line="240" w:lineRule="auto"/>
        <w:jc w:val="both"/>
        <w:rPr>
          <w:rFonts w:ascii="Times New Roman" w:eastAsia="Times New Roman" w:hAnsi="Times New Roman" w:cs="Times New Roman"/>
          <w:sz w:val="26"/>
          <w:szCs w:val="26"/>
        </w:rPr>
      </w:pPr>
      <w:r w:rsidRPr="00012B61">
        <w:rPr>
          <w:rFonts w:ascii="Times New Roman" w:eastAsia="Times New Roman" w:hAnsi="Times New Roman" w:cs="Times New Roman"/>
          <w:sz w:val="26"/>
          <w:szCs w:val="26"/>
        </w:rPr>
        <w:t>Vīza:</w:t>
      </w:r>
    </w:p>
    <w:p w14:paraId="4455BBDD" w14:textId="77777777" w:rsidR="00012B61" w:rsidRPr="00012B61" w:rsidRDefault="00012B61" w:rsidP="00012B61">
      <w:pPr>
        <w:tabs>
          <w:tab w:val="right" w:pos="9071"/>
        </w:tabs>
        <w:spacing w:after="0" w:line="240" w:lineRule="auto"/>
        <w:jc w:val="both"/>
        <w:rPr>
          <w:rFonts w:ascii="Times New Roman" w:eastAsia="Times New Roman" w:hAnsi="Times New Roman" w:cs="Times New Roman"/>
          <w:color w:val="000000"/>
          <w:sz w:val="26"/>
          <w:szCs w:val="26"/>
        </w:rPr>
      </w:pPr>
      <w:r w:rsidRPr="00012B61">
        <w:rPr>
          <w:rFonts w:ascii="Times New Roman" w:eastAsia="Times New Roman" w:hAnsi="Times New Roman" w:cs="Times New Roman"/>
          <w:sz w:val="26"/>
          <w:szCs w:val="26"/>
        </w:rPr>
        <w:t xml:space="preserve">Valsts sekretārs </w:t>
      </w:r>
      <w:r w:rsidRPr="00012B61">
        <w:rPr>
          <w:rFonts w:ascii="Times New Roman" w:eastAsia="Times New Roman" w:hAnsi="Times New Roman" w:cs="Times New Roman"/>
          <w:sz w:val="26"/>
          <w:szCs w:val="26"/>
        </w:rPr>
        <w:tab/>
        <w:t>E.Valantis</w:t>
      </w:r>
    </w:p>
    <w:p w14:paraId="2C0CC808" w14:textId="0990AD44" w:rsidR="00BF1674" w:rsidRDefault="00BF1674" w:rsidP="00012B61">
      <w:pPr>
        <w:rPr>
          <w:rFonts w:ascii="Times New Roman" w:hAnsi="Times New Roman" w:cs="Times New Roman"/>
          <w:sz w:val="20"/>
          <w:szCs w:val="20"/>
        </w:rPr>
      </w:pPr>
    </w:p>
    <w:p w14:paraId="0E53B6E3" w14:textId="200A3C8B" w:rsidR="00E43822" w:rsidRDefault="00E43822" w:rsidP="00012B61">
      <w:pPr>
        <w:rPr>
          <w:rFonts w:ascii="Times New Roman" w:hAnsi="Times New Roman" w:cs="Times New Roman"/>
          <w:sz w:val="20"/>
          <w:szCs w:val="20"/>
        </w:rPr>
      </w:pPr>
      <w:r>
        <w:rPr>
          <w:rFonts w:ascii="Times New Roman" w:hAnsi="Times New Roman" w:cs="Times New Roman"/>
          <w:sz w:val="20"/>
          <w:szCs w:val="20"/>
        </w:rPr>
        <w:t>Janis.Rozitis@em.gov.lv</w:t>
      </w:r>
    </w:p>
    <w:p w14:paraId="4666579D" w14:textId="1AC25392" w:rsidR="00012B61" w:rsidRDefault="006C1EF7" w:rsidP="00012B61">
      <w:pPr>
        <w:rPr>
          <w:rFonts w:ascii="Times New Roman" w:hAnsi="Times New Roman" w:cs="Times New Roman"/>
          <w:sz w:val="20"/>
          <w:szCs w:val="20"/>
        </w:rPr>
      </w:pPr>
      <w:r w:rsidRPr="00C764FD">
        <w:rPr>
          <w:rFonts w:ascii="Times New Roman" w:hAnsi="Times New Roman" w:cs="Times New Roman"/>
          <w:sz w:val="20"/>
          <w:szCs w:val="20"/>
        </w:rPr>
        <w:t>Rozītis, 67013272</w:t>
      </w:r>
    </w:p>
    <w:p w14:paraId="2E454F3F" w14:textId="44230745" w:rsidR="001C4455" w:rsidRDefault="0039171F" w:rsidP="0039171F">
      <w:pPr>
        <w:tabs>
          <w:tab w:val="left" w:pos="990"/>
        </w:tabs>
        <w:rPr>
          <w:rFonts w:ascii="Times New Roman" w:hAnsi="Times New Roman" w:cs="Times New Roman"/>
          <w:sz w:val="26"/>
          <w:szCs w:val="26"/>
        </w:rPr>
      </w:pPr>
      <w:r>
        <w:rPr>
          <w:rFonts w:ascii="Times New Roman" w:hAnsi="Times New Roman" w:cs="Times New Roman"/>
          <w:sz w:val="26"/>
          <w:szCs w:val="26"/>
        </w:rPr>
        <w:tab/>
      </w:r>
    </w:p>
    <w:p w14:paraId="0EDAB5D7" w14:textId="777EAF6D" w:rsidR="001924CB" w:rsidRPr="001924CB" w:rsidRDefault="001924CB" w:rsidP="001924CB">
      <w:pPr>
        <w:rPr>
          <w:rFonts w:ascii="Times New Roman" w:hAnsi="Times New Roman" w:cs="Times New Roman"/>
          <w:sz w:val="26"/>
          <w:szCs w:val="26"/>
        </w:rPr>
      </w:pPr>
    </w:p>
    <w:p w14:paraId="521CDCE3" w14:textId="3852C6B5" w:rsidR="001924CB" w:rsidRPr="001924CB" w:rsidRDefault="001924CB" w:rsidP="001924CB">
      <w:pPr>
        <w:rPr>
          <w:rFonts w:ascii="Times New Roman" w:hAnsi="Times New Roman" w:cs="Times New Roman"/>
          <w:sz w:val="26"/>
          <w:szCs w:val="26"/>
        </w:rPr>
      </w:pPr>
    </w:p>
    <w:p w14:paraId="5A9DEA37" w14:textId="772F1F5C" w:rsidR="001924CB" w:rsidRPr="001924CB" w:rsidRDefault="001924CB" w:rsidP="001924CB">
      <w:pPr>
        <w:rPr>
          <w:rFonts w:ascii="Times New Roman" w:hAnsi="Times New Roman" w:cs="Times New Roman"/>
          <w:sz w:val="26"/>
          <w:szCs w:val="26"/>
        </w:rPr>
      </w:pPr>
    </w:p>
    <w:p w14:paraId="65D31564" w14:textId="6DE878AA" w:rsidR="001924CB" w:rsidRPr="001924CB" w:rsidRDefault="001924CB" w:rsidP="001924CB">
      <w:pPr>
        <w:rPr>
          <w:rFonts w:ascii="Times New Roman" w:hAnsi="Times New Roman" w:cs="Times New Roman"/>
          <w:sz w:val="26"/>
          <w:szCs w:val="26"/>
        </w:rPr>
      </w:pPr>
    </w:p>
    <w:p w14:paraId="0A69FBB6" w14:textId="1EEA229A" w:rsidR="001924CB" w:rsidRPr="001924CB" w:rsidRDefault="001924CB" w:rsidP="001924CB">
      <w:pPr>
        <w:rPr>
          <w:rFonts w:ascii="Times New Roman" w:hAnsi="Times New Roman" w:cs="Times New Roman"/>
          <w:sz w:val="26"/>
          <w:szCs w:val="26"/>
        </w:rPr>
      </w:pPr>
    </w:p>
    <w:p w14:paraId="173E2B3D" w14:textId="470D8CF7" w:rsidR="001924CB" w:rsidRPr="001924CB" w:rsidRDefault="001924CB" w:rsidP="001924CB">
      <w:pPr>
        <w:rPr>
          <w:rFonts w:ascii="Times New Roman" w:hAnsi="Times New Roman" w:cs="Times New Roman"/>
          <w:sz w:val="26"/>
          <w:szCs w:val="26"/>
        </w:rPr>
      </w:pPr>
    </w:p>
    <w:p w14:paraId="6DE5B658" w14:textId="20914D46" w:rsidR="001924CB" w:rsidRPr="001924CB" w:rsidRDefault="001924CB" w:rsidP="001924CB">
      <w:pPr>
        <w:rPr>
          <w:rFonts w:ascii="Times New Roman" w:hAnsi="Times New Roman" w:cs="Times New Roman"/>
          <w:sz w:val="26"/>
          <w:szCs w:val="26"/>
        </w:rPr>
      </w:pPr>
    </w:p>
    <w:p w14:paraId="014E414A" w14:textId="322B529B" w:rsidR="001924CB" w:rsidRPr="001924CB" w:rsidRDefault="001924CB" w:rsidP="001924CB">
      <w:pPr>
        <w:tabs>
          <w:tab w:val="left" w:pos="950"/>
        </w:tabs>
        <w:rPr>
          <w:rFonts w:ascii="Times New Roman" w:hAnsi="Times New Roman" w:cs="Times New Roman"/>
          <w:sz w:val="26"/>
          <w:szCs w:val="26"/>
        </w:rPr>
      </w:pPr>
      <w:r>
        <w:rPr>
          <w:rFonts w:ascii="Times New Roman" w:hAnsi="Times New Roman" w:cs="Times New Roman"/>
          <w:sz w:val="26"/>
          <w:szCs w:val="26"/>
        </w:rPr>
        <w:tab/>
      </w:r>
    </w:p>
    <w:sectPr w:rsidR="001924CB" w:rsidRPr="001924CB" w:rsidSect="004E5A2B">
      <w:headerReference w:type="even" r:id="rId9"/>
      <w:headerReference w:type="default" r:id="rId10"/>
      <w:footerReference w:type="even" r:id="rId11"/>
      <w:footerReference w:type="default" r:id="rId12"/>
      <w:headerReference w:type="first" r:id="rId13"/>
      <w:footerReference w:type="first" r:id="rId14"/>
      <w:pgSz w:w="11906" w:h="16838"/>
      <w:pgMar w:top="1418"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E9CCCF" w14:textId="77777777" w:rsidR="001E6C74" w:rsidRDefault="001E6C74" w:rsidP="00C15CEE">
      <w:pPr>
        <w:spacing w:after="0" w:line="240" w:lineRule="auto"/>
      </w:pPr>
      <w:r>
        <w:separator/>
      </w:r>
    </w:p>
  </w:endnote>
  <w:endnote w:type="continuationSeparator" w:id="0">
    <w:p w14:paraId="7CAF58FC" w14:textId="77777777" w:rsidR="001E6C74" w:rsidRDefault="001E6C74" w:rsidP="00C15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7B9E1" w14:textId="77777777" w:rsidR="001924CB" w:rsidRDefault="001924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D3D1C" w14:textId="3B9D34DA" w:rsidR="00EC7DA9" w:rsidRPr="0024268E" w:rsidRDefault="00EC7DA9">
    <w:pPr>
      <w:pStyle w:val="Footer"/>
      <w:jc w:val="center"/>
      <w:rPr>
        <w:rFonts w:ascii="Times New Roman" w:hAnsi="Times New Roman" w:cs="Times New Roman"/>
        <w:sz w:val="24"/>
      </w:rPr>
    </w:pPr>
  </w:p>
  <w:p w14:paraId="30F79DCB" w14:textId="151BB866" w:rsidR="00EC7DA9" w:rsidRDefault="00EC7DA9" w:rsidP="007D00F4">
    <w:pPr>
      <w:pStyle w:val="Footer"/>
    </w:pPr>
    <w:r>
      <w:t>EMAnot_</w:t>
    </w:r>
    <w:r w:rsidR="001924CB">
      <w:t>22</w:t>
    </w:r>
    <w:r>
      <w:t>032021_Akcīze</w:t>
    </w:r>
  </w:p>
  <w:p w14:paraId="693E47D1" w14:textId="77777777" w:rsidR="00EC7DA9" w:rsidRPr="0024268E" w:rsidRDefault="00EC7DA9">
    <w:pPr>
      <w:pStyle w:val="Footer"/>
      <w:rPr>
        <w:rFonts w:ascii="Times New Roman" w:hAnsi="Times New Roman" w:cs="Times New Roman"/>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33BFF" w14:textId="72C819BC" w:rsidR="00EC7DA9" w:rsidRDefault="00EC7DA9">
    <w:pPr>
      <w:pStyle w:val="Footer"/>
    </w:pPr>
    <w:r>
      <w:t>EMAnot_</w:t>
    </w:r>
    <w:r w:rsidR="00995904">
      <w:t>2203</w:t>
    </w:r>
    <w:r>
      <w:t>202</w:t>
    </w:r>
    <w:r w:rsidR="00995904">
      <w:t>1</w:t>
    </w:r>
    <w:bookmarkStart w:id="4" w:name="_GoBack"/>
    <w:bookmarkEnd w:id="4"/>
    <w:r>
      <w:t>_Akcīze</w:t>
    </w:r>
  </w:p>
  <w:p w14:paraId="0B86B414" w14:textId="66041CFE" w:rsidR="00EC7DA9" w:rsidRDefault="00EC7DA9">
    <w:pPr>
      <w:pStyle w:val="Footer"/>
    </w:pPr>
  </w:p>
  <w:p w14:paraId="46D92F83" w14:textId="77777777" w:rsidR="00EC7DA9" w:rsidRDefault="00EC7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4FAA67" w14:textId="77777777" w:rsidR="001E6C74" w:rsidRDefault="001E6C74" w:rsidP="00C15CEE">
      <w:pPr>
        <w:spacing w:after="0" w:line="240" w:lineRule="auto"/>
      </w:pPr>
      <w:r>
        <w:separator/>
      </w:r>
    </w:p>
  </w:footnote>
  <w:footnote w:type="continuationSeparator" w:id="0">
    <w:p w14:paraId="5AC02EF5" w14:textId="77777777" w:rsidR="001E6C74" w:rsidRDefault="001E6C74" w:rsidP="00C15C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B17E5" w14:textId="77777777" w:rsidR="001924CB" w:rsidRDefault="001924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1094496"/>
      <w:docPartObj>
        <w:docPartGallery w:val="Page Numbers (Top of Page)"/>
        <w:docPartUnique/>
      </w:docPartObj>
    </w:sdtPr>
    <w:sdtEndPr>
      <w:rPr>
        <w:noProof/>
      </w:rPr>
    </w:sdtEndPr>
    <w:sdtContent>
      <w:p w14:paraId="20D6F91A" w14:textId="2E966F30" w:rsidR="00EC7DA9" w:rsidRDefault="00EC7DA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08CF0EA" w14:textId="77777777" w:rsidR="00EC7DA9" w:rsidRDefault="00EC7D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DF07C" w14:textId="77777777" w:rsidR="001924CB" w:rsidRDefault="001924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C12C631C"/>
    <w:lvl w:ilvl="0">
      <w:numFmt w:val="bullet"/>
      <w:lvlText w:val="*"/>
      <w:lvlJc w:val="left"/>
    </w:lvl>
  </w:abstractNum>
  <w:abstractNum w:abstractNumId="1" w15:restartNumberingAfterBreak="0">
    <w:nsid w:val="22653D4D"/>
    <w:multiLevelType w:val="hybridMultilevel"/>
    <w:tmpl w:val="46BE40CC"/>
    <w:lvl w:ilvl="0" w:tplc="8AE01DD8">
      <w:numFmt w:val="bullet"/>
      <w:lvlText w:val="-"/>
      <w:lvlJc w:val="left"/>
      <w:pPr>
        <w:ind w:left="720" w:hanging="360"/>
      </w:pPr>
      <w:rPr>
        <w:rFonts w:ascii="Times New Roman" w:eastAsiaTheme="minorHAnsi" w:hAnsi="Times New Roman" w:cs="Times New Roman" w:hint="default"/>
        <w:color w:val="000000" w:themeColor="text1"/>
        <w:u w:val="none"/>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07F0001"/>
    <w:multiLevelType w:val="hybridMultilevel"/>
    <w:tmpl w:val="FD1E299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C94656E"/>
    <w:multiLevelType w:val="hybridMultilevel"/>
    <w:tmpl w:val="49AA5402"/>
    <w:lvl w:ilvl="0" w:tplc="62D4E1D2">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0"/>
        <w:lvlJc w:val="left"/>
        <w:rPr>
          <w:rFonts w:ascii="Symbol" w:hAnsi="Symbol" w:hint="default"/>
          <w:sz w:val="22"/>
        </w:rPr>
      </w:lvl>
    </w:lvlOverride>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784"/>
    <w:rsid w:val="00007A9D"/>
    <w:rsid w:val="00012B61"/>
    <w:rsid w:val="00014036"/>
    <w:rsid w:val="00014735"/>
    <w:rsid w:val="00020D55"/>
    <w:rsid w:val="00034BEF"/>
    <w:rsid w:val="00045842"/>
    <w:rsid w:val="000504EC"/>
    <w:rsid w:val="0005248C"/>
    <w:rsid w:val="00054A38"/>
    <w:rsid w:val="000618C8"/>
    <w:rsid w:val="00064B37"/>
    <w:rsid w:val="00071810"/>
    <w:rsid w:val="000835DB"/>
    <w:rsid w:val="00092284"/>
    <w:rsid w:val="000923C8"/>
    <w:rsid w:val="0009359D"/>
    <w:rsid w:val="00097CB1"/>
    <w:rsid w:val="000A3742"/>
    <w:rsid w:val="000A3DF8"/>
    <w:rsid w:val="000B37E4"/>
    <w:rsid w:val="000C0112"/>
    <w:rsid w:val="000C1E21"/>
    <w:rsid w:val="000C30BE"/>
    <w:rsid w:val="000D145E"/>
    <w:rsid w:val="000D17E1"/>
    <w:rsid w:val="000D376D"/>
    <w:rsid w:val="000D4B64"/>
    <w:rsid w:val="000D5A02"/>
    <w:rsid w:val="000E3FAB"/>
    <w:rsid w:val="000F014C"/>
    <w:rsid w:val="000F1E78"/>
    <w:rsid w:val="00102DC6"/>
    <w:rsid w:val="001116F0"/>
    <w:rsid w:val="00113414"/>
    <w:rsid w:val="00113FE4"/>
    <w:rsid w:val="00123EA5"/>
    <w:rsid w:val="00125B81"/>
    <w:rsid w:val="00126A64"/>
    <w:rsid w:val="00156EB3"/>
    <w:rsid w:val="00162775"/>
    <w:rsid w:val="00172DEC"/>
    <w:rsid w:val="00174B01"/>
    <w:rsid w:val="00177630"/>
    <w:rsid w:val="001924CB"/>
    <w:rsid w:val="001A4027"/>
    <w:rsid w:val="001A45C6"/>
    <w:rsid w:val="001A528E"/>
    <w:rsid w:val="001A77D9"/>
    <w:rsid w:val="001B45E6"/>
    <w:rsid w:val="001B5800"/>
    <w:rsid w:val="001C14D9"/>
    <w:rsid w:val="001C4455"/>
    <w:rsid w:val="001C68AE"/>
    <w:rsid w:val="001C7793"/>
    <w:rsid w:val="001E205A"/>
    <w:rsid w:val="001E4661"/>
    <w:rsid w:val="001E6C74"/>
    <w:rsid w:val="001F2BF3"/>
    <w:rsid w:val="0020292D"/>
    <w:rsid w:val="002029F5"/>
    <w:rsid w:val="00202FFE"/>
    <w:rsid w:val="00204815"/>
    <w:rsid w:val="00204B58"/>
    <w:rsid w:val="0021213D"/>
    <w:rsid w:val="002153C9"/>
    <w:rsid w:val="00222982"/>
    <w:rsid w:val="00232BE6"/>
    <w:rsid w:val="00233435"/>
    <w:rsid w:val="00235E37"/>
    <w:rsid w:val="00240AAE"/>
    <w:rsid w:val="0024268E"/>
    <w:rsid w:val="00244A93"/>
    <w:rsid w:val="00244B73"/>
    <w:rsid w:val="0024781F"/>
    <w:rsid w:val="00261601"/>
    <w:rsid w:val="00271A4F"/>
    <w:rsid w:val="00275474"/>
    <w:rsid w:val="00285840"/>
    <w:rsid w:val="00291992"/>
    <w:rsid w:val="00294E3E"/>
    <w:rsid w:val="00297BB9"/>
    <w:rsid w:val="002B0C14"/>
    <w:rsid w:val="002B2B42"/>
    <w:rsid w:val="002B3537"/>
    <w:rsid w:val="002B6663"/>
    <w:rsid w:val="002C3398"/>
    <w:rsid w:val="002C7D4C"/>
    <w:rsid w:val="002D1949"/>
    <w:rsid w:val="002D2A6A"/>
    <w:rsid w:val="002E0353"/>
    <w:rsid w:val="002E6903"/>
    <w:rsid w:val="002E6CA7"/>
    <w:rsid w:val="002F1C50"/>
    <w:rsid w:val="002F1EDD"/>
    <w:rsid w:val="002F227D"/>
    <w:rsid w:val="002F2D3D"/>
    <w:rsid w:val="002F67FA"/>
    <w:rsid w:val="002F7AD6"/>
    <w:rsid w:val="00303738"/>
    <w:rsid w:val="00312D7D"/>
    <w:rsid w:val="0031412A"/>
    <w:rsid w:val="003160A2"/>
    <w:rsid w:val="00316E0D"/>
    <w:rsid w:val="00324577"/>
    <w:rsid w:val="00325C9D"/>
    <w:rsid w:val="00331A60"/>
    <w:rsid w:val="00333BFE"/>
    <w:rsid w:val="003353B7"/>
    <w:rsid w:val="0034092C"/>
    <w:rsid w:val="00340A9E"/>
    <w:rsid w:val="00341F49"/>
    <w:rsid w:val="00345837"/>
    <w:rsid w:val="00355EAD"/>
    <w:rsid w:val="003627A7"/>
    <w:rsid w:val="0036773A"/>
    <w:rsid w:val="00370CBA"/>
    <w:rsid w:val="00381CC0"/>
    <w:rsid w:val="00385617"/>
    <w:rsid w:val="0039171F"/>
    <w:rsid w:val="00391986"/>
    <w:rsid w:val="00391D48"/>
    <w:rsid w:val="003928EB"/>
    <w:rsid w:val="00397466"/>
    <w:rsid w:val="003A1871"/>
    <w:rsid w:val="003A3A2A"/>
    <w:rsid w:val="003A5EB8"/>
    <w:rsid w:val="003B3584"/>
    <w:rsid w:val="003C0EC2"/>
    <w:rsid w:val="003C610A"/>
    <w:rsid w:val="003D379C"/>
    <w:rsid w:val="003D6FCA"/>
    <w:rsid w:val="003E3F5D"/>
    <w:rsid w:val="003E590C"/>
    <w:rsid w:val="003E5A3D"/>
    <w:rsid w:val="003F178B"/>
    <w:rsid w:val="003F22A9"/>
    <w:rsid w:val="00401C92"/>
    <w:rsid w:val="00402DA0"/>
    <w:rsid w:val="004044CA"/>
    <w:rsid w:val="00407416"/>
    <w:rsid w:val="0041064D"/>
    <w:rsid w:val="00411E23"/>
    <w:rsid w:val="004145E3"/>
    <w:rsid w:val="004213FE"/>
    <w:rsid w:val="00421AF0"/>
    <w:rsid w:val="00422F3E"/>
    <w:rsid w:val="0042647B"/>
    <w:rsid w:val="00430392"/>
    <w:rsid w:val="00440339"/>
    <w:rsid w:val="004439AA"/>
    <w:rsid w:val="00450CE5"/>
    <w:rsid w:val="00451499"/>
    <w:rsid w:val="00461FEE"/>
    <w:rsid w:val="004716D1"/>
    <w:rsid w:val="00471D81"/>
    <w:rsid w:val="004727E9"/>
    <w:rsid w:val="004728D5"/>
    <w:rsid w:val="004735A9"/>
    <w:rsid w:val="004812ED"/>
    <w:rsid w:val="00484C53"/>
    <w:rsid w:val="004919EC"/>
    <w:rsid w:val="0049482D"/>
    <w:rsid w:val="004A7DC7"/>
    <w:rsid w:val="004B136F"/>
    <w:rsid w:val="004B20E2"/>
    <w:rsid w:val="004B449D"/>
    <w:rsid w:val="004C6AE8"/>
    <w:rsid w:val="004D1BA6"/>
    <w:rsid w:val="004D5920"/>
    <w:rsid w:val="004D5939"/>
    <w:rsid w:val="004E22CE"/>
    <w:rsid w:val="004E5A2B"/>
    <w:rsid w:val="004F02C8"/>
    <w:rsid w:val="004F660C"/>
    <w:rsid w:val="00500633"/>
    <w:rsid w:val="00503E46"/>
    <w:rsid w:val="005044E8"/>
    <w:rsid w:val="005069C7"/>
    <w:rsid w:val="00514226"/>
    <w:rsid w:val="00523DFA"/>
    <w:rsid w:val="005314D8"/>
    <w:rsid w:val="00534CF0"/>
    <w:rsid w:val="0055264D"/>
    <w:rsid w:val="0055528B"/>
    <w:rsid w:val="00555707"/>
    <w:rsid w:val="00563846"/>
    <w:rsid w:val="00566A04"/>
    <w:rsid w:val="0057347A"/>
    <w:rsid w:val="005861DF"/>
    <w:rsid w:val="0058779F"/>
    <w:rsid w:val="00597119"/>
    <w:rsid w:val="00597143"/>
    <w:rsid w:val="005A4CAE"/>
    <w:rsid w:val="005A68C5"/>
    <w:rsid w:val="005D053D"/>
    <w:rsid w:val="005D54CD"/>
    <w:rsid w:val="005D6191"/>
    <w:rsid w:val="005D7442"/>
    <w:rsid w:val="005E1BFF"/>
    <w:rsid w:val="005E5C8E"/>
    <w:rsid w:val="005E64E3"/>
    <w:rsid w:val="005F464C"/>
    <w:rsid w:val="00602D7B"/>
    <w:rsid w:val="0060678D"/>
    <w:rsid w:val="006345B0"/>
    <w:rsid w:val="00647B6C"/>
    <w:rsid w:val="00650FB4"/>
    <w:rsid w:val="00660B1B"/>
    <w:rsid w:val="00661D73"/>
    <w:rsid w:val="006656E4"/>
    <w:rsid w:val="0067101C"/>
    <w:rsid w:val="00674F47"/>
    <w:rsid w:val="00680EF7"/>
    <w:rsid w:val="00686B7B"/>
    <w:rsid w:val="00693E8E"/>
    <w:rsid w:val="00697DFA"/>
    <w:rsid w:val="006A44E0"/>
    <w:rsid w:val="006A5B1D"/>
    <w:rsid w:val="006A6E44"/>
    <w:rsid w:val="006B2327"/>
    <w:rsid w:val="006B5EC0"/>
    <w:rsid w:val="006C10D0"/>
    <w:rsid w:val="006C1EF7"/>
    <w:rsid w:val="006D398D"/>
    <w:rsid w:val="006D6232"/>
    <w:rsid w:val="006E5015"/>
    <w:rsid w:val="0070679C"/>
    <w:rsid w:val="00707123"/>
    <w:rsid w:val="00707E80"/>
    <w:rsid w:val="00716037"/>
    <w:rsid w:val="007175DB"/>
    <w:rsid w:val="00731B54"/>
    <w:rsid w:val="00732E45"/>
    <w:rsid w:val="00736107"/>
    <w:rsid w:val="0073694D"/>
    <w:rsid w:val="00741A4F"/>
    <w:rsid w:val="00742AA7"/>
    <w:rsid w:val="007479FF"/>
    <w:rsid w:val="00755BDE"/>
    <w:rsid w:val="00777034"/>
    <w:rsid w:val="007805D0"/>
    <w:rsid w:val="00782302"/>
    <w:rsid w:val="007830E8"/>
    <w:rsid w:val="00783EB8"/>
    <w:rsid w:val="0079213C"/>
    <w:rsid w:val="007972DD"/>
    <w:rsid w:val="007978C7"/>
    <w:rsid w:val="00797AB6"/>
    <w:rsid w:val="007A4695"/>
    <w:rsid w:val="007A6118"/>
    <w:rsid w:val="007B1440"/>
    <w:rsid w:val="007B55E6"/>
    <w:rsid w:val="007B7070"/>
    <w:rsid w:val="007C04D2"/>
    <w:rsid w:val="007C24DB"/>
    <w:rsid w:val="007D00F4"/>
    <w:rsid w:val="007D1D68"/>
    <w:rsid w:val="007D6747"/>
    <w:rsid w:val="007E62FA"/>
    <w:rsid w:val="007F2520"/>
    <w:rsid w:val="00807F42"/>
    <w:rsid w:val="00810AD7"/>
    <w:rsid w:val="0081128A"/>
    <w:rsid w:val="00811E48"/>
    <w:rsid w:val="0082222A"/>
    <w:rsid w:val="0082272E"/>
    <w:rsid w:val="008255F8"/>
    <w:rsid w:val="00831CF0"/>
    <w:rsid w:val="008324B7"/>
    <w:rsid w:val="0084018B"/>
    <w:rsid w:val="00840744"/>
    <w:rsid w:val="00840B90"/>
    <w:rsid w:val="0084248C"/>
    <w:rsid w:val="008424F9"/>
    <w:rsid w:val="00851426"/>
    <w:rsid w:val="00854C66"/>
    <w:rsid w:val="00861358"/>
    <w:rsid w:val="008617C8"/>
    <w:rsid w:val="00861D83"/>
    <w:rsid w:val="00865347"/>
    <w:rsid w:val="008749D0"/>
    <w:rsid w:val="00876264"/>
    <w:rsid w:val="00896CBF"/>
    <w:rsid w:val="008A1358"/>
    <w:rsid w:val="008A6032"/>
    <w:rsid w:val="008B05CC"/>
    <w:rsid w:val="008B63B6"/>
    <w:rsid w:val="008C560E"/>
    <w:rsid w:val="008D1BB6"/>
    <w:rsid w:val="008D201C"/>
    <w:rsid w:val="008D7A7A"/>
    <w:rsid w:val="008E12AC"/>
    <w:rsid w:val="008E67A2"/>
    <w:rsid w:val="008E6EDD"/>
    <w:rsid w:val="008E7CAF"/>
    <w:rsid w:val="008F2193"/>
    <w:rsid w:val="008F4430"/>
    <w:rsid w:val="008F5B79"/>
    <w:rsid w:val="008F5E87"/>
    <w:rsid w:val="009049DB"/>
    <w:rsid w:val="009172E2"/>
    <w:rsid w:val="009204A6"/>
    <w:rsid w:val="0092157E"/>
    <w:rsid w:val="00926083"/>
    <w:rsid w:val="00933C8C"/>
    <w:rsid w:val="00934A18"/>
    <w:rsid w:val="009406E7"/>
    <w:rsid w:val="00953BCD"/>
    <w:rsid w:val="00954577"/>
    <w:rsid w:val="00965329"/>
    <w:rsid w:val="00966E1C"/>
    <w:rsid w:val="009735D0"/>
    <w:rsid w:val="00987784"/>
    <w:rsid w:val="00990F57"/>
    <w:rsid w:val="00995904"/>
    <w:rsid w:val="009A075D"/>
    <w:rsid w:val="009A7D5A"/>
    <w:rsid w:val="009A7FB9"/>
    <w:rsid w:val="009C07B4"/>
    <w:rsid w:val="009C3944"/>
    <w:rsid w:val="009C4125"/>
    <w:rsid w:val="009D0CB7"/>
    <w:rsid w:val="009D5937"/>
    <w:rsid w:val="009E074E"/>
    <w:rsid w:val="009E3121"/>
    <w:rsid w:val="009E3719"/>
    <w:rsid w:val="009E576F"/>
    <w:rsid w:val="009E67D4"/>
    <w:rsid w:val="009F4964"/>
    <w:rsid w:val="00A1091C"/>
    <w:rsid w:val="00A125A7"/>
    <w:rsid w:val="00A13FF4"/>
    <w:rsid w:val="00A174AE"/>
    <w:rsid w:val="00A23F3B"/>
    <w:rsid w:val="00A243C1"/>
    <w:rsid w:val="00A32B4F"/>
    <w:rsid w:val="00A35C82"/>
    <w:rsid w:val="00A411D8"/>
    <w:rsid w:val="00A44C1A"/>
    <w:rsid w:val="00A621A1"/>
    <w:rsid w:val="00A631CF"/>
    <w:rsid w:val="00A66630"/>
    <w:rsid w:val="00A71A5A"/>
    <w:rsid w:val="00A7595C"/>
    <w:rsid w:val="00A801A0"/>
    <w:rsid w:val="00A96422"/>
    <w:rsid w:val="00A96C9B"/>
    <w:rsid w:val="00AA02C4"/>
    <w:rsid w:val="00AA0324"/>
    <w:rsid w:val="00AA543A"/>
    <w:rsid w:val="00AA6BDA"/>
    <w:rsid w:val="00AB130B"/>
    <w:rsid w:val="00AB20C5"/>
    <w:rsid w:val="00AC69B4"/>
    <w:rsid w:val="00AD400D"/>
    <w:rsid w:val="00AE08CE"/>
    <w:rsid w:val="00AE228D"/>
    <w:rsid w:val="00AE656E"/>
    <w:rsid w:val="00AF26FB"/>
    <w:rsid w:val="00AF39C0"/>
    <w:rsid w:val="00B03654"/>
    <w:rsid w:val="00B06107"/>
    <w:rsid w:val="00B223DC"/>
    <w:rsid w:val="00B30C2A"/>
    <w:rsid w:val="00B313C1"/>
    <w:rsid w:val="00B43133"/>
    <w:rsid w:val="00B44611"/>
    <w:rsid w:val="00B6105A"/>
    <w:rsid w:val="00BA1BB2"/>
    <w:rsid w:val="00BA66A7"/>
    <w:rsid w:val="00BB0D0F"/>
    <w:rsid w:val="00BB4E7F"/>
    <w:rsid w:val="00BB6697"/>
    <w:rsid w:val="00BC4BFB"/>
    <w:rsid w:val="00BC5734"/>
    <w:rsid w:val="00BD6FC2"/>
    <w:rsid w:val="00BD7D6F"/>
    <w:rsid w:val="00BE1785"/>
    <w:rsid w:val="00BE7DF7"/>
    <w:rsid w:val="00BF1674"/>
    <w:rsid w:val="00BF27D6"/>
    <w:rsid w:val="00C024FE"/>
    <w:rsid w:val="00C035B9"/>
    <w:rsid w:val="00C11796"/>
    <w:rsid w:val="00C14386"/>
    <w:rsid w:val="00C15CEE"/>
    <w:rsid w:val="00C21120"/>
    <w:rsid w:val="00C3158B"/>
    <w:rsid w:val="00C31E01"/>
    <w:rsid w:val="00C51CC4"/>
    <w:rsid w:val="00C56F19"/>
    <w:rsid w:val="00C57CF5"/>
    <w:rsid w:val="00C647F9"/>
    <w:rsid w:val="00C72F10"/>
    <w:rsid w:val="00C72FAD"/>
    <w:rsid w:val="00C764FD"/>
    <w:rsid w:val="00C768BD"/>
    <w:rsid w:val="00C82BAB"/>
    <w:rsid w:val="00C83E0A"/>
    <w:rsid w:val="00C84426"/>
    <w:rsid w:val="00CA152D"/>
    <w:rsid w:val="00CA66CD"/>
    <w:rsid w:val="00CD1862"/>
    <w:rsid w:val="00CE1108"/>
    <w:rsid w:val="00CE30A1"/>
    <w:rsid w:val="00CF4BDB"/>
    <w:rsid w:val="00CF6658"/>
    <w:rsid w:val="00CF6B7A"/>
    <w:rsid w:val="00D003CB"/>
    <w:rsid w:val="00D173D3"/>
    <w:rsid w:val="00D23022"/>
    <w:rsid w:val="00D306DF"/>
    <w:rsid w:val="00D309A6"/>
    <w:rsid w:val="00D37526"/>
    <w:rsid w:val="00D405C7"/>
    <w:rsid w:val="00D4321B"/>
    <w:rsid w:val="00D466B6"/>
    <w:rsid w:val="00D52677"/>
    <w:rsid w:val="00D542A9"/>
    <w:rsid w:val="00D610F3"/>
    <w:rsid w:val="00D663E6"/>
    <w:rsid w:val="00D863F1"/>
    <w:rsid w:val="00DA3BFD"/>
    <w:rsid w:val="00DA7869"/>
    <w:rsid w:val="00DB334D"/>
    <w:rsid w:val="00DC6915"/>
    <w:rsid w:val="00DD6F0E"/>
    <w:rsid w:val="00DE6559"/>
    <w:rsid w:val="00DF0747"/>
    <w:rsid w:val="00DF190E"/>
    <w:rsid w:val="00DF2937"/>
    <w:rsid w:val="00DF5C39"/>
    <w:rsid w:val="00DF630A"/>
    <w:rsid w:val="00DF7045"/>
    <w:rsid w:val="00DF71C8"/>
    <w:rsid w:val="00E0008B"/>
    <w:rsid w:val="00E00A7C"/>
    <w:rsid w:val="00E03D4D"/>
    <w:rsid w:val="00E056C6"/>
    <w:rsid w:val="00E06132"/>
    <w:rsid w:val="00E10828"/>
    <w:rsid w:val="00E10DFC"/>
    <w:rsid w:val="00E1252E"/>
    <w:rsid w:val="00E13CCB"/>
    <w:rsid w:val="00E1556E"/>
    <w:rsid w:val="00E2159A"/>
    <w:rsid w:val="00E24946"/>
    <w:rsid w:val="00E32CC7"/>
    <w:rsid w:val="00E3522B"/>
    <w:rsid w:val="00E43822"/>
    <w:rsid w:val="00E43995"/>
    <w:rsid w:val="00E513EB"/>
    <w:rsid w:val="00E524A5"/>
    <w:rsid w:val="00E53FCD"/>
    <w:rsid w:val="00E61F85"/>
    <w:rsid w:val="00E63D39"/>
    <w:rsid w:val="00E63FEA"/>
    <w:rsid w:val="00E67C79"/>
    <w:rsid w:val="00E80ADB"/>
    <w:rsid w:val="00E835DC"/>
    <w:rsid w:val="00E868BB"/>
    <w:rsid w:val="00E9541E"/>
    <w:rsid w:val="00E95DB7"/>
    <w:rsid w:val="00EA776E"/>
    <w:rsid w:val="00EB482E"/>
    <w:rsid w:val="00EB5600"/>
    <w:rsid w:val="00EB5AD7"/>
    <w:rsid w:val="00EB5D86"/>
    <w:rsid w:val="00EC61F5"/>
    <w:rsid w:val="00EC7DA9"/>
    <w:rsid w:val="00ED36CE"/>
    <w:rsid w:val="00EE6343"/>
    <w:rsid w:val="00EF4885"/>
    <w:rsid w:val="00EF6291"/>
    <w:rsid w:val="00F041A7"/>
    <w:rsid w:val="00F04C7F"/>
    <w:rsid w:val="00F05FC8"/>
    <w:rsid w:val="00F079BA"/>
    <w:rsid w:val="00F16256"/>
    <w:rsid w:val="00F2066B"/>
    <w:rsid w:val="00F27D9C"/>
    <w:rsid w:val="00F35F9A"/>
    <w:rsid w:val="00F37768"/>
    <w:rsid w:val="00F42CBE"/>
    <w:rsid w:val="00F43379"/>
    <w:rsid w:val="00F44322"/>
    <w:rsid w:val="00F44F14"/>
    <w:rsid w:val="00F477DA"/>
    <w:rsid w:val="00F53B5F"/>
    <w:rsid w:val="00F55D08"/>
    <w:rsid w:val="00F6105E"/>
    <w:rsid w:val="00F722E6"/>
    <w:rsid w:val="00F80436"/>
    <w:rsid w:val="00FA38B9"/>
    <w:rsid w:val="00FA57B8"/>
    <w:rsid w:val="00FC6F77"/>
    <w:rsid w:val="00FD2BD4"/>
    <w:rsid w:val="00FD6123"/>
    <w:rsid w:val="00FE0C31"/>
    <w:rsid w:val="00FE1B00"/>
    <w:rsid w:val="00FE71E5"/>
    <w:rsid w:val="00FF05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2ED64C"/>
  <w15:chartTrackingRefBased/>
  <w15:docId w15:val="{435A76B0-0B0A-4D57-9E1C-71B819C6C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87784"/>
    <w:pPr>
      <w:spacing w:after="0" w:line="240" w:lineRule="auto"/>
      <w:jc w:val="center"/>
    </w:pPr>
    <w:rPr>
      <w:rFonts w:ascii="Times New Roman" w:eastAsia="Times New Roman" w:hAnsi="Times New Roman" w:cs="Times New Roman"/>
      <w:sz w:val="28"/>
      <w:szCs w:val="20"/>
    </w:rPr>
  </w:style>
  <w:style w:type="character" w:customStyle="1" w:styleId="TitleChar">
    <w:name w:val="Title Char"/>
    <w:basedOn w:val="DefaultParagraphFont"/>
    <w:link w:val="Title"/>
    <w:rsid w:val="00987784"/>
    <w:rPr>
      <w:rFonts w:ascii="Times New Roman" w:eastAsia="Times New Roman" w:hAnsi="Times New Roman" w:cs="Times New Roman"/>
      <w:sz w:val="28"/>
      <w:szCs w:val="20"/>
    </w:rPr>
  </w:style>
  <w:style w:type="character" w:styleId="CommentReference">
    <w:name w:val="annotation reference"/>
    <w:basedOn w:val="DefaultParagraphFont"/>
    <w:uiPriority w:val="99"/>
    <w:semiHidden/>
    <w:unhideWhenUsed/>
    <w:rsid w:val="00A13FF4"/>
    <w:rPr>
      <w:sz w:val="16"/>
      <w:szCs w:val="16"/>
    </w:rPr>
  </w:style>
  <w:style w:type="paragraph" w:styleId="CommentText">
    <w:name w:val="annotation text"/>
    <w:basedOn w:val="Normal"/>
    <w:link w:val="CommentTextChar"/>
    <w:uiPriority w:val="99"/>
    <w:unhideWhenUsed/>
    <w:rsid w:val="00A13FF4"/>
    <w:pPr>
      <w:spacing w:line="240" w:lineRule="auto"/>
    </w:pPr>
    <w:rPr>
      <w:sz w:val="20"/>
      <w:szCs w:val="20"/>
    </w:rPr>
  </w:style>
  <w:style w:type="character" w:customStyle="1" w:styleId="CommentTextChar">
    <w:name w:val="Comment Text Char"/>
    <w:basedOn w:val="DefaultParagraphFont"/>
    <w:link w:val="CommentText"/>
    <w:uiPriority w:val="99"/>
    <w:rsid w:val="00A13FF4"/>
    <w:rPr>
      <w:sz w:val="20"/>
      <w:szCs w:val="20"/>
    </w:rPr>
  </w:style>
  <w:style w:type="paragraph" w:styleId="CommentSubject">
    <w:name w:val="annotation subject"/>
    <w:basedOn w:val="CommentText"/>
    <w:next w:val="CommentText"/>
    <w:link w:val="CommentSubjectChar"/>
    <w:uiPriority w:val="99"/>
    <w:semiHidden/>
    <w:unhideWhenUsed/>
    <w:rsid w:val="00A13FF4"/>
    <w:rPr>
      <w:b/>
      <w:bCs/>
    </w:rPr>
  </w:style>
  <w:style w:type="character" w:customStyle="1" w:styleId="CommentSubjectChar">
    <w:name w:val="Comment Subject Char"/>
    <w:basedOn w:val="CommentTextChar"/>
    <w:link w:val="CommentSubject"/>
    <w:uiPriority w:val="99"/>
    <w:semiHidden/>
    <w:rsid w:val="00A13FF4"/>
    <w:rPr>
      <w:b/>
      <w:bCs/>
      <w:sz w:val="20"/>
      <w:szCs w:val="20"/>
    </w:rPr>
  </w:style>
  <w:style w:type="paragraph" w:styleId="BalloonText">
    <w:name w:val="Balloon Text"/>
    <w:basedOn w:val="Normal"/>
    <w:link w:val="BalloonTextChar"/>
    <w:uiPriority w:val="99"/>
    <w:semiHidden/>
    <w:unhideWhenUsed/>
    <w:rsid w:val="00A13F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3FF4"/>
    <w:rPr>
      <w:rFonts w:ascii="Segoe UI" w:hAnsi="Segoe UI" w:cs="Segoe UI"/>
      <w:sz w:val="18"/>
      <w:szCs w:val="18"/>
    </w:rPr>
  </w:style>
  <w:style w:type="character" w:styleId="Hyperlink">
    <w:name w:val="Hyperlink"/>
    <w:basedOn w:val="DefaultParagraphFont"/>
    <w:uiPriority w:val="99"/>
    <w:unhideWhenUsed/>
    <w:rsid w:val="00953BCD"/>
    <w:rPr>
      <w:color w:val="0563C1" w:themeColor="hyperlink"/>
      <w:u w:val="single"/>
    </w:rPr>
  </w:style>
  <w:style w:type="paragraph" w:styleId="Header">
    <w:name w:val="header"/>
    <w:basedOn w:val="Normal"/>
    <w:link w:val="HeaderChar"/>
    <w:uiPriority w:val="99"/>
    <w:unhideWhenUsed/>
    <w:rsid w:val="00C15CEE"/>
    <w:pPr>
      <w:tabs>
        <w:tab w:val="center" w:pos="4153"/>
        <w:tab w:val="right" w:pos="8306"/>
      </w:tabs>
      <w:spacing w:after="0" w:line="240" w:lineRule="auto"/>
    </w:pPr>
  </w:style>
  <w:style w:type="character" w:customStyle="1" w:styleId="HeaderChar">
    <w:name w:val="Header Char"/>
    <w:basedOn w:val="DefaultParagraphFont"/>
    <w:link w:val="Header"/>
    <w:uiPriority w:val="99"/>
    <w:rsid w:val="00C15CEE"/>
  </w:style>
  <w:style w:type="paragraph" w:styleId="Footer">
    <w:name w:val="footer"/>
    <w:basedOn w:val="Normal"/>
    <w:link w:val="FooterChar"/>
    <w:uiPriority w:val="99"/>
    <w:unhideWhenUsed/>
    <w:rsid w:val="00C15CEE"/>
    <w:pPr>
      <w:tabs>
        <w:tab w:val="center" w:pos="4153"/>
        <w:tab w:val="right" w:pos="8306"/>
      </w:tabs>
      <w:spacing w:after="0" w:line="240" w:lineRule="auto"/>
    </w:pPr>
  </w:style>
  <w:style w:type="character" w:customStyle="1" w:styleId="FooterChar">
    <w:name w:val="Footer Char"/>
    <w:basedOn w:val="DefaultParagraphFont"/>
    <w:link w:val="Footer"/>
    <w:uiPriority w:val="99"/>
    <w:rsid w:val="00C15CEE"/>
  </w:style>
  <w:style w:type="paragraph" w:styleId="ListParagraph">
    <w:name w:val="List Paragraph"/>
    <w:basedOn w:val="Normal"/>
    <w:uiPriority w:val="34"/>
    <w:qFormat/>
    <w:rsid w:val="009C3944"/>
    <w:pPr>
      <w:ind w:left="720"/>
      <w:contextualSpacing/>
    </w:pPr>
  </w:style>
  <w:style w:type="paragraph" w:styleId="Revision">
    <w:name w:val="Revision"/>
    <w:hidden/>
    <w:uiPriority w:val="99"/>
    <w:semiHidden/>
    <w:rsid w:val="00731B54"/>
    <w:pPr>
      <w:spacing w:after="0" w:line="240" w:lineRule="auto"/>
    </w:pPr>
  </w:style>
  <w:style w:type="character" w:styleId="UnresolvedMention">
    <w:name w:val="Unresolved Mention"/>
    <w:basedOn w:val="DefaultParagraphFont"/>
    <w:uiPriority w:val="99"/>
    <w:semiHidden/>
    <w:unhideWhenUsed/>
    <w:rsid w:val="0005248C"/>
    <w:rPr>
      <w:color w:val="605E5C"/>
      <w:shd w:val="clear" w:color="auto" w:fill="E1DFDD"/>
    </w:rPr>
  </w:style>
  <w:style w:type="paragraph" w:styleId="FootnoteText">
    <w:name w:val="footnote text"/>
    <w:aliases w:val="Vēres teksts Rakstz.1 Char,Vēres teksts Rakstz. Rakstz. Char,Vēres teksts Rakstz.1 Rakstz. Rakstz. Char,Vēres teksts Rakstz. Rakstz. Rakstz. Rakstz. Char,Vēres teksts Rakstz.1 Rakstz. Rakstz. Rakstz. Rakstz. Char,Footnote,Fußnote,Char,f,ft"/>
    <w:basedOn w:val="Normal"/>
    <w:link w:val="FootnoteTextChar"/>
    <w:uiPriority w:val="99"/>
    <w:unhideWhenUsed/>
    <w:qFormat/>
    <w:rsid w:val="00BF27D6"/>
    <w:pPr>
      <w:spacing w:after="0" w:line="240" w:lineRule="auto"/>
    </w:pPr>
    <w:rPr>
      <w:rFonts w:ascii="Times New Roman" w:hAnsi="Times New Roman"/>
      <w:sz w:val="20"/>
      <w:szCs w:val="20"/>
    </w:rPr>
  </w:style>
  <w:style w:type="character" w:customStyle="1" w:styleId="FootnoteTextChar">
    <w:name w:val="Footnote Text Char"/>
    <w:aliases w:val="Vēres teksts Rakstz.1 Char Char,Vēres teksts Rakstz. Rakstz. Char Char,Vēres teksts Rakstz.1 Rakstz. Rakstz. Char Char,Vēres teksts Rakstz. Rakstz. Rakstz. Rakstz. Char Char,Footnote Char,Fußnote Char,Char Char,f Char,ft Char"/>
    <w:basedOn w:val="DefaultParagraphFont"/>
    <w:link w:val="FootnoteText"/>
    <w:uiPriority w:val="99"/>
    <w:rsid w:val="00BF27D6"/>
    <w:rPr>
      <w:rFonts w:ascii="Times New Roman" w:hAnsi="Times New Roman"/>
      <w:sz w:val="20"/>
      <w:szCs w:val="20"/>
    </w:rPr>
  </w:style>
  <w:style w:type="character" w:styleId="FootnoteReference">
    <w:name w:val="footnote reference"/>
    <w:aliases w:val="Footnote Reference Number,Footnote symbol,Footnote Reference Superscript,SUPERS,ftref,Footnote Refernece,stylish,BVI fnr,Fußnotenzeichen_Raxen,callout,Stinking Styles22,number,Footnote symboFußnotenzeichen,Footnote sign,Times 10 Point"/>
    <w:basedOn w:val="DefaultParagraphFont"/>
    <w:link w:val="Char2"/>
    <w:uiPriority w:val="99"/>
    <w:unhideWhenUsed/>
    <w:qFormat/>
    <w:rsid w:val="00BF27D6"/>
    <w:rPr>
      <w:vertAlign w:val="superscript"/>
    </w:rPr>
  </w:style>
  <w:style w:type="paragraph" w:customStyle="1" w:styleId="Char2">
    <w:name w:val="Char2"/>
    <w:aliases w:val="Char Char Char Char"/>
    <w:basedOn w:val="Normal"/>
    <w:next w:val="Normal"/>
    <w:link w:val="FootnoteReference"/>
    <w:uiPriority w:val="99"/>
    <w:rsid w:val="00BF27D6"/>
    <w:pPr>
      <w:spacing w:line="240" w:lineRule="exact"/>
      <w:jc w:val="both"/>
      <w:textAlignment w:val="baseline"/>
    </w:pPr>
    <w:rPr>
      <w:vertAlign w:val="superscript"/>
    </w:rPr>
  </w:style>
  <w:style w:type="paragraph" w:customStyle="1" w:styleId="tvhtml">
    <w:name w:val="tv_html"/>
    <w:basedOn w:val="Normal"/>
    <w:rsid w:val="003C0EC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E868B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4B20E2"/>
    <w:rPr>
      <w:color w:val="954F72" w:themeColor="followedHyperlink"/>
      <w:u w:val="single"/>
    </w:rPr>
  </w:style>
  <w:style w:type="paragraph" w:customStyle="1" w:styleId="Normal1">
    <w:name w:val="Normal1"/>
    <w:basedOn w:val="Normal"/>
    <w:rsid w:val="007B707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italic">
    <w:name w:val="italic"/>
    <w:basedOn w:val="DefaultParagraphFont"/>
    <w:rsid w:val="007B7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568362">
      <w:bodyDiv w:val="1"/>
      <w:marLeft w:val="0"/>
      <w:marRight w:val="0"/>
      <w:marTop w:val="0"/>
      <w:marBottom w:val="0"/>
      <w:divBdr>
        <w:top w:val="none" w:sz="0" w:space="0" w:color="auto"/>
        <w:left w:val="none" w:sz="0" w:space="0" w:color="auto"/>
        <w:bottom w:val="none" w:sz="0" w:space="0" w:color="auto"/>
        <w:right w:val="none" w:sz="0" w:space="0" w:color="auto"/>
      </w:divBdr>
    </w:div>
    <w:div w:id="260769829">
      <w:bodyDiv w:val="1"/>
      <w:marLeft w:val="0"/>
      <w:marRight w:val="0"/>
      <w:marTop w:val="0"/>
      <w:marBottom w:val="0"/>
      <w:divBdr>
        <w:top w:val="none" w:sz="0" w:space="0" w:color="auto"/>
        <w:left w:val="none" w:sz="0" w:space="0" w:color="auto"/>
        <w:bottom w:val="none" w:sz="0" w:space="0" w:color="auto"/>
        <w:right w:val="none" w:sz="0" w:space="0" w:color="auto"/>
      </w:divBdr>
    </w:div>
    <w:div w:id="667514286">
      <w:bodyDiv w:val="1"/>
      <w:marLeft w:val="0"/>
      <w:marRight w:val="0"/>
      <w:marTop w:val="0"/>
      <w:marBottom w:val="0"/>
      <w:divBdr>
        <w:top w:val="none" w:sz="0" w:space="0" w:color="auto"/>
        <w:left w:val="none" w:sz="0" w:space="0" w:color="auto"/>
        <w:bottom w:val="none" w:sz="0" w:space="0" w:color="auto"/>
        <w:right w:val="none" w:sz="0" w:space="0" w:color="auto"/>
      </w:divBdr>
    </w:div>
    <w:div w:id="1201818663">
      <w:bodyDiv w:val="1"/>
      <w:marLeft w:val="0"/>
      <w:marRight w:val="0"/>
      <w:marTop w:val="0"/>
      <w:marBottom w:val="0"/>
      <w:divBdr>
        <w:top w:val="none" w:sz="0" w:space="0" w:color="auto"/>
        <w:left w:val="none" w:sz="0" w:space="0" w:color="auto"/>
        <w:bottom w:val="none" w:sz="0" w:space="0" w:color="auto"/>
        <w:right w:val="none" w:sz="0" w:space="0" w:color="auto"/>
      </w:divBdr>
    </w:div>
    <w:div w:id="1452355738">
      <w:bodyDiv w:val="1"/>
      <w:marLeft w:val="0"/>
      <w:marRight w:val="0"/>
      <w:marTop w:val="0"/>
      <w:marBottom w:val="0"/>
      <w:divBdr>
        <w:top w:val="none" w:sz="0" w:space="0" w:color="auto"/>
        <w:left w:val="none" w:sz="0" w:space="0" w:color="auto"/>
        <w:bottom w:val="none" w:sz="0" w:space="0" w:color="auto"/>
        <w:right w:val="none" w:sz="0" w:space="0" w:color="auto"/>
      </w:divBdr>
    </w:div>
    <w:div w:id="1505703810">
      <w:bodyDiv w:val="1"/>
      <w:marLeft w:val="0"/>
      <w:marRight w:val="0"/>
      <w:marTop w:val="0"/>
      <w:marBottom w:val="0"/>
      <w:divBdr>
        <w:top w:val="none" w:sz="0" w:space="0" w:color="auto"/>
        <w:left w:val="none" w:sz="0" w:space="0" w:color="auto"/>
        <w:bottom w:val="none" w:sz="0" w:space="0" w:color="auto"/>
        <w:right w:val="none" w:sz="0" w:space="0" w:color="auto"/>
      </w:divBdr>
    </w:div>
    <w:div w:id="1655067377">
      <w:bodyDiv w:val="1"/>
      <w:marLeft w:val="0"/>
      <w:marRight w:val="0"/>
      <w:marTop w:val="0"/>
      <w:marBottom w:val="0"/>
      <w:divBdr>
        <w:top w:val="none" w:sz="0" w:space="0" w:color="auto"/>
        <w:left w:val="none" w:sz="0" w:space="0" w:color="auto"/>
        <w:bottom w:val="none" w:sz="0" w:space="0" w:color="auto"/>
        <w:right w:val="none" w:sz="0" w:space="0" w:color="auto"/>
      </w:divBdr>
    </w:div>
    <w:div w:id="1829058950">
      <w:bodyDiv w:val="1"/>
      <w:marLeft w:val="0"/>
      <w:marRight w:val="0"/>
      <w:marTop w:val="0"/>
      <w:marBottom w:val="0"/>
      <w:divBdr>
        <w:top w:val="none" w:sz="0" w:space="0" w:color="auto"/>
        <w:left w:val="none" w:sz="0" w:space="0" w:color="auto"/>
        <w:bottom w:val="none" w:sz="0" w:space="0" w:color="auto"/>
        <w:right w:val="none" w:sz="0" w:space="0" w:color="auto"/>
      </w:divBdr>
    </w:div>
    <w:div w:id="1852837677">
      <w:bodyDiv w:val="1"/>
      <w:marLeft w:val="0"/>
      <w:marRight w:val="0"/>
      <w:marTop w:val="0"/>
      <w:marBottom w:val="0"/>
      <w:divBdr>
        <w:top w:val="none" w:sz="0" w:space="0" w:color="auto"/>
        <w:left w:val="none" w:sz="0" w:space="0" w:color="auto"/>
        <w:bottom w:val="none" w:sz="0" w:space="0" w:color="auto"/>
        <w:right w:val="none" w:sz="0" w:space="0" w:color="auto"/>
      </w:divBdr>
    </w:div>
    <w:div w:id="1861703119">
      <w:bodyDiv w:val="1"/>
      <w:marLeft w:val="0"/>
      <w:marRight w:val="0"/>
      <w:marTop w:val="0"/>
      <w:marBottom w:val="0"/>
      <w:divBdr>
        <w:top w:val="none" w:sz="0" w:space="0" w:color="auto"/>
        <w:left w:val="none" w:sz="0" w:space="0" w:color="auto"/>
        <w:bottom w:val="none" w:sz="0" w:space="0" w:color="auto"/>
        <w:right w:val="none" w:sz="0" w:space="0" w:color="auto"/>
      </w:divBdr>
    </w:div>
    <w:div w:id="199428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eli/reg/2013/1407/oj/?locale=L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2D7E8-367A-4893-9729-1BF8D22E8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14024</Words>
  <Characters>7994</Characters>
  <Application>Microsoft Office Word</Application>
  <DocSecurity>0</DocSecurity>
  <Lines>66</Lines>
  <Paragraphs>43</Paragraphs>
  <ScaleCrop>false</ScaleCrop>
  <HeadingPairs>
    <vt:vector size="2" baseType="variant">
      <vt:variant>
        <vt:lpstr>Title</vt:lpstr>
      </vt:variant>
      <vt:variant>
        <vt:i4>1</vt:i4>
      </vt:variant>
    </vt:vector>
  </HeadingPairs>
  <TitlesOfParts>
    <vt:vector size="1" baseType="lpstr">
      <vt:lpstr>Likumprojekta “Grozījumi likumā “Par akcīzes nodokli” sākotnējās ietekmes novērtējuma ziņojums</vt:lpstr>
    </vt:vector>
  </TitlesOfParts>
  <Company>Ekonomikas ministrija</Company>
  <LinksUpToDate>false</LinksUpToDate>
  <CharactersWithSpaces>21975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Likumprojekta “Grozījumi likumā “Par akcīzes nodokli” sākotnējās ietekmes novērtējuma ziņojums</dc:title>
  <dc:subject>Likumprojekts</dc:subject>
  <dc:creator>Jānis Rozītis</dc:creator>
  <cp:keywords/>
  <dc:description>67013272, janis.rozitis@em.gov.lv</dc:description>
  <cp:lastModifiedBy>Jānis Rozītis</cp:lastModifiedBy>
  <cp:revision>5</cp:revision>
  <dcterms:created xsi:type="dcterms:W3CDTF">2021-03-22T09:15:00Z</dcterms:created>
  <dcterms:modified xsi:type="dcterms:W3CDTF">2021-03-22T09:33:00Z</dcterms:modified>
</cp:coreProperties>
</file>