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6B3CF" w14:textId="77777777" w:rsidR="0006559B" w:rsidRPr="0031396F" w:rsidRDefault="00531951" w:rsidP="00531951">
      <w:pPr>
        <w:jc w:val="center"/>
        <w:rPr>
          <w:rFonts w:ascii="Times New Roman" w:hAnsi="Times New Roman" w:cs="Times New Roman"/>
          <w:sz w:val="24"/>
          <w:szCs w:val="24"/>
        </w:rPr>
      </w:pPr>
      <w:r w:rsidRPr="0031396F">
        <w:rPr>
          <w:rFonts w:ascii="Times New Roman" w:hAnsi="Times New Roman" w:cs="Times New Roman"/>
          <w:sz w:val="24"/>
          <w:szCs w:val="24"/>
        </w:rPr>
        <w:t>Būvniecības produkcijas apjomu prognoze 2022.-2027.gadā</w:t>
      </w:r>
      <w:r w:rsidR="0031396F">
        <w:rPr>
          <w:rFonts w:ascii="Times New Roman" w:hAnsi="Times New Roman" w:cs="Times New Roman"/>
          <w:sz w:val="24"/>
          <w:szCs w:val="24"/>
        </w:rPr>
        <w:t xml:space="preserve"> civilās būvniecības (ēku būvniecība) sektorā</w:t>
      </w:r>
      <w:r w:rsidRPr="0031396F">
        <w:rPr>
          <w:rFonts w:ascii="Times New Roman" w:hAnsi="Times New Roman" w:cs="Times New Roman"/>
          <w:sz w:val="24"/>
          <w:szCs w:val="24"/>
        </w:rPr>
        <w:t>.</w:t>
      </w:r>
    </w:p>
    <w:p w14:paraId="730CB8EE" w14:textId="77777777" w:rsidR="00531951" w:rsidRPr="0031396F" w:rsidRDefault="00531951" w:rsidP="00531951">
      <w:pPr>
        <w:jc w:val="center"/>
        <w:rPr>
          <w:rFonts w:ascii="Times New Roman" w:hAnsi="Times New Roman" w:cs="Times New Roman"/>
          <w:sz w:val="24"/>
          <w:szCs w:val="24"/>
        </w:rPr>
      </w:pPr>
    </w:p>
    <w:p w14:paraId="44F7253B" w14:textId="454B36EE" w:rsidR="002651D4" w:rsidRDefault="002651D4" w:rsidP="00531951">
      <w:pPr>
        <w:jc w:val="both"/>
        <w:rPr>
          <w:rFonts w:ascii="Times New Roman" w:hAnsi="Times New Roman" w:cs="Times New Roman"/>
          <w:sz w:val="24"/>
          <w:szCs w:val="24"/>
        </w:rPr>
      </w:pPr>
      <w:r>
        <w:rPr>
          <w:rFonts w:ascii="Times New Roman" w:hAnsi="Times New Roman" w:cs="Times New Roman"/>
          <w:sz w:val="24"/>
          <w:szCs w:val="24"/>
        </w:rPr>
        <w:t>Būvniecības produkcijas apjoms saskaņā ar Centrālās statistikas pārvaldes datiem bija:</w:t>
      </w:r>
    </w:p>
    <w:tbl>
      <w:tblPr>
        <w:tblStyle w:val="TableGrid"/>
        <w:tblW w:w="0" w:type="auto"/>
        <w:tblLook w:val="04A0" w:firstRow="1" w:lastRow="0" w:firstColumn="1" w:lastColumn="0" w:noHBand="0" w:noVBand="1"/>
      </w:tblPr>
      <w:tblGrid>
        <w:gridCol w:w="2111"/>
        <w:gridCol w:w="2111"/>
        <w:gridCol w:w="2112"/>
        <w:gridCol w:w="1962"/>
      </w:tblGrid>
      <w:tr w:rsidR="00317225" w14:paraId="4B2AF399" w14:textId="2F462AAD" w:rsidTr="00376A49">
        <w:tc>
          <w:tcPr>
            <w:tcW w:w="8296" w:type="dxa"/>
            <w:gridSpan w:val="4"/>
          </w:tcPr>
          <w:p w14:paraId="31E00AA3" w14:textId="4C7C2330" w:rsidR="00317225" w:rsidRDefault="00317225" w:rsidP="00531951">
            <w:pPr>
              <w:jc w:val="both"/>
              <w:rPr>
                <w:rFonts w:ascii="Times New Roman" w:hAnsi="Times New Roman" w:cs="Times New Roman"/>
                <w:sz w:val="24"/>
                <w:szCs w:val="24"/>
              </w:rPr>
            </w:pPr>
            <w:r>
              <w:rPr>
                <w:rFonts w:ascii="Times New Roman" w:hAnsi="Times New Roman" w:cs="Times New Roman"/>
                <w:sz w:val="24"/>
                <w:szCs w:val="24"/>
              </w:rPr>
              <w:t xml:space="preserve">Būvniecības produkcijas apjoms 2017. – 2020.gados (miljardi </w:t>
            </w:r>
            <w:proofErr w:type="spellStart"/>
            <w:r>
              <w:rPr>
                <w:rFonts w:ascii="Times New Roman" w:hAnsi="Times New Roman" w:cs="Times New Roman"/>
                <w:sz w:val="24"/>
                <w:szCs w:val="24"/>
              </w:rPr>
              <w:t>euro</w:t>
            </w:r>
            <w:proofErr w:type="spellEnd"/>
            <w:r>
              <w:rPr>
                <w:rFonts w:ascii="Times New Roman" w:hAnsi="Times New Roman" w:cs="Times New Roman"/>
                <w:sz w:val="24"/>
                <w:szCs w:val="24"/>
              </w:rPr>
              <w:t>)</w:t>
            </w:r>
          </w:p>
        </w:tc>
      </w:tr>
      <w:tr w:rsidR="00317225" w14:paraId="77CA0752" w14:textId="7B04D63E" w:rsidTr="00317225">
        <w:tc>
          <w:tcPr>
            <w:tcW w:w="2111" w:type="dxa"/>
          </w:tcPr>
          <w:p w14:paraId="49D003EE" w14:textId="1BE73156" w:rsidR="00317225" w:rsidRDefault="00317225" w:rsidP="00317225">
            <w:pPr>
              <w:jc w:val="center"/>
              <w:rPr>
                <w:rFonts w:ascii="Times New Roman" w:hAnsi="Times New Roman" w:cs="Times New Roman"/>
                <w:sz w:val="24"/>
                <w:szCs w:val="24"/>
              </w:rPr>
            </w:pPr>
            <w:r>
              <w:rPr>
                <w:rFonts w:ascii="Times New Roman" w:hAnsi="Times New Roman" w:cs="Times New Roman"/>
                <w:sz w:val="24"/>
                <w:szCs w:val="24"/>
              </w:rPr>
              <w:t>2017</w:t>
            </w:r>
          </w:p>
        </w:tc>
        <w:tc>
          <w:tcPr>
            <w:tcW w:w="2111" w:type="dxa"/>
          </w:tcPr>
          <w:p w14:paraId="4C33A903" w14:textId="6D6622DB" w:rsidR="00317225" w:rsidRDefault="00317225" w:rsidP="00317225">
            <w:pPr>
              <w:jc w:val="center"/>
              <w:rPr>
                <w:rFonts w:ascii="Times New Roman" w:hAnsi="Times New Roman" w:cs="Times New Roman"/>
                <w:sz w:val="24"/>
                <w:szCs w:val="24"/>
              </w:rPr>
            </w:pPr>
            <w:r>
              <w:rPr>
                <w:rFonts w:ascii="Times New Roman" w:hAnsi="Times New Roman" w:cs="Times New Roman"/>
                <w:sz w:val="24"/>
                <w:szCs w:val="24"/>
              </w:rPr>
              <w:t>2018</w:t>
            </w:r>
          </w:p>
        </w:tc>
        <w:tc>
          <w:tcPr>
            <w:tcW w:w="2112" w:type="dxa"/>
          </w:tcPr>
          <w:p w14:paraId="74E7B2FA" w14:textId="080E76FA" w:rsidR="00317225" w:rsidRDefault="00317225" w:rsidP="00317225">
            <w:pPr>
              <w:jc w:val="center"/>
              <w:rPr>
                <w:rFonts w:ascii="Times New Roman" w:hAnsi="Times New Roman" w:cs="Times New Roman"/>
                <w:sz w:val="24"/>
                <w:szCs w:val="24"/>
              </w:rPr>
            </w:pPr>
            <w:r>
              <w:rPr>
                <w:rFonts w:ascii="Times New Roman" w:hAnsi="Times New Roman" w:cs="Times New Roman"/>
                <w:sz w:val="24"/>
                <w:szCs w:val="24"/>
              </w:rPr>
              <w:t>2019</w:t>
            </w:r>
          </w:p>
        </w:tc>
        <w:tc>
          <w:tcPr>
            <w:tcW w:w="1962" w:type="dxa"/>
          </w:tcPr>
          <w:p w14:paraId="039C1039" w14:textId="743660F7" w:rsidR="00317225" w:rsidRDefault="00317225" w:rsidP="00317225">
            <w:pPr>
              <w:jc w:val="center"/>
              <w:rPr>
                <w:rFonts w:ascii="Times New Roman" w:hAnsi="Times New Roman" w:cs="Times New Roman"/>
                <w:sz w:val="24"/>
                <w:szCs w:val="24"/>
              </w:rPr>
            </w:pPr>
            <w:r>
              <w:rPr>
                <w:rFonts w:ascii="Times New Roman" w:hAnsi="Times New Roman" w:cs="Times New Roman"/>
                <w:sz w:val="24"/>
                <w:szCs w:val="24"/>
              </w:rPr>
              <w:t>2020</w:t>
            </w:r>
          </w:p>
        </w:tc>
      </w:tr>
      <w:tr w:rsidR="00317225" w14:paraId="002888ED" w14:textId="15270C63" w:rsidTr="00317225">
        <w:tc>
          <w:tcPr>
            <w:tcW w:w="2111" w:type="dxa"/>
          </w:tcPr>
          <w:p w14:paraId="1C87C136" w14:textId="4A19BAA4" w:rsidR="00317225" w:rsidRDefault="00317225" w:rsidP="00317225">
            <w:pPr>
              <w:jc w:val="center"/>
              <w:rPr>
                <w:rFonts w:ascii="Times New Roman" w:hAnsi="Times New Roman" w:cs="Times New Roman"/>
                <w:sz w:val="24"/>
                <w:szCs w:val="24"/>
              </w:rPr>
            </w:pPr>
            <w:r>
              <w:rPr>
                <w:rFonts w:ascii="Times New Roman" w:hAnsi="Times New Roman" w:cs="Times New Roman"/>
                <w:sz w:val="24"/>
                <w:szCs w:val="24"/>
              </w:rPr>
              <w:t>1.74</w:t>
            </w:r>
          </w:p>
        </w:tc>
        <w:tc>
          <w:tcPr>
            <w:tcW w:w="2111" w:type="dxa"/>
          </w:tcPr>
          <w:p w14:paraId="1F0C082A" w14:textId="070250D1" w:rsidR="00317225" w:rsidRDefault="00317225" w:rsidP="00317225">
            <w:pPr>
              <w:jc w:val="center"/>
              <w:rPr>
                <w:rFonts w:ascii="Times New Roman" w:hAnsi="Times New Roman" w:cs="Times New Roman"/>
                <w:sz w:val="24"/>
                <w:szCs w:val="24"/>
              </w:rPr>
            </w:pPr>
            <w:r>
              <w:rPr>
                <w:rFonts w:ascii="Times New Roman" w:hAnsi="Times New Roman" w:cs="Times New Roman"/>
                <w:sz w:val="24"/>
                <w:szCs w:val="24"/>
              </w:rPr>
              <w:t>2.19</w:t>
            </w:r>
          </w:p>
        </w:tc>
        <w:tc>
          <w:tcPr>
            <w:tcW w:w="2112" w:type="dxa"/>
          </w:tcPr>
          <w:p w14:paraId="2BA1FB0A" w14:textId="6AB9FA68" w:rsidR="00317225" w:rsidRDefault="00317225" w:rsidP="00317225">
            <w:pPr>
              <w:jc w:val="center"/>
              <w:rPr>
                <w:rFonts w:ascii="Times New Roman" w:hAnsi="Times New Roman" w:cs="Times New Roman"/>
                <w:sz w:val="24"/>
                <w:szCs w:val="24"/>
              </w:rPr>
            </w:pPr>
            <w:r>
              <w:rPr>
                <w:rFonts w:ascii="Times New Roman" w:hAnsi="Times New Roman" w:cs="Times New Roman"/>
                <w:sz w:val="24"/>
                <w:szCs w:val="24"/>
              </w:rPr>
              <w:t>2.34</w:t>
            </w:r>
          </w:p>
        </w:tc>
        <w:tc>
          <w:tcPr>
            <w:tcW w:w="1962" w:type="dxa"/>
          </w:tcPr>
          <w:p w14:paraId="1612F5DA" w14:textId="37AF86E4" w:rsidR="00317225" w:rsidRDefault="00317225" w:rsidP="00317225">
            <w:pPr>
              <w:jc w:val="center"/>
              <w:rPr>
                <w:rFonts w:ascii="Times New Roman" w:hAnsi="Times New Roman" w:cs="Times New Roman"/>
                <w:sz w:val="24"/>
                <w:szCs w:val="24"/>
              </w:rPr>
            </w:pPr>
            <w:r>
              <w:rPr>
                <w:rFonts w:ascii="Times New Roman" w:hAnsi="Times New Roman" w:cs="Times New Roman"/>
                <w:sz w:val="24"/>
                <w:szCs w:val="24"/>
              </w:rPr>
              <w:t>2,42</w:t>
            </w:r>
            <w:r>
              <w:rPr>
                <w:rStyle w:val="FootnoteReference"/>
                <w:rFonts w:ascii="Times New Roman" w:hAnsi="Times New Roman" w:cs="Times New Roman"/>
                <w:sz w:val="24"/>
                <w:szCs w:val="24"/>
              </w:rPr>
              <w:footnoteReference w:id="1"/>
            </w:r>
          </w:p>
        </w:tc>
      </w:tr>
    </w:tbl>
    <w:p w14:paraId="67F18CD0" w14:textId="77777777" w:rsidR="00317225" w:rsidRDefault="002651D4" w:rsidP="00317225">
      <w:pPr>
        <w:jc w:val="both"/>
        <w:rPr>
          <w:rFonts w:ascii="Times New Roman" w:hAnsi="Times New Roman" w:cs="Times New Roman"/>
          <w:sz w:val="24"/>
          <w:szCs w:val="24"/>
        </w:rPr>
      </w:pPr>
      <w:r>
        <w:rPr>
          <w:rFonts w:ascii="Times New Roman" w:hAnsi="Times New Roman" w:cs="Times New Roman"/>
          <w:sz w:val="24"/>
          <w:szCs w:val="24"/>
        </w:rPr>
        <w:t xml:space="preserve"> </w:t>
      </w:r>
    </w:p>
    <w:p w14:paraId="149E8524" w14:textId="77777777" w:rsidR="00317225" w:rsidRDefault="00317225" w:rsidP="00317225">
      <w:pPr>
        <w:jc w:val="both"/>
        <w:rPr>
          <w:rFonts w:ascii="Times New Roman" w:hAnsi="Times New Roman" w:cs="Times New Roman"/>
          <w:sz w:val="24"/>
          <w:szCs w:val="24"/>
        </w:rPr>
      </w:pPr>
      <w:r>
        <w:rPr>
          <w:rFonts w:ascii="Times New Roman" w:hAnsi="Times New Roman" w:cs="Times New Roman"/>
          <w:sz w:val="24"/>
          <w:szCs w:val="24"/>
        </w:rPr>
        <w:t xml:space="preserve">[1] Apjomu prognoze pētījuma ietvaros. </w:t>
      </w:r>
    </w:p>
    <w:p w14:paraId="4A1F6D29" w14:textId="77EB3007" w:rsidR="00531951" w:rsidRDefault="00531951" w:rsidP="00317225">
      <w:pPr>
        <w:jc w:val="both"/>
        <w:rPr>
          <w:rFonts w:ascii="Times New Roman" w:hAnsi="Times New Roman" w:cs="Times New Roman"/>
          <w:sz w:val="24"/>
          <w:szCs w:val="24"/>
        </w:rPr>
      </w:pPr>
      <w:r w:rsidRPr="0031396F">
        <w:rPr>
          <w:rFonts w:ascii="Times New Roman" w:hAnsi="Times New Roman" w:cs="Times New Roman"/>
          <w:sz w:val="24"/>
          <w:szCs w:val="24"/>
        </w:rPr>
        <w:t xml:space="preserve">Ekonomikas ministrijas ikgadējs </w:t>
      </w:r>
      <w:r w:rsidR="0031396F">
        <w:rPr>
          <w:rFonts w:ascii="Times New Roman" w:hAnsi="Times New Roman" w:cs="Times New Roman"/>
          <w:sz w:val="24"/>
          <w:szCs w:val="24"/>
        </w:rPr>
        <w:t>p</w:t>
      </w:r>
      <w:r w:rsidR="0031396F" w:rsidRPr="0031396F">
        <w:rPr>
          <w:rFonts w:ascii="Times New Roman" w:hAnsi="Times New Roman" w:cs="Times New Roman"/>
          <w:sz w:val="24"/>
          <w:szCs w:val="24"/>
        </w:rPr>
        <w:t>ētījum</w:t>
      </w:r>
      <w:r w:rsidR="0031396F">
        <w:rPr>
          <w:rFonts w:ascii="Times New Roman" w:hAnsi="Times New Roman" w:cs="Times New Roman"/>
          <w:sz w:val="24"/>
          <w:szCs w:val="24"/>
        </w:rPr>
        <w:t>a</w:t>
      </w:r>
      <w:r w:rsidR="0031396F" w:rsidRPr="0031396F">
        <w:rPr>
          <w:rFonts w:ascii="Times New Roman" w:hAnsi="Times New Roman" w:cs="Times New Roman"/>
          <w:sz w:val="24"/>
          <w:szCs w:val="24"/>
        </w:rPr>
        <w:t xml:space="preserve"> </w:t>
      </w:r>
      <w:r w:rsidR="0031396F" w:rsidRPr="0031396F">
        <w:rPr>
          <w:rFonts w:ascii="Times New Roman" w:hAnsi="Times New Roman" w:cs="Times New Roman"/>
          <w:i/>
          <w:iCs/>
          <w:sz w:val="24"/>
          <w:szCs w:val="24"/>
        </w:rPr>
        <w:t>par prognozētām izmaiņām darbaspēka un būvmateriālu izmaksās būvniecības nozarē Latvijā</w:t>
      </w:r>
      <w:r w:rsidR="0031396F">
        <w:rPr>
          <w:rStyle w:val="FootnoteReference"/>
          <w:rFonts w:ascii="Times New Roman" w:hAnsi="Times New Roman" w:cs="Times New Roman"/>
          <w:i/>
          <w:iCs/>
          <w:sz w:val="24"/>
          <w:szCs w:val="24"/>
        </w:rPr>
        <w:footnoteReference w:id="2"/>
      </w:r>
      <w:r w:rsidR="0031396F">
        <w:rPr>
          <w:rFonts w:ascii="Times New Roman" w:hAnsi="Times New Roman" w:cs="Times New Roman"/>
          <w:sz w:val="24"/>
          <w:szCs w:val="24"/>
        </w:rPr>
        <w:t xml:space="preserve"> ietvaros iegūtais </w:t>
      </w:r>
      <w:r w:rsidR="0031396F" w:rsidRPr="0031396F">
        <w:rPr>
          <w:rFonts w:ascii="Times New Roman" w:hAnsi="Times New Roman" w:cs="Times New Roman"/>
          <w:sz w:val="24"/>
          <w:szCs w:val="24"/>
        </w:rPr>
        <w:t>vidējais ekspertu vērtējums liecin</w:t>
      </w:r>
      <w:r w:rsidR="0031396F">
        <w:rPr>
          <w:rFonts w:ascii="Times New Roman" w:hAnsi="Times New Roman" w:cs="Times New Roman"/>
          <w:sz w:val="24"/>
          <w:szCs w:val="24"/>
        </w:rPr>
        <w:t>āja</w:t>
      </w:r>
      <w:r w:rsidR="0031396F" w:rsidRPr="0031396F">
        <w:rPr>
          <w:rFonts w:ascii="Times New Roman" w:hAnsi="Times New Roman" w:cs="Times New Roman"/>
          <w:sz w:val="24"/>
          <w:szCs w:val="24"/>
        </w:rPr>
        <w:t xml:space="preserve"> par mērenu būvniecības produkcijas apjoma pieaugumu 2020.gadā, pēc kura visus tālākos gadus tiek vidēji prognozēts arvien augstāks ikgadējais pieaugums, sasniedzot augstāko līmeni 2024.gadā</w:t>
      </w:r>
      <w:r w:rsidR="0031396F">
        <w:rPr>
          <w:rStyle w:val="FootnoteReference"/>
          <w:rFonts w:ascii="Times New Roman" w:hAnsi="Times New Roman" w:cs="Times New Roman"/>
          <w:sz w:val="24"/>
          <w:szCs w:val="24"/>
        </w:rPr>
        <w:footnoteReference w:id="3"/>
      </w:r>
      <w:r w:rsidR="0031396F">
        <w:rPr>
          <w:rFonts w:ascii="Times New Roman" w:hAnsi="Times New Roman" w:cs="Times New Roman"/>
          <w:sz w:val="24"/>
          <w:szCs w:val="24"/>
        </w:rPr>
        <w:t xml:space="preserve">. </w:t>
      </w:r>
      <w:r w:rsidR="0031396F" w:rsidRPr="0031396F">
        <w:rPr>
          <w:rFonts w:ascii="Times New Roman" w:hAnsi="Times New Roman" w:cs="Times New Roman"/>
          <w:sz w:val="24"/>
          <w:szCs w:val="24"/>
        </w:rPr>
        <w:t xml:space="preserve">Novērotā </w:t>
      </w:r>
      <w:proofErr w:type="spellStart"/>
      <w:r w:rsidR="0031396F" w:rsidRPr="0031396F">
        <w:rPr>
          <w:rFonts w:ascii="Times New Roman" w:hAnsi="Times New Roman" w:cs="Times New Roman"/>
          <w:sz w:val="24"/>
          <w:szCs w:val="24"/>
        </w:rPr>
        <w:t>ekspertvērtējumu</w:t>
      </w:r>
      <w:proofErr w:type="spellEnd"/>
      <w:r w:rsidR="0031396F" w:rsidRPr="0031396F">
        <w:rPr>
          <w:rFonts w:ascii="Times New Roman" w:hAnsi="Times New Roman" w:cs="Times New Roman"/>
          <w:sz w:val="24"/>
          <w:szCs w:val="24"/>
        </w:rPr>
        <w:t xml:space="preserve"> standartnovirze ir starp 3,25 un 5,57 procentpunktiem, kas iegūto prognožu kontekstā liecina </w:t>
      </w:r>
      <w:r w:rsidR="0031396F" w:rsidRPr="0031396F">
        <w:rPr>
          <w:rFonts w:ascii="Times New Roman" w:hAnsi="Times New Roman" w:cs="Times New Roman"/>
          <w:sz w:val="24"/>
          <w:szCs w:val="24"/>
          <w:u w:val="single"/>
        </w:rPr>
        <w:t>par samērā nevienlīdzīgu skatījumu par nākotnes attīstību būvniecības nozarē</w:t>
      </w:r>
      <w:r w:rsidR="0031396F" w:rsidRPr="0031396F">
        <w:rPr>
          <w:rFonts w:ascii="Times New Roman" w:hAnsi="Times New Roman" w:cs="Times New Roman"/>
          <w:sz w:val="24"/>
          <w:szCs w:val="24"/>
        </w:rPr>
        <w:t>. Vispārīgo ekspertu viedokļos tika novērotas nozīmīgas amplitūdas, atsevišķi eksperti prognozēja arī produkcijas apjoma samazinājumu. Tomēr vairums uzskatīja, ka būs gaidāma mērena izaugsme</w:t>
      </w:r>
      <w:r w:rsidR="0031396F">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659"/>
        <w:gridCol w:w="1659"/>
        <w:gridCol w:w="1659"/>
        <w:gridCol w:w="1659"/>
        <w:gridCol w:w="1660"/>
      </w:tblGrid>
      <w:tr w:rsidR="00931A01" w14:paraId="79EEEFBA" w14:textId="77777777" w:rsidTr="00CE3754">
        <w:tc>
          <w:tcPr>
            <w:tcW w:w="8296" w:type="dxa"/>
            <w:gridSpan w:val="5"/>
          </w:tcPr>
          <w:p w14:paraId="32AB8A8C" w14:textId="77777777" w:rsidR="00931A01" w:rsidRDefault="00931A01" w:rsidP="00931A01">
            <w:pPr>
              <w:jc w:val="center"/>
              <w:rPr>
                <w:rFonts w:ascii="Times New Roman" w:hAnsi="Times New Roman" w:cs="Times New Roman"/>
                <w:sz w:val="24"/>
                <w:szCs w:val="24"/>
              </w:rPr>
            </w:pPr>
            <w:r w:rsidRPr="00931A01">
              <w:rPr>
                <w:rFonts w:ascii="Times New Roman" w:hAnsi="Times New Roman" w:cs="Times New Roman"/>
                <w:sz w:val="24"/>
                <w:szCs w:val="24"/>
              </w:rPr>
              <w:t>Kombinētā (ekspertu-statistiskā) prognoze</w:t>
            </w:r>
          </w:p>
        </w:tc>
      </w:tr>
      <w:tr w:rsidR="00931A01" w14:paraId="5BB3789A" w14:textId="77777777" w:rsidTr="00931A01">
        <w:tc>
          <w:tcPr>
            <w:tcW w:w="1659" w:type="dxa"/>
          </w:tcPr>
          <w:p w14:paraId="5E6FAEBA" w14:textId="77777777" w:rsidR="00931A01" w:rsidRDefault="00931A01" w:rsidP="00531951">
            <w:pPr>
              <w:jc w:val="both"/>
              <w:rPr>
                <w:rFonts w:ascii="Times New Roman" w:hAnsi="Times New Roman" w:cs="Times New Roman"/>
                <w:sz w:val="24"/>
                <w:szCs w:val="24"/>
              </w:rPr>
            </w:pPr>
            <w:r>
              <w:rPr>
                <w:rFonts w:ascii="Times New Roman" w:hAnsi="Times New Roman" w:cs="Times New Roman"/>
                <w:sz w:val="24"/>
                <w:szCs w:val="24"/>
              </w:rPr>
              <w:t>2020</w:t>
            </w:r>
          </w:p>
        </w:tc>
        <w:tc>
          <w:tcPr>
            <w:tcW w:w="1659" w:type="dxa"/>
          </w:tcPr>
          <w:p w14:paraId="7D8EEEA8" w14:textId="77777777" w:rsidR="00931A01" w:rsidRDefault="00931A01" w:rsidP="00531951">
            <w:pPr>
              <w:jc w:val="both"/>
              <w:rPr>
                <w:rFonts w:ascii="Times New Roman" w:hAnsi="Times New Roman" w:cs="Times New Roman"/>
                <w:sz w:val="24"/>
                <w:szCs w:val="24"/>
              </w:rPr>
            </w:pPr>
            <w:r>
              <w:rPr>
                <w:rFonts w:ascii="Times New Roman" w:hAnsi="Times New Roman" w:cs="Times New Roman"/>
                <w:sz w:val="24"/>
                <w:szCs w:val="24"/>
              </w:rPr>
              <w:t>2021</w:t>
            </w:r>
          </w:p>
        </w:tc>
        <w:tc>
          <w:tcPr>
            <w:tcW w:w="1659" w:type="dxa"/>
          </w:tcPr>
          <w:p w14:paraId="6F66A21B" w14:textId="77777777" w:rsidR="00931A01" w:rsidRDefault="00931A01" w:rsidP="00531951">
            <w:pPr>
              <w:jc w:val="both"/>
              <w:rPr>
                <w:rFonts w:ascii="Times New Roman" w:hAnsi="Times New Roman" w:cs="Times New Roman"/>
                <w:sz w:val="24"/>
                <w:szCs w:val="24"/>
              </w:rPr>
            </w:pPr>
            <w:r>
              <w:rPr>
                <w:rFonts w:ascii="Times New Roman" w:hAnsi="Times New Roman" w:cs="Times New Roman"/>
                <w:sz w:val="24"/>
                <w:szCs w:val="24"/>
              </w:rPr>
              <w:t>2022</w:t>
            </w:r>
          </w:p>
        </w:tc>
        <w:tc>
          <w:tcPr>
            <w:tcW w:w="1659" w:type="dxa"/>
          </w:tcPr>
          <w:p w14:paraId="4F65E868" w14:textId="77777777" w:rsidR="00931A01" w:rsidRDefault="00931A01" w:rsidP="00531951">
            <w:pPr>
              <w:jc w:val="both"/>
              <w:rPr>
                <w:rFonts w:ascii="Times New Roman" w:hAnsi="Times New Roman" w:cs="Times New Roman"/>
                <w:sz w:val="24"/>
                <w:szCs w:val="24"/>
              </w:rPr>
            </w:pPr>
            <w:r>
              <w:rPr>
                <w:rFonts w:ascii="Times New Roman" w:hAnsi="Times New Roman" w:cs="Times New Roman"/>
                <w:sz w:val="24"/>
                <w:szCs w:val="24"/>
              </w:rPr>
              <w:t>2023</w:t>
            </w:r>
          </w:p>
        </w:tc>
        <w:tc>
          <w:tcPr>
            <w:tcW w:w="1660" w:type="dxa"/>
          </w:tcPr>
          <w:p w14:paraId="1391CEB4" w14:textId="77777777" w:rsidR="00931A01" w:rsidRDefault="00931A01" w:rsidP="00531951">
            <w:pPr>
              <w:jc w:val="both"/>
              <w:rPr>
                <w:rFonts w:ascii="Times New Roman" w:hAnsi="Times New Roman" w:cs="Times New Roman"/>
                <w:sz w:val="24"/>
                <w:szCs w:val="24"/>
              </w:rPr>
            </w:pPr>
            <w:r>
              <w:rPr>
                <w:rFonts w:ascii="Times New Roman" w:hAnsi="Times New Roman" w:cs="Times New Roman"/>
                <w:sz w:val="24"/>
                <w:szCs w:val="24"/>
              </w:rPr>
              <w:t>2024</w:t>
            </w:r>
          </w:p>
        </w:tc>
      </w:tr>
      <w:tr w:rsidR="00931A01" w14:paraId="01EA5AC5" w14:textId="77777777" w:rsidTr="00931A01">
        <w:tc>
          <w:tcPr>
            <w:tcW w:w="1659" w:type="dxa"/>
          </w:tcPr>
          <w:p w14:paraId="0F26820B" w14:textId="77777777" w:rsidR="00931A01" w:rsidRDefault="00931A01" w:rsidP="00531951">
            <w:pPr>
              <w:jc w:val="both"/>
              <w:rPr>
                <w:rFonts w:ascii="Times New Roman" w:hAnsi="Times New Roman" w:cs="Times New Roman"/>
                <w:sz w:val="24"/>
                <w:szCs w:val="24"/>
              </w:rPr>
            </w:pPr>
            <w:r w:rsidRPr="00931A01">
              <w:rPr>
                <w:rFonts w:ascii="Times New Roman" w:hAnsi="Times New Roman" w:cs="Times New Roman"/>
                <w:sz w:val="24"/>
                <w:szCs w:val="24"/>
              </w:rPr>
              <w:t>+3,07%</w:t>
            </w:r>
          </w:p>
        </w:tc>
        <w:tc>
          <w:tcPr>
            <w:tcW w:w="1659" w:type="dxa"/>
          </w:tcPr>
          <w:p w14:paraId="53578828" w14:textId="77777777" w:rsidR="00931A01" w:rsidRDefault="00931A01" w:rsidP="00531951">
            <w:pPr>
              <w:jc w:val="both"/>
              <w:rPr>
                <w:rFonts w:ascii="Times New Roman" w:hAnsi="Times New Roman" w:cs="Times New Roman"/>
                <w:sz w:val="24"/>
                <w:szCs w:val="24"/>
              </w:rPr>
            </w:pPr>
            <w:r w:rsidRPr="00931A01">
              <w:rPr>
                <w:rFonts w:ascii="Times New Roman" w:hAnsi="Times New Roman" w:cs="Times New Roman"/>
                <w:sz w:val="24"/>
                <w:szCs w:val="24"/>
              </w:rPr>
              <w:t>+3,25%</w:t>
            </w:r>
          </w:p>
        </w:tc>
        <w:tc>
          <w:tcPr>
            <w:tcW w:w="1659" w:type="dxa"/>
          </w:tcPr>
          <w:p w14:paraId="600F4E28" w14:textId="77777777" w:rsidR="00931A01" w:rsidRDefault="00931A01" w:rsidP="00531951">
            <w:pPr>
              <w:jc w:val="both"/>
              <w:rPr>
                <w:rFonts w:ascii="Times New Roman" w:hAnsi="Times New Roman" w:cs="Times New Roman"/>
                <w:sz w:val="24"/>
                <w:szCs w:val="24"/>
              </w:rPr>
            </w:pPr>
            <w:r w:rsidRPr="00931A01">
              <w:rPr>
                <w:rFonts w:ascii="Times New Roman" w:hAnsi="Times New Roman" w:cs="Times New Roman"/>
                <w:sz w:val="24"/>
                <w:szCs w:val="24"/>
              </w:rPr>
              <w:t>+4,72%</w:t>
            </w:r>
          </w:p>
        </w:tc>
        <w:tc>
          <w:tcPr>
            <w:tcW w:w="1659" w:type="dxa"/>
          </w:tcPr>
          <w:p w14:paraId="46363663" w14:textId="77777777" w:rsidR="00931A01" w:rsidRDefault="00931A01" w:rsidP="00531951">
            <w:pPr>
              <w:jc w:val="both"/>
              <w:rPr>
                <w:rFonts w:ascii="Times New Roman" w:hAnsi="Times New Roman" w:cs="Times New Roman"/>
                <w:sz w:val="24"/>
                <w:szCs w:val="24"/>
              </w:rPr>
            </w:pPr>
            <w:r w:rsidRPr="00931A01">
              <w:rPr>
                <w:rFonts w:ascii="Times New Roman" w:hAnsi="Times New Roman" w:cs="Times New Roman"/>
                <w:sz w:val="24"/>
                <w:szCs w:val="24"/>
              </w:rPr>
              <w:t>+5,11%</w:t>
            </w:r>
          </w:p>
        </w:tc>
        <w:tc>
          <w:tcPr>
            <w:tcW w:w="1660" w:type="dxa"/>
          </w:tcPr>
          <w:p w14:paraId="28D15659" w14:textId="77777777" w:rsidR="00931A01" w:rsidRDefault="00931A01" w:rsidP="00531951">
            <w:pPr>
              <w:jc w:val="both"/>
              <w:rPr>
                <w:rFonts w:ascii="Times New Roman" w:hAnsi="Times New Roman" w:cs="Times New Roman"/>
                <w:sz w:val="24"/>
                <w:szCs w:val="24"/>
              </w:rPr>
            </w:pPr>
            <w:r w:rsidRPr="00931A01">
              <w:rPr>
                <w:rFonts w:ascii="Times New Roman" w:hAnsi="Times New Roman" w:cs="Times New Roman"/>
                <w:sz w:val="24"/>
                <w:szCs w:val="24"/>
              </w:rPr>
              <w:t>+5,38%</w:t>
            </w:r>
          </w:p>
        </w:tc>
      </w:tr>
    </w:tbl>
    <w:p w14:paraId="205A5377" w14:textId="77777777" w:rsidR="004D1C76" w:rsidRDefault="004D1C76" w:rsidP="00531951">
      <w:pPr>
        <w:jc w:val="both"/>
        <w:rPr>
          <w:rFonts w:ascii="Times New Roman" w:hAnsi="Times New Roman" w:cs="Times New Roman"/>
          <w:sz w:val="24"/>
          <w:szCs w:val="24"/>
        </w:rPr>
      </w:pPr>
    </w:p>
    <w:p w14:paraId="7E311E36" w14:textId="38B3FC87" w:rsidR="00931A01" w:rsidRDefault="004D1C76" w:rsidP="00531951">
      <w:pPr>
        <w:jc w:val="both"/>
        <w:rPr>
          <w:rFonts w:ascii="Times New Roman" w:hAnsi="Times New Roman" w:cs="Times New Roman"/>
          <w:sz w:val="24"/>
          <w:szCs w:val="24"/>
        </w:rPr>
      </w:pPr>
      <w:r>
        <w:rPr>
          <w:rFonts w:ascii="Times New Roman" w:hAnsi="Times New Roman" w:cs="Times New Roman"/>
          <w:sz w:val="24"/>
          <w:szCs w:val="24"/>
        </w:rPr>
        <w:t xml:space="preserve">Lai gan prognoze ir veikta 2020.gada vasarā un tajā nav ņemta vērā COVID 19 izplatības mazināšanai ieviesto ierobežojumu ietekme, tā samēra precīzi atspoguļo būvniecības nozares attīstības tendenci 2020.gadā. Centrālās statistikas pārvaldes dati liecina, ka </w:t>
      </w:r>
      <w:r w:rsidRPr="004D1C76">
        <w:rPr>
          <w:rFonts w:ascii="Times New Roman" w:hAnsi="Times New Roman" w:cs="Times New Roman"/>
          <w:sz w:val="24"/>
          <w:szCs w:val="24"/>
        </w:rPr>
        <w:t>2020. gadā, salīdzinot ar 2019. gadu, būvniecības produkcijas apjoms pēc kalendāri koriģētiem datiem salīdzināmajās cenās pieauga par 2,7 %</w:t>
      </w:r>
      <w:r>
        <w:rPr>
          <w:rFonts w:ascii="Times New Roman" w:hAnsi="Times New Roman" w:cs="Times New Roman"/>
          <w:sz w:val="24"/>
          <w:szCs w:val="24"/>
        </w:rPr>
        <w:t xml:space="preserve">. </w:t>
      </w:r>
      <w:r w:rsidRPr="004D1C76">
        <w:rPr>
          <w:rFonts w:ascii="Times New Roman" w:hAnsi="Times New Roman" w:cs="Times New Roman"/>
          <w:sz w:val="24"/>
          <w:szCs w:val="24"/>
        </w:rPr>
        <w:t xml:space="preserve"> </w:t>
      </w:r>
    </w:p>
    <w:p w14:paraId="6BEB8F46" w14:textId="20666EA7" w:rsidR="00317225" w:rsidRDefault="00317225" w:rsidP="00531951">
      <w:pPr>
        <w:jc w:val="both"/>
        <w:rPr>
          <w:rFonts w:ascii="Times New Roman" w:hAnsi="Times New Roman" w:cs="Times New Roman"/>
          <w:sz w:val="24"/>
          <w:szCs w:val="24"/>
        </w:rPr>
      </w:pPr>
      <w:r>
        <w:rPr>
          <w:rFonts w:ascii="Times New Roman" w:hAnsi="Times New Roman" w:cs="Times New Roman"/>
          <w:sz w:val="24"/>
          <w:szCs w:val="24"/>
        </w:rPr>
        <w:t xml:space="preserve">2020.gadā lielākais pieaugums bija vērojams specializētajos būvdarbos – 8%, pieaugums ēku būvniecībā bija vien 0,9%, savukārt inženierbūvju būvniecībā tika novērots neliels kritums – 1,5%. </w:t>
      </w:r>
    </w:p>
    <w:p w14:paraId="14AFB577" w14:textId="6E0CA4D9" w:rsidR="00317225" w:rsidRDefault="00317225" w:rsidP="00531951">
      <w:pPr>
        <w:jc w:val="both"/>
        <w:rPr>
          <w:rFonts w:ascii="Times New Roman" w:hAnsi="Times New Roman" w:cs="Times New Roman"/>
          <w:sz w:val="24"/>
          <w:szCs w:val="24"/>
        </w:rPr>
      </w:pPr>
      <w:r>
        <w:rPr>
          <w:rFonts w:ascii="Times New Roman" w:hAnsi="Times New Roman" w:cs="Times New Roman"/>
          <w:sz w:val="24"/>
          <w:szCs w:val="24"/>
        </w:rPr>
        <w:t xml:space="preserve">Prognoze uzrāda, ka lielākais apjomu pieaugums </w:t>
      </w:r>
      <w:r w:rsidR="00AA766F">
        <w:rPr>
          <w:rFonts w:ascii="Times New Roman" w:hAnsi="Times New Roman" w:cs="Times New Roman"/>
          <w:sz w:val="24"/>
          <w:szCs w:val="24"/>
        </w:rPr>
        <w:t>2021.</w:t>
      </w:r>
      <w:r w:rsidR="008B53FA">
        <w:rPr>
          <w:rFonts w:ascii="Times New Roman" w:hAnsi="Times New Roman" w:cs="Times New Roman"/>
          <w:sz w:val="24"/>
          <w:szCs w:val="24"/>
        </w:rPr>
        <w:t xml:space="preserve"> -2024.gados </w:t>
      </w:r>
      <w:r w:rsidR="008B53FA">
        <w:rPr>
          <w:rFonts w:ascii="Times New Roman" w:hAnsi="Times New Roman" w:cs="Times New Roman"/>
          <w:sz w:val="24"/>
          <w:szCs w:val="24"/>
        </w:rPr>
        <w:t>būs</w:t>
      </w:r>
      <w:r w:rsidR="008B53FA">
        <w:rPr>
          <w:rFonts w:ascii="Times New Roman" w:hAnsi="Times New Roman" w:cs="Times New Roman"/>
          <w:sz w:val="24"/>
          <w:szCs w:val="24"/>
        </w:rPr>
        <w:t xml:space="preserve"> vērojams dzelzceļu būvniecībā, kā arī tiltu un tuneļu būvniecībā un ceļu un ielu būvniecībā. Dzelzceļu būvniecībā vislielākais pieaugums saskatāms 2022.gadā - +55% salīdzinājumā ar 2021.gadu. Tas viennozīmīgi ir saistīts ar Rail </w:t>
      </w:r>
      <w:proofErr w:type="spellStart"/>
      <w:r w:rsidR="008B53FA">
        <w:rPr>
          <w:rFonts w:ascii="Times New Roman" w:hAnsi="Times New Roman" w:cs="Times New Roman"/>
          <w:sz w:val="24"/>
          <w:szCs w:val="24"/>
        </w:rPr>
        <w:t>Baltica</w:t>
      </w:r>
      <w:proofErr w:type="spellEnd"/>
      <w:r w:rsidR="008B53FA">
        <w:rPr>
          <w:rFonts w:ascii="Times New Roman" w:hAnsi="Times New Roman" w:cs="Times New Roman"/>
          <w:sz w:val="24"/>
          <w:szCs w:val="24"/>
        </w:rPr>
        <w:t xml:space="preserve"> projekta īstenošanu. </w:t>
      </w:r>
    </w:p>
    <w:p w14:paraId="6B3A3132" w14:textId="77777777" w:rsidR="00734F2D" w:rsidRDefault="008B53FA" w:rsidP="00734F2D">
      <w:pPr>
        <w:jc w:val="both"/>
        <w:rPr>
          <w:rFonts w:ascii="Times New Roman" w:hAnsi="Times New Roman" w:cs="Times New Roman"/>
          <w:sz w:val="24"/>
          <w:szCs w:val="24"/>
        </w:rPr>
      </w:pPr>
      <w:r>
        <w:rPr>
          <w:rFonts w:ascii="Times New Roman" w:hAnsi="Times New Roman" w:cs="Times New Roman"/>
          <w:sz w:val="24"/>
          <w:szCs w:val="24"/>
        </w:rPr>
        <w:lastRenderedPageBreak/>
        <w:t>Jāņem vērā, ka b</w:t>
      </w:r>
      <w:r w:rsidRPr="008B53FA">
        <w:rPr>
          <w:rFonts w:ascii="Times New Roman" w:hAnsi="Times New Roman" w:cs="Times New Roman"/>
          <w:sz w:val="24"/>
          <w:szCs w:val="24"/>
        </w:rPr>
        <w:t>ūvniecībā viszemākais konfidences rādītājs starp visām jomām – -22,5</w:t>
      </w:r>
      <w:r>
        <w:rPr>
          <w:rFonts w:ascii="Times New Roman" w:hAnsi="Times New Roman" w:cs="Times New Roman"/>
          <w:sz w:val="24"/>
          <w:szCs w:val="24"/>
        </w:rPr>
        <w:t xml:space="preserve"> (dati 2020.gada decembris).</w:t>
      </w:r>
      <w:r w:rsidR="00734F2D">
        <w:rPr>
          <w:rFonts w:ascii="Times New Roman" w:hAnsi="Times New Roman" w:cs="Times New Roman"/>
          <w:sz w:val="24"/>
          <w:szCs w:val="24"/>
        </w:rPr>
        <w:t xml:space="preserve"> </w:t>
      </w:r>
      <w:r w:rsidR="00734F2D" w:rsidRPr="008B53FA">
        <w:rPr>
          <w:rFonts w:ascii="Times New Roman" w:hAnsi="Times New Roman" w:cs="Times New Roman"/>
          <w:sz w:val="24"/>
          <w:szCs w:val="24"/>
        </w:rPr>
        <w:t xml:space="preserve">Konfidences rādītājs būvniecībā 2020. gada decembrī, salīdzinot ar iepriekšējo mēnesi, uzrādīja kritumu par 2,3 procentpunktiem, samazinoties līdz -22,5, ko ietekmēja uzņēmēju pesimistiskāks būvdarbu pasūtījumu līmeņa novērtējums. Konfidences rādītājs samazinājās </w:t>
      </w:r>
      <w:proofErr w:type="spellStart"/>
      <w:r w:rsidR="00734F2D" w:rsidRPr="008B53FA">
        <w:rPr>
          <w:rFonts w:ascii="Times New Roman" w:hAnsi="Times New Roman" w:cs="Times New Roman"/>
          <w:sz w:val="24"/>
          <w:szCs w:val="24"/>
        </w:rPr>
        <w:t>inženierbūvniecībā</w:t>
      </w:r>
      <w:proofErr w:type="spellEnd"/>
      <w:r w:rsidR="00734F2D" w:rsidRPr="008B53FA">
        <w:rPr>
          <w:rFonts w:ascii="Times New Roman" w:hAnsi="Times New Roman" w:cs="Times New Roman"/>
          <w:sz w:val="24"/>
          <w:szCs w:val="24"/>
        </w:rPr>
        <w:t xml:space="preserve"> un specializētajos būvdarbos, bet palielinājās ēku būvniecībā.</w:t>
      </w:r>
    </w:p>
    <w:p w14:paraId="75BA207C" w14:textId="282BF2D7" w:rsidR="008B53FA" w:rsidRDefault="00734F2D" w:rsidP="008B53FA">
      <w:pPr>
        <w:jc w:val="both"/>
        <w:rPr>
          <w:rFonts w:ascii="Times New Roman" w:hAnsi="Times New Roman" w:cs="Times New Roman"/>
          <w:sz w:val="24"/>
          <w:szCs w:val="24"/>
        </w:rPr>
      </w:pPr>
      <w:r>
        <w:rPr>
          <w:rFonts w:ascii="Times New Roman" w:hAnsi="Times New Roman" w:cs="Times New Roman"/>
          <w:sz w:val="24"/>
          <w:szCs w:val="24"/>
        </w:rPr>
        <w:t>Lai gan būvniecības apjoma neliels pieaugums 2020.gadā iepretim sākotnējām bažām (2020.gada martā) par apjoma strauju samazināšanos COVID 19 pandēmijas ietekmes rezultātā, liecina par stabilitāti, būtu jāņem vērā, ka 2020.gada rādītāji nevar tikt pieņemti par objektīvu apliecinājumu COVID 19 krīzes ietekmei. Būvniecības process ir laikietilpīgs un sarežģīts, uzsākt būvdarbu apturēšana ir dārga un bieži vien nav lietderīga un tāpēc 2020.gadā notika jau uzsākto projektu turpināšana un pabeigšana. Lai izdarītu secinājumus par COVID 19 pandēmijas ietekmi, būtu jāvērtē 2020.gadā uzņemtās saistības turpmākajiem gadiem. Uzņēmēju aptaujas liecina, ka salīdzinājumā ar 2019.gadu, 2020.gadā saistības ir uzņemtas ievērojami mazākajā apjomā, ir kavējušies arī publiskie būvdarbu iepirkumi. Visvairāk ir samazinājies pieprasījums privāto investīciju jomā. Diemžēl oficiālie dati šajā jomā nav pieejami. BVKB šobrīd vērtē būvdarbu uzsākšanas nosacījumu izpildi būvatļaujās (noslēgtie līgumi ar būvdarbu veicējiem)</w:t>
      </w:r>
      <w:r w:rsidR="00BB500A">
        <w:rPr>
          <w:rFonts w:ascii="Times New Roman" w:hAnsi="Times New Roman" w:cs="Times New Roman"/>
          <w:sz w:val="24"/>
          <w:szCs w:val="24"/>
        </w:rPr>
        <w:t xml:space="preserve"> salīdzinot 2019.gada un 2020.gada rādītājus. Tas palīdzēs gūt priekšstatu par uzņemtām saistībām uz 2021. gadā uzsākamiem būvdarbiem. </w:t>
      </w:r>
    </w:p>
    <w:p w14:paraId="390FEA30" w14:textId="4A90A445" w:rsidR="00E473FB" w:rsidRDefault="00E473FB" w:rsidP="008B53FA">
      <w:pPr>
        <w:jc w:val="both"/>
        <w:rPr>
          <w:rFonts w:ascii="Times New Roman" w:hAnsi="Times New Roman" w:cs="Times New Roman"/>
          <w:b/>
          <w:bCs/>
          <w:sz w:val="24"/>
          <w:szCs w:val="24"/>
        </w:rPr>
      </w:pPr>
      <w:r w:rsidRPr="00E473FB">
        <w:rPr>
          <w:rFonts w:ascii="Times New Roman" w:hAnsi="Times New Roman" w:cs="Times New Roman"/>
          <w:b/>
          <w:bCs/>
          <w:sz w:val="24"/>
          <w:szCs w:val="24"/>
        </w:rPr>
        <w:t xml:space="preserve">[2] </w:t>
      </w:r>
      <w:r>
        <w:rPr>
          <w:rFonts w:ascii="Times New Roman" w:hAnsi="Times New Roman" w:cs="Times New Roman"/>
          <w:b/>
          <w:bCs/>
          <w:sz w:val="24"/>
          <w:szCs w:val="24"/>
        </w:rPr>
        <w:t xml:space="preserve">Ministrijas apkopota informācija par </w:t>
      </w:r>
      <w:r w:rsidR="006B54D8">
        <w:rPr>
          <w:rFonts w:ascii="Times New Roman" w:hAnsi="Times New Roman" w:cs="Times New Roman"/>
          <w:b/>
          <w:bCs/>
          <w:sz w:val="24"/>
          <w:szCs w:val="24"/>
        </w:rPr>
        <w:t xml:space="preserve">valsts un pašvaldību iestāžu un kapitālsabiedrību īstenojamām būvniecības iecerēm laika periodam 2021.-2023.gadam. </w:t>
      </w:r>
    </w:p>
    <w:p w14:paraId="43616ECA" w14:textId="6EC2C641" w:rsidR="00761E64" w:rsidRDefault="006B54D8" w:rsidP="008B53FA">
      <w:pPr>
        <w:jc w:val="both"/>
        <w:rPr>
          <w:rFonts w:ascii="Times New Roman" w:hAnsi="Times New Roman" w:cs="Times New Roman"/>
          <w:sz w:val="24"/>
          <w:szCs w:val="24"/>
        </w:rPr>
      </w:pPr>
      <w:r>
        <w:rPr>
          <w:rFonts w:ascii="Times New Roman" w:hAnsi="Times New Roman" w:cs="Times New Roman"/>
          <w:sz w:val="24"/>
          <w:szCs w:val="24"/>
        </w:rPr>
        <w:t>Ekonomikas ministrija katru gadu veic apkopojumu par valsts un pārvaldības iestāžu un valsts un pašvaldību kapitālsabiedrību plānotajiem ieguldījumiem infrastruktūrā, tai skaitā par struktūrfondu līdzfinansētajiem projektiem. Apkopojumā tiek iekļauta informācija par apstiprinātajiem projektiem, kuriem ir piešķirts finansējums</w:t>
      </w:r>
      <w:r w:rsidR="00736805">
        <w:rPr>
          <w:rFonts w:ascii="Times New Roman" w:hAnsi="Times New Roman" w:cs="Times New Roman"/>
          <w:sz w:val="24"/>
          <w:szCs w:val="24"/>
        </w:rPr>
        <w:t>, kā arī par projektiem, kas ir ieceres statusā, proti, nav pieņemts lēmums par būvdarbu uzsākšanu.</w:t>
      </w:r>
      <w:r>
        <w:rPr>
          <w:rFonts w:ascii="Times New Roman" w:hAnsi="Times New Roman" w:cs="Times New Roman"/>
          <w:sz w:val="24"/>
          <w:szCs w:val="24"/>
        </w:rPr>
        <w:t xml:space="preserve"> </w:t>
      </w:r>
    </w:p>
    <w:p w14:paraId="78AE7813" w14:textId="581A33EC" w:rsidR="00761E64" w:rsidRDefault="00761E64" w:rsidP="00761E64">
      <w:pPr>
        <w:rPr>
          <w:rFonts w:ascii="Times New Roman" w:hAnsi="Times New Roman" w:cs="Times New Roman"/>
          <w:sz w:val="24"/>
          <w:szCs w:val="24"/>
        </w:rPr>
      </w:pPr>
      <w:r>
        <w:rPr>
          <w:rFonts w:ascii="Times New Roman" w:hAnsi="Times New Roman" w:cs="Times New Roman"/>
          <w:sz w:val="24"/>
          <w:szCs w:val="24"/>
        </w:rPr>
        <w:t>Valsts un pašvaldību iestāžu un kapitālsabiedrības ieguldījumi ēkās</w:t>
      </w:r>
    </w:p>
    <w:tbl>
      <w:tblPr>
        <w:tblStyle w:val="TableGrid"/>
        <w:tblW w:w="0" w:type="auto"/>
        <w:tblLook w:val="04A0" w:firstRow="1" w:lastRow="0" w:firstColumn="1" w:lastColumn="0" w:noHBand="0" w:noVBand="1"/>
      </w:tblPr>
      <w:tblGrid>
        <w:gridCol w:w="2765"/>
        <w:gridCol w:w="2765"/>
        <w:gridCol w:w="2766"/>
      </w:tblGrid>
      <w:tr w:rsidR="00761E64" w14:paraId="3F2775D4" w14:textId="77777777" w:rsidTr="00761E64">
        <w:tc>
          <w:tcPr>
            <w:tcW w:w="2765" w:type="dxa"/>
          </w:tcPr>
          <w:p w14:paraId="4CAB96E3" w14:textId="566D5EBF" w:rsidR="00761E64" w:rsidRDefault="00761E64" w:rsidP="00761E64">
            <w:pPr>
              <w:jc w:val="center"/>
              <w:rPr>
                <w:rFonts w:ascii="Times New Roman" w:hAnsi="Times New Roman" w:cs="Times New Roman"/>
                <w:sz w:val="24"/>
                <w:szCs w:val="24"/>
              </w:rPr>
            </w:pPr>
            <w:r>
              <w:rPr>
                <w:rFonts w:ascii="Times New Roman" w:hAnsi="Times New Roman" w:cs="Times New Roman"/>
                <w:sz w:val="24"/>
                <w:szCs w:val="24"/>
              </w:rPr>
              <w:t>2021</w:t>
            </w:r>
          </w:p>
        </w:tc>
        <w:tc>
          <w:tcPr>
            <w:tcW w:w="2765" w:type="dxa"/>
          </w:tcPr>
          <w:p w14:paraId="6DC85196" w14:textId="64E6F7D9" w:rsidR="00761E64" w:rsidRDefault="00761E64" w:rsidP="00761E64">
            <w:pPr>
              <w:jc w:val="center"/>
              <w:rPr>
                <w:rFonts w:ascii="Times New Roman" w:hAnsi="Times New Roman" w:cs="Times New Roman"/>
                <w:sz w:val="24"/>
                <w:szCs w:val="24"/>
              </w:rPr>
            </w:pPr>
            <w:r>
              <w:rPr>
                <w:rFonts w:ascii="Times New Roman" w:hAnsi="Times New Roman" w:cs="Times New Roman"/>
                <w:sz w:val="24"/>
                <w:szCs w:val="24"/>
              </w:rPr>
              <w:t>2022</w:t>
            </w:r>
          </w:p>
        </w:tc>
        <w:tc>
          <w:tcPr>
            <w:tcW w:w="2766" w:type="dxa"/>
          </w:tcPr>
          <w:p w14:paraId="38EEE081" w14:textId="62D6C070" w:rsidR="00761E64" w:rsidRDefault="00761E64" w:rsidP="00761E64">
            <w:pPr>
              <w:jc w:val="center"/>
              <w:rPr>
                <w:rFonts w:ascii="Times New Roman" w:hAnsi="Times New Roman" w:cs="Times New Roman"/>
                <w:sz w:val="24"/>
                <w:szCs w:val="24"/>
              </w:rPr>
            </w:pPr>
            <w:r>
              <w:rPr>
                <w:rFonts w:ascii="Times New Roman" w:hAnsi="Times New Roman" w:cs="Times New Roman"/>
                <w:sz w:val="24"/>
                <w:szCs w:val="24"/>
              </w:rPr>
              <w:t>2023</w:t>
            </w:r>
          </w:p>
        </w:tc>
      </w:tr>
      <w:tr w:rsidR="00736805" w14:paraId="57880021" w14:textId="77777777" w:rsidTr="00FB45F3">
        <w:tc>
          <w:tcPr>
            <w:tcW w:w="8296" w:type="dxa"/>
            <w:gridSpan w:val="3"/>
          </w:tcPr>
          <w:p w14:paraId="52B3D1E4" w14:textId="6EB03F87" w:rsidR="00736805" w:rsidRDefault="00736805" w:rsidP="00736805">
            <w:pPr>
              <w:rPr>
                <w:rFonts w:ascii="Times New Roman" w:hAnsi="Times New Roman" w:cs="Times New Roman"/>
                <w:sz w:val="24"/>
                <w:szCs w:val="24"/>
              </w:rPr>
            </w:pPr>
            <w:r>
              <w:rPr>
                <w:rFonts w:ascii="Times New Roman" w:hAnsi="Times New Roman" w:cs="Times New Roman"/>
                <w:sz w:val="24"/>
                <w:szCs w:val="24"/>
              </w:rPr>
              <w:t>Apstiprinātie projekti (kopsumma</w:t>
            </w:r>
            <w:r w:rsidR="0050559E">
              <w:rPr>
                <w:rFonts w:ascii="Times New Roman" w:hAnsi="Times New Roman" w:cs="Times New Roman"/>
                <w:sz w:val="24"/>
                <w:szCs w:val="24"/>
              </w:rPr>
              <w:t>, EUR</w:t>
            </w:r>
            <w:r>
              <w:rPr>
                <w:rFonts w:ascii="Times New Roman" w:hAnsi="Times New Roman" w:cs="Times New Roman"/>
                <w:sz w:val="24"/>
                <w:szCs w:val="24"/>
              </w:rPr>
              <w:t>)</w:t>
            </w:r>
          </w:p>
        </w:tc>
      </w:tr>
      <w:tr w:rsidR="00761E64" w14:paraId="11F2ED26" w14:textId="77777777" w:rsidTr="00761E64">
        <w:tc>
          <w:tcPr>
            <w:tcW w:w="2765" w:type="dxa"/>
          </w:tcPr>
          <w:p w14:paraId="67E00BFF" w14:textId="7BC9416C" w:rsidR="00761E64" w:rsidRDefault="00761E64" w:rsidP="00761E64">
            <w:pPr>
              <w:jc w:val="center"/>
              <w:rPr>
                <w:rFonts w:ascii="Times New Roman" w:hAnsi="Times New Roman" w:cs="Times New Roman"/>
                <w:sz w:val="24"/>
                <w:szCs w:val="24"/>
              </w:rPr>
            </w:pPr>
            <w:r>
              <w:rPr>
                <w:rFonts w:ascii="Times New Roman" w:hAnsi="Times New Roman" w:cs="Times New Roman"/>
                <w:sz w:val="24"/>
                <w:szCs w:val="24"/>
              </w:rPr>
              <w:t>799 000</w:t>
            </w:r>
            <w:r w:rsidR="00736805">
              <w:rPr>
                <w:rFonts w:ascii="Times New Roman" w:hAnsi="Times New Roman" w:cs="Times New Roman"/>
                <w:sz w:val="24"/>
                <w:szCs w:val="24"/>
              </w:rPr>
              <w:t> </w:t>
            </w:r>
            <w:r>
              <w:rPr>
                <w:rFonts w:ascii="Times New Roman" w:hAnsi="Times New Roman" w:cs="Times New Roman"/>
                <w:sz w:val="24"/>
                <w:szCs w:val="24"/>
              </w:rPr>
              <w:t>000</w:t>
            </w:r>
          </w:p>
        </w:tc>
        <w:tc>
          <w:tcPr>
            <w:tcW w:w="2765" w:type="dxa"/>
          </w:tcPr>
          <w:p w14:paraId="19392881" w14:textId="0B545D3C" w:rsidR="00761E64" w:rsidRDefault="006C20FE" w:rsidP="00761E64">
            <w:pPr>
              <w:jc w:val="center"/>
              <w:rPr>
                <w:rFonts w:ascii="Times New Roman" w:hAnsi="Times New Roman" w:cs="Times New Roman"/>
                <w:sz w:val="24"/>
                <w:szCs w:val="24"/>
              </w:rPr>
            </w:pPr>
            <w:r>
              <w:rPr>
                <w:rFonts w:ascii="Times New Roman" w:hAnsi="Times New Roman" w:cs="Times New Roman"/>
                <w:sz w:val="24"/>
                <w:szCs w:val="24"/>
              </w:rPr>
              <w:t>415 000</w:t>
            </w:r>
            <w:r w:rsidR="00736805">
              <w:rPr>
                <w:rFonts w:ascii="Times New Roman" w:hAnsi="Times New Roman" w:cs="Times New Roman"/>
                <w:sz w:val="24"/>
                <w:szCs w:val="24"/>
              </w:rPr>
              <w:t> </w:t>
            </w:r>
            <w:r>
              <w:rPr>
                <w:rFonts w:ascii="Times New Roman" w:hAnsi="Times New Roman" w:cs="Times New Roman"/>
                <w:sz w:val="24"/>
                <w:szCs w:val="24"/>
              </w:rPr>
              <w:t>000</w:t>
            </w:r>
          </w:p>
        </w:tc>
        <w:tc>
          <w:tcPr>
            <w:tcW w:w="2766" w:type="dxa"/>
          </w:tcPr>
          <w:p w14:paraId="40D3A1CC" w14:textId="75FCA7BA" w:rsidR="00761E64" w:rsidRDefault="00736805" w:rsidP="00761E64">
            <w:pPr>
              <w:jc w:val="center"/>
              <w:rPr>
                <w:rFonts w:ascii="Times New Roman" w:hAnsi="Times New Roman" w:cs="Times New Roman"/>
                <w:sz w:val="24"/>
                <w:szCs w:val="24"/>
              </w:rPr>
            </w:pPr>
            <w:r>
              <w:rPr>
                <w:rFonts w:ascii="Times New Roman" w:hAnsi="Times New Roman" w:cs="Times New Roman"/>
                <w:sz w:val="24"/>
                <w:szCs w:val="24"/>
              </w:rPr>
              <w:t>165 000 000</w:t>
            </w:r>
          </w:p>
        </w:tc>
      </w:tr>
      <w:tr w:rsidR="0050559E" w14:paraId="5D7FF897" w14:textId="77777777" w:rsidTr="009A72AB">
        <w:tc>
          <w:tcPr>
            <w:tcW w:w="8296" w:type="dxa"/>
            <w:gridSpan w:val="3"/>
          </w:tcPr>
          <w:p w14:paraId="4B7EE0B9" w14:textId="41F25BE7" w:rsidR="0050559E" w:rsidRDefault="0050559E" w:rsidP="0050559E">
            <w:pPr>
              <w:rPr>
                <w:rFonts w:ascii="Times New Roman" w:hAnsi="Times New Roman" w:cs="Times New Roman"/>
                <w:sz w:val="24"/>
                <w:szCs w:val="24"/>
              </w:rPr>
            </w:pPr>
            <w:r>
              <w:rPr>
                <w:rFonts w:ascii="Times New Roman" w:hAnsi="Times New Roman" w:cs="Times New Roman"/>
                <w:sz w:val="24"/>
                <w:szCs w:val="24"/>
              </w:rPr>
              <w:t>Projekti ieceres stadijā (kopsumma, EUR)</w:t>
            </w:r>
          </w:p>
        </w:tc>
      </w:tr>
      <w:tr w:rsidR="0050559E" w14:paraId="1B9D629A" w14:textId="77777777" w:rsidTr="00761E64">
        <w:tc>
          <w:tcPr>
            <w:tcW w:w="2765" w:type="dxa"/>
          </w:tcPr>
          <w:p w14:paraId="32CA20CB" w14:textId="4346122A" w:rsidR="0050559E" w:rsidRDefault="0050559E" w:rsidP="00761E64">
            <w:pPr>
              <w:jc w:val="center"/>
              <w:rPr>
                <w:rFonts w:ascii="Times New Roman" w:hAnsi="Times New Roman" w:cs="Times New Roman"/>
                <w:sz w:val="24"/>
                <w:szCs w:val="24"/>
              </w:rPr>
            </w:pPr>
            <w:r>
              <w:rPr>
                <w:rFonts w:ascii="Times New Roman" w:hAnsi="Times New Roman" w:cs="Times New Roman"/>
                <w:sz w:val="24"/>
                <w:szCs w:val="24"/>
              </w:rPr>
              <w:t>510 000 000</w:t>
            </w:r>
          </w:p>
        </w:tc>
        <w:tc>
          <w:tcPr>
            <w:tcW w:w="2765" w:type="dxa"/>
          </w:tcPr>
          <w:p w14:paraId="0F58E391" w14:textId="112E980F" w:rsidR="0050559E" w:rsidRDefault="0050559E" w:rsidP="00761E64">
            <w:pPr>
              <w:jc w:val="center"/>
              <w:rPr>
                <w:rFonts w:ascii="Times New Roman" w:hAnsi="Times New Roman" w:cs="Times New Roman"/>
                <w:sz w:val="24"/>
                <w:szCs w:val="24"/>
              </w:rPr>
            </w:pPr>
            <w:r>
              <w:rPr>
                <w:rFonts w:ascii="Times New Roman" w:hAnsi="Times New Roman" w:cs="Times New Roman"/>
                <w:sz w:val="24"/>
                <w:szCs w:val="24"/>
              </w:rPr>
              <w:t>310 000 000</w:t>
            </w:r>
          </w:p>
        </w:tc>
        <w:tc>
          <w:tcPr>
            <w:tcW w:w="2766" w:type="dxa"/>
          </w:tcPr>
          <w:p w14:paraId="601EE0A7" w14:textId="288C8383" w:rsidR="0050559E" w:rsidRDefault="0050559E" w:rsidP="00761E64">
            <w:pPr>
              <w:jc w:val="center"/>
              <w:rPr>
                <w:rFonts w:ascii="Times New Roman" w:hAnsi="Times New Roman" w:cs="Times New Roman"/>
                <w:sz w:val="24"/>
                <w:szCs w:val="24"/>
              </w:rPr>
            </w:pPr>
            <w:r>
              <w:rPr>
                <w:rFonts w:ascii="Times New Roman" w:hAnsi="Times New Roman" w:cs="Times New Roman"/>
                <w:sz w:val="24"/>
                <w:szCs w:val="24"/>
              </w:rPr>
              <w:t>240 000 000</w:t>
            </w:r>
          </w:p>
        </w:tc>
      </w:tr>
    </w:tbl>
    <w:p w14:paraId="76235647" w14:textId="77777777" w:rsidR="006B54D8" w:rsidRPr="006B54D8" w:rsidRDefault="006B54D8" w:rsidP="008B53FA">
      <w:pPr>
        <w:jc w:val="both"/>
        <w:rPr>
          <w:rFonts w:ascii="Times New Roman" w:hAnsi="Times New Roman" w:cs="Times New Roman"/>
          <w:sz w:val="24"/>
          <w:szCs w:val="24"/>
        </w:rPr>
      </w:pPr>
    </w:p>
    <w:p w14:paraId="55C80B1A" w14:textId="4B5F7583" w:rsidR="00E105CF" w:rsidRPr="00E473FB" w:rsidRDefault="00786C7E" w:rsidP="008B53FA">
      <w:pPr>
        <w:jc w:val="both"/>
        <w:rPr>
          <w:rFonts w:ascii="Times New Roman" w:hAnsi="Times New Roman" w:cs="Times New Roman"/>
          <w:b/>
          <w:bCs/>
          <w:sz w:val="24"/>
          <w:szCs w:val="24"/>
        </w:rPr>
      </w:pPr>
      <w:r w:rsidRPr="00E473FB">
        <w:rPr>
          <w:rFonts w:ascii="Times New Roman" w:hAnsi="Times New Roman" w:cs="Times New Roman"/>
          <w:b/>
          <w:bCs/>
          <w:sz w:val="24"/>
          <w:szCs w:val="24"/>
        </w:rPr>
        <w:t>[</w:t>
      </w:r>
      <w:r w:rsidR="00E473FB" w:rsidRPr="00E473FB">
        <w:rPr>
          <w:rFonts w:ascii="Times New Roman" w:hAnsi="Times New Roman" w:cs="Times New Roman"/>
          <w:b/>
          <w:bCs/>
          <w:sz w:val="24"/>
          <w:szCs w:val="24"/>
        </w:rPr>
        <w:t>3</w:t>
      </w:r>
      <w:r w:rsidRPr="00E473FB">
        <w:rPr>
          <w:rFonts w:ascii="Times New Roman" w:hAnsi="Times New Roman" w:cs="Times New Roman"/>
          <w:b/>
          <w:bCs/>
          <w:sz w:val="24"/>
          <w:szCs w:val="24"/>
        </w:rPr>
        <w:t xml:space="preserve">] </w:t>
      </w:r>
      <w:r w:rsidR="00E105CF" w:rsidRPr="00E473FB">
        <w:rPr>
          <w:rFonts w:ascii="Times New Roman" w:hAnsi="Times New Roman" w:cs="Times New Roman"/>
          <w:b/>
          <w:bCs/>
          <w:sz w:val="24"/>
          <w:szCs w:val="24"/>
        </w:rPr>
        <w:t xml:space="preserve">RRF pieejamie finanšu līdzekļi, kas attiecas uz ēku būvniecību. </w:t>
      </w:r>
    </w:p>
    <w:p w14:paraId="350F0FAC" w14:textId="5E022531" w:rsidR="00815DB9" w:rsidRPr="008B53FA" w:rsidRDefault="00E105CF" w:rsidP="008B53FA">
      <w:pPr>
        <w:jc w:val="both"/>
        <w:rPr>
          <w:rFonts w:ascii="Times New Roman" w:hAnsi="Times New Roman" w:cs="Times New Roman"/>
          <w:sz w:val="24"/>
          <w:szCs w:val="24"/>
        </w:rPr>
      </w:pPr>
      <w:r>
        <w:rPr>
          <w:rFonts w:ascii="Times New Roman" w:hAnsi="Times New Roman" w:cs="Times New Roman"/>
          <w:sz w:val="24"/>
          <w:szCs w:val="24"/>
        </w:rPr>
        <w:t>Pēc provizoriskām aplēsēm finansējuma pieejamībai pa gadiem komponentēs, kuras attiecas uz ēku būvniecību.</w:t>
      </w:r>
    </w:p>
    <w:tbl>
      <w:tblPr>
        <w:tblStyle w:val="TableGrid"/>
        <w:tblW w:w="9073" w:type="dxa"/>
        <w:tblInd w:w="-147" w:type="dxa"/>
        <w:tblLook w:val="04A0" w:firstRow="1" w:lastRow="0" w:firstColumn="1" w:lastColumn="0" w:noHBand="0" w:noVBand="1"/>
      </w:tblPr>
      <w:tblGrid>
        <w:gridCol w:w="1266"/>
        <w:gridCol w:w="1551"/>
        <w:gridCol w:w="1436"/>
        <w:gridCol w:w="1701"/>
        <w:gridCol w:w="1643"/>
        <w:gridCol w:w="1476"/>
      </w:tblGrid>
      <w:tr w:rsidR="00E105CF" w14:paraId="1BA4E49A" w14:textId="77777777" w:rsidTr="00324A9B">
        <w:tc>
          <w:tcPr>
            <w:tcW w:w="1266" w:type="dxa"/>
          </w:tcPr>
          <w:p w14:paraId="3C4B67CD" w14:textId="411714F5" w:rsidR="00E105CF" w:rsidRDefault="00E105CF" w:rsidP="00E105CF">
            <w:pPr>
              <w:jc w:val="center"/>
              <w:rPr>
                <w:rFonts w:ascii="Times New Roman" w:hAnsi="Times New Roman" w:cs="Times New Roman"/>
                <w:sz w:val="24"/>
                <w:szCs w:val="24"/>
              </w:rPr>
            </w:pPr>
            <w:r>
              <w:rPr>
                <w:rFonts w:ascii="Times New Roman" w:hAnsi="Times New Roman" w:cs="Times New Roman"/>
                <w:sz w:val="24"/>
                <w:szCs w:val="24"/>
              </w:rPr>
              <w:t>2021</w:t>
            </w:r>
          </w:p>
        </w:tc>
        <w:tc>
          <w:tcPr>
            <w:tcW w:w="1551" w:type="dxa"/>
          </w:tcPr>
          <w:p w14:paraId="33D9E93C" w14:textId="5CFEACBB" w:rsidR="00E105CF" w:rsidRDefault="00E105CF" w:rsidP="00E105CF">
            <w:pPr>
              <w:jc w:val="center"/>
              <w:rPr>
                <w:rFonts w:ascii="Times New Roman" w:hAnsi="Times New Roman" w:cs="Times New Roman"/>
                <w:sz w:val="24"/>
                <w:szCs w:val="24"/>
              </w:rPr>
            </w:pPr>
            <w:r>
              <w:rPr>
                <w:rFonts w:ascii="Times New Roman" w:hAnsi="Times New Roman" w:cs="Times New Roman"/>
                <w:sz w:val="24"/>
                <w:szCs w:val="24"/>
              </w:rPr>
              <w:t>2022</w:t>
            </w:r>
          </w:p>
        </w:tc>
        <w:tc>
          <w:tcPr>
            <w:tcW w:w="1436" w:type="dxa"/>
          </w:tcPr>
          <w:p w14:paraId="49D565DC" w14:textId="4AE2E3E3" w:rsidR="00E105CF" w:rsidRDefault="00E105CF" w:rsidP="00E105CF">
            <w:pPr>
              <w:jc w:val="center"/>
              <w:rPr>
                <w:rFonts w:ascii="Times New Roman" w:hAnsi="Times New Roman" w:cs="Times New Roman"/>
                <w:sz w:val="24"/>
                <w:szCs w:val="24"/>
              </w:rPr>
            </w:pPr>
            <w:r>
              <w:rPr>
                <w:rFonts w:ascii="Times New Roman" w:hAnsi="Times New Roman" w:cs="Times New Roman"/>
                <w:sz w:val="24"/>
                <w:szCs w:val="24"/>
              </w:rPr>
              <w:t>2023</w:t>
            </w:r>
          </w:p>
        </w:tc>
        <w:tc>
          <w:tcPr>
            <w:tcW w:w="1701" w:type="dxa"/>
          </w:tcPr>
          <w:p w14:paraId="1AB17234" w14:textId="215FDD2B" w:rsidR="00E105CF" w:rsidRDefault="00E105CF" w:rsidP="00E105CF">
            <w:pPr>
              <w:jc w:val="center"/>
              <w:rPr>
                <w:rFonts w:ascii="Times New Roman" w:hAnsi="Times New Roman" w:cs="Times New Roman"/>
                <w:sz w:val="24"/>
                <w:szCs w:val="24"/>
              </w:rPr>
            </w:pPr>
            <w:r>
              <w:rPr>
                <w:rFonts w:ascii="Times New Roman" w:hAnsi="Times New Roman" w:cs="Times New Roman"/>
                <w:sz w:val="24"/>
                <w:szCs w:val="24"/>
              </w:rPr>
              <w:t>2024</w:t>
            </w:r>
          </w:p>
        </w:tc>
        <w:tc>
          <w:tcPr>
            <w:tcW w:w="1643" w:type="dxa"/>
          </w:tcPr>
          <w:p w14:paraId="24770118" w14:textId="493A75FF" w:rsidR="00E105CF" w:rsidRDefault="00E105CF" w:rsidP="00E105CF">
            <w:pPr>
              <w:jc w:val="center"/>
              <w:rPr>
                <w:rFonts w:ascii="Times New Roman" w:hAnsi="Times New Roman" w:cs="Times New Roman"/>
                <w:sz w:val="24"/>
                <w:szCs w:val="24"/>
              </w:rPr>
            </w:pPr>
            <w:r>
              <w:rPr>
                <w:rFonts w:ascii="Times New Roman" w:hAnsi="Times New Roman" w:cs="Times New Roman"/>
                <w:sz w:val="24"/>
                <w:szCs w:val="24"/>
              </w:rPr>
              <w:t>2025</w:t>
            </w:r>
          </w:p>
        </w:tc>
        <w:tc>
          <w:tcPr>
            <w:tcW w:w="1476" w:type="dxa"/>
          </w:tcPr>
          <w:p w14:paraId="0471C526" w14:textId="6C489A10" w:rsidR="00E105CF" w:rsidRDefault="00E105CF" w:rsidP="00E105CF">
            <w:pPr>
              <w:jc w:val="center"/>
              <w:rPr>
                <w:rFonts w:ascii="Times New Roman" w:hAnsi="Times New Roman" w:cs="Times New Roman"/>
                <w:sz w:val="24"/>
                <w:szCs w:val="24"/>
              </w:rPr>
            </w:pPr>
            <w:r>
              <w:rPr>
                <w:rFonts w:ascii="Times New Roman" w:hAnsi="Times New Roman" w:cs="Times New Roman"/>
                <w:sz w:val="24"/>
                <w:szCs w:val="24"/>
              </w:rPr>
              <w:t>2026</w:t>
            </w:r>
          </w:p>
        </w:tc>
      </w:tr>
      <w:tr w:rsidR="00463D6F" w14:paraId="2523C376" w14:textId="77777777" w:rsidTr="00324A9B">
        <w:tc>
          <w:tcPr>
            <w:tcW w:w="9073" w:type="dxa"/>
            <w:gridSpan w:val="6"/>
          </w:tcPr>
          <w:p w14:paraId="532A9F07" w14:textId="3269F335" w:rsidR="00463D6F" w:rsidRDefault="00324A9B" w:rsidP="008B53FA">
            <w:pPr>
              <w:jc w:val="both"/>
              <w:rPr>
                <w:rFonts w:ascii="Times New Roman" w:hAnsi="Times New Roman" w:cs="Times New Roman"/>
                <w:sz w:val="24"/>
                <w:szCs w:val="24"/>
              </w:rPr>
            </w:pPr>
            <w:r>
              <w:rPr>
                <w:rFonts w:ascii="Times New Roman" w:hAnsi="Times New Roman" w:cs="Times New Roman"/>
                <w:sz w:val="24"/>
                <w:szCs w:val="24"/>
              </w:rPr>
              <w:t>Būvniecības vērtība (balstoties uz komponenšu aprakstu) no kopējā komponentes finansējuma, EUR</w:t>
            </w:r>
          </w:p>
        </w:tc>
      </w:tr>
      <w:tr w:rsidR="00E105CF" w:rsidRPr="00972759" w14:paraId="00052F77" w14:textId="77777777" w:rsidTr="00324A9B">
        <w:tc>
          <w:tcPr>
            <w:tcW w:w="1266" w:type="dxa"/>
          </w:tcPr>
          <w:p w14:paraId="1FE2985A" w14:textId="6402A1DD" w:rsidR="00E105CF" w:rsidRPr="00972759" w:rsidRDefault="00324A9B" w:rsidP="008B53FA">
            <w:pPr>
              <w:jc w:val="both"/>
              <w:rPr>
                <w:rFonts w:ascii="Times New Roman" w:hAnsi="Times New Roman" w:cs="Times New Roman"/>
                <w:b/>
                <w:bCs/>
                <w:sz w:val="24"/>
                <w:szCs w:val="24"/>
              </w:rPr>
            </w:pPr>
            <w:r w:rsidRPr="00972759">
              <w:rPr>
                <w:rFonts w:ascii="Times New Roman" w:hAnsi="Times New Roman" w:cs="Times New Roman"/>
                <w:b/>
                <w:bCs/>
                <w:sz w:val="24"/>
                <w:szCs w:val="24"/>
              </w:rPr>
              <w:t>5 913 000</w:t>
            </w:r>
          </w:p>
        </w:tc>
        <w:tc>
          <w:tcPr>
            <w:tcW w:w="1551" w:type="dxa"/>
          </w:tcPr>
          <w:p w14:paraId="52FB7535" w14:textId="674BDAE0" w:rsidR="00E105CF" w:rsidRPr="00972759" w:rsidRDefault="00324A9B" w:rsidP="008B53FA">
            <w:pPr>
              <w:jc w:val="both"/>
              <w:rPr>
                <w:rFonts w:ascii="Times New Roman" w:hAnsi="Times New Roman" w:cs="Times New Roman"/>
                <w:b/>
                <w:bCs/>
                <w:sz w:val="24"/>
                <w:szCs w:val="24"/>
              </w:rPr>
            </w:pPr>
            <w:r w:rsidRPr="00972759">
              <w:rPr>
                <w:rFonts w:ascii="Times New Roman" w:hAnsi="Times New Roman" w:cs="Times New Roman"/>
                <w:b/>
                <w:bCs/>
                <w:sz w:val="24"/>
                <w:szCs w:val="24"/>
              </w:rPr>
              <w:t>101 451 988</w:t>
            </w:r>
          </w:p>
        </w:tc>
        <w:tc>
          <w:tcPr>
            <w:tcW w:w="1436" w:type="dxa"/>
          </w:tcPr>
          <w:p w14:paraId="13CC5B28" w14:textId="71D4CD9B" w:rsidR="00E105CF" w:rsidRPr="00972759" w:rsidRDefault="00324A9B" w:rsidP="008B53FA">
            <w:pPr>
              <w:jc w:val="both"/>
              <w:rPr>
                <w:rFonts w:ascii="Times New Roman" w:hAnsi="Times New Roman" w:cs="Times New Roman"/>
                <w:b/>
                <w:bCs/>
                <w:sz w:val="24"/>
                <w:szCs w:val="24"/>
              </w:rPr>
            </w:pPr>
            <w:r w:rsidRPr="00972759">
              <w:rPr>
                <w:rFonts w:ascii="Times New Roman" w:hAnsi="Times New Roman" w:cs="Times New Roman"/>
                <w:b/>
                <w:bCs/>
                <w:sz w:val="24"/>
                <w:szCs w:val="24"/>
              </w:rPr>
              <w:t>183 897 023</w:t>
            </w:r>
          </w:p>
        </w:tc>
        <w:tc>
          <w:tcPr>
            <w:tcW w:w="1701" w:type="dxa"/>
          </w:tcPr>
          <w:p w14:paraId="21D1CC66" w14:textId="6F470341" w:rsidR="00E105CF" w:rsidRPr="00972759" w:rsidRDefault="00324A9B" w:rsidP="008B53FA">
            <w:pPr>
              <w:jc w:val="both"/>
              <w:rPr>
                <w:rFonts w:ascii="Times New Roman" w:hAnsi="Times New Roman" w:cs="Times New Roman"/>
                <w:b/>
                <w:bCs/>
                <w:sz w:val="24"/>
                <w:szCs w:val="24"/>
              </w:rPr>
            </w:pPr>
            <w:r w:rsidRPr="00972759">
              <w:rPr>
                <w:rFonts w:ascii="Times New Roman" w:hAnsi="Times New Roman" w:cs="Times New Roman"/>
                <w:b/>
                <w:bCs/>
                <w:sz w:val="24"/>
                <w:szCs w:val="24"/>
              </w:rPr>
              <w:t>179 401 052</w:t>
            </w:r>
          </w:p>
        </w:tc>
        <w:tc>
          <w:tcPr>
            <w:tcW w:w="1643" w:type="dxa"/>
          </w:tcPr>
          <w:p w14:paraId="089B27BF" w14:textId="0783F82C" w:rsidR="00E105CF" w:rsidRPr="00972759" w:rsidRDefault="00324A9B" w:rsidP="008B53FA">
            <w:pPr>
              <w:jc w:val="both"/>
              <w:rPr>
                <w:rFonts w:ascii="Times New Roman" w:hAnsi="Times New Roman" w:cs="Times New Roman"/>
                <w:b/>
                <w:bCs/>
                <w:sz w:val="24"/>
                <w:szCs w:val="24"/>
              </w:rPr>
            </w:pPr>
            <w:r w:rsidRPr="00972759">
              <w:rPr>
                <w:rFonts w:ascii="Times New Roman" w:hAnsi="Times New Roman" w:cs="Times New Roman"/>
                <w:b/>
                <w:bCs/>
                <w:sz w:val="24"/>
                <w:szCs w:val="24"/>
              </w:rPr>
              <w:t>157 217 115</w:t>
            </w:r>
          </w:p>
        </w:tc>
        <w:tc>
          <w:tcPr>
            <w:tcW w:w="1476" w:type="dxa"/>
          </w:tcPr>
          <w:p w14:paraId="435070D3" w14:textId="7E07DD35" w:rsidR="00E105CF" w:rsidRPr="00972759" w:rsidRDefault="00972759" w:rsidP="008B53FA">
            <w:pPr>
              <w:jc w:val="both"/>
              <w:rPr>
                <w:rFonts w:ascii="Times New Roman" w:hAnsi="Times New Roman" w:cs="Times New Roman"/>
                <w:b/>
                <w:bCs/>
                <w:sz w:val="24"/>
                <w:szCs w:val="24"/>
              </w:rPr>
            </w:pPr>
            <w:r w:rsidRPr="00972759">
              <w:rPr>
                <w:rFonts w:ascii="Times New Roman" w:hAnsi="Times New Roman" w:cs="Times New Roman"/>
                <w:b/>
                <w:bCs/>
                <w:sz w:val="24"/>
                <w:szCs w:val="24"/>
              </w:rPr>
              <w:t>41 451 923</w:t>
            </w:r>
          </w:p>
        </w:tc>
      </w:tr>
      <w:tr w:rsidR="00463D6F" w14:paraId="7DD9C2BB" w14:textId="77777777" w:rsidTr="00324A9B">
        <w:tc>
          <w:tcPr>
            <w:tcW w:w="9073" w:type="dxa"/>
            <w:gridSpan w:val="6"/>
          </w:tcPr>
          <w:p w14:paraId="4F8A0B21" w14:textId="1DFC1D58" w:rsidR="00463D6F" w:rsidRPr="00972759" w:rsidRDefault="00972759" w:rsidP="008B53F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ALTUM programma energoefektivitātes veicināšanai uzņēmējiem kopē pieejamais finansējums </w:t>
            </w:r>
            <w:r>
              <w:rPr>
                <w:rFonts w:ascii="Times New Roman" w:hAnsi="Times New Roman" w:cs="Times New Roman"/>
                <w:b/>
                <w:bCs/>
                <w:sz w:val="24"/>
                <w:szCs w:val="24"/>
              </w:rPr>
              <w:t xml:space="preserve">150 586 000. </w:t>
            </w:r>
            <w:r>
              <w:rPr>
                <w:rFonts w:ascii="Times New Roman" w:hAnsi="Times New Roman" w:cs="Times New Roman"/>
                <w:sz w:val="24"/>
                <w:szCs w:val="24"/>
              </w:rPr>
              <w:t xml:space="preserve">Nav zināms provizorisks sadalījums pa gadiem. </w:t>
            </w:r>
          </w:p>
        </w:tc>
      </w:tr>
    </w:tbl>
    <w:p w14:paraId="007D1DCD" w14:textId="319DF1D6" w:rsidR="008B53FA" w:rsidRDefault="008B53FA" w:rsidP="008B53FA">
      <w:pPr>
        <w:jc w:val="both"/>
        <w:rPr>
          <w:rFonts w:ascii="Times New Roman" w:hAnsi="Times New Roman" w:cs="Times New Roman"/>
          <w:sz w:val="24"/>
          <w:szCs w:val="24"/>
        </w:rPr>
      </w:pPr>
    </w:p>
    <w:p w14:paraId="34171309" w14:textId="0CEF49D9" w:rsidR="00317225" w:rsidRDefault="0096641A" w:rsidP="00531951">
      <w:pPr>
        <w:jc w:val="both"/>
        <w:rPr>
          <w:rFonts w:ascii="Times New Roman" w:hAnsi="Times New Roman" w:cs="Times New Roman"/>
          <w:sz w:val="24"/>
          <w:szCs w:val="24"/>
        </w:rPr>
      </w:pPr>
      <w:r>
        <w:rPr>
          <w:rFonts w:ascii="Times New Roman" w:hAnsi="Times New Roman" w:cs="Times New Roman"/>
          <w:sz w:val="24"/>
          <w:szCs w:val="24"/>
        </w:rPr>
        <w:t>[3</w:t>
      </w:r>
      <w:r w:rsidR="008878FC">
        <w:rPr>
          <w:rFonts w:ascii="Times New Roman" w:hAnsi="Times New Roman" w:cs="Times New Roman"/>
          <w:sz w:val="24"/>
          <w:szCs w:val="24"/>
        </w:rPr>
        <w:t>] Ministru kabineta skatāmie FM rīkojuma projekti par augstas gatavības projektiem</w:t>
      </w:r>
    </w:p>
    <w:p w14:paraId="581470C3" w14:textId="129DB409" w:rsidR="002651D4" w:rsidRPr="0031396F" w:rsidRDefault="00D07812" w:rsidP="00531951">
      <w:pPr>
        <w:jc w:val="both"/>
        <w:rPr>
          <w:rFonts w:ascii="Times New Roman" w:hAnsi="Times New Roman" w:cs="Times New Roman"/>
          <w:sz w:val="24"/>
          <w:szCs w:val="24"/>
        </w:rPr>
      </w:pPr>
      <w:r>
        <w:rPr>
          <w:rFonts w:ascii="Times New Roman" w:hAnsi="Times New Roman" w:cs="Times New Roman"/>
          <w:sz w:val="24"/>
          <w:szCs w:val="24"/>
        </w:rPr>
        <w:t>R</w:t>
      </w:r>
      <w:r w:rsidR="002651D4">
        <w:rPr>
          <w:rFonts w:ascii="Times New Roman" w:hAnsi="Times New Roman" w:cs="Times New Roman"/>
          <w:sz w:val="24"/>
          <w:szCs w:val="24"/>
        </w:rPr>
        <w:t>īkojuma projekts</w:t>
      </w:r>
      <w:r w:rsidR="008878FC">
        <w:rPr>
          <w:rFonts w:ascii="Times New Roman" w:hAnsi="Times New Roman" w:cs="Times New Roman"/>
          <w:sz w:val="24"/>
          <w:szCs w:val="24"/>
        </w:rPr>
        <w:t xml:space="preserve"> (TA-589)</w:t>
      </w:r>
      <w:r>
        <w:rPr>
          <w:rFonts w:ascii="Times New Roman" w:hAnsi="Times New Roman" w:cs="Times New Roman"/>
          <w:sz w:val="24"/>
          <w:szCs w:val="24"/>
        </w:rPr>
        <w:t>, daļā, kas attiecas uz ēku būvniecību LR teritorijā</w:t>
      </w:r>
    </w:p>
    <w:tbl>
      <w:tblPr>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843"/>
        <w:gridCol w:w="1843"/>
        <w:gridCol w:w="1858"/>
      </w:tblGrid>
      <w:tr w:rsidR="002651D4" w:rsidRPr="002651D4" w14:paraId="6841C432" w14:textId="77777777" w:rsidTr="002651D4">
        <w:trPr>
          <w:trHeight w:val="383"/>
          <w:tblHeader/>
        </w:trPr>
        <w:tc>
          <w:tcPr>
            <w:tcW w:w="35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212BE2" w14:textId="77777777" w:rsidR="002651D4" w:rsidRPr="002651D4" w:rsidRDefault="002651D4" w:rsidP="002651D4">
            <w:pPr>
              <w:spacing w:after="0" w:line="240" w:lineRule="auto"/>
              <w:jc w:val="center"/>
              <w:rPr>
                <w:rFonts w:ascii="Times New Roman" w:eastAsia="Times New Roman" w:hAnsi="Times New Roman" w:cs="Times New Roman"/>
                <w:sz w:val="24"/>
                <w:szCs w:val="24"/>
                <w:lang w:val="en-US"/>
              </w:rPr>
            </w:pPr>
            <w:proofErr w:type="spellStart"/>
            <w:r w:rsidRPr="002651D4">
              <w:rPr>
                <w:rFonts w:ascii="Times New Roman" w:eastAsia="Times New Roman" w:hAnsi="Times New Roman" w:cs="Times New Roman"/>
                <w:sz w:val="24"/>
                <w:szCs w:val="24"/>
                <w:lang w:val="en-US"/>
              </w:rPr>
              <w:t>Budžeta</w:t>
            </w:r>
            <w:proofErr w:type="spellEnd"/>
            <w:r w:rsidRPr="002651D4">
              <w:rPr>
                <w:rFonts w:ascii="Times New Roman" w:eastAsia="Times New Roman" w:hAnsi="Times New Roman" w:cs="Times New Roman"/>
                <w:sz w:val="24"/>
                <w:szCs w:val="24"/>
                <w:lang w:val="en-US"/>
              </w:rPr>
              <w:t xml:space="preserve"> </w:t>
            </w:r>
            <w:proofErr w:type="spellStart"/>
            <w:r w:rsidRPr="002651D4">
              <w:rPr>
                <w:rFonts w:ascii="Times New Roman" w:eastAsia="Times New Roman" w:hAnsi="Times New Roman" w:cs="Times New Roman"/>
                <w:sz w:val="24"/>
                <w:szCs w:val="24"/>
                <w:lang w:val="en-US"/>
              </w:rPr>
              <w:t>resori</w:t>
            </w:r>
            <w:proofErr w:type="spellEnd"/>
            <w:r w:rsidRPr="002651D4">
              <w:rPr>
                <w:rFonts w:ascii="Times New Roman" w:eastAsia="Times New Roman" w:hAnsi="Times New Roman" w:cs="Times New Roman"/>
                <w:sz w:val="24"/>
                <w:szCs w:val="24"/>
                <w:lang w:val="en-US"/>
              </w:rPr>
              <w:t>/ projekti</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9D701D" w14:textId="77777777" w:rsidR="002651D4" w:rsidRPr="002651D4" w:rsidRDefault="002651D4" w:rsidP="002651D4">
            <w:pPr>
              <w:spacing w:after="0" w:line="240" w:lineRule="auto"/>
              <w:jc w:val="center"/>
              <w:rPr>
                <w:rFonts w:ascii="Times New Roman" w:eastAsia="Times New Roman" w:hAnsi="Times New Roman" w:cs="Times New Roman"/>
                <w:b/>
                <w:bCs/>
                <w:sz w:val="24"/>
                <w:szCs w:val="24"/>
                <w:lang w:val="en-US"/>
              </w:rPr>
            </w:pPr>
            <w:r w:rsidRPr="002651D4">
              <w:rPr>
                <w:rFonts w:ascii="Times New Roman" w:eastAsia="Times New Roman" w:hAnsi="Times New Roman" w:cs="Times New Roman"/>
                <w:b/>
                <w:bCs/>
                <w:sz w:val="24"/>
                <w:szCs w:val="24"/>
                <w:lang w:val="en-US"/>
              </w:rPr>
              <w:t xml:space="preserve">2021.gadā, </w:t>
            </w:r>
            <w:r w:rsidRPr="002651D4">
              <w:rPr>
                <w:rFonts w:ascii="Times New Roman" w:eastAsia="Times New Roman" w:hAnsi="Times New Roman" w:cs="Times New Roman"/>
                <w:b/>
                <w:bCs/>
                <w:i/>
                <w:iCs/>
                <w:sz w:val="24"/>
                <w:szCs w:val="24"/>
                <w:lang w:val="en-US"/>
              </w:rPr>
              <w:t>euro</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E301D8" w14:textId="77777777" w:rsidR="002651D4" w:rsidRPr="002651D4" w:rsidRDefault="002651D4" w:rsidP="002651D4">
            <w:pPr>
              <w:spacing w:after="0" w:line="240" w:lineRule="auto"/>
              <w:jc w:val="center"/>
              <w:rPr>
                <w:rFonts w:ascii="Times New Roman" w:eastAsia="Times New Roman" w:hAnsi="Times New Roman" w:cs="Times New Roman"/>
                <w:b/>
                <w:bCs/>
                <w:sz w:val="24"/>
                <w:szCs w:val="24"/>
                <w:lang w:val="en-US"/>
              </w:rPr>
            </w:pPr>
            <w:r w:rsidRPr="002651D4">
              <w:rPr>
                <w:rFonts w:ascii="Times New Roman" w:eastAsia="Times New Roman" w:hAnsi="Times New Roman" w:cs="Times New Roman"/>
                <w:b/>
                <w:bCs/>
                <w:sz w:val="24"/>
                <w:szCs w:val="24"/>
                <w:lang w:val="en-US"/>
              </w:rPr>
              <w:t xml:space="preserve">2022.gadā, </w:t>
            </w:r>
            <w:r w:rsidRPr="002651D4">
              <w:rPr>
                <w:rFonts w:ascii="Times New Roman" w:eastAsia="Times New Roman" w:hAnsi="Times New Roman" w:cs="Times New Roman"/>
                <w:b/>
                <w:bCs/>
                <w:i/>
                <w:iCs/>
                <w:sz w:val="24"/>
                <w:szCs w:val="24"/>
                <w:lang w:val="en-US"/>
              </w:rPr>
              <w:t>euro</w:t>
            </w:r>
          </w:p>
        </w:tc>
        <w:tc>
          <w:tcPr>
            <w:tcW w:w="185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CA984F" w14:textId="77777777" w:rsidR="002651D4" w:rsidRPr="002651D4" w:rsidRDefault="002651D4" w:rsidP="002651D4">
            <w:pPr>
              <w:spacing w:after="0" w:line="240" w:lineRule="auto"/>
              <w:jc w:val="center"/>
              <w:rPr>
                <w:rFonts w:ascii="Times New Roman" w:eastAsia="Times New Roman" w:hAnsi="Times New Roman" w:cs="Times New Roman"/>
                <w:b/>
                <w:bCs/>
                <w:sz w:val="24"/>
                <w:szCs w:val="24"/>
                <w:lang w:val="en-US"/>
              </w:rPr>
            </w:pPr>
            <w:proofErr w:type="spellStart"/>
            <w:r w:rsidRPr="002651D4">
              <w:rPr>
                <w:rFonts w:ascii="Times New Roman" w:eastAsia="Times New Roman" w:hAnsi="Times New Roman" w:cs="Times New Roman"/>
                <w:b/>
                <w:bCs/>
                <w:sz w:val="24"/>
                <w:szCs w:val="24"/>
                <w:lang w:val="en-US"/>
              </w:rPr>
              <w:t>Kopā</w:t>
            </w:r>
            <w:proofErr w:type="spellEnd"/>
            <w:r w:rsidRPr="002651D4">
              <w:rPr>
                <w:rFonts w:ascii="Times New Roman" w:eastAsia="Times New Roman" w:hAnsi="Times New Roman" w:cs="Times New Roman"/>
                <w:b/>
                <w:bCs/>
                <w:sz w:val="24"/>
                <w:szCs w:val="24"/>
                <w:lang w:val="en-US"/>
              </w:rPr>
              <w:t>,</w:t>
            </w:r>
            <w:r w:rsidRPr="002651D4">
              <w:rPr>
                <w:rFonts w:ascii="Times New Roman" w:eastAsia="Times New Roman" w:hAnsi="Times New Roman" w:cs="Times New Roman"/>
                <w:b/>
                <w:bCs/>
                <w:i/>
                <w:iCs/>
                <w:sz w:val="24"/>
                <w:szCs w:val="24"/>
                <w:lang w:val="en-US"/>
              </w:rPr>
              <w:t xml:space="preserve"> euro</w:t>
            </w:r>
          </w:p>
        </w:tc>
      </w:tr>
      <w:tr w:rsidR="002651D4" w:rsidRPr="002651D4" w14:paraId="3734D324" w14:textId="77777777" w:rsidTr="002651D4">
        <w:trPr>
          <w:trHeight w:val="391"/>
        </w:trPr>
        <w:tc>
          <w:tcPr>
            <w:tcW w:w="3539" w:type="dxa"/>
            <w:tcBorders>
              <w:top w:val="single" w:sz="4" w:space="0" w:color="auto"/>
              <w:left w:val="single" w:sz="4" w:space="0" w:color="auto"/>
              <w:bottom w:val="single" w:sz="4" w:space="0" w:color="auto"/>
              <w:right w:val="single" w:sz="4" w:space="0" w:color="auto"/>
            </w:tcBorders>
            <w:vAlign w:val="center"/>
            <w:hideMark/>
          </w:tcPr>
          <w:p w14:paraId="3E10A687" w14:textId="77777777" w:rsidR="002651D4" w:rsidRPr="002651D4" w:rsidRDefault="002651D4" w:rsidP="002651D4">
            <w:pPr>
              <w:spacing w:after="0" w:line="240" w:lineRule="auto"/>
              <w:jc w:val="right"/>
              <w:rPr>
                <w:rFonts w:ascii="Times New Roman" w:eastAsia="Times New Roman" w:hAnsi="Times New Roman" w:cs="Times New Roman"/>
                <w:b/>
                <w:bCs/>
                <w:sz w:val="24"/>
                <w:szCs w:val="24"/>
                <w:lang w:val="en-US"/>
              </w:rPr>
            </w:pPr>
            <w:r w:rsidRPr="002651D4">
              <w:rPr>
                <w:rFonts w:ascii="Times New Roman" w:eastAsia="Times New Roman" w:hAnsi="Times New Roman" w:cs="Times New Roman"/>
                <w:b/>
                <w:bCs/>
                <w:sz w:val="24"/>
                <w:szCs w:val="24"/>
                <w:lang w:val="en-US"/>
              </w:rPr>
              <w:t>PAVISAM KOPĀ:</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D16642" w14:textId="3B7D3CE2" w:rsidR="002651D4" w:rsidRPr="002651D4" w:rsidRDefault="00D31262" w:rsidP="002651D4">
            <w:pPr>
              <w:spacing w:after="0" w:line="240" w:lineRule="auto"/>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38 518 037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F4CA3F4" w14:textId="6A6AE63E" w:rsidR="002651D4" w:rsidRPr="002651D4" w:rsidRDefault="00D31262" w:rsidP="002651D4">
            <w:pPr>
              <w:spacing w:after="0" w:line="240" w:lineRule="auto"/>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70 683 288</w:t>
            </w:r>
          </w:p>
        </w:tc>
        <w:tc>
          <w:tcPr>
            <w:tcW w:w="1858" w:type="dxa"/>
            <w:tcBorders>
              <w:top w:val="single" w:sz="4" w:space="0" w:color="auto"/>
              <w:left w:val="single" w:sz="4" w:space="0" w:color="auto"/>
              <w:bottom w:val="single" w:sz="4" w:space="0" w:color="auto"/>
              <w:right w:val="single" w:sz="4" w:space="0" w:color="auto"/>
            </w:tcBorders>
            <w:vAlign w:val="center"/>
            <w:hideMark/>
          </w:tcPr>
          <w:p w14:paraId="7A3AA765" w14:textId="22FB76AF" w:rsidR="002651D4" w:rsidRPr="002651D4" w:rsidRDefault="00D31262" w:rsidP="002651D4">
            <w:pPr>
              <w:spacing w:after="0" w:line="240" w:lineRule="auto"/>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109 201 325</w:t>
            </w:r>
          </w:p>
        </w:tc>
      </w:tr>
      <w:tr w:rsidR="002651D4" w:rsidRPr="002651D4" w14:paraId="4E083193" w14:textId="77777777" w:rsidTr="002651D4">
        <w:trPr>
          <w:trHeight w:val="271"/>
        </w:trPr>
        <w:tc>
          <w:tcPr>
            <w:tcW w:w="3539" w:type="dxa"/>
            <w:tcBorders>
              <w:top w:val="single" w:sz="4" w:space="0" w:color="auto"/>
              <w:left w:val="single" w:sz="4" w:space="0" w:color="auto"/>
              <w:bottom w:val="single" w:sz="4" w:space="0" w:color="auto"/>
              <w:right w:val="single" w:sz="4" w:space="0" w:color="auto"/>
            </w:tcBorders>
            <w:vAlign w:val="center"/>
            <w:hideMark/>
          </w:tcPr>
          <w:p w14:paraId="43692A8B" w14:textId="77777777" w:rsidR="002651D4" w:rsidRPr="002651D4" w:rsidRDefault="002651D4" w:rsidP="002651D4">
            <w:pPr>
              <w:spacing w:after="0" w:line="240" w:lineRule="auto"/>
              <w:rPr>
                <w:rFonts w:ascii="Times New Roman" w:eastAsia="Times New Roman" w:hAnsi="Times New Roman" w:cs="Times New Roman"/>
                <w:sz w:val="24"/>
                <w:szCs w:val="24"/>
                <w:lang w:val="en-US"/>
              </w:rPr>
            </w:pPr>
            <w:r w:rsidRPr="002651D4">
              <w:rPr>
                <w:rFonts w:ascii="Times New Roman" w:eastAsia="Times New Roman" w:hAnsi="Times New Roman" w:cs="Times New Roman"/>
                <w:sz w:val="24"/>
                <w:szCs w:val="24"/>
                <w:lang w:val="en-US"/>
              </w:rPr>
              <w:t>Iekšlietu ministrija</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491FDC0" w14:textId="77777777" w:rsidR="002651D4" w:rsidRPr="002651D4" w:rsidRDefault="002651D4" w:rsidP="002651D4">
            <w:pPr>
              <w:spacing w:after="0" w:line="240" w:lineRule="auto"/>
              <w:jc w:val="right"/>
              <w:rPr>
                <w:rFonts w:ascii="Times New Roman" w:eastAsia="Times New Roman" w:hAnsi="Times New Roman" w:cs="Times New Roman"/>
                <w:sz w:val="24"/>
                <w:szCs w:val="24"/>
                <w:lang w:val="en-US"/>
              </w:rPr>
            </w:pPr>
            <w:r w:rsidRPr="002651D4">
              <w:rPr>
                <w:rFonts w:ascii="Times New Roman" w:eastAsia="Times New Roman" w:hAnsi="Times New Roman" w:cs="Times New Roman"/>
                <w:sz w:val="24"/>
                <w:szCs w:val="24"/>
                <w:lang w:val="en-US"/>
              </w:rPr>
              <w:t>11 835 120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5FC06DC3" w14:textId="77777777" w:rsidR="002651D4" w:rsidRPr="002651D4" w:rsidRDefault="002651D4" w:rsidP="002651D4">
            <w:pPr>
              <w:spacing w:after="0" w:line="240" w:lineRule="auto"/>
              <w:jc w:val="right"/>
              <w:rPr>
                <w:rFonts w:ascii="Times New Roman" w:eastAsia="Times New Roman" w:hAnsi="Times New Roman" w:cs="Times New Roman"/>
                <w:sz w:val="24"/>
                <w:szCs w:val="24"/>
                <w:lang w:val="en-US"/>
              </w:rPr>
            </w:pPr>
            <w:r w:rsidRPr="002651D4">
              <w:rPr>
                <w:rFonts w:ascii="Times New Roman" w:eastAsia="Times New Roman" w:hAnsi="Times New Roman" w:cs="Times New Roman"/>
                <w:sz w:val="24"/>
                <w:szCs w:val="24"/>
                <w:lang w:val="en-US"/>
              </w:rPr>
              <w:t>15 464 880</w:t>
            </w:r>
          </w:p>
        </w:tc>
        <w:tc>
          <w:tcPr>
            <w:tcW w:w="1858" w:type="dxa"/>
            <w:tcBorders>
              <w:top w:val="single" w:sz="4" w:space="0" w:color="auto"/>
              <w:left w:val="single" w:sz="4" w:space="0" w:color="auto"/>
              <w:bottom w:val="single" w:sz="4" w:space="0" w:color="auto"/>
              <w:right w:val="single" w:sz="4" w:space="0" w:color="auto"/>
            </w:tcBorders>
            <w:vAlign w:val="center"/>
            <w:hideMark/>
          </w:tcPr>
          <w:p w14:paraId="743FC8D3" w14:textId="77777777" w:rsidR="002651D4" w:rsidRPr="002651D4" w:rsidRDefault="002651D4" w:rsidP="002651D4">
            <w:pPr>
              <w:spacing w:after="0" w:line="240" w:lineRule="auto"/>
              <w:jc w:val="right"/>
              <w:rPr>
                <w:rFonts w:ascii="Times New Roman" w:eastAsia="Times New Roman" w:hAnsi="Times New Roman" w:cs="Times New Roman"/>
                <w:sz w:val="24"/>
                <w:szCs w:val="24"/>
                <w:lang w:val="en-US"/>
              </w:rPr>
            </w:pPr>
            <w:r w:rsidRPr="002651D4">
              <w:rPr>
                <w:rFonts w:ascii="Times New Roman" w:eastAsia="Times New Roman" w:hAnsi="Times New Roman" w:cs="Times New Roman"/>
                <w:sz w:val="24"/>
                <w:szCs w:val="24"/>
                <w:lang w:val="en-US"/>
              </w:rPr>
              <w:t>27 300 000</w:t>
            </w:r>
          </w:p>
        </w:tc>
      </w:tr>
      <w:tr w:rsidR="002651D4" w:rsidRPr="002651D4" w14:paraId="2816FFB1" w14:textId="77777777" w:rsidTr="002651D4">
        <w:trPr>
          <w:trHeight w:val="275"/>
        </w:trPr>
        <w:tc>
          <w:tcPr>
            <w:tcW w:w="3539" w:type="dxa"/>
            <w:tcBorders>
              <w:top w:val="single" w:sz="4" w:space="0" w:color="auto"/>
              <w:left w:val="single" w:sz="4" w:space="0" w:color="auto"/>
              <w:bottom w:val="single" w:sz="4" w:space="0" w:color="auto"/>
              <w:right w:val="single" w:sz="4" w:space="0" w:color="auto"/>
            </w:tcBorders>
            <w:vAlign w:val="center"/>
            <w:hideMark/>
          </w:tcPr>
          <w:p w14:paraId="2B62B609" w14:textId="77777777" w:rsidR="002651D4" w:rsidRPr="002651D4" w:rsidRDefault="002651D4" w:rsidP="002651D4">
            <w:pPr>
              <w:spacing w:after="0" w:line="240" w:lineRule="auto"/>
              <w:rPr>
                <w:rFonts w:ascii="Times New Roman" w:eastAsia="Times New Roman" w:hAnsi="Times New Roman" w:cs="Times New Roman"/>
                <w:sz w:val="24"/>
                <w:szCs w:val="24"/>
                <w:lang w:val="en-US"/>
              </w:rPr>
            </w:pPr>
            <w:proofErr w:type="spellStart"/>
            <w:r w:rsidRPr="002651D4">
              <w:rPr>
                <w:rFonts w:ascii="Times New Roman" w:eastAsia="Times New Roman" w:hAnsi="Times New Roman" w:cs="Times New Roman"/>
                <w:sz w:val="24"/>
                <w:szCs w:val="24"/>
                <w:lang w:val="en-US"/>
              </w:rPr>
              <w:t>Izglītības</w:t>
            </w:r>
            <w:proofErr w:type="spellEnd"/>
            <w:r w:rsidRPr="002651D4">
              <w:rPr>
                <w:rFonts w:ascii="Times New Roman" w:eastAsia="Times New Roman" w:hAnsi="Times New Roman" w:cs="Times New Roman"/>
                <w:sz w:val="24"/>
                <w:szCs w:val="24"/>
                <w:lang w:val="en-US"/>
              </w:rPr>
              <w:t xml:space="preserve"> un </w:t>
            </w:r>
            <w:proofErr w:type="spellStart"/>
            <w:proofErr w:type="gramStart"/>
            <w:r w:rsidRPr="002651D4">
              <w:rPr>
                <w:rFonts w:ascii="Times New Roman" w:eastAsia="Times New Roman" w:hAnsi="Times New Roman" w:cs="Times New Roman"/>
                <w:sz w:val="24"/>
                <w:szCs w:val="24"/>
                <w:lang w:val="en-US"/>
              </w:rPr>
              <w:t>zinātnes</w:t>
            </w:r>
            <w:proofErr w:type="spellEnd"/>
            <w:r w:rsidRPr="002651D4">
              <w:rPr>
                <w:rFonts w:ascii="Times New Roman" w:eastAsia="Times New Roman" w:hAnsi="Times New Roman" w:cs="Times New Roman"/>
                <w:sz w:val="24"/>
                <w:szCs w:val="24"/>
                <w:lang w:val="en-US"/>
              </w:rPr>
              <w:t xml:space="preserve">  ministrija</w:t>
            </w:r>
            <w:proofErr w:type="gramEnd"/>
            <w:r w:rsidRPr="002651D4">
              <w:rPr>
                <w:rFonts w:ascii="Times New Roman" w:eastAsia="Times New Roman" w:hAnsi="Times New Roman" w:cs="Times New Roman"/>
                <w:sz w:val="24"/>
                <w:szCs w:val="24"/>
                <w:lang w:val="en-US"/>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EE44C0" w14:textId="77777777" w:rsidR="002651D4" w:rsidRPr="002651D4" w:rsidRDefault="002651D4" w:rsidP="002651D4">
            <w:pPr>
              <w:spacing w:after="0" w:line="240" w:lineRule="auto"/>
              <w:jc w:val="right"/>
              <w:rPr>
                <w:rFonts w:ascii="Times New Roman" w:eastAsia="Times New Roman" w:hAnsi="Times New Roman" w:cs="Times New Roman"/>
                <w:color w:val="000000"/>
                <w:sz w:val="24"/>
                <w:szCs w:val="24"/>
                <w:lang w:val="en-US"/>
              </w:rPr>
            </w:pPr>
            <w:r w:rsidRPr="002651D4">
              <w:rPr>
                <w:rFonts w:ascii="Times New Roman" w:eastAsia="Times New Roman" w:hAnsi="Times New Roman" w:cs="Times New Roman"/>
                <w:color w:val="000000"/>
                <w:sz w:val="24"/>
                <w:szCs w:val="24"/>
                <w:lang w:val="en-US"/>
              </w:rPr>
              <w:t>9 299 839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D0262F" w14:textId="77777777" w:rsidR="002651D4" w:rsidRPr="002651D4" w:rsidRDefault="002651D4" w:rsidP="002651D4">
            <w:pPr>
              <w:spacing w:after="0" w:line="240" w:lineRule="auto"/>
              <w:jc w:val="right"/>
              <w:rPr>
                <w:rFonts w:ascii="Times New Roman" w:eastAsia="Times New Roman" w:hAnsi="Times New Roman" w:cs="Times New Roman"/>
                <w:color w:val="000000"/>
                <w:sz w:val="24"/>
                <w:szCs w:val="24"/>
                <w:lang w:val="en-US"/>
              </w:rPr>
            </w:pPr>
            <w:r w:rsidRPr="002651D4">
              <w:rPr>
                <w:rFonts w:ascii="Times New Roman" w:eastAsia="Times New Roman" w:hAnsi="Times New Roman" w:cs="Times New Roman"/>
                <w:color w:val="000000"/>
                <w:sz w:val="24"/>
                <w:szCs w:val="24"/>
                <w:lang w:val="en-US"/>
              </w:rPr>
              <w:t>26 473 749</w:t>
            </w:r>
          </w:p>
        </w:tc>
        <w:tc>
          <w:tcPr>
            <w:tcW w:w="1858" w:type="dxa"/>
            <w:tcBorders>
              <w:top w:val="single" w:sz="4" w:space="0" w:color="auto"/>
              <w:left w:val="single" w:sz="4" w:space="0" w:color="auto"/>
              <w:bottom w:val="single" w:sz="4" w:space="0" w:color="auto"/>
              <w:right w:val="single" w:sz="4" w:space="0" w:color="auto"/>
            </w:tcBorders>
            <w:vAlign w:val="center"/>
            <w:hideMark/>
          </w:tcPr>
          <w:p w14:paraId="2355A7E7" w14:textId="77777777" w:rsidR="002651D4" w:rsidRPr="002651D4" w:rsidRDefault="002651D4" w:rsidP="002651D4">
            <w:pPr>
              <w:spacing w:after="0" w:line="240" w:lineRule="auto"/>
              <w:jc w:val="right"/>
              <w:rPr>
                <w:rFonts w:ascii="Times New Roman" w:eastAsia="Times New Roman" w:hAnsi="Times New Roman" w:cs="Times New Roman"/>
                <w:color w:val="000000"/>
                <w:sz w:val="24"/>
                <w:szCs w:val="24"/>
                <w:lang w:val="en-US"/>
              </w:rPr>
            </w:pPr>
            <w:r w:rsidRPr="002651D4">
              <w:rPr>
                <w:rFonts w:ascii="Times New Roman" w:eastAsia="Times New Roman" w:hAnsi="Times New Roman" w:cs="Times New Roman"/>
                <w:color w:val="000000"/>
                <w:sz w:val="24"/>
                <w:szCs w:val="24"/>
                <w:lang w:val="en-US"/>
              </w:rPr>
              <w:t>35 773 588</w:t>
            </w:r>
          </w:p>
        </w:tc>
      </w:tr>
      <w:tr w:rsidR="002651D4" w:rsidRPr="002651D4" w14:paraId="7BFE1179" w14:textId="77777777" w:rsidTr="002651D4">
        <w:trPr>
          <w:trHeight w:val="264"/>
        </w:trPr>
        <w:tc>
          <w:tcPr>
            <w:tcW w:w="3539" w:type="dxa"/>
            <w:tcBorders>
              <w:top w:val="single" w:sz="4" w:space="0" w:color="auto"/>
              <w:left w:val="single" w:sz="4" w:space="0" w:color="auto"/>
              <w:bottom w:val="single" w:sz="4" w:space="0" w:color="auto"/>
              <w:right w:val="single" w:sz="4" w:space="0" w:color="auto"/>
            </w:tcBorders>
            <w:vAlign w:val="center"/>
            <w:hideMark/>
          </w:tcPr>
          <w:p w14:paraId="072DC50F" w14:textId="77777777" w:rsidR="002651D4" w:rsidRPr="002651D4" w:rsidRDefault="002651D4" w:rsidP="002651D4">
            <w:pPr>
              <w:spacing w:after="0" w:line="240" w:lineRule="auto"/>
              <w:rPr>
                <w:rFonts w:ascii="Times New Roman" w:eastAsia="Times New Roman" w:hAnsi="Times New Roman" w:cs="Times New Roman"/>
                <w:sz w:val="24"/>
                <w:szCs w:val="24"/>
                <w:lang w:val="en-US"/>
              </w:rPr>
            </w:pPr>
            <w:proofErr w:type="spellStart"/>
            <w:r w:rsidRPr="002651D4">
              <w:rPr>
                <w:rFonts w:ascii="Times New Roman" w:eastAsia="Times New Roman" w:hAnsi="Times New Roman" w:cs="Times New Roman"/>
                <w:sz w:val="24"/>
                <w:szCs w:val="24"/>
                <w:lang w:val="en-US"/>
              </w:rPr>
              <w:t>Tieslietu</w:t>
            </w:r>
            <w:proofErr w:type="spellEnd"/>
            <w:r w:rsidRPr="002651D4">
              <w:rPr>
                <w:rFonts w:ascii="Times New Roman" w:eastAsia="Times New Roman" w:hAnsi="Times New Roman" w:cs="Times New Roman"/>
                <w:sz w:val="24"/>
                <w:szCs w:val="24"/>
                <w:lang w:val="en-US"/>
              </w:rPr>
              <w:t xml:space="preserve"> ministrija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1ED8521" w14:textId="77777777" w:rsidR="002651D4" w:rsidRPr="002651D4" w:rsidRDefault="002651D4" w:rsidP="002651D4">
            <w:pPr>
              <w:spacing w:after="0" w:line="240" w:lineRule="auto"/>
              <w:jc w:val="right"/>
              <w:rPr>
                <w:rFonts w:ascii="Times New Roman" w:eastAsia="Times New Roman" w:hAnsi="Times New Roman" w:cs="Times New Roman"/>
                <w:sz w:val="24"/>
                <w:szCs w:val="24"/>
                <w:lang w:val="en-US"/>
              </w:rPr>
            </w:pPr>
            <w:r w:rsidRPr="002651D4">
              <w:rPr>
                <w:rFonts w:ascii="Times New Roman" w:eastAsia="Times New Roman" w:hAnsi="Times New Roman" w:cs="Times New Roman"/>
                <w:sz w:val="24"/>
                <w:szCs w:val="24"/>
                <w:lang w:val="en-US"/>
              </w:rPr>
              <w:t>402 359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18EAB4" w14:textId="77777777" w:rsidR="002651D4" w:rsidRPr="002651D4" w:rsidRDefault="002651D4" w:rsidP="002651D4">
            <w:pPr>
              <w:spacing w:after="0" w:line="240" w:lineRule="auto"/>
              <w:jc w:val="right"/>
              <w:rPr>
                <w:rFonts w:ascii="Times New Roman" w:eastAsia="Times New Roman" w:hAnsi="Times New Roman" w:cs="Times New Roman"/>
                <w:sz w:val="24"/>
                <w:szCs w:val="24"/>
                <w:lang w:val="en-US"/>
              </w:rPr>
            </w:pPr>
            <w:r w:rsidRPr="002651D4">
              <w:rPr>
                <w:rFonts w:ascii="Times New Roman" w:eastAsia="Times New Roman" w:hAnsi="Times New Roman" w:cs="Times New Roman"/>
                <w:sz w:val="24"/>
                <w:szCs w:val="24"/>
                <w:lang w:val="en-US"/>
              </w:rPr>
              <w:t>5 057 641</w:t>
            </w:r>
          </w:p>
        </w:tc>
        <w:tc>
          <w:tcPr>
            <w:tcW w:w="1858" w:type="dxa"/>
            <w:tcBorders>
              <w:top w:val="single" w:sz="4" w:space="0" w:color="auto"/>
              <w:left w:val="single" w:sz="4" w:space="0" w:color="auto"/>
              <w:bottom w:val="single" w:sz="4" w:space="0" w:color="auto"/>
              <w:right w:val="single" w:sz="4" w:space="0" w:color="auto"/>
            </w:tcBorders>
            <w:vAlign w:val="center"/>
            <w:hideMark/>
          </w:tcPr>
          <w:p w14:paraId="26F0B936" w14:textId="77777777" w:rsidR="002651D4" w:rsidRPr="002651D4" w:rsidRDefault="002651D4" w:rsidP="002651D4">
            <w:pPr>
              <w:spacing w:after="0" w:line="240" w:lineRule="auto"/>
              <w:jc w:val="right"/>
              <w:rPr>
                <w:rFonts w:ascii="Times New Roman" w:eastAsia="Times New Roman" w:hAnsi="Times New Roman" w:cs="Times New Roman"/>
                <w:sz w:val="24"/>
                <w:szCs w:val="24"/>
                <w:lang w:val="en-US"/>
              </w:rPr>
            </w:pPr>
            <w:r w:rsidRPr="002651D4">
              <w:rPr>
                <w:rFonts w:ascii="Times New Roman" w:eastAsia="Times New Roman" w:hAnsi="Times New Roman" w:cs="Times New Roman"/>
                <w:sz w:val="24"/>
                <w:szCs w:val="24"/>
                <w:lang w:val="en-US"/>
              </w:rPr>
              <w:t>5 460 000</w:t>
            </w:r>
          </w:p>
        </w:tc>
      </w:tr>
      <w:tr w:rsidR="002651D4" w:rsidRPr="002651D4" w14:paraId="30FD4BCC" w14:textId="77777777" w:rsidTr="002651D4">
        <w:trPr>
          <w:trHeight w:val="283"/>
        </w:trPr>
        <w:tc>
          <w:tcPr>
            <w:tcW w:w="3539" w:type="dxa"/>
            <w:tcBorders>
              <w:top w:val="single" w:sz="4" w:space="0" w:color="auto"/>
              <w:left w:val="single" w:sz="4" w:space="0" w:color="auto"/>
              <w:bottom w:val="single" w:sz="4" w:space="0" w:color="auto"/>
              <w:right w:val="single" w:sz="4" w:space="0" w:color="auto"/>
            </w:tcBorders>
            <w:vAlign w:val="center"/>
            <w:hideMark/>
          </w:tcPr>
          <w:p w14:paraId="6C3C5D29" w14:textId="77777777" w:rsidR="002651D4" w:rsidRPr="002651D4" w:rsidRDefault="002651D4" w:rsidP="002651D4">
            <w:pPr>
              <w:spacing w:after="0" w:line="240" w:lineRule="auto"/>
              <w:rPr>
                <w:rFonts w:ascii="Times New Roman" w:eastAsia="Times New Roman" w:hAnsi="Times New Roman" w:cs="Times New Roman"/>
                <w:sz w:val="24"/>
                <w:szCs w:val="24"/>
                <w:lang w:val="en-US"/>
              </w:rPr>
            </w:pPr>
            <w:proofErr w:type="spellStart"/>
            <w:r w:rsidRPr="002651D4">
              <w:rPr>
                <w:rFonts w:ascii="Times New Roman" w:eastAsia="Times New Roman" w:hAnsi="Times New Roman" w:cs="Times New Roman"/>
                <w:sz w:val="24"/>
                <w:szCs w:val="24"/>
                <w:lang w:val="en-US"/>
              </w:rPr>
              <w:t>Kultūras</w:t>
            </w:r>
            <w:proofErr w:type="spellEnd"/>
            <w:r w:rsidRPr="002651D4">
              <w:rPr>
                <w:rFonts w:ascii="Times New Roman" w:eastAsia="Times New Roman" w:hAnsi="Times New Roman" w:cs="Times New Roman"/>
                <w:sz w:val="24"/>
                <w:szCs w:val="24"/>
                <w:lang w:val="en-US"/>
              </w:rPr>
              <w:t xml:space="preserve"> ministrija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CED36C" w14:textId="77777777" w:rsidR="002651D4" w:rsidRPr="002651D4" w:rsidRDefault="002651D4" w:rsidP="002651D4">
            <w:pPr>
              <w:spacing w:after="0" w:line="240" w:lineRule="auto"/>
              <w:jc w:val="right"/>
              <w:rPr>
                <w:rFonts w:ascii="Times New Roman" w:eastAsia="Times New Roman" w:hAnsi="Times New Roman" w:cs="Times New Roman"/>
                <w:color w:val="000000"/>
                <w:sz w:val="24"/>
                <w:szCs w:val="24"/>
                <w:lang w:val="en-US"/>
              </w:rPr>
            </w:pPr>
            <w:r w:rsidRPr="002651D4">
              <w:rPr>
                <w:rFonts w:ascii="Times New Roman" w:eastAsia="Times New Roman" w:hAnsi="Times New Roman" w:cs="Times New Roman"/>
                <w:color w:val="000000"/>
                <w:sz w:val="24"/>
                <w:szCs w:val="24"/>
                <w:lang w:val="en-US"/>
              </w:rPr>
              <w:t>10 191 543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391B4DF" w14:textId="77777777" w:rsidR="002651D4" w:rsidRPr="002651D4" w:rsidRDefault="002651D4" w:rsidP="002651D4">
            <w:pPr>
              <w:spacing w:after="0" w:line="240" w:lineRule="auto"/>
              <w:jc w:val="right"/>
              <w:rPr>
                <w:rFonts w:ascii="Times New Roman" w:eastAsia="Times New Roman" w:hAnsi="Times New Roman" w:cs="Times New Roman"/>
                <w:color w:val="000000"/>
                <w:sz w:val="24"/>
                <w:szCs w:val="24"/>
                <w:lang w:val="en-US"/>
              </w:rPr>
            </w:pPr>
            <w:r w:rsidRPr="002651D4">
              <w:rPr>
                <w:rFonts w:ascii="Times New Roman" w:eastAsia="Times New Roman" w:hAnsi="Times New Roman" w:cs="Times New Roman"/>
                <w:color w:val="000000"/>
                <w:sz w:val="24"/>
                <w:szCs w:val="24"/>
                <w:lang w:val="en-US"/>
              </w:rPr>
              <w:t>12 276 194</w:t>
            </w:r>
          </w:p>
        </w:tc>
        <w:tc>
          <w:tcPr>
            <w:tcW w:w="1858" w:type="dxa"/>
            <w:tcBorders>
              <w:top w:val="single" w:sz="4" w:space="0" w:color="auto"/>
              <w:left w:val="single" w:sz="4" w:space="0" w:color="auto"/>
              <w:bottom w:val="single" w:sz="4" w:space="0" w:color="auto"/>
              <w:right w:val="single" w:sz="4" w:space="0" w:color="auto"/>
            </w:tcBorders>
            <w:vAlign w:val="center"/>
            <w:hideMark/>
          </w:tcPr>
          <w:p w14:paraId="77D4924B" w14:textId="77777777" w:rsidR="002651D4" w:rsidRPr="002651D4" w:rsidRDefault="002651D4" w:rsidP="002651D4">
            <w:pPr>
              <w:spacing w:after="0" w:line="240" w:lineRule="auto"/>
              <w:jc w:val="right"/>
              <w:rPr>
                <w:rFonts w:ascii="Times New Roman" w:eastAsia="Times New Roman" w:hAnsi="Times New Roman" w:cs="Times New Roman"/>
                <w:color w:val="000000"/>
                <w:sz w:val="24"/>
                <w:szCs w:val="24"/>
                <w:lang w:val="en-US"/>
              </w:rPr>
            </w:pPr>
            <w:r w:rsidRPr="002651D4">
              <w:rPr>
                <w:rFonts w:ascii="Times New Roman" w:eastAsia="Times New Roman" w:hAnsi="Times New Roman" w:cs="Times New Roman"/>
                <w:color w:val="000000"/>
                <w:sz w:val="24"/>
                <w:szCs w:val="24"/>
                <w:lang w:val="en-US"/>
              </w:rPr>
              <w:t>22 467 737</w:t>
            </w:r>
          </w:p>
        </w:tc>
      </w:tr>
      <w:tr w:rsidR="002651D4" w:rsidRPr="002651D4" w14:paraId="6B6D7594" w14:textId="77777777" w:rsidTr="002651D4">
        <w:trPr>
          <w:trHeight w:val="417"/>
        </w:trPr>
        <w:tc>
          <w:tcPr>
            <w:tcW w:w="3539" w:type="dxa"/>
            <w:tcBorders>
              <w:top w:val="single" w:sz="4" w:space="0" w:color="auto"/>
              <w:left w:val="single" w:sz="4" w:space="0" w:color="auto"/>
              <w:bottom w:val="single" w:sz="4" w:space="0" w:color="auto"/>
              <w:right w:val="single" w:sz="4" w:space="0" w:color="auto"/>
            </w:tcBorders>
            <w:vAlign w:val="center"/>
            <w:hideMark/>
          </w:tcPr>
          <w:p w14:paraId="00519107" w14:textId="77777777" w:rsidR="002651D4" w:rsidRPr="002651D4" w:rsidRDefault="002651D4" w:rsidP="002651D4">
            <w:pPr>
              <w:spacing w:after="0" w:line="240" w:lineRule="auto"/>
              <w:rPr>
                <w:rFonts w:ascii="Times New Roman" w:eastAsia="Times New Roman" w:hAnsi="Times New Roman" w:cs="Times New Roman"/>
                <w:sz w:val="24"/>
                <w:szCs w:val="24"/>
                <w:lang w:val="en-US"/>
              </w:rPr>
            </w:pPr>
            <w:proofErr w:type="spellStart"/>
            <w:r w:rsidRPr="002651D4">
              <w:rPr>
                <w:rFonts w:ascii="Times New Roman" w:eastAsia="Times New Roman" w:hAnsi="Times New Roman" w:cs="Times New Roman"/>
                <w:sz w:val="24"/>
                <w:szCs w:val="24"/>
                <w:lang w:val="en-US"/>
              </w:rPr>
              <w:t>Veselības</w:t>
            </w:r>
            <w:proofErr w:type="spellEnd"/>
            <w:r w:rsidRPr="002651D4">
              <w:rPr>
                <w:rFonts w:ascii="Times New Roman" w:eastAsia="Times New Roman" w:hAnsi="Times New Roman" w:cs="Times New Roman"/>
                <w:sz w:val="24"/>
                <w:szCs w:val="24"/>
                <w:lang w:val="en-US"/>
              </w:rPr>
              <w:t xml:space="preserve"> ministrija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356AB2" w14:textId="77777777" w:rsidR="002651D4" w:rsidRPr="002651D4" w:rsidRDefault="002651D4" w:rsidP="002651D4">
            <w:pPr>
              <w:spacing w:after="0" w:line="240" w:lineRule="auto"/>
              <w:jc w:val="right"/>
              <w:rPr>
                <w:rFonts w:ascii="Times New Roman" w:eastAsia="Times New Roman" w:hAnsi="Times New Roman" w:cs="Times New Roman"/>
                <w:sz w:val="24"/>
                <w:szCs w:val="24"/>
                <w:lang w:val="en-US"/>
              </w:rPr>
            </w:pPr>
            <w:r w:rsidRPr="002651D4">
              <w:rPr>
                <w:rFonts w:ascii="Times New Roman" w:eastAsia="Times New Roman" w:hAnsi="Times New Roman" w:cs="Times New Roman"/>
                <w:sz w:val="24"/>
                <w:szCs w:val="24"/>
                <w:lang w:val="en-US"/>
              </w:rPr>
              <w:t>6 789 176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4B0E80" w14:textId="77777777" w:rsidR="002651D4" w:rsidRPr="002651D4" w:rsidRDefault="002651D4" w:rsidP="002651D4">
            <w:pPr>
              <w:spacing w:after="0" w:line="240" w:lineRule="auto"/>
              <w:jc w:val="right"/>
              <w:rPr>
                <w:rFonts w:ascii="Times New Roman" w:eastAsia="Times New Roman" w:hAnsi="Times New Roman" w:cs="Times New Roman"/>
                <w:sz w:val="24"/>
                <w:szCs w:val="24"/>
                <w:lang w:val="en-US"/>
              </w:rPr>
            </w:pPr>
            <w:r w:rsidRPr="002651D4">
              <w:rPr>
                <w:rFonts w:ascii="Times New Roman" w:eastAsia="Times New Roman" w:hAnsi="Times New Roman" w:cs="Times New Roman"/>
                <w:sz w:val="24"/>
                <w:szCs w:val="24"/>
                <w:lang w:val="en-US"/>
              </w:rPr>
              <w:t>11 410 824</w:t>
            </w:r>
          </w:p>
        </w:tc>
        <w:tc>
          <w:tcPr>
            <w:tcW w:w="1858" w:type="dxa"/>
            <w:tcBorders>
              <w:top w:val="single" w:sz="4" w:space="0" w:color="auto"/>
              <w:left w:val="single" w:sz="4" w:space="0" w:color="auto"/>
              <w:bottom w:val="single" w:sz="4" w:space="0" w:color="auto"/>
              <w:right w:val="single" w:sz="4" w:space="0" w:color="auto"/>
            </w:tcBorders>
            <w:vAlign w:val="center"/>
            <w:hideMark/>
          </w:tcPr>
          <w:p w14:paraId="7A781292" w14:textId="77777777" w:rsidR="002651D4" w:rsidRPr="002651D4" w:rsidRDefault="002651D4" w:rsidP="002651D4">
            <w:pPr>
              <w:spacing w:after="0" w:line="240" w:lineRule="auto"/>
              <w:jc w:val="right"/>
              <w:rPr>
                <w:rFonts w:ascii="Times New Roman" w:eastAsia="Times New Roman" w:hAnsi="Times New Roman" w:cs="Times New Roman"/>
                <w:sz w:val="24"/>
                <w:szCs w:val="24"/>
                <w:lang w:val="en-US"/>
              </w:rPr>
            </w:pPr>
            <w:r w:rsidRPr="002651D4">
              <w:rPr>
                <w:rFonts w:ascii="Times New Roman" w:eastAsia="Times New Roman" w:hAnsi="Times New Roman" w:cs="Times New Roman"/>
                <w:sz w:val="24"/>
                <w:szCs w:val="24"/>
                <w:lang w:val="en-US"/>
              </w:rPr>
              <w:t>18 200 000</w:t>
            </w:r>
          </w:p>
        </w:tc>
      </w:tr>
    </w:tbl>
    <w:p w14:paraId="3AAE0EFD" w14:textId="73B3BC48" w:rsidR="00D07812" w:rsidRDefault="00D07812">
      <w:pPr>
        <w:jc w:val="both"/>
        <w:rPr>
          <w:rFonts w:ascii="Times New Roman" w:hAnsi="Times New Roman" w:cs="Times New Roman"/>
          <w:sz w:val="24"/>
          <w:szCs w:val="24"/>
        </w:rPr>
      </w:pPr>
    </w:p>
    <w:p w14:paraId="514B0BDE" w14:textId="6518AD37" w:rsidR="00E473FB" w:rsidRDefault="00E473FB">
      <w:pPr>
        <w:jc w:val="both"/>
        <w:rPr>
          <w:rFonts w:ascii="Times New Roman" w:hAnsi="Times New Roman" w:cs="Times New Roman"/>
          <w:sz w:val="24"/>
          <w:szCs w:val="24"/>
        </w:rPr>
      </w:pPr>
      <w:r>
        <w:rPr>
          <w:rFonts w:ascii="Times New Roman" w:hAnsi="Times New Roman" w:cs="Times New Roman"/>
          <w:sz w:val="24"/>
          <w:szCs w:val="24"/>
        </w:rPr>
        <w:t xml:space="preserve">[4] </w:t>
      </w:r>
      <w:r w:rsidR="00972759">
        <w:rPr>
          <w:rFonts w:ascii="Times New Roman" w:hAnsi="Times New Roman" w:cs="Times New Roman"/>
          <w:sz w:val="24"/>
          <w:szCs w:val="24"/>
        </w:rPr>
        <w:t>Struktūrfondu finansējums 2021.-2027. gadiem.</w:t>
      </w:r>
    </w:p>
    <w:p w14:paraId="7F6F25DC" w14:textId="7F2C6356" w:rsidR="00023FF5" w:rsidRDefault="00915F51">
      <w:pPr>
        <w:jc w:val="both"/>
        <w:rPr>
          <w:rFonts w:ascii="Times New Roman" w:hAnsi="Times New Roman" w:cs="Times New Roman"/>
          <w:sz w:val="24"/>
          <w:szCs w:val="24"/>
        </w:rPr>
      </w:pPr>
      <w:r>
        <w:rPr>
          <w:rFonts w:ascii="Times New Roman" w:hAnsi="Times New Roman" w:cs="Times New Roman"/>
          <w:sz w:val="24"/>
          <w:szCs w:val="24"/>
        </w:rPr>
        <w:t>Pagaidām nav pieejams sadalījums pa gadiem, kopējais pieejamais finansējums, kas attiecas uz būvniecību ir 2 556 914 33 EUR, kas tiks izlietots 8 gadu periodā. 2021.gada un 2022.gadā, ņemot vērā iepriekšējo pieredzi, izlietotais finansējums ir neliels, lielāk</w:t>
      </w:r>
      <w:r w:rsidR="00023FF5">
        <w:rPr>
          <w:rFonts w:ascii="Times New Roman" w:hAnsi="Times New Roman" w:cs="Times New Roman"/>
          <w:sz w:val="24"/>
          <w:szCs w:val="24"/>
        </w:rPr>
        <w:t xml:space="preserve">ā intensitāte tiek sasniegta perioda 4. – 7. gadā, t.i. laika periodā no 2024.gada līdz 2027.gadam. Līdzekļu apgūšana varētu turpināties arī 2028. un 2029. gadā. </w:t>
      </w:r>
    </w:p>
    <w:p w14:paraId="64EBD57F" w14:textId="669F0CC8" w:rsidR="00023FF5" w:rsidRDefault="00023FF5">
      <w:pPr>
        <w:jc w:val="both"/>
        <w:rPr>
          <w:rFonts w:ascii="Times New Roman" w:hAnsi="Times New Roman" w:cs="Times New Roman"/>
          <w:sz w:val="24"/>
          <w:szCs w:val="24"/>
        </w:rPr>
      </w:pPr>
      <w:r>
        <w:rPr>
          <w:rFonts w:ascii="Times New Roman" w:hAnsi="Times New Roman" w:cs="Times New Roman"/>
          <w:sz w:val="24"/>
          <w:szCs w:val="24"/>
        </w:rPr>
        <w:t>[5] APKOPOJUMS (izņemot struktūrfondu finansējumu nākamajam periodam)</w:t>
      </w:r>
    </w:p>
    <w:tbl>
      <w:tblPr>
        <w:tblStyle w:val="TableGrid"/>
        <w:tblW w:w="9493" w:type="dxa"/>
        <w:tblLook w:val="04A0" w:firstRow="1" w:lastRow="0" w:firstColumn="1" w:lastColumn="0" w:noHBand="0" w:noVBand="1"/>
      </w:tblPr>
      <w:tblGrid>
        <w:gridCol w:w="1554"/>
        <w:gridCol w:w="1656"/>
        <w:gridCol w:w="1605"/>
        <w:gridCol w:w="1701"/>
        <w:gridCol w:w="1559"/>
        <w:gridCol w:w="1418"/>
      </w:tblGrid>
      <w:tr w:rsidR="00023FF5" w14:paraId="04FAD133" w14:textId="77777777" w:rsidTr="00002033">
        <w:tc>
          <w:tcPr>
            <w:tcW w:w="1554" w:type="dxa"/>
          </w:tcPr>
          <w:p w14:paraId="50181DCC" w14:textId="7BCE218D" w:rsidR="00023FF5" w:rsidRDefault="00023FF5" w:rsidP="00023FF5">
            <w:pPr>
              <w:jc w:val="center"/>
              <w:rPr>
                <w:rFonts w:ascii="Times New Roman" w:hAnsi="Times New Roman" w:cs="Times New Roman"/>
                <w:sz w:val="24"/>
                <w:szCs w:val="24"/>
              </w:rPr>
            </w:pPr>
            <w:r>
              <w:rPr>
                <w:rFonts w:ascii="Times New Roman" w:hAnsi="Times New Roman" w:cs="Times New Roman"/>
                <w:sz w:val="24"/>
                <w:szCs w:val="24"/>
              </w:rPr>
              <w:t>2021</w:t>
            </w:r>
            <w:r w:rsidR="00002033">
              <w:rPr>
                <w:rFonts w:ascii="Times New Roman" w:hAnsi="Times New Roman" w:cs="Times New Roman"/>
                <w:sz w:val="24"/>
                <w:szCs w:val="24"/>
              </w:rPr>
              <w:t>*</w:t>
            </w:r>
          </w:p>
        </w:tc>
        <w:tc>
          <w:tcPr>
            <w:tcW w:w="1656" w:type="dxa"/>
          </w:tcPr>
          <w:p w14:paraId="483BEBF5" w14:textId="15A3E9F3" w:rsidR="00023FF5" w:rsidRDefault="00023FF5" w:rsidP="00023FF5">
            <w:pPr>
              <w:jc w:val="center"/>
              <w:rPr>
                <w:rFonts w:ascii="Times New Roman" w:hAnsi="Times New Roman" w:cs="Times New Roman"/>
                <w:sz w:val="24"/>
                <w:szCs w:val="24"/>
              </w:rPr>
            </w:pPr>
            <w:r>
              <w:rPr>
                <w:rFonts w:ascii="Times New Roman" w:hAnsi="Times New Roman" w:cs="Times New Roman"/>
                <w:sz w:val="24"/>
                <w:szCs w:val="24"/>
              </w:rPr>
              <w:t>2022</w:t>
            </w:r>
            <w:r w:rsidR="00002033">
              <w:rPr>
                <w:rFonts w:ascii="Times New Roman" w:hAnsi="Times New Roman" w:cs="Times New Roman"/>
                <w:sz w:val="24"/>
                <w:szCs w:val="24"/>
              </w:rPr>
              <w:t>**</w:t>
            </w:r>
          </w:p>
        </w:tc>
        <w:tc>
          <w:tcPr>
            <w:tcW w:w="1605" w:type="dxa"/>
          </w:tcPr>
          <w:p w14:paraId="3DD7EF78" w14:textId="22CACFD2" w:rsidR="00023FF5" w:rsidRDefault="00023FF5" w:rsidP="00023FF5">
            <w:pPr>
              <w:jc w:val="center"/>
              <w:rPr>
                <w:rFonts w:ascii="Times New Roman" w:hAnsi="Times New Roman" w:cs="Times New Roman"/>
                <w:sz w:val="24"/>
                <w:szCs w:val="24"/>
              </w:rPr>
            </w:pPr>
            <w:r>
              <w:rPr>
                <w:rFonts w:ascii="Times New Roman" w:hAnsi="Times New Roman" w:cs="Times New Roman"/>
                <w:sz w:val="24"/>
                <w:szCs w:val="24"/>
              </w:rPr>
              <w:t>2023</w:t>
            </w:r>
            <w:r w:rsidR="00002033">
              <w:rPr>
                <w:rFonts w:ascii="Times New Roman" w:hAnsi="Times New Roman" w:cs="Times New Roman"/>
                <w:sz w:val="24"/>
                <w:szCs w:val="24"/>
              </w:rPr>
              <w:t>***</w:t>
            </w:r>
          </w:p>
        </w:tc>
        <w:tc>
          <w:tcPr>
            <w:tcW w:w="1701" w:type="dxa"/>
          </w:tcPr>
          <w:p w14:paraId="200AA3CA" w14:textId="6BFD117B" w:rsidR="00023FF5" w:rsidRDefault="00023FF5" w:rsidP="00023FF5">
            <w:pPr>
              <w:jc w:val="center"/>
              <w:rPr>
                <w:rFonts w:ascii="Times New Roman" w:hAnsi="Times New Roman" w:cs="Times New Roman"/>
                <w:sz w:val="24"/>
                <w:szCs w:val="24"/>
              </w:rPr>
            </w:pPr>
            <w:r>
              <w:rPr>
                <w:rFonts w:ascii="Times New Roman" w:hAnsi="Times New Roman" w:cs="Times New Roman"/>
                <w:sz w:val="24"/>
                <w:szCs w:val="24"/>
              </w:rPr>
              <w:t>2024</w:t>
            </w:r>
            <w:r w:rsidR="00002033">
              <w:rPr>
                <w:rFonts w:ascii="Times New Roman" w:hAnsi="Times New Roman" w:cs="Times New Roman"/>
                <w:sz w:val="24"/>
                <w:szCs w:val="24"/>
              </w:rPr>
              <w:t>***</w:t>
            </w:r>
          </w:p>
        </w:tc>
        <w:tc>
          <w:tcPr>
            <w:tcW w:w="1559" w:type="dxa"/>
          </w:tcPr>
          <w:p w14:paraId="533A4403" w14:textId="2D9C3765" w:rsidR="00023FF5" w:rsidRDefault="00023FF5" w:rsidP="00023FF5">
            <w:pPr>
              <w:jc w:val="center"/>
              <w:rPr>
                <w:rFonts w:ascii="Times New Roman" w:hAnsi="Times New Roman" w:cs="Times New Roman"/>
                <w:sz w:val="24"/>
                <w:szCs w:val="24"/>
              </w:rPr>
            </w:pPr>
            <w:r>
              <w:rPr>
                <w:rFonts w:ascii="Times New Roman" w:hAnsi="Times New Roman" w:cs="Times New Roman"/>
                <w:sz w:val="24"/>
                <w:szCs w:val="24"/>
              </w:rPr>
              <w:t>2025</w:t>
            </w:r>
            <w:r w:rsidR="00002033">
              <w:rPr>
                <w:rFonts w:ascii="Times New Roman" w:hAnsi="Times New Roman" w:cs="Times New Roman"/>
                <w:sz w:val="24"/>
                <w:szCs w:val="24"/>
              </w:rPr>
              <w:t>***</w:t>
            </w:r>
          </w:p>
        </w:tc>
        <w:tc>
          <w:tcPr>
            <w:tcW w:w="1418" w:type="dxa"/>
          </w:tcPr>
          <w:p w14:paraId="7D5019CD" w14:textId="0E842E26" w:rsidR="00023FF5" w:rsidRDefault="00023FF5" w:rsidP="00023FF5">
            <w:pPr>
              <w:jc w:val="center"/>
              <w:rPr>
                <w:rFonts w:ascii="Times New Roman" w:hAnsi="Times New Roman" w:cs="Times New Roman"/>
                <w:sz w:val="24"/>
                <w:szCs w:val="24"/>
              </w:rPr>
            </w:pPr>
            <w:r>
              <w:rPr>
                <w:rFonts w:ascii="Times New Roman" w:hAnsi="Times New Roman" w:cs="Times New Roman"/>
                <w:sz w:val="24"/>
                <w:szCs w:val="24"/>
              </w:rPr>
              <w:t>2026</w:t>
            </w:r>
            <w:r w:rsidR="00002033">
              <w:rPr>
                <w:rFonts w:ascii="Times New Roman" w:hAnsi="Times New Roman" w:cs="Times New Roman"/>
                <w:sz w:val="24"/>
                <w:szCs w:val="24"/>
              </w:rPr>
              <w:t>***</w:t>
            </w:r>
          </w:p>
        </w:tc>
      </w:tr>
      <w:tr w:rsidR="00872E2F" w14:paraId="7B862AD5" w14:textId="77777777" w:rsidTr="00DF5097">
        <w:tc>
          <w:tcPr>
            <w:tcW w:w="9493" w:type="dxa"/>
            <w:gridSpan w:val="6"/>
          </w:tcPr>
          <w:p w14:paraId="5008C54E" w14:textId="3272691A" w:rsidR="00872E2F" w:rsidRPr="00872E2F" w:rsidRDefault="00872E2F" w:rsidP="00872E2F">
            <w:pPr>
              <w:rPr>
                <w:rFonts w:ascii="Times New Roman" w:hAnsi="Times New Roman" w:cs="Times New Roman"/>
                <w:b/>
                <w:bCs/>
                <w:sz w:val="24"/>
                <w:szCs w:val="24"/>
              </w:rPr>
            </w:pPr>
            <w:r w:rsidRPr="00872E2F">
              <w:rPr>
                <w:rFonts w:ascii="Times New Roman" w:hAnsi="Times New Roman" w:cs="Times New Roman"/>
                <w:b/>
                <w:bCs/>
                <w:sz w:val="24"/>
                <w:szCs w:val="24"/>
              </w:rPr>
              <w:t>Zināmie projekti</w:t>
            </w:r>
          </w:p>
        </w:tc>
      </w:tr>
      <w:tr w:rsidR="00023FF5" w:rsidRPr="00023FF5" w14:paraId="63186962" w14:textId="77777777" w:rsidTr="00002033">
        <w:tc>
          <w:tcPr>
            <w:tcW w:w="1554" w:type="dxa"/>
          </w:tcPr>
          <w:p w14:paraId="25385198" w14:textId="2DEA130A" w:rsidR="00023FF5" w:rsidRPr="00023FF5" w:rsidRDefault="00023FF5" w:rsidP="00023FF5">
            <w:pPr>
              <w:jc w:val="center"/>
              <w:rPr>
                <w:rFonts w:ascii="Times New Roman" w:hAnsi="Times New Roman" w:cs="Times New Roman"/>
                <w:b/>
                <w:bCs/>
                <w:sz w:val="24"/>
                <w:szCs w:val="24"/>
              </w:rPr>
            </w:pPr>
            <w:r w:rsidRPr="00023FF5">
              <w:rPr>
                <w:rFonts w:ascii="Times New Roman" w:hAnsi="Times New Roman" w:cs="Times New Roman"/>
                <w:b/>
                <w:bCs/>
                <w:sz w:val="24"/>
                <w:szCs w:val="24"/>
              </w:rPr>
              <w:t>843 431</w:t>
            </w:r>
            <w:r>
              <w:rPr>
                <w:rFonts w:ascii="Times New Roman" w:hAnsi="Times New Roman" w:cs="Times New Roman"/>
                <w:b/>
                <w:bCs/>
                <w:sz w:val="24"/>
                <w:szCs w:val="24"/>
              </w:rPr>
              <w:t> </w:t>
            </w:r>
            <w:r w:rsidRPr="00023FF5">
              <w:rPr>
                <w:rFonts w:ascii="Times New Roman" w:hAnsi="Times New Roman" w:cs="Times New Roman"/>
                <w:b/>
                <w:bCs/>
                <w:sz w:val="24"/>
                <w:szCs w:val="24"/>
              </w:rPr>
              <w:t>037</w:t>
            </w:r>
          </w:p>
        </w:tc>
        <w:tc>
          <w:tcPr>
            <w:tcW w:w="1656" w:type="dxa"/>
          </w:tcPr>
          <w:p w14:paraId="7C9EF34E" w14:textId="68AE24FE" w:rsidR="00023FF5" w:rsidRPr="00023FF5" w:rsidRDefault="00023FF5" w:rsidP="00023FF5">
            <w:pPr>
              <w:jc w:val="center"/>
              <w:rPr>
                <w:rFonts w:ascii="Times New Roman" w:hAnsi="Times New Roman" w:cs="Times New Roman"/>
                <w:b/>
                <w:bCs/>
                <w:sz w:val="24"/>
                <w:szCs w:val="24"/>
              </w:rPr>
            </w:pPr>
            <w:r w:rsidRPr="00023FF5">
              <w:rPr>
                <w:rFonts w:ascii="Times New Roman" w:hAnsi="Times New Roman" w:cs="Times New Roman"/>
                <w:b/>
                <w:bCs/>
                <w:sz w:val="24"/>
                <w:szCs w:val="24"/>
              </w:rPr>
              <w:t>587 135</w:t>
            </w:r>
            <w:r w:rsidR="00002033">
              <w:rPr>
                <w:rFonts w:ascii="Times New Roman" w:hAnsi="Times New Roman" w:cs="Times New Roman"/>
                <w:b/>
                <w:bCs/>
                <w:sz w:val="24"/>
                <w:szCs w:val="24"/>
              </w:rPr>
              <w:t> </w:t>
            </w:r>
            <w:r w:rsidRPr="00023FF5">
              <w:rPr>
                <w:rFonts w:ascii="Times New Roman" w:hAnsi="Times New Roman" w:cs="Times New Roman"/>
                <w:b/>
                <w:bCs/>
                <w:sz w:val="24"/>
                <w:szCs w:val="24"/>
              </w:rPr>
              <w:t>276</w:t>
            </w:r>
          </w:p>
        </w:tc>
        <w:tc>
          <w:tcPr>
            <w:tcW w:w="1605" w:type="dxa"/>
          </w:tcPr>
          <w:p w14:paraId="78E8F54A" w14:textId="2DCDA961" w:rsidR="00023FF5" w:rsidRPr="00023FF5" w:rsidRDefault="00023FF5" w:rsidP="00023FF5">
            <w:pPr>
              <w:jc w:val="center"/>
              <w:rPr>
                <w:rFonts w:ascii="Times New Roman" w:hAnsi="Times New Roman" w:cs="Times New Roman"/>
                <w:b/>
                <w:bCs/>
                <w:sz w:val="24"/>
                <w:szCs w:val="24"/>
              </w:rPr>
            </w:pPr>
            <w:r w:rsidRPr="00023FF5">
              <w:rPr>
                <w:rFonts w:ascii="Times New Roman" w:hAnsi="Times New Roman" w:cs="Times New Roman"/>
                <w:b/>
                <w:bCs/>
                <w:sz w:val="24"/>
                <w:szCs w:val="24"/>
              </w:rPr>
              <w:t>254 580 311</w:t>
            </w:r>
          </w:p>
        </w:tc>
        <w:tc>
          <w:tcPr>
            <w:tcW w:w="1701" w:type="dxa"/>
          </w:tcPr>
          <w:p w14:paraId="1C16FEC3" w14:textId="36B533E0" w:rsidR="00023FF5" w:rsidRPr="00023FF5" w:rsidRDefault="00023FF5" w:rsidP="00023FF5">
            <w:pPr>
              <w:jc w:val="center"/>
              <w:rPr>
                <w:rFonts w:ascii="Times New Roman" w:hAnsi="Times New Roman" w:cs="Times New Roman"/>
                <w:b/>
                <w:bCs/>
                <w:sz w:val="24"/>
                <w:szCs w:val="24"/>
              </w:rPr>
            </w:pPr>
            <w:r w:rsidRPr="00023FF5">
              <w:rPr>
                <w:rFonts w:ascii="Times New Roman" w:hAnsi="Times New Roman" w:cs="Times New Roman"/>
                <w:b/>
                <w:bCs/>
                <w:sz w:val="24"/>
                <w:szCs w:val="24"/>
              </w:rPr>
              <w:t>179 401 052</w:t>
            </w:r>
          </w:p>
        </w:tc>
        <w:tc>
          <w:tcPr>
            <w:tcW w:w="1559" w:type="dxa"/>
          </w:tcPr>
          <w:p w14:paraId="39384174" w14:textId="0CDE39EF" w:rsidR="00023FF5" w:rsidRPr="00023FF5" w:rsidRDefault="00023FF5" w:rsidP="00023FF5">
            <w:pPr>
              <w:jc w:val="center"/>
              <w:rPr>
                <w:rFonts w:ascii="Times New Roman" w:hAnsi="Times New Roman" w:cs="Times New Roman"/>
                <w:b/>
                <w:bCs/>
                <w:sz w:val="24"/>
                <w:szCs w:val="24"/>
              </w:rPr>
            </w:pPr>
            <w:r w:rsidRPr="00023FF5">
              <w:rPr>
                <w:rFonts w:ascii="Times New Roman" w:hAnsi="Times New Roman" w:cs="Times New Roman"/>
                <w:b/>
                <w:bCs/>
                <w:sz w:val="24"/>
                <w:szCs w:val="24"/>
              </w:rPr>
              <w:t>157 217 115</w:t>
            </w:r>
          </w:p>
        </w:tc>
        <w:tc>
          <w:tcPr>
            <w:tcW w:w="1418" w:type="dxa"/>
          </w:tcPr>
          <w:p w14:paraId="3E33C4F9" w14:textId="2E528D36" w:rsidR="00023FF5" w:rsidRPr="00023FF5" w:rsidRDefault="00023FF5" w:rsidP="00023FF5">
            <w:pPr>
              <w:jc w:val="center"/>
              <w:rPr>
                <w:rFonts w:ascii="Times New Roman" w:hAnsi="Times New Roman" w:cs="Times New Roman"/>
                <w:b/>
                <w:bCs/>
                <w:sz w:val="24"/>
                <w:szCs w:val="24"/>
              </w:rPr>
            </w:pPr>
            <w:r w:rsidRPr="00023FF5">
              <w:rPr>
                <w:rFonts w:ascii="Times New Roman" w:hAnsi="Times New Roman" w:cs="Times New Roman"/>
                <w:b/>
                <w:bCs/>
                <w:sz w:val="24"/>
                <w:szCs w:val="24"/>
              </w:rPr>
              <w:t>41 451 923</w:t>
            </w:r>
          </w:p>
        </w:tc>
      </w:tr>
      <w:tr w:rsidR="00872E2F" w:rsidRPr="00023FF5" w14:paraId="3600946C" w14:textId="77777777" w:rsidTr="007458DE">
        <w:tc>
          <w:tcPr>
            <w:tcW w:w="9493" w:type="dxa"/>
            <w:gridSpan w:val="6"/>
          </w:tcPr>
          <w:p w14:paraId="29AEE7D5" w14:textId="230BE3E7" w:rsidR="00872E2F" w:rsidRPr="00023FF5" w:rsidRDefault="00872E2F" w:rsidP="00872E2F">
            <w:pPr>
              <w:rPr>
                <w:rFonts w:ascii="Times New Roman" w:hAnsi="Times New Roman" w:cs="Times New Roman"/>
                <w:b/>
                <w:bCs/>
                <w:sz w:val="24"/>
                <w:szCs w:val="24"/>
              </w:rPr>
            </w:pPr>
            <w:r>
              <w:rPr>
                <w:rFonts w:ascii="Times New Roman" w:hAnsi="Times New Roman" w:cs="Times New Roman"/>
                <w:b/>
                <w:bCs/>
                <w:sz w:val="24"/>
                <w:szCs w:val="24"/>
              </w:rPr>
              <w:t>Plānotās ieceres</w:t>
            </w:r>
          </w:p>
        </w:tc>
      </w:tr>
      <w:tr w:rsidR="00B37306" w:rsidRPr="00872E2F" w14:paraId="416AE93A" w14:textId="77777777" w:rsidTr="00002033">
        <w:tc>
          <w:tcPr>
            <w:tcW w:w="1554" w:type="dxa"/>
          </w:tcPr>
          <w:p w14:paraId="1460A4CE" w14:textId="3D823C46" w:rsidR="00B37306" w:rsidRPr="00872E2F" w:rsidRDefault="00B37306" w:rsidP="00023FF5">
            <w:pPr>
              <w:jc w:val="center"/>
              <w:rPr>
                <w:rFonts w:ascii="Times New Roman" w:hAnsi="Times New Roman" w:cs="Times New Roman"/>
                <w:b/>
                <w:bCs/>
                <w:sz w:val="24"/>
                <w:szCs w:val="24"/>
              </w:rPr>
            </w:pPr>
            <w:r w:rsidRPr="00872E2F">
              <w:rPr>
                <w:rFonts w:ascii="Times New Roman" w:hAnsi="Times New Roman" w:cs="Times New Roman"/>
                <w:b/>
                <w:bCs/>
                <w:sz w:val="24"/>
                <w:szCs w:val="24"/>
              </w:rPr>
              <w:t>510 000 000</w:t>
            </w:r>
          </w:p>
        </w:tc>
        <w:tc>
          <w:tcPr>
            <w:tcW w:w="1656" w:type="dxa"/>
          </w:tcPr>
          <w:p w14:paraId="5A9F409C" w14:textId="4860E49B" w:rsidR="00B37306" w:rsidRPr="00872E2F" w:rsidRDefault="00B37306" w:rsidP="00023FF5">
            <w:pPr>
              <w:jc w:val="center"/>
              <w:rPr>
                <w:rFonts w:ascii="Times New Roman" w:hAnsi="Times New Roman" w:cs="Times New Roman"/>
                <w:b/>
                <w:bCs/>
                <w:sz w:val="24"/>
                <w:szCs w:val="24"/>
              </w:rPr>
            </w:pPr>
            <w:r w:rsidRPr="00872E2F">
              <w:rPr>
                <w:rFonts w:ascii="Times New Roman" w:hAnsi="Times New Roman" w:cs="Times New Roman"/>
                <w:b/>
                <w:bCs/>
                <w:sz w:val="24"/>
                <w:szCs w:val="24"/>
              </w:rPr>
              <w:t>310 000 000</w:t>
            </w:r>
          </w:p>
        </w:tc>
        <w:tc>
          <w:tcPr>
            <w:tcW w:w="1605" w:type="dxa"/>
          </w:tcPr>
          <w:p w14:paraId="2A7E8F58" w14:textId="58E3DF7C" w:rsidR="00B37306" w:rsidRPr="00872E2F" w:rsidRDefault="00B37306" w:rsidP="00023FF5">
            <w:pPr>
              <w:jc w:val="center"/>
              <w:rPr>
                <w:rFonts w:ascii="Times New Roman" w:hAnsi="Times New Roman" w:cs="Times New Roman"/>
                <w:b/>
                <w:bCs/>
                <w:sz w:val="24"/>
                <w:szCs w:val="24"/>
              </w:rPr>
            </w:pPr>
            <w:r w:rsidRPr="00872E2F">
              <w:rPr>
                <w:rFonts w:ascii="Times New Roman" w:hAnsi="Times New Roman" w:cs="Times New Roman"/>
                <w:b/>
                <w:bCs/>
                <w:sz w:val="24"/>
                <w:szCs w:val="24"/>
              </w:rPr>
              <w:t>240 000 000</w:t>
            </w:r>
          </w:p>
        </w:tc>
        <w:tc>
          <w:tcPr>
            <w:tcW w:w="1701" w:type="dxa"/>
          </w:tcPr>
          <w:p w14:paraId="544DE14F" w14:textId="77777777" w:rsidR="00B37306" w:rsidRPr="00872E2F" w:rsidRDefault="00B37306" w:rsidP="00023FF5">
            <w:pPr>
              <w:jc w:val="center"/>
              <w:rPr>
                <w:rFonts w:ascii="Times New Roman" w:hAnsi="Times New Roman" w:cs="Times New Roman"/>
                <w:b/>
                <w:bCs/>
                <w:sz w:val="24"/>
                <w:szCs w:val="24"/>
              </w:rPr>
            </w:pPr>
          </w:p>
        </w:tc>
        <w:tc>
          <w:tcPr>
            <w:tcW w:w="1559" w:type="dxa"/>
          </w:tcPr>
          <w:p w14:paraId="4AC97255" w14:textId="77777777" w:rsidR="00B37306" w:rsidRPr="00872E2F" w:rsidRDefault="00B37306" w:rsidP="00023FF5">
            <w:pPr>
              <w:jc w:val="center"/>
              <w:rPr>
                <w:rFonts w:ascii="Times New Roman" w:hAnsi="Times New Roman" w:cs="Times New Roman"/>
                <w:b/>
                <w:bCs/>
                <w:sz w:val="24"/>
                <w:szCs w:val="24"/>
              </w:rPr>
            </w:pPr>
          </w:p>
        </w:tc>
        <w:tc>
          <w:tcPr>
            <w:tcW w:w="1418" w:type="dxa"/>
          </w:tcPr>
          <w:p w14:paraId="2D341087" w14:textId="77777777" w:rsidR="00B37306" w:rsidRPr="00872E2F" w:rsidRDefault="00B37306" w:rsidP="00023FF5">
            <w:pPr>
              <w:jc w:val="center"/>
              <w:rPr>
                <w:rFonts w:ascii="Times New Roman" w:hAnsi="Times New Roman" w:cs="Times New Roman"/>
                <w:b/>
                <w:bCs/>
                <w:sz w:val="24"/>
                <w:szCs w:val="24"/>
              </w:rPr>
            </w:pPr>
          </w:p>
        </w:tc>
      </w:tr>
      <w:tr w:rsidR="00023FF5" w:rsidRPr="00023FF5" w14:paraId="1390DB06" w14:textId="77777777" w:rsidTr="005412EC">
        <w:tc>
          <w:tcPr>
            <w:tcW w:w="9493" w:type="dxa"/>
            <w:gridSpan w:val="6"/>
          </w:tcPr>
          <w:p w14:paraId="1EA170CE" w14:textId="77777777" w:rsidR="00023FF5" w:rsidRDefault="00023FF5" w:rsidP="00023FF5">
            <w:pPr>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 xml:space="preserve">jāņem vērā, ka EM apkopos precizēto informāciju par 2021.-2022.gados </w:t>
            </w:r>
            <w:r w:rsidR="00002033">
              <w:rPr>
                <w:rFonts w:ascii="Times New Roman" w:hAnsi="Times New Roman" w:cs="Times New Roman"/>
                <w:sz w:val="24"/>
                <w:szCs w:val="24"/>
              </w:rPr>
              <w:t>plānoto publisko finansējumu (ārpus ES līdzfinan</w:t>
            </w:r>
            <w:bookmarkStart w:id="0" w:name="_GoBack"/>
            <w:bookmarkEnd w:id="0"/>
            <w:r w:rsidR="00002033">
              <w:rPr>
                <w:rFonts w:ascii="Times New Roman" w:hAnsi="Times New Roman" w:cs="Times New Roman"/>
                <w:sz w:val="24"/>
                <w:szCs w:val="24"/>
              </w:rPr>
              <w:t>sējuma un COVID 19 ietekmes mazināšanas finansējuma)</w:t>
            </w:r>
          </w:p>
          <w:p w14:paraId="78D8D275" w14:textId="77777777" w:rsidR="00002033" w:rsidRDefault="00002033" w:rsidP="00023FF5">
            <w:pPr>
              <w:rPr>
                <w:rFonts w:ascii="Times New Roman" w:hAnsi="Times New Roman" w:cs="Times New Roman"/>
                <w:sz w:val="24"/>
                <w:szCs w:val="24"/>
              </w:rPr>
            </w:pPr>
            <w:r>
              <w:rPr>
                <w:rFonts w:ascii="Times New Roman" w:hAnsi="Times New Roman" w:cs="Times New Roman"/>
                <w:sz w:val="24"/>
                <w:szCs w:val="24"/>
              </w:rPr>
              <w:t xml:space="preserve">** tiks uzsākta ALTUM programma (izlietota daļa no finansējuma 150 000 000), EM apkopos precizēto informāciju </w:t>
            </w:r>
            <w:r>
              <w:rPr>
                <w:rFonts w:ascii="Times New Roman" w:hAnsi="Times New Roman" w:cs="Times New Roman"/>
                <w:sz w:val="24"/>
                <w:szCs w:val="24"/>
              </w:rPr>
              <w:t>par 2021.-2022.gados plānoto publisko finansējumu (ārpus ES līdzfinansējuma un COVID 19 ietekmes mazināšanas finansējuma)</w:t>
            </w:r>
            <w:r>
              <w:rPr>
                <w:rFonts w:ascii="Times New Roman" w:hAnsi="Times New Roman" w:cs="Times New Roman"/>
                <w:sz w:val="24"/>
                <w:szCs w:val="24"/>
              </w:rPr>
              <w:t>, varētu tikt uzsākta jauna perioda finansējuma apgūšana</w:t>
            </w:r>
          </w:p>
          <w:p w14:paraId="3067A77B" w14:textId="45E321A0" w:rsidR="00002033" w:rsidRPr="00023FF5" w:rsidRDefault="00002033" w:rsidP="00023FF5">
            <w:pPr>
              <w:rPr>
                <w:rFonts w:ascii="Times New Roman" w:hAnsi="Times New Roman" w:cs="Times New Roman"/>
                <w:sz w:val="24"/>
                <w:szCs w:val="24"/>
              </w:rPr>
            </w:pPr>
            <w:r>
              <w:rPr>
                <w:rFonts w:ascii="Times New Roman" w:hAnsi="Times New Roman" w:cs="Times New Roman"/>
                <w:sz w:val="24"/>
                <w:szCs w:val="24"/>
              </w:rPr>
              <w:t xml:space="preserve">*** sākotnēji pieejama informācija, informācija ir jāprecizē pēc detalizētās informācijas saņemšanas par jaunā perioda struktūrfondu finansējuma sadalījumu. </w:t>
            </w:r>
          </w:p>
        </w:tc>
      </w:tr>
    </w:tbl>
    <w:p w14:paraId="7EB9F1DD" w14:textId="133BFD3F" w:rsidR="00915F51" w:rsidRDefault="00915F51">
      <w:pPr>
        <w:jc w:val="both"/>
        <w:rPr>
          <w:rFonts w:ascii="Times New Roman" w:hAnsi="Times New Roman" w:cs="Times New Roman"/>
          <w:sz w:val="24"/>
          <w:szCs w:val="24"/>
        </w:rPr>
      </w:pPr>
    </w:p>
    <w:sectPr w:rsidR="00915F5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62F15" w14:textId="77777777" w:rsidR="00297A2D" w:rsidRDefault="00297A2D" w:rsidP="0031396F">
      <w:pPr>
        <w:spacing w:after="0" w:line="240" w:lineRule="auto"/>
      </w:pPr>
      <w:r>
        <w:separator/>
      </w:r>
    </w:p>
  </w:endnote>
  <w:endnote w:type="continuationSeparator" w:id="0">
    <w:p w14:paraId="06D90761" w14:textId="77777777" w:rsidR="00297A2D" w:rsidRDefault="00297A2D" w:rsidP="00313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23E9A" w14:textId="77777777" w:rsidR="00297A2D" w:rsidRDefault="00297A2D" w:rsidP="0031396F">
      <w:pPr>
        <w:spacing w:after="0" w:line="240" w:lineRule="auto"/>
      </w:pPr>
      <w:r>
        <w:separator/>
      </w:r>
    </w:p>
  </w:footnote>
  <w:footnote w:type="continuationSeparator" w:id="0">
    <w:p w14:paraId="58AD9DD3" w14:textId="77777777" w:rsidR="00297A2D" w:rsidRDefault="00297A2D" w:rsidP="0031396F">
      <w:pPr>
        <w:spacing w:after="0" w:line="240" w:lineRule="auto"/>
      </w:pPr>
      <w:r>
        <w:continuationSeparator/>
      </w:r>
    </w:p>
  </w:footnote>
  <w:footnote w:id="1">
    <w:p w14:paraId="63D6B00B" w14:textId="1CB306A7" w:rsidR="00317225" w:rsidRDefault="00317225">
      <w:pPr>
        <w:pStyle w:val="FootnoteText"/>
      </w:pPr>
      <w:r>
        <w:rPr>
          <w:rStyle w:val="FootnoteReference"/>
        </w:rPr>
        <w:footnoteRef/>
      </w:r>
      <w:r>
        <w:t xml:space="preserve"> Provizoriski, atbilstoši Centrālās statistikas pārvaldes publicētai informācijai par 2020.gada 4.ceturkšņa rādītājiem, </w:t>
      </w:r>
      <w:hyperlink r:id="rId1" w:history="1">
        <w:r w:rsidRPr="008F64EB">
          <w:rPr>
            <w:rStyle w:val="Hyperlink"/>
          </w:rPr>
          <w:t>www.csp.gov.lv</w:t>
        </w:r>
      </w:hyperlink>
      <w:r>
        <w:t xml:space="preserve"> </w:t>
      </w:r>
      <w:r>
        <w:tab/>
      </w:r>
    </w:p>
  </w:footnote>
  <w:footnote w:id="2">
    <w:p w14:paraId="41211021" w14:textId="77777777" w:rsidR="0031396F" w:rsidRDefault="0031396F">
      <w:pPr>
        <w:pStyle w:val="FootnoteText"/>
      </w:pPr>
      <w:r>
        <w:rPr>
          <w:rStyle w:val="FootnoteReference"/>
        </w:rPr>
        <w:footnoteRef/>
      </w:r>
      <w:r>
        <w:t xml:space="preserve"> </w:t>
      </w:r>
      <w:hyperlink r:id="rId2" w:history="1">
        <w:r w:rsidRPr="008F64EB">
          <w:rPr>
            <w:rStyle w:val="Hyperlink"/>
          </w:rPr>
          <w:t>https://www.em.gov.lv/lv/buvniecibas-nozare-attistiba-strategija-un-petijumi</w:t>
        </w:r>
      </w:hyperlink>
      <w:r>
        <w:t xml:space="preserve">, </w:t>
      </w:r>
    </w:p>
  </w:footnote>
  <w:footnote w:id="3">
    <w:p w14:paraId="2C749768" w14:textId="77777777" w:rsidR="0031396F" w:rsidRDefault="0031396F">
      <w:pPr>
        <w:pStyle w:val="FootnoteText"/>
      </w:pPr>
      <w:r>
        <w:rPr>
          <w:rStyle w:val="FootnoteReference"/>
        </w:rPr>
        <w:footnoteRef/>
      </w:r>
      <w:r>
        <w:t xml:space="preserve"> </w:t>
      </w:r>
      <w:r>
        <w:t xml:space="preserve">Pētījumā tiek veikta būvniecības produkcijas apjomu un izmaksu prognoze 2 gadiem, t.i. laika periodam no 2020.gada līdz 2024.gadam.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F2B26"/>
    <w:multiLevelType w:val="hybridMultilevel"/>
    <w:tmpl w:val="05D4F6E6"/>
    <w:lvl w:ilvl="0" w:tplc="DB6E93FE">
      <w:start w:val="41"/>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61E4374B"/>
    <w:multiLevelType w:val="hybridMultilevel"/>
    <w:tmpl w:val="BD0285FA"/>
    <w:lvl w:ilvl="0" w:tplc="E01089FA">
      <w:start w:val="4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A714988"/>
    <w:multiLevelType w:val="hybridMultilevel"/>
    <w:tmpl w:val="FDD462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1"/>
    <w:rsid w:val="00002033"/>
    <w:rsid w:val="00023FF5"/>
    <w:rsid w:val="0006559B"/>
    <w:rsid w:val="00123AF1"/>
    <w:rsid w:val="002651D4"/>
    <w:rsid w:val="00297A2D"/>
    <w:rsid w:val="0031396F"/>
    <w:rsid w:val="003139E0"/>
    <w:rsid w:val="00317225"/>
    <w:rsid w:val="00324A9B"/>
    <w:rsid w:val="00406E88"/>
    <w:rsid w:val="00463D6F"/>
    <w:rsid w:val="004D1C76"/>
    <w:rsid w:val="0050559E"/>
    <w:rsid w:val="00531951"/>
    <w:rsid w:val="006B54D8"/>
    <w:rsid w:val="006C20FE"/>
    <w:rsid w:val="00734F2D"/>
    <w:rsid w:val="00736805"/>
    <w:rsid w:val="00761E64"/>
    <w:rsid w:val="00786C7E"/>
    <w:rsid w:val="007F1FE0"/>
    <w:rsid w:val="00815DB9"/>
    <w:rsid w:val="00872E2F"/>
    <w:rsid w:val="008878FC"/>
    <w:rsid w:val="008B53FA"/>
    <w:rsid w:val="00915F51"/>
    <w:rsid w:val="00931A01"/>
    <w:rsid w:val="0096641A"/>
    <w:rsid w:val="00972759"/>
    <w:rsid w:val="00A96581"/>
    <w:rsid w:val="00AA766F"/>
    <w:rsid w:val="00B1584D"/>
    <w:rsid w:val="00B37306"/>
    <w:rsid w:val="00BB500A"/>
    <w:rsid w:val="00CC4770"/>
    <w:rsid w:val="00D07812"/>
    <w:rsid w:val="00D31262"/>
    <w:rsid w:val="00E105CF"/>
    <w:rsid w:val="00E473FB"/>
    <w:rsid w:val="00F134E8"/>
    <w:rsid w:val="00F67B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5C30"/>
  <w15:chartTrackingRefBased/>
  <w15:docId w15:val="{A43223A3-DC41-4BD2-BC2A-3E919D7B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139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396F"/>
    <w:rPr>
      <w:sz w:val="20"/>
      <w:szCs w:val="20"/>
    </w:rPr>
  </w:style>
  <w:style w:type="character" w:styleId="FootnoteReference">
    <w:name w:val="footnote reference"/>
    <w:basedOn w:val="DefaultParagraphFont"/>
    <w:uiPriority w:val="99"/>
    <w:semiHidden/>
    <w:unhideWhenUsed/>
    <w:rsid w:val="0031396F"/>
    <w:rPr>
      <w:vertAlign w:val="superscript"/>
    </w:rPr>
  </w:style>
  <w:style w:type="character" w:styleId="Hyperlink">
    <w:name w:val="Hyperlink"/>
    <w:basedOn w:val="DefaultParagraphFont"/>
    <w:uiPriority w:val="99"/>
    <w:unhideWhenUsed/>
    <w:rsid w:val="0031396F"/>
    <w:rPr>
      <w:color w:val="0563C1" w:themeColor="hyperlink"/>
      <w:u w:val="single"/>
    </w:rPr>
  </w:style>
  <w:style w:type="character" w:styleId="UnresolvedMention">
    <w:name w:val="Unresolved Mention"/>
    <w:basedOn w:val="DefaultParagraphFont"/>
    <w:uiPriority w:val="99"/>
    <w:semiHidden/>
    <w:unhideWhenUsed/>
    <w:rsid w:val="0031396F"/>
    <w:rPr>
      <w:color w:val="605E5C"/>
      <w:shd w:val="clear" w:color="auto" w:fill="E1DFDD"/>
    </w:rPr>
  </w:style>
  <w:style w:type="table" w:styleId="TableGrid">
    <w:name w:val="Table Grid"/>
    <w:basedOn w:val="TableNormal"/>
    <w:uiPriority w:val="39"/>
    <w:rsid w:val="00931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7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3FB"/>
    <w:rPr>
      <w:rFonts w:ascii="Segoe UI" w:hAnsi="Segoe UI" w:cs="Segoe UI"/>
      <w:sz w:val="18"/>
      <w:szCs w:val="18"/>
    </w:rPr>
  </w:style>
  <w:style w:type="paragraph" w:styleId="ListParagraph">
    <w:name w:val="List Paragraph"/>
    <w:basedOn w:val="Normal"/>
    <w:uiPriority w:val="34"/>
    <w:qFormat/>
    <w:rsid w:val="00505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483299">
      <w:bodyDiv w:val="1"/>
      <w:marLeft w:val="0"/>
      <w:marRight w:val="0"/>
      <w:marTop w:val="0"/>
      <w:marBottom w:val="0"/>
      <w:divBdr>
        <w:top w:val="none" w:sz="0" w:space="0" w:color="auto"/>
        <w:left w:val="none" w:sz="0" w:space="0" w:color="auto"/>
        <w:bottom w:val="none" w:sz="0" w:space="0" w:color="auto"/>
        <w:right w:val="none" w:sz="0" w:space="0" w:color="auto"/>
      </w:divBdr>
    </w:div>
    <w:div w:id="153395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em.gov.lv/lv/buvniecibas-nozare-attistiba-strategija-un-petijumi" TargetMode="External"/><Relationship Id="rId1" Type="http://schemas.openxmlformats.org/officeDocument/2006/relationships/hyperlink" Target="http://www.cs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AAB2340A757B40AA7997D4E23B8173" ma:contentTypeVersion="11" ma:contentTypeDescription="Create a new document." ma:contentTypeScope="" ma:versionID="9b6ebd62fdbf41a2ede39fad5eb441c7">
  <xsd:schema xmlns:xsd="http://www.w3.org/2001/XMLSchema" xmlns:xs="http://www.w3.org/2001/XMLSchema" xmlns:p="http://schemas.microsoft.com/office/2006/metadata/properties" xmlns:ns3="842c1bf0-6a4c-45ba-8261-f58814b61a37" xmlns:ns4="fc8bbc17-c124-405a-ad9e-90be5f37cae1" targetNamespace="http://schemas.microsoft.com/office/2006/metadata/properties" ma:root="true" ma:fieldsID="e1cb9eb60b9bf5d7031544df6e5ddbab" ns3:_="" ns4:_="">
    <xsd:import namespace="842c1bf0-6a4c-45ba-8261-f58814b61a37"/>
    <xsd:import namespace="fc8bbc17-c124-405a-ad9e-90be5f37ca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c1bf0-6a4c-45ba-8261-f58814b61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bbc17-c124-405a-ad9e-90be5f37ca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72313-17B5-4FDA-ADCE-2C06FAA3C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c1bf0-6a4c-45ba-8261-f58814b61a37"/>
    <ds:schemaRef ds:uri="fc8bbc17-c124-405a-ad9e-90be5f37c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A5FECA-D6C1-4CE7-8CD6-D5D6B0F4AF50}">
  <ds:schemaRefs>
    <ds:schemaRef ds:uri="http://schemas.microsoft.com/sharepoint/v3/contenttype/forms"/>
  </ds:schemaRefs>
</ds:datastoreItem>
</file>

<file path=customXml/itemProps3.xml><?xml version="1.0" encoding="utf-8"?>
<ds:datastoreItem xmlns:ds="http://schemas.openxmlformats.org/officeDocument/2006/customXml" ds:itemID="{BC728F0F-C495-4907-BCA4-ACABDEAA35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D26774-AC5B-4AD1-B6D7-27E02CF63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4461</Words>
  <Characters>2543</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Feldmane</dc:creator>
  <cp:keywords/>
  <dc:description/>
  <cp:lastModifiedBy>Olga Feldmane</cp:lastModifiedBy>
  <cp:revision>4</cp:revision>
  <dcterms:created xsi:type="dcterms:W3CDTF">2021-03-17T18:24:00Z</dcterms:created>
  <dcterms:modified xsi:type="dcterms:W3CDTF">2021-03-17T18:27:00Z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0x010100C8AAB2340A757B40AA7997D4E23B8173</vt:lpwstr>
  </property>
</Properties>
</file>