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5D32" w14:textId="77777777" w:rsidR="00F32CCA" w:rsidRPr="00F461AA" w:rsidRDefault="00F32CCA" w:rsidP="00F32CCA">
      <w:pPr>
        <w:jc w:val="right"/>
      </w:pPr>
      <w:r w:rsidRPr="00F461AA">
        <w:rPr>
          <w:i/>
        </w:rPr>
        <w:t>Projekts</w:t>
      </w:r>
    </w:p>
    <w:p w14:paraId="457F316A" w14:textId="77777777" w:rsidR="00F32CCA" w:rsidRPr="00F461AA" w:rsidRDefault="00F32CCA" w:rsidP="00F32CCA">
      <w:pPr>
        <w:jc w:val="both"/>
      </w:pPr>
    </w:p>
    <w:p w14:paraId="3B9778DD" w14:textId="77777777" w:rsidR="00F32CCA" w:rsidRPr="00F461AA" w:rsidRDefault="00F32CCA" w:rsidP="00F32CCA">
      <w:pPr>
        <w:jc w:val="both"/>
      </w:pPr>
    </w:p>
    <w:p w14:paraId="3D048975" w14:textId="77777777" w:rsidR="00F32CCA" w:rsidRPr="00F461AA" w:rsidRDefault="00F32CCA" w:rsidP="00F32CCA">
      <w:pPr>
        <w:jc w:val="center"/>
      </w:pPr>
      <w:r w:rsidRPr="00F461AA">
        <w:t>LATVIJAS REPUBLIKAS MINISTRU KABINETS</w:t>
      </w:r>
    </w:p>
    <w:p w14:paraId="721A18CE" w14:textId="77777777" w:rsidR="00F32CCA" w:rsidRPr="00F461AA" w:rsidRDefault="00F32CCA" w:rsidP="00F32CCA">
      <w:pPr>
        <w:jc w:val="center"/>
      </w:pPr>
    </w:p>
    <w:p w14:paraId="6E3685BA" w14:textId="77777777" w:rsidR="00F32CCA" w:rsidRPr="00F461AA" w:rsidRDefault="00F32CCA" w:rsidP="00F32CCA">
      <w:pPr>
        <w:tabs>
          <w:tab w:val="right" w:pos="9000"/>
        </w:tabs>
        <w:jc w:val="both"/>
      </w:pPr>
    </w:p>
    <w:p w14:paraId="3CB52A2E" w14:textId="77777777" w:rsidR="00F32CCA" w:rsidRPr="008C6382" w:rsidRDefault="00F32CCA" w:rsidP="00F32CCA">
      <w:pPr>
        <w:tabs>
          <w:tab w:val="right" w:pos="9000"/>
        </w:tabs>
        <w:jc w:val="both"/>
        <w:rPr>
          <w:sz w:val="28"/>
          <w:szCs w:val="28"/>
        </w:rPr>
      </w:pPr>
      <w:r w:rsidRPr="008C6382">
        <w:rPr>
          <w:sz w:val="28"/>
          <w:szCs w:val="28"/>
        </w:rPr>
        <w:t>202</w:t>
      </w:r>
      <w:r w:rsidR="00952C0B">
        <w:rPr>
          <w:sz w:val="28"/>
          <w:szCs w:val="28"/>
        </w:rPr>
        <w:t>1</w:t>
      </w:r>
      <w:r w:rsidRPr="008C6382">
        <w:rPr>
          <w:sz w:val="28"/>
          <w:szCs w:val="28"/>
        </w:rPr>
        <w:t>.</w:t>
      </w:r>
      <w:r w:rsidR="00952C0B">
        <w:rPr>
          <w:sz w:val="28"/>
          <w:szCs w:val="28"/>
        </w:rPr>
        <w:t xml:space="preserve"> </w:t>
      </w:r>
      <w:r w:rsidRPr="008C6382">
        <w:rPr>
          <w:sz w:val="28"/>
          <w:szCs w:val="28"/>
        </w:rPr>
        <w:t>gada __. ___</w:t>
      </w:r>
      <w:r w:rsidRPr="008C6382">
        <w:rPr>
          <w:sz w:val="28"/>
          <w:szCs w:val="28"/>
        </w:rPr>
        <w:tab/>
        <w:t>Noteikumi Nr. __</w:t>
      </w:r>
    </w:p>
    <w:p w14:paraId="0D1FF910" w14:textId="77777777" w:rsidR="00F32CCA" w:rsidRPr="008C6382" w:rsidRDefault="00F32CCA" w:rsidP="00F32CCA">
      <w:pPr>
        <w:tabs>
          <w:tab w:val="right" w:pos="9000"/>
        </w:tabs>
        <w:jc w:val="both"/>
        <w:rPr>
          <w:sz w:val="28"/>
          <w:szCs w:val="28"/>
        </w:rPr>
      </w:pPr>
      <w:r w:rsidRPr="008C6382">
        <w:rPr>
          <w:sz w:val="28"/>
          <w:szCs w:val="28"/>
        </w:rPr>
        <w:t>Rīgā</w:t>
      </w:r>
      <w:r w:rsidRPr="008C6382">
        <w:rPr>
          <w:sz w:val="28"/>
          <w:szCs w:val="28"/>
        </w:rPr>
        <w:tab/>
        <w:t>prot. Nr. __ __. §)</w:t>
      </w:r>
      <w:bookmarkStart w:id="0" w:name="_Hlk29375307"/>
      <w:bookmarkStart w:id="1" w:name="_Hlk29381352"/>
    </w:p>
    <w:p w14:paraId="1EA27FD4" w14:textId="77777777" w:rsidR="00F32CCA" w:rsidRDefault="00F32CCA" w:rsidP="00F32CCA">
      <w:pPr>
        <w:rPr>
          <w:sz w:val="28"/>
          <w:szCs w:val="28"/>
        </w:rPr>
      </w:pPr>
    </w:p>
    <w:bookmarkEnd w:id="0"/>
    <w:bookmarkEnd w:id="1"/>
    <w:p w14:paraId="5EA31213" w14:textId="77777777" w:rsidR="00952C0B" w:rsidRPr="00A82C65" w:rsidRDefault="00952C0B" w:rsidP="00A82C65">
      <w:pPr>
        <w:rPr>
          <w:sz w:val="28"/>
          <w:szCs w:val="28"/>
        </w:rPr>
      </w:pPr>
    </w:p>
    <w:p w14:paraId="30F95BEA" w14:textId="77777777" w:rsidR="00952C0B" w:rsidRPr="00A82C65" w:rsidRDefault="00952C0B" w:rsidP="00F76D45">
      <w:pPr>
        <w:jc w:val="center"/>
        <w:rPr>
          <w:b/>
          <w:bCs/>
          <w:sz w:val="28"/>
          <w:szCs w:val="28"/>
        </w:rPr>
      </w:pPr>
      <w:r w:rsidRPr="00A82C65">
        <w:rPr>
          <w:b/>
          <w:bCs/>
          <w:sz w:val="28"/>
          <w:szCs w:val="28"/>
        </w:rPr>
        <w:t>Grozījumi Ministru kabineta 2001. gada 28. augusta noteikumos</w:t>
      </w:r>
    </w:p>
    <w:p w14:paraId="6947E0E5" w14:textId="77777777" w:rsidR="00952C0B" w:rsidRPr="00A82C65" w:rsidRDefault="00952C0B" w:rsidP="00F76D45">
      <w:pPr>
        <w:jc w:val="center"/>
        <w:rPr>
          <w:b/>
          <w:bCs/>
          <w:sz w:val="28"/>
          <w:szCs w:val="28"/>
        </w:rPr>
      </w:pPr>
      <w:r w:rsidRPr="00A82C65">
        <w:rPr>
          <w:b/>
          <w:bCs/>
          <w:sz w:val="28"/>
          <w:szCs w:val="28"/>
        </w:rPr>
        <w:t>Nr. 384 “Bīstamo vielu uzglabāšanas rezervuāru tehniskās uzraudzības kārtība”</w:t>
      </w:r>
    </w:p>
    <w:p w14:paraId="058B9693" w14:textId="77777777" w:rsidR="00952C0B" w:rsidRPr="00A82C65" w:rsidRDefault="00952C0B" w:rsidP="00952C0B">
      <w:pPr>
        <w:rPr>
          <w:iCs/>
          <w:sz w:val="28"/>
          <w:szCs w:val="28"/>
        </w:rPr>
      </w:pPr>
    </w:p>
    <w:p w14:paraId="3EBB1F3D" w14:textId="77777777" w:rsidR="0047174F" w:rsidRDefault="00952C0B" w:rsidP="00952C0B">
      <w:pPr>
        <w:jc w:val="right"/>
        <w:rPr>
          <w:i/>
          <w:iCs/>
          <w:sz w:val="28"/>
          <w:szCs w:val="28"/>
        </w:rPr>
      </w:pPr>
      <w:r w:rsidRPr="00A82C65">
        <w:rPr>
          <w:i/>
          <w:iCs/>
          <w:sz w:val="28"/>
          <w:szCs w:val="28"/>
        </w:rPr>
        <w:t>Izdoti saskaņā ar likuma</w:t>
      </w:r>
    </w:p>
    <w:p w14:paraId="571C2FA9" w14:textId="696FFEAF" w:rsidR="00952C0B" w:rsidRPr="00A82C65" w:rsidRDefault="00A82C65" w:rsidP="006350D5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="00952C0B" w:rsidRPr="00A82C65">
        <w:rPr>
          <w:i/>
          <w:iCs/>
          <w:sz w:val="28"/>
          <w:szCs w:val="28"/>
        </w:rPr>
        <w:t>Par bīstamo iekārtu tehnisko uzraudzību</w:t>
      </w:r>
      <w:r>
        <w:rPr>
          <w:i/>
          <w:iCs/>
          <w:sz w:val="28"/>
          <w:szCs w:val="28"/>
        </w:rPr>
        <w:t>”</w:t>
      </w:r>
      <w:r w:rsidR="00952C0B" w:rsidRPr="00A82C65">
        <w:rPr>
          <w:i/>
          <w:iCs/>
          <w:sz w:val="28"/>
          <w:szCs w:val="28"/>
        </w:rPr>
        <w:t xml:space="preserve"> </w:t>
      </w:r>
    </w:p>
    <w:p w14:paraId="6F5D5151" w14:textId="77777777" w:rsidR="00952C0B" w:rsidRPr="00A82C65" w:rsidRDefault="00952C0B" w:rsidP="006350D5">
      <w:pPr>
        <w:jc w:val="right"/>
        <w:rPr>
          <w:i/>
          <w:iCs/>
          <w:sz w:val="28"/>
          <w:szCs w:val="28"/>
        </w:rPr>
      </w:pPr>
      <w:r w:rsidRPr="00A82C65">
        <w:rPr>
          <w:i/>
          <w:iCs/>
          <w:sz w:val="28"/>
          <w:szCs w:val="28"/>
        </w:rPr>
        <w:t>3. panta otro daļu</w:t>
      </w:r>
    </w:p>
    <w:p w14:paraId="6A0571FB" w14:textId="77777777" w:rsidR="00952C0B" w:rsidRPr="0047174F" w:rsidRDefault="00952C0B" w:rsidP="006350D5">
      <w:pPr>
        <w:rPr>
          <w:bCs/>
          <w:sz w:val="28"/>
          <w:szCs w:val="28"/>
        </w:rPr>
      </w:pPr>
    </w:p>
    <w:p w14:paraId="6DF29734" w14:textId="3ED5776C" w:rsidR="00952C0B" w:rsidRDefault="00952C0B" w:rsidP="00680967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bookmarkStart w:id="2" w:name="n1"/>
      <w:bookmarkEnd w:id="2"/>
      <w:r w:rsidRPr="00A82C65">
        <w:rPr>
          <w:sz w:val="28"/>
          <w:szCs w:val="28"/>
        </w:rPr>
        <w:t xml:space="preserve">Izdarīt Ministru kabineta 2001. gada 28. augusta noteikumos Nr. 384 “Bīstamo vielu uzglabāšanas rezervuāru tehniskās uzraudzības kārtība” (Latvijas Vēstnesis, </w:t>
      </w:r>
      <w:r w:rsidR="00D77988">
        <w:rPr>
          <w:sz w:val="28"/>
          <w:szCs w:val="28"/>
        </w:rPr>
        <w:t xml:space="preserve">2001, 124. nr.; </w:t>
      </w:r>
      <w:r w:rsidRPr="00A82C65">
        <w:rPr>
          <w:sz w:val="28"/>
          <w:szCs w:val="28"/>
        </w:rPr>
        <w:t>2005, 68. nr.;  2008, 150. nr.; 2010, 33. nr.</w:t>
      </w:r>
      <w:r w:rsidR="00F76D45" w:rsidRPr="00A82C65">
        <w:rPr>
          <w:sz w:val="28"/>
          <w:szCs w:val="28"/>
        </w:rPr>
        <w:t>; 2020, 93A</w:t>
      </w:r>
      <w:r w:rsidRPr="00A82C65">
        <w:rPr>
          <w:sz w:val="28"/>
          <w:szCs w:val="28"/>
        </w:rPr>
        <w:t>) šādu</w:t>
      </w:r>
      <w:r w:rsidR="00F76D45" w:rsidRPr="00A82C65">
        <w:rPr>
          <w:sz w:val="28"/>
          <w:szCs w:val="28"/>
        </w:rPr>
        <w:t>s</w:t>
      </w:r>
      <w:r w:rsidRPr="00A82C65">
        <w:rPr>
          <w:sz w:val="28"/>
          <w:szCs w:val="28"/>
        </w:rPr>
        <w:t xml:space="preserve"> grozījumu</w:t>
      </w:r>
      <w:r w:rsidR="00F76D45" w:rsidRPr="00A82C65">
        <w:rPr>
          <w:sz w:val="28"/>
          <w:szCs w:val="28"/>
        </w:rPr>
        <w:t>s</w:t>
      </w:r>
      <w:r w:rsidRPr="00A82C65">
        <w:rPr>
          <w:sz w:val="28"/>
          <w:szCs w:val="28"/>
        </w:rPr>
        <w:t>:</w:t>
      </w:r>
    </w:p>
    <w:p w14:paraId="1E5335D7" w14:textId="77777777" w:rsidR="00680967" w:rsidRPr="00A82C65" w:rsidRDefault="00680967" w:rsidP="00680967">
      <w:pPr>
        <w:pStyle w:val="naislab"/>
        <w:spacing w:before="0" w:after="0"/>
        <w:jc w:val="both"/>
        <w:rPr>
          <w:sz w:val="28"/>
          <w:szCs w:val="28"/>
        </w:rPr>
      </w:pPr>
    </w:p>
    <w:p w14:paraId="1A0B6597" w14:textId="3143F72B" w:rsidR="008D7D9D" w:rsidRPr="00A82C65" w:rsidRDefault="008D7D9D" w:rsidP="00680967">
      <w:pPr>
        <w:pStyle w:val="naislab"/>
        <w:numPr>
          <w:ilvl w:val="0"/>
          <w:numId w:val="3"/>
        </w:numPr>
        <w:spacing w:before="0" w:after="0"/>
        <w:ind w:left="113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Svītrot 2.2.</w:t>
      </w:r>
      <w:r w:rsidR="005210F1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>apakšpunktu.</w:t>
      </w:r>
    </w:p>
    <w:p w14:paraId="28A4B283" w14:textId="77777777" w:rsidR="00680967" w:rsidRDefault="00680967" w:rsidP="00680967">
      <w:pPr>
        <w:pStyle w:val="naislab"/>
        <w:spacing w:before="0" w:after="0"/>
        <w:jc w:val="both"/>
        <w:rPr>
          <w:sz w:val="28"/>
          <w:szCs w:val="28"/>
        </w:rPr>
      </w:pPr>
    </w:p>
    <w:p w14:paraId="5E9387EF" w14:textId="05EE3FAE" w:rsidR="008D7D9D" w:rsidRPr="00A82C65" w:rsidRDefault="0065396C" w:rsidP="00680967">
      <w:pPr>
        <w:pStyle w:val="naislab"/>
        <w:numPr>
          <w:ilvl w:val="0"/>
          <w:numId w:val="3"/>
        </w:numPr>
        <w:spacing w:before="0" w:after="0"/>
        <w:ind w:left="113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Izteikt </w:t>
      </w:r>
      <w:r w:rsidR="009038D2">
        <w:rPr>
          <w:sz w:val="28"/>
          <w:szCs w:val="28"/>
        </w:rPr>
        <w:t xml:space="preserve">3. </w:t>
      </w:r>
      <w:r w:rsidRPr="00A82C65">
        <w:rPr>
          <w:sz w:val="28"/>
          <w:szCs w:val="28"/>
        </w:rPr>
        <w:t>punktu šādā redakcijā:</w:t>
      </w:r>
    </w:p>
    <w:p w14:paraId="5B29C9D1" w14:textId="77777777" w:rsidR="00680967" w:rsidRDefault="00680967" w:rsidP="00680967">
      <w:pPr>
        <w:pStyle w:val="naislab"/>
        <w:spacing w:before="0" w:after="0"/>
        <w:jc w:val="both"/>
        <w:rPr>
          <w:sz w:val="28"/>
          <w:szCs w:val="28"/>
        </w:rPr>
      </w:pPr>
    </w:p>
    <w:p w14:paraId="04204CB2" w14:textId="2E6F5FB6" w:rsidR="009038D2" w:rsidRPr="009038D2" w:rsidRDefault="0065396C" w:rsidP="00680967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9038D2">
        <w:rPr>
          <w:sz w:val="28"/>
          <w:szCs w:val="28"/>
        </w:rPr>
        <w:t>“</w:t>
      </w:r>
      <w:r w:rsidR="009038D2" w:rsidRPr="009038D2">
        <w:rPr>
          <w:sz w:val="28"/>
          <w:szCs w:val="28"/>
        </w:rPr>
        <w:t>3. Rezervuārs ir paredzēts, lai noteiktā daudzumā glabātu šādas vielas:</w:t>
      </w:r>
    </w:p>
    <w:p w14:paraId="01B7860A" w14:textId="77777777" w:rsidR="009038D2" w:rsidRDefault="009038D2" w:rsidP="009038D2">
      <w:pPr>
        <w:pStyle w:val="naislab"/>
        <w:spacing w:before="0" w:after="0"/>
        <w:jc w:val="both"/>
        <w:rPr>
          <w:sz w:val="28"/>
          <w:szCs w:val="28"/>
        </w:rPr>
      </w:pPr>
    </w:p>
    <w:p w14:paraId="5512442D" w14:textId="41E3F74C" w:rsidR="0065396C" w:rsidRPr="00A82C65" w:rsidRDefault="0065396C" w:rsidP="009038D2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3.1. vielas, kuras saskaņā ar Eiropas Parlamenta un Padomes </w:t>
      </w:r>
      <w:r w:rsidR="009038D2" w:rsidRPr="00A82C65">
        <w:rPr>
          <w:sz w:val="28"/>
          <w:szCs w:val="28"/>
        </w:rPr>
        <w:t>2008. gada 16. decembra</w:t>
      </w:r>
      <w:r w:rsidR="009038D2" w:rsidRPr="00A82C65">
        <w:rPr>
          <w:sz w:val="28"/>
          <w:szCs w:val="28"/>
        </w:rPr>
        <w:t xml:space="preserve"> </w:t>
      </w:r>
      <w:r w:rsidR="000454B0">
        <w:rPr>
          <w:sz w:val="28"/>
          <w:szCs w:val="28"/>
        </w:rPr>
        <w:t>r</w:t>
      </w:r>
      <w:r w:rsidRPr="00A82C65">
        <w:rPr>
          <w:sz w:val="28"/>
          <w:szCs w:val="28"/>
        </w:rPr>
        <w:t>egulas Nr. 1272/2008 par vielu un maisījumu klasificēšanu, marķēšanu un iepakošanu un ar ko groza un atceļ Direktīvas 67/548/EEK un 1999/45/EK un groza Regulu Nr. 1907/2006 (turpmāk – Regula Nr.</w:t>
      </w:r>
      <w:r w:rsidR="000B01FE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 xml:space="preserve">1272/2008) </w:t>
      </w:r>
      <w:r w:rsidR="00570A3D" w:rsidRPr="00A82C65">
        <w:rPr>
          <w:sz w:val="28"/>
          <w:szCs w:val="28"/>
        </w:rPr>
        <w:t>4.</w:t>
      </w:r>
      <w:r w:rsidR="00570A3D">
        <w:rPr>
          <w:sz w:val="28"/>
          <w:szCs w:val="28"/>
        </w:rPr>
        <w:t xml:space="preserve"> </w:t>
      </w:r>
      <w:r w:rsidR="00570A3D" w:rsidRPr="00A82C65">
        <w:rPr>
          <w:sz w:val="28"/>
          <w:szCs w:val="28"/>
        </w:rPr>
        <w:t xml:space="preserve">pantu </w:t>
      </w:r>
      <w:r w:rsidRPr="00A82C65">
        <w:rPr>
          <w:sz w:val="28"/>
          <w:szCs w:val="28"/>
        </w:rPr>
        <w:t>noteiktas kā viegli uzliesmojoši, sprādzienbīstami un īpaši viegli uzliesmojoši šķidrumi, gāzes un to maisījumi, – vairāk nekā 2,5 m</w:t>
      </w:r>
      <w:r w:rsidRPr="00A82C65">
        <w:rPr>
          <w:sz w:val="28"/>
          <w:szCs w:val="28"/>
          <w:vertAlign w:val="superscript"/>
        </w:rPr>
        <w:t>3</w:t>
      </w:r>
      <w:r w:rsidRPr="00A82C65">
        <w:rPr>
          <w:sz w:val="28"/>
          <w:szCs w:val="28"/>
        </w:rPr>
        <w:t>;</w:t>
      </w:r>
    </w:p>
    <w:p w14:paraId="2D7BDB59" w14:textId="77777777" w:rsidR="009038D2" w:rsidRDefault="009038D2" w:rsidP="009038D2">
      <w:pPr>
        <w:pStyle w:val="naislab"/>
        <w:spacing w:before="0" w:after="0"/>
        <w:jc w:val="both"/>
        <w:rPr>
          <w:sz w:val="28"/>
          <w:szCs w:val="28"/>
        </w:rPr>
      </w:pPr>
    </w:p>
    <w:p w14:paraId="57999804" w14:textId="54F10100" w:rsidR="005F7678" w:rsidRPr="00A82C65" w:rsidRDefault="005F7678" w:rsidP="009038D2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3.2. dīzeļdegvielu, šķidro kurināmo un </w:t>
      </w:r>
      <w:proofErr w:type="spellStart"/>
      <w:r w:rsidRPr="00A82C65">
        <w:rPr>
          <w:sz w:val="28"/>
          <w:szCs w:val="28"/>
        </w:rPr>
        <w:t>degtspējīgus</w:t>
      </w:r>
      <w:proofErr w:type="spellEnd"/>
      <w:r w:rsidRPr="00A82C65">
        <w:rPr>
          <w:sz w:val="28"/>
          <w:szCs w:val="28"/>
        </w:rPr>
        <w:t xml:space="preserve"> šķidrumus, kas saskaņā ar Regulu Nr.</w:t>
      </w:r>
      <w:r w:rsidR="000B01FE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>1272/2008 noteiktas kā uzliesmojoši šķidrumi, – vairāk nekā 10 m</w:t>
      </w:r>
      <w:r w:rsidRPr="00A82C65">
        <w:rPr>
          <w:sz w:val="28"/>
          <w:szCs w:val="28"/>
          <w:vertAlign w:val="superscript"/>
        </w:rPr>
        <w:t>3</w:t>
      </w:r>
      <w:r w:rsidRPr="00A82C65">
        <w:rPr>
          <w:sz w:val="28"/>
          <w:szCs w:val="28"/>
        </w:rPr>
        <w:t>;</w:t>
      </w:r>
    </w:p>
    <w:p w14:paraId="61741A5D" w14:textId="77777777" w:rsidR="009038D2" w:rsidRDefault="009038D2" w:rsidP="009038D2">
      <w:pPr>
        <w:pStyle w:val="naislab"/>
        <w:spacing w:before="0" w:after="0"/>
        <w:jc w:val="both"/>
        <w:rPr>
          <w:sz w:val="28"/>
          <w:szCs w:val="28"/>
        </w:rPr>
      </w:pPr>
    </w:p>
    <w:p w14:paraId="43B40A82" w14:textId="6192FFDD" w:rsidR="005F7678" w:rsidRDefault="005F7678" w:rsidP="00C4064C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3.3. vielas, kuras saskaņā ar </w:t>
      </w:r>
      <w:r w:rsidR="00256096" w:rsidRPr="00A82C65">
        <w:rPr>
          <w:sz w:val="28"/>
          <w:szCs w:val="28"/>
        </w:rPr>
        <w:t>Regulu Nr.</w:t>
      </w:r>
      <w:r w:rsidR="000B01FE">
        <w:rPr>
          <w:sz w:val="28"/>
          <w:szCs w:val="28"/>
        </w:rPr>
        <w:t xml:space="preserve"> </w:t>
      </w:r>
      <w:r w:rsidR="00256096" w:rsidRPr="00A82C65">
        <w:rPr>
          <w:sz w:val="28"/>
          <w:szCs w:val="28"/>
        </w:rPr>
        <w:t>1272/2008 noteiktas kā ļoti toksiski, toksiski, kaitīgi, kodīgi, kairinoši un videi bīstami šķidrumi (izņemot notekūdeņus), gāzes un to maisījumi, — vairāk nekā 2,5 m</w:t>
      </w:r>
      <w:r w:rsidR="00256096" w:rsidRPr="00A82C65">
        <w:rPr>
          <w:sz w:val="28"/>
          <w:szCs w:val="28"/>
          <w:vertAlign w:val="superscript"/>
        </w:rPr>
        <w:t>3</w:t>
      </w:r>
      <w:r w:rsidR="00256096" w:rsidRPr="00A82C65">
        <w:rPr>
          <w:sz w:val="28"/>
          <w:szCs w:val="28"/>
        </w:rPr>
        <w:t>”</w:t>
      </w:r>
      <w:r w:rsidR="00147081">
        <w:rPr>
          <w:sz w:val="28"/>
          <w:szCs w:val="28"/>
        </w:rPr>
        <w:t>.</w:t>
      </w:r>
    </w:p>
    <w:p w14:paraId="2317DAA4" w14:textId="77777777" w:rsidR="00C4064C" w:rsidRPr="00A82C65" w:rsidRDefault="00C4064C" w:rsidP="00C4064C">
      <w:pPr>
        <w:pStyle w:val="naislab"/>
        <w:spacing w:before="0" w:after="0"/>
        <w:jc w:val="both"/>
        <w:rPr>
          <w:sz w:val="28"/>
          <w:szCs w:val="28"/>
        </w:rPr>
      </w:pPr>
    </w:p>
    <w:p w14:paraId="1B9AC4D0" w14:textId="745DEE30" w:rsidR="00712E4C" w:rsidRPr="00A82C65" w:rsidRDefault="00712E4C" w:rsidP="00933672">
      <w:pPr>
        <w:pStyle w:val="naislab"/>
        <w:numPr>
          <w:ilvl w:val="0"/>
          <w:numId w:val="3"/>
        </w:numPr>
        <w:spacing w:before="0" w:after="0"/>
        <w:ind w:left="993" w:hanging="28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Svītrot </w:t>
      </w:r>
      <w:r w:rsidR="006D4B16" w:rsidRPr="00A82C65">
        <w:rPr>
          <w:sz w:val="28"/>
          <w:szCs w:val="28"/>
        </w:rPr>
        <w:t>7.</w:t>
      </w:r>
      <w:r w:rsidR="006E6FB0">
        <w:rPr>
          <w:sz w:val="28"/>
          <w:szCs w:val="28"/>
        </w:rPr>
        <w:t xml:space="preserve"> </w:t>
      </w:r>
      <w:r w:rsidR="006D4B16" w:rsidRPr="00A82C65">
        <w:rPr>
          <w:sz w:val="28"/>
          <w:szCs w:val="28"/>
        </w:rPr>
        <w:t>punkt</w:t>
      </w:r>
      <w:r w:rsidRPr="00A82C65">
        <w:rPr>
          <w:sz w:val="28"/>
          <w:szCs w:val="28"/>
        </w:rPr>
        <w:t>u.</w:t>
      </w:r>
    </w:p>
    <w:p w14:paraId="7F542C14" w14:textId="77777777" w:rsidR="00C4064C" w:rsidRDefault="00C4064C" w:rsidP="006E6FB0">
      <w:pPr>
        <w:pStyle w:val="naislab"/>
        <w:spacing w:before="0" w:after="0"/>
        <w:jc w:val="both"/>
        <w:rPr>
          <w:sz w:val="28"/>
          <w:szCs w:val="28"/>
        </w:rPr>
      </w:pPr>
    </w:p>
    <w:p w14:paraId="13093D9E" w14:textId="065E9F4C" w:rsidR="00256096" w:rsidRPr="00A82C65" w:rsidRDefault="00712E4C" w:rsidP="00933672">
      <w:pPr>
        <w:pStyle w:val="naislab"/>
        <w:numPr>
          <w:ilvl w:val="0"/>
          <w:numId w:val="3"/>
        </w:numPr>
        <w:spacing w:before="0" w:after="0"/>
        <w:ind w:left="993" w:hanging="28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Izteikt 8.</w:t>
      </w:r>
      <w:r w:rsidR="00933672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>punktu šādā redakcijā:</w:t>
      </w:r>
    </w:p>
    <w:p w14:paraId="681D8ECF" w14:textId="77777777" w:rsidR="00933672" w:rsidRDefault="00933672" w:rsidP="00933672">
      <w:pPr>
        <w:pStyle w:val="naislab"/>
        <w:spacing w:before="0" w:after="0"/>
        <w:jc w:val="both"/>
        <w:rPr>
          <w:sz w:val="28"/>
          <w:szCs w:val="28"/>
        </w:rPr>
      </w:pPr>
    </w:p>
    <w:p w14:paraId="1BE19D82" w14:textId="2CA85D96" w:rsidR="00712E4C" w:rsidRDefault="00712E4C" w:rsidP="00933672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“8. Ekonomikas ministrija sadarbībā ar standartizācijas tehnisko komiteju iesniedz nacionālajai standartizācijas institūcijai publicēšanai tās tīmekļvietnē to piemērojamo standartu sarakstu, kurus var piemērot šo noteikumu prasību izpildei.”</w:t>
      </w:r>
    </w:p>
    <w:p w14:paraId="521B1E87" w14:textId="77777777" w:rsidR="00933672" w:rsidRPr="00A82C65" w:rsidRDefault="00933672" w:rsidP="00933672">
      <w:pPr>
        <w:pStyle w:val="naislab"/>
        <w:spacing w:before="0" w:after="0"/>
        <w:jc w:val="both"/>
        <w:rPr>
          <w:sz w:val="28"/>
          <w:szCs w:val="28"/>
        </w:rPr>
      </w:pPr>
    </w:p>
    <w:p w14:paraId="5856735E" w14:textId="69FE88F0" w:rsidR="00F15B2E" w:rsidRPr="00A82C65" w:rsidRDefault="00B93DE6" w:rsidP="0025345E">
      <w:pPr>
        <w:pStyle w:val="naislab"/>
        <w:numPr>
          <w:ilvl w:val="0"/>
          <w:numId w:val="3"/>
        </w:numPr>
        <w:spacing w:before="0" w:after="0"/>
        <w:ind w:left="993" w:hanging="283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Izteikt </w:t>
      </w:r>
      <w:r w:rsidR="00F15B2E" w:rsidRPr="00A82C65">
        <w:rPr>
          <w:sz w:val="28"/>
          <w:szCs w:val="28"/>
        </w:rPr>
        <w:t>8.</w:t>
      </w:r>
      <w:r w:rsidR="00F15B2E" w:rsidRPr="00A82C65">
        <w:rPr>
          <w:sz w:val="28"/>
          <w:szCs w:val="28"/>
          <w:vertAlign w:val="superscript"/>
        </w:rPr>
        <w:t>1</w:t>
      </w:r>
      <w:r w:rsidR="00652C2F" w:rsidRPr="00A82C65">
        <w:rPr>
          <w:sz w:val="28"/>
          <w:szCs w:val="28"/>
        </w:rPr>
        <w:t xml:space="preserve"> </w:t>
      </w:r>
      <w:r w:rsidR="0025345E">
        <w:rPr>
          <w:sz w:val="28"/>
          <w:szCs w:val="28"/>
        </w:rPr>
        <w:t xml:space="preserve">punkta ievaddaļu </w:t>
      </w:r>
      <w:r w:rsidR="00652C2F" w:rsidRPr="00A82C65">
        <w:rPr>
          <w:sz w:val="28"/>
          <w:szCs w:val="28"/>
        </w:rPr>
        <w:t>un 8.</w:t>
      </w:r>
      <w:r w:rsidR="00652C2F" w:rsidRPr="00A82C65">
        <w:rPr>
          <w:sz w:val="28"/>
          <w:szCs w:val="28"/>
          <w:vertAlign w:val="superscript"/>
        </w:rPr>
        <w:t xml:space="preserve">1 </w:t>
      </w:r>
      <w:r w:rsidR="00652C2F" w:rsidRPr="00A82C65">
        <w:rPr>
          <w:sz w:val="28"/>
          <w:szCs w:val="28"/>
        </w:rPr>
        <w:t xml:space="preserve">1. </w:t>
      </w:r>
      <w:r w:rsidR="00961165">
        <w:rPr>
          <w:sz w:val="28"/>
          <w:szCs w:val="28"/>
        </w:rPr>
        <w:t>apakš</w:t>
      </w:r>
      <w:r w:rsidRPr="00A82C65">
        <w:rPr>
          <w:sz w:val="28"/>
          <w:szCs w:val="28"/>
        </w:rPr>
        <w:t xml:space="preserve">punktu šādā redakcijā: </w:t>
      </w:r>
    </w:p>
    <w:p w14:paraId="1C610C36" w14:textId="77777777" w:rsidR="00961165" w:rsidRDefault="00961165" w:rsidP="0025345E">
      <w:pPr>
        <w:pStyle w:val="naislab"/>
        <w:spacing w:before="0" w:after="0"/>
        <w:jc w:val="both"/>
        <w:rPr>
          <w:sz w:val="28"/>
          <w:szCs w:val="28"/>
        </w:rPr>
      </w:pPr>
    </w:p>
    <w:p w14:paraId="0794B3D8" w14:textId="64D845C3" w:rsidR="00F94825" w:rsidRPr="00A82C65" w:rsidRDefault="00F94825" w:rsidP="0025345E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</w:t>
      </w:r>
      <w:r w:rsidR="00F93CE7" w:rsidRPr="00A82C65">
        <w:rPr>
          <w:sz w:val="28"/>
          <w:szCs w:val="28"/>
        </w:rPr>
        <w:t>8.</w:t>
      </w:r>
      <w:r w:rsidR="00F93CE7" w:rsidRPr="00A82C65">
        <w:rPr>
          <w:sz w:val="28"/>
          <w:szCs w:val="28"/>
          <w:vertAlign w:val="superscript"/>
        </w:rPr>
        <w:t xml:space="preserve">1 </w:t>
      </w:r>
      <w:r w:rsidR="00F93CE7" w:rsidRPr="00A82C65">
        <w:rPr>
          <w:sz w:val="28"/>
          <w:szCs w:val="28"/>
        </w:rPr>
        <w:t xml:space="preserve">Rezervuāru tehniskās pārbaudes veic inspicēšanas institūcija, </w:t>
      </w:r>
      <w:r w:rsidR="00ED3149" w:rsidRPr="00A82C65">
        <w:rPr>
          <w:sz w:val="28"/>
          <w:szCs w:val="28"/>
        </w:rPr>
        <w:t>kas</w:t>
      </w:r>
      <w:r w:rsidR="00F93CE7" w:rsidRPr="00A82C65">
        <w:rPr>
          <w:sz w:val="28"/>
          <w:szCs w:val="28"/>
        </w:rPr>
        <w:t xml:space="preserve"> ir:</w:t>
      </w:r>
    </w:p>
    <w:p w14:paraId="7AC89DBD" w14:textId="77777777" w:rsidR="00961165" w:rsidRDefault="00961165" w:rsidP="0025345E">
      <w:pPr>
        <w:pStyle w:val="naislab"/>
        <w:spacing w:before="0" w:after="0"/>
        <w:jc w:val="both"/>
        <w:rPr>
          <w:sz w:val="28"/>
          <w:szCs w:val="28"/>
        </w:rPr>
      </w:pPr>
    </w:p>
    <w:p w14:paraId="170BFFD4" w14:textId="575A615B" w:rsidR="007F047D" w:rsidRPr="00A82C65" w:rsidRDefault="00ED3149" w:rsidP="0025345E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8.</w:t>
      </w:r>
      <w:r w:rsidRPr="00A82C65">
        <w:rPr>
          <w:sz w:val="28"/>
          <w:szCs w:val="28"/>
          <w:vertAlign w:val="superscript"/>
        </w:rPr>
        <w:t xml:space="preserve">1 </w:t>
      </w:r>
      <w:r w:rsidRPr="00A82C65">
        <w:rPr>
          <w:sz w:val="28"/>
          <w:szCs w:val="28"/>
        </w:rPr>
        <w:t>1. akreditēta nacionālajā akreditācijas institūcijā saskaņā ar normatīvajiem aktiem par atbilstības novērtēšanas institūciju novērtēšanu, akreditāciju un uzraudzību</w:t>
      </w:r>
      <w:r w:rsidR="00712E4C" w:rsidRPr="00A82C65">
        <w:rPr>
          <w:sz w:val="28"/>
          <w:szCs w:val="28"/>
        </w:rPr>
        <w:t xml:space="preserve"> (turpmāk – inspicēšanas institūcija)</w:t>
      </w:r>
      <w:r w:rsidRPr="00A82C65">
        <w:rPr>
          <w:sz w:val="28"/>
          <w:szCs w:val="28"/>
        </w:rPr>
        <w:t>;”</w:t>
      </w:r>
      <w:r w:rsidR="003B5112">
        <w:rPr>
          <w:sz w:val="28"/>
          <w:szCs w:val="28"/>
        </w:rPr>
        <w:t>.</w:t>
      </w:r>
    </w:p>
    <w:p w14:paraId="11E59DF0" w14:textId="77777777" w:rsidR="0025345E" w:rsidRDefault="0025345E" w:rsidP="0025345E">
      <w:pPr>
        <w:pStyle w:val="naislab"/>
        <w:spacing w:before="0" w:after="0"/>
        <w:jc w:val="both"/>
        <w:rPr>
          <w:sz w:val="28"/>
          <w:szCs w:val="28"/>
        </w:rPr>
      </w:pPr>
    </w:p>
    <w:p w14:paraId="3EF5EB6E" w14:textId="0DBFCB44" w:rsidR="00652C2F" w:rsidRPr="00A82C65" w:rsidRDefault="00652C2F" w:rsidP="00627304">
      <w:pPr>
        <w:pStyle w:val="naislab"/>
        <w:spacing w:before="0" w:after="0"/>
        <w:ind w:left="142" w:firstLine="567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6</w:t>
      </w:r>
      <w:r w:rsidR="00461974" w:rsidRPr="00A82C65">
        <w:rPr>
          <w:sz w:val="28"/>
          <w:szCs w:val="28"/>
        </w:rPr>
        <w:t xml:space="preserve">. </w:t>
      </w:r>
      <w:r w:rsidRPr="00A82C65">
        <w:rPr>
          <w:sz w:val="28"/>
          <w:szCs w:val="28"/>
        </w:rPr>
        <w:t>Izteikt 8.</w:t>
      </w:r>
      <w:r w:rsidRPr="00A82C65">
        <w:rPr>
          <w:sz w:val="28"/>
          <w:szCs w:val="28"/>
          <w:vertAlign w:val="superscript"/>
        </w:rPr>
        <w:t xml:space="preserve">2 </w:t>
      </w:r>
      <w:r w:rsidRPr="00A82C65">
        <w:rPr>
          <w:sz w:val="28"/>
          <w:szCs w:val="28"/>
        </w:rPr>
        <w:t>punktu šādā redakcijā:</w:t>
      </w:r>
    </w:p>
    <w:p w14:paraId="240D4110" w14:textId="77777777" w:rsidR="00627304" w:rsidRDefault="00627304" w:rsidP="00627304">
      <w:pPr>
        <w:pStyle w:val="naislab"/>
        <w:spacing w:before="0" w:after="0"/>
        <w:jc w:val="both"/>
        <w:rPr>
          <w:sz w:val="28"/>
          <w:szCs w:val="28"/>
        </w:rPr>
      </w:pPr>
    </w:p>
    <w:p w14:paraId="74E6A31C" w14:textId="46D9C432" w:rsidR="00ED3149" w:rsidRDefault="00652C2F" w:rsidP="00627304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“8.</w:t>
      </w:r>
      <w:r w:rsidRPr="00A82C65">
        <w:rPr>
          <w:sz w:val="28"/>
          <w:szCs w:val="28"/>
          <w:vertAlign w:val="superscript"/>
        </w:rPr>
        <w:t xml:space="preserve">2 </w:t>
      </w:r>
      <w:r w:rsidRPr="00A82C65">
        <w:rPr>
          <w:sz w:val="28"/>
          <w:szCs w:val="28"/>
        </w:rPr>
        <w:t>Rezervuāru tehniskās pārbaudes, kas veiktas saskaņā ar piemērojamos standartos (vai to daļās) noteiktajām prasībām, uzskatāmas par atbilstošām šo noteikumu prasībām, kuras aptver piemērojamie standarti.”</w:t>
      </w:r>
    </w:p>
    <w:p w14:paraId="2B489CF0" w14:textId="77777777" w:rsidR="00627304" w:rsidRPr="00A82C65" w:rsidRDefault="00627304" w:rsidP="00627304">
      <w:pPr>
        <w:pStyle w:val="naislab"/>
        <w:spacing w:before="0" w:after="0"/>
        <w:ind w:firstLine="720"/>
        <w:jc w:val="both"/>
        <w:rPr>
          <w:sz w:val="28"/>
          <w:szCs w:val="28"/>
        </w:rPr>
      </w:pPr>
    </w:p>
    <w:p w14:paraId="35B59A4F" w14:textId="3E7DEE82" w:rsidR="00C407C9" w:rsidRPr="00A82C65" w:rsidRDefault="00C407C9" w:rsidP="002C4DE8">
      <w:pPr>
        <w:pStyle w:val="naislab"/>
        <w:numPr>
          <w:ilvl w:val="0"/>
          <w:numId w:val="7"/>
        </w:numPr>
        <w:spacing w:before="0" w:after="0"/>
        <w:ind w:left="993" w:hanging="28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Izteikt 34.</w:t>
      </w:r>
      <w:r w:rsidR="00E4630B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>punktu šādā redakcijā</w:t>
      </w:r>
      <w:r w:rsidR="00214730" w:rsidRPr="00A82C65">
        <w:rPr>
          <w:sz w:val="28"/>
          <w:szCs w:val="28"/>
        </w:rPr>
        <w:t>:</w:t>
      </w:r>
    </w:p>
    <w:p w14:paraId="7F641B72" w14:textId="77777777" w:rsidR="00E4630B" w:rsidRDefault="00E4630B" w:rsidP="002C4DE8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7671D523" w14:textId="258D9BD7" w:rsidR="00214730" w:rsidRDefault="00214730" w:rsidP="00FB5669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“34. Inspicēšanas institūcija pēc rezervuāru valdītāja pieprasījuma uz līguma pamata veic pirmreizējo tehnisko pārbaudi, kārtējās tehniskās pārbaudes (pilnā vai daļējā), kā arī ārpuskārtas tehniskās pārbaudes.</w:t>
      </w:r>
      <w:r w:rsidR="008D417E" w:rsidRPr="00A82C65">
        <w:rPr>
          <w:sz w:val="28"/>
          <w:szCs w:val="28"/>
        </w:rPr>
        <w:t>”</w:t>
      </w:r>
    </w:p>
    <w:p w14:paraId="44A056E7" w14:textId="77777777" w:rsidR="00FB5669" w:rsidRPr="00A82C65" w:rsidRDefault="00FB5669" w:rsidP="00FB5669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4D481997" w14:textId="10469FF1" w:rsidR="00214730" w:rsidRPr="00A82C65" w:rsidRDefault="00214730" w:rsidP="00FB5669">
      <w:pPr>
        <w:pStyle w:val="naislab"/>
        <w:numPr>
          <w:ilvl w:val="0"/>
          <w:numId w:val="7"/>
        </w:numPr>
        <w:spacing w:before="0" w:after="0"/>
        <w:ind w:left="993" w:hanging="28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Izteikt </w:t>
      </w:r>
      <w:r w:rsidR="00840987" w:rsidRPr="00A82C65">
        <w:rPr>
          <w:sz w:val="28"/>
          <w:szCs w:val="28"/>
        </w:rPr>
        <w:t>34.</w:t>
      </w:r>
      <w:r w:rsidR="00840987" w:rsidRPr="00A82C65">
        <w:rPr>
          <w:sz w:val="28"/>
          <w:szCs w:val="28"/>
          <w:vertAlign w:val="superscript"/>
        </w:rPr>
        <w:t>1</w:t>
      </w:r>
      <w:r w:rsidR="00840987" w:rsidRPr="00A82C65">
        <w:rPr>
          <w:sz w:val="28"/>
          <w:szCs w:val="28"/>
        </w:rPr>
        <w:t xml:space="preserve"> punkt</w:t>
      </w:r>
      <w:r w:rsidRPr="00A82C65">
        <w:rPr>
          <w:sz w:val="28"/>
          <w:szCs w:val="28"/>
        </w:rPr>
        <w:t>ā pēdējo teikumu šādā redakcijā</w:t>
      </w:r>
      <w:r w:rsidR="0012552F" w:rsidRPr="00A82C65">
        <w:rPr>
          <w:sz w:val="28"/>
          <w:szCs w:val="28"/>
        </w:rPr>
        <w:t>:</w:t>
      </w:r>
    </w:p>
    <w:p w14:paraId="7505E788" w14:textId="77777777" w:rsidR="00FB5669" w:rsidRDefault="00FB5669" w:rsidP="00FB5669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0A029911" w14:textId="7899B55A" w:rsidR="0012552F" w:rsidRDefault="00214730" w:rsidP="0005579D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“34.</w:t>
      </w:r>
      <w:r w:rsidRPr="00A82C65">
        <w:rPr>
          <w:sz w:val="28"/>
          <w:szCs w:val="28"/>
          <w:vertAlign w:val="superscript"/>
        </w:rPr>
        <w:t>1</w:t>
      </w:r>
      <w:r w:rsidRPr="00A82C65">
        <w:rPr>
          <w:sz w:val="28"/>
          <w:szCs w:val="28"/>
        </w:rPr>
        <w:t xml:space="preserve"> </w:t>
      </w:r>
      <w:r w:rsidR="0012552F" w:rsidRPr="00A82C65">
        <w:rPr>
          <w:sz w:val="28"/>
          <w:szCs w:val="28"/>
        </w:rPr>
        <w:t>Rezervuāriem, kuriem nav normatīvajos aktos par atbilstības novērtēšanu noteiktā atbilstības apliecinājuma, veic pilno tehnisko pārbaudi un lietošanas dokumentācijas pārbaudi (vai dokumentācijā norādītie raksturlielumi atbilst konkrētajam rezervuāram).”</w:t>
      </w:r>
    </w:p>
    <w:p w14:paraId="3BCF4936" w14:textId="77777777" w:rsidR="0005579D" w:rsidRPr="00A82C65" w:rsidRDefault="0005579D" w:rsidP="0005579D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53406157" w14:textId="1474D593" w:rsidR="008D417E" w:rsidRDefault="00BF1AD5" w:rsidP="0005579D">
      <w:pPr>
        <w:pStyle w:val="naislab"/>
        <w:numPr>
          <w:ilvl w:val="0"/>
          <w:numId w:val="7"/>
        </w:numPr>
        <w:spacing w:before="0" w:after="0"/>
        <w:ind w:left="993" w:hanging="284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Svītrot </w:t>
      </w:r>
      <w:r w:rsidR="0012552F" w:rsidRPr="00A82C65">
        <w:rPr>
          <w:sz w:val="28"/>
          <w:szCs w:val="28"/>
        </w:rPr>
        <w:t xml:space="preserve">35., </w:t>
      </w:r>
      <w:r w:rsidRPr="00A82C65">
        <w:rPr>
          <w:sz w:val="28"/>
          <w:szCs w:val="28"/>
        </w:rPr>
        <w:t>36., 37., 38.</w:t>
      </w:r>
      <w:r w:rsidR="0005579D">
        <w:rPr>
          <w:sz w:val="28"/>
          <w:szCs w:val="28"/>
        </w:rPr>
        <w:t xml:space="preserve"> un</w:t>
      </w:r>
      <w:r w:rsidRPr="00A82C65">
        <w:rPr>
          <w:sz w:val="28"/>
          <w:szCs w:val="28"/>
        </w:rPr>
        <w:t xml:space="preserve"> 39. punktu.</w:t>
      </w:r>
    </w:p>
    <w:p w14:paraId="1C3C82F2" w14:textId="77777777" w:rsidR="0005579D" w:rsidRPr="00A82C65" w:rsidRDefault="0005579D" w:rsidP="0005579D">
      <w:pPr>
        <w:pStyle w:val="naislab"/>
        <w:spacing w:before="0" w:after="0"/>
        <w:jc w:val="both"/>
        <w:rPr>
          <w:sz w:val="28"/>
          <w:szCs w:val="28"/>
        </w:rPr>
      </w:pPr>
    </w:p>
    <w:p w14:paraId="79CA1340" w14:textId="4060C44A" w:rsidR="003A0748" w:rsidRPr="00A82C65" w:rsidRDefault="003A0748" w:rsidP="006602B0">
      <w:pPr>
        <w:pStyle w:val="naislab"/>
        <w:numPr>
          <w:ilvl w:val="0"/>
          <w:numId w:val="7"/>
        </w:numPr>
        <w:spacing w:before="0" w:after="0"/>
        <w:ind w:left="1134" w:hanging="425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Izteikt 42.</w:t>
      </w:r>
      <w:r w:rsidR="006602B0">
        <w:rPr>
          <w:sz w:val="28"/>
          <w:szCs w:val="28"/>
        </w:rPr>
        <w:t xml:space="preserve"> </w:t>
      </w:r>
      <w:r w:rsidRPr="00A82C65">
        <w:rPr>
          <w:sz w:val="28"/>
          <w:szCs w:val="28"/>
        </w:rPr>
        <w:t>punkta pirmo teikumu šādā redakcijā:</w:t>
      </w:r>
    </w:p>
    <w:p w14:paraId="4F270B1E" w14:textId="77777777" w:rsidR="00F34205" w:rsidRDefault="00F34205" w:rsidP="00F34205">
      <w:pPr>
        <w:pStyle w:val="naislab"/>
        <w:spacing w:before="0" w:after="0"/>
        <w:ind w:firstLine="720"/>
        <w:jc w:val="both"/>
        <w:rPr>
          <w:sz w:val="28"/>
          <w:szCs w:val="28"/>
        </w:rPr>
      </w:pPr>
    </w:p>
    <w:p w14:paraId="2AAB5C0B" w14:textId="2C64A4AB" w:rsidR="008D417E" w:rsidRDefault="003A0748" w:rsidP="00F34205">
      <w:pPr>
        <w:pStyle w:val="naislab"/>
        <w:spacing w:before="0" w:after="0"/>
        <w:ind w:firstLine="720"/>
        <w:jc w:val="both"/>
        <w:rPr>
          <w:sz w:val="28"/>
          <w:szCs w:val="28"/>
        </w:rPr>
      </w:pPr>
      <w:r w:rsidRPr="00A82C65">
        <w:rPr>
          <w:sz w:val="28"/>
          <w:szCs w:val="28"/>
        </w:rPr>
        <w:t xml:space="preserve">“42. Pirms </w:t>
      </w:r>
      <w:r w:rsidR="007135B7" w:rsidRPr="00A82C65">
        <w:rPr>
          <w:sz w:val="28"/>
          <w:szCs w:val="28"/>
        </w:rPr>
        <w:t xml:space="preserve">rezervuāra pilnās tehniskās pārbaudes veikšanas, rezervuāra valdītājs </w:t>
      </w:r>
      <w:r w:rsidRPr="00A82C65">
        <w:rPr>
          <w:sz w:val="28"/>
          <w:szCs w:val="28"/>
        </w:rPr>
        <w:t>rezervuāra iekšpusē nodrošina tā atbrīvošanu no glabājamās vielas, atvieno to no glabājamās vielas uzpildīšanas (iztukšošanas) cauruļvadiem un attīra no glabājamo vielu nogulsnēm.</w:t>
      </w:r>
      <w:r w:rsidR="007135B7" w:rsidRPr="00A82C65">
        <w:rPr>
          <w:sz w:val="28"/>
          <w:szCs w:val="28"/>
        </w:rPr>
        <w:t>”</w:t>
      </w:r>
    </w:p>
    <w:p w14:paraId="2C0E0DF6" w14:textId="77777777" w:rsidR="00602055" w:rsidRPr="00A82C65" w:rsidRDefault="00602055" w:rsidP="00F34205">
      <w:pPr>
        <w:pStyle w:val="naislab"/>
        <w:spacing w:before="0" w:after="0"/>
        <w:ind w:firstLine="720"/>
        <w:jc w:val="both"/>
        <w:rPr>
          <w:sz w:val="28"/>
          <w:szCs w:val="28"/>
        </w:rPr>
      </w:pPr>
    </w:p>
    <w:p w14:paraId="0796EF05" w14:textId="54445827" w:rsidR="00BF1AD5" w:rsidRPr="00A82C65" w:rsidRDefault="00BF1AD5" w:rsidP="00602055">
      <w:pPr>
        <w:pStyle w:val="naislab"/>
        <w:numPr>
          <w:ilvl w:val="0"/>
          <w:numId w:val="7"/>
        </w:numPr>
        <w:spacing w:before="0" w:after="0"/>
        <w:ind w:left="1134" w:hanging="425"/>
        <w:jc w:val="both"/>
        <w:rPr>
          <w:sz w:val="28"/>
          <w:szCs w:val="28"/>
        </w:rPr>
      </w:pPr>
      <w:r w:rsidRPr="00A82C65">
        <w:rPr>
          <w:sz w:val="28"/>
          <w:szCs w:val="28"/>
        </w:rPr>
        <w:lastRenderedPageBreak/>
        <w:t xml:space="preserve">Papildināt </w:t>
      </w:r>
      <w:r w:rsidR="00602055">
        <w:rPr>
          <w:sz w:val="28"/>
          <w:szCs w:val="28"/>
        </w:rPr>
        <w:t xml:space="preserve">noteikumus </w:t>
      </w:r>
      <w:r w:rsidRPr="00A82C65">
        <w:rPr>
          <w:sz w:val="28"/>
          <w:szCs w:val="28"/>
        </w:rPr>
        <w:t>ar 43.4. apakšpunktu šādā reakcijā:</w:t>
      </w:r>
    </w:p>
    <w:p w14:paraId="05B62107" w14:textId="77777777" w:rsidR="00602055" w:rsidRDefault="00602055" w:rsidP="00602055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50BE525A" w14:textId="297F1AF2" w:rsidR="00CF5E38" w:rsidRDefault="00BF1AD5" w:rsidP="00F0281B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A82C65">
        <w:rPr>
          <w:sz w:val="28"/>
          <w:szCs w:val="28"/>
        </w:rPr>
        <w:t>“43.4. pēc glabājamās vielas nomaiņas, kas ietekmē nākamo tehniskās pārbaudes termiņu;”</w:t>
      </w:r>
      <w:r w:rsidR="00AC7F3E">
        <w:rPr>
          <w:sz w:val="28"/>
          <w:szCs w:val="28"/>
        </w:rPr>
        <w:t>.</w:t>
      </w:r>
    </w:p>
    <w:p w14:paraId="0C3990A8" w14:textId="77777777" w:rsidR="00F0281B" w:rsidRPr="00A82C65" w:rsidRDefault="00F0281B" w:rsidP="00F0281B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7BEFCDDE" w14:textId="2C66F7D7" w:rsidR="00AF4515" w:rsidRPr="00AF4515" w:rsidRDefault="00CC30E9" w:rsidP="00AF4515">
      <w:pPr>
        <w:pStyle w:val="naislab"/>
        <w:numPr>
          <w:ilvl w:val="0"/>
          <w:numId w:val="7"/>
        </w:numPr>
        <w:spacing w:before="0" w:after="0"/>
        <w:ind w:left="1134" w:hanging="425"/>
        <w:jc w:val="both"/>
      </w:pPr>
      <w:r>
        <w:rPr>
          <w:sz w:val="28"/>
          <w:szCs w:val="28"/>
        </w:rPr>
        <w:t>I</w:t>
      </w:r>
      <w:r w:rsidRPr="00A82C65">
        <w:rPr>
          <w:sz w:val="28"/>
          <w:szCs w:val="28"/>
        </w:rPr>
        <w:t>zteikt</w:t>
      </w:r>
      <w:r>
        <w:rPr>
          <w:sz w:val="28"/>
          <w:szCs w:val="28"/>
        </w:rPr>
        <w:t xml:space="preserve"> </w:t>
      </w:r>
      <w:r w:rsidR="00F65F46" w:rsidRPr="00A82C65">
        <w:rPr>
          <w:sz w:val="28"/>
          <w:szCs w:val="28"/>
        </w:rPr>
        <w:t>2. pielikuma 1.</w:t>
      </w:r>
      <w:r>
        <w:rPr>
          <w:sz w:val="28"/>
          <w:szCs w:val="28"/>
        </w:rPr>
        <w:t xml:space="preserve"> </w:t>
      </w:r>
      <w:r w:rsidR="00F65F46" w:rsidRPr="00A82C65">
        <w:rPr>
          <w:sz w:val="28"/>
          <w:szCs w:val="28"/>
        </w:rPr>
        <w:t>punkt</w:t>
      </w:r>
      <w:r w:rsidR="007846F1">
        <w:rPr>
          <w:sz w:val="28"/>
          <w:szCs w:val="28"/>
        </w:rPr>
        <w:t>u</w:t>
      </w:r>
      <w:r w:rsidR="00F65F46" w:rsidRPr="00A82C65">
        <w:rPr>
          <w:sz w:val="28"/>
          <w:szCs w:val="28"/>
        </w:rPr>
        <w:t xml:space="preserve"> šādā redakcijā:</w:t>
      </w:r>
    </w:p>
    <w:p w14:paraId="053EAE01" w14:textId="77777777" w:rsidR="00AF4515" w:rsidRPr="00AF4515" w:rsidRDefault="00AF4515" w:rsidP="00AF4515">
      <w:pPr>
        <w:pStyle w:val="naislab"/>
        <w:spacing w:before="0" w:after="0"/>
        <w:ind w:left="1134"/>
        <w:jc w:val="both"/>
      </w:pPr>
    </w:p>
    <w:p w14:paraId="052FC7F0" w14:textId="54F343FD" w:rsidR="00AF4515" w:rsidRPr="00AF4515" w:rsidRDefault="00AF4515" w:rsidP="00E011F2">
      <w:pPr>
        <w:pStyle w:val="naislab"/>
        <w:spacing w:before="0" w:after="0"/>
        <w:jc w:val="both"/>
      </w:pPr>
      <w:r>
        <w:rPr>
          <w:sz w:val="28"/>
          <w:szCs w:val="28"/>
        </w:rPr>
        <w:t>1. Apakšzemes rezervuāru tehniskās pārbaudes saskaņā ar noteikumu “Bīstamo vielu uzgl</w:t>
      </w:r>
      <w:r w:rsidR="00E0398A">
        <w:rPr>
          <w:sz w:val="28"/>
          <w:szCs w:val="28"/>
        </w:rPr>
        <w:t>abāšanas rezervuāru tehniskās uzraudzības kārtība” (turpmāk – noteikumi) V nodaļu veic ne retāk kā šādos termiņos:</w:t>
      </w:r>
    </w:p>
    <w:p w14:paraId="19D71650" w14:textId="77777777" w:rsidR="00F65F46" w:rsidRPr="008530F4" w:rsidRDefault="00F65F46" w:rsidP="008530F4">
      <w:pPr>
        <w:pStyle w:val="naislab"/>
        <w:spacing w:before="0" w:after="0"/>
        <w:jc w:val="both"/>
        <w:rPr>
          <w:sz w:val="28"/>
          <w:szCs w:val="28"/>
        </w:rPr>
      </w:pPr>
    </w:p>
    <w:tbl>
      <w:tblPr>
        <w:tblW w:w="9576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3773"/>
        <w:gridCol w:w="1298"/>
        <w:gridCol w:w="1172"/>
        <w:gridCol w:w="1169"/>
        <w:gridCol w:w="1042"/>
      </w:tblGrid>
      <w:tr w:rsidR="006D4855" w:rsidRPr="0085152D" w14:paraId="30E8F9DC" w14:textId="77777777" w:rsidTr="00CB4DAA">
        <w:trPr>
          <w:trHeight w:val="245"/>
        </w:trPr>
        <w:tc>
          <w:tcPr>
            <w:tcW w:w="4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76947" w14:textId="4B8CBF35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Apakšzemes rezervuāru raksturojums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9512" w14:textId="77777777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Rezervuārs, kura lietošanas ilgums nav lielāks par 24 gadiem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A9EF" w14:textId="77777777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Rezervuārs, kura lietošanas ilgums ir 24 gadi un vairāk</w:t>
            </w:r>
          </w:p>
        </w:tc>
      </w:tr>
      <w:tr w:rsidR="00CB4DAA" w:rsidRPr="0085152D" w14:paraId="76EA5B91" w14:textId="77777777" w:rsidTr="00CB4DAA">
        <w:trPr>
          <w:trHeight w:val="245"/>
        </w:trPr>
        <w:tc>
          <w:tcPr>
            <w:tcW w:w="4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410" w14:textId="5A7FD2B9" w:rsidR="006D4855" w:rsidRPr="0085152D" w:rsidRDefault="006D4855" w:rsidP="00E011F2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FD2A" w14:textId="3D5BB1CA" w:rsidR="006D4855" w:rsidRPr="0085152D" w:rsidRDefault="006D4855" w:rsidP="00E011F2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daļējā tehniskā pārbaude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2F12" w14:textId="4FD083B0" w:rsidR="006D4855" w:rsidRPr="0085152D" w:rsidRDefault="006D4855" w:rsidP="00E011F2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pilnā tehniskā pārbaude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6DEE" w14:textId="0D91359A" w:rsidR="006D4855" w:rsidRPr="0085152D" w:rsidRDefault="006D4855" w:rsidP="00E011F2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daļējā tehniskā pārbaude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F345" w14:textId="2D53E2B3" w:rsidR="006D4855" w:rsidRPr="0085152D" w:rsidRDefault="006D4855" w:rsidP="00E011F2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pilnā tehniskā pārbaude</w:t>
            </w:r>
          </w:p>
        </w:tc>
      </w:tr>
      <w:tr w:rsidR="00CB4DAA" w:rsidRPr="0085152D" w14:paraId="77635E3A" w14:textId="77777777" w:rsidTr="00CB4DAA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D2C" w14:textId="3F1CE8FB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1.1.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B7DC" w14:textId="2190D08A" w:rsidR="006D4855" w:rsidRPr="0085152D" w:rsidRDefault="00CB4DAA" w:rsidP="008530F4">
            <w:pPr>
              <w:jc w:val="both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r</w:t>
            </w:r>
            <w:r w:rsidR="006D4855" w:rsidRPr="0085152D">
              <w:rPr>
                <w:rFonts w:eastAsiaTheme="minorHAnsi" w:cstheme="minorBidi"/>
                <w:iCs/>
                <w:sz w:val="16"/>
                <w:szCs w:val="16"/>
              </w:rPr>
              <w:t>ezervuārs, kurā uzglabā noteikumu 3.1. vai 3.3. apakšpunktā noteiktās vielas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3DA0" w14:textId="1FDB9F8B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divos gados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0A2" w14:textId="0C717834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četros gados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B11" w14:textId="7DDECF70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gadā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CA87" w14:textId="4B6B1C07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divos gados</w:t>
            </w:r>
          </w:p>
        </w:tc>
      </w:tr>
      <w:tr w:rsidR="00CB4DAA" w:rsidRPr="0085152D" w14:paraId="598128DE" w14:textId="77777777" w:rsidTr="00CB4DAA">
        <w:trPr>
          <w:trHeight w:val="35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1C0F" w14:textId="35EF2C6A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1.2.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D853" w14:textId="63DE8670" w:rsidR="006D4855" w:rsidRPr="0085152D" w:rsidRDefault="00CB4DAA" w:rsidP="008530F4">
            <w:pPr>
              <w:jc w:val="both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r</w:t>
            </w:r>
            <w:r w:rsidR="006D4855" w:rsidRPr="0085152D">
              <w:rPr>
                <w:rFonts w:eastAsiaTheme="minorHAnsi" w:cstheme="minorBidi"/>
                <w:iCs/>
                <w:sz w:val="16"/>
                <w:szCs w:val="16"/>
              </w:rPr>
              <w:t>ezervuārs</w:t>
            </w:r>
            <w:r w:rsidR="006D4855">
              <w:rPr>
                <w:rFonts w:eastAsiaTheme="minorHAnsi" w:cstheme="minorBidi"/>
                <w:iCs/>
                <w:sz w:val="16"/>
                <w:szCs w:val="16"/>
              </w:rPr>
              <w:t xml:space="preserve">, kurā uzglabā noteikumu </w:t>
            </w:r>
            <w:r w:rsidR="006D4855" w:rsidRPr="006D4855">
              <w:rPr>
                <w:rFonts w:eastAsiaTheme="minorHAnsi" w:cstheme="minorBidi"/>
                <w:iCs/>
                <w:sz w:val="16"/>
                <w:szCs w:val="16"/>
              </w:rPr>
              <w:t>3.</w:t>
            </w:r>
            <w:r w:rsidR="006D4855">
              <w:rPr>
                <w:rFonts w:eastAsiaTheme="minorHAnsi" w:cstheme="minorBidi"/>
                <w:iCs/>
                <w:sz w:val="16"/>
                <w:szCs w:val="16"/>
              </w:rPr>
              <w:t>2</w:t>
            </w:r>
            <w:r w:rsidR="006D4855" w:rsidRPr="006D4855">
              <w:rPr>
                <w:rFonts w:eastAsiaTheme="minorHAnsi" w:cstheme="minorBidi"/>
                <w:iCs/>
                <w:sz w:val="16"/>
                <w:szCs w:val="16"/>
              </w:rPr>
              <w:t>. apakšpunktā noteiktās vielas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A85D" w14:textId="78B22C6A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trijos gados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EB2D" w14:textId="7EC0FCF3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sešos gados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ECB3" w14:textId="298D0A21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divos gados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5038" w14:textId="7C8FF397" w:rsidR="006D4855" w:rsidRPr="0085152D" w:rsidRDefault="006D4855" w:rsidP="008530F4">
            <w:pPr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85152D">
              <w:rPr>
                <w:rFonts w:eastAsiaTheme="minorHAnsi" w:cstheme="minorBidi"/>
                <w:iCs/>
                <w:sz w:val="16"/>
                <w:szCs w:val="16"/>
              </w:rPr>
              <w:t>reizi četros gados</w:t>
            </w:r>
          </w:p>
        </w:tc>
      </w:tr>
    </w:tbl>
    <w:p w14:paraId="5C267394" w14:textId="165DA96E" w:rsidR="008530F4" w:rsidRDefault="00E011F2" w:rsidP="008530F4">
      <w:pPr>
        <w:pStyle w:val="naislab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ED721B" w14:textId="77777777" w:rsidR="00E011F2" w:rsidRDefault="008530F4" w:rsidP="00E011F2">
      <w:pPr>
        <w:pStyle w:val="naislab"/>
        <w:numPr>
          <w:ilvl w:val="0"/>
          <w:numId w:val="7"/>
        </w:numPr>
        <w:spacing w:before="0" w:after="0"/>
        <w:ind w:left="1134" w:hanging="4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Izteikt </w:t>
      </w:r>
      <w:r w:rsidR="00144D4C" w:rsidRPr="006350D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44D4C" w:rsidRPr="006350D5">
        <w:rPr>
          <w:sz w:val="28"/>
          <w:szCs w:val="28"/>
        </w:rPr>
        <w:t>pielikuma 3.</w:t>
      </w:r>
      <w:r>
        <w:rPr>
          <w:sz w:val="28"/>
          <w:szCs w:val="28"/>
        </w:rPr>
        <w:t xml:space="preserve"> </w:t>
      </w:r>
      <w:r w:rsidR="00144D4C" w:rsidRPr="006350D5">
        <w:rPr>
          <w:sz w:val="28"/>
          <w:szCs w:val="28"/>
        </w:rPr>
        <w:t>punkt</w:t>
      </w:r>
      <w:r>
        <w:rPr>
          <w:sz w:val="28"/>
          <w:szCs w:val="28"/>
        </w:rPr>
        <w:t>u</w:t>
      </w:r>
      <w:r w:rsidR="00144D4C" w:rsidRPr="006350D5">
        <w:rPr>
          <w:sz w:val="28"/>
          <w:szCs w:val="28"/>
        </w:rPr>
        <w:t xml:space="preserve"> šādā redakcijā:</w:t>
      </w:r>
    </w:p>
    <w:p w14:paraId="203063E3" w14:textId="77777777" w:rsidR="00E011F2" w:rsidRDefault="00E011F2" w:rsidP="00E011F2">
      <w:pPr>
        <w:pStyle w:val="naislab"/>
        <w:spacing w:before="0" w:after="0"/>
        <w:ind w:left="709"/>
        <w:jc w:val="left"/>
        <w:rPr>
          <w:sz w:val="28"/>
          <w:szCs w:val="28"/>
        </w:rPr>
      </w:pPr>
    </w:p>
    <w:p w14:paraId="7C71DBC2" w14:textId="1A2161CF" w:rsidR="00E011F2" w:rsidRPr="00E011F2" w:rsidRDefault="00E011F2" w:rsidP="00E011F2">
      <w:pPr>
        <w:pStyle w:val="naislab"/>
        <w:spacing w:before="0" w:after="0"/>
        <w:jc w:val="both"/>
        <w:rPr>
          <w:sz w:val="28"/>
          <w:szCs w:val="28"/>
        </w:rPr>
      </w:pPr>
      <w:r w:rsidRPr="00E011F2">
        <w:rPr>
          <w:sz w:val="28"/>
          <w:szCs w:val="28"/>
        </w:rPr>
        <w:t>3. Vir</w:t>
      </w:r>
      <w:r>
        <w:rPr>
          <w:sz w:val="28"/>
          <w:szCs w:val="28"/>
        </w:rPr>
        <w:t>s</w:t>
      </w:r>
      <w:r w:rsidRPr="00E011F2">
        <w:rPr>
          <w:sz w:val="28"/>
          <w:szCs w:val="28"/>
        </w:rPr>
        <w:t>zemes</w:t>
      </w:r>
      <w:r>
        <w:rPr>
          <w:sz w:val="28"/>
          <w:szCs w:val="28"/>
        </w:rPr>
        <w:t xml:space="preserve"> rezervuāru tehniskās pārbaudes saskaņā ar noteikumu V nodaļu veic ne retāk kā šādos termiņos:</w:t>
      </w:r>
    </w:p>
    <w:tbl>
      <w:tblPr>
        <w:tblpPr w:leftFromText="180" w:rightFromText="180" w:vertAnchor="text" w:horzAnchor="margin" w:tblpXSpec="center" w:tblpY="382"/>
        <w:tblW w:w="9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836"/>
        <w:gridCol w:w="1283"/>
        <w:gridCol w:w="803"/>
        <w:gridCol w:w="888"/>
        <w:gridCol w:w="885"/>
      </w:tblGrid>
      <w:tr w:rsidR="00CB4DAA" w:rsidRPr="006D4855" w14:paraId="2022E31A" w14:textId="77777777" w:rsidTr="00D64006">
        <w:trPr>
          <w:trHeight w:val="241"/>
        </w:trPr>
        <w:tc>
          <w:tcPr>
            <w:tcW w:w="5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174D0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Virszemes rezervuāra raksturojums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1C24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Rezervuārs, kura lietošanas ilgums nav lielāks par 24 gadiem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5CFB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Rezervuārs, kura lietošanas ilgums ir 24 gadi un vairāk</w:t>
            </w:r>
          </w:p>
        </w:tc>
      </w:tr>
      <w:tr w:rsidR="00CB4DAA" w:rsidRPr="006D4855" w14:paraId="637B7464" w14:textId="77777777" w:rsidTr="00D64006">
        <w:trPr>
          <w:trHeight w:val="241"/>
        </w:trPr>
        <w:tc>
          <w:tcPr>
            <w:tcW w:w="57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0EB8" w14:textId="77777777" w:rsidR="00CB4DAA" w:rsidRPr="006D4855" w:rsidRDefault="00CB4DAA" w:rsidP="00CB4DAA">
            <w:pPr>
              <w:spacing w:before="20" w:after="20"/>
              <w:rPr>
                <w:rFonts w:eastAsiaTheme="minorHAnsi" w:cstheme="minorBidi"/>
                <w:i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A47A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daļējā tehniskā pārbaude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AB12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pilnā tehniskā pārbaude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DA7B4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daļējā tehniskā pārbaude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A040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pilnā tehniskā pārbaude</w:t>
            </w:r>
          </w:p>
        </w:tc>
      </w:tr>
      <w:tr w:rsidR="00CB4DAA" w:rsidRPr="006D4855" w14:paraId="12E8579E" w14:textId="77777777" w:rsidTr="00D64006">
        <w:trPr>
          <w:trHeight w:val="45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0290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3.1.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06CE" w14:textId="0BBDACDE" w:rsidR="00CB4DAA" w:rsidRPr="006D4855" w:rsidRDefault="00CB4DAA" w:rsidP="00CB4DAA">
            <w:pPr>
              <w:spacing w:before="20" w:after="20"/>
              <w:jc w:val="both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r</w:t>
            </w: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ezervuārs</w:t>
            </w:r>
            <w:r>
              <w:rPr>
                <w:rFonts w:eastAsiaTheme="minorHAnsi" w:cstheme="minorBidi"/>
                <w:iCs/>
                <w:sz w:val="16"/>
                <w:szCs w:val="16"/>
              </w:rPr>
              <w:t xml:space="preserve">, </w:t>
            </w:r>
            <w:r w:rsidRPr="00CB4DAA">
              <w:rPr>
                <w:rFonts w:eastAsiaTheme="minorHAnsi" w:cstheme="minorBidi"/>
                <w:iCs/>
                <w:sz w:val="16"/>
                <w:szCs w:val="16"/>
              </w:rPr>
              <w:t>kurā uzglabā noteikumu 3.1. vai 3.3. apakšpunktā noteiktās vielas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0B65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trijos gados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CD26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sešos gados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1221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gadā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6869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3 gados</w:t>
            </w:r>
          </w:p>
        </w:tc>
      </w:tr>
      <w:tr w:rsidR="00CB4DAA" w:rsidRPr="006D4855" w14:paraId="66591065" w14:textId="77777777" w:rsidTr="00D64006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0935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3.2.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B07" w14:textId="62E13142" w:rsidR="00CB4DAA" w:rsidRPr="006D4855" w:rsidRDefault="00CB4DAA" w:rsidP="00CB4DAA">
            <w:pPr>
              <w:spacing w:before="20" w:after="20"/>
              <w:jc w:val="both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r</w:t>
            </w: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ezervuārs</w:t>
            </w:r>
            <w:r>
              <w:rPr>
                <w:rFonts w:eastAsiaTheme="minorHAnsi" w:cstheme="minorBidi"/>
                <w:iCs/>
                <w:sz w:val="16"/>
                <w:szCs w:val="16"/>
              </w:rPr>
              <w:t xml:space="preserve">, </w:t>
            </w:r>
            <w:r w:rsidRPr="00CB4DAA">
              <w:rPr>
                <w:rFonts w:eastAsiaTheme="minorHAnsi" w:cstheme="minorBidi"/>
                <w:iCs/>
                <w:sz w:val="16"/>
                <w:szCs w:val="16"/>
              </w:rPr>
              <w:t>kurā uzglabā noteikumu 3.2. apakšpunktā noteiktās vielas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5049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četros gados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EB12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astoņos gados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67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divos gados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E878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četros gados</w:t>
            </w:r>
          </w:p>
        </w:tc>
      </w:tr>
      <w:tr w:rsidR="00CB4DAA" w:rsidRPr="006D4855" w14:paraId="2DB17E24" w14:textId="77777777" w:rsidTr="00D64006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D381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3.3.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A30D" w14:textId="4950595E" w:rsidR="00CB4DAA" w:rsidRPr="006D4855" w:rsidRDefault="00CB4DAA" w:rsidP="00CB4DAA">
            <w:pPr>
              <w:spacing w:before="20" w:after="20"/>
              <w:jc w:val="both"/>
              <w:rPr>
                <w:rFonts w:eastAsiaTheme="minorHAnsi" w:cstheme="minorBidi"/>
                <w:iCs/>
                <w:sz w:val="16"/>
                <w:szCs w:val="16"/>
              </w:rPr>
            </w:pPr>
            <w:r>
              <w:rPr>
                <w:rFonts w:eastAsiaTheme="minorHAnsi" w:cstheme="minorBidi"/>
                <w:iCs/>
                <w:sz w:val="16"/>
                <w:szCs w:val="16"/>
              </w:rPr>
              <w:t>i</w:t>
            </w: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zotermisks rezervuārs amonjaka glabāšanai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037E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piecos gados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B41E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desmit gados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B759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piecos gados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79A4" w14:textId="77777777" w:rsidR="00CB4DAA" w:rsidRPr="006D4855" w:rsidRDefault="00CB4DAA" w:rsidP="00CB4DAA">
            <w:pPr>
              <w:spacing w:before="20" w:after="20"/>
              <w:jc w:val="center"/>
              <w:rPr>
                <w:rFonts w:eastAsiaTheme="minorHAnsi" w:cstheme="minorBidi"/>
                <w:iCs/>
                <w:sz w:val="16"/>
                <w:szCs w:val="16"/>
              </w:rPr>
            </w:pPr>
            <w:r w:rsidRPr="006D4855">
              <w:rPr>
                <w:rFonts w:eastAsiaTheme="minorHAnsi" w:cstheme="minorBidi"/>
                <w:iCs/>
                <w:sz w:val="16"/>
                <w:szCs w:val="16"/>
              </w:rPr>
              <w:t>reizi desmit gados</w:t>
            </w:r>
          </w:p>
        </w:tc>
      </w:tr>
    </w:tbl>
    <w:p w14:paraId="6614EBD7" w14:textId="77777777" w:rsidR="00E011F2" w:rsidRDefault="00E011F2" w:rsidP="00E55A2E">
      <w:pPr>
        <w:pStyle w:val="naislab"/>
        <w:spacing w:before="120" w:after="0"/>
        <w:ind w:firstLine="709"/>
        <w:jc w:val="both"/>
        <w:rPr>
          <w:sz w:val="28"/>
          <w:szCs w:val="28"/>
        </w:rPr>
      </w:pPr>
    </w:p>
    <w:p w14:paraId="55CB21D4" w14:textId="7A6DEC73" w:rsidR="006C7603" w:rsidRPr="006350D5" w:rsidRDefault="008D417E" w:rsidP="00E55A2E">
      <w:pPr>
        <w:pStyle w:val="naislab"/>
        <w:spacing w:before="120" w:after="0"/>
        <w:ind w:firstLine="709"/>
        <w:jc w:val="both"/>
        <w:rPr>
          <w:sz w:val="28"/>
          <w:szCs w:val="28"/>
        </w:rPr>
      </w:pPr>
      <w:bookmarkStart w:id="3" w:name="_GoBack"/>
      <w:bookmarkEnd w:id="3"/>
      <w:r w:rsidRPr="006350D5">
        <w:rPr>
          <w:sz w:val="28"/>
          <w:szCs w:val="28"/>
        </w:rPr>
        <w:t xml:space="preserve">14. </w:t>
      </w:r>
      <w:r w:rsidR="00E55A2E">
        <w:rPr>
          <w:sz w:val="28"/>
          <w:szCs w:val="28"/>
        </w:rPr>
        <w:t>A</w:t>
      </w:r>
      <w:r w:rsidR="00E55A2E" w:rsidRPr="006350D5">
        <w:rPr>
          <w:sz w:val="28"/>
          <w:szCs w:val="28"/>
        </w:rPr>
        <w:t xml:space="preserve">izstāt </w:t>
      </w:r>
      <w:r w:rsidRPr="006350D5">
        <w:rPr>
          <w:sz w:val="28"/>
          <w:szCs w:val="28"/>
        </w:rPr>
        <w:t>2.</w:t>
      </w:r>
      <w:r w:rsidR="00E55A2E">
        <w:rPr>
          <w:sz w:val="28"/>
          <w:szCs w:val="28"/>
        </w:rPr>
        <w:t xml:space="preserve"> </w:t>
      </w:r>
      <w:r w:rsidRPr="006350D5">
        <w:rPr>
          <w:sz w:val="28"/>
          <w:szCs w:val="28"/>
        </w:rPr>
        <w:t>pielikuma 4.</w:t>
      </w:r>
      <w:r w:rsidR="00E55A2E">
        <w:rPr>
          <w:sz w:val="28"/>
          <w:szCs w:val="28"/>
        </w:rPr>
        <w:t xml:space="preserve"> </w:t>
      </w:r>
      <w:r w:rsidRPr="006350D5">
        <w:rPr>
          <w:sz w:val="28"/>
          <w:szCs w:val="28"/>
        </w:rPr>
        <w:t xml:space="preserve">punktā </w:t>
      </w:r>
      <w:r w:rsidR="005E2ECE" w:rsidRPr="006350D5">
        <w:rPr>
          <w:sz w:val="28"/>
          <w:szCs w:val="28"/>
        </w:rPr>
        <w:t xml:space="preserve">skaitli </w:t>
      </w:r>
      <w:r w:rsidRPr="006350D5">
        <w:rPr>
          <w:sz w:val="28"/>
          <w:szCs w:val="28"/>
        </w:rPr>
        <w:t xml:space="preserve">“25” </w:t>
      </w:r>
      <w:r w:rsidR="005E2ECE" w:rsidRPr="006350D5">
        <w:rPr>
          <w:sz w:val="28"/>
          <w:szCs w:val="28"/>
        </w:rPr>
        <w:t>ar skaitli “24”.</w:t>
      </w:r>
    </w:p>
    <w:p w14:paraId="2D0C2312" w14:textId="77777777" w:rsidR="00AA4EE3" w:rsidRDefault="00AA4EE3" w:rsidP="00AA4EE3">
      <w:pPr>
        <w:pStyle w:val="naislab"/>
        <w:spacing w:before="0" w:after="0"/>
        <w:jc w:val="both"/>
        <w:rPr>
          <w:sz w:val="28"/>
          <w:szCs w:val="28"/>
        </w:rPr>
      </w:pPr>
    </w:p>
    <w:p w14:paraId="0C207910" w14:textId="3F4E4785" w:rsidR="00F7383E" w:rsidRPr="006350D5" w:rsidRDefault="00641B9F" w:rsidP="00243D77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6350D5">
        <w:rPr>
          <w:sz w:val="28"/>
          <w:szCs w:val="28"/>
        </w:rPr>
        <w:t>1</w:t>
      </w:r>
      <w:r w:rsidR="005E2ECE" w:rsidRPr="006350D5">
        <w:rPr>
          <w:sz w:val="28"/>
          <w:szCs w:val="28"/>
        </w:rPr>
        <w:t>5</w:t>
      </w:r>
      <w:r w:rsidRPr="006350D5">
        <w:rPr>
          <w:sz w:val="28"/>
          <w:szCs w:val="28"/>
        </w:rPr>
        <w:t>.</w:t>
      </w:r>
      <w:r w:rsidR="00EE77E0">
        <w:rPr>
          <w:sz w:val="28"/>
          <w:szCs w:val="28"/>
        </w:rPr>
        <w:t xml:space="preserve"> P</w:t>
      </w:r>
      <w:r w:rsidR="00EE77E0" w:rsidRPr="006350D5">
        <w:rPr>
          <w:sz w:val="28"/>
          <w:szCs w:val="28"/>
        </w:rPr>
        <w:t>apildināt</w:t>
      </w:r>
      <w:r w:rsidR="00EE77E0">
        <w:rPr>
          <w:sz w:val="28"/>
          <w:szCs w:val="28"/>
        </w:rPr>
        <w:t xml:space="preserve"> noteikumu</w:t>
      </w:r>
      <w:r w:rsidR="00243D77">
        <w:rPr>
          <w:sz w:val="28"/>
          <w:szCs w:val="28"/>
        </w:rPr>
        <w:t>s</w:t>
      </w:r>
      <w:r w:rsidR="00EE77E0">
        <w:rPr>
          <w:sz w:val="28"/>
          <w:szCs w:val="28"/>
        </w:rPr>
        <w:t xml:space="preserve"> </w:t>
      </w:r>
      <w:r w:rsidR="005E2ECE" w:rsidRPr="006350D5">
        <w:rPr>
          <w:sz w:val="28"/>
          <w:szCs w:val="28"/>
        </w:rPr>
        <w:t>2.</w:t>
      </w:r>
      <w:r w:rsidR="00EE77E0">
        <w:rPr>
          <w:sz w:val="28"/>
          <w:szCs w:val="28"/>
        </w:rPr>
        <w:t xml:space="preserve"> </w:t>
      </w:r>
      <w:r w:rsidR="005E2ECE" w:rsidRPr="006350D5">
        <w:rPr>
          <w:sz w:val="28"/>
          <w:szCs w:val="28"/>
        </w:rPr>
        <w:t>pielikumu ar</w:t>
      </w:r>
      <w:r w:rsidRPr="006350D5">
        <w:rPr>
          <w:sz w:val="28"/>
          <w:szCs w:val="28"/>
        </w:rPr>
        <w:t xml:space="preserve"> 5.</w:t>
      </w:r>
      <w:r w:rsidR="00EE77E0">
        <w:rPr>
          <w:sz w:val="28"/>
          <w:szCs w:val="28"/>
        </w:rPr>
        <w:t xml:space="preserve"> </w:t>
      </w:r>
      <w:r w:rsidRPr="006350D5">
        <w:rPr>
          <w:sz w:val="28"/>
          <w:szCs w:val="28"/>
        </w:rPr>
        <w:t>punktu šādā redakcijā:</w:t>
      </w:r>
    </w:p>
    <w:p w14:paraId="0DA598DA" w14:textId="77777777" w:rsidR="00EE77E0" w:rsidRDefault="00EE77E0" w:rsidP="00EE77E0">
      <w:pPr>
        <w:pStyle w:val="naislab"/>
        <w:spacing w:before="0" w:after="0"/>
        <w:ind w:firstLine="709"/>
        <w:jc w:val="both"/>
        <w:rPr>
          <w:sz w:val="28"/>
          <w:szCs w:val="28"/>
        </w:rPr>
      </w:pPr>
    </w:p>
    <w:p w14:paraId="5FF1A970" w14:textId="391A9464" w:rsidR="00D64006" w:rsidRDefault="00641B9F" w:rsidP="00243D77">
      <w:pPr>
        <w:pStyle w:val="naislab"/>
        <w:spacing w:before="0" w:after="0"/>
        <w:ind w:firstLine="709"/>
        <w:jc w:val="both"/>
      </w:pPr>
      <w:r w:rsidRPr="006350D5">
        <w:rPr>
          <w:sz w:val="28"/>
          <w:szCs w:val="28"/>
        </w:rPr>
        <w:t>“5.</w:t>
      </w:r>
      <w:r w:rsidR="00437F47" w:rsidRPr="006350D5">
        <w:rPr>
          <w:sz w:val="28"/>
          <w:szCs w:val="28"/>
        </w:rPr>
        <w:t xml:space="preserve"> </w:t>
      </w:r>
      <w:r w:rsidR="00D64006" w:rsidRPr="006350D5">
        <w:rPr>
          <w:sz w:val="28"/>
          <w:szCs w:val="28"/>
        </w:rPr>
        <w:t>Virszemes vertikālā tērauda rezervuār</w:t>
      </w:r>
      <w:r w:rsidR="00D25B63" w:rsidRPr="006350D5">
        <w:rPr>
          <w:sz w:val="28"/>
          <w:szCs w:val="28"/>
        </w:rPr>
        <w:t>iem nākamo</w:t>
      </w:r>
      <w:r w:rsidR="00D64006" w:rsidRPr="006350D5">
        <w:rPr>
          <w:sz w:val="28"/>
          <w:szCs w:val="28"/>
        </w:rPr>
        <w:t xml:space="preserve"> tehniskās pārbaudes </w:t>
      </w:r>
      <w:r w:rsidR="00D25B63" w:rsidRPr="006350D5">
        <w:rPr>
          <w:sz w:val="28"/>
          <w:szCs w:val="28"/>
        </w:rPr>
        <w:t xml:space="preserve">termiņu </w:t>
      </w:r>
      <w:r w:rsidR="00D64006" w:rsidRPr="006350D5">
        <w:rPr>
          <w:sz w:val="28"/>
          <w:szCs w:val="28"/>
        </w:rPr>
        <w:t>aprēķina atkarībā no rezervuāra lietošanas apstākļiem, tehniskā stāvokļa un veiktās tehniskās pārbaudes apjoma, kas var atšķirties no</w:t>
      </w:r>
      <w:r w:rsidR="00D25B63" w:rsidRPr="006350D5">
        <w:rPr>
          <w:sz w:val="28"/>
          <w:szCs w:val="28"/>
        </w:rPr>
        <w:t xml:space="preserve"> šo noteikumu </w:t>
      </w:r>
      <w:r w:rsidR="00D64006" w:rsidRPr="006350D5">
        <w:rPr>
          <w:sz w:val="28"/>
          <w:szCs w:val="28"/>
        </w:rPr>
        <w:t>2.</w:t>
      </w:r>
      <w:r w:rsidR="00BD608D">
        <w:rPr>
          <w:sz w:val="28"/>
          <w:szCs w:val="28"/>
        </w:rPr>
        <w:t xml:space="preserve"> </w:t>
      </w:r>
      <w:r w:rsidR="00D64006" w:rsidRPr="006350D5">
        <w:rPr>
          <w:sz w:val="28"/>
          <w:szCs w:val="28"/>
        </w:rPr>
        <w:t>pielikuma 3.</w:t>
      </w:r>
      <w:r w:rsidR="00BD608D">
        <w:rPr>
          <w:sz w:val="28"/>
          <w:szCs w:val="28"/>
        </w:rPr>
        <w:t xml:space="preserve"> </w:t>
      </w:r>
      <w:r w:rsidR="00D64006" w:rsidRPr="006350D5">
        <w:rPr>
          <w:sz w:val="28"/>
          <w:szCs w:val="28"/>
        </w:rPr>
        <w:t>punkta tabulā noteiktajiem tehniskās pārbaudes termiņiem.</w:t>
      </w:r>
      <w:r w:rsidR="00D25B63" w:rsidRPr="006350D5">
        <w:rPr>
          <w:sz w:val="28"/>
          <w:szCs w:val="28"/>
        </w:rPr>
        <w:t xml:space="preserve"> Inspicēšanas institūcija par aprēķināto tehniskās pārbaudes termiņu aktu</w:t>
      </w:r>
      <w:r w:rsidR="00C604EB" w:rsidRPr="006350D5">
        <w:rPr>
          <w:sz w:val="28"/>
          <w:szCs w:val="28"/>
        </w:rPr>
        <w:t>alizē informāciju bīstamo iekārtu reģistrā un</w:t>
      </w:r>
      <w:r w:rsidR="00D64006" w:rsidRPr="006350D5">
        <w:rPr>
          <w:sz w:val="28"/>
          <w:szCs w:val="28"/>
        </w:rPr>
        <w:t xml:space="preserve"> </w:t>
      </w:r>
      <w:r w:rsidR="00C604EB" w:rsidRPr="006350D5">
        <w:rPr>
          <w:sz w:val="28"/>
          <w:szCs w:val="28"/>
        </w:rPr>
        <w:t>r</w:t>
      </w:r>
      <w:r w:rsidR="00D64006" w:rsidRPr="006350D5">
        <w:rPr>
          <w:sz w:val="28"/>
          <w:szCs w:val="28"/>
        </w:rPr>
        <w:t xml:space="preserve">ezervuāru valdītājs inspicēšanas </w:t>
      </w:r>
      <w:r w:rsidR="00D64006" w:rsidRPr="006350D5">
        <w:rPr>
          <w:sz w:val="28"/>
          <w:szCs w:val="28"/>
        </w:rPr>
        <w:lastRenderedPageBreak/>
        <w:t>institūcijas izsniegtos tehniskās pārbaudes termiņa aprēķinus pievieno rezervuāru lietošanas dokumentācijai.</w:t>
      </w:r>
      <w:r w:rsidR="00EA4633" w:rsidRPr="006350D5">
        <w:rPr>
          <w:sz w:val="28"/>
          <w:szCs w:val="28"/>
        </w:rPr>
        <w:t>”</w:t>
      </w:r>
    </w:p>
    <w:p w14:paraId="0B0F7971" w14:textId="4AE44F3A" w:rsidR="00FB51CF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33C03CF0" w14:textId="77777777" w:rsidR="00F61F53" w:rsidRDefault="00F61F53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71FCF817" w14:textId="1A0348E0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8C6382">
        <w:rPr>
          <w:rFonts w:eastAsia="Calibri"/>
          <w:color w:val="000000"/>
          <w:sz w:val="28"/>
          <w:szCs w:val="28"/>
        </w:rPr>
        <w:t xml:space="preserve">Ministru prezidents                                                                   </w:t>
      </w:r>
      <w:r w:rsidRPr="008C6382">
        <w:rPr>
          <w:rFonts w:eastAsia="Calibri"/>
          <w:color w:val="000000"/>
          <w:sz w:val="28"/>
          <w:szCs w:val="28"/>
        </w:rPr>
        <w:tab/>
        <w:t>A.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C6382">
        <w:rPr>
          <w:rFonts w:eastAsia="Calibri"/>
          <w:color w:val="000000"/>
          <w:sz w:val="28"/>
          <w:szCs w:val="28"/>
        </w:rPr>
        <w:t>K.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C6382">
        <w:rPr>
          <w:rFonts w:eastAsia="Calibri"/>
          <w:color w:val="000000"/>
          <w:sz w:val="28"/>
          <w:szCs w:val="28"/>
        </w:rPr>
        <w:t>Kariņš</w:t>
      </w:r>
    </w:p>
    <w:p w14:paraId="29265F7F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402A5D69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8C6382">
        <w:rPr>
          <w:rFonts w:eastAsia="Calibri"/>
          <w:color w:val="000000"/>
          <w:sz w:val="28"/>
          <w:szCs w:val="28"/>
        </w:rPr>
        <w:t>Ekonomikas ministrs</w:t>
      </w:r>
      <w:r w:rsidRPr="008C6382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C6382">
        <w:rPr>
          <w:rFonts w:eastAsia="Calibri"/>
          <w:color w:val="000000"/>
          <w:sz w:val="28"/>
          <w:szCs w:val="28"/>
        </w:rPr>
        <w:t>J.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C6382">
        <w:rPr>
          <w:rFonts w:eastAsia="Calibri"/>
          <w:color w:val="000000"/>
          <w:sz w:val="28"/>
          <w:szCs w:val="28"/>
        </w:rPr>
        <w:t>Vitenbergs</w:t>
      </w:r>
      <w:proofErr w:type="spellEnd"/>
    </w:p>
    <w:p w14:paraId="344E498E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3A68A035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5AD6E001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8C6382">
        <w:rPr>
          <w:rFonts w:eastAsia="Calibri"/>
          <w:color w:val="000000"/>
          <w:sz w:val="28"/>
          <w:szCs w:val="28"/>
        </w:rPr>
        <w:t>Iesniedzējs:</w:t>
      </w:r>
    </w:p>
    <w:p w14:paraId="005C5C89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8C6382">
        <w:rPr>
          <w:rFonts w:eastAsia="Calibri"/>
          <w:color w:val="000000"/>
          <w:sz w:val="28"/>
          <w:szCs w:val="28"/>
        </w:rPr>
        <w:t>Ekonomikas ministrs</w:t>
      </w:r>
      <w:r w:rsidRPr="008C6382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8C6382">
        <w:rPr>
          <w:rFonts w:eastAsia="Calibri"/>
          <w:color w:val="000000"/>
          <w:sz w:val="28"/>
          <w:szCs w:val="28"/>
        </w:rPr>
        <w:t>J.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8C6382">
        <w:rPr>
          <w:rFonts w:eastAsia="Calibri"/>
          <w:color w:val="000000"/>
          <w:sz w:val="28"/>
          <w:szCs w:val="28"/>
        </w:rPr>
        <w:t>Vitenbergs</w:t>
      </w:r>
      <w:proofErr w:type="spellEnd"/>
    </w:p>
    <w:p w14:paraId="00B43511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</w:p>
    <w:p w14:paraId="1C647112" w14:textId="77777777" w:rsidR="00FB51CF" w:rsidRPr="008C6382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8C6382">
        <w:rPr>
          <w:rFonts w:eastAsia="Calibri"/>
          <w:color w:val="000000"/>
          <w:sz w:val="28"/>
          <w:szCs w:val="28"/>
        </w:rPr>
        <w:t xml:space="preserve">Vīza: </w:t>
      </w:r>
    </w:p>
    <w:p w14:paraId="5452733D" w14:textId="460546B8" w:rsidR="00FB51CF" w:rsidRDefault="00FB51CF" w:rsidP="00FB51CF">
      <w:pPr>
        <w:tabs>
          <w:tab w:val="left" w:pos="7250"/>
        </w:tabs>
        <w:rPr>
          <w:rFonts w:eastAsia="Calibri"/>
          <w:color w:val="000000"/>
          <w:sz w:val="28"/>
          <w:szCs w:val="28"/>
        </w:rPr>
      </w:pPr>
      <w:r w:rsidRPr="009D0096">
        <w:rPr>
          <w:rFonts w:eastAsia="Calibri"/>
          <w:color w:val="000000"/>
          <w:sz w:val="28"/>
          <w:szCs w:val="28"/>
        </w:rPr>
        <w:t>Valsts sekretār</w:t>
      </w:r>
      <w:r>
        <w:rPr>
          <w:rFonts w:eastAsia="Calibri"/>
          <w:color w:val="000000"/>
          <w:sz w:val="28"/>
          <w:szCs w:val="28"/>
        </w:rPr>
        <w:t>s</w:t>
      </w:r>
      <w:r w:rsidRPr="009D009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ab/>
        <w:t>E.</w:t>
      </w:r>
      <w:r w:rsidR="00A82C6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Valantis</w:t>
      </w:r>
    </w:p>
    <w:p w14:paraId="7A1BDD3C" w14:textId="77777777" w:rsidR="00FB51CF" w:rsidRPr="009D0096" w:rsidRDefault="00FB51CF" w:rsidP="00FB51CF">
      <w:pPr>
        <w:tabs>
          <w:tab w:val="left" w:pos="6521"/>
        </w:tabs>
        <w:rPr>
          <w:rFonts w:eastAsia="Calibri"/>
          <w:color w:val="000000"/>
          <w:sz w:val="28"/>
          <w:szCs w:val="28"/>
        </w:rPr>
      </w:pPr>
      <w:r w:rsidRPr="009D0096">
        <w:rPr>
          <w:rFonts w:eastAsia="Calibri"/>
          <w:color w:val="000000"/>
          <w:sz w:val="28"/>
          <w:szCs w:val="28"/>
        </w:rPr>
        <w:tab/>
      </w:r>
      <w:r w:rsidRPr="009D0096">
        <w:rPr>
          <w:rFonts w:eastAsia="Calibri"/>
          <w:color w:val="000000"/>
          <w:sz w:val="28"/>
          <w:szCs w:val="28"/>
        </w:rPr>
        <w:tab/>
      </w:r>
    </w:p>
    <w:p w14:paraId="2BCF2531" w14:textId="77777777" w:rsidR="00FB51CF" w:rsidRDefault="00FB51CF" w:rsidP="00EA4633">
      <w:pPr>
        <w:pStyle w:val="naislab"/>
        <w:spacing w:before="120" w:after="0"/>
        <w:jc w:val="both"/>
      </w:pPr>
    </w:p>
    <w:p w14:paraId="0A5688D1" w14:textId="0C2736B0" w:rsidR="00144D4C" w:rsidRDefault="00144D4C" w:rsidP="00F65F46">
      <w:pPr>
        <w:pStyle w:val="naislab"/>
        <w:spacing w:before="120" w:after="0"/>
        <w:jc w:val="both"/>
      </w:pPr>
    </w:p>
    <w:p w14:paraId="1B51A8D0" w14:textId="77777777" w:rsidR="00144D4C" w:rsidRDefault="00144D4C" w:rsidP="00F65F46">
      <w:pPr>
        <w:pStyle w:val="naislab"/>
        <w:spacing w:before="120" w:after="0"/>
        <w:jc w:val="both"/>
      </w:pPr>
    </w:p>
    <w:p w14:paraId="0991724A" w14:textId="77777777" w:rsidR="000933E0" w:rsidRDefault="000933E0" w:rsidP="00AB4AE8">
      <w:pPr>
        <w:pStyle w:val="naislab"/>
        <w:spacing w:before="120" w:after="0"/>
        <w:ind w:firstLine="720"/>
        <w:jc w:val="both"/>
      </w:pPr>
    </w:p>
    <w:p w14:paraId="48E7EF0D" w14:textId="77777777" w:rsidR="00825504" w:rsidRDefault="00825504" w:rsidP="00AB4AE8">
      <w:pPr>
        <w:pStyle w:val="naislab"/>
        <w:spacing w:before="120" w:after="0"/>
        <w:ind w:firstLine="720"/>
        <w:jc w:val="both"/>
      </w:pPr>
    </w:p>
    <w:p w14:paraId="2BA2AA8F" w14:textId="77777777" w:rsidR="00CA55C5" w:rsidRDefault="00CA55C5" w:rsidP="00AB4AE8">
      <w:pPr>
        <w:pStyle w:val="naislab"/>
        <w:spacing w:before="120" w:after="0"/>
        <w:ind w:firstLine="720"/>
        <w:jc w:val="both"/>
      </w:pPr>
    </w:p>
    <w:p w14:paraId="1A760BF7" w14:textId="77777777" w:rsidR="0083691A" w:rsidRDefault="0083691A" w:rsidP="00AB4AE8">
      <w:pPr>
        <w:pStyle w:val="naislab"/>
        <w:spacing w:before="120" w:after="0"/>
        <w:ind w:firstLine="720"/>
        <w:jc w:val="both"/>
      </w:pPr>
    </w:p>
    <w:p w14:paraId="3DB5B84E" w14:textId="77777777" w:rsidR="00AB4AE8" w:rsidRPr="00F93CE7" w:rsidRDefault="00AB4AE8" w:rsidP="00AB4AE8">
      <w:pPr>
        <w:pStyle w:val="naislab"/>
        <w:spacing w:before="120" w:after="0"/>
        <w:ind w:firstLine="720"/>
        <w:jc w:val="both"/>
      </w:pPr>
    </w:p>
    <w:p w14:paraId="54368C2C" w14:textId="77777777" w:rsidR="00396921" w:rsidRPr="00396921" w:rsidRDefault="00396921" w:rsidP="00396921">
      <w:pPr>
        <w:pStyle w:val="naisf"/>
        <w:rPr>
          <w:sz w:val="28"/>
          <w:szCs w:val="28"/>
        </w:rPr>
      </w:pPr>
    </w:p>
    <w:p w14:paraId="4BAC505F" w14:textId="77777777" w:rsidR="00F32CCA" w:rsidRPr="008C6382" w:rsidRDefault="00F32CCA" w:rsidP="00F32CCA">
      <w:pPr>
        <w:pStyle w:val="naisf"/>
        <w:spacing w:before="0" w:after="0"/>
        <w:ind w:firstLine="0"/>
        <w:rPr>
          <w:sz w:val="28"/>
          <w:szCs w:val="28"/>
        </w:rPr>
      </w:pPr>
    </w:p>
    <w:sectPr w:rsidR="00F32CCA" w:rsidRPr="008C6382" w:rsidSect="00F561A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8FEB" w14:textId="77777777" w:rsidR="00D76E49" w:rsidRDefault="00D76E49">
      <w:r>
        <w:separator/>
      </w:r>
    </w:p>
  </w:endnote>
  <w:endnote w:type="continuationSeparator" w:id="0">
    <w:p w14:paraId="3837FFF3" w14:textId="77777777" w:rsidR="00D76E49" w:rsidRDefault="00D7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3D56" w14:textId="4BB2F7B9" w:rsidR="003D54A2" w:rsidRPr="00026C5E" w:rsidRDefault="00F32CCA" w:rsidP="00026C5E">
    <w:pPr>
      <w:pStyle w:val="naislab"/>
      <w:spacing w:before="0" w:after="0"/>
      <w:ind w:left="-567"/>
      <w:jc w:val="both"/>
      <w:rPr>
        <w:bCs/>
        <w:sz w:val="20"/>
        <w:szCs w:val="20"/>
      </w:rPr>
    </w:pPr>
    <w:r w:rsidRPr="009F298D">
      <w:rPr>
        <w:sz w:val="20"/>
        <w:szCs w:val="20"/>
      </w:rPr>
      <w:t>EMNot_</w:t>
    </w:r>
    <w:r w:rsidR="00B51103">
      <w:rPr>
        <w:sz w:val="20"/>
        <w:szCs w:val="20"/>
      </w:rPr>
      <w:t>GrozMK384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2DF7C" w14:textId="13B94398" w:rsidR="00FF79BF" w:rsidRPr="00875849" w:rsidRDefault="00F32CCA" w:rsidP="00875849">
    <w:pPr>
      <w:pStyle w:val="naislab"/>
      <w:spacing w:before="0" w:after="0"/>
      <w:ind w:left="-340"/>
      <w:jc w:val="left"/>
      <w:rPr>
        <w:sz w:val="18"/>
        <w:szCs w:val="18"/>
      </w:rPr>
    </w:pPr>
    <w:r w:rsidRPr="00053A5E">
      <w:t xml:space="preserve"> </w:t>
    </w:r>
    <w:r w:rsidRPr="00875849">
      <w:t xml:space="preserve"> </w:t>
    </w:r>
    <w:r w:rsidRPr="00875849">
      <w:rPr>
        <w:sz w:val="18"/>
        <w:szCs w:val="18"/>
      </w:rPr>
      <w:t>EMNot_</w:t>
    </w:r>
    <w:r w:rsidR="00F0694F">
      <w:rPr>
        <w:sz w:val="18"/>
        <w:szCs w:val="18"/>
      </w:rPr>
      <w:t>GrozMK384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2A0E" w14:textId="77777777" w:rsidR="00D76E49" w:rsidRDefault="00D76E49">
      <w:r>
        <w:separator/>
      </w:r>
    </w:p>
  </w:footnote>
  <w:footnote w:type="continuationSeparator" w:id="0">
    <w:p w14:paraId="090E2303" w14:textId="77777777" w:rsidR="00D76E49" w:rsidRDefault="00D7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DC71" w14:textId="77777777" w:rsidR="003D54A2" w:rsidRDefault="00F32CCA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89174" w14:textId="77777777" w:rsidR="003D54A2" w:rsidRDefault="00E01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419B" w14:textId="77777777" w:rsidR="003D54A2" w:rsidRDefault="00F32CCA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36B425" w14:textId="77777777" w:rsidR="003D54A2" w:rsidRDefault="00E01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78E"/>
    <w:multiLevelType w:val="hybridMultilevel"/>
    <w:tmpl w:val="B492C8DE"/>
    <w:lvl w:ilvl="0" w:tplc="E9E8107C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B6048"/>
    <w:multiLevelType w:val="hybridMultilevel"/>
    <w:tmpl w:val="9702B62E"/>
    <w:lvl w:ilvl="0" w:tplc="923C8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35FFE"/>
    <w:multiLevelType w:val="hybridMultilevel"/>
    <w:tmpl w:val="6D3E3BB2"/>
    <w:lvl w:ilvl="0" w:tplc="271E2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6F25"/>
    <w:multiLevelType w:val="hybridMultilevel"/>
    <w:tmpl w:val="D20CB75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0146B"/>
    <w:multiLevelType w:val="hybridMultilevel"/>
    <w:tmpl w:val="416C40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90039"/>
    <w:multiLevelType w:val="hybridMultilevel"/>
    <w:tmpl w:val="5D3E7C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566EC"/>
    <w:multiLevelType w:val="hybridMultilevel"/>
    <w:tmpl w:val="5B10E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175"/>
    <w:multiLevelType w:val="hybridMultilevel"/>
    <w:tmpl w:val="7416130C"/>
    <w:lvl w:ilvl="0" w:tplc="328A2082">
      <w:start w:val="7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A"/>
    <w:rsid w:val="0004329D"/>
    <w:rsid w:val="000454B0"/>
    <w:rsid w:val="0005579D"/>
    <w:rsid w:val="00084637"/>
    <w:rsid w:val="000933E0"/>
    <w:rsid w:val="000B01FE"/>
    <w:rsid w:val="0012552F"/>
    <w:rsid w:val="00144D4C"/>
    <w:rsid w:val="00147081"/>
    <w:rsid w:val="00201A11"/>
    <w:rsid w:val="00214730"/>
    <w:rsid w:val="00242565"/>
    <w:rsid w:val="00243D77"/>
    <w:rsid w:val="0025345E"/>
    <w:rsid w:val="00256096"/>
    <w:rsid w:val="00273F20"/>
    <w:rsid w:val="00291C23"/>
    <w:rsid w:val="00291E66"/>
    <w:rsid w:val="002C4DE8"/>
    <w:rsid w:val="00311CF7"/>
    <w:rsid w:val="00332CEB"/>
    <w:rsid w:val="00396921"/>
    <w:rsid w:val="003A0748"/>
    <w:rsid w:val="003B5112"/>
    <w:rsid w:val="003C1590"/>
    <w:rsid w:val="00437F47"/>
    <w:rsid w:val="00461974"/>
    <w:rsid w:val="0047174F"/>
    <w:rsid w:val="004E0EE3"/>
    <w:rsid w:val="005156C0"/>
    <w:rsid w:val="005210F1"/>
    <w:rsid w:val="00570A3D"/>
    <w:rsid w:val="005E2ECE"/>
    <w:rsid w:val="005E3F1C"/>
    <w:rsid w:val="005F3445"/>
    <w:rsid w:val="005F7678"/>
    <w:rsid w:val="00602055"/>
    <w:rsid w:val="00607A2F"/>
    <w:rsid w:val="00627304"/>
    <w:rsid w:val="006350D5"/>
    <w:rsid w:val="00641B9F"/>
    <w:rsid w:val="00652C2F"/>
    <w:rsid w:val="0065396C"/>
    <w:rsid w:val="006602B0"/>
    <w:rsid w:val="00680967"/>
    <w:rsid w:val="00686CCF"/>
    <w:rsid w:val="006C7603"/>
    <w:rsid w:val="006D3BFE"/>
    <w:rsid w:val="006D4855"/>
    <w:rsid w:val="006D4B16"/>
    <w:rsid w:val="006E6FB0"/>
    <w:rsid w:val="00712E4C"/>
    <w:rsid w:val="007135B7"/>
    <w:rsid w:val="00737BB1"/>
    <w:rsid w:val="007846F1"/>
    <w:rsid w:val="007F047D"/>
    <w:rsid w:val="00825504"/>
    <w:rsid w:val="0083691A"/>
    <w:rsid w:val="00840987"/>
    <w:rsid w:val="0085152D"/>
    <w:rsid w:val="008530F4"/>
    <w:rsid w:val="008D417E"/>
    <w:rsid w:val="008D7D9D"/>
    <w:rsid w:val="009037EE"/>
    <w:rsid w:val="009038D2"/>
    <w:rsid w:val="00933672"/>
    <w:rsid w:val="00952C0B"/>
    <w:rsid w:val="00961165"/>
    <w:rsid w:val="009C6204"/>
    <w:rsid w:val="009E0754"/>
    <w:rsid w:val="009F5272"/>
    <w:rsid w:val="00A03408"/>
    <w:rsid w:val="00A81B14"/>
    <w:rsid w:val="00A82C65"/>
    <w:rsid w:val="00A926F5"/>
    <w:rsid w:val="00AA4EE3"/>
    <w:rsid w:val="00AB4AE8"/>
    <w:rsid w:val="00AC7F3E"/>
    <w:rsid w:val="00AF4515"/>
    <w:rsid w:val="00B15A14"/>
    <w:rsid w:val="00B306FE"/>
    <w:rsid w:val="00B51103"/>
    <w:rsid w:val="00B93DE6"/>
    <w:rsid w:val="00BD608D"/>
    <w:rsid w:val="00BF1AD5"/>
    <w:rsid w:val="00BF43A3"/>
    <w:rsid w:val="00BF7C7A"/>
    <w:rsid w:val="00C06648"/>
    <w:rsid w:val="00C4064C"/>
    <w:rsid w:val="00C407C9"/>
    <w:rsid w:val="00C604EB"/>
    <w:rsid w:val="00C94733"/>
    <w:rsid w:val="00CA55C5"/>
    <w:rsid w:val="00CB4DAA"/>
    <w:rsid w:val="00CC30E9"/>
    <w:rsid w:val="00CF5E38"/>
    <w:rsid w:val="00D25B63"/>
    <w:rsid w:val="00D351BB"/>
    <w:rsid w:val="00D64006"/>
    <w:rsid w:val="00D76E49"/>
    <w:rsid w:val="00D77988"/>
    <w:rsid w:val="00DE6C01"/>
    <w:rsid w:val="00E011F2"/>
    <w:rsid w:val="00E0398A"/>
    <w:rsid w:val="00E2231D"/>
    <w:rsid w:val="00E4630B"/>
    <w:rsid w:val="00E55622"/>
    <w:rsid w:val="00E55A2E"/>
    <w:rsid w:val="00EA4633"/>
    <w:rsid w:val="00EC5AE5"/>
    <w:rsid w:val="00ED1379"/>
    <w:rsid w:val="00ED3149"/>
    <w:rsid w:val="00EE645F"/>
    <w:rsid w:val="00EE77E0"/>
    <w:rsid w:val="00F0281B"/>
    <w:rsid w:val="00F0694F"/>
    <w:rsid w:val="00F15B2E"/>
    <w:rsid w:val="00F32CCA"/>
    <w:rsid w:val="00F34205"/>
    <w:rsid w:val="00F60612"/>
    <w:rsid w:val="00F61F53"/>
    <w:rsid w:val="00F65F46"/>
    <w:rsid w:val="00F7383E"/>
    <w:rsid w:val="00F76C71"/>
    <w:rsid w:val="00F76D45"/>
    <w:rsid w:val="00F93CE7"/>
    <w:rsid w:val="00F94825"/>
    <w:rsid w:val="00F95389"/>
    <w:rsid w:val="00FB51CF"/>
    <w:rsid w:val="00FB5669"/>
    <w:rsid w:val="00F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2253C"/>
  <w15:chartTrackingRefBased/>
  <w15:docId w15:val="{299AC89B-F6D1-45C9-9D96-69657F1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F32CCA"/>
    <w:pPr>
      <w:spacing w:before="75" w:after="75"/>
      <w:jc w:val="right"/>
    </w:pPr>
  </w:style>
  <w:style w:type="paragraph" w:customStyle="1" w:styleId="naisf">
    <w:name w:val="naisf"/>
    <w:basedOn w:val="Normal"/>
    <w:rsid w:val="00F32CCA"/>
    <w:pPr>
      <w:spacing w:before="75" w:after="75"/>
      <w:ind w:firstLine="375"/>
      <w:jc w:val="both"/>
    </w:pPr>
  </w:style>
  <w:style w:type="paragraph" w:styleId="Header">
    <w:name w:val="header"/>
    <w:basedOn w:val="Normal"/>
    <w:link w:val="HeaderChar"/>
    <w:rsid w:val="00F32C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2CC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F32CCA"/>
  </w:style>
  <w:style w:type="paragraph" w:styleId="BalloonText">
    <w:name w:val="Balloon Text"/>
    <w:basedOn w:val="Normal"/>
    <w:link w:val="BalloonTextChar"/>
    <w:uiPriority w:val="99"/>
    <w:semiHidden/>
    <w:unhideWhenUsed/>
    <w:rsid w:val="00E55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22"/>
    <w:rPr>
      <w:rFonts w:ascii="Segoe UI" w:eastAsia="Times New Roman" w:hAnsi="Segoe UI" w:cs="Segoe UI"/>
      <w:sz w:val="18"/>
      <w:szCs w:val="18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511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10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64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0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0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68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8723-2E6B-4C83-8793-2737C978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3868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44</cp:revision>
  <dcterms:created xsi:type="dcterms:W3CDTF">2021-03-26T10:30:00Z</dcterms:created>
  <dcterms:modified xsi:type="dcterms:W3CDTF">2021-04-06T08:09:00Z</dcterms:modified>
</cp:coreProperties>
</file>