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67B64" w14:textId="77777777" w:rsidR="00E553F1" w:rsidRPr="001D1F75" w:rsidRDefault="00E553F1" w:rsidP="00E553F1">
      <w:pPr>
        <w:shd w:val="clear" w:color="auto" w:fill="FFFFFF"/>
        <w:contextualSpacing/>
        <w:jc w:val="center"/>
        <w:rPr>
          <w:b/>
          <w:bCs/>
        </w:rPr>
      </w:pPr>
      <w:bookmarkStart w:id="0" w:name="_Hlk64558038"/>
      <w:r w:rsidRPr="00AC4BD2">
        <w:rPr>
          <w:b/>
          <w:bCs/>
        </w:rPr>
        <w:t xml:space="preserve">Ministru kabineta noteikumu projekta </w:t>
      </w:r>
      <w:r w:rsidRPr="00AC4BD2">
        <w:rPr>
          <w:b/>
        </w:rPr>
        <w:t>“</w:t>
      </w:r>
      <w:r w:rsidRPr="001D1F75">
        <w:rPr>
          <w:b/>
          <w:bCs/>
          <w:iCs/>
        </w:rPr>
        <w:t>Grozījumi Ministru kabineta 2014. gada 19. augusta noteikumos Nr. 501 “</w:t>
      </w:r>
      <w:r w:rsidRPr="001D1F75">
        <w:rPr>
          <w:b/>
          <w:bCs/>
        </w:rPr>
        <w:t xml:space="preserve">Elektronisko sakaru tīklu ierīkošanas, būvniecības un </w:t>
      </w:r>
    </w:p>
    <w:p w14:paraId="0B887BCE" w14:textId="77777777" w:rsidR="00E553F1" w:rsidRPr="00AC4BD2" w:rsidRDefault="00E553F1" w:rsidP="00E553F1">
      <w:pPr>
        <w:shd w:val="clear" w:color="auto" w:fill="FFFFFF"/>
        <w:contextualSpacing/>
        <w:jc w:val="center"/>
        <w:rPr>
          <w:b/>
        </w:rPr>
      </w:pPr>
      <w:r w:rsidRPr="001D1F75">
        <w:rPr>
          <w:b/>
          <w:bCs/>
        </w:rPr>
        <w:t>uzraudzības kārtība”</w:t>
      </w:r>
      <w:r w:rsidRPr="00AC4BD2">
        <w:rPr>
          <w:b/>
        </w:rPr>
        <w:t xml:space="preserve">” </w:t>
      </w:r>
      <w:r w:rsidRPr="00AC4BD2">
        <w:rPr>
          <w:b/>
          <w:bCs/>
        </w:rPr>
        <w:t>sākotnējās ietekmes novērtējuma apvienotais ziņojums (anotācija)</w:t>
      </w:r>
    </w:p>
    <w:bookmarkEnd w:id="0"/>
    <w:p w14:paraId="0E024476" w14:textId="77777777" w:rsidR="00E553F1" w:rsidRPr="00AC4BD2" w:rsidRDefault="00E553F1" w:rsidP="00E553F1"/>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28" w:type="dxa"/>
          <w:bottom w:w="28" w:type="dxa"/>
          <w:right w:w="28" w:type="dxa"/>
        </w:tblCellMar>
        <w:tblLook w:val="04A0" w:firstRow="1" w:lastRow="0" w:firstColumn="1" w:lastColumn="0" w:noHBand="0" w:noVBand="1"/>
      </w:tblPr>
      <w:tblGrid>
        <w:gridCol w:w="3288"/>
        <w:gridCol w:w="5773"/>
      </w:tblGrid>
      <w:tr w:rsidR="00E553F1" w:rsidRPr="00AC4BD2" w14:paraId="620F4418" w14:textId="77777777" w:rsidTr="00F86EC4">
        <w:trPr>
          <w:cantSplit/>
        </w:trPr>
        <w:tc>
          <w:tcPr>
            <w:tcW w:w="830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809264E" w14:textId="77777777" w:rsidR="00E553F1" w:rsidRPr="00AC4BD2" w:rsidRDefault="00E553F1" w:rsidP="00F86EC4">
            <w:pPr>
              <w:contextualSpacing/>
              <w:jc w:val="center"/>
              <w:rPr>
                <w:b/>
                <w:iCs/>
                <w:lang w:eastAsia="en-US"/>
              </w:rPr>
            </w:pPr>
            <w:r w:rsidRPr="00AC4BD2">
              <w:rPr>
                <w:b/>
                <w:iCs/>
                <w:lang w:eastAsia="en-US"/>
              </w:rPr>
              <w:t>Tiesību akta projekta anotācijas kopsavilkums</w:t>
            </w:r>
          </w:p>
        </w:tc>
      </w:tr>
      <w:tr w:rsidR="00E553F1" w:rsidRPr="00AC4BD2" w14:paraId="3F16CF6B" w14:textId="77777777" w:rsidTr="00F86EC4">
        <w:trPr>
          <w:cantSplit/>
        </w:trPr>
        <w:tc>
          <w:tcPr>
            <w:tcW w:w="3014" w:type="dxa"/>
            <w:tcBorders>
              <w:top w:val="single" w:sz="4" w:space="0" w:color="00000A"/>
              <w:left w:val="single" w:sz="4" w:space="0" w:color="00000A"/>
              <w:bottom w:val="single" w:sz="4" w:space="0" w:color="00000A"/>
              <w:right w:val="single" w:sz="4" w:space="0" w:color="00000A"/>
            </w:tcBorders>
            <w:shd w:val="clear" w:color="auto" w:fill="FFFFFF"/>
          </w:tcPr>
          <w:p w14:paraId="7EB42AAD" w14:textId="77777777" w:rsidR="00E553F1" w:rsidRPr="00AC4BD2" w:rsidRDefault="00E553F1" w:rsidP="00F86EC4">
            <w:pPr>
              <w:contextualSpacing/>
              <w:rPr>
                <w:iCs/>
                <w:lang w:eastAsia="en-US"/>
              </w:rPr>
            </w:pPr>
            <w:r w:rsidRPr="00AC4BD2">
              <w:rPr>
                <w:iCs/>
                <w:lang w:eastAsia="en-US"/>
              </w:rPr>
              <w:t>Mērķis, risinājums un projekta spēkā stāšanās laiks (500 zīmes bez atstarpēm)</w:t>
            </w:r>
          </w:p>
        </w:tc>
        <w:tc>
          <w:tcPr>
            <w:tcW w:w="5291" w:type="dxa"/>
            <w:tcBorders>
              <w:top w:val="single" w:sz="4" w:space="0" w:color="00000A"/>
              <w:left w:val="single" w:sz="4" w:space="0" w:color="00000A"/>
              <w:bottom w:val="single" w:sz="4" w:space="0" w:color="00000A"/>
              <w:right w:val="single" w:sz="4" w:space="0" w:color="00000A"/>
            </w:tcBorders>
            <w:shd w:val="clear" w:color="auto" w:fill="FFFFFF"/>
          </w:tcPr>
          <w:p w14:paraId="60D62682" w14:textId="77777777" w:rsidR="00E553F1" w:rsidRPr="00C57ADA" w:rsidRDefault="00E553F1" w:rsidP="00F86EC4">
            <w:pPr>
              <w:contextualSpacing/>
              <w:jc w:val="both"/>
            </w:pPr>
            <w:bookmarkStart w:id="1" w:name="_Hlk11660242"/>
            <w:r w:rsidRPr="00AC4BD2">
              <w:rPr>
                <w:lang w:eastAsia="en-US"/>
              </w:rPr>
              <w:t xml:space="preserve">Ministru kabineta noteikumu projekts </w:t>
            </w:r>
            <w:r w:rsidRPr="001D1F75">
              <w:rPr>
                <w:lang w:eastAsia="en-US"/>
              </w:rPr>
              <w:t>“</w:t>
            </w:r>
            <w:r w:rsidRPr="001D1F75">
              <w:rPr>
                <w:iCs/>
              </w:rPr>
              <w:t>Grozījumi Ministru kabineta 2014.gada 19.augusta noteikumos Nr.501 “</w:t>
            </w:r>
            <w:r w:rsidRPr="001D1F75">
              <w:t>Elektronisko sakaru tīklu ierīkošanas, būvniecības un uzraudzības kārtība”</w:t>
            </w:r>
            <w:r>
              <w:t xml:space="preserve">” </w:t>
            </w:r>
            <w:r w:rsidRPr="00AC4BD2">
              <w:rPr>
                <w:lang w:eastAsia="en-US"/>
              </w:rPr>
              <w:t xml:space="preserve">(turpmāk – noteikumu projekts) </w:t>
            </w:r>
            <w:r w:rsidRPr="00C57ADA">
              <w:rPr>
                <w:lang w:eastAsia="en-US"/>
              </w:rPr>
              <w:t xml:space="preserve">mērķis ir </w:t>
            </w:r>
            <w:r w:rsidRPr="00C57ADA">
              <w:t>pārskatīt noteiktās procedūras un nodrošināt ērtākus risinājumus būvniecības informācijas sistēmā, samazinot būvniecības ieceres iesniegumu veidus, kā arī novērstu praksē konstatētās nepilnības.</w:t>
            </w:r>
          </w:p>
          <w:p w14:paraId="12902637" w14:textId="77777777" w:rsidR="00E553F1" w:rsidRPr="00AC4BD2" w:rsidRDefault="00E553F1" w:rsidP="00F86EC4">
            <w:pPr>
              <w:contextualSpacing/>
              <w:jc w:val="both"/>
            </w:pPr>
            <w:r w:rsidRPr="00AC4BD2">
              <w:rPr>
                <w:lang w:eastAsia="en-US"/>
              </w:rPr>
              <w:t>Ministru kabineta noteikumi stāsies spēkā 2021.gada 1.</w:t>
            </w:r>
            <w:bookmarkEnd w:id="1"/>
            <w:r w:rsidRPr="00AC4BD2">
              <w:rPr>
                <w:lang w:eastAsia="en-US"/>
              </w:rPr>
              <w:t>novembrī.</w:t>
            </w:r>
          </w:p>
        </w:tc>
      </w:tr>
    </w:tbl>
    <w:p w14:paraId="692001A1" w14:textId="77777777" w:rsidR="00E553F1" w:rsidRPr="00AC4BD2" w:rsidRDefault="00E553F1" w:rsidP="00E553F1"/>
    <w:tbl>
      <w:tblPr>
        <w:tblpPr w:leftFromText="180" w:rightFromText="180" w:vertAnchor="text" w:tblpY="1"/>
        <w:tblOverlap w:val="neve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30" w:type="dxa"/>
          <w:left w:w="30" w:type="dxa"/>
          <w:bottom w:w="30" w:type="dxa"/>
          <w:right w:w="30" w:type="dxa"/>
        </w:tblCellMar>
        <w:tblLook w:val="04A0" w:firstRow="1" w:lastRow="0" w:firstColumn="1" w:lastColumn="0" w:noHBand="0" w:noVBand="1"/>
      </w:tblPr>
      <w:tblGrid>
        <w:gridCol w:w="562"/>
        <w:gridCol w:w="2681"/>
        <w:gridCol w:w="5818"/>
      </w:tblGrid>
      <w:tr w:rsidR="00E553F1" w:rsidRPr="00AC4BD2" w14:paraId="5F201C13" w14:textId="77777777" w:rsidTr="00F86EC4">
        <w:tc>
          <w:tcPr>
            <w:tcW w:w="8306"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BEB5B74" w14:textId="77777777" w:rsidR="00E553F1" w:rsidRPr="00AC4BD2" w:rsidRDefault="00E553F1" w:rsidP="00F86EC4">
            <w:pPr>
              <w:contextualSpacing/>
              <w:jc w:val="center"/>
              <w:rPr>
                <w:b/>
                <w:bCs/>
              </w:rPr>
            </w:pPr>
            <w:r w:rsidRPr="00AC4BD2">
              <w:rPr>
                <w:b/>
                <w:bCs/>
              </w:rPr>
              <w:t>I. Tiesību akta projekta izstrādes nepieciešamība</w:t>
            </w:r>
          </w:p>
        </w:tc>
      </w:tr>
      <w:tr w:rsidR="00E553F1" w:rsidRPr="00AC4BD2" w14:paraId="7770BD7E" w14:textId="77777777" w:rsidTr="00F86EC4">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6DE1E1D0" w14:textId="77777777" w:rsidR="00E553F1" w:rsidRPr="00AC4BD2" w:rsidRDefault="00E553F1" w:rsidP="00F86EC4">
            <w:pPr>
              <w:contextualSpacing/>
              <w:jc w:val="center"/>
            </w:pPr>
            <w:r w:rsidRPr="00AC4BD2">
              <w:t>1.</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0DA0CB65" w14:textId="77777777" w:rsidR="00E553F1" w:rsidRPr="00AC4BD2" w:rsidRDefault="00E553F1" w:rsidP="00F86EC4">
            <w:pPr>
              <w:contextualSpacing/>
            </w:pPr>
            <w:r w:rsidRPr="00AC4BD2">
              <w:t>Pamatojums</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6CA7ABA5" w14:textId="77777777" w:rsidR="00E553F1" w:rsidRPr="00AC4BD2" w:rsidRDefault="00E553F1" w:rsidP="00F86EC4">
            <w:pPr>
              <w:contextualSpacing/>
              <w:jc w:val="both"/>
            </w:pPr>
            <w:r w:rsidRPr="00AC4BD2">
              <w:t>Ekonomikas ministrijas iniciatīva.</w:t>
            </w:r>
          </w:p>
        </w:tc>
      </w:tr>
      <w:tr w:rsidR="00E553F1" w:rsidRPr="00AC4BD2" w14:paraId="609D2EAB" w14:textId="77777777" w:rsidTr="00F86EC4">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3B2281FC" w14:textId="77777777" w:rsidR="00E553F1" w:rsidRPr="00AC4BD2" w:rsidRDefault="00E553F1" w:rsidP="00F86EC4">
            <w:pPr>
              <w:contextualSpacing/>
              <w:jc w:val="center"/>
            </w:pPr>
            <w:r w:rsidRPr="00AC4BD2">
              <w:t>2.</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35E17A16" w14:textId="77777777" w:rsidR="00E553F1" w:rsidRPr="00AC4BD2" w:rsidRDefault="00E553F1" w:rsidP="00F86EC4">
            <w:pPr>
              <w:contextualSpacing/>
            </w:pPr>
            <w:r w:rsidRPr="00AC4BD2">
              <w:t>Pašreizējā situācija un problēmas, kuru risināšanai tiesību akta projekts izstrādāts, tiesiskā regulējuma mērķis un būtība</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26157A28" w14:textId="77777777" w:rsidR="00E553F1" w:rsidRDefault="00E553F1" w:rsidP="00F86EC4">
            <w:pPr>
              <w:jc w:val="both"/>
            </w:pPr>
            <w:r w:rsidRPr="00AC4BD2">
              <w:t xml:space="preserve">[1] Noteikumu projektā ir paredzēts, ka </w:t>
            </w:r>
            <w:proofErr w:type="spellStart"/>
            <w:r w:rsidRPr="00AC4BD2">
              <w:t>būvspeciālistam</w:t>
            </w:r>
            <w:proofErr w:type="spellEnd"/>
            <w:r w:rsidRPr="00AC4BD2">
              <w:t xml:space="preserve">, ievadot informāciju par sevi būs jānorāda ne tikai sertifikāta numurs, bet arī darbības sfēra. Šobrīd, ja </w:t>
            </w:r>
            <w:proofErr w:type="spellStart"/>
            <w:r w:rsidRPr="00AC4BD2">
              <w:t>būvspeciālistam</w:t>
            </w:r>
            <w:proofErr w:type="spellEnd"/>
            <w:r w:rsidRPr="00AC4BD2">
              <w:t xml:space="preserve"> bija kompetence vienas jomas vairākās sfērās, tad šāda informācija netika norādīta BIS. Viens no būvvaldes uzdevumiem ir konstatēt, vai </w:t>
            </w:r>
            <w:proofErr w:type="spellStart"/>
            <w:r w:rsidRPr="00AC4BD2">
              <w:t>būvspeciālistam</w:t>
            </w:r>
            <w:proofErr w:type="spellEnd"/>
            <w:r w:rsidRPr="00AC4BD2">
              <w:t xml:space="preserve"> ir kompetence sniegt būvniecības pakalpojumu atbilstošā sfērā. Būvniecības jomas ir  projektēšana, inženierizpēte, būvdarbu vadīšana, būvuzraudzība un būvekspertīze.  </w:t>
            </w:r>
            <w:proofErr w:type="spellStart"/>
            <w:r w:rsidRPr="00AC4BD2">
              <w:t>Būvspeciālista</w:t>
            </w:r>
            <w:proofErr w:type="spellEnd"/>
            <w:r w:rsidRPr="00AC4BD2">
              <w:t xml:space="preserve"> darbības sfēras ir noteiktas Ministru kabineta 2018.</w:t>
            </w:r>
            <w:r>
              <w:t xml:space="preserve"> </w:t>
            </w:r>
            <w:r w:rsidRPr="00AC4BD2">
              <w:t>gada 20</w:t>
            </w:r>
            <w:r>
              <w:t xml:space="preserve"> </w:t>
            </w:r>
            <w:r w:rsidRPr="00AC4BD2">
              <w:t>.marta noteikumu Nr.169 “</w:t>
            </w:r>
            <w:proofErr w:type="spellStart"/>
            <w:r w:rsidRPr="00AC4BD2">
              <w:t>Būvspeciālistu</w:t>
            </w:r>
            <w:proofErr w:type="spellEnd"/>
            <w:r w:rsidRPr="00AC4BD2">
              <w:t xml:space="preserve"> kompetences novērtēšanas un patstāvīgās prakses uzraudzības noteikumi”</w:t>
            </w:r>
            <w:r>
              <w:t xml:space="preserve"> (turpmāk – Noteikumi Nr.169)</w:t>
            </w:r>
            <w:r w:rsidRPr="00AC4BD2">
              <w:t xml:space="preserve"> 1.</w:t>
            </w:r>
            <w:r>
              <w:t xml:space="preserve"> </w:t>
            </w:r>
            <w:r w:rsidRPr="00AC4BD2">
              <w:t xml:space="preserve">pielikumā. </w:t>
            </w:r>
          </w:p>
          <w:p w14:paraId="20FC140B" w14:textId="77777777" w:rsidR="00E553F1" w:rsidRPr="00AC4BD2" w:rsidRDefault="00E553F1" w:rsidP="00F86EC4">
            <w:pPr>
              <w:jc w:val="both"/>
            </w:pPr>
            <w:r>
              <w:t>(Noteikumu projekta 1.1.apakšpunkts).</w:t>
            </w:r>
          </w:p>
          <w:p w14:paraId="0199B6BA" w14:textId="77777777" w:rsidR="00E553F1" w:rsidRDefault="00E553F1" w:rsidP="00F86EC4">
            <w:pPr>
              <w:ind w:firstLine="253"/>
              <w:contextualSpacing/>
              <w:jc w:val="both"/>
            </w:pPr>
          </w:p>
          <w:p w14:paraId="0103B10D" w14:textId="77777777" w:rsidR="00E553F1" w:rsidRPr="00BC7065" w:rsidRDefault="00E553F1" w:rsidP="00F86EC4">
            <w:pPr>
              <w:contextualSpacing/>
              <w:jc w:val="both"/>
              <w:rPr>
                <w:i/>
                <w:iCs/>
              </w:rPr>
            </w:pPr>
            <w:r w:rsidRPr="00AC4BD2">
              <w:t>[2] </w:t>
            </w:r>
            <w:r>
              <w:t xml:space="preserve">Noteikumu 2.1. apakšpunktā ir dots terminam “iekšējais elektronisko sakaru tīkls” skaidrojums. Ņemot vērā Civillikuma  850. pantā noteikto, ka </w:t>
            </w:r>
            <w:r w:rsidRPr="00BC7065">
              <w:rPr>
                <w:i/>
                <w:iCs/>
              </w:rPr>
              <w:t>galvenās lietas ir tās, kas ir patstāvīgi tiesību priekšmeti. Bet viss tas, kas pastāv tikai ar galveno lietu, vai pieder pie tās, vai kā citādi ar to saistīts (</w:t>
            </w:r>
            <w:r>
              <w:rPr>
                <w:i/>
                <w:iCs/>
              </w:rPr>
              <w:t>851.p.</w:t>
            </w:r>
            <w:r w:rsidRPr="00BC7065">
              <w:rPr>
                <w:i/>
                <w:iCs/>
              </w:rPr>
              <w:t>), ir blakus lieta</w:t>
            </w:r>
            <w:r>
              <w:rPr>
                <w:i/>
                <w:iCs/>
              </w:rPr>
              <w:t xml:space="preserve">, </w:t>
            </w:r>
            <w:r>
              <w:t>noteikumu projektā ir precizēts, ka iekšējais elektronisko sakaru tīkls ir būves piederums</w:t>
            </w:r>
            <w:r w:rsidRPr="00BC7065">
              <w:rPr>
                <w:i/>
                <w:iCs/>
              </w:rPr>
              <w:t>.</w:t>
            </w:r>
          </w:p>
          <w:p w14:paraId="05ABEB09" w14:textId="77777777" w:rsidR="00E553F1" w:rsidRDefault="00E553F1" w:rsidP="00F86EC4">
            <w:pPr>
              <w:contextualSpacing/>
              <w:jc w:val="both"/>
            </w:pPr>
            <w:bookmarkStart w:id="2" w:name="p851"/>
            <w:bookmarkStart w:id="3" w:name="p-40961"/>
            <w:bookmarkEnd w:id="2"/>
            <w:bookmarkEnd w:id="3"/>
            <w:r>
              <w:t>(Noteikumu projekta 1.2. apakšpunkts).</w:t>
            </w:r>
          </w:p>
          <w:p w14:paraId="2F6476CC" w14:textId="77777777" w:rsidR="00E553F1" w:rsidRDefault="00E553F1" w:rsidP="00F86EC4">
            <w:pPr>
              <w:contextualSpacing/>
              <w:jc w:val="both"/>
            </w:pPr>
          </w:p>
          <w:p w14:paraId="3C2E35FD" w14:textId="77777777" w:rsidR="00E553F1" w:rsidRPr="00AC4BD2" w:rsidRDefault="00E553F1" w:rsidP="00F86EC4">
            <w:pPr>
              <w:contextualSpacing/>
              <w:jc w:val="both"/>
            </w:pPr>
            <w:r w:rsidRPr="00AC4BD2">
              <w:t>[</w:t>
            </w:r>
            <w:r>
              <w:t>3</w:t>
            </w:r>
            <w:r w:rsidRPr="00AC4BD2">
              <w:t>] </w:t>
            </w:r>
            <w:r w:rsidRPr="001D1F75">
              <w:rPr>
                <w:iCs/>
              </w:rPr>
              <w:t xml:space="preserve"> </w:t>
            </w:r>
            <w:r>
              <w:t>Noteikumu vairākos punktos bija noteikti gadījumi, kad būvniecības ieceres dokumenti nav jāizstrādā (noteikumu 11., 15.</w:t>
            </w:r>
            <w:r w:rsidRPr="00F11601">
              <w:rPr>
                <w:vertAlign w:val="superscript"/>
              </w:rPr>
              <w:t>1</w:t>
            </w:r>
            <w:r>
              <w:t>, 17., 68.punkts). Lai nevajadzētu meklēt visā tekstā šādus gadījumus, visi šie gadījumi ir apkopoti noteikumu 6.</w:t>
            </w:r>
            <w:r w:rsidRPr="00DF52CE">
              <w:rPr>
                <w:vertAlign w:val="superscript"/>
              </w:rPr>
              <w:t>1</w:t>
            </w:r>
            <w:r>
              <w:t xml:space="preserve"> </w:t>
            </w:r>
            <w:r>
              <w:lastRenderedPageBreak/>
              <w:t xml:space="preserve">punktā. </w:t>
            </w:r>
            <w:r w:rsidRPr="00AC4BD2">
              <w:rPr>
                <w:rStyle w:val="normaltextrun"/>
              </w:rPr>
              <w:t>Tāpat bez būvniecības ieceres dokumentiem var veikt avārijas novēršanas vai tās seku likvidēšanas būvdarbiem, dažādu iekārtu nomaiņu, tai skaitā bojājumu, kas radušies dabas stihijas, zādzības un citu neparedzētu apstākļu dēļ</w:t>
            </w:r>
            <w:r>
              <w:rPr>
                <w:rStyle w:val="normaltextrun"/>
              </w:rPr>
              <w:t xml:space="preserve"> </w:t>
            </w:r>
            <w:r w:rsidRPr="00AC4BD2">
              <w:rPr>
                <w:rStyle w:val="normaltextrun"/>
              </w:rPr>
              <w:t xml:space="preserve">likvidēšanas darbiem. </w:t>
            </w:r>
            <w:r w:rsidRPr="00AC4BD2">
              <w:t>Protams, personai ir pienākums ievērot trešo personu intereses, citos normatīvajos aktos noteiktās prasības (piemēram, attālumi), pašvaldības teritorijas izmantošanas un apbūves noteikumus, saņemt saskaņojumus (piemēram, kopīpašuma gadījumā), ja tādi nepieciešami.</w:t>
            </w:r>
          </w:p>
          <w:p w14:paraId="53DA0F63" w14:textId="77777777" w:rsidR="00E553F1" w:rsidRPr="00351F87" w:rsidRDefault="00E553F1" w:rsidP="00F86EC4">
            <w:pPr>
              <w:contextualSpacing/>
              <w:jc w:val="both"/>
            </w:pPr>
            <w:r>
              <w:t xml:space="preserve">Šajā punktā ir arī noteikts, ka bez būvniecības ieceres dokumentācijas varēs veikt arī pirmās grupas inženierbūves atjaunošanu, līdzīgi kā tas ir noteikts Ministru kabineta 2017. gada 9. maija noteikumos Nr. 251 “Atsevišķu inženierbūvju būvnoteikumi”. Ar grozījumiem Ministru kabineta 2014. gada 19. augusta noteikumos Nr. 500 “Vispārīgie būvnoteikumi” (turpmāk – Notikumi Nr.500) (Ministru kabineta 2021. gada 28. janvāra noteikumi Nr. 55), kuri </w:t>
            </w:r>
            <w:r w:rsidRPr="00351F87">
              <w:t>stāsies spēkā 2021.</w:t>
            </w:r>
            <w:r>
              <w:t xml:space="preserve"> </w:t>
            </w:r>
            <w:r w:rsidRPr="00351F87">
              <w:t>gada 1.</w:t>
            </w:r>
            <w:r>
              <w:t xml:space="preserve"> </w:t>
            </w:r>
            <w:r w:rsidRPr="00351F87">
              <w:t>novembrī, kā pirmās grupas elektronisko sakaru būves (inženierbūves) ir noteiktas:</w:t>
            </w:r>
          </w:p>
          <w:p w14:paraId="6F8D390E" w14:textId="77777777" w:rsidR="00E553F1" w:rsidRPr="00351F87" w:rsidRDefault="00E553F1" w:rsidP="00F86EC4">
            <w:pPr>
              <w:ind w:right="57"/>
              <w:jc w:val="both"/>
            </w:pPr>
            <w:r w:rsidRPr="00351F87">
              <w:t>1) Elektronisko sakaru stabs, tornis vai masts līdz 10 m;</w:t>
            </w:r>
          </w:p>
          <w:p w14:paraId="17D2C41A" w14:textId="77777777" w:rsidR="00E553F1" w:rsidRPr="00351F87" w:rsidRDefault="00E553F1" w:rsidP="00F86EC4">
            <w:pPr>
              <w:ind w:right="57"/>
              <w:jc w:val="both"/>
            </w:pPr>
            <w:r w:rsidRPr="00351F87">
              <w:t>2) Elektronisko sakaru ārējie inženiertīkli;</w:t>
            </w:r>
          </w:p>
          <w:p w14:paraId="0BB9D039" w14:textId="77777777" w:rsidR="00E553F1" w:rsidRPr="00351F87" w:rsidRDefault="00E553F1" w:rsidP="00F86EC4">
            <w:pPr>
              <w:contextualSpacing/>
              <w:jc w:val="both"/>
            </w:pPr>
            <w:r w:rsidRPr="00351F87">
              <w:t xml:space="preserve">3) Elektronisko sakaru inženiertīklu </w:t>
            </w:r>
            <w:proofErr w:type="spellStart"/>
            <w:r w:rsidRPr="00351F87">
              <w:t>pievads</w:t>
            </w:r>
            <w:proofErr w:type="spellEnd"/>
            <w:r w:rsidRPr="00351F87">
              <w:t>.</w:t>
            </w:r>
          </w:p>
          <w:p w14:paraId="7275C5B7" w14:textId="77777777" w:rsidR="00E553F1" w:rsidRDefault="00E553F1" w:rsidP="00F86EC4">
            <w:pPr>
              <w:contextualSpacing/>
              <w:jc w:val="both"/>
            </w:pPr>
            <w:r>
              <w:t>(Noteikumu projekta 1.4. apakšpunkts).</w:t>
            </w:r>
          </w:p>
          <w:p w14:paraId="2B2EE15D" w14:textId="77777777" w:rsidR="00E553F1" w:rsidRPr="00351F87" w:rsidRDefault="00E553F1" w:rsidP="00F86EC4">
            <w:pPr>
              <w:contextualSpacing/>
              <w:jc w:val="both"/>
            </w:pPr>
          </w:p>
          <w:p w14:paraId="40886535" w14:textId="77777777" w:rsidR="00E553F1" w:rsidRPr="00AC4BD2" w:rsidRDefault="00E553F1" w:rsidP="00F86EC4">
            <w:pPr>
              <w:contextualSpacing/>
              <w:jc w:val="both"/>
            </w:pPr>
            <w:r w:rsidRPr="00AC4BD2">
              <w:t>[4] Ņemot vērā pēdējā laikā veiktos grozījumus Būvniecības likumā un speciālajos būvnoteikumos, salāgojot dažādu būvniecības ieceres realizācijas termiņus, ir pārskatītas inženierbūves būvniecības saskaņošanas procedūras, paredzot, ka turpmāk inženierbūves būvniecības procesu varēs ierosināt ar paskaidrojuma rakstu vai būvniecības iesniegumu, atsakoties no apliecinājuma kartes, tādējādi samazinot būvniecības ieceres ierosināšanas iesniegumus.</w:t>
            </w:r>
          </w:p>
          <w:p w14:paraId="4B9F737A" w14:textId="77777777" w:rsidR="00E553F1" w:rsidRPr="00351F87" w:rsidRDefault="00E553F1" w:rsidP="00F86EC4">
            <w:pPr>
              <w:jc w:val="both"/>
              <w:rPr>
                <w:iCs/>
              </w:rPr>
            </w:pPr>
            <w:r w:rsidRPr="00AC4BD2">
              <w:t xml:space="preserve">Līdz šo noteikumu </w:t>
            </w:r>
            <w:r w:rsidRPr="00351F87">
              <w:t>spēkā stāšanas brīdim</w:t>
            </w:r>
            <w:r>
              <w:t xml:space="preserve"> (Noteikumu projekta 1.40. punkts) </w:t>
            </w:r>
            <w:r w:rsidRPr="00351F87">
              <w:t xml:space="preserve">akceptētās apliecinājuma kartes ir īstenojamas akcepta brīdī noteiktā termiņā, bet būvdarbu pabeigšana veicama iesniedzot apliecinājuma kartes II daļu </w:t>
            </w:r>
            <w:r w:rsidRPr="00351F87">
              <w:rPr>
                <w:iCs/>
              </w:rPr>
              <w:t>(1.</w:t>
            </w:r>
            <w:r w:rsidRPr="00351F87">
              <w:rPr>
                <w:iCs/>
                <w:vertAlign w:val="superscript"/>
              </w:rPr>
              <w:t>2</w:t>
            </w:r>
            <w:r w:rsidRPr="00351F87">
              <w:rPr>
                <w:iCs/>
              </w:rPr>
              <w:t> pielikums) un šo noteikumu 41.</w:t>
            </w:r>
            <w:r w:rsidRPr="00351F87">
              <w:rPr>
                <w:iCs/>
                <w:vertAlign w:val="superscript"/>
              </w:rPr>
              <w:t>10</w:t>
            </w:r>
            <w:r w:rsidRPr="00351F87">
              <w:rPr>
                <w:iCs/>
              </w:rPr>
              <w:t> punktā noteiktos dokumentus.</w:t>
            </w:r>
          </w:p>
          <w:p w14:paraId="3F1DE543" w14:textId="77777777" w:rsidR="00E553F1" w:rsidRDefault="00E553F1" w:rsidP="00F86EC4">
            <w:pPr>
              <w:contextualSpacing/>
              <w:jc w:val="both"/>
            </w:pPr>
          </w:p>
          <w:p w14:paraId="78F1224A" w14:textId="77777777" w:rsidR="00E553F1" w:rsidRPr="00FD0483" w:rsidRDefault="00E553F1" w:rsidP="00F86EC4">
            <w:pPr>
              <w:contextualSpacing/>
              <w:jc w:val="both"/>
            </w:pPr>
            <w:r w:rsidRPr="00AC4BD2">
              <w:t>[</w:t>
            </w:r>
            <w:r>
              <w:t>5</w:t>
            </w:r>
            <w:r w:rsidRPr="00FD0483">
              <w:t xml:space="preserve">] Noteikumu projekta 1.7.apakšpunktā ir paredzēts, ka </w:t>
            </w:r>
            <w:r w:rsidRPr="00FD0483">
              <w:rPr>
                <w:iCs/>
              </w:rPr>
              <w:t>g</w:t>
            </w:r>
            <w:r w:rsidRPr="00FD0483">
              <w:rPr>
                <w:bCs/>
                <w:iCs/>
              </w:rPr>
              <w:t xml:space="preserve">adījumos, kad tiek veiktas </w:t>
            </w:r>
            <w:r w:rsidRPr="00FD0483">
              <w:rPr>
                <w:iCs/>
              </w:rPr>
              <w:t>darbības, kas pazemina būves konstrukciju drošību, nestspēju vai noturību vai plānotie darbi neatbilst šo noteikumu 16.</w:t>
            </w:r>
            <w:r>
              <w:rPr>
                <w:iCs/>
              </w:rPr>
              <w:t xml:space="preserve"> </w:t>
            </w:r>
            <w:r w:rsidRPr="00FD0483">
              <w:rPr>
                <w:iCs/>
              </w:rPr>
              <w:t>punkta nosacījumiem</w:t>
            </w:r>
            <w:r w:rsidRPr="00FD0483">
              <w:rPr>
                <w:bCs/>
                <w:iCs/>
              </w:rPr>
              <w:t xml:space="preserve">, konstruktīvā mezgla risinājumu izstrādā </w:t>
            </w:r>
            <w:proofErr w:type="spellStart"/>
            <w:r w:rsidRPr="00FD0483">
              <w:rPr>
                <w:bCs/>
                <w:iCs/>
              </w:rPr>
              <w:t>būvspeciālists</w:t>
            </w:r>
            <w:proofErr w:type="spellEnd"/>
            <w:r w:rsidRPr="00FD0483">
              <w:rPr>
                <w:bCs/>
                <w:iCs/>
              </w:rPr>
              <w:t xml:space="preserve"> ēku konstrukciju projektēšanā.</w:t>
            </w:r>
          </w:p>
          <w:p w14:paraId="55BD60C0" w14:textId="77777777" w:rsidR="00E553F1" w:rsidRPr="00AE611A" w:rsidRDefault="00E553F1" w:rsidP="00F86EC4">
            <w:pPr>
              <w:contextualSpacing/>
              <w:jc w:val="both"/>
            </w:pPr>
            <w:r w:rsidRPr="00AE611A">
              <w:t xml:space="preserve">Līdz šim bieži bija neskaidrības, kurš </w:t>
            </w:r>
            <w:proofErr w:type="spellStart"/>
            <w:r w:rsidRPr="00AE611A">
              <w:t>būvspeciālists</w:t>
            </w:r>
            <w:proofErr w:type="spellEnd"/>
            <w:r w:rsidRPr="00AE611A">
              <w:t xml:space="preserve"> ir tiesīgs izstrādāt būvniecības ieceres dokumentus </w:t>
            </w:r>
            <w:r w:rsidRPr="00AE611A">
              <w:rPr>
                <w:bCs/>
                <w:iCs/>
              </w:rPr>
              <w:t>e</w:t>
            </w:r>
            <w:r w:rsidRPr="00AE611A">
              <w:t xml:space="preserve">lektronisko sakaru staba, torņa vai masta būvniecībai. </w:t>
            </w:r>
            <w:proofErr w:type="spellStart"/>
            <w:r w:rsidRPr="00AE611A">
              <w:t>Būvspeciālistu</w:t>
            </w:r>
            <w:proofErr w:type="spellEnd"/>
            <w:r w:rsidRPr="00AE611A">
              <w:t xml:space="preserve"> kompetence ir noteikta </w:t>
            </w:r>
            <w:r w:rsidRPr="00AE611A">
              <w:rPr>
                <w:noProof/>
              </w:rPr>
              <w:t>Noteikum</w:t>
            </w:r>
            <w:r>
              <w:rPr>
                <w:noProof/>
              </w:rPr>
              <w:t>u</w:t>
            </w:r>
            <w:r w:rsidRPr="00AE611A">
              <w:rPr>
                <w:noProof/>
              </w:rPr>
              <w:t xml:space="preserve"> Nr.169 </w:t>
            </w:r>
            <w:r>
              <w:rPr>
                <w:noProof/>
              </w:rPr>
              <w:t>1.</w:t>
            </w:r>
            <w:r w:rsidRPr="00AE611A">
              <w:rPr>
                <w:noProof/>
              </w:rPr>
              <w:t>pielikumā</w:t>
            </w:r>
            <w:r w:rsidRPr="00AE611A">
              <w:rPr>
                <w:i/>
                <w:iCs/>
              </w:rPr>
              <w:t>.</w:t>
            </w:r>
            <w:r w:rsidRPr="00AE611A">
              <w:t xml:space="preserve"> </w:t>
            </w:r>
            <w:r w:rsidRPr="00AE611A">
              <w:lastRenderedPageBreak/>
              <w:t xml:space="preserve">Vispārīgā gadījumā </w:t>
            </w:r>
            <w:proofErr w:type="spellStart"/>
            <w:r w:rsidRPr="00AE611A">
              <w:t>būvspeciālists</w:t>
            </w:r>
            <w:proofErr w:type="spellEnd"/>
            <w:r w:rsidRPr="00AE611A">
              <w:t xml:space="preserve"> nav tiesīgs sniegt būvniecības pakalpojumus ārpus savas kompetences. Taču tas nekādā veidā neliedz citiem </w:t>
            </w:r>
            <w:proofErr w:type="spellStart"/>
            <w:r w:rsidRPr="00AE611A">
              <w:t>būvspeciālistiem</w:t>
            </w:r>
            <w:proofErr w:type="spellEnd"/>
            <w:r w:rsidRPr="00AE611A">
              <w:t xml:space="preserve"> piedalīties, piemēram, segto darbu pieņemšanā, sniedzot savus atzinumus atbilstoši citiem noslēgtajiem līgumiem. Atsevišķas inženierbūves var projektēt ēku konstrukciju projektēšanā sertificētais </w:t>
            </w:r>
            <w:proofErr w:type="spellStart"/>
            <w:r w:rsidRPr="00AE611A">
              <w:t>būvspeciālists</w:t>
            </w:r>
            <w:proofErr w:type="spellEnd"/>
            <w:r w:rsidRPr="00AE611A">
              <w:t xml:space="preserve">, ja to projektēšanai nav noteiktas atsevišķas darbības sfēras (Noteikumu Nr.169 pielikuma 2.piezīme). Jānorāda, ka iepriekš minētais papildus tiesību uzskaitījums būvju aspektā nav izsmeļošs un skatāms vēsturiskā kontekstā, kad tika būvniecība un speciālistu tiesības dalītas pēc vispārējās būvniecības un speciālās būvniecības. </w:t>
            </w:r>
            <w:proofErr w:type="spellStart"/>
            <w:r w:rsidRPr="00AE611A">
              <w:t>Būvspeciālists</w:t>
            </w:r>
            <w:proofErr w:type="spellEnd"/>
            <w:r w:rsidRPr="00AE611A">
              <w:t xml:space="preserve"> ar sertifikātu ēku konstrukciju projektēšanas sfērā (no vēsturiskā aspekta) bija pieskaitāms pie vispārējās būvniecības un varēja projektēt daļu inženierbūvju, tai skaitā torņu</w:t>
            </w:r>
            <w:r>
              <w:t>s</w:t>
            </w:r>
            <w:r w:rsidRPr="00AE611A">
              <w:t xml:space="preserve"> un mastu</w:t>
            </w:r>
            <w:r>
              <w:t>s</w:t>
            </w:r>
            <w:r w:rsidRPr="00AE611A">
              <w:t>.</w:t>
            </w:r>
            <w:r>
              <w:t xml:space="preserve"> </w:t>
            </w:r>
            <w:r w:rsidRPr="00AE611A">
              <w:t xml:space="preserve">Spēkā esošajā regulējumā šī pieeja ir saglabāta. Līdz ar to arī šādu inženierbūvju būvdarbu vadīšanu var veikt </w:t>
            </w:r>
            <w:proofErr w:type="spellStart"/>
            <w:r w:rsidRPr="00AE611A">
              <w:t>būvspeciālists</w:t>
            </w:r>
            <w:proofErr w:type="spellEnd"/>
            <w:r w:rsidRPr="00AE611A">
              <w:t xml:space="preserve"> ar sertifikātu ēku būvdarbu vadīšanas darbības sfērā. Masta būvdarbos ietilps pamatnes izbūve, kas nodrošina inženierbūves (masta) atbilstību būves mehāniskās stiprības un stabilitātes būtiskai prasībai. </w:t>
            </w:r>
            <w:proofErr w:type="spellStart"/>
            <w:r>
              <w:t>B</w:t>
            </w:r>
            <w:r w:rsidRPr="00AE611A">
              <w:t>ūvspeciālists</w:t>
            </w:r>
            <w:proofErr w:type="spellEnd"/>
            <w:r w:rsidRPr="00AE611A">
              <w:t xml:space="preserve"> ar sertifikātu ēku būvdarbu vadīšanas darbības sfērā var uzraudzīt arī šādas inženierbūves būvniecību. </w:t>
            </w:r>
          </w:p>
          <w:p w14:paraId="5D3586EE" w14:textId="77777777" w:rsidR="00E553F1" w:rsidRDefault="00E553F1" w:rsidP="00F86EC4">
            <w:pPr>
              <w:contextualSpacing/>
              <w:jc w:val="both"/>
            </w:pPr>
          </w:p>
          <w:p w14:paraId="698648DA" w14:textId="77777777" w:rsidR="00E553F1" w:rsidRPr="001A62A6" w:rsidRDefault="00E553F1" w:rsidP="00F86EC4">
            <w:pPr>
              <w:contextualSpacing/>
              <w:jc w:val="both"/>
            </w:pPr>
            <w:r w:rsidRPr="00AC4BD2">
              <w:t>[</w:t>
            </w:r>
            <w:r>
              <w:t>6</w:t>
            </w:r>
            <w:r w:rsidRPr="00AC4BD2">
              <w:t>] </w:t>
            </w:r>
            <w:r w:rsidRPr="001A62A6">
              <w:t xml:space="preserve">Izstrādājot paskaidrojuma rakstu skaidrojošā aprakstā būs jānorāda ne tikai informācija par plānoto būvniecības ieceri, bet arī </w:t>
            </w:r>
            <w:proofErr w:type="spellStart"/>
            <w:r w:rsidRPr="001A62A6">
              <w:rPr>
                <w:iCs/>
              </w:rPr>
              <w:t>izvērtējums</w:t>
            </w:r>
            <w:proofErr w:type="spellEnd"/>
            <w:r w:rsidRPr="001A62A6">
              <w:rPr>
                <w:iCs/>
              </w:rPr>
              <w:t xml:space="preserve">, vai pieļaujama būves izmantošana būvdarbu laikā, un izmantošanas nosacījumi, sadalījumu būves kārtās ar tajā ietveramo apjomu (ja paredz būvdarbus vai objekta nodošanu ekspluatācijā pa būves kārtām). </w:t>
            </w:r>
            <w:r w:rsidRPr="001A62A6">
              <w:t>Paskaidrojuma rakstā iekļauj būvdarbu uzsākšanas nosacījumus, ietverot prasību sniegt informāciju par būvdarbu veicēju.</w:t>
            </w:r>
            <w:bookmarkStart w:id="4" w:name="p41.5"/>
            <w:bookmarkStart w:id="5" w:name="p-709844"/>
            <w:bookmarkEnd w:id="4"/>
            <w:bookmarkEnd w:id="5"/>
            <w:r w:rsidRPr="001A62A6">
              <w:t xml:space="preserve"> </w:t>
            </w:r>
            <w:r w:rsidRPr="001A62A6">
              <w:rPr>
                <w:iCs/>
              </w:rPr>
              <w:t xml:space="preserve">Ja paredzēts publisko tiesību juridiskās personas vai Eiropas Savienības politikas instrumentu finansējums, papildus iesniedz informāciju par atbildīgajiem </w:t>
            </w:r>
            <w:proofErr w:type="spellStart"/>
            <w:r w:rsidRPr="001A62A6">
              <w:rPr>
                <w:iCs/>
              </w:rPr>
              <w:t>būvspeciālistiem</w:t>
            </w:r>
            <w:proofErr w:type="spellEnd"/>
            <w:r w:rsidRPr="001A62A6">
              <w:rPr>
                <w:iCs/>
              </w:rPr>
              <w:t xml:space="preserve"> (vārds, uzvārds, sertifikāta numurs un darbības sfēra, būvdarbu veicēja nosaukums un būvkomersanta reģistrācijas numurs, būvdarbu līguma un būvuzraudzības līguma datums un numurs, līguma darbības termiņš (datums no–līdz) un līguma summa (</w:t>
            </w:r>
            <w:proofErr w:type="spellStart"/>
            <w:r w:rsidRPr="00F86EC4">
              <w:rPr>
                <w:i/>
              </w:rPr>
              <w:t>euro</w:t>
            </w:r>
            <w:proofErr w:type="spellEnd"/>
            <w:r w:rsidRPr="001A62A6">
              <w:rPr>
                <w:iCs/>
              </w:rPr>
              <w:t xml:space="preserve">)). </w:t>
            </w:r>
            <w:r w:rsidRPr="001A62A6">
              <w:t xml:space="preserve">Līdzīgi kā citos speciālajos būvnoteikumos, būvvalde izvērtēs veiktos būvdarbus 10 darba dienu laikā, </w:t>
            </w:r>
            <w:r w:rsidRPr="001A62A6">
              <w:rPr>
                <w:iCs/>
              </w:rPr>
              <w:t>pārbauda patvaļīgās būvniecības esību</w:t>
            </w:r>
            <w:r w:rsidRPr="001A62A6">
              <w:t xml:space="preserve"> un pārliecinās, vai būvdarbi veikti atbilstoši akceptētajai būvniecības iecerei un būvniecību reglamentējošiem normatīvajiem aktiem. </w:t>
            </w:r>
            <w:r>
              <w:t>Pēc būvdarbu pabeigšanas būvvalde varēs norādīt arī atliktos būvdarbus un to izpildes termiņus.</w:t>
            </w:r>
          </w:p>
          <w:p w14:paraId="5FA5BEB7" w14:textId="77777777" w:rsidR="00E553F1" w:rsidRPr="00351F87" w:rsidRDefault="00E553F1" w:rsidP="00F86EC4">
            <w:pPr>
              <w:contextualSpacing/>
              <w:jc w:val="both"/>
            </w:pPr>
            <w:r w:rsidRPr="00351F87">
              <w:t xml:space="preserve">Tā kā būvniecības ierosināšanai izstrādājamo un būvvaldē iesniedzamo dokumentu apjoms netiek palielināts, līdz ar to </w:t>
            </w:r>
            <w:r w:rsidRPr="00351F87">
              <w:lastRenderedPageBreak/>
              <w:t xml:space="preserve">pēc būtības nemaina iesaistīto personu esošos pienākumus un tiesības, kā arī netiek palielināts administratīvais slogs. </w:t>
            </w:r>
          </w:p>
          <w:p w14:paraId="7492656B" w14:textId="77777777" w:rsidR="00E553F1" w:rsidRPr="001A62A6" w:rsidRDefault="00E553F1" w:rsidP="00F86EC4">
            <w:pPr>
              <w:contextualSpacing/>
              <w:jc w:val="both"/>
            </w:pPr>
            <w:r>
              <w:t>(Noteikumu projekta 1.11., 1.16., 1.21., 1.22. punkts).</w:t>
            </w:r>
          </w:p>
          <w:p w14:paraId="2F49AC23" w14:textId="77777777" w:rsidR="00E553F1" w:rsidRDefault="00E553F1" w:rsidP="00F86EC4">
            <w:pPr>
              <w:pStyle w:val="tv213"/>
              <w:jc w:val="both"/>
            </w:pPr>
            <w:r w:rsidRPr="00AC4BD2">
              <w:t>[</w:t>
            </w:r>
            <w:r w:rsidRPr="00B750B7">
              <w:t>7] Saskaņā ar Administratīvo teritoriju un apdzīvoto vietu likuma (Saeimā pieņemts 2020.</w:t>
            </w:r>
            <w:r>
              <w:t xml:space="preserve"> </w:t>
            </w:r>
            <w:r w:rsidRPr="00B750B7">
              <w:t>gada 10.</w:t>
            </w:r>
            <w:r>
              <w:t xml:space="preserve"> </w:t>
            </w:r>
            <w:r w:rsidRPr="00B750B7">
              <w:t>jūnijā) 4.</w:t>
            </w:r>
            <w:r>
              <w:t xml:space="preserve"> </w:t>
            </w:r>
            <w:r w:rsidRPr="00B750B7">
              <w:t xml:space="preserve">pantu Latvijas Republiku iedala šādās administratīvajās teritorijās: 1) </w:t>
            </w:r>
            <w:proofErr w:type="spellStart"/>
            <w:r w:rsidRPr="00B750B7">
              <w:t>valstspilsētu</w:t>
            </w:r>
            <w:proofErr w:type="spellEnd"/>
            <w:r w:rsidRPr="00B750B7">
              <w:t xml:space="preserve"> pašvaldību teritorijās; 2) novadu pašvaldību teritorijās. Līdz ar to ir precizēts noteikumu 44.6.</w:t>
            </w:r>
            <w:r>
              <w:t> </w:t>
            </w:r>
            <w:r w:rsidRPr="00B750B7">
              <w:t>apakšpunkts, aizstājot vārdus “</w:t>
            </w:r>
            <w:r w:rsidRPr="00B750B7">
              <w:rPr>
                <w:iCs/>
              </w:rPr>
              <w:t>Latvijas Republikas pilsēta” ar jaunajā likumā lietoto terminu “</w:t>
            </w:r>
            <w:proofErr w:type="spellStart"/>
            <w:r w:rsidRPr="00B750B7">
              <w:rPr>
                <w:iCs/>
              </w:rPr>
              <w:t>valstspilsēta</w:t>
            </w:r>
            <w:proofErr w:type="spellEnd"/>
            <w:r w:rsidRPr="00B750B7">
              <w:rPr>
                <w:iCs/>
              </w:rPr>
              <w:t>”</w:t>
            </w:r>
            <w:r>
              <w:rPr>
                <w:iCs/>
              </w:rPr>
              <w:t xml:space="preserve"> (Noteikumu projekta 1.23. apakšpunkts).</w:t>
            </w:r>
          </w:p>
          <w:p w14:paraId="385D94B4" w14:textId="77777777" w:rsidR="00E553F1" w:rsidRDefault="00E553F1" w:rsidP="00F86EC4">
            <w:pPr>
              <w:jc w:val="both"/>
            </w:pPr>
            <w:r w:rsidRPr="00AC4BD2">
              <w:t>[</w:t>
            </w:r>
            <w:r>
              <w:t>8</w:t>
            </w:r>
            <w:r w:rsidRPr="00AC4BD2">
              <w:t xml:space="preserve">] Šobrīd </w:t>
            </w:r>
            <w:r>
              <w:t xml:space="preserve">noteikumos ir noteikts, ka būvprojekta ekspertīzi veic trešās grupas būvēm visam būvprojektam, tai skaitā situācijas plānam un labiekārtojuma darba apjomam. </w:t>
            </w:r>
          </w:p>
          <w:p w14:paraId="791E9CFF" w14:textId="77777777" w:rsidR="00E553F1" w:rsidRPr="00AC4BD2" w:rsidRDefault="00E553F1" w:rsidP="00F86EC4">
            <w:pPr>
              <w:contextualSpacing/>
              <w:jc w:val="both"/>
            </w:pPr>
            <w:r>
              <w:t>T</w:t>
            </w:r>
            <w:r w:rsidRPr="00AC4BD2">
              <w:t xml:space="preserve">ā kā būvdarbu laikā bieži būvprojektā paredzētie būvizstrādājumi tiek aizstāti ar citiem būvizstrādājumiem vai tiek veiktas izmaiņas būvprojektā, līdz ar to būvprojekta sākuma stadijā veiktā būvekspertīze, piemēram, tehnoloģiskajai daļai; būves galveno inženiertīklu sadaļām; vispārīgajai daļai, vairs nav aktuāla. Būvprojekta ekspertīzē būtu jāizvērtē tās būvprojekta daļas, kuras ir būtiskas, lai uzskatītu, ka inženierbūve ir droša un ekspertīzē nevajadzētu vēlreiz pārbaudīt visu trešās grupas inženierbūves būvprojektu, tādēļ precizēts regulējums, kurām būvprojekta daļām veicama ekspertīze – būvkonstrukciju daļai un tehnoloģiskajai daļai. </w:t>
            </w:r>
            <w:bookmarkStart w:id="6" w:name="_Hlk46476073"/>
            <w:r w:rsidRPr="00AC4BD2">
              <w:t>Būvprojekta ekspertīzi veic, lai izvērtētu projektētās inženierbūves atbilstību būves mehāniskajai stiprībai un stabilitātei un ugunsdrošībai.</w:t>
            </w:r>
            <w:bookmarkEnd w:id="6"/>
            <w:r w:rsidRPr="00AC4BD2">
              <w:t xml:space="preserve"> Saskaņā ar </w:t>
            </w:r>
            <w:r>
              <w:t xml:space="preserve"> Noteikumu Nr.500 </w:t>
            </w:r>
            <w:r w:rsidRPr="00AC4BD2">
              <w:t>60.</w:t>
            </w:r>
            <w:r>
              <w:t xml:space="preserve"> </w:t>
            </w:r>
            <w:r w:rsidRPr="00AC4BD2">
              <w:t>punktu, ja tiek mainīts būves arhitektoniskais risinājums vai būves, tās nesošo konstrukciju vai to daļu konstruktīvais risinājums, atkārtotu būvprojekta ekspertīzi veic tikai tām būvprojekta daļām, attiecībā uz būves mehānisko stiprību, stabilitāti, ugunsdrošību vai lietošanas drošumu. Tāpat jānorāda, ka viena būvprojekta ietvaros ir paredzētas dažādu grupu būves</w:t>
            </w:r>
            <w:r>
              <w:t>, taču</w:t>
            </w:r>
            <w:r w:rsidRPr="00AC4BD2">
              <w:t xml:space="preserve"> obligātā ekspertīze attiecas tikai uz trešās grupas inženierbūvi.</w:t>
            </w:r>
          </w:p>
          <w:p w14:paraId="2679DA26" w14:textId="77777777" w:rsidR="00E553F1" w:rsidRPr="00AC4BD2" w:rsidRDefault="00E553F1" w:rsidP="00F86EC4">
            <w:pPr>
              <w:contextualSpacing/>
              <w:jc w:val="both"/>
            </w:pPr>
            <w:r>
              <w:t>(Noteikumu projekta 1.28. apakšpunkts).</w:t>
            </w:r>
          </w:p>
          <w:p w14:paraId="2BB2B2DB" w14:textId="77777777" w:rsidR="00E553F1" w:rsidRPr="00AC4BD2" w:rsidRDefault="00E553F1" w:rsidP="00F86EC4">
            <w:pPr>
              <w:ind w:firstLine="253"/>
              <w:contextualSpacing/>
              <w:jc w:val="both"/>
            </w:pPr>
          </w:p>
          <w:p w14:paraId="0184473E" w14:textId="77777777" w:rsidR="00E553F1" w:rsidRDefault="00E553F1" w:rsidP="00F86EC4">
            <w:pPr>
              <w:contextualSpacing/>
              <w:jc w:val="both"/>
            </w:pPr>
            <w:r w:rsidRPr="00AC4BD2">
              <w:t>[9] </w:t>
            </w:r>
            <w:r>
              <w:t>Atbilstoši citiem speciālajiem būvnoteikumiem, ir precizēti punkti, kas nosaka, kāda informācija būvatļaujā ir norādāma par projektēšanas nosacījumiem un kāda par būvdarbu uzsākšanas nosacījumiem.</w:t>
            </w:r>
          </w:p>
          <w:p w14:paraId="4AADB42B" w14:textId="77777777" w:rsidR="00E553F1" w:rsidRPr="00AC4BD2" w:rsidRDefault="00E553F1" w:rsidP="00F86EC4">
            <w:pPr>
              <w:contextualSpacing/>
              <w:jc w:val="both"/>
            </w:pPr>
            <w:r>
              <w:t>Noteikumu projekta 1.25. apakšpunkts).</w:t>
            </w:r>
          </w:p>
          <w:p w14:paraId="04E5BAA1" w14:textId="77777777" w:rsidR="00E553F1" w:rsidRPr="00AC4BD2" w:rsidRDefault="00E553F1" w:rsidP="00F86EC4">
            <w:pPr>
              <w:ind w:firstLine="253"/>
              <w:contextualSpacing/>
              <w:jc w:val="both"/>
            </w:pPr>
          </w:p>
          <w:p w14:paraId="7C356BBB" w14:textId="77777777" w:rsidR="00E553F1" w:rsidRPr="00AC4BD2" w:rsidRDefault="00E553F1" w:rsidP="00F86EC4">
            <w:pPr>
              <w:contextualSpacing/>
              <w:jc w:val="both"/>
            </w:pPr>
            <w:r w:rsidRPr="00AC4BD2">
              <w:t>[1</w:t>
            </w:r>
            <w:r>
              <w:t>0</w:t>
            </w:r>
            <w:r w:rsidRPr="00AC4BD2">
              <w:t>] Ņemot vērā, ka Būvniecības likuma pārejas noteikumu 21.</w:t>
            </w:r>
            <w:r>
              <w:t xml:space="preserve"> </w:t>
            </w:r>
            <w:r w:rsidRPr="00AC4BD2">
              <w:t>punkts nosaka, ka ar 2020.</w:t>
            </w:r>
            <w:r>
              <w:t xml:space="preserve"> </w:t>
            </w:r>
            <w:r w:rsidRPr="00AC4BD2">
              <w:t>gada 1.</w:t>
            </w:r>
            <w:r>
              <w:t xml:space="preserve"> </w:t>
            </w:r>
            <w:r w:rsidRPr="00AC4BD2">
              <w:t xml:space="preserve">janvāri būvniecības administratīvais process uzsākams elektroniski būvniecības </w:t>
            </w:r>
            <w:r w:rsidRPr="00AC4BD2">
              <w:lastRenderedPageBreak/>
              <w:t>informācijas sistēmā, līdzšinējie punkti, kas noteica būvniecības procesu ārpus būvniecības informācijas sistēmas, kas nodrošina Būvniecības likuma pārejas noteikumu 22. – 24. punktā noteikto tiesību normu realizāciju, ir precizēti un iekļauti noslēguma jautājumos. Tādejādi nodrošinot, ka pamatteksts satur regulējumu, kas nosaka būvniecības procesu, kas piemērojams būvniecības informācijas sistēmā, bet izņēmumi no tā noteikti tikai noslēguma jautājumos (</w:t>
            </w:r>
            <w:r>
              <w:t xml:space="preserve">VIII </w:t>
            </w:r>
            <w:r w:rsidRPr="00AC4BD2">
              <w:t>nodaļa).</w:t>
            </w:r>
          </w:p>
          <w:p w14:paraId="2872DC72" w14:textId="77777777" w:rsidR="00E553F1" w:rsidRPr="00AC4BD2" w:rsidRDefault="00E553F1" w:rsidP="00F86EC4">
            <w:pPr>
              <w:contextualSpacing/>
              <w:jc w:val="both"/>
            </w:pPr>
            <w:r w:rsidRPr="00AC4BD2">
              <w:t>Šajā daļā grozījumi pēc būtības nemaina iesaistīto personu esošos pienākumus un tiesības, kā arī netiek palielināts administratīvais slogs.</w:t>
            </w:r>
          </w:p>
          <w:p w14:paraId="597FD076" w14:textId="77777777" w:rsidR="00E553F1" w:rsidRDefault="00E553F1" w:rsidP="00F86EC4">
            <w:pPr>
              <w:ind w:firstLine="253"/>
              <w:contextualSpacing/>
              <w:jc w:val="both"/>
            </w:pPr>
          </w:p>
          <w:p w14:paraId="176D30E9" w14:textId="77777777" w:rsidR="00E553F1" w:rsidRPr="00AC4BD2" w:rsidRDefault="00E553F1" w:rsidP="00F86EC4">
            <w:pPr>
              <w:contextualSpacing/>
              <w:jc w:val="both"/>
              <w:rPr>
                <w:iCs/>
              </w:rPr>
            </w:pPr>
            <w:r w:rsidRPr="00AC4BD2">
              <w:rPr>
                <w:iCs/>
              </w:rPr>
              <w:t>[1</w:t>
            </w:r>
            <w:r>
              <w:rPr>
                <w:iCs/>
              </w:rPr>
              <w:t>1</w:t>
            </w:r>
            <w:r w:rsidRPr="00AC4BD2">
              <w:rPr>
                <w:iCs/>
              </w:rPr>
              <w:t xml:space="preserve">] Lai nodrošinātu </w:t>
            </w:r>
            <w:r w:rsidRPr="00AC4BD2">
              <w:rPr>
                <w:lang w:eastAsia="en-US"/>
              </w:rPr>
              <w:t xml:space="preserve">noteikumu projekta </w:t>
            </w:r>
            <w:r w:rsidRPr="00AC4BD2">
              <w:rPr>
                <w:iCs/>
              </w:rPr>
              <w:t>īstenošanai nepieciešamos būvniecības informācijas sistēmas pielāgošanas darbus noteikumu projektam ir noteikts spēkā stāšanās laiks – 2021. gada 1. novembris.</w:t>
            </w:r>
          </w:p>
          <w:p w14:paraId="52FA1FA7" w14:textId="77777777" w:rsidR="00E553F1" w:rsidRPr="00AC4BD2" w:rsidRDefault="00E553F1" w:rsidP="00F86EC4">
            <w:pPr>
              <w:contextualSpacing/>
              <w:jc w:val="both"/>
              <w:rPr>
                <w:sz w:val="28"/>
                <w:szCs w:val="28"/>
              </w:rPr>
            </w:pPr>
          </w:p>
        </w:tc>
      </w:tr>
      <w:tr w:rsidR="00E553F1" w:rsidRPr="00AC4BD2" w14:paraId="76C4F3E2" w14:textId="77777777" w:rsidTr="00F86EC4">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091450A2" w14:textId="77777777" w:rsidR="00E553F1" w:rsidRPr="00AC4BD2" w:rsidRDefault="00E553F1" w:rsidP="00F86EC4">
            <w:pPr>
              <w:contextualSpacing/>
              <w:jc w:val="center"/>
            </w:pPr>
            <w:r w:rsidRPr="00AC4BD2">
              <w:lastRenderedPageBreak/>
              <w:t>3.</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6B6609A7" w14:textId="77777777" w:rsidR="00E553F1" w:rsidRPr="00AC4BD2" w:rsidRDefault="00E553F1" w:rsidP="00F86EC4">
            <w:pPr>
              <w:contextualSpacing/>
            </w:pPr>
            <w:r w:rsidRPr="00AC4BD2">
              <w:t>Projekta izstrādē iesaistītās institūcijas un publiskas personas kapitālsabiedrības</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448D2B5A" w14:textId="77777777" w:rsidR="00E553F1" w:rsidRPr="00AC4BD2" w:rsidRDefault="00E553F1" w:rsidP="00F86EC4">
            <w:pPr>
              <w:contextualSpacing/>
              <w:jc w:val="both"/>
            </w:pPr>
            <w:r w:rsidRPr="00AC4BD2">
              <w:t>Ekonomikas ministrija</w:t>
            </w:r>
            <w:r>
              <w:t xml:space="preserve"> un</w:t>
            </w:r>
            <w:r w:rsidRPr="00AC4BD2">
              <w:t xml:space="preserve"> Būvniecības valsts kontroles birojs kā būvniecības informācijas sistēmas (BIS) pārzinis.</w:t>
            </w:r>
          </w:p>
        </w:tc>
      </w:tr>
      <w:tr w:rsidR="00E553F1" w:rsidRPr="00AC4BD2" w14:paraId="11BB404D" w14:textId="77777777" w:rsidTr="00F86EC4">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7CCD1D48" w14:textId="77777777" w:rsidR="00E553F1" w:rsidRPr="00AC4BD2" w:rsidRDefault="00E553F1" w:rsidP="00F86EC4">
            <w:pPr>
              <w:contextualSpacing/>
              <w:jc w:val="center"/>
            </w:pPr>
            <w:r w:rsidRPr="00AC4BD2">
              <w:t>4.</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63E960D8" w14:textId="77777777" w:rsidR="00E553F1" w:rsidRPr="00AC4BD2" w:rsidRDefault="00E553F1" w:rsidP="00F86EC4">
            <w:pPr>
              <w:contextualSpacing/>
            </w:pPr>
            <w:r w:rsidRPr="00AC4BD2">
              <w:t>Cita informācija</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0B352AE5" w14:textId="77777777" w:rsidR="00E553F1" w:rsidRPr="00AC4BD2" w:rsidRDefault="00E553F1" w:rsidP="00F86EC4">
            <w:pPr>
              <w:contextualSpacing/>
            </w:pPr>
            <w:r w:rsidRPr="00AC4BD2">
              <w:t>Nav</w:t>
            </w:r>
          </w:p>
        </w:tc>
      </w:tr>
    </w:tbl>
    <w:p w14:paraId="579E8AC9" w14:textId="77777777" w:rsidR="00E553F1" w:rsidRPr="00AC4BD2" w:rsidRDefault="00E553F1" w:rsidP="00E553F1">
      <w:r w:rsidRPr="00AC4BD2">
        <w:br w:type="textWrapping" w:clear="all"/>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30" w:type="dxa"/>
          <w:left w:w="30" w:type="dxa"/>
          <w:bottom w:w="30" w:type="dxa"/>
          <w:right w:w="30" w:type="dxa"/>
        </w:tblCellMar>
        <w:tblLook w:val="04A0" w:firstRow="1" w:lastRow="0" w:firstColumn="1" w:lastColumn="0" w:noHBand="0" w:noVBand="1"/>
      </w:tblPr>
      <w:tblGrid>
        <w:gridCol w:w="562"/>
        <w:gridCol w:w="2681"/>
        <w:gridCol w:w="5818"/>
      </w:tblGrid>
      <w:tr w:rsidR="00E553F1" w:rsidRPr="00AC4BD2" w14:paraId="28A593B5" w14:textId="77777777" w:rsidTr="00F86EC4">
        <w:tc>
          <w:tcPr>
            <w:tcW w:w="8306"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783F1F6D" w14:textId="77777777" w:rsidR="00E553F1" w:rsidRPr="00AC4BD2" w:rsidRDefault="00E553F1" w:rsidP="00F86EC4">
            <w:pPr>
              <w:contextualSpacing/>
              <w:jc w:val="center"/>
              <w:rPr>
                <w:b/>
                <w:bCs/>
              </w:rPr>
            </w:pPr>
            <w:r w:rsidRPr="00AC4BD2">
              <w:rPr>
                <w:b/>
                <w:bCs/>
              </w:rPr>
              <w:t>II. Tiesību akta projekta ietekme uz sabiedrību, tautsaimniecības attīstību un administratīvo slogu</w:t>
            </w:r>
          </w:p>
        </w:tc>
      </w:tr>
      <w:tr w:rsidR="00E553F1" w:rsidRPr="00AC4BD2" w14:paraId="68B963E9" w14:textId="77777777" w:rsidTr="00F86EC4">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73204B03" w14:textId="77777777" w:rsidR="00E553F1" w:rsidRPr="00AC4BD2" w:rsidRDefault="00E553F1" w:rsidP="00F86EC4">
            <w:pPr>
              <w:contextualSpacing/>
              <w:jc w:val="center"/>
            </w:pPr>
            <w:r w:rsidRPr="00AC4BD2">
              <w:t>1.</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38EA9E23" w14:textId="77777777" w:rsidR="00E553F1" w:rsidRPr="00AC4BD2" w:rsidRDefault="00E553F1" w:rsidP="00F86EC4">
            <w:pPr>
              <w:contextualSpacing/>
            </w:pPr>
            <w:r w:rsidRPr="00AC4BD2">
              <w:t xml:space="preserve">Sabiedrības </w:t>
            </w:r>
            <w:proofErr w:type="spellStart"/>
            <w:r w:rsidRPr="00AC4BD2">
              <w:t>mērķgrupas</w:t>
            </w:r>
            <w:proofErr w:type="spellEnd"/>
            <w:r w:rsidRPr="00AC4BD2">
              <w:t>, kuras tiesiskais regulējums ietekmē vai varētu ietekmēt</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1BC17BDC" w14:textId="77777777" w:rsidR="00E553F1" w:rsidRPr="00AC4BD2" w:rsidRDefault="00E553F1" w:rsidP="00F86EC4">
            <w:pPr>
              <w:contextualSpacing/>
              <w:jc w:val="both"/>
            </w:pPr>
            <w:r w:rsidRPr="00AC4BD2">
              <w:t>Plānotais tiesiskais regulējums ietekmēs visus būvniecības procesa dalībniekus, trešās personas, institūcijas, kuras pilda būvvaldes funkcijas, Būvniecības valsts kontroles biroju, valsts un pašvaldību institūcijas</w:t>
            </w:r>
            <w:r>
              <w:t>.</w:t>
            </w:r>
          </w:p>
        </w:tc>
      </w:tr>
      <w:tr w:rsidR="00E553F1" w:rsidRPr="00AC4BD2" w14:paraId="3166BE8E" w14:textId="77777777" w:rsidTr="00F86EC4">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2B3ADC4E" w14:textId="77777777" w:rsidR="00E553F1" w:rsidRPr="00AC4BD2" w:rsidRDefault="00E553F1" w:rsidP="00F86EC4">
            <w:pPr>
              <w:contextualSpacing/>
              <w:jc w:val="center"/>
            </w:pPr>
            <w:r w:rsidRPr="00AC4BD2">
              <w:t>2.</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0C225D14" w14:textId="77777777" w:rsidR="00E553F1" w:rsidRPr="00AC4BD2" w:rsidRDefault="00E553F1" w:rsidP="00F86EC4">
            <w:pPr>
              <w:contextualSpacing/>
            </w:pPr>
            <w:r w:rsidRPr="00AC4BD2">
              <w:t>Tiesiskā regulējuma ietekme uz tautsaimniecību un administratīvo slogu</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1D597959" w14:textId="77777777" w:rsidR="00E553F1" w:rsidRPr="00AC4BD2" w:rsidRDefault="00E553F1" w:rsidP="00F86EC4">
            <w:pPr>
              <w:contextualSpacing/>
              <w:jc w:val="both"/>
            </w:pPr>
            <w:r w:rsidRPr="00AC4BD2">
              <w:t xml:space="preserve">Kopumā administratīvais slogs samazināsies būvniecības ierosinātajam, bet citām personām tas būtiski nemainīsies. Tā kā nav nosakāms </w:t>
            </w:r>
            <w:proofErr w:type="spellStart"/>
            <w:r w:rsidRPr="00AC4BD2">
              <w:t>mērķgrupas</w:t>
            </w:r>
            <w:proofErr w:type="spellEnd"/>
            <w:r w:rsidRPr="00AC4BD2">
              <w:t xml:space="preserve"> lielums un nav izdalāms viens tipisks gadījums, kas varētu attiekties uz visiem būvniecības ierosinātājiem vai būvdarbu veicējiem, kā arī šīs personas ir dažādas, tad attiecīgās izmaksas nav iespējams novērtēt.</w:t>
            </w:r>
          </w:p>
          <w:p w14:paraId="0C90FDD6" w14:textId="77777777" w:rsidR="00E553F1" w:rsidRPr="00AC4BD2" w:rsidRDefault="00E553F1" w:rsidP="00F86EC4">
            <w:pPr>
              <w:contextualSpacing/>
              <w:jc w:val="both"/>
            </w:pPr>
          </w:p>
        </w:tc>
      </w:tr>
      <w:tr w:rsidR="00E553F1" w:rsidRPr="00AC4BD2" w14:paraId="0D3878DC" w14:textId="77777777" w:rsidTr="00F86EC4">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4DA90FD2" w14:textId="77777777" w:rsidR="00E553F1" w:rsidRPr="00AC4BD2" w:rsidRDefault="00E553F1" w:rsidP="00F86EC4">
            <w:pPr>
              <w:contextualSpacing/>
              <w:jc w:val="center"/>
            </w:pPr>
            <w:r w:rsidRPr="00AC4BD2">
              <w:t>3.</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69D0DB01" w14:textId="77777777" w:rsidR="00E553F1" w:rsidRPr="00AC4BD2" w:rsidRDefault="00E553F1" w:rsidP="00F86EC4">
            <w:pPr>
              <w:contextualSpacing/>
            </w:pPr>
            <w:r w:rsidRPr="00AC4BD2">
              <w:t>Administratīvo izmaksu monetārs novērtējums</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0C6EAEE7" w14:textId="77777777" w:rsidR="00E553F1" w:rsidRPr="00AC4BD2" w:rsidRDefault="00E553F1" w:rsidP="00F86EC4">
            <w:pPr>
              <w:contextualSpacing/>
              <w:jc w:val="both"/>
            </w:pPr>
            <w:r w:rsidRPr="00AC4BD2">
              <w:t>Projekts šo jomu neskar.</w:t>
            </w:r>
          </w:p>
        </w:tc>
      </w:tr>
      <w:tr w:rsidR="00E553F1" w:rsidRPr="00AC4BD2" w14:paraId="3B314592" w14:textId="77777777" w:rsidTr="00F86EC4">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4A815874" w14:textId="77777777" w:rsidR="00E553F1" w:rsidRPr="00AC4BD2" w:rsidRDefault="00E553F1" w:rsidP="00F86EC4">
            <w:pPr>
              <w:contextualSpacing/>
              <w:jc w:val="center"/>
            </w:pPr>
            <w:r w:rsidRPr="00AC4BD2">
              <w:t>4.</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5F2B2D62" w14:textId="77777777" w:rsidR="00E553F1" w:rsidRPr="00AC4BD2" w:rsidRDefault="00E553F1" w:rsidP="00F86EC4">
            <w:pPr>
              <w:contextualSpacing/>
            </w:pPr>
            <w:r w:rsidRPr="00AC4BD2">
              <w:t>Atbilstības izmaksu monetārs novērtējums</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1679013D" w14:textId="77777777" w:rsidR="00E553F1" w:rsidRPr="00AC4BD2" w:rsidRDefault="00E553F1" w:rsidP="00F86EC4">
            <w:pPr>
              <w:contextualSpacing/>
              <w:jc w:val="both"/>
            </w:pPr>
            <w:r w:rsidRPr="00AC4BD2">
              <w:t>Projekts šo jomu neskar.</w:t>
            </w:r>
          </w:p>
        </w:tc>
      </w:tr>
      <w:tr w:rsidR="00E553F1" w:rsidRPr="00AC4BD2" w14:paraId="478EDE1C" w14:textId="77777777" w:rsidTr="00F86EC4">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6C46C5A8" w14:textId="77777777" w:rsidR="00E553F1" w:rsidRPr="00AC4BD2" w:rsidRDefault="00E553F1" w:rsidP="00F86EC4">
            <w:pPr>
              <w:contextualSpacing/>
              <w:jc w:val="center"/>
            </w:pPr>
            <w:r w:rsidRPr="00AC4BD2">
              <w:t>5.</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7219B324" w14:textId="77777777" w:rsidR="00E553F1" w:rsidRPr="00AC4BD2" w:rsidRDefault="00E553F1" w:rsidP="00F86EC4">
            <w:pPr>
              <w:contextualSpacing/>
            </w:pPr>
            <w:r w:rsidRPr="00AC4BD2">
              <w:t>Cita informācija</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5EFA68AF" w14:textId="77777777" w:rsidR="00E553F1" w:rsidRPr="00AC4BD2" w:rsidRDefault="00E553F1" w:rsidP="00F86EC4">
            <w:pPr>
              <w:contextualSpacing/>
              <w:jc w:val="both"/>
            </w:pPr>
            <w:r w:rsidRPr="00AC4BD2">
              <w:t>Nav</w:t>
            </w:r>
          </w:p>
        </w:tc>
      </w:tr>
    </w:tbl>
    <w:p w14:paraId="4EEBBE86" w14:textId="77777777" w:rsidR="00E553F1" w:rsidRPr="00AC4BD2" w:rsidRDefault="00E553F1" w:rsidP="00E553F1"/>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162"/>
        <w:gridCol w:w="954"/>
        <w:gridCol w:w="1134"/>
        <w:gridCol w:w="850"/>
        <w:gridCol w:w="993"/>
        <w:gridCol w:w="850"/>
        <w:gridCol w:w="1123"/>
        <w:gridCol w:w="995"/>
      </w:tblGrid>
      <w:tr w:rsidR="00E553F1" w:rsidRPr="00AC4BD2" w14:paraId="1E7B9BF9" w14:textId="77777777" w:rsidTr="00F86EC4">
        <w:trPr>
          <w:cantSplit/>
        </w:trPr>
        <w:tc>
          <w:tcPr>
            <w:tcW w:w="9061" w:type="dxa"/>
            <w:gridSpan w:val="8"/>
            <w:tcBorders>
              <w:top w:val="single" w:sz="4" w:space="0" w:color="auto"/>
              <w:left w:val="single" w:sz="4" w:space="0" w:color="auto"/>
              <w:bottom w:val="single" w:sz="4" w:space="0" w:color="auto"/>
              <w:right w:val="single" w:sz="4" w:space="0" w:color="auto"/>
            </w:tcBorders>
            <w:vAlign w:val="center"/>
            <w:hideMark/>
          </w:tcPr>
          <w:p w14:paraId="44F8F92A" w14:textId="77777777" w:rsidR="00E553F1" w:rsidRPr="00AC4BD2" w:rsidRDefault="00E553F1" w:rsidP="00F86EC4">
            <w:pPr>
              <w:jc w:val="center"/>
              <w:rPr>
                <w:b/>
                <w:bCs/>
                <w:lang w:eastAsia="en-US"/>
              </w:rPr>
            </w:pPr>
            <w:r w:rsidRPr="00AC4BD2">
              <w:rPr>
                <w:b/>
                <w:bCs/>
                <w:lang w:eastAsia="en-US"/>
              </w:rPr>
              <w:t>III. Tiesību akta projekta ietekme uz valsts budžetu un pašvaldību budžetiem</w:t>
            </w:r>
          </w:p>
        </w:tc>
      </w:tr>
      <w:tr w:rsidR="00E553F1" w:rsidRPr="00AC4BD2" w14:paraId="0B923456" w14:textId="77777777" w:rsidTr="00F86EC4">
        <w:trPr>
          <w:cantSplit/>
        </w:trPr>
        <w:tc>
          <w:tcPr>
            <w:tcW w:w="21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71B5F86" w14:textId="77777777" w:rsidR="00E553F1" w:rsidRPr="00AC4BD2" w:rsidRDefault="00E553F1" w:rsidP="00F86EC4">
            <w:pPr>
              <w:jc w:val="center"/>
              <w:rPr>
                <w:bCs/>
                <w:lang w:eastAsia="en-US"/>
              </w:rPr>
            </w:pPr>
            <w:r w:rsidRPr="00AC4BD2">
              <w:rPr>
                <w:bCs/>
                <w:lang w:eastAsia="en-US"/>
              </w:rPr>
              <w:t>Rādītāji</w:t>
            </w:r>
          </w:p>
        </w:tc>
        <w:tc>
          <w:tcPr>
            <w:tcW w:w="208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02C56C5" w14:textId="77777777" w:rsidR="00E553F1" w:rsidRPr="00AC4BD2" w:rsidRDefault="00E553F1" w:rsidP="00F86EC4">
            <w:pPr>
              <w:jc w:val="center"/>
              <w:rPr>
                <w:bCs/>
                <w:lang w:eastAsia="en-US"/>
              </w:rPr>
            </w:pPr>
            <w:r w:rsidRPr="00AC4BD2">
              <w:rPr>
                <w:bCs/>
                <w:lang w:eastAsia="en-US"/>
              </w:rPr>
              <w:t>2021.gads</w:t>
            </w:r>
          </w:p>
        </w:tc>
        <w:tc>
          <w:tcPr>
            <w:tcW w:w="4811"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0099B29" w14:textId="77777777" w:rsidR="00E553F1" w:rsidRPr="00AC4BD2" w:rsidRDefault="00E553F1" w:rsidP="00F86EC4">
            <w:pPr>
              <w:jc w:val="center"/>
              <w:rPr>
                <w:lang w:eastAsia="en-US"/>
              </w:rPr>
            </w:pPr>
            <w:r w:rsidRPr="00AC4BD2">
              <w:rPr>
                <w:lang w:eastAsia="en-US"/>
              </w:rPr>
              <w:t>Turpmākie trīs gadi (</w:t>
            </w:r>
            <w:proofErr w:type="spellStart"/>
            <w:r w:rsidRPr="00AC4BD2">
              <w:rPr>
                <w:i/>
                <w:iCs/>
                <w:lang w:eastAsia="en-US"/>
              </w:rPr>
              <w:t>euro</w:t>
            </w:r>
            <w:proofErr w:type="spellEnd"/>
            <w:r w:rsidRPr="00AC4BD2">
              <w:rPr>
                <w:lang w:eastAsia="en-US"/>
              </w:rPr>
              <w:t>)</w:t>
            </w:r>
          </w:p>
        </w:tc>
      </w:tr>
      <w:tr w:rsidR="00E553F1" w:rsidRPr="00AC4BD2" w14:paraId="18E882B6" w14:textId="77777777" w:rsidTr="00F86EC4">
        <w:trPr>
          <w:cantSplit/>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02EE82D1" w14:textId="77777777" w:rsidR="00E553F1" w:rsidRPr="00AC4BD2" w:rsidRDefault="00E553F1" w:rsidP="00F86EC4">
            <w:pPr>
              <w:rPr>
                <w:bCs/>
                <w:lang w:eastAsia="en-US"/>
              </w:rPr>
            </w:pPr>
          </w:p>
        </w:tc>
        <w:tc>
          <w:tcPr>
            <w:tcW w:w="2088" w:type="dxa"/>
            <w:gridSpan w:val="2"/>
            <w:vMerge/>
            <w:tcBorders>
              <w:top w:val="single" w:sz="4" w:space="0" w:color="auto"/>
              <w:left w:val="single" w:sz="4" w:space="0" w:color="auto"/>
              <w:bottom w:val="single" w:sz="4" w:space="0" w:color="auto"/>
              <w:right w:val="single" w:sz="4" w:space="0" w:color="auto"/>
            </w:tcBorders>
            <w:vAlign w:val="center"/>
            <w:hideMark/>
          </w:tcPr>
          <w:p w14:paraId="131D3635" w14:textId="77777777" w:rsidR="00E553F1" w:rsidRPr="00AC4BD2" w:rsidRDefault="00E553F1" w:rsidP="00F86EC4">
            <w:pPr>
              <w:rPr>
                <w:bCs/>
                <w:lang w:eastAsia="en-US"/>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2B54BF7" w14:textId="77777777" w:rsidR="00E553F1" w:rsidRPr="00AC4BD2" w:rsidRDefault="00E553F1" w:rsidP="00F86EC4">
            <w:pPr>
              <w:jc w:val="center"/>
              <w:rPr>
                <w:bCs/>
                <w:lang w:eastAsia="en-US"/>
              </w:rPr>
            </w:pPr>
            <w:r w:rsidRPr="00AC4BD2">
              <w:rPr>
                <w:bCs/>
                <w:lang w:eastAsia="en-US"/>
              </w:rPr>
              <w:t>2022.</w:t>
            </w: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3030AB" w14:textId="77777777" w:rsidR="00E553F1" w:rsidRPr="00AC4BD2" w:rsidRDefault="00E553F1" w:rsidP="00F86EC4">
            <w:pPr>
              <w:jc w:val="center"/>
              <w:rPr>
                <w:bCs/>
                <w:lang w:eastAsia="en-US"/>
              </w:rPr>
            </w:pPr>
            <w:r w:rsidRPr="00AC4BD2">
              <w:rPr>
                <w:bCs/>
                <w:lang w:eastAsia="en-US"/>
              </w:rPr>
              <w:t>2023.</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C7F400" w14:textId="77777777" w:rsidR="00E553F1" w:rsidRPr="00AC4BD2" w:rsidRDefault="00E553F1" w:rsidP="00F86EC4">
            <w:pPr>
              <w:jc w:val="center"/>
              <w:rPr>
                <w:bCs/>
                <w:lang w:eastAsia="en-US"/>
              </w:rPr>
            </w:pPr>
            <w:r w:rsidRPr="00AC4BD2">
              <w:rPr>
                <w:bCs/>
                <w:lang w:eastAsia="en-US"/>
              </w:rPr>
              <w:t>2024.</w:t>
            </w:r>
          </w:p>
        </w:tc>
      </w:tr>
      <w:tr w:rsidR="00E553F1" w:rsidRPr="00AC4BD2" w14:paraId="28F96981" w14:textId="77777777" w:rsidTr="00F86EC4">
        <w:trPr>
          <w:cantSplit/>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2AEB4A5F" w14:textId="77777777" w:rsidR="00E553F1" w:rsidRPr="00AC4BD2" w:rsidRDefault="00E553F1" w:rsidP="00F86EC4">
            <w:pPr>
              <w:rPr>
                <w:bCs/>
                <w:lang w:eastAsia="en-US"/>
              </w:rPr>
            </w:pP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90F894" w14:textId="77777777" w:rsidR="00E553F1" w:rsidRPr="00AC4BD2" w:rsidRDefault="00E553F1" w:rsidP="00F86EC4">
            <w:pPr>
              <w:jc w:val="center"/>
              <w:rPr>
                <w:lang w:eastAsia="en-US"/>
              </w:rPr>
            </w:pPr>
            <w:r w:rsidRPr="00AC4BD2">
              <w:rPr>
                <w:lang w:eastAsia="en-US"/>
              </w:rPr>
              <w:t>saskaņā ar valsts budžetu kārtējam gadam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9D05FB" w14:textId="77777777" w:rsidR="00E553F1" w:rsidRPr="00AC4BD2" w:rsidRDefault="00E553F1" w:rsidP="00F86EC4">
            <w:pPr>
              <w:jc w:val="center"/>
              <w:rPr>
                <w:lang w:eastAsia="en-US"/>
              </w:rPr>
            </w:pPr>
            <w:r w:rsidRPr="00AC4BD2">
              <w:rPr>
                <w:lang w:eastAsia="en-US"/>
              </w:rPr>
              <w:t>izmaiņas kārtējā gadā, salīdzinot ar valsts budžetu kārtējam gadam</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FB3B35" w14:textId="77777777" w:rsidR="00E553F1" w:rsidRPr="00AC4BD2" w:rsidRDefault="00E553F1" w:rsidP="00F86EC4">
            <w:pPr>
              <w:jc w:val="center"/>
              <w:rPr>
                <w:lang w:eastAsia="en-US"/>
              </w:rPr>
            </w:pPr>
            <w:r w:rsidRPr="00AC4BD2">
              <w:rPr>
                <w:lang w:eastAsia="en-US"/>
              </w:rPr>
              <w:t>saskaņā ar vidēja termiņa budžeta ietvaru</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B55F8" w14:textId="77777777" w:rsidR="00E553F1" w:rsidRPr="00AC4BD2" w:rsidRDefault="00E553F1" w:rsidP="00F86EC4">
            <w:pPr>
              <w:jc w:val="center"/>
              <w:rPr>
                <w:lang w:eastAsia="en-US"/>
              </w:rPr>
            </w:pPr>
            <w:r w:rsidRPr="00AC4BD2">
              <w:rPr>
                <w:lang w:eastAsia="en-US"/>
              </w:rPr>
              <w:t>izmaiņas, salīdzinot ar vidēja termiņa budžeta ietvaru 2022. gadam</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BDCC5A" w14:textId="77777777" w:rsidR="00E553F1" w:rsidRPr="00AC4BD2" w:rsidRDefault="00E553F1" w:rsidP="00F86EC4">
            <w:pPr>
              <w:jc w:val="center"/>
              <w:rPr>
                <w:lang w:eastAsia="en-US"/>
              </w:rPr>
            </w:pPr>
            <w:r w:rsidRPr="00AC4BD2">
              <w:rPr>
                <w:lang w:eastAsia="en-US"/>
              </w:rPr>
              <w:t>saskaņā ar vidēja termiņa budžeta ietvaru</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55A0EB" w14:textId="77777777" w:rsidR="00E553F1" w:rsidRPr="00AC4BD2" w:rsidRDefault="00E553F1" w:rsidP="00F86EC4">
            <w:pPr>
              <w:jc w:val="center"/>
              <w:rPr>
                <w:lang w:eastAsia="en-US"/>
              </w:rPr>
            </w:pPr>
            <w:r w:rsidRPr="00AC4BD2">
              <w:rPr>
                <w:lang w:eastAsia="en-US"/>
              </w:rPr>
              <w:t>izmaiņas, salīdzinot ar vidēja termiņa budžeta ietvaru 2023. gadam</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B138A" w14:textId="77777777" w:rsidR="00E553F1" w:rsidRPr="00AC4BD2" w:rsidRDefault="00E553F1" w:rsidP="00F86EC4">
            <w:pPr>
              <w:jc w:val="center"/>
              <w:rPr>
                <w:lang w:eastAsia="en-US"/>
              </w:rPr>
            </w:pPr>
            <w:r w:rsidRPr="00AC4BD2">
              <w:rPr>
                <w:lang w:eastAsia="en-US"/>
              </w:rPr>
              <w:t xml:space="preserve">izmaiņas, salīdzinot ar vidēja termiņa budžeta ietvaru </w:t>
            </w:r>
            <w:r w:rsidRPr="00AC4BD2">
              <w:rPr>
                <w:lang w:eastAsia="en-US"/>
              </w:rPr>
              <w:br/>
              <w:t>2023. gadam</w:t>
            </w:r>
          </w:p>
        </w:tc>
      </w:tr>
      <w:tr w:rsidR="00E553F1" w:rsidRPr="00AC4BD2" w14:paraId="417BB3B9" w14:textId="77777777" w:rsidTr="00F86EC4">
        <w:trPr>
          <w:cantSplit/>
        </w:trPr>
        <w:tc>
          <w:tcPr>
            <w:tcW w:w="21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14193" w14:textId="77777777" w:rsidR="00E553F1" w:rsidRPr="00AC4BD2" w:rsidRDefault="00E553F1" w:rsidP="00F86EC4">
            <w:pPr>
              <w:jc w:val="center"/>
              <w:rPr>
                <w:lang w:eastAsia="en-US"/>
              </w:rPr>
            </w:pPr>
            <w:r w:rsidRPr="00AC4BD2">
              <w:rPr>
                <w:lang w:eastAsia="en-US"/>
              </w:rPr>
              <w:t>1</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4D515C" w14:textId="77777777" w:rsidR="00E553F1" w:rsidRPr="00AC4BD2" w:rsidRDefault="00E553F1" w:rsidP="00F86EC4">
            <w:pPr>
              <w:jc w:val="center"/>
              <w:rPr>
                <w:lang w:eastAsia="en-US"/>
              </w:rPr>
            </w:pPr>
            <w:r w:rsidRPr="00AC4BD2">
              <w:rPr>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70FAA" w14:textId="77777777" w:rsidR="00E553F1" w:rsidRPr="00AC4BD2" w:rsidRDefault="00E553F1" w:rsidP="00F86EC4">
            <w:pPr>
              <w:jc w:val="center"/>
              <w:rPr>
                <w:lang w:eastAsia="en-US"/>
              </w:rPr>
            </w:pPr>
            <w:r w:rsidRPr="00AC4BD2">
              <w:rPr>
                <w:lang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60C40D" w14:textId="77777777" w:rsidR="00E553F1" w:rsidRPr="00AC4BD2" w:rsidRDefault="00E553F1" w:rsidP="00F86EC4">
            <w:pPr>
              <w:jc w:val="center"/>
              <w:rPr>
                <w:lang w:eastAsia="en-US"/>
              </w:rPr>
            </w:pPr>
            <w:r w:rsidRPr="00AC4BD2">
              <w:rPr>
                <w:lang w:eastAsia="en-US"/>
              </w:rPr>
              <w:t>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DF1A6" w14:textId="77777777" w:rsidR="00E553F1" w:rsidRPr="00AC4BD2" w:rsidRDefault="00E553F1" w:rsidP="00F86EC4">
            <w:pPr>
              <w:jc w:val="center"/>
              <w:rPr>
                <w:lang w:eastAsia="en-US"/>
              </w:rPr>
            </w:pPr>
            <w:r w:rsidRPr="00AC4BD2">
              <w:rPr>
                <w:lang w:eastAsia="en-US"/>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3C5FB9" w14:textId="77777777" w:rsidR="00E553F1" w:rsidRPr="00AC4BD2" w:rsidRDefault="00E553F1" w:rsidP="00F86EC4">
            <w:pPr>
              <w:jc w:val="center"/>
              <w:rPr>
                <w:lang w:eastAsia="en-US"/>
              </w:rPr>
            </w:pPr>
            <w:r w:rsidRPr="00AC4BD2">
              <w:rPr>
                <w:lang w:eastAsia="en-US"/>
              </w:rPr>
              <w:t>6</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0FDC6" w14:textId="77777777" w:rsidR="00E553F1" w:rsidRPr="00AC4BD2" w:rsidRDefault="00E553F1" w:rsidP="00F86EC4">
            <w:pPr>
              <w:jc w:val="center"/>
              <w:rPr>
                <w:lang w:eastAsia="en-US"/>
              </w:rPr>
            </w:pPr>
            <w:r w:rsidRPr="00AC4BD2">
              <w:rPr>
                <w:lang w:eastAsia="en-US"/>
              </w:rPr>
              <w:t>7</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8445EE" w14:textId="77777777" w:rsidR="00E553F1" w:rsidRPr="00AC4BD2" w:rsidRDefault="00E553F1" w:rsidP="00F86EC4">
            <w:pPr>
              <w:jc w:val="center"/>
              <w:rPr>
                <w:lang w:eastAsia="en-US"/>
              </w:rPr>
            </w:pPr>
            <w:r w:rsidRPr="00AC4BD2">
              <w:rPr>
                <w:lang w:eastAsia="en-US"/>
              </w:rPr>
              <w:t>8</w:t>
            </w:r>
          </w:p>
        </w:tc>
      </w:tr>
      <w:tr w:rsidR="00E553F1" w:rsidRPr="00AC4BD2" w14:paraId="6FC13C4A" w14:textId="77777777" w:rsidTr="00F86EC4">
        <w:trPr>
          <w:cantSplit/>
        </w:trPr>
        <w:tc>
          <w:tcPr>
            <w:tcW w:w="2162" w:type="dxa"/>
            <w:tcBorders>
              <w:top w:val="single" w:sz="4" w:space="0" w:color="auto"/>
              <w:left w:val="single" w:sz="4" w:space="0" w:color="auto"/>
              <w:bottom w:val="single" w:sz="4" w:space="0" w:color="auto"/>
              <w:right w:val="single" w:sz="4" w:space="0" w:color="auto"/>
            </w:tcBorders>
            <w:shd w:val="clear" w:color="auto" w:fill="FFFFFF"/>
            <w:hideMark/>
          </w:tcPr>
          <w:p w14:paraId="41AA8823" w14:textId="77777777" w:rsidR="00E553F1" w:rsidRPr="00AC4BD2" w:rsidRDefault="00E553F1" w:rsidP="00F86EC4">
            <w:pPr>
              <w:rPr>
                <w:lang w:eastAsia="en-US"/>
              </w:rPr>
            </w:pPr>
            <w:r w:rsidRPr="00AC4BD2">
              <w:rPr>
                <w:lang w:eastAsia="en-US"/>
              </w:rPr>
              <w:t>1. Budžeta ieņēmumi</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58EF1" w14:textId="77777777" w:rsidR="00E553F1" w:rsidRPr="00AC4BD2" w:rsidRDefault="00E553F1" w:rsidP="00F86EC4">
            <w:pPr>
              <w:rPr>
                <w:lang w:eastAsia="en-US"/>
              </w:rPr>
            </w:pPr>
            <w:r w:rsidRPr="00AC4BD2">
              <w:rPr>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B9806E" w14:textId="77777777" w:rsidR="00E553F1" w:rsidRPr="00AC4BD2" w:rsidRDefault="00E553F1" w:rsidP="00F86EC4">
            <w:pPr>
              <w:rPr>
                <w:rFonts w:eastAsia="Calibri"/>
              </w:rPr>
            </w:pPr>
            <w:r w:rsidRPr="00AC4BD2">
              <w:rPr>
                <w:rFonts w:eastAsia="Calibri"/>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0BD5F" w14:textId="77777777" w:rsidR="00E553F1" w:rsidRPr="00AC4BD2" w:rsidRDefault="00E553F1" w:rsidP="00F86EC4">
            <w:pPr>
              <w:rPr>
                <w:rFonts w:eastAsia="Calibri"/>
              </w:rPr>
            </w:pPr>
            <w:r w:rsidRPr="00AC4BD2">
              <w:rPr>
                <w:rFonts w:eastAsia="Calibri"/>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EDD54F" w14:textId="77777777" w:rsidR="00E553F1" w:rsidRPr="00AC4BD2" w:rsidRDefault="00E553F1" w:rsidP="00F86EC4">
            <w:pPr>
              <w:rPr>
                <w:rFonts w:eastAsia="Calibri"/>
              </w:rPr>
            </w:pPr>
            <w:r w:rsidRPr="00AC4BD2">
              <w:rPr>
                <w:rFonts w:eastAsia="Calibri"/>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1CEB7A" w14:textId="77777777" w:rsidR="00E553F1" w:rsidRPr="00AC4BD2" w:rsidRDefault="00E553F1" w:rsidP="00F86EC4">
            <w:pPr>
              <w:rPr>
                <w:rFonts w:eastAsia="Calibri"/>
              </w:rPr>
            </w:pPr>
            <w:r w:rsidRPr="00AC4BD2">
              <w:rPr>
                <w:rFonts w:eastAsia="Calibri"/>
              </w:rPr>
              <w:t>0</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826E80"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D613C5" w14:textId="77777777" w:rsidR="00E553F1" w:rsidRPr="00AC4BD2" w:rsidRDefault="00E553F1" w:rsidP="00F86EC4">
            <w:pPr>
              <w:rPr>
                <w:rFonts w:eastAsia="Calibri"/>
              </w:rPr>
            </w:pPr>
            <w:r w:rsidRPr="00AC4BD2">
              <w:rPr>
                <w:rFonts w:eastAsia="Calibri"/>
              </w:rPr>
              <w:t>0</w:t>
            </w:r>
          </w:p>
        </w:tc>
      </w:tr>
      <w:tr w:rsidR="00E553F1" w:rsidRPr="00AC4BD2" w14:paraId="5FEA4E33"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6332C6E9" w14:textId="77777777" w:rsidR="00E553F1" w:rsidRPr="00AC4BD2" w:rsidRDefault="00E553F1" w:rsidP="00F86EC4">
            <w:pPr>
              <w:rPr>
                <w:lang w:eastAsia="en-US"/>
              </w:rPr>
            </w:pPr>
            <w:r w:rsidRPr="00AC4BD2">
              <w:rPr>
                <w:lang w:eastAsia="en-US"/>
              </w:rPr>
              <w:t>1.1. valsts pamatbudžets, tai skaitā ieņēmumi no maksas pakalpojumiem un citi pašu ieņēmumi</w:t>
            </w:r>
          </w:p>
        </w:tc>
        <w:tc>
          <w:tcPr>
            <w:tcW w:w="954" w:type="dxa"/>
            <w:tcBorders>
              <w:top w:val="single" w:sz="4" w:space="0" w:color="auto"/>
              <w:left w:val="single" w:sz="4" w:space="0" w:color="auto"/>
              <w:bottom w:val="single" w:sz="4" w:space="0" w:color="auto"/>
              <w:right w:val="single" w:sz="4" w:space="0" w:color="auto"/>
            </w:tcBorders>
            <w:vAlign w:val="center"/>
            <w:hideMark/>
          </w:tcPr>
          <w:p w14:paraId="2E05C55E" w14:textId="77777777" w:rsidR="00E553F1" w:rsidRPr="00AC4BD2" w:rsidRDefault="00E553F1" w:rsidP="00F86EC4">
            <w:pPr>
              <w:rPr>
                <w:lang w:eastAsia="en-US"/>
              </w:rPr>
            </w:pPr>
            <w:r w:rsidRPr="00AC4BD2">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717021" w14:textId="77777777" w:rsidR="00E553F1" w:rsidRPr="00AC4BD2" w:rsidRDefault="00E553F1" w:rsidP="00F86EC4">
            <w:pPr>
              <w:rPr>
                <w:rFonts w:eastAsia="Calibri"/>
              </w:rPr>
            </w:pPr>
            <w:r w:rsidRPr="00AC4BD2">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E778AE" w14:textId="77777777" w:rsidR="00E553F1" w:rsidRPr="00AC4BD2" w:rsidRDefault="00E553F1" w:rsidP="00F86EC4">
            <w:pPr>
              <w:rPr>
                <w:rFonts w:eastAsia="Calibri"/>
              </w:rPr>
            </w:pPr>
            <w:r w:rsidRPr="00AC4BD2">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0D8B1E" w14:textId="77777777" w:rsidR="00E553F1" w:rsidRPr="00AC4BD2" w:rsidRDefault="00E553F1" w:rsidP="00F86EC4">
            <w:pPr>
              <w:rPr>
                <w:rFonts w:eastAsia="Calibri"/>
              </w:rPr>
            </w:pPr>
            <w:r w:rsidRPr="00AC4BD2">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9EEAEC" w14:textId="77777777" w:rsidR="00E553F1" w:rsidRPr="00AC4BD2" w:rsidRDefault="00E553F1" w:rsidP="00F86EC4">
            <w:pPr>
              <w:rPr>
                <w:rFonts w:eastAsia="Calibri"/>
              </w:rPr>
            </w:pPr>
            <w:r w:rsidRPr="00AC4BD2">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8A71E3A"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E3F5D46" w14:textId="77777777" w:rsidR="00E553F1" w:rsidRPr="00AC4BD2" w:rsidRDefault="00E553F1" w:rsidP="00F86EC4">
            <w:pPr>
              <w:rPr>
                <w:rFonts w:eastAsia="Calibri"/>
              </w:rPr>
            </w:pPr>
            <w:r w:rsidRPr="00AC4BD2">
              <w:rPr>
                <w:rFonts w:eastAsia="Calibri"/>
              </w:rPr>
              <w:t>0</w:t>
            </w:r>
          </w:p>
        </w:tc>
      </w:tr>
      <w:tr w:rsidR="00E553F1" w:rsidRPr="00AC4BD2" w14:paraId="2006F0B4"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3AC6D976" w14:textId="77777777" w:rsidR="00E553F1" w:rsidRPr="00AC4BD2" w:rsidRDefault="00E553F1" w:rsidP="00F86EC4">
            <w:pPr>
              <w:rPr>
                <w:lang w:eastAsia="en-US"/>
              </w:rPr>
            </w:pPr>
            <w:r w:rsidRPr="00AC4BD2">
              <w:rPr>
                <w:lang w:eastAsia="en-US"/>
              </w:rPr>
              <w:t>1.2. valsts speciālais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79916306" w14:textId="77777777" w:rsidR="00E553F1" w:rsidRPr="00AC4BD2" w:rsidRDefault="00E553F1" w:rsidP="00F86EC4">
            <w:pPr>
              <w:rPr>
                <w:lang w:eastAsia="en-US"/>
              </w:rPr>
            </w:pPr>
            <w:r w:rsidRPr="00AC4BD2">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90D13E" w14:textId="77777777" w:rsidR="00E553F1" w:rsidRPr="00AC4BD2" w:rsidRDefault="00E553F1" w:rsidP="00F86EC4">
            <w:pPr>
              <w:rPr>
                <w:rFonts w:eastAsia="Calibri"/>
              </w:rPr>
            </w:pPr>
            <w:r w:rsidRPr="00AC4BD2">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B81F4D" w14:textId="77777777" w:rsidR="00E553F1" w:rsidRPr="00AC4BD2" w:rsidRDefault="00E553F1" w:rsidP="00F86EC4">
            <w:pPr>
              <w:rPr>
                <w:rFonts w:eastAsia="Calibri"/>
              </w:rPr>
            </w:pPr>
            <w:r w:rsidRPr="00AC4BD2">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959666" w14:textId="77777777" w:rsidR="00E553F1" w:rsidRPr="00AC4BD2" w:rsidRDefault="00E553F1" w:rsidP="00F86EC4">
            <w:pPr>
              <w:rPr>
                <w:rFonts w:eastAsia="Calibri"/>
              </w:rPr>
            </w:pPr>
            <w:r w:rsidRPr="00AC4BD2">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B7C78F" w14:textId="77777777" w:rsidR="00E553F1" w:rsidRPr="00AC4BD2" w:rsidRDefault="00E553F1" w:rsidP="00F86EC4">
            <w:pPr>
              <w:rPr>
                <w:rFonts w:eastAsia="Calibri"/>
              </w:rPr>
            </w:pPr>
            <w:r w:rsidRPr="00AC4BD2">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76F8021"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3B936142" w14:textId="77777777" w:rsidR="00E553F1" w:rsidRPr="00AC4BD2" w:rsidRDefault="00E553F1" w:rsidP="00F86EC4">
            <w:pPr>
              <w:rPr>
                <w:rFonts w:eastAsia="Calibri"/>
              </w:rPr>
            </w:pPr>
            <w:r w:rsidRPr="00AC4BD2">
              <w:rPr>
                <w:rFonts w:eastAsia="Calibri"/>
              </w:rPr>
              <w:t>0</w:t>
            </w:r>
          </w:p>
        </w:tc>
      </w:tr>
      <w:tr w:rsidR="00E553F1" w:rsidRPr="00AC4BD2" w14:paraId="7F4C0CE7"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454CE70E" w14:textId="77777777" w:rsidR="00E553F1" w:rsidRPr="00AC4BD2" w:rsidRDefault="00E553F1" w:rsidP="00F86EC4">
            <w:pPr>
              <w:rPr>
                <w:lang w:eastAsia="en-US"/>
              </w:rPr>
            </w:pPr>
            <w:r w:rsidRPr="00AC4BD2">
              <w:rPr>
                <w:lang w:eastAsia="en-US"/>
              </w:rPr>
              <w:t>1.3. pašvaldību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3248F0BC" w14:textId="77777777" w:rsidR="00E553F1" w:rsidRPr="00AC4BD2" w:rsidRDefault="00E553F1" w:rsidP="00F86EC4">
            <w:pPr>
              <w:rPr>
                <w:lang w:eastAsia="en-US"/>
              </w:rPr>
            </w:pPr>
            <w:r w:rsidRPr="00AC4BD2">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481E4F" w14:textId="77777777" w:rsidR="00E553F1" w:rsidRPr="008F7073" w:rsidRDefault="00E553F1" w:rsidP="00F86EC4">
            <w:pPr>
              <w:rPr>
                <w:rFonts w:eastAsia="Calibri"/>
              </w:rPr>
            </w:pPr>
            <w:r w:rsidRPr="008F7073">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BF9782" w14:textId="77777777" w:rsidR="00E553F1" w:rsidRPr="00AC4BD2" w:rsidRDefault="00E553F1" w:rsidP="00F86EC4">
            <w:pPr>
              <w:rPr>
                <w:rFonts w:eastAsia="Calibri"/>
              </w:rPr>
            </w:pPr>
            <w:r w:rsidRPr="00AC4BD2">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245C21" w14:textId="77777777" w:rsidR="00E553F1" w:rsidRPr="00AC4BD2" w:rsidRDefault="00E553F1" w:rsidP="00F86EC4">
            <w:pPr>
              <w:rPr>
                <w:rFonts w:eastAsia="Calibri"/>
              </w:rPr>
            </w:pPr>
            <w:r w:rsidRPr="00AC4BD2">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EF01E0" w14:textId="77777777" w:rsidR="00E553F1" w:rsidRPr="00AC4BD2" w:rsidRDefault="00E553F1" w:rsidP="00F86EC4">
            <w:pPr>
              <w:rPr>
                <w:rFonts w:eastAsia="Calibri"/>
              </w:rPr>
            </w:pPr>
            <w:r w:rsidRPr="00AC4BD2">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E27EECD"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0D012098" w14:textId="77777777" w:rsidR="00E553F1" w:rsidRPr="00AC4BD2" w:rsidRDefault="00E553F1" w:rsidP="00F86EC4">
            <w:pPr>
              <w:rPr>
                <w:rFonts w:eastAsia="Calibri"/>
              </w:rPr>
            </w:pPr>
            <w:r w:rsidRPr="00AC4BD2">
              <w:rPr>
                <w:rFonts w:eastAsia="Calibri"/>
              </w:rPr>
              <w:t>0</w:t>
            </w:r>
          </w:p>
        </w:tc>
      </w:tr>
      <w:tr w:rsidR="00E553F1" w:rsidRPr="00AC4BD2" w14:paraId="11B1D9DB"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23980822" w14:textId="77777777" w:rsidR="00E553F1" w:rsidRPr="00AC4BD2" w:rsidRDefault="00E553F1" w:rsidP="00F86EC4">
            <w:pPr>
              <w:rPr>
                <w:lang w:eastAsia="en-US"/>
              </w:rPr>
            </w:pPr>
            <w:r w:rsidRPr="00AC4BD2">
              <w:rPr>
                <w:lang w:eastAsia="en-US"/>
              </w:rPr>
              <w:t>2. Budžeta izdevumi</w:t>
            </w:r>
          </w:p>
        </w:tc>
        <w:tc>
          <w:tcPr>
            <w:tcW w:w="954" w:type="dxa"/>
            <w:tcBorders>
              <w:top w:val="single" w:sz="4" w:space="0" w:color="auto"/>
              <w:left w:val="single" w:sz="4" w:space="0" w:color="auto"/>
              <w:bottom w:val="single" w:sz="4" w:space="0" w:color="auto"/>
              <w:right w:val="single" w:sz="4" w:space="0" w:color="auto"/>
            </w:tcBorders>
            <w:vAlign w:val="center"/>
            <w:hideMark/>
          </w:tcPr>
          <w:p w14:paraId="1A7CD0E7" w14:textId="77777777" w:rsidR="00E553F1" w:rsidRPr="00AC4BD2" w:rsidRDefault="00E553F1" w:rsidP="00F86EC4">
            <w:pPr>
              <w:rPr>
                <w:lang w:eastAsia="en-US"/>
              </w:rPr>
            </w:pPr>
            <w:r w:rsidRPr="00AC4BD2">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66EB82" w14:textId="77777777" w:rsidR="00E553F1" w:rsidRPr="008F7073" w:rsidRDefault="00E553F1" w:rsidP="00F86EC4">
            <w:pPr>
              <w:rPr>
                <w:rFonts w:eastAsia="Calibri"/>
              </w:rPr>
            </w:pPr>
            <w:r w:rsidRPr="008F7073">
              <w:rPr>
                <w:lang w:eastAsia="en-US"/>
              </w:rPr>
              <w:t>3291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65BFE8" w14:textId="77777777" w:rsidR="00E553F1" w:rsidRPr="00AC4BD2" w:rsidRDefault="00E553F1" w:rsidP="00F86EC4">
            <w:pPr>
              <w:rPr>
                <w:rFonts w:eastAsia="Calibri"/>
              </w:rPr>
            </w:pPr>
            <w:r w:rsidRPr="00AC4BD2">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7FED69" w14:textId="77777777" w:rsidR="00E553F1" w:rsidRPr="00AC4BD2" w:rsidRDefault="00E553F1" w:rsidP="00F86EC4">
            <w:pPr>
              <w:rPr>
                <w:rFonts w:eastAsia="Calibri"/>
              </w:rPr>
            </w:pPr>
            <w:r w:rsidRPr="00AC4BD2">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C3D5F2" w14:textId="77777777" w:rsidR="00E553F1" w:rsidRPr="00AC4BD2" w:rsidRDefault="00E553F1" w:rsidP="00F86EC4">
            <w:pPr>
              <w:rPr>
                <w:rFonts w:eastAsia="Calibri"/>
              </w:rPr>
            </w:pPr>
            <w:r w:rsidRPr="00AC4BD2">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FF3880B"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CB6F3BF" w14:textId="77777777" w:rsidR="00E553F1" w:rsidRPr="00AC4BD2" w:rsidRDefault="00E553F1" w:rsidP="00F86EC4">
            <w:pPr>
              <w:rPr>
                <w:rFonts w:eastAsia="Calibri"/>
              </w:rPr>
            </w:pPr>
            <w:r w:rsidRPr="00AC4BD2">
              <w:rPr>
                <w:rFonts w:eastAsia="Calibri"/>
              </w:rPr>
              <w:t>0</w:t>
            </w:r>
          </w:p>
        </w:tc>
      </w:tr>
      <w:tr w:rsidR="00E553F1" w:rsidRPr="00AC4BD2" w14:paraId="3409B163"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6EFF5696" w14:textId="77777777" w:rsidR="00E553F1" w:rsidRPr="00AC4BD2" w:rsidRDefault="00E553F1" w:rsidP="00F86EC4">
            <w:pPr>
              <w:rPr>
                <w:lang w:eastAsia="en-US"/>
              </w:rPr>
            </w:pPr>
            <w:r w:rsidRPr="00AC4BD2">
              <w:rPr>
                <w:lang w:eastAsia="en-US"/>
              </w:rPr>
              <w:t>2.1. valsts pamatbudžets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54A9A2E4" w14:textId="77777777" w:rsidR="00E553F1" w:rsidRPr="00AC4BD2" w:rsidRDefault="00E553F1" w:rsidP="00F86EC4">
            <w:pPr>
              <w:rPr>
                <w:lang w:eastAsia="en-US"/>
              </w:rPr>
            </w:pPr>
            <w:r w:rsidRPr="00AC4BD2">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DADBF9" w14:textId="77777777" w:rsidR="00E553F1" w:rsidRPr="008F7073" w:rsidRDefault="00E553F1" w:rsidP="00F86EC4">
            <w:pPr>
              <w:rPr>
                <w:rFonts w:eastAsia="Calibri"/>
              </w:rPr>
            </w:pPr>
            <w:r w:rsidRPr="008F7073">
              <w:rPr>
                <w:lang w:eastAsia="en-US"/>
              </w:rPr>
              <w:t>3291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359C74" w14:textId="77777777" w:rsidR="00E553F1" w:rsidRPr="00AC4BD2" w:rsidRDefault="00E553F1" w:rsidP="00F86EC4">
            <w:pPr>
              <w:rPr>
                <w:rFonts w:eastAsia="Calibri"/>
              </w:rPr>
            </w:pPr>
            <w:r w:rsidRPr="00AC4BD2">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BFBC12" w14:textId="77777777" w:rsidR="00E553F1" w:rsidRPr="00AC4BD2" w:rsidRDefault="00E553F1" w:rsidP="00F86EC4">
            <w:pPr>
              <w:rPr>
                <w:rFonts w:eastAsia="Calibri"/>
              </w:rPr>
            </w:pPr>
            <w:r w:rsidRPr="00AC4BD2">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9EE5A5" w14:textId="77777777" w:rsidR="00E553F1" w:rsidRPr="00AC4BD2" w:rsidRDefault="00E553F1" w:rsidP="00F86EC4">
            <w:pPr>
              <w:rPr>
                <w:rFonts w:eastAsia="Calibri"/>
              </w:rPr>
            </w:pPr>
            <w:r w:rsidRPr="00AC4BD2">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0DC9C05"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3A5A44AF" w14:textId="77777777" w:rsidR="00E553F1" w:rsidRPr="00AC4BD2" w:rsidRDefault="00E553F1" w:rsidP="00F86EC4">
            <w:pPr>
              <w:rPr>
                <w:rFonts w:eastAsia="Calibri"/>
              </w:rPr>
            </w:pPr>
            <w:r w:rsidRPr="00AC4BD2">
              <w:rPr>
                <w:rFonts w:eastAsia="Calibri"/>
              </w:rPr>
              <w:t>0</w:t>
            </w:r>
          </w:p>
        </w:tc>
      </w:tr>
      <w:tr w:rsidR="00E553F1" w:rsidRPr="00AC4BD2" w14:paraId="436022DA"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72E6E533" w14:textId="77777777" w:rsidR="00E553F1" w:rsidRPr="00AC4BD2" w:rsidRDefault="00E553F1" w:rsidP="00F86EC4">
            <w:pPr>
              <w:rPr>
                <w:lang w:eastAsia="en-US"/>
              </w:rPr>
            </w:pPr>
            <w:r w:rsidRPr="00AC4BD2">
              <w:rPr>
                <w:lang w:eastAsia="en-US"/>
              </w:rPr>
              <w:t>2.2. valsts speciālais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1EF3C53F" w14:textId="77777777" w:rsidR="00E553F1" w:rsidRPr="00AC4BD2" w:rsidRDefault="00E553F1" w:rsidP="00F86EC4">
            <w:pPr>
              <w:rPr>
                <w:lang w:eastAsia="en-US"/>
              </w:rPr>
            </w:pPr>
            <w:r w:rsidRPr="00AC4BD2">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E2D523" w14:textId="77777777" w:rsidR="00E553F1" w:rsidRPr="008F7073" w:rsidRDefault="00E553F1" w:rsidP="00F86EC4">
            <w:pPr>
              <w:rPr>
                <w:rFonts w:eastAsia="Calibri"/>
              </w:rPr>
            </w:pPr>
            <w:r w:rsidRPr="008F7073">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174BA1" w14:textId="77777777" w:rsidR="00E553F1" w:rsidRPr="00AC4BD2" w:rsidRDefault="00E553F1" w:rsidP="00F86EC4">
            <w:pPr>
              <w:rPr>
                <w:rFonts w:eastAsia="Calibri"/>
              </w:rPr>
            </w:pPr>
            <w:r w:rsidRPr="00AC4BD2">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BCFD88" w14:textId="77777777" w:rsidR="00E553F1" w:rsidRPr="00AC4BD2" w:rsidRDefault="00E553F1" w:rsidP="00F86EC4">
            <w:pPr>
              <w:rPr>
                <w:rFonts w:eastAsia="Calibri"/>
              </w:rPr>
            </w:pPr>
            <w:r w:rsidRPr="00AC4BD2">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574463" w14:textId="77777777" w:rsidR="00E553F1" w:rsidRPr="00AC4BD2" w:rsidRDefault="00E553F1" w:rsidP="00F86EC4">
            <w:pPr>
              <w:rPr>
                <w:rFonts w:eastAsia="Calibri"/>
              </w:rPr>
            </w:pPr>
            <w:r w:rsidRPr="00AC4BD2">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4E78A9E"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61BDA497" w14:textId="77777777" w:rsidR="00E553F1" w:rsidRPr="00AC4BD2" w:rsidRDefault="00E553F1" w:rsidP="00F86EC4">
            <w:pPr>
              <w:rPr>
                <w:rFonts w:eastAsia="Calibri"/>
              </w:rPr>
            </w:pPr>
            <w:r w:rsidRPr="00AC4BD2">
              <w:rPr>
                <w:rFonts w:eastAsia="Calibri"/>
              </w:rPr>
              <w:t>0</w:t>
            </w:r>
          </w:p>
        </w:tc>
      </w:tr>
      <w:tr w:rsidR="00E553F1" w:rsidRPr="00AC4BD2" w14:paraId="5C415061"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5A25D18C" w14:textId="77777777" w:rsidR="00E553F1" w:rsidRPr="00AC4BD2" w:rsidRDefault="00E553F1" w:rsidP="00F86EC4">
            <w:pPr>
              <w:rPr>
                <w:lang w:eastAsia="en-US"/>
              </w:rPr>
            </w:pPr>
            <w:r w:rsidRPr="00AC4BD2">
              <w:rPr>
                <w:lang w:eastAsia="en-US"/>
              </w:rPr>
              <w:t>2.3. pašvaldību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77E4C538" w14:textId="77777777" w:rsidR="00E553F1" w:rsidRPr="00AC4BD2" w:rsidRDefault="00E553F1" w:rsidP="00F86EC4">
            <w:pPr>
              <w:rPr>
                <w:lang w:eastAsia="en-US"/>
              </w:rPr>
            </w:pPr>
            <w:r w:rsidRPr="00AC4BD2">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6EDBA0" w14:textId="77777777" w:rsidR="00E553F1" w:rsidRPr="008F7073" w:rsidRDefault="00E553F1" w:rsidP="00F86EC4">
            <w:pPr>
              <w:rPr>
                <w:rFonts w:eastAsia="Calibri"/>
              </w:rPr>
            </w:pPr>
            <w:r w:rsidRPr="008F7073">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EC3A5B" w14:textId="77777777" w:rsidR="00E553F1" w:rsidRPr="00AC4BD2" w:rsidRDefault="00E553F1" w:rsidP="00F86EC4">
            <w:pPr>
              <w:rPr>
                <w:rFonts w:eastAsia="Calibri"/>
              </w:rPr>
            </w:pPr>
            <w:r w:rsidRPr="00AC4BD2">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877580" w14:textId="77777777" w:rsidR="00E553F1" w:rsidRPr="00AC4BD2" w:rsidRDefault="00E553F1" w:rsidP="00F86EC4">
            <w:pPr>
              <w:rPr>
                <w:rFonts w:eastAsia="Calibri"/>
              </w:rPr>
            </w:pPr>
            <w:r w:rsidRPr="00AC4BD2">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B36B12" w14:textId="77777777" w:rsidR="00E553F1" w:rsidRPr="00AC4BD2" w:rsidRDefault="00E553F1" w:rsidP="00F86EC4">
            <w:pPr>
              <w:rPr>
                <w:rFonts w:eastAsia="Calibri"/>
              </w:rPr>
            </w:pPr>
            <w:r w:rsidRPr="00AC4BD2">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31F5486"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3FA815B" w14:textId="77777777" w:rsidR="00E553F1" w:rsidRPr="00AC4BD2" w:rsidRDefault="00E553F1" w:rsidP="00F86EC4">
            <w:pPr>
              <w:rPr>
                <w:rFonts w:eastAsia="Calibri"/>
              </w:rPr>
            </w:pPr>
            <w:r w:rsidRPr="00AC4BD2">
              <w:rPr>
                <w:rFonts w:eastAsia="Calibri"/>
              </w:rPr>
              <w:t>0</w:t>
            </w:r>
          </w:p>
        </w:tc>
      </w:tr>
      <w:tr w:rsidR="00E553F1" w:rsidRPr="00AC4BD2" w14:paraId="3CBF599B"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50B58EA6" w14:textId="77777777" w:rsidR="00E553F1" w:rsidRPr="00AC4BD2" w:rsidRDefault="00E553F1" w:rsidP="00F86EC4">
            <w:pPr>
              <w:rPr>
                <w:lang w:eastAsia="en-US"/>
              </w:rPr>
            </w:pPr>
            <w:r w:rsidRPr="00AC4BD2">
              <w:rPr>
                <w:lang w:eastAsia="en-US"/>
              </w:rPr>
              <w:t>3. Finansiālā ietekme</w:t>
            </w:r>
          </w:p>
        </w:tc>
        <w:tc>
          <w:tcPr>
            <w:tcW w:w="954" w:type="dxa"/>
            <w:tcBorders>
              <w:top w:val="single" w:sz="4" w:space="0" w:color="auto"/>
              <w:left w:val="single" w:sz="4" w:space="0" w:color="auto"/>
              <w:bottom w:val="single" w:sz="4" w:space="0" w:color="auto"/>
              <w:right w:val="single" w:sz="4" w:space="0" w:color="auto"/>
            </w:tcBorders>
            <w:vAlign w:val="center"/>
            <w:hideMark/>
          </w:tcPr>
          <w:p w14:paraId="602E6858" w14:textId="77777777" w:rsidR="00E553F1" w:rsidRPr="00AC4BD2" w:rsidRDefault="00E553F1" w:rsidP="00F86EC4">
            <w:pPr>
              <w:rPr>
                <w:lang w:eastAsia="en-US"/>
              </w:rPr>
            </w:pPr>
            <w:r w:rsidRPr="00AC4BD2">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5E357" w14:textId="77777777" w:rsidR="00E553F1" w:rsidRPr="008F7073" w:rsidRDefault="00E553F1" w:rsidP="00F86EC4">
            <w:pPr>
              <w:rPr>
                <w:rFonts w:eastAsia="Calibri"/>
              </w:rPr>
            </w:pPr>
            <w:r w:rsidRPr="008F7073">
              <w:rPr>
                <w:rFonts w:eastAsia="Calibri"/>
              </w:rPr>
              <w:t>-</w:t>
            </w:r>
            <w:r w:rsidRPr="008F7073">
              <w:rPr>
                <w:lang w:eastAsia="en-US"/>
              </w:rPr>
              <w:t>3291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CF659C" w14:textId="77777777" w:rsidR="00E553F1" w:rsidRPr="00AC4BD2" w:rsidRDefault="00E553F1" w:rsidP="00F86EC4">
            <w:pPr>
              <w:rPr>
                <w:rFonts w:eastAsia="Calibri"/>
              </w:rPr>
            </w:pPr>
            <w:r w:rsidRPr="00AC4BD2">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79E5D1" w14:textId="77777777" w:rsidR="00E553F1" w:rsidRPr="00AC4BD2" w:rsidRDefault="00E553F1" w:rsidP="00F86EC4">
            <w:pPr>
              <w:rPr>
                <w:rFonts w:eastAsia="Calibri"/>
              </w:rPr>
            </w:pPr>
            <w:r w:rsidRPr="00AC4BD2">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725C17" w14:textId="77777777" w:rsidR="00E553F1" w:rsidRPr="00AC4BD2" w:rsidRDefault="00E553F1" w:rsidP="00F86EC4">
            <w:pPr>
              <w:rPr>
                <w:rFonts w:eastAsia="Calibri"/>
              </w:rPr>
            </w:pPr>
            <w:r w:rsidRPr="00AC4BD2">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243BE0B"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1BDE5DC0" w14:textId="77777777" w:rsidR="00E553F1" w:rsidRPr="00AC4BD2" w:rsidRDefault="00E553F1" w:rsidP="00F86EC4">
            <w:pPr>
              <w:rPr>
                <w:rFonts w:eastAsia="Calibri"/>
              </w:rPr>
            </w:pPr>
            <w:r w:rsidRPr="00AC4BD2">
              <w:rPr>
                <w:rFonts w:eastAsia="Calibri"/>
              </w:rPr>
              <w:t>0</w:t>
            </w:r>
          </w:p>
        </w:tc>
      </w:tr>
      <w:tr w:rsidR="00E553F1" w:rsidRPr="00AC4BD2" w14:paraId="08B34F54"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13DD5465" w14:textId="77777777" w:rsidR="00E553F1" w:rsidRPr="00AC4BD2" w:rsidRDefault="00E553F1" w:rsidP="00F86EC4">
            <w:pPr>
              <w:rPr>
                <w:lang w:eastAsia="en-US"/>
              </w:rPr>
            </w:pPr>
            <w:r w:rsidRPr="00AC4BD2">
              <w:rPr>
                <w:lang w:eastAsia="en-US"/>
              </w:rPr>
              <w:t>3.1. valsts pamatbudžets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2CFB6C4D" w14:textId="77777777" w:rsidR="00E553F1" w:rsidRPr="00AC4BD2" w:rsidRDefault="00E553F1" w:rsidP="00F86EC4">
            <w:pPr>
              <w:rPr>
                <w:lang w:eastAsia="en-US"/>
              </w:rPr>
            </w:pPr>
            <w:r w:rsidRPr="00AC4BD2">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695FF" w14:textId="77777777" w:rsidR="00E553F1" w:rsidRPr="008F7073" w:rsidRDefault="00E553F1" w:rsidP="00F86EC4">
            <w:pPr>
              <w:rPr>
                <w:rFonts w:eastAsia="Calibri"/>
              </w:rPr>
            </w:pPr>
            <w:r w:rsidRPr="008F7073">
              <w:rPr>
                <w:rFonts w:eastAsia="Calibri"/>
              </w:rPr>
              <w:t>-</w:t>
            </w:r>
            <w:r w:rsidRPr="008F7073">
              <w:rPr>
                <w:lang w:eastAsia="en-US"/>
              </w:rPr>
              <w:t>3291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65312E" w14:textId="77777777" w:rsidR="00E553F1" w:rsidRPr="00AC4BD2" w:rsidRDefault="00E553F1" w:rsidP="00F86EC4">
            <w:pPr>
              <w:rPr>
                <w:rFonts w:eastAsia="Calibri"/>
              </w:rPr>
            </w:pPr>
            <w:r w:rsidRPr="00AC4BD2">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1C6783" w14:textId="77777777" w:rsidR="00E553F1" w:rsidRPr="00AC4BD2" w:rsidRDefault="00E553F1" w:rsidP="00F86EC4">
            <w:pPr>
              <w:rPr>
                <w:rFonts w:eastAsia="Calibri"/>
              </w:rPr>
            </w:pPr>
            <w:r w:rsidRPr="00AC4BD2">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BBD01A" w14:textId="77777777" w:rsidR="00E553F1" w:rsidRPr="00AC4BD2" w:rsidRDefault="00E553F1" w:rsidP="00F86EC4">
            <w:pPr>
              <w:rPr>
                <w:rFonts w:eastAsia="Calibri"/>
              </w:rPr>
            </w:pPr>
            <w:r w:rsidRPr="00AC4BD2">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D2B422C"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3F966BD3" w14:textId="77777777" w:rsidR="00E553F1" w:rsidRPr="00AC4BD2" w:rsidRDefault="00E553F1" w:rsidP="00F86EC4">
            <w:pPr>
              <w:rPr>
                <w:rFonts w:eastAsia="Calibri"/>
              </w:rPr>
            </w:pPr>
            <w:r w:rsidRPr="00AC4BD2">
              <w:rPr>
                <w:rFonts w:eastAsia="Calibri"/>
              </w:rPr>
              <w:t>0</w:t>
            </w:r>
          </w:p>
        </w:tc>
      </w:tr>
      <w:tr w:rsidR="00E553F1" w:rsidRPr="00AC4BD2" w14:paraId="13F6CD62"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61F6FC8A" w14:textId="77777777" w:rsidR="00E553F1" w:rsidRPr="00AC4BD2" w:rsidRDefault="00E553F1" w:rsidP="00F86EC4">
            <w:pPr>
              <w:rPr>
                <w:lang w:eastAsia="en-US"/>
              </w:rPr>
            </w:pPr>
            <w:r w:rsidRPr="00AC4BD2">
              <w:rPr>
                <w:lang w:eastAsia="en-US"/>
              </w:rPr>
              <w:t>3.2. speciālais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5B432EB8" w14:textId="77777777" w:rsidR="00E553F1" w:rsidRPr="00AC4BD2" w:rsidRDefault="00E553F1" w:rsidP="00F86EC4">
            <w:pPr>
              <w:rPr>
                <w:lang w:eastAsia="en-US"/>
              </w:rPr>
            </w:pPr>
            <w:r w:rsidRPr="00AC4BD2">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643AF6" w14:textId="77777777" w:rsidR="00E553F1" w:rsidRPr="008F7073" w:rsidRDefault="00E553F1" w:rsidP="00F86EC4">
            <w:pPr>
              <w:rPr>
                <w:rFonts w:eastAsia="Calibri"/>
              </w:rPr>
            </w:pPr>
            <w:r w:rsidRPr="008F7073">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36BB59" w14:textId="77777777" w:rsidR="00E553F1" w:rsidRPr="00AC4BD2" w:rsidRDefault="00E553F1" w:rsidP="00F86EC4">
            <w:pPr>
              <w:rPr>
                <w:rFonts w:eastAsia="Calibri"/>
              </w:rPr>
            </w:pPr>
            <w:r w:rsidRPr="00AC4BD2">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BDFFDA" w14:textId="77777777" w:rsidR="00E553F1" w:rsidRPr="00AC4BD2" w:rsidRDefault="00E553F1" w:rsidP="00F86EC4">
            <w:pPr>
              <w:rPr>
                <w:rFonts w:eastAsia="Calibri"/>
              </w:rPr>
            </w:pPr>
            <w:r w:rsidRPr="00AC4BD2">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0D22B7" w14:textId="77777777" w:rsidR="00E553F1" w:rsidRPr="00AC4BD2" w:rsidRDefault="00E553F1" w:rsidP="00F86EC4">
            <w:pPr>
              <w:rPr>
                <w:rFonts w:eastAsia="Calibri"/>
              </w:rPr>
            </w:pPr>
            <w:r w:rsidRPr="00AC4BD2">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FF99C1F"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05E742B5" w14:textId="77777777" w:rsidR="00E553F1" w:rsidRPr="00AC4BD2" w:rsidRDefault="00E553F1" w:rsidP="00F86EC4">
            <w:pPr>
              <w:rPr>
                <w:rFonts w:eastAsia="Calibri"/>
              </w:rPr>
            </w:pPr>
            <w:r w:rsidRPr="00AC4BD2">
              <w:rPr>
                <w:rFonts w:eastAsia="Calibri"/>
              </w:rPr>
              <w:t>0</w:t>
            </w:r>
          </w:p>
        </w:tc>
      </w:tr>
      <w:tr w:rsidR="00E553F1" w:rsidRPr="00AC4BD2" w14:paraId="28529A54"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7E31E1D8" w14:textId="77777777" w:rsidR="00E553F1" w:rsidRPr="00AC4BD2" w:rsidRDefault="00E553F1" w:rsidP="00F86EC4">
            <w:pPr>
              <w:rPr>
                <w:lang w:eastAsia="en-US"/>
              </w:rPr>
            </w:pPr>
            <w:r w:rsidRPr="00AC4BD2">
              <w:rPr>
                <w:lang w:eastAsia="en-US"/>
              </w:rPr>
              <w:t>3.3. pašvaldību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5AB212FA" w14:textId="77777777" w:rsidR="00E553F1" w:rsidRPr="00AC4BD2" w:rsidRDefault="00E553F1" w:rsidP="00F86EC4">
            <w:pPr>
              <w:rPr>
                <w:lang w:eastAsia="en-US"/>
              </w:rPr>
            </w:pPr>
            <w:r w:rsidRPr="00AC4BD2">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8EF63B" w14:textId="77777777" w:rsidR="00E553F1" w:rsidRPr="008F7073" w:rsidRDefault="00E553F1" w:rsidP="00F86EC4">
            <w:pPr>
              <w:rPr>
                <w:rFonts w:eastAsia="Calibri"/>
              </w:rPr>
            </w:pPr>
            <w:r w:rsidRPr="008F7073">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89277A" w14:textId="77777777" w:rsidR="00E553F1" w:rsidRPr="00AC4BD2" w:rsidRDefault="00E553F1" w:rsidP="00F86EC4">
            <w:pPr>
              <w:rPr>
                <w:rFonts w:eastAsia="Calibri"/>
              </w:rPr>
            </w:pPr>
            <w:r w:rsidRPr="00AC4BD2">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BC387B" w14:textId="77777777" w:rsidR="00E553F1" w:rsidRPr="00AC4BD2" w:rsidRDefault="00E553F1" w:rsidP="00F86EC4">
            <w:pPr>
              <w:rPr>
                <w:rFonts w:eastAsia="Calibri"/>
              </w:rPr>
            </w:pPr>
            <w:r w:rsidRPr="00AC4BD2">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CF9343" w14:textId="77777777" w:rsidR="00E553F1" w:rsidRPr="00AC4BD2" w:rsidRDefault="00E553F1" w:rsidP="00F86EC4">
            <w:pPr>
              <w:rPr>
                <w:rFonts w:eastAsia="Calibri"/>
              </w:rPr>
            </w:pPr>
            <w:r w:rsidRPr="00AC4BD2">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0513D3E"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37A74D70" w14:textId="77777777" w:rsidR="00E553F1" w:rsidRPr="00AC4BD2" w:rsidRDefault="00E553F1" w:rsidP="00F86EC4">
            <w:pPr>
              <w:rPr>
                <w:rFonts w:eastAsia="Calibri"/>
              </w:rPr>
            </w:pPr>
            <w:r w:rsidRPr="00AC4BD2">
              <w:rPr>
                <w:rFonts w:eastAsia="Calibri"/>
              </w:rPr>
              <w:t>0</w:t>
            </w:r>
          </w:p>
        </w:tc>
      </w:tr>
      <w:tr w:rsidR="00E553F1" w:rsidRPr="00AC4BD2" w14:paraId="16BD7D5C"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03F75DCA" w14:textId="77777777" w:rsidR="00E553F1" w:rsidRPr="00AC4BD2" w:rsidRDefault="00E553F1" w:rsidP="00F86EC4">
            <w:pPr>
              <w:rPr>
                <w:lang w:eastAsia="en-US"/>
              </w:rPr>
            </w:pPr>
            <w:r w:rsidRPr="00AC4BD2">
              <w:rPr>
                <w:lang w:eastAsia="en-US"/>
              </w:rPr>
              <w:t>4. Finanšu līdzekļi papildu izdevumu finansēšanai (kompensējošu izdevumu samazinājumu norāda ar "+" zīmi)</w:t>
            </w:r>
          </w:p>
        </w:tc>
        <w:tc>
          <w:tcPr>
            <w:tcW w:w="954" w:type="dxa"/>
            <w:tcBorders>
              <w:top w:val="single" w:sz="4" w:space="0" w:color="auto"/>
              <w:left w:val="single" w:sz="4" w:space="0" w:color="auto"/>
              <w:bottom w:val="single" w:sz="4" w:space="0" w:color="auto"/>
              <w:right w:val="single" w:sz="4" w:space="0" w:color="auto"/>
            </w:tcBorders>
            <w:vAlign w:val="center"/>
            <w:hideMark/>
          </w:tcPr>
          <w:p w14:paraId="43D5B69F" w14:textId="77777777" w:rsidR="00E553F1" w:rsidRPr="00AC4BD2" w:rsidRDefault="00E553F1" w:rsidP="00F86EC4">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CBB9FD" w14:textId="77777777" w:rsidR="00E553F1" w:rsidRPr="008F7073" w:rsidRDefault="00E553F1" w:rsidP="00F86EC4">
            <w:pPr>
              <w:rPr>
                <w:rFonts w:eastAsia="Calibri"/>
              </w:rPr>
            </w:pPr>
            <w:r w:rsidRPr="008F7073">
              <w:rPr>
                <w:rFonts w:eastAsia="Calibri"/>
              </w:rPr>
              <w:t>+</w:t>
            </w:r>
            <w:r w:rsidRPr="008F7073">
              <w:rPr>
                <w:lang w:eastAsia="en-US"/>
              </w:rPr>
              <w:t>3291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AB2302" w14:textId="77777777" w:rsidR="00E553F1" w:rsidRPr="00AC4BD2" w:rsidRDefault="00E553F1" w:rsidP="00F86EC4">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6AE68E" w14:textId="77777777" w:rsidR="00E553F1" w:rsidRPr="00AC4BD2" w:rsidRDefault="00E553F1" w:rsidP="00F86EC4">
            <w:pPr>
              <w:rPr>
                <w:rFonts w:eastAsia="Calibri"/>
              </w:rPr>
            </w:pPr>
            <w:r w:rsidRPr="00AC4BD2">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1BC5D4" w14:textId="77777777" w:rsidR="00E553F1" w:rsidRPr="00AC4BD2" w:rsidRDefault="00E553F1" w:rsidP="00F86EC4">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681339A"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65A56FC3" w14:textId="77777777" w:rsidR="00E553F1" w:rsidRPr="00AC4BD2" w:rsidRDefault="00E553F1" w:rsidP="00F86EC4">
            <w:pPr>
              <w:rPr>
                <w:rFonts w:eastAsia="Calibri"/>
              </w:rPr>
            </w:pPr>
            <w:r w:rsidRPr="00AC4BD2">
              <w:rPr>
                <w:rFonts w:eastAsia="Calibri"/>
              </w:rPr>
              <w:t>0</w:t>
            </w:r>
          </w:p>
        </w:tc>
      </w:tr>
      <w:tr w:rsidR="00E553F1" w:rsidRPr="00AC4BD2" w14:paraId="5DA3C139"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7E7EED03" w14:textId="77777777" w:rsidR="00E553F1" w:rsidRPr="00AC4BD2" w:rsidRDefault="00E553F1" w:rsidP="00F86EC4">
            <w:pPr>
              <w:rPr>
                <w:lang w:eastAsia="en-US"/>
              </w:rPr>
            </w:pPr>
            <w:r w:rsidRPr="00AC4BD2">
              <w:rPr>
                <w:lang w:eastAsia="en-US"/>
              </w:rPr>
              <w:t>5. Precizēta finansiālā ietekme</w:t>
            </w:r>
          </w:p>
        </w:tc>
        <w:tc>
          <w:tcPr>
            <w:tcW w:w="954" w:type="dxa"/>
            <w:vMerge w:val="restart"/>
            <w:tcBorders>
              <w:top w:val="single" w:sz="4" w:space="0" w:color="auto"/>
              <w:left w:val="single" w:sz="4" w:space="0" w:color="auto"/>
              <w:bottom w:val="single" w:sz="4" w:space="0" w:color="auto"/>
              <w:right w:val="single" w:sz="4" w:space="0" w:color="auto"/>
            </w:tcBorders>
            <w:vAlign w:val="center"/>
            <w:hideMark/>
          </w:tcPr>
          <w:p w14:paraId="66578DF0" w14:textId="77777777" w:rsidR="00E553F1" w:rsidRPr="00AC4BD2" w:rsidRDefault="00E553F1" w:rsidP="00F86EC4">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ED2826" w14:textId="77777777" w:rsidR="00E553F1" w:rsidRPr="008F7073" w:rsidRDefault="00E553F1" w:rsidP="00F86EC4">
            <w:pPr>
              <w:rPr>
                <w:rFonts w:eastAsia="Calibri"/>
              </w:rPr>
            </w:pPr>
            <w:r w:rsidRPr="008F7073">
              <w:rPr>
                <w:rFonts w:eastAsia="Calibri"/>
              </w:rPr>
              <w:t>0</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02A0C39" w14:textId="77777777" w:rsidR="00E553F1" w:rsidRPr="00AC4BD2" w:rsidRDefault="00E553F1" w:rsidP="00F86EC4">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23DF6B" w14:textId="77777777" w:rsidR="00E553F1" w:rsidRPr="00AC4BD2" w:rsidRDefault="00E553F1" w:rsidP="00F86EC4">
            <w:pPr>
              <w:rPr>
                <w:rFonts w:eastAsia="Calibri"/>
              </w:rPr>
            </w:pPr>
            <w:r w:rsidRPr="00AC4BD2">
              <w:rPr>
                <w:rFonts w:eastAsia="Calibri"/>
              </w:rPr>
              <w:t>0</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33ED753" w14:textId="77777777" w:rsidR="00E553F1" w:rsidRPr="00AC4BD2" w:rsidRDefault="00E553F1" w:rsidP="00F86EC4">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CD7619F"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3DC8DBC4" w14:textId="77777777" w:rsidR="00E553F1" w:rsidRPr="00AC4BD2" w:rsidRDefault="00E553F1" w:rsidP="00F86EC4">
            <w:pPr>
              <w:rPr>
                <w:rFonts w:eastAsia="Calibri"/>
              </w:rPr>
            </w:pPr>
            <w:r w:rsidRPr="00AC4BD2">
              <w:rPr>
                <w:rFonts w:eastAsia="Calibri"/>
              </w:rPr>
              <w:t>0</w:t>
            </w:r>
          </w:p>
        </w:tc>
      </w:tr>
      <w:tr w:rsidR="00E553F1" w:rsidRPr="00AC4BD2" w14:paraId="709E5B17"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6E388B6F" w14:textId="77777777" w:rsidR="00E553F1" w:rsidRPr="00AC4BD2" w:rsidRDefault="00E553F1" w:rsidP="00F86EC4">
            <w:pPr>
              <w:rPr>
                <w:lang w:eastAsia="en-US"/>
              </w:rPr>
            </w:pPr>
            <w:r w:rsidRPr="00AC4BD2">
              <w:rPr>
                <w:lang w:eastAsia="en-US"/>
              </w:rPr>
              <w:t>5.1. valsts pamatbudžets</w:t>
            </w: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0A4A1877" w14:textId="77777777" w:rsidR="00E553F1" w:rsidRPr="00AC4BD2" w:rsidRDefault="00E553F1" w:rsidP="00F86EC4">
            <w:pP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993983" w14:textId="77777777" w:rsidR="00E553F1" w:rsidRPr="008F7073" w:rsidRDefault="00E553F1" w:rsidP="00F86EC4">
            <w:pPr>
              <w:rPr>
                <w:lang w:eastAsia="en-US"/>
              </w:rPr>
            </w:pPr>
            <w:r w:rsidRPr="008F7073">
              <w:rPr>
                <w:lang w:eastAsia="en-US"/>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403DD8" w14:textId="77777777" w:rsidR="00E553F1" w:rsidRPr="00AC4BD2" w:rsidRDefault="00E553F1" w:rsidP="00F86EC4">
            <w:pPr>
              <w:rPr>
                <w:rFonts w:eastAsia="Calibri"/>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3791467C" w14:textId="77777777" w:rsidR="00E553F1" w:rsidRPr="00AC4BD2" w:rsidRDefault="00E553F1" w:rsidP="00F86EC4">
            <w:pPr>
              <w:rPr>
                <w:rFonts w:eastAsia="Calibri"/>
              </w:rPr>
            </w:pPr>
            <w:r w:rsidRPr="00AC4BD2">
              <w:rPr>
                <w:rFonts w:eastAsia="Calibri"/>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B49D3AB" w14:textId="77777777" w:rsidR="00E553F1" w:rsidRPr="00AC4BD2" w:rsidRDefault="00E553F1" w:rsidP="00F86EC4">
            <w:pPr>
              <w:rPr>
                <w:rFonts w:eastAsia="Calibri"/>
              </w:rPr>
            </w:pPr>
          </w:p>
        </w:tc>
        <w:tc>
          <w:tcPr>
            <w:tcW w:w="1123" w:type="dxa"/>
            <w:tcBorders>
              <w:top w:val="single" w:sz="4" w:space="0" w:color="auto"/>
              <w:left w:val="single" w:sz="4" w:space="0" w:color="auto"/>
              <w:bottom w:val="single" w:sz="4" w:space="0" w:color="auto"/>
              <w:right w:val="single" w:sz="4" w:space="0" w:color="auto"/>
            </w:tcBorders>
            <w:vAlign w:val="center"/>
            <w:hideMark/>
          </w:tcPr>
          <w:p w14:paraId="3A4A320B"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4B6EB18D" w14:textId="77777777" w:rsidR="00E553F1" w:rsidRPr="00AC4BD2" w:rsidRDefault="00E553F1" w:rsidP="00F86EC4">
            <w:pPr>
              <w:rPr>
                <w:rFonts w:eastAsia="Calibri"/>
              </w:rPr>
            </w:pPr>
            <w:r w:rsidRPr="00AC4BD2">
              <w:rPr>
                <w:rFonts w:eastAsia="Calibri"/>
              </w:rPr>
              <w:t>0</w:t>
            </w:r>
          </w:p>
        </w:tc>
      </w:tr>
      <w:tr w:rsidR="00E553F1" w:rsidRPr="00AC4BD2" w14:paraId="6EF5E53E"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06197EA4" w14:textId="77777777" w:rsidR="00E553F1" w:rsidRPr="00AC4BD2" w:rsidRDefault="00E553F1" w:rsidP="00F86EC4">
            <w:pPr>
              <w:rPr>
                <w:lang w:eastAsia="en-US"/>
              </w:rPr>
            </w:pPr>
            <w:r w:rsidRPr="00AC4BD2">
              <w:rPr>
                <w:lang w:eastAsia="en-US"/>
              </w:rPr>
              <w:lastRenderedPageBreak/>
              <w:t>5.2. speciālais budžets</w:t>
            </w: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1B1C01AB" w14:textId="77777777" w:rsidR="00E553F1" w:rsidRPr="00AC4BD2" w:rsidRDefault="00E553F1" w:rsidP="00F86EC4">
            <w:pP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78B76B" w14:textId="77777777" w:rsidR="00E553F1" w:rsidRPr="008F7073" w:rsidRDefault="00E553F1" w:rsidP="00F86EC4">
            <w:pPr>
              <w:rPr>
                <w:lang w:eastAsia="en-US"/>
              </w:rPr>
            </w:pPr>
            <w:r w:rsidRPr="008F7073">
              <w:rPr>
                <w:lang w:eastAsia="en-US"/>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E21437C" w14:textId="77777777" w:rsidR="00E553F1" w:rsidRPr="00AC4BD2" w:rsidRDefault="00E553F1" w:rsidP="00F86EC4">
            <w:pPr>
              <w:rPr>
                <w:rFonts w:eastAsia="Calibri"/>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3D26CE0E" w14:textId="77777777" w:rsidR="00E553F1" w:rsidRPr="00AC4BD2" w:rsidRDefault="00E553F1" w:rsidP="00F86EC4">
            <w:pPr>
              <w:rPr>
                <w:rFonts w:eastAsia="Calibri"/>
              </w:rPr>
            </w:pPr>
            <w:r w:rsidRPr="00AC4BD2">
              <w:rPr>
                <w:rFonts w:eastAsia="Calibri"/>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4BBB90B" w14:textId="77777777" w:rsidR="00E553F1" w:rsidRPr="00AC4BD2" w:rsidRDefault="00E553F1" w:rsidP="00F86EC4">
            <w:pPr>
              <w:rPr>
                <w:rFonts w:eastAsia="Calibri"/>
              </w:rPr>
            </w:pPr>
          </w:p>
        </w:tc>
        <w:tc>
          <w:tcPr>
            <w:tcW w:w="1123" w:type="dxa"/>
            <w:tcBorders>
              <w:top w:val="single" w:sz="4" w:space="0" w:color="auto"/>
              <w:left w:val="single" w:sz="4" w:space="0" w:color="auto"/>
              <w:bottom w:val="single" w:sz="4" w:space="0" w:color="auto"/>
              <w:right w:val="single" w:sz="4" w:space="0" w:color="auto"/>
            </w:tcBorders>
            <w:vAlign w:val="center"/>
            <w:hideMark/>
          </w:tcPr>
          <w:p w14:paraId="00B69931"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81F9722" w14:textId="77777777" w:rsidR="00E553F1" w:rsidRPr="00AC4BD2" w:rsidRDefault="00E553F1" w:rsidP="00F86EC4">
            <w:pPr>
              <w:rPr>
                <w:rFonts w:eastAsia="Calibri"/>
              </w:rPr>
            </w:pPr>
            <w:r w:rsidRPr="00AC4BD2">
              <w:rPr>
                <w:rFonts w:eastAsia="Calibri"/>
              </w:rPr>
              <w:t>0</w:t>
            </w:r>
          </w:p>
        </w:tc>
      </w:tr>
      <w:tr w:rsidR="00E553F1" w:rsidRPr="00AC4BD2" w14:paraId="5D01C35D"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6A68647F" w14:textId="77777777" w:rsidR="00E553F1" w:rsidRPr="00AC4BD2" w:rsidRDefault="00E553F1" w:rsidP="00F86EC4">
            <w:pPr>
              <w:rPr>
                <w:lang w:eastAsia="en-US"/>
              </w:rPr>
            </w:pPr>
            <w:r w:rsidRPr="00AC4BD2">
              <w:rPr>
                <w:lang w:eastAsia="en-US"/>
              </w:rPr>
              <w:t>5.3. pašvaldību budžets</w:t>
            </w: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41E44869" w14:textId="77777777" w:rsidR="00E553F1" w:rsidRPr="00AC4BD2" w:rsidRDefault="00E553F1" w:rsidP="00F86EC4">
            <w:pP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BAA9AD" w14:textId="77777777" w:rsidR="00E553F1" w:rsidRPr="008F7073" w:rsidRDefault="00E553F1" w:rsidP="00F86EC4">
            <w:pPr>
              <w:rPr>
                <w:lang w:eastAsia="en-US"/>
              </w:rPr>
            </w:pPr>
            <w:r w:rsidRPr="008F7073">
              <w:rPr>
                <w:lang w:eastAsia="en-US"/>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0C4144" w14:textId="77777777" w:rsidR="00E553F1" w:rsidRPr="00AC4BD2" w:rsidRDefault="00E553F1" w:rsidP="00F86EC4">
            <w:pPr>
              <w:rPr>
                <w:rFonts w:eastAsia="Calibri"/>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A30AB70" w14:textId="77777777" w:rsidR="00E553F1" w:rsidRPr="00AC4BD2" w:rsidRDefault="00E553F1" w:rsidP="00F86EC4">
            <w:pPr>
              <w:rPr>
                <w:rFonts w:eastAsia="Calibri"/>
              </w:rPr>
            </w:pPr>
            <w:r w:rsidRPr="00AC4BD2">
              <w:rPr>
                <w:rFonts w:eastAsia="Calibri"/>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2DCA71" w14:textId="77777777" w:rsidR="00E553F1" w:rsidRPr="00AC4BD2" w:rsidRDefault="00E553F1" w:rsidP="00F86EC4">
            <w:pPr>
              <w:rPr>
                <w:rFonts w:eastAsia="Calibri"/>
              </w:rPr>
            </w:pPr>
          </w:p>
        </w:tc>
        <w:tc>
          <w:tcPr>
            <w:tcW w:w="1123" w:type="dxa"/>
            <w:tcBorders>
              <w:top w:val="single" w:sz="4" w:space="0" w:color="auto"/>
              <w:left w:val="single" w:sz="4" w:space="0" w:color="auto"/>
              <w:bottom w:val="single" w:sz="4" w:space="0" w:color="auto"/>
              <w:right w:val="single" w:sz="4" w:space="0" w:color="auto"/>
            </w:tcBorders>
            <w:vAlign w:val="center"/>
            <w:hideMark/>
          </w:tcPr>
          <w:p w14:paraId="1FBC3A54" w14:textId="77777777" w:rsidR="00E553F1" w:rsidRPr="00AC4BD2" w:rsidRDefault="00E553F1" w:rsidP="00F86EC4">
            <w:pPr>
              <w:rPr>
                <w:rFonts w:eastAsia="Calibri"/>
              </w:rPr>
            </w:pPr>
            <w:r w:rsidRPr="00AC4BD2">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131663DD" w14:textId="77777777" w:rsidR="00E553F1" w:rsidRPr="00AC4BD2" w:rsidRDefault="00E553F1" w:rsidP="00F86EC4">
            <w:pPr>
              <w:rPr>
                <w:rFonts w:eastAsia="Calibri"/>
              </w:rPr>
            </w:pPr>
            <w:r w:rsidRPr="00AC4BD2">
              <w:rPr>
                <w:rFonts w:eastAsia="Calibri"/>
              </w:rPr>
              <w:t>0</w:t>
            </w:r>
          </w:p>
        </w:tc>
      </w:tr>
      <w:tr w:rsidR="00E553F1" w:rsidRPr="00AC4BD2" w14:paraId="62393444"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27B0BBD3" w14:textId="77777777" w:rsidR="00E553F1" w:rsidRPr="00AC4BD2" w:rsidRDefault="00E553F1" w:rsidP="00F86EC4">
            <w:pPr>
              <w:rPr>
                <w:lang w:eastAsia="en-US"/>
              </w:rPr>
            </w:pPr>
            <w:r w:rsidRPr="00AC4BD2">
              <w:rPr>
                <w:lang w:eastAsia="en-US"/>
              </w:rPr>
              <w:t>6. Detalizēts ieņēmumu un izdevumu aprēķins (ja nepieciešams, detalizētu ieņēmumu un izdevumu aprēķinu var pievienot anotācijas pielikumā)</w:t>
            </w:r>
          </w:p>
        </w:tc>
        <w:tc>
          <w:tcPr>
            <w:tcW w:w="6899"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42225CDA" w14:textId="77777777" w:rsidR="00E553F1" w:rsidRPr="008F7073" w:rsidRDefault="00E553F1" w:rsidP="00F86EC4">
            <w:pPr>
              <w:jc w:val="both"/>
              <w:rPr>
                <w:iCs/>
                <w:lang w:eastAsia="en-US"/>
              </w:rPr>
            </w:pPr>
            <w:r w:rsidRPr="008F7073">
              <w:rPr>
                <w:iCs/>
                <w:lang w:eastAsia="en-US"/>
              </w:rPr>
              <w:t>Lai nodrošinātu noteikumu projekta īstenošanu, nepieciešams veikt pielāgošanas darbus Būvniecības informācijas sistēmā.</w:t>
            </w:r>
          </w:p>
          <w:p w14:paraId="3B50F0CF" w14:textId="77777777" w:rsidR="00E553F1" w:rsidRPr="008F7073" w:rsidRDefault="00E553F1" w:rsidP="00F86EC4">
            <w:pPr>
              <w:jc w:val="both"/>
              <w:rPr>
                <w:iCs/>
                <w:lang w:eastAsia="en-US"/>
              </w:rPr>
            </w:pPr>
            <w:r w:rsidRPr="008F7073">
              <w:rPr>
                <w:lang w:eastAsia="en-US"/>
              </w:rPr>
              <w:t>Ņemot vērā līdz šim esošās būvniecības informācijas sistēmas izstrādes un pielāgošanas izmaksas, aprēķināts, ka projektā paredzēto grozījumu ieviešanai nepieciešamas 8 cilvēkdienas. Vienas cilvēkdienas izmaksas ir 340 </w:t>
            </w:r>
            <w:proofErr w:type="spellStart"/>
            <w:r w:rsidRPr="008F7073">
              <w:rPr>
                <w:i/>
                <w:iCs/>
                <w:lang w:eastAsia="en-US"/>
              </w:rPr>
              <w:t>euro</w:t>
            </w:r>
            <w:proofErr w:type="spellEnd"/>
            <w:r w:rsidRPr="008F7073">
              <w:rPr>
                <w:lang w:eastAsia="en-US"/>
              </w:rPr>
              <w:t xml:space="preserve"> (bez PVN), līdz ar to pielāgošanas izmaksas varētu sasniegt 3291  </w:t>
            </w:r>
            <w:proofErr w:type="spellStart"/>
            <w:r w:rsidRPr="008F7073">
              <w:rPr>
                <w:i/>
                <w:iCs/>
                <w:lang w:eastAsia="en-US"/>
              </w:rPr>
              <w:t>euro</w:t>
            </w:r>
            <w:proofErr w:type="spellEnd"/>
            <w:r w:rsidRPr="008F7073">
              <w:rPr>
                <w:lang w:eastAsia="en-US"/>
              </w:rPr>
              <w:t xml:space="preserve"> (ieskaitot PVN).</w:t>
            </w:r>
          </w:p>
          <w:p w14:paraId="2B331855" w14:textId="77777777" w:rsidR="00E553F1" w:rsidRPr="008F7073" w:rsidRDefault="00E553F1" w:rsidP="00F86EC4">
            <w:pPr>
              <w:rPr>
                <w:lang w:eastAsia="en-US"/>
              </w:rPr>
            </w:pPr>
          </w:p>
        </w:tc>
      </w:tr>
      <w:tr w:rsidR="00E553F1" w:rsidRPr="00AC4BD2" w14:paraId="7C38ED9D"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4797082B" w14:textId="77777777" w:rsidR="00E553F1" w:rsidRPr="00AC4BD2" w:rsidRDefault="00E553F1" w:rsidP="00F86EC4">
            <w:pPr>
              <w:rPr>
                <w:lang w:eastAsia="en-US"/>
              </w:rPr>
            </w:pPr>
            <w:r w:rsidRPr="00AC4BD2">
              <w:rPr>
                <w:lang w:eastAsia="en-US"/>
              </w:rPr>
              <w:t>6.1. detalizēts ieņēmumu aprēķins</w:t>
            </w:r>
          </w:p>
        </w:tc>
        <w:tc>
          <w:tcPr>
            <w:tcW w:w="6899" w:type="dxa"/>
            <w:gridSpan w:val="7"/>
            <w:vMerge/>
            <w:tcBorders>
              <w:top w:val="single" w:sz="4" w:space="0" w:color="auto"/>
              <w:left w:val="single" w:sz="4" w:space="0" w:color="auto"/>
              <w:bottom w:val="single" w:sz="4" w:space="0" w:color="auto"/>
              <w:right w:val="single" w:sz="4" w:space="0" w:color="auto"/>
            </w:tcBorders>
            <w:vAlign w:val="center"/>
            <w:hideMark/>
          </w:tcPr>
          <w:p w14:paraId="08212FF1" w14:textId="77777777" w:rsidR="00E553F1" w:rsidRPr="00AC4BD2" w:rsidRDefault="00E553F1" w:rsidP="00F86EC4">
            <w:pPr>
              <w:rPr>
                <w:lang w:eastAsia="en-US"/>
              </w:rPr>
            </w:pPr>
          </w:p>
        </w:tc>
      </w:tr>
      <w:tr w:rsidR="00E553F1" w:rsidRPr="00AC4BD2" w14:paraId="2162016F"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2F00A1AA" w14:textId="77777777" w:rsidR="00E553F1" w:rsidRPr="00AC4BD2" w:rsidRDefault="00E553F1" w:rsidP="00F86EC4">
            <w:pPr>
              <w:rPr>
                <w:lang w:eastAsia="en-US"/>
              </w:rPr>
            </w:pPr>
            <w:r w:rsidRPr="00AC4BD2">
              <w:rPr>
                <w:lang w:eastAsia="en-US"/>
              </w:rPr>
              <w:t>6.2. detalizēts izdevumu aprēķins</w:t>
            </w:r>
          </w:p>
        </w:tc>
        <w:tc>
          <w:tcPr>
            <w:tcW w:w="6899" w:type="dxa"/>
            <w:gridSpan w:val="7"/>
            <w:vMerge/>
            <w:tcBorders>
              <w:top w:val="single" w:sz="4" w:space="0" w:color="auto"/>
              <w:left w:val="single" w:sz="4" w:space="0" w:color="auto"/>
              <w:bottom w:val="single" w:sz="4" w:space="0" w:color="auto"/>
              <w:right w:val="single" w:sz="4" w:space="0" w:color="auto"/>
            </w:tcBorders>
            <w:vAlign w:val="center"/>
            <w:hideMark/>
          </w:tcPr>
          <w:p w14:paraId="4646B386" w14:textId="77777777" w:rsidR="00E553F1" w:rsidRPr="00AC4BD2" w:rsidRDefault="00E553F1" w:rsidP="00F86EC4">
            <w:pPr>
              <w:rPr>
                <w:lang w:eastAsia="en-US"/>
              </w:rPr>
            </w:pPr>
          </w:p>
        </w:tc>
      </w:tr>
      <w:tr w:rsidR="00E553F1" w:rsidRPr="00AC4BD2" w14:paraId="29EBBF70"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47DDCC6D" w14:textId="77777777" w:rsidR="00E553F1" w:rsidRPr="00AC4BD2" w:rsidRDefault="00E553F1" w:rsidP="00F86EC4">
            <w:pPr>
              <w:rPr>
                <w:lang w:eastAsia="en-US"/>
              </w:rPr>
            </w:pPr>
            <w:r w:rsidRPr="00AC4BD2">
              <w:rPr>
                <w:lang w:eastAsia="en-US"/>
              </w:rPr>
              <w:t>7. Amata vietu skaita izmaiņas</w:t>
            </w:r>
          </w:p>
        </w:tc>
        <w:tc>
          <w:tcPr>
            <w:tcW w:w="6899" w:type="dxa"/>
            <w:gridSpan w:val="7"/>
            <w:tcBorders>
              <w:top w:val="single" w:sz="4" w:space="0" w:color="auto"/>
              <w:left w:val="single" w:sz="4" w:space="0" w:color="auto"/>
              <w:bottom w:val="single" w:sz="4" w:space="0" w:color="auto"/>
              <w:right w:val="single" w:sz="4" w:space="0" w:color="auto"/>
            </w:tcBorders>
            <w:hideMark/>
          </w:tcPr>
          <w:p w14:paraId="22F847EB" w14:textId="77777777" w:rsidR="00E553F1" w:rsidRPr="00AC4BD2" w:rsidRDefault="00E553F1" w:rsidP="00F86EC4">
            <w:pPr>
              <w:rPr>
                <w:lang w:eastAsia="en-US"/>
              </w:rPr>
            </w:pPr>
            <w:r w:rsidRPr="00AC4BD2">
              <w:rPr>
                <w:lang w:eastAsia="en-US"/>
              </w:rPr>
              <w:t>Nav izmaiņas.</w:t>
            </w:r>
          </w:p>
        </w:tc>
      </w:tr>
      <w:tr w:rsidR="00E553F1" w:rsidRPr="00AC4BD2" w14:paraId="01DC6ACC" w14:textId="77777777" w:rsidTr="00F86EC4">
        <w:trPr>
          <w:cantSplit/>
        </w:trPr>
        <w:tc>
          <w:tcPr>
            <w:tcW w:w="2162" w:type="dxa"/>
            <w:tcBorders>
              <w:top w:val="single" w:sz="4" w:space="0" w:color="auto"/>
              <w:left w:val="single" w:sz="4" w:space="0" w:color="auto"/>
              <w:bottom w:val="single" w:sz="4" w:space="0" w:color="auto"/>
              <w:right w:val="single" w:sz="4" w:space="0" w:color="auto"/>
            </w:tcBorders>
            <w:hideMark/>
          </w:tcPr>
          <w:p w14:paraId="541C06F3" w14:textId="77777777" w:rsidR="00E553F1" w:rsidRPr="00AC4BD2" w:rsidRDefault="00E553F1" w:rsidP="00F86EC4">
            <w:pPr>
              <w:rPr>
                <w:lang w:eastAsia="en-US"/>
              </w:rPr>
            </w:pPr>
            <w:r w:rsidRPr="00AC4BD2">
              <w:rPr>
                <w:lang w:eastAsia="en-US"/>
              </w:rPr>
              <w:t>8. Cita informācija</w:t>
            </w:r>
          </w:p>
        </w:tc>
        <w:tc>
          <w:tcPr>
            <w:tcW w:w="6899" w:type="dxa"/>
            <w:gridSpan w:val="7"/>
            <w:tcBorders>
              <w:top w:val="single" w:sz="4" w:space="0" w:color="auto"/>
              <w:left w:val="single" w:sz="4" w:space="0" w:color="auto"/>
              <w:bottom w:val="single" w:sz="4" w:space="0" w:color="auto"/>
              <w:right w:val="single" w:sz="4" w:space="0" w:color="auto"/>
            </w:tcBorders>
            <w:hideMark/>
          </w:tcPr>
          <w:p w14:paraId="52437B42" w14:textId="77777777" w:rsidR="00E553F1" w:rsidRPr="00AC4BD2" w:rsidRDefault="00E553F1" w:rsidP="00F86EC4">
            <w:pPr>
              <w:jc w:val="both"/>
              <w:rPr>
                <w:lang w:eastAsia="en-US"/>
              </w:rPr>
            </w:pPr>
            <w:r w:rsidRPr="00AC4BD2">
              <w:rPr>
                <w:iCs/>
                <w:lang w:eastAsia="en-US"/>
              </w:rPr>
              <w:t xml:space="preserve">Būvniecības informācijas sistēmas pielāgošanai nepieciešamais finansējums </w:t>
            </w:r>
            <w:r w:rsidRPr="008F7073">
              <w:rPr>
                <w:b/>
                <w:bCs/>
                <w:lang w:eastAsia="en-US"/>
              </w:rPr>
              <w:t>3291</w:t>
            </w:r>
            <w:r w:rsidRPr="00AC4BD2">
              <w:rPr>
                <w:lang w:eastAsia="en-US"/>
              </w:rPr>
              <w:t xml:space="preserve">  </w:t>
            </w:r>
            <w:proofErr w:type="spellStart"/>
            <w:r w:rsidRPr="00AC4BD2">
              <w:rPr>
                <w:i/>
                <w:iCs/>
                <w:lang w:eastAsia="en-US"/>
              </w:rPr>
              <w:t>euro</w:t>
            </w:r>
            <w:proofErr w:type="spellEnd"/>
            <w:r w:rsidRPr="00AC4BD2">
              <w:rPr>
                <w:lang w:eastAsia="en-US"/>
              </w:rPr>
              <w:t xml:space="preserve"> </w:t>
            </w:r>
            <w:r w:rsidRPr="00AC4BD2">
              <w:rPr>
                <w:iCs/>
                <w:lang w:eastAsia="en-US"/>
              </w:rPr>
              <w:t>apmērā tiks nodrošināts Ekonomikas ministrijas budžeta programmā 20.00.00 “Būvniecība” 2021.</w:t>
            </w:r>
            <w:r>
              <w:rPr>
                <w:iCs/>
                <w:lang w:eastAsia="en-US"/>
              </w:rPr>
              <w:t xml:space="preserve"> </w:t>
            </w:r>
            <w:r w:rsidRPr="00AC4BD2">
              <w:rPr>
                <w:iCs/>
                <w:lang w:eastAsia="en-US"/>
              </w:rPr>
              <w:t>gadā piešķirto līdzekļu ietvaros.</w:t>
            </w:r>
          </w:p>
        </w:tc>
      </w:tr>
    </w:tbl>
    <w:p w14:paraId="7FF9C316" w14:textId="77777777" w:rsidR="00E553F1" w:rsidRPr="00AC4BD2" w:rsidRDefault="00E553F1" w:rsidP="00E553F1"/>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E553F1" w:rsidRPr="00AC4BD2" w14:paraId="37B54549" w14:textId="77777777" w:rsidTr="00F86EC4">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BE1EED" w14:textId="77777777" w:rsidR="00E553F1" w:rsidRPr="00AC4BD2" w:rsidRDefault="00E553F1" w:rsidP="00F86EC4">
            <w:pPr>
              <w:spacing w:before="100" w:beforeAutospacing="1" w:after="100" w:afterAutospacing="1" w:line="293" w:lineRule="atLeast"/>
              <w:jc w:val="center"/>
              <w:rPr>
                <w:b/>
                <w:bCs/>
              </w:rPr>
            </w:pPr>
            <w:r w:rsidRPr="00AC4BD2">
              <w:rPr>
                <w:b/>
                <w:bCs/>
              </w:rPr>
              <w:t>IV. Tiesību akta projekta ietekme uz spēkā esošo tiesību normu sistēmu</w:t>
            </w:r>
          </w:p>
        </w:tc>
      </w:tr>
      <w:tr w:rsidR="00E553F1" w:rsidRPr="00AC4BD2" w14:paraId="07528659" w14:textId="77777777" w:rsidTr="00F86EC4">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402FDD88" w14:textId="77777777" w:rsidR="00E553F1" w:rsidRPr="00AC4BD2" w:rsidRDefault="00E553F1" w:rsidP="00F86EC4">
            <w:pPr>
              <w:jc w:val="center"/>
            </w:pPr>
            <w:r w:rsidRPr="00AC4BD2">
              <w:t>Projekts šo jomu neskar</w:t>
            </w:r>
          </w:p>
        </w:tc>
      </w:tr>
    </w:tbl>
    <w:p w14:paraId="03F8B2F1" w14:textId="77777777" w:rsidR="00E553F1" w:rsidRPr="00AC4BD2" w:rsidRDefault="00E553F1" w:rsidP="00E553F1">
      <w:pPr>
        <w:rPr>
          <w:shd w:val="clear" w:color="auto" w:fill="FFFFFF"/>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E553F1" w:rsidRPr="00AC4BD2" w14:paraId="4260CE82" w14:textId="77777777" w:rsidTr="00F86EC4">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F57A46" w14:textId="77777777" w:rsidR="00E553F1" w:rsidRPr="00AC4BD2" w:rsidRDefault="00E553F1" w:rsidP="00F86EC4">
            <w:pPr>
              <w:spacing w:before="100" w:beforeAutospacing="1" w:after="100" w:afterAutospacing="1" w:line="293" w:lineRule="atLeast"/>
              <w:jc w:val="center"/>
              <w:rPr>
                <w:b/>
                <w:bCs/>
              </w:rPr>
            </w:pPr>
            <w:r w:rsidRPr="00AC4BD2">
              <w:rPr>
                <w:b/>
                <w:bCs/>
              </w:rPr>
              <w:t>V. Tiesību akta projekta atbilstība Latvijas Republikas starptautiskajām saistībām</w:t>
            </w:r>
          </w:p>
        </w:tc>
      </w:tr>
      <w:tr w:rsidR="00E553F1" w:rsidRPr="00AC4BD2" w14:paraId="0ADFF8B6" w14:textId="77777777" w:rsidTr="00F86EC4">
        <w:tc>
          <w:tcPr>
            <w:tcW w:w="5000" w:type="pct"/>
            <w:tcBorders>
              <w:top w:val="outset" w:sz="6" w:space="0" w:color="414142"/>
              <w:left w:val="outset" w:sz="6" w:space="0" w:color="414142"/>
              <w:bottom w:val="outset" w:sz="6" w:space="0" w:color="414142"/>
              <w:right w:val="outset" w:sz="6" w:space="0" w:color="414142"/>
            </w:tcBorders>
            <w:shd w:val="clear" w:color="auto" w:fill="FFFFFF"/>
          </w:tcPr>
          <w:p w14:paraId="16DF2D77" w14:textId="77777777" w:rsidR="00E553F1" w:rsidRPr="00AC4BD2" w:rsidRDefault="00E553F1" w:rsidP="00F86EC4">
            <w:pPr>
              <w:jc w:val="center"/>
            </w:pPr>
            <w:r w:rsidRPr="00AC4BD2">
              <w:t>Projekts šo jomu neskar</w:t>
            </w:r>
          </w:p>
        </w:tc>
      </w:tr>
    </w:tbl>
    <w:p w14:paraId="4D5526B9" w14:textId="77777777" w:rsidR="00E553F1" w:rsidRPr="00AC4BD2" w:rsidRDefault="00E553F1" w:rsidP="00E553F1">
      <w:pPr>
        <w:rPr>
          <w:shd w:val="clear" w:color="auto" w:fill="FFFFFF"/>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E553F1" w:rsidRPr="00AC4BD2" w14:paraId="6D953A62" w14:textId="77777777" w:rsidTr="00F86EC4">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BB616B" w14:textId="77777777" w:rsidR="00E553F1" w:rsidRPr="00AC4BD2" w:rsidRDefault="00E553F1" w:rsidP="00F86EC4">
            <w:pPr>
              <w:spacing w:before="100" w:beforeAutospacing="1" w:after="100" w:afterAutospacing="1" w:line="293" w:lineRule="atLeast"/>
              <w:jc w:val="center"/>
              <w:rPr>
                <w:b/>
                <w:bCs/>
              </w:rPr>
            </w:pPr>
            <w:r w:rsidRPr="00AC4BD2">
              <w:rPr>
                <w:b/>
                <w:bCs/>
              </w:rPr>
              <w:t>VI. Sabiedrības līdzdalība un komunikācijas aktivitātes</w:t>
            </w:r>
          </w:p>
        </w:tc>
      </w:tr>
      <w:tr w:rsidR="00E553F1" w:rsidRPr="00AC4BD2" w14:paraId="40D1E6BE" w14:textId="77777777" w:rsidTr="00F86EC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0EDACC1" w14:textId="77777777" w:rsidR="00E553F1" w:rsidRPr="00AC4BD2" w:rsidRDefault="00E553F1" w:rsidP="00F86EC4">
            <w:pPr>
              <w:spacing w:before="100" w:beforeAutospacing="1" w:after="100" w:afterAutospacing="1" w:line="293" w:lineRule="atLeast"/>
              <w:jc w:val="center"/>
            </w:pPr>
            <w:r w:rsidRPr="00AC4BD2">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9091200" w14:textId="77777777" w:rsidR="00E553F1" w:rsidRPr="00AC4BD2" w:rsidRDefault="00E553F1" w:rsidP="00F86EC4">
            <w:r w:rsidRPr="00AC4BD2">
              <w:t>Plānotās sabiedrības līdzdalības un komunikācijas aktivitātes saistībā ar projektu</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3C045215" w14:textId="77777777" w:rsidR="00E553F1" w:rsidRPr="00AC4BD2" w:rsidRDefault="00E553F1" w:rsidP="00F86EC4">
            <w:pPr>
              <w:jc w:val="both"/>
              <w:rPr>
                <w:bCs/>
                <w:iCs/>
              </w:rPr>
            </w:pPr>
            <w:r w:rsidRPr="00AC4BD2">
              <w:t xml:space="preserve">Noteikumu projekts sabiedrībai publiski ir pieejams Ekonomikas ministrijas tīmekļa vietnē </w:t>
            </w:r>
            <w:r w:rsidRPr="00AC4BD2">
              <w:rPr>
                <w:bCs/>
                <w:iCs/>
              </w:rPr>
              <w:t xml:space="preserve">sadaļā “Sabiedrības līdzdalība”, aicinot sabiedrības pārstāvjiem </w:t>
            </w:r>
            <w:proofErr w:type="spellStart"/>
            <w:r w:rsidRPr="00AC4BD2">
              <w:rPr>
                <w:bCs/>
                <w:iCs/>
              </w:rPr>
              <w:t>rakstveidā</w:t>
            </w:r>
            <w:proofErr w:type="spellEnd"/>
            <w:r w:rsidRPr="00AC4BD2">
              <w:rPr>
                <w:bCs/>
                <w:iCs/>
              </w:rPr>
              <w:t xml:space="preserve"> sniegt viedokli par noteikumu projektiem līdz </w:t>
            </w:r>
            <w:r w:rsidRPr="00F86EC4">
              <w:rPr>
                <w:bCs/>
                <w:iCs/>
              </w:rPr>
              <w:t>2021.gada 10.maijam</w:t>
            </w:r>
            <w:r w:rsidRPr="002D2D2C">
              <w:rPr>
                <w:bCs/>
                <w:iCs/>
              </w:rPr>
              <w:t>.</w:t>
            </w:r>
          </w:p>
          <w:p w14:paraId="0CCDBF6E" w14:textId="77777777" w:rsidR="00E553F1" w:rsidRPr="00AC4BD2" w:rsidRDefault="00E553F1" w:rsidP="00F86EC4">
            <w:pPr>
              <w:jc w:val="both"/>
              <w:rPr>
                <w:bCs/>
                <w:iCs/>
              </w:rPr>
            </w:pPr>
            <w:r w:rsidRPr="00AC4BD2">
              <w:rPr>
                <w:bCs/>
                <w:iCs/>
              </w:rPr>
              <w:t>Sabiedrības pārstāvju izteiktie priekšlikumi un iebildumi tiks izskatīti vienlaicīgi ar saņemtajiem priekšlikumiem vai iebildumiem no valsts institūcijām pēc noteikumu projekta izskatīšanas Valsts sekretāru sanāksmē. Tāpat jāņem vērā, ka plānotais regulējums pēc savas būtības mazina noteiktā procesa posmā sabiedrības pārstāvjiem administratīvo slogu, nevis to palielina.</w:t>
            </w:r>
          </w:p>
          <w:p w14:paraId="4C35A398" w14:textId="77777777" w:rsidR="00E553F1" w:rsidRPr="00AC4BD2" w:rsidRDefault="00E553F1" w:rsidP="00F86EC4">
            <w:pPr>
              <w:jc w:val="both"/>
            </w:pPr>
            <w:r w:rsidRPr="00AC4BD2">
              <w:t>Par šo noteikumu projektu izstrādi ir informēta arī Latvijas Būvniecības padome.</w:t>
            </w:r>
          </w:p>
        </w:tc>
      </w:tr>
      <w:tr w:rsidR="00E553F1" w:rsidRPr="00AC4BD2" w14:paraId="7E18A043" w14:textId="77777777" w:rsidTr="00F86EC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F8DEFC6" w14:textId="77777777" w:rsidR="00E553F1" w:rsidRPr="00AC4BD2" w:rsidRDefault="00E553F1" w:rsidP="00F86EC4">
            <w:pPr>
              <w:spacing w:before="100" w:beforeAutospacing="1" w:after="100" w:afterAutospacing="1" w:line="293" w:lineRule="atLeast"/>
              <w:jc w:val="center"/>
            </w:pPr>
            <w:r w:rsidRPr="00AC4BD2">
              <w:lastRenderedPageBreak/>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3345639" w14:textId="77777777" w:rsidR="00E553F1" w:rsidRPr="00AC4BD2" w:rsidRDefault="00E553F1" w:rsidP="00F86EC4">
            <w:r w:rsidRPr="00AC4BD2">
              <w:t>Sabiedrības līdzdalība projekta izstrādē</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59DC93A2" w14:textId="77777777" w:rsidR="00E553F1" w:rsidRPr="00AC4BD2" w:rsidRDefault="00E553F1" w:rsidP="00F86EC4">
            <w:pPr>
              <w:jc w:val="both"/>
            </w:pPr>
            <w:commentRangeStart w:id="7"/>
            <w:r w:rsidRPr="00AC4BD2">
              <w:rPr>
                <w:bCs/>
                <w:iCs/>
              </w:rPr>
              <w:t xml:space="preserve">Projekts </w:t>
            </w:r>
            <w:r>
              <w:rPr>
                <w:bCs/>
                <w:iCs/>
              </w:rPr>
              <w:t>tiks</w:t>
            </w:r>
            <w:r w:rsidRPr="00AC4BD2">
              <w:rPr>
                <w:bCs/>
                <w:iCs/>
              </w:rPr>
              <w:t xml:space="preserve"> papildināts pēc sabiedrības pārstāvju viedokļu saņe</w:t>
            </w:r>
            <w:bookmarkStart w:id="8" w:name="_GoBack"/>
            <w:bookmarkEnd w:id="8"/>
            <w:r w:rsidRPr="00AC4BD2">
              <w:rPr>
                <w:bCs/>
                <w:iCs/>
              </w:rPr>
              <w:t>mšanas.</w:t>
            </w:r>
            <w:commentRangeEnd w:id="7"/>
            <w:r>
              <w:rPr>
                <w:rStyle w:val="CommentReference"/>
              </w:rPr>
              <w:commentReference w:id="7"/>
            </w:r>
          </w:p>
        </w:tc>
      </w:tr>
      <w:tr w:rsidR="00E553F1" w:rsidRPr="00AC4BD2" w14:paraId="3234122A" w14:textId="77777777" w:rsidTr="00F86EC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1C9388F" w14:textId="77777777" w:rsidR="00E553F1" w:rsidRPr="00AC4BD2" w:rsidRDefault="00E553F1" w:rsidP="00F86EC4">
            <w:pPr>
              <w:spacing w:before="100" w:beforeAutospacing="1" w:after="100" w:afterAutospacing="1" w:line="293" w:lineRule="atLeast"/>
              <w:jc w:val="center"/>
            </w:pPr>
            <w:r w:rsidRPr="00AC4BD2">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6F8B7022" w14:textId="77777777" w:rsidR="00E553F1" w:rsidRPr="00AC4BD2" w:rsidRDefault="00E553F1" w:rsidP="00F86EC4">
            <w:r w:rsidRPr="00AC4BD2">
              <w:t>Sabiedrības līdzdalības rezultāti</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5359AC4E" w14:textId="77777777" w:rsidR="00E553F1" w:rsidRPr="00AC4BD2" w:rsidRDefault="00E553F1" w:rsidP="00F86EC4">
            <w:pPr>
              <w:jc w:val="both"/>
            </w:pPr>
            <w:r w:rsidRPr="00AC4BD2">
              <w:rPr>
                <w:bCs/>
                <w:iCs/>
              </w:rPr>
              <w:t xml:space="preserve">Projekts </w:t>
            </w:r>
            <w:r>
              <w:rPr>
                <w:bCs/>
                <w:iCs/>
              </w:rPr>
              <w:t>tiks</w:t>
            </w:r>
            <w:r w:rsidRPr="00AC4BD2">
              <w:rPr>
                <w:bCs/>
                <w:iCs/>
              </w:rPr>
              <w:t xml:space="preserve"> papildināts pēc sabiedrības pārstāvju viedokļu saņemšanas.</w:t>
            </w:r>
          </w:p>
        </w:tc>
      </w:tr>
      <w:tr w:rsidR="00E553F1" w:rsidRPr="00AC4BD2" w14:paraId="43F00F7A" w14:textId="77777777" w:rsidTr="00F86EC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2A9A955" w14:textId="77777777" w:rsidR="00E553F1" w:rsidRPr="00AC4BD2" w:rsidRDefault="00E553F1" w:rsidP="00F86EC4">
            <w:pPr>
              <w:spacing w:before="100" w:beforeAutospacing="1" w:after="100" w:afterAutospacing="1" w:line="293" w:lineRule="atLeast"/>
              <w:jc w:val="center"/>
            </w:pPr>
            <w:r w:rsidRPr="00AC4BD2">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1D1CDB7" w14:textId="77777777" w:rsidR="00E553F1" w:rsidRPr="00AC4BD2" w:rsidRDefault="00E553F1" w:rsidP="00F86EC4">
            <w:r w:rsidRPr="00AC4BD2">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38CDA2EC" w14:textId="77777777" w:rsidR="00E553F1" w:rsidRPr="00AC4BD2" w:rsidRDefault="00E553F1" w:rsidP="00F86EC4">
            <w:r w:rsidRPr="00AC4BD2">
              <w:t>Nav</w:t>
            </w:r>
          </w:p>
        </w:tc>
      </w:tr>
    </w:tbl>
    <w:p w14:paraId="6B8E89B1" w14:textId="77777777" w:rsidR="00E553F1" w:rsidRPr="00AC4BD2" w:rsidRDefault="00E553F1" w:rsidP="00E553F1">
      <w:r w:rsidRPr="00AC4BD2">
        <w:rPr>
          <w:shd w:val="clear" w:color="auto" w:fill="FFFFFF"/>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E553F1" w:rsidRPr="00AC4BD2" w14:paraId="3B68A5DF" w14:textId="77777777" w:rsidTr="00F86EC4">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454B5A" w14:textId="77777777" w:rsidR="00E553F1" w:rsidRPr="00AC4BD2" w:rsidRDefault="00E553F1" w:rsidP="00F86EC4">
            <w:pPr>
              <w:spacing w:before="100" w:beforeAutospacing="1" w:after="100" w:afterAutospacing="1" w:line="293" w:lineRule="atLeast"/>
              <w:jc w:val="center"/>
              <w:rPr>
                <w:b/>
                <w:bCs/>
              </w:rPr>
            </w:pPr>
            <w:r w:rsidRPr="00AC4BD2">
              <w:rPr>
                <w:b/>
                <w:bCs/>
              </w:rPr>
              <w:t>VII. Tiesību akta projekta izpildes nodrošināšana un tās ietekme uz institūcijām</w:t>
            </w:r>
          </w:p>
        </w:tc>
      </w:tr>
      <w:tr w:rsidR="00E553F1" w:rsidRPr="00AC4BD2" w14:paraId="2777E8FD" w14:textId="77777777" w:rsidTr="00F86EC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8B01E40" w14:textId="77777777" w:rsidR="00E553F1" w:rsidRPr="00AC4BD2" w:rsidRDefault="00E553F1" w:rsidP="00F86EC4">
            <w:pPr>
              <w:spacing w:before="100" w:beforeAutospacing="1" w:after="100" w:afterAutospacing="1" w:line="293" w:lineRule="atLeast"/>
              <w:jc w:val="center"/>
            </w:pPr>
            <w:r w:rsidRPr="00AC4BD2">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5785469B" w14:textId="77777777" w:rsidR="00E553F1" w:rsidRPr="00AC4BD2" w:rsidRDefault="00E553F1" w:rsidP="00F86EC4">
            <w:r w:rsidRPr="00AC4BD2">
              <w:t>Projekta izpildē iesaistītās institūcijas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2EF27B7B" w14:textId="77777777" w:rsidR="00E553F1" w:rsidRPr="00AC4BD2" w:rsidRDefault="00E553F1" w:rsidP="00F86EC4">
            <w:pPr>
              <w:jc w:val="both"/>
            </w:pPr>
            <w:r w:rsidRPr="00AC4BD2">
              <w:t xml:space="preserve">Būvvaldes un institūcijas, kas pilda būvvaldes funkcijas, Būvniecības valsts kontroles birojs kā </w:t>
            </w:r>
            <w:r w:rsidRPr="00AC4BD2">
              <w:rPr>
                <w:shd w:val="clear" w:color="auto" w:fill="FFFFFF"/>
              </w:rPr>
              <w:t>būvniecības informācijas sistēmas</w:t>
            </w:r>
            <w:r w:rsidRPr="00AC4BD2">
              <w:t xml:space="preserve"> (BIS) pārzinis.</w:t>
            </w:r>
          </w:p>
        </w:tc>
      </w:tr>
      <w:tr w:rsidR="00E553F1" w:rsidRPr="00AC4BD2" w14:paraId="5BB91782" w14:textId="77777777" w:rsidTr="00F86EC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E31FA71" w14:textId="77777777" w:rsidR="00E553F1" w:rsidRPr="00AC4BD2" w:rsidRDefault="00E553F1" w:rsidP="00F86EC4">
            <w:pPr>
              <w:spacing w:before="100" w:beforeAutospacing="1" w:after="100" w:afterAutospacing="1" w:line="293" w:lineRule="atLeast"/>
              <w:jc w:val="center"/>
            </w:pPr>
            <w:r w:rsidRPr="00AC4BD2">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E61944C" w14:textId="77777777" w:rsidR="00E553F1" w:rsidRPr="00AC4BD2" w:rsidRDefault="00E553F1" w:rsidP="00F86EC4">
            <w:r w:rsidRPr="00AC4BD2">
              <w:t>Projekta izpildes ietekme uz pārvaldes funkcijām un institucionālo struktūru.</w:t>
            </w:r>
            <w:r w:rsidRPr="00AC4BD2">
              <w:br/>
              <w:t>Jaunu institūciju izveide, esošu institūciju likvidācija vai reorganizācija, to ietekme uz institūcijas cilvēkresursiem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2082F9E2" w14:textId="77777777" w:rsidR="00E553F1" w:rsidRPr="00AC4BD2" w:rsidRDefault="00E553F1" w:rsidP="00F86EC4">
            <w:pPr>
              <w:jc w:val="both"/>
            </w:pPr>
            <w:r w:rsidRPr="00AC4BD2">
              <w:t>Papildu cilvēkresursi un finanšu līdzekļi nav nepieciešami, jaunas institūcijas netiek veidotas, kā arī netiek likvidētas esošās.</w:t>
            </w:r>
          </w:p>
        </w:tc>
      </w:tr>
      <w:tr w:rsidR="00E553F1" w:rsidRPr="00AC4BD2" w14:paraId="4A865AEB" w14:textId="77777777" w:rsidTr="00F86EC4">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66C7D035" w14:textId="77777777" w:rsidR="00E553F1" w:rsidRPr="00AC4BD2" w:rsidRDefault="00E553F1" w:rsidP="00F86EC4">
            <w:pPr>
              <w:spacing w:before="100" w:beforeAutospacing="1" w:after="100" w:afterAutospacing="1" w:line="293" w:lineRule="atLeast"/>
              <w:jc w:val="center"/>
            </w:pPr>
            <w:r w:rsidRPr="00AC4BD2">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A8B765F" w14:textId="77777777" w:rsidR="00E553F1" w:rsidRPr="00AC4BD2" w:rsidRDefault="00E553F1" w:rsidP="00F86EC4">
            <w:r w:rsidRPr="00AC4BD2">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7348CA50" w14:textId="77777777" w:rsidR="00E553F1" w:rsidRPr="00AC4BD2" w:rsidRDefault="00E553F1" w:rsidP="00F86EC4">
            <w:r w:rsidRPr="00AC4BD2">
              <w:t>Nav</w:t>
            </w:r>
          </w:p>
        </w:tc>
      </w:tr>
    </w:tbl>
    <w:p w14:paraId="1F5ACCF4" w14:textId="77777777" w:rsidR="00E553F1" w:rsidRPr="00AC4BD2" w:rsidRDefault="00E553F1" w:rsidP="00E553F1">
      <w:pPr>
        <w:rPr>
          <w:shd w:val="clear" w:color="auto" w:fill="FFFFFF"/>
        </w:rPr>
      </w:pPr>
    </w:p>
    <w:p w14:paraId="79756F79" w14:textId="77777777" w:rsidR="00E553F1" w:rsidRPr="00AC4BD2" w:rsidRDefault="00E553F1" w:rsidP="00E553F1">
      <w:pPr>
        <w:tabs>
          <w:tab w:val="left" w:pos="6840"/>
        </w:tabs>
        <w:jc w:val="both"/>
      </w:pPr>
    </w:p>
    <w:p w14:paraId="2942760F" w14:textId="77777777" w:rsidR="00E553F1" w:rsidRPr="00AC4BD2" w:rsidRDefault="00E553F1" w:rsidP="00E553F1">
      <w:pPr>
        <w:tabs>
          <w:tab w:val="left" w:pos="7230"/>
        </w:tabs>
        <w:jc w:val="both"/>
      </w:pPr>
      <w:r w:rsidRPr="00AC4BD2">
        <w:t>Iesniedzējs:</w:t>
      </w:r>
    </w:p>
    <w:p w14:paraId="75B7F616" w14:textId="77777777" w:rsidR="00E553F1" w:rsidRPr="00AC4BD2" w:rsidRDefault="00E553F1" w:rsidP="00E553F1">
      <w:pPr>
        <w:tabs>
          <w:tab w:val="left" w:pos="7230"/>
        </w:tabs>
        <w:jc w:val="both"/>
      </w:pPr>
      <w:r w:rsidRPr="00AC4BD2">
        <w:t>Ekonomikas ministrs</w:t>
      </w:r>
      <w:r w:rsidRPr="00AC4BD2">
        <w:tab/>
        <w:t xml:space="preserve">J. </w:t>
      </w:r>
      <w:proofErr w:type="spellStart"/>
      <w:r w:rsidRPr="00AC4BD2">
        <w:t>Vitenbergs</w:t>
      </w:r>
      <w:proofErr w:type="spellEnd"/>
    </w:p>
    <w:p w14:paraId="2D68A5A0" w14:textId="77777777" w:rsidR="00E553F1" w:rsidRPr="00AC4BD2" w:rsidRDefault="00E553F1" w:rsidP="00E553F1">
      <w:pPr>
        <w:tabs>
          <w:tab w:val="left" w:pos="7230"/>
        </w:tabs>
      </w:pPr>
    </w:p>
    <w:p w14:paraId="22A6B9E0" w14:textId="77777777" w:rsidR="00E553F1" w:rsidRPr="00AC4BD2" w:rsidRDefault="00E553F1" w:rsidP="00E553F1">
      <w:pPr>
        <w:tabs>
          <w:tab w:val="left" w:pos="7230"/>
        </w:tabs>
      </w:pPr>
    </w:p>
    <w:p w14:paraId="71359C8A" w14:textId="77777777" w:rsidR="00E553F1" w:rsidRPr="00AC4BD2" w:rsidRDefault="00E553F1" w:rsidP="00E553F1">
      <w:pPr>
        <w:tabs>
          <w:tab w:val="left" w:pos="7230"/>
        </w:tabs>
      </w:pPr>
      <w:r w:rsidRPr="00AC4BD2">
        <w:t>Vīza:</w:t>
      </w:r>
    </w:p>
    <w:p w14:paraId="30C355FE" w14:textId="77777777" w:rsidR="00E553F1" w:rsidRPr="00AC4BD2" w:rsidRDefault="00E553F1" w:rsidP="00E553F1">
      <w:pPr>
        <w:tabs>
          <w:tab w:val="left" w:pos="7230"/>
        </w:tabs>
        <w:jc w:val="both"/>
      </w:pPr>
      <w:r w:rsidRPr="00AC4BD2">
        <w:t>Valsts sekretārs</w:t>
      </w:r>
      <w:r w:rsidRPr="00AC4BD2">
        <w:tab/>
        <w:t>E. Valantis</w:t>
      </w:r>
    </w:p>
    <w:p w14:paraId="50C6AE7D" w14:textId="77777777" w:rsidR="00E553F1" w:rsidRPr="00AC4BD2" w:rsidRDefault="00E553F1" w:rsidP="00E553F1">
      <w:pPr>
        <w:contextualSpacing/>
        <w:rPr>
          <w:sz w:val="20"/>
          <w:szCs w:val="20"/>
        </w:rPr>
      </w:pPr>
    </w:p>
    <w:p w14:paraId="7120DA9B" w14:textId="77777777" w:rsidR="00E553F1" w:rsidRPr="00AC4BD2" w:rsidRDefault="00E553F1" w:rsidP="00E553F1">
      <w:pPr>
        <w:contextualSpacing/>
        <w:rPr>
          <w:sz w:val="20"/>
          <w:szCs w:val="20"/>
        </w:rPr>
      </w:pPr>
    </w:p>
    <w:p w14:paraId="146F6D6A" w14:textId="77777777" w:rsidR="00E553F1" w:rsidRPr="00AC4BD2" w:rsidRDefault="00E553F1" w:rsidP="00E553F1">
      <w:pPr>
        <w:contextualSpacing/>
        <w:rPr>
          <w:sz w:val="18"/>
          <w:szCs w:val="18"/>
        </w:rPr>
      </w:pPr>
      <w:r w:rsidRPr="00AC4BD2">
        <w:rPr>
          <w:sz w:val="18"/>
          <w:szCs w:val="18"/>
        </w:rPr>
        <w:t>Bučinska, 67013032</w:t>
      </w:r>
    </w:p>
    <w:p w14:paraId="11C52DCA" w14:textId="77777777" w:rsidR="00E553F1" w:rsidRPr="00AC4BD2" w:rsidRDefault="00E553F1" w:rsidP="00E553F1">
      <w:pPr>
        <w:contextualSpacing/>
        <w:rPr>
          <w:sz w:val="18"/>
          <w:szCs w:val="18"/>
        </w:rPr>
      </w:pPr>
      <w:r w:rsidRPr="00AC4BD2">
        <w:rPr>
          <w:sz w:val="18"/>
          <w:szCs w:val="18"/>
        </w:rPr>
        <w:t>Elga.Bucinska@em.gov.lv</w:t>
      </w:r>
    </w:p>
    <w:p w14:paraId="547A4D49" w14:textId="77777777" w:rsidR="00E553F1" w:rsidRPr="00AC4BD2" w:rsidRDefault="00E553F1" w:rsidP="00E553F1">
      <w:pPr>
        <w:contextualSpacing/>
        <w:rPr>
          <w:sz w:val="18"/>
          <w:szCs w:val="18"/>
        </w:rPr>
      </w:pPr>
    </w:p>
    <w:p w14:paraId="72F3DE7B" w14:textId="77777777" w:rsidR="00E553F1" w:rsidRPr="00AC4BD2" w:rsidRDefault="00E553F1" w:rsidP="00E553F1"/>
    <w:p w14:paraId="10AB0348" w14:textId="77777777" w:rsidR="00E553F1" w:rsidRPr="00AC4BD2" w:rsidRDefault="00E553F1" w:rsidP="00E553F1"/>
    <w:p w14:paraId="0BA99888" w14:textId="77777777" w:rsidR="00E553F1" w:rsidRDefault="00E553F1" w:rsidP="00E553F1"/>
    <w:p w14:paraId="044D55CD" w14:textId="77777777" w:rsidR="008A41C9" w:rsidRDefault="008A41C9"/>
    <w:sectPr w:rsidR="008A41C9" w:rsidSect="00183E8D">
      <w:headerReference w:type="default" r:id="rId9"/>
      <w:footerReference w:type="default" r:id="rId10"/>
      <w:footerReference w:type="first" r:id="rId11"/>
      <w:pgSz w:w="11906" w:h="16838" w:code="9"/>
      <w:pgMar w:top="1418" w:right="1134" w:bottom="1134" w:left="1701" w:header="567"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Sergejs Griškevičs" w:date="2021-04-22T16:34:00Z" w:initials="SG">
    <w:p w14:paraId="203877BC" w14:textId="6E50D4D7" w:rsidR="00E553F1" w:rsidRPr="00257F9A" w:rsidRDefault="00E553F1" w:rsidP="00257F9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3877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3877BC" w16cid:durableId="242C23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6B800" w14:textId="77777777" w:rsidR="00B23D1D" w:rsidRDefault="00B23D1D" w:rsidP="00310752">
      <w:r>
        <w:separator/>
      </w:r>
    </w:p>
  </w:endnote>
  <w:endnote w:type="continuationSeparator" w:id="0">
    <w:p w14:paraId="07C8ADEA" w14:textId="77777777" w:rsidR="00B23D1D" w:rsidRDefault="00B23D1D" w:rsidP="0031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7733" w14:textId="6BEB4396" w:rsidR="00183E8D" w:rsidRPr="009175D7" w:rsidRDefault="007638BD" w:rsidP="009175D7">
    <w:pPr>
      <w:pStyle w:val="Footer"/>
      <w:jc w:val="both"/>
      <w:rPr>
        <w:sz w:val="20"/>
        <w:szCs w:val="20"/>
      </w:rPr>
    </w:pPr>
    <w:r w:rsidRPr="009175D7">
      <w:rPr>
        <w:rFonts w:eastAsia="Calibri"/>
        <w:sz w:val="20"/>
        <w:szCs w:val="20"/>
        <w:lang w:eastAsia="en-US"/>
      </w:rPr>
      <w:fldChar w:fldCharType="begin"/>
    </w:r>
    <w:r w:rsidRPr="009175D7">
      <w:rPr>
        <w:rFonts w:eastAsia="Calibri"/>
        <w:sz w:val="20"/>
        <w:szCs w:val="20"/>
        <w:lang w:eastAsia="en-US"/>
      </w:rPr>
      <w:instrText xml:space="preserve"> FILENAME   \* MERGEFORMAT </w:instrText>
    </w:r>
    <w:r w:rsidRPr="009175D7">
      <w:rPr>
        <w:rFonts w:eastAsia="Calibri"/>
        <w:sz w:val="20"/>
        <w:szCs w:val="20"/>
        <w:lang w:eastAsia="en-US"/>
      </w:rPr>
      <w:fldChar w:fldCharType="separate"/>
    </w:r>
    <w:r w:rsidR="00EE18AF">
      <w:rPr>
        <w:rFonts w:eastAsia="Calibri"/>
        <w:noProof/>
        <w:sz w:val="20"/>
        <w:szCs w:val="20"/>
        <w:lang w:eastAsia="en-US"/>
      </w:rPr>
      <w:t>EManot_230421_groz501_elektron sakari.docx</w:t>
    </w:r>
    <w:r w:rsidRPr="009175D7">
      <w:rPr>
        <w:rFonts w:eastAsia="Calibri"/>
        <w:sz w:val="20"/>
        <w:szCs w:val="20"/>
        <w:lang w:eastAsia="en-US"/>
      </w:rPr>
      <w:fldChar w:fldCharType="end"/>
    </w:r>
    <w:r w:rsidRPr="009175D7">
      <w:rPr>
        <w:rFonts w:eastAsia="Calibri"/>
        <w:sz w:val="20"/>
        <w:szCs w:val="20"/>
        <w:lang w:eastAsia="en-US"/>
      </w:rPr>
      <w:t>; Ministru kabineta noteikumu projekta “</w:t>
    </w:r>
    <w:r w:rsidRPr="009175D7">
      <w:rPr>
        <w:rFonts w:eastAsia="Calibri"/>
        <w:iCs/>
        <w:sz w:val="20"/>
        <w:szCs w:val="20"/>
        <w:lang w:eastAsia="en-US"/>
      </w:rPr>
      <w:t>Grozījumi Ministru kabineta 2014. gada 19. augusta noteikumos Nr. 501 “</w:t>
    </w:r>
    <w:r w:rsidRPr="009175D7">
      <w:rPr>
        <w:rFonts w:eastAsia="Calibri"/>
        <w:sz w:val="20"/>
        <w:szCs w:val="20"/>
        <w:lang w:eastAsia="en-US"/>
      </w:rPr>
      <w:t xml:space="preserve">Elektronisko sakaru tīklu ierīkošanas, būvniecības un </w:t>
    </w:r>
    <w:r w:rsidRPr="001D1F75">
      <w:rPr>
        <w:rFonts w:eastAsia="Calibri"/>
        <w:sz w:val="20"/>
        <w:szCs w:val="20"/>
        <w:lang w:eastAsia="en-US"/>
      </w:rPr>
      <w:t>uzraudzības kārtība”</w:t>
    </w:r>
    <w:r w:rsidRPr="009175D7">
      <w:rPr>
        <w:rFonts w:eastAsia="Calibri"/>
        <w:sz w:val="20"/>
        <w:szCs w:val="20"/>
        <w:lang w:eastAsia="en-US"/>
      </w:rPr>
      <w:t xml:space="preserve">” sākotnējās ietekmes novērtējuma </w:t>
    </w:r>
    <w:smartTag w:uri="schemas-tilde-lv/tildestengine" w:element="veidnes">
      <w:smartTagPr>
        <w:attr w:name="text" w:val="ziņojums"/>
        <w:attr w:name="baseform" w:val="ziņojums"/>
        <w:attr w:name="id" w:val="-1"/>
      </w:smartTagPr>
      <w:r w:rsidRPr="009175D7">
        <w:rPr>
          <w:rFonts w:eastAsia="Calibri"/>
          <w:sz w:val="20"/>
          <w:szCs w:val="20"/>
          <w:lang w:eastAsia="en-US"/>
        </w:rPr>
        <w:t>ziņojums</w:t>
      </w:r>
    </w:smartTag>
    <w:r w:rsidRPr="009175D7">
      <w:rPr>
        <w:rFonts w:eastAsia="Calibri"/>
        <w:sz w:val="20"/>
        <w:szCs w:val="20"/>
        <w:lang w:eastAsia="en-US"/>
      </w:rPr>
      <w:t xml:space="preserve"> (anotācija)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B6884" w14:textId="0374AE03" w:rsidR="00183E8D" w:rsidRPr="009175D7" w:rsidRDefault="007638BD" w:rsidP="009175D7">
    <w:pPr>
      <w:pStyle w:val="Footer"/>
      <w:jc w:val="both"/>
      <w:rPr>
        <w:sz w:val="20"/>
        <w:szCs w:val="20"/>
      </w:rPr>
    </w:pPr>
    <w:r w:rsidRPr="009175D7">
      <w:rPr>
        <w:rFonts w:eastAsia="Calibri"/>
        <w:sz w:val="20"/>
        <w:szCs w:val="20"/>
        <w:lang w:eastAsia="en-US"/>
      </w:rPr>
      <w:fldChar w:fldCharType="begin"/>
    </w:r>
    <w:r w:rsidRPr="009175D7">
      <w:rPr>
        <w:rFonts w:eastAsia="Calibri"/>
        <w:sz w:val="20"/>
        <w:szCs w:val="20"/>
        <w:lang w:eastAsia="en-US"/>
      </w:rPr>
      <w:instrText xml:space="preserve"> FILENAME   \* MERGEFORMAT </w:instrText>
    </w:r>
    <w:r w:rsidRPr="009175D7">
      <w:rPr>
        <w:rFonts w:eastAsia="Calibri"/>
        <w:sz w:val="20"/>
        <w:szCs w:val="20"/>
        <w:lang w:eastAsia="en-US"/>
      </w:rPr>
      <w:fldChar w:fldCharType="separate"/>
    </w:r>
    <w:r w:rsidR="00EE18AF">
      <w:rPr>
        <w:rFonts w:eastAsia="Calibri"/>
        <w:noProof/>
        <w:sz w:val="20"/>
        <w:szCs w:val="20"/>
        <w:lang w:eastAsia="en-US"/>
      </w:rPr>
      <w:t>EManot_230421_groz501_elektron sakari.docx</w:t>
    </w:r>
    <w:r w:rsidRPr="009175D7">
      <w:rPr>
        <w:rFonts w:eastAsia="Calibri"/>
        <w:sz w:val="20"/>
        <w:szCs w:val="20"/>
        <w:lang w:eastAsia="en-US"/>
      </w:rPr>
      <w:fldChar w:fldCharType="end"/>
    </w:r>
    <w:r w:rsidRPr="009175D7">
      <w:rPr>
        <w:rFonts w:eastAsia="Calibri"/>
        <w:sz w:val="20"/>
        <w:szCs w:val="20"/>
        <w:lang w:eastAsia="en-US"/>
      </w:rPr>
      <w:t>; Ministru kabineta noteikumu projekta “</w:t>
    </w:r>
    <w:r w:rsidRPr="009175D7">
      <w:rPr>
        <w:rFonts w:eastAsia="Calibri"/>
        <w:iCs/>
        <w:sz w:val="20"/>
        <w:szCs w:val="20"/>
        <w:lang w:eastAsia="en-US"/>
      </w:rPr>
      <w:t>Grozījumi Ministru kabineta 2014. gada 19. augusta noteikumos Nr. 501 “</w:t>
    </w:r>
    <w:r w:rsidRPr="009175D7">
      <w:rPr>
        <w:rFonts w:eastAsia="Calibri"/>
        <w:sz w:val="20"/>
        <w:szCs w:val="20"/>
        <w:lang w:eastAsia="en-US"/>
      </w:rPr>
      <w:t xml:space="preserve">Elektronisko sakaru tīklu ierīkošanas, būvniecības un </w:t>
    </w:r>
    <w:r w:rsidRPr="001D1F75">
      <w:rPr>
        <w:rFonts w:eastAsia="Calibri"/>
        <w:sz w:val="20"/>
        <w:szCs w:val="20"/>
        <w:lang w:eastAsia="en-US"/>
      </w:rPr>
      <w:t>uzraudzības kārtība”</w:t>
    </w:r>
    <w:r w:rsidRPr="009175D7">
      <w:rPr>
        <w:rFonts w:eastAsia="Calibri"/>
        <w:sz w:val="20"/>
        <w:szCs w:val="20"/>
        <w:lang w:eastAsia="en-US"/>
      </w:rPr>
      <w:t xml:space="preserve">” sākotnējās ietekmes novērtējuma </w:t>
    </w:r>
    <w:smartTag w:uri="schemas-tilde-lv/tildestengine" w:element="veidnes">
      <w:smartTagPr>
        <w:attr w:name="text" w:val="ziņojums"/>
        <w:attr w:name="baseform" w:val="ziņojums"/>
        <w:attr w:name="id" w:val="-1"/>
      </w:smartTagPr>
      <w:r w:rsidRPr="009175D7">
        <w:rPr>
          <w:rFonts w:eastAsia="Calibri"/>
          <w:sz w:val="20"/>
          <w:szCs w:val="20"/>
          <w:lang w:eastAsia="en-US"/>
        </w:rPr>
        <w:t>ziņojums</w:t>
      </w:r>
    </w:smartTag>
    <w:r w:rsidRPr="009175D7">
      <w:rPr>
        <w:rFonts w:eastAsia="Calibri"/>
        <w:sz w:val="20"/>
        <w:szCs w:val="20"/>
        <w:lang w:eastAsia="en-US"/>
      </w:rPr>
      <w:t xml:space="preserve"> (anotācija)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8B639" w14:textId="77777777" w:rsidR="00B23D1D" w:rsidRDefault="00B23D1D" w:rsidP="00310752">
      <w:r>
        <w:separator/>
      </w:r>
    </w:p>
  </w:footnote>
  <w:footnote w:type="continuationSeparator" w:id="0">
    <w:p w14:paraId="2EF126A9" w14:textId="77777777" w:rsidR="00B23D1D" w:rsidRDefault="00B23D1D" w:rsidP="0031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674977"/>
      <w:docPartObj>
        <w:docPartGallery w:val="Page Numbers (Top of Page)"/>
        <w:docPartUnique/>
      </w:docPartObj>
    </w:sdtPr>
    <w:sdtEndPr>
      <w:rPr>
        <w:noProof/>
        <w:sz w:val="20"/>
        <w:szCs w:val="20"/>
      </w:rPr>
    </w:sdtEndPr>
    <w:sdtContent>
      <w:p w14:paraId="5247AD54" w14:textId="77777777" w:rsidR="00183E8D" w:rsidRPr="00DD16CD" w:rsidRDefault="007638BD">
        <w:pPr>
          <w:pStyle w:val="Header"/>
          <w:jc w:val="center"/>
          <w:rPr>
            <w:sz w:val="20"/>
            <w:szCs w:val="20"/>
          </w:rPr>
        </w:pPr>
        <w:r w:rsidRPr="00DD16CD">
          <w:rPr>
            <w:sz w:val="20"/>
            <w:szCs w:val="20"/>
          </w:rPr>
          <w:fldChar w:fldCharType="begin"/>
        </w:r>
        <w:r w:rsidRPr="00DD16CD">
          <w:rPr>
            <w:sz w:val="20"/>
            <w:szCs w:val="20"/>
          </w:rPr>
          <w:instrText xml:space="preserve"> PAGE   \* MERGEFORMAT </w:instrText>
        </w:r>
        <w:r w:rsidRPr="00DD16CD">
          <w:rPr>
            <w:sz w:val="20"/>
            <w:szCs w:val="20"/>
          </w:rPr>
          <w:fldChar w:fldCharType="separate"/>
        </w:r>
        <w:r w:rsidRPr="00DD16CD">
          <w:rPr>
            <w:noProof/>
            <w:sz w:val="20"/>
            <w:szCs w:val="20"/>
          </w:rPr>
          <w:t>2</w:t>
        </w:r>
        <w:r w:rsidRPr="00DD16CD">
          <w:rPr>
            <w:noProof/>
            <w:sz w:val="20"/>
            <w:szCs w:val="20"/>
          </w:rPr>
          <w:fldChar w:fldCharType="end"/>
        </w: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rgejs Griškevičs">
    <w15:presenceInfo w15:providerId="AD" w15:userId="S::Sergejs.Griskevics@em.gov.lv::dfdd26a3-e27e-4db2-b148-2518cca040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F1"/>
    <w:rsid w:val="00257F9A"/>
    <w:rsid w:val="00310752"/>
    <w:rsid w:val="00391674"/>
    <w:rsid w:val="0039289F"/>
    <w:rsid w:val="006747C3"/>
    <w:rsid w:val="006A394E"/>
    <w:rsid w:val="007638BD"/>
    <w:rsid w:val="008A41C9"/>
    <w:rsid w:val="00966373"/>
    <w:rsid w:val="00B23D1D"/>
    <w:rsid w:val="00C82215"/>
    <w:rsid w:val="00CE2024"/>
    <w:rsid w:val="00D76D48"/>
    <w:rsid w:val="00E553F1"/>
    <w:rsid w:val="00EE18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C75225C"/>
  <w15:chartTrackingRefBased/>
  <w15:docId w15:val="{E76B7BDA-3789-450B-8438-37107F06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3F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3F1"/>
    <w:pPr>
      <w:tabs>
        <w:tab w:val="center" w:pos="4153"/>
        <w:tab w:val="right" w:pos="8306"/>
      </w:tabs>
    </w:pPr>
  </w:style>
  <w:style w:type="character" w:customStyle="1" w:styleId="HeaderChar">
    <w:name w:val="Header Char"/>
    <w:basedOn w:val="DefaultParagraphFont"/>
    <w:link w:val="Header"/>
    <w:uiPriority w:val="99"/>
    <w:rsid w:val="00E553F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553F1"/>
    <w:pPr>
      <w:tabs>
        <w:tab w:val="center" w:pos="4153"/>
        <w:tab w:val="right" w:pos="8306"/>
      </w:tabs>
    </w:pPr>
  </w:style>
  <w:style w:type="character" w:customStyle="1" w:styleId="FooterChar">
    <w:name w:val="Footer Char"/>
    <w:basedOn w:val="DefaultParagraphFont"/>
    <w:link w:val="Footer"/>
    <w:uiPriority w:val="99"/>
    <w:rsid w:val="00E553F1"/>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E553F1"/>
  </w:style>
  <w:style w:type="paragraph" w:customStyle="1" w:styleId="tv213">
    <w:name w:val="tv213"/>
    <w:basedOn w:val="Normal"/>
    <w:rsid w:val="00E553F1"/>
    <w:pPr>
      <w:spacing w:before="100" w:beforeAutospacing="1" w:after="100" w:afterAutospacing="1"/>
    </w:pPr>
  </w:style>
  <w:style w:type="character" w:styleId="CommentReference">
    <w:name w:val="annotation reference"/>
    <w:basedOn w:val="DefaultParagraphFont"/>
    <w:uiPriority w:val="99"/>
    <w:unhideWhenUsed/>
    <w:rsid w:val="00E553F1"/>
    <w:rPr>
      <w:sz w:val="16"/>
      <w:szCs w:val="16"/>
    </w:rPr>
  </w:style>
  <w:style w:type="paragraph" w:styleId="CommentText">
    <w:name w:val="annotation text"/>
    <w:basedOn w:val="Normal"/>
    <w:link w:val="CommentTextChar"/>
    <w:uiPriority w:val="99"/>
    <w:semiHidden/>
    <w:unhideWhenUsed/>
    <w:rsid w:val="00E553F1"/>
    <w:rPr>
      <w:sz w:val="20"/>
      <w:szCs w:val="20"/>
    </w:rPr>
  </w:style>
  <w:style w:type="character" w:customStyle="1" w:styleId="CommentTextChar">
    <w:name w:val="Comment Text Char"/>
    <w:basedOn w:val="DefaultParagraphFont"/>
    <w:link w:val="CommentText"/>
    <w:uiPriority w:val="99"/>
    <w:semiHidden/>
    <w:rsid w:val="00E553F1"/>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E55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3F1"/>
    <w:rPr>
      <w:rFonts w:ascii="Segoe UI" w:eastAsia="Times New Roman" w:hAnsi="Segoe UI" w:cs="Segoe UI"/>
      <w:sz w:val="18"/>
      <w:szCs w:val="18"/>
      <w:lang w:eastAsia="lv-LV"/>
    </w:rPr>
  </w:style>
  <w:style w:type="paragraph" w:styleId="Revision">
    <w:name w:val="Revision"/>
    <w:hidden/>
    <w:uiPriority w:val="99"/>
    <w:semiHidden/>
    <w:rsid w:val="006747C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10681</Words>
  <Characters>6089</Characters>
  <Application>Microsoft Office Word</Application>
  <DocSecurity>0</DocSecurity>
  <Lines>50</Lines>
  <Paragraphs>33</Paragraphs>
  <ScaleCrop>false</ScaleCrop>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Bučinska</dc:creator>
  <cp:keywords/>
  <dc:description/>
  <cp:lastModifiedBy>Elga Bučinska</cp:lastModifiedBy>
  <cp:revision>10</cp:revision>
  <dcterms:created xsi:type="dcterms:W3CDTF">2021-04-23T10:39:00Z</dcterms:created>
  <dcterms:modified xsi:type="dcterms:W3CDTF">2021-04-23T10:56:00Z</dcterms:modified>
</cp:coreProperties>
</file>