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07C9" w14:textId="1EA6BFC8" w:rsidR="00FA4414" w:rsidRDefault="00A83263" w:rsidP="00A83263">
      <w:pPr>
        <w:shd w:val="clear" w:color="auto" w:fill="FFFFFF"/>
        <w:contextualSpacing/>
        <w:jc w:val="center"/>
        <w:rPr>
          <w:b/>
          <w:sz w:val="26"/>
          <w:szCs w:val="26"/>
          <w:lang w:val="lv-LV"/>
        </w:rPr>
      </w:pPr>
      <w:bookmarkStart w:id="0" w:name="_Hlk58398606"/>
      <w:bookmarkStart w:id="1" w:name="_Hlk58435028"/>
      <w:bookmarkStart w:id="2" w:name="OLE_LINK3"/>
      <w:bookmarkStart w:id="3" w:name="OLE_LINK1"/>
      <w:bookmarkStart w:id="4" w:name="OLE_LINK2"/>
      <w:r w:rsidRPr="006640AA">
        <w:rPr>
          <w:b/>
          <w:sz w:val="26"/>
          <w:szCs w:val="26"/>
          <w:lang w:val="lv-LV"/>
        </w:rPr>
        <w:t xml:space="preserve">Ministru kabineta noteikumu projekta </w:t>
      </w:r>
      <w:r w:rsidRPr="006640AA">
        <w:rPr>
          <w:b/>
          <w:bCs/>
          <w:sz w:val="26"/>
          <w:szCs w:val="26"/>
          <w:lang w:val="lv-LV"/>
        </w:rPr>
        <w:t xml:space="preserve">“Grozījumi </w:t>
      </w:r>
      <w:r w:rsidRPr="00A83263">
        <w:rPr>
          <w:b/>
          <w:bCs/>
          <w:sz w:val="26"/>
          <w:szCs w:val="26"/>
          <w:lang w:val="lv-LV"/>
        </w:rPr>
        <w:t>kabineta 2020.</w:t>
      </w:r>
      <w:r w:rsidR="006B0913">
        <w:rPr>
          <w:b/>
          <w:bCs/>
          <w:sz w:val="26"/>
          <w:szCs w:val="26"/>
          <w:lang w:val="lv-LV"/>
        </w:rPr>
        <w:t xml:space="preserve"> </w:t>
      </w:r>
      <w:r w:rsidRPr="00A83263">
        <w:rPr>
          <w:b/>
          <w:bCs/>
          <w:sz w:val="26"/>
          <w:szCs w:val="26"/>
          <w:lang w:val="lv-LV"/>
        </w:rPr>
        <w:t>gada 17.</w:t>
      </w:r>
      <w:r w:rsidR="006B0913">
        <w:rPr>
          <w:b/>
          <w:bCs/>
          <w:sz w:val="26"/>
          <w:szCs w:val="26"/>
          <w:lang w:val="lv-LV"/>
        </w:rPr>
        <w:t xml:space="preserve"> </w:t>
      </w:r>
      <w:r w:rsidRPr="00A83263">
        <w:rPr>
          <w:b/>
          <w:bCs/>
          <w:sz w:val="26"/>
          <w:szCs w:val="26"/>
          <w:lang w:val="lv-LV"/>
        </w:rPr>
        <w:t>decembra noteikumos Nr.</w:t>
      </w:r>
      <w:r w:rsidR="006B0913">
        <w:rPr>
          <w:b/>
          <w:bCs/>
          <w:sz w:val="26"/>
          <w:szCs w:val="26"/>
          <w:lang w:val="lv-LV"/>
        </w:rPr>
        <w:t xml:space="preserve"> </w:t>
      </w:r>
      <w:r w:rsidRPr="00A83263">
        <w:rPr>
          <w:b/>
          <w:bCs/>
          <w:sz w:val="26"/>
          <w:szCs w:val="26"/>
          <w:lang w:val="lv-LV"/>
        </w:rPr>
        <w:t>805 “Noteikumi par nekustamā īpašuma darījumu starpnieka kvalifikācijas celšanas pasākumiem</w:t>
      </w:r>
      <w:r w:rsidRPr="006640AA">
        <w:rPr>
          <w:b/>
          <w:bCs/>
          <w:sz w:val="26"/>
          <w:szCs w:val="26"/>
          <w:lang w:val="lv-LV"/>
        </w:rPr>
        <w:t>”” sākotnējās</w:t>
      </w:r>
      <w:r w:rsidRPr="006640AA">
        <w:rPr>
          <w:b/>
          <w:sz w:val="26"/>
          <w:szCs w:val="26"/>
          <w:lang w:val="lv-LV"/>
        </w:rPr>
        <w:t xml:space="preserve"> ietekmes novērtējuma ziņojums (anotācija)</w:t>
      </w:r>
      <w:bookmarkEnd w:id="0"/>
      <w:bookmarkEnd w:id="1"/>
    </w:p>
    <w:p w14:paraId="49A5134C" w14:textId="77777777" w:rsidR="00286A8E" w:rsidRPr="006640AA" w:rsidRDefault="00286A8E" w:rsidP="00A83263">
      <w:pPr>
        <w:shd w:val="clear" w:color="auto" w:fill="FFFFFF"/>
        <w:contextualSpacing/>
        <w:jc w:val="center"/>
        <w:rPr>
          <w:b/>
          <w:sz w:val="26"/>
          <w:szCs w:val="26"/>
          <w:lang w:val="lv-LV"/>
        </w:rPr>
      </w:pPr>
    </w:p>
    <w:tbl>
      <w:tblPr>
        <w:tblStyle w:val="TableGrid"/>
        <w:tblW w:w="93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67"/>
        <w:gridCol w:w="7184"/>
      </w:tblGrid>
      <w:tr w:rsidR="00FE3D8C" w:rsidRPr="006640AA" w14:paraId="47A77C9D" w14:textId="77777777" w:rsidTr="00C72D2B">
        <w:trPr>
          <w:trHeight w:val="280"/>
          <w:tblCellSpacing w:w="20" w:type="dxa"/>
        </w:trPr>
        <w:tc>
          <w:tcPr>
            <w:tcW w:w="9351" w:type="dxa"/>
            <w:gridSpan w:val="2"/>
            <w:vAlign w:val="center"/>
          </w:tcPr>
          <w:p w14:paraId="67F1F095" w14:textId="1A0B8496" w:rsidR="00FE3D8C" w:rsidRPr="006640AA" w:rsidRDefault="00FE3D8C" w:rsidP="00DD6B81">
            <w:pPr>
              <w:contextualSpacing/>
              <w:jc w:val="center"/>
              <w:rPr>
                <w:b/>
                <w:sz w:val="26"/>
                <w:szCs w:val="26"/>
                <w:lang w:val="lv-LV"/>
              </w:rPr>
            </w:pPr>
            <w:r w:rsidRPr="006640AA">
              <w:rPr>
                <w:rFonts w:eastAsia="Times New Roman"/>
                <w:b/>
                <w:bCs/>
                <w:iCs/>
                <w:sz w:val="26"/>
                <w:szCs w:val="26"/>
                <w:lang w:val="lv-LV" w:eastAsia="lv-LV"/>
              </w:rPr>
              <w:t>Tiesību akta projekta anotācijas kopsavilkums</w:t>
            </w:r>
          </w:p>
        </w:tc>
      </w:tr>
      <w:tr w:rsidR="00FE3D8C" w:rsidRPr="00A978C3" w14:paraId="562FF486" w14:textId="77777777" w:rsidTr="00C72D2B">
        <w:trPr>
          <w:trHeight w:val="1851"/>
          <w:tblCellSpacing w:w="20" w:type="dxa"/>
        </w:trPr>
        <w:tc>
          <w:tcPr>
            <w:tcW w:w="2122" w:type="dxa"/>
          </w:tcPr>
          <w:p w14:paraId="7F646FDE" w14:textId="741D956A" w:rsidR="00FE3D8C" w:rsidRPr="006640AA" w:rsidRDefault="00FE3D8C" w:rsidP="00DD6B81">
            <w:pPr>
              <w:contextualSpacing/>
              <w:rPr>
                <w:b/>
                <w:sz w:val="26"/>
                <w:szCs w:val="26"/>
                <w:lang w:val="lv-LV"/>
              </w:rPr>
            </w:pPr>
            <w:r w:rsidRPr="006640AA">
              <w:rPr>
                <w:rFonts w:eastAsia="Times New Roman"/>
                <w:iCs/>
                <w:sz w:val="26"/>
                <w:szCs w:val="26"/>
                <w:lang w:val="lv-LV" w:eastAsia="lv-LV"/>
              </w:rPr>
              <w:t xml:space="preserve">Mērķis, risinājums un projekta spēkā stāšanās laiks </w:t>
            </w:r>
          </w:p>
        </w:tc>
        <w:tc>
          <w:tcPr>
            <w:tcW w:w="7229" w:type="dxa"/>
          </w:tcPr>
          <w:p w14:paraId="4B2499E0" w14:textId="39935EC5" w:rsidR="00E54104" w:rsidRPr="007E4FE6" w:rsidRDefault="004A6D94" w:rsidP="00FA4414">
            <w:pPr>
              <w:contextualSpacing/>
              <w:jc w:val="both"/>
              <w:rPr>
                <w:rFonts w:eastAsia="Times New Roman"/>
                <w:iCs/>
                <w:sz w:val="26"/>
                <w:szCs w:val="26"/>
                <w:lang w:val="lv-LV"/>
              </w:rPr>
            </w:pPr>
            <w:r>
              <w:rPr>
                <w:iCs/>
                <w:sz w:val="26"/>
                <w:szCs w:val="26"/>
                <w:lang w:val="lv-LV"/>
              </w:rPr>
              <w:t>Nav attiecināms.</w:t>
            </w:r>
          </w:p>
        </w:tc>
      </w:tr>
    </w:tbl>
    <w:p w14:paraId="4F03DE00" w14:textId="29ECC9FB" w:rsidR="00310924" w:rsidRPr="006640AA" w:rsidRDefault="00310924" w:rsidP="00B043DE">
      <w:pPr>
        <w:shd w:val="clear" w:color="auto" w:fill="FFFFFF"/>
        <w:contextualSpacing/>
        <w:jc w:val="center"/>
        <w:rPr>
          <w:b/>
          <w:sz w:val="26"/>
          <w:szCs w:val="26"/>
          <w:lang w:val="lv-LV"/>
        </w:rPr>
      </w:pPr>
    </w:p>
    <w:tbl>
      <w:tblPr>
        <w:tblW w:w="93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57" w:type="dxa"/>
          <w:bottom w:w="30" w:type="dxa"/>
          <w:right w:w="57" w:type="dxa"/>
        </w:tblCellMar>
        <w:tblLook w:val="04A0" w:firstRow="1" w:lastRow="0" w:firstColumn="1" w:lastColumn="0" w:noHBand="0" w:noVBand="1"/>
      </w:tblPr>
      <w:tblGrid>
        <w:gridCol w:w="474"/>
        <w:gridCol w:w="2062"/>
        <w:gridCol w:w="6812"/>
      </w:tblGrid>
      <w:tr w:rsidR="00844176" w:rsidRPr="006640AA" w14:paraId="02364BB3" w14:textId="77777777" w:rsidTr="00C72D2B">
        <w:trPr>
          <w:trHeight w:val="307"/>
          <w:tblCellSpacing w:w="20" w:type="dxa"/>
        </w:trPr>
        <w:tc>
          <w:tcPr>
            <w:tcW w:w="9348" w:type="dxa"/>
            <w:gridSpan w:val="3"/>
            <w:hideMark/>
          </w:tcPr>
          <w:bookmarkEnd w:id="2"/>
          <w:bookmarkEnd w:id="3"/>
          <w:bookmarkEnd w:id="4"/>
          <w:p w14:paraId="12E54FE2" w14:textId="77777777" w:rsidR="00844176" w:rsidRPr="006640AA" w:rsidRDefault="00844176" w:rsidP="00B043DE">
            <w:pPr>
              <w:tabs>
                <w:tab w:val="left" w:pos="5888"/>
              </w:tabs>
              <w:contextualSpacing/>
              <w:jc w:val="center"/>
              <w:rPr>
                <w:rFonts w:eastAsia="Times New Roman"/>
                <w:sz w:val="26"/>
                <w:szCs w:val="26"/>
                <w:lang w:val="lv-LV" w:eastAsia="lv-LV"/>
              </w:rPr>
            </w:pPr>
            <w:r w:rsidRPr="006640AA">
              <w:rPr>
                <w:b/>
                <w:sz w:val="26"/>
                <w:szCs w:val="26"/>
                <w:lang w:val="lv-LV"/>
              </w:rPr>
              <w:t>I. Tiesību akta projekta izstrādes nepieciešamība</w:t>
            </w:r>
          </w:p>
        </w:tc>
      </w:tr>
      <w:tr w:rsidR="00844176" w:rsidRPr="008F0C45" w14:paraId="7F385C9A" w14:textId="77777777" w:rsidTr="00C72D2B">
        <w:trPr>
          <w:trHeight w:val="405"/>
          <w:tblCellSpacing w:w="20" w:type="dxa"/>
        </w:trPr>
        <w:tc>
          <w:tcPr>
            <w:tcW w:w="418" w:type="dxa"/>
            <w:hideMark/>
          </w:tcPr>
          <w:p w14:paraId="7802C726"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1.</w:t>
            </w:r>
          </w:p>
        </w:tc>
        <w:tc>
          <w:tcPr>
            <w:tcW w:w="1883" w:type="dxa"/>
            <w:hideMark/>
          </w:tcPr>
          <w:p w14:paraId="1D9EF4B2"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Pamatojums</w:t>
            </w:r>
          </w:p>
        </w:tc>
        <w:tc>
          <w:tcPr>
            <w:tcW w:w="7047" w:type="dxa"/>
            <w:hideMark/>
          </w:tcPr>
          <w:p w14:paraId="79DF1BBF" w14:textId="12A435CE" w:rsidR="003F2AC0" w:rsidRPr="006640AA" w:rsidRDefault="003D0F93" w:rsidP="00836F80">
            <w:pPr>
              <w:spacing w:after="160" w:line="256" w:lineRule="auto"/>
              <w:contextualSpacing/>
              <w:jc w:val="both"/>
              <w:rPr>
                <w:sz w:val="26"/>
                <w:szCs w:val="26"/>
                <w:lang w:val="lv-LV"/>
              </w:rPr>
            </w:pPr>
            <w:r w:rsidRPr="006640AA">
              <w:rPr>
                <w:rFonts w:eastAsia="Times New Roman"/>
                <w:iCs/>
                <w:sz w:val="26"/>
                <w:szCs w:val="26"/>
                <w:lang w:val="lv-LV"/>
              </w:rPr>
              <w:t>MK Noteikumu projekts</w:t>
            </w:r>
            <w:r w:rsidRPr="006640AA" w:rsidDel="003D0F93">
              <w:rPr>
                <w:rFonts w:eastAsia="Times New Roman"/>
                <w:iCs/>
                <w:sz w:val="26"/>
                <w:szCs w:val="26"/>
                <w:lang w:val="lv-LV"/>
              </w:rPr>
              <w:t xml:space="preserve"> </w:t>
            </w:r>
            <w:r w:rsidR="00A658C7" w:rsidRPr="006640AA">
              <w:rPr>
                <w:rFonts w:eastAsiaTheme="minorHAnsi"/>
                <w:sz w:val="26"/>
                <w:szCs w:val="26"/>
                <w:lang w:val="lv-LV"/>
              </w:rPr>
              <w:t>sagatavots pēc Ekonomikas ministrijas iniciatīvas, lai precizētu normatīvā akta normas</w:t>
            </w:r>
            <w:r w:rsidR="008E69F8">
              <w:rPr>
                <w:rFonts w:eastAsiaTheme="minorHAnsi"/>
                <w:sz w:val="26"/>
                <w:szCs w:val="26"/>
                <w:lang w:val="lv-LV"/>
              </w:rPr>
              <w:t>.</w:t>
            </w:r>
          </w:p>
        </w:tc>
      </w:tr>
      <w:tr w:rsidR="00844176" w:rsidRPr="0073718A" w14:paraId="62EDED08" w14:textId="77777777" w:rsidTr="00C72D2B">
        <w:trPr>
          <w:trHeight w:val="465"/>
          <w:tblCellSpacing w:w="20" w:type="dxa"/>
        </w:trPr>
        <w:tc>
          <w:tcPr>
            <w:tcW w:w="418" w:type="dxa"/>
            <w:hideMark/>
          </w:tcPr>
          <w:p w14:paraId="304587A4"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2.</w:t>
            </w:r>
          </w:p>
        </w:tc>
        <w:tc>
          <w:tcPr>
            <w:tcW w:w="1883" w:type="dxa"/>
            <w:hideMark/>
          </w:tcPr>
          <w:p w14:paraId="40AD4671" w14:textId="044133EA" w:rsidR="00844176" w:rsidRPr="006640AA" w:rsidRDefault="00844176" w:rsidP="00B043DE">
            <w:pPr>
              <w:contextualSpacing/>
              <w:rPr>
                <w:rFonts w:eastAsia="Times New Roman"/>
                <w:sz w:val="26"/>
                <w:szCs w:val="26"/>
                <w:lang w:val="lv-LV" w:eastAsia="lv-LV"/>
              </w:rPr>
            </w:pPr>
            <w:r w:rsidRPr="006640AA">
              <w:rPr>
                <w:sz w:val="26"/>
                <w:szCs w:val="26"/>
                <w:lang w:val="lv-LV"/>
              </w:rPr>
              <w:t>Pašreizējā situācija un problēmas, kuru risināšanai tiesību akta projekts izstrādāts, tiesiskā regulējuma mērķis un būtība</w:t>
            </w:r>
          </w:p>
        </w:tc>
        <w:tc>
          <w:tcPr>
            <w:tcW w:w="7047" w:type="dxa"/>
          </w:tcPr>
          <w:p w14:paraId="7EBA2E2B" w14:textId="087DCC07" w:rsidR="0051173D" w:rsidRPr="002A7C45" w:rsidRDefault="0051173D" w:rsidP="004259BC">
            <w:pPr>
              <w:spacing w:before="120"/>
              <w:jc w:val="both"/>
              <w:rPr>
                <w:rFonts w:eastAsia="Times New Roman"/>
                <w:iCs/>
                <w:sz w:val="26"/>
                <w:szCs w:val="26"/>
                <w:lang w:val="lv-LV" w:eastAsia="lv-LV"/>
              </w:rPr>
            </w:pPr>
            <w:r w:rsidRPr="002A7C45">
              <w:rPr>
                <w:sz w:val="26"/>
                <w:szCs w:val="26"/>
                <w:lang w:val="lv-LV"/>
              </w:rPr>
              <w:t>Ministru kabineta 2020.</w:t>
            </w:r>
            <w:r w:rsidR="00A239BC">
              <w:rPr>
                <w:sz w:val="26"/>
                <w:szCs w:val="26"/>
                <w:lang w:val="lv-LV"/>
              </w:rPr>
              <w:t xml:space="preserve"> </w:t>
            </w:r>
            <w:r w:rsidRPr="002A7C45">
              <w:rPr>
                <w:sz w:val="26"/>
                <w:szCs w:val="26"/>
                <w:lang w:val="lv-LV"/>
              </w:rPr>
              <w:t xml:space="preserve">gada </w:t>
            </w:r>
            <w:r w:rsidR="008E69F8" w:rsidRPr="002A7C45">
              <w:rPr>
                <w:sz w:val="26"/>
                <w:szCs w:val="26"/>
                <w:lang w:val="lv-LV"/>
              </w:rPr>
              <w:t>17</w:t>
            </w:r>
            <w:r w:rsidRPr="002A7C45">
              <w:rPr>
                <w:sz w:val="26"/>
                <w:szCs w:val="26"/>
                <w:lang w:val="lv-LV"/>
              </w:rPr>
              <w:t>.</w:t>
            </w:r>
            <w:r w:rsidR="00A239BC">
              <w:rPr>
                <w:sz w:val="26"/>
                <w:szCs w:val="26"/>
                <w:lang w:val="lv-LV"/>
              </w:rPr>
              <w:t xml:space="preserve"> </w:t>
            </w:r>
            <w:r w:rsidR="008E69F8" w:rsidRPr="002A7C45">
              <w:rPr>
                <w:sz w:val="26"/>
                <w:szCs w:val="26"/>
                <w:lang w:val="lv-LV"/>
              </w:rPr>
              <w:t>decembra</w:t>
            </w:r>
            <w:r w:rsidRPr="002A7C45">
              <w:rPr>
                <w:sz w:val="26"/>
                <w:szCs w:val="26"/>
                <w:lang w:val="lv-LV"/>
              </w:rPr>
              <w:t xml:space="preserve"> noteikumi Nr.</w:t>
            </w:r>
            <w:r w:rsidR="00A239BC">
              <w:rPr>
                <w:sz w:val="26"/>
                <w:szCs w:val="26"/>
                <w:lang w:val="lv-LV"/>
              </w:rPr>
              <w:t xml:space="preserve"> </w:t>
            </w:r>
            <w:r w:rsidR="008E69F8" w:rsidRPr="002A7C45">
              <w:rPr>
                <w:sz w:val="26"/>
                <w:szCs w:val="26"/>
                <w:lang w:val="lv-LV"/>
              </w:rPr>
              <w:t>805</w:t>
            </w:r>
            <w:r w:rsidRPr="002A7C45">
              <w:rPr>
                <w:sz w:val="26"/>
                <w:szCs w:val="26"/>
                <w:lang w:val="lv-LV"/>
              </w:rPr>
              <w:t xml:space="preserve"> “Noteikumi par </w:t>
            </w:r>
            <w:r w:rsidR="008E69F8" w:rsidRPr="002A7C45">
              <w:rPr>
                <w:sz w:val="26"/>
                <w:szCs w:val="26"/>
                <w:lang w:val="lv-LV"/>
              </w:rPr>
              <w:t>nekustamā īpašuma darījumu starpnieka kvalifikācijas celšanas pasākumiem</w:t>
            </w:r>
            <w:r w:rsidRPr="002A7C45">
              <w:rPr>
                <w:sz w:val="26"/>
                <w:szCs w:val="26"/>
                <w:lang w:val="lv-LV"/>
              </w:rPr>
              <w:t>”</w:t>
            </w:r>
            <w:r w:rsidR="004259BC" w:rsidRPr="002A7C45">
              <w:rPr>
                <w:sz w:val="26"/>
                <w:szCs w:val="26"/>
                <w:lang w:val="lv-LV"/>
              </w:rPr>
              <w:t xml:space="preserve"> (turpmāk – MK Noteikumi Nr.</w:t>
            </w:r>
            <w:r w:rsidR="00F47123" w:rsidRPr="002A7C45">
              <w:rPr>
                <w:sz w:val="26"/>
                <w:szCs w:val="26"/>
                <w:lang w:val="lv-LV"/>
              </w:rPr>
              <w:t>805</w:t>
            </w:r>
            <w:r w:rsidR="004259BC" w:rsidRPr="002A7C45">
              <w:rPr>
                <w:sz w:val="26"/>
                <w:szCs w:val="26"/>
                <w:lang w:val="lv-LV"/>
              </w:rPr>
              <w:t>)</w:t>
            </w:r>
            <w:r w:rsidRPr="002A7C45">
              <w:rPr>
                <w:sz w:val="26"/>
                <w:szCs w:val="26"/>
                <w:lang w:val="lv-LV"/>
              </w:rPr>
              <w:t xml:space="preserve"> tika </w:t>
            </w:r>
            <w:r w:rsidR="00300615" w:rsidRPr="002A7C45">
              <w:rPr>
                <w:rFonts w:eastAsia="Times New Roman"/>
                <w:iCs/>
                <w:sz w:val="26"/>
                <w:szCs w:val="26"/>
                <w:lang w:val="lv-LV" w:eastAsia="lv-LV"/>
              </w:rPr>
              <w:t>izstrādāt</w:t>
            </w:r>
            <w:r w:rsidR="006F04B5" w:rsidRPr="002A7C45">
              <w:rPr>
                <w:rFonts w:eastAsia="Times New Roman"/>
                <w:iCs/>
                <w:sz w:val="26"/>
                <w:szCs w:val="26"/>
                <w:lang w:val="lv-LV" w:eastAsia="lv-LV"/>
              </w:rPr>
              <w:t>i</w:t>
            </w:r>
            <w:r w:rsidR="00300615" w:rsidRPr="002A7C45">
              <w:rPr>
                <w:rFonts w:eastAsia="Times New Roman"/>
                <w:iCs/>
                <w:sz w:val="26"/>
                <w:szCs w:val="26"/>
                <w:lang w:val="lv-LV" w:eastAsia="lv-LV"/>
              </w:rPr>
              <w:t xml:space="preserve">, pamatojoties uz </w:t>
            </w:r>
            <w:r w:rsidR="00300615" w:rsidRPr="002A7C45">
              <w:rPr>
                <w:sz w:val="26"/>
                <w:szCs w:val="26"/>
                <w:lang w:val="lv-LV"/>
              </w:rPr>
              <w:t>Nekustamā īpašuma darījumu starpnieku darbības likuma</w:t>
            </w:r>
            <w:r w:rsidR="006F04B5" w:rsidRPr="002A7C45">
              <w:rPr>
                <w:sz w:val="26"/>
                <w:szCs w:val="26"/>
                <w:lang w:val="lv-LV"/>
              </w:rPr>
              <w:t xml:space="preserve"> (turpmāk – Likums)</w:t>
            </w:r>
            <w:r w:rsidR="00300615" w:rsidRPr="002A7C45">
              <w:rPr>
                <w:sz w:val="26"/>
                <w:szCs w:val="26"/>
                <w:lang w:val="lv-LV"/>
              </w:rPr>
              <w:t xml:space="preserve"> </w:t>
            </w:r>
            <w:r w:rsidR="00300615" w:rsidRPr="002A7C45">
              <w:rPr>
                <w:rFonts w:eastAsia="Times New Roman"/>
                <w:iCs/>
                <w:sz w:val="26"/>
                <w:szCs w:val="26"/>
                <w:lang w:val="lv-LV" w:eastAsia="lv-LV"/>
              </w:rPr>
              <w:t>13. pantu</w:t>
            </w:r>
            <w:r w:rsidR="00D84436">
              <w:rPr>
                <w:rFonts w:eastAsia="Times New Roman"/>
                <w:iCs/>
                <w:sz w:val="26"/>
                <w:szCs w:val="26"/>
                <w:lang w:val="lv-LV" w:eastAsia="lv-LV"/>
              </w:rPr>
              <w:t>.</w:t>
            </w:r>
          </w:p>
          <w:p w14:paraId="76BDA6EB" w14:textId="629D0D36" w:rsidR="00763E37" w:rsidRPr="002A7C45" w:rsidRDefault="00763E37" w:rsidP="00D83021">
            <w:pPr>
              <w:ind w:firstLine="533"/>
              <w:jc w:val="both"/>
              <w:rPr>
                <w:rFonts w:eastAsia="Times New Roman"/>
                <w:iCs/>
                <w:sz w:val="26"/>
                <w:szCs w:val="26"/>
                <w:lang w:val="lv-LV" w:eastAsia="lv-LV"/>
              </w:rPr>
            </w:pPr>
            <w:r w:rsidRPr="002A7C45">
              <w:rPr>
                <w:rFonts w:eastAsia="Times New Roman"/>
                <w:iCs/>
                <w:sz w:val="26"/>
                <w:szCs w:val="26"/>
                <w:lang w:val="lv-LV" w:eastAsia="lv-LV"/>
              </w:rPr>
              <w:t>2020.</w:t>
            </w:r>
            <w:r w:rsidR="00D84436">
              <w:rPr>
                <w:rFonts w:eastAsia="Times New Roman"/>
                <w:iCs/>
                <w:sz w:val="26"/>
                <w:szCs w:val="26"/>
                <w:lang w:val="lv-LV" w:eastAsia="lv-LV"/>
              </w:rPr>
              <w:t xml:space="preserve"> </w:t>
            </w:r>
            <w:r w:rsidRPr="002A7C45">
              <w:rPr>
                <w:rFonts w:eastAsia="Times New Roman"/>
                <w:iCs/>
                <w:sz w:val="26"/>
                <w:szCs w:val="26"/>
                <w:lang w:val="lv-LV" w:eastAsia="lv-LV"/>
              </w:rPr>
              <w:t>gada 1.</w:t>
            </w:r>
            <w:r w:rsidR="00D84436">
              <w:rPr>
                <w:rFonts w:eastAsia="Times New Roman"/>
                <w:iCs/>
                <w:sz w:val="26"/>
                <w:szCs w:val="26"/>
                <w:lang w:val="lv-LV" w:eastAsia="lv-LV"/>
              </w:rPr>
              <w:t xml:space="preserve"> </w:t>
            </w:r>
            <w:r w:rsidRPr="002A7C45">
              <w:rPr>
                <w:rFonts w:eastAsia="Times New Roman"/>
                <w:iCs/>
                <w:sz w:val="26"/>
                <w:szCs w:val="26"/>
                <w:lang w:val="lv-LV" w:eastAsia="lv-LV"/>
              </w:rPr>
              <w:t xml:space="preserve">augustā stājās spēkā </w:t>
            </w:r>
            <w:r w:rsidR="006F04B5" w:rsidRPr="002A7C45">
              <w:rPr>
                <w:sz w:val="26"/>
                <w:szCs w:val="26"/>
                <w:lang w:val="lv-LV"/>
              </w:rPr>
              <w:t>L</w:t>
            </w:r>
            <w:r w:rsidRPr="002A7C45">
              <w:rPr>
                <w:sz w:val="26"/>
                <w:szCs w:val="26"/>
                <w:lang w:val="lv-LV"/>
              </w:rPr>
              <w:t>ikums</w:t>
            </w:r>
            <w:r w:rsidRPr="002A7C45">
              <w:rPr>
                <w:rFonts w:eastAsia="Times New Roman"/>
                <w:iCs/>
                <w:sz w:val="26"/>
                <w:szCs w:val="26"/>
                <w:lang w:val="lv-LV" w:eastAsia="lv-LV"/>
              </w:rPr>
              <w:t xml:space="preserve">, kas paredz regulēt nekustamā īpašuma darījumu starpnieku (turpmāk – starpnieki) profesionālās darbības tiesiskos pamatus un nodrošināt šo personu profesionālās darbības uzraudzību, lai novērstu noziedzīgi iegūtu līdzekļu legalizāciju, terorisma un </w:t>
            </w:r>
            <w:proofErr w:type="spellStart"/>
            <w:r w:rsidRPr="002A7C45">
              <w:rPr>
                <w:rFonts w:eastAsia="Times New Roman"/>
                <w:iCs/>
                <w:sz w:val="26"/>
                <w:szCs w:val="26"/>
                <w:lang w:val="lv-LV" w:eastAsia="lv-LV"/>
              </w:rPr>
              <w:t>proliferācijas</w:t>
            </w:r>
            <w:proofErr w:type="spellEnd"/>
            <w:r w:rsidRPr="002A7C45">
              <w:rPr>
                <w:rFonts w:eastAsia="Times New Roman"/>
                <w:iCs/>
                <w:sz w:val="26"/>
                <w:szCs w:val="26"/>
                <w:lang w:val="lv-LV" w:eastAsia="lv-LV"/>
              </w:rPr>
              <w:t xml:space="preserve"> finansēšanu un sekmētu stabilu, drošu un uzticamu starpniecības pakalpojumu sniegšanu. Saskaņā ar  Likuma 13. pantu starpnieks piedalās kvalifikācijas celšanas pasākumos. </w:t>
            </w:r>
            <w:r w:rsidR="00C856AC" w:rsidRPr="002A7C45">
              <w:rPr>
                <w:rFonts w:eastAsia="Times New Roman"/>
                <w:iCs/>
                <w:sz w:val="26"/>
                <w:szCs w:val="26"/>
                <w:lang w:val="lv-LV" w:eastAsia="lv-LV"/>
              </w:rPr>
              <w:t>S</w:t>
            </w:r>
            <w:r w:rsidRPr="002A7C45">
              <w:rPr>
                <w:rFonts w:eastAsia="Times New Roman"/>
                <w:iCs/>
                <w:sz w:val="26"/>
                <w:szCs w:val="26"/>
                <w:lang w:val="lv-LV" w:eastAsia="lv-LV"/>
              </w:rPr>
              <w:t>tarpniek</w:t>
            </w:r>
            <w:r w:rsidR="008A44F0">
              <w:rPr>
                <w:rFonts w:eastAsia="Times New Roman"/>
                <w:iCs/>
                <w:sz w:val="26"/>
                <w:szCs w:val="26"/>
                <w:lang w:val="lv-LV" w:eastAsia="lv-LV"/>
              </w:rPr>
              <w:t>a</w:t>
            </w:r>
            <w:r w:rsidRPr="002A7C45">
              <w:rPr>
                <w:rFonts w:eastAsia="Times New Roman"/>
                <w:iCs/>
                <w:sz w:val="26"/>
                <w:szCs w:val="26"/>
                <w:lang w:val="lv-LV" w:eastAsia="lv-LV"/>
              </w:rPr>
              <w:t xml:space="preserve"> minimāl</w:t>
            </w:r>
            <w:r w:rsidR="00C856AC" w:rsidRPr="002A7C45">
              <w:rPr>
                <w:rFonts w:eastAsia="Times New Roman"/>
                <w:iCs/>
                <w:sz w:val="26"/>
                <w:szCs w:val="26"/>
                <w:lang w:val="lv-LV" w:eastAsia="lv-LV"/>
              </w:rPr>
              <w:t>ais</w:t>
            </w:r>
            <w:r w:rsidRPr="002A7C45">
              <w:rPr>
                <w:rFonts w:eastAsia="Times New Roman"/>
                <w:iCs/>
                <w:sz w:val="26"/>
                <w:szCs w:val="26"/>
                <w:lang w:val="lv-LV" w:eastAsia="lv-LV"/>
              </w:rPr>
              <w:t xml:space="preserve"> kvalifikācijas celšanas pasākumu apjom</w:t>
            </w:r>
            <w:r w:rsidR="00C856AC" w:rsidRPr="002A7C45">
              <w:rPr>
                <w:rFonts w:eastAsia="Times New Roman"/>
                <w:iCs/>
                <w:sz w:val="26"/>
                <w:szCs w:val="26"/>
                <w:lang w:val="lv-LV" w:eastAsia="lv-LV"/>
              </w:rPr>
              <w:t>s</w:t>
            </w:r>
            <w:r w:rsidRPr="002A7C45">
              <w:rPr>
                <w:rFonts w:eastAsia="Times New Roman"/>
                <w:iCs/>
                <w:sz w:val="26"/>
                <w:szCs w:val="26"/>
                <w:lang w:val="lv-LV" w:eastAsia="lv-LV"/>
              </w:rPr>
              <w:t xml:space="preserve"> un satur</w:t>
            </w:r>
            <w:r w:rsidR="00C856AC" w:rsidRPr="002A7C45">
              <w:rPr>
                <w:rFonts w:eastAsia="Times New Roman"/>
                <w:iCs/>
                <w:sz w:val="26"/>
                <w:szCs w:val="26"/>
                <w:lang w:val="lv-LV" w:eastAsia="lv-LV"/>
              </w:rPr>
              <w:t xml:space="preserve">s ir noteikts </w:t>
            </w:r>
            <w:r w:rsidR="00C856AC" w:rsidRPr="002A7C45">
              <w:rPr>
                <w:sz w:val="26"/>
                <w:szCs w:val="26"/>
                <w:lang w:val="lv-LV"/>
              </w:rPr>
              <w:t xml:space="preserve"> MK Noteikumos Nr.805</w:t>
            </w:r>
            <w:r w:rsidRPr="002A7C45">
              <w:rPr>
                <w:rFonts w:eastAsia="Times New Roman"/>
                <w:iCs/>
                <w:sz w:val="26"/>
                <w:szCs w:val="26"/>
                <w:lang w:val="lv-LV" w:eastAsia="lv-LV"/>
              </w:rPr>
              <w:t xml:space="preserve">. </w:t>
            </w:r>
          </w:p>
          <w:p w14:paraId="4900C70F" w14:textId="15AB17F6" w:rsidR="002A7C45" w:rsidRDefault="002A7C45" w:rsidP="00373808">
            <w:pPr>
              <w:ind w:firstLine="533"/>
              <w:jc w:val="both"/>
              <w:rPr>
                <w:rFonts w:eastAsia="Times New Roman"/>
                <w:iCs/>
                <w:sz w:val="26"/>
                <w:szCs w:val="26"/>
                <w:lang w:val="lv-LV" w:eastAsia="lv-LV"/>
              </w:rPr>
            </w:pPr>
            <w:r w:rsidRPr="002A7C45">
              <w:rPr>
                <w:rFonts w:eastAsia="Times New Roman"/>
                <w:iCs/>
                <w:sz w:val="26"/>
                <w:szCs w:val="26"/>
                <w:lang w:val="lv-LV" w:eastAsia="lv-LV"/>
              </w:rPr>
              <w:t xml:space="preserve">Saskaņā ar </w:t>
            </w:r>
            <w:r w:rsidR="00D84436">
              <w:rPr>
                <w:rFonts w:eastAsia="Times New Roman"/>
                <w:iCs/>
                <w:sz w:val="26"/>
                <w:szCs w:val="26"/>
                <w:lang w:val="lv-LV" w:eastAsia="lv-LV"/>
              </w:rPr>
              <w:t>MK N</w:t>
            </w:r>
            <w:r w:rsidRPr="002A7C45">
              <w:rPr>
                <w:rFonts w:eastAsia="Times New Roman"/>
                <w:iCs/>
                <w:sz w:val="26"/>
                <w:szCs w:val="26"/>
                <w:lang w:val="lv-LV" w:eastAsia="lv-LV"/>
              </w:rPr>
              <w:t xml:space="preserve">oteikumu projektu starpnieks ir atbildīgs par savu kvalifikācijas celšanu. Starpnieks viena kalendārā gada laikā nodrošina ne mazāk kā 40 akadēmiskās stundas kvalifikācijas celšanai (turpmāk – kvalifikācijas stundas) </w:t>
            </w:r>
            <w:r w:rsidRPr="002A7C45">
              <w:rPr>
                <w:sz w:val="26"/>
                <w:szCs w:val="26"/>
                <w:shd w:val="clear" w:color="auto" w:fill="FFFFFF"/>
                <w:lang w:val="lv-LV"/>
              </w:rPr>
              <w:t>apgūšanu</w:t>
            </w:r>
            <w:r w:rsidRPr="002A7C45">
              <w:rPr>
                <w:rFonts w:eastAsia="Times New Roman"/>
                <w:iCs/>
                <w:sz w:val="26"/>
                <w:szCs w:val="26"/>
                <w:lang w:val="lv-LV" w:eastAsia="lv-LV"/>
              </w:rPr>
              <w:t xml:space="preserve"> pie apmācību piedāvātāja, kas ir akreditēta izglītības iestāde, valsts pārvaldes iestāde, juridiska persona, personu apvienība vai nodibinājums, kura pamatfunkcijās </w:t>
            </w:r>
            <w:r>
              <w:rPr>
                <w:rFonts w:eastAsia="Times New Roman"/>
                <w:iCs/>
                <w:sz w:val="26"/>
                <w:szCs w:val="26"/>
                <w:lang w:val="lv-LV" w:eastAsia="lv-LV"/>
              </w:rPr>
              <w:t xml:space="preserve"> vai darbības veidā </w:t>
            </w:r>
            <w:r w:rsidRPr="002A7C45">
              <w:rPr>
                <w:rFonts w:eastAsia="Times New Roman"/>
                <w:iCs/>
                <w:sz w:val="26"/>
                <w:szCs w:val="26"/>
                <w:lang w:val="lv-LV" w:eastAsia="lv-LV"/>
              </w:rPr>
              <w:t xml:space="preserve">ietilpst šādu kvalifikācijas celšanas pasākumu organizēšana un kuriem ir atbilstoša </w:t>
            </w:r>
            <w:r w:rsidRPr="002A7C45">
              <w:rPr>
                <w:sz w:val="26"/>
                <w:szCs w:val="26"/>
                <w:shd w:val="clear" w:color="auto" w:fill="FFFFFF"/>
                <w:lang w:val="lv-LV"/>
              </w:rPr>
              <w:t xml:space="preserve">pieredze un kvalifikācija šādu apmācību organizēšanā, kā arī kuri spēj nodrošināt kvalificētus pasniedzējus </w:t>
            </w:r>
            <w:r w:rsidR="00AC2A15">
              <w:rPr>
                <w:sz w:val="26"/>
                <w:szCs w:val="26"/>
                <w:shd w:val="clear" w:color="auto" w:fill="FFFFFF"/>
                <w:lang w:val="lv-LV"/>
              </w:rPr>
              <w:t xml:space="preserve">MK </w:t>
            </w:r>
            <w:r w:rsidRPr="002A7C45">
              <w:rPr>
                <w:sz w:val="26"/>
                <w:szCs w:val="26"/>
                <w:shd w:val="clear" w:color="auto" w:fill="FFFFFF"/>
                <w:lang w:val="lv-LV"/>
              </w:rPr>
              <w:t>Noteikum</w:t>
            </w:r>
            <w:r w:rsidR="00AC2A15">
              <w:rPr>
                <w:sz w:val="26"/>
                <w:szCs w:val="26"/>
                <w:shd w:val="clear" w:color="auto" w:fill="FFFFFF"/>
                <w:lang w:val="lv-LV"/>
              </w:rPr>
              <w:t>os</w:t>
            </w:r>
            <w:r w:rsidRPr="002A7C45">
              <w:rPr>
                <w:sz w:val="26"/>
                <w:szCs w:val="26"/>
                <w:shd w:val="clear" w:color="auto" w:fill="FFFFFF"/>
                <w:lang w:val="lv-LV"/>
              </w:rPr>
              <w:t xml:space="preserve"> </w:t>
            </w:r>
            <w:r w:rsidR="00AC2A15">
              <w:rPr>
                <w:sz w:val="26"/>
                <w:szCs w:val="26"/>
                <w:shd w:val="clear" w:color="auto" w:fill="FFFFFF"/>
                <w:lang w:val="lv-LV"/>
              </w:rPr>
              <w:t xml:space="preserve">Nr.805 </w:t>
            </w:r>
            <w:r w:rsidRPr="002A7C45">
              <w:rPr>
                <w:sz w:val="26"/>
                <w:szCs w:val="26"/>
                <w:shd w:val="clear" w:color="auto" w:fill="FFFFFF"/>
                <w:lang w:val="lv-LV"/>
              </w:rPr>
              <w:t xml:space="preserve">noteikto tēmu apguvei. </w:t>
            </w:r>
            <w:r w:rsidRPr="002A7C45">
              <w:rPr>
                <w:rFonts w:eastAsia="Times New Roman"/>
                <w:iCs/>
                <w:sz w:val="26"/>
                <w:szCs w:val="26"/>
                <w:lang w:val="lv-LV" w:eastAsia="lv-LV"/>
              </w:rPr>
              <w:t>Starpnieks uzskaita savas kvalifikācijas stundas un nodrošina to apliecinošās informācijas uzglabāšanu.</w:t>
            </w:r>
          </w:p>
          <w:p w14:paraId="7D93EF47" w14:textId="5B1F7BFB" w:rsidR="002A7C45" w:rsidRDefault="002A7C45" w:rsidP="002A7C45">
            <w:pPr>
              <w:ind w:firstLine="533"/>
              <w:jc w:val="both"/>
              <w:rPr>
                <w:rFonts w:eastAsia="Times New Roman"/>
                <w:iCs/>
                <w:sz w:val="26"/>
                <w:szCs w:val="26"/>
                <w:lang w:val="lv-LV" w:eastAsia="lv-LV"/>
              </w:rPr>
            </w:pPr>
            <w:r w:rsidRPr="00477B23">
              <w:rPr>
                <w:rFonts w:eastAsia="Times New Roman"/>
                <w:iCs/>
                <w:sz w:val="26"/>
                <w:szCs w:val="26"/>
                <w:lang w:val="lv-LV" w:eastAsia="lv-LV"/>
              </w:rPr>
              <w:lastRenderedPageBreak/>
              <w:t>Starpnieks vai starpnieka pilnvarotā persona Likumā noteiktā termiņā sniedz informāciju par kvalifikācijas celšanas pasākumiem.</w:t>
            </w:r>
          </w:p>
          <w:p w14:paraId="0ACF8C1F" w14:textId="73043248" w:rsidR="00D0113D" w:rsidRDefault="00D0113D" w:rsidP="00D0113D">
            <w:pPr>
              <w:spacing w:before="120"/>
              <w:jc w:val="both"/>
              <w:rPr>
                <w:rFonts w:eastAsia="Times New Roman"/>
                <w:iCs/>
                <w:sz w:val="26"/>
                <w:szCs w:val="26"/>
                <w:lang w:val="lv-LV"/>
              </w:rPr>
            </w:pPr>
            <w:r>
              <w:rPr>
                <w:rFonts w:eastAsia="Times New Roman"/>
                <w:iCs/>
                <w:sz w:val="26"/>
                <w:szCs w:val="26"/>
                <w:lang w:val="lv-LV"/>
              </w:rPr>
              <w:t xml:space="preserve">MK Noteikumi Nr.805 paredz, ka </w:t>
            </w:r>
            <w:r w:rsidRPr="004F729B">
              <w:rPr>
                <w:rFonts w:eastAsia="Times New Roman"/>
                <w:iCs/>
                <w:sz w:val="26"/>
                <w:szCs w:val="26"/>
                <w:lang w:val="lv-LV"/>
              </w:rPr>
              <w:t>apmācību piedāvātāj</w:t>
            </w:r>
            <w:r>
              <w:rPr>
                <w:rFonts w:eastAsia="Times New Roman"/>
                <w:iCs/>
                <w:sz w:val="26"/>
                <w:szCs w:val="26"/>
                <w:lang w:val="lv-LV"/>
              </w:rPr>
              <w:t xml:space="preserve">s var būt tikai </w:t>
            </w:r>
            <w:r w:rsidRPr="004F729B">
              <w:rPr>
                <w:rFonts w:eastAsia="Times New Roman"/>
                <w:iCs/>
                <w:sz w:val="26"/>
                <w:szCs w:val="26"/>
                <w:lang w:val="lv-LV"/>
              </w:rPr>
              <w:t>akreditēta izglītības iestāde, valsts pārvaldes iestāde, juridiska persona, personu apvienība vai nodibinājums, kura pamatfunkcijās ietilpst attiecīgo kvalifikācijas celšanas pasākumu organizēšana</w:t>
            </w:r>
            <w:r>
              <w:rPr>
                <w:rFonts w:eastAsia="Times New Roman"/>
                <w:iCs/>
                <w:sz w:val="26"/>
                <w:szCs w:val="26"/>
                <w:lang w:val="lv-LV"/>
              </w:rPr>
              <w:t>. Ekonomikas ministrija ir saņēmusi indikācijas par to, ka MK noteikumu Nr.805 5.</w:t>
            </w:r>
            <w:r w:rsidR="00D84436">
              <w:rPr>
                <w:rFonts w:eastAsia="Times New Roman"/>
                <w:iCs/>
                <w:sz w:val="26"/>
                <w:szCs w:val="26"/>
                <w:lang w:val="lv-LV"/>
              </w:rPr>
              <w:t xml:space="preserve"> </w:t>
            </w:r>
            <w:r>
              <w:rPr>
                <w:rFonts w:eastAsia="Times New Roman"/>
                <w:iCs/>
                <w:sz w:val="26"/>
                <w:szCs w:val="26"/>
                <w:lang w:val="lv-LV"/>
              </w:rPr>
              <w:t xml:space="preserve">punktā noteiktās tēmās spēj kvalitatīvas apmācības nodrošināt arī institūcijas, kuru </w:t>
            </w:r>
            <w:r w:rsidRPr="004F729B">
              <w:rPr>
                <w:rFonts w:eastAsia="Times New Roman"/>
                <w:iCs/>
                <w:sz w:val="26"/>
                <w:szCs w:val="26"/>
                <w:lang w:val="lv-LV"/>
              </w:rPr>
              <w:t xml:space="preserve">pamatfunkcijās </w:t>
            </w:r>
            <w:r>
              <w:rPr>
                <w:rFonts w:eastAsia="Times New Roman"/>
                <w:iCs/>
                <w:sz w:val="26"/>
                <w:szCs w:val="26"/>
                <w:lang w:val="lv-LV"/>
              </w:rPr>
              <w:t>ne</w:t>
            </w:r>
            <w:r w:rsidRPr="004F729B">
              <w:rPr>
                <w:rFonts w:eastAsia="Times New Roman"/>
                <w:iCs/>
                <w:sz w:val="26"/>
                <w:szCs w:val="26"/>
                <w:lang w:val="lv-LV"/>
              </w:rPr>
              <w:t>ietilpst attiecīgo kvalifikācijas celšanas pasākumu organizēšana</w:t>
            </w:r>
            <w:r>
              <w:rPr>
                <w:rFonts w:eastAsia="Times New Roman"/>
                <w:iCs/>
                <w:sz w:val="26"/>
                <w:szCs w:val="26"/>
                <w:lang w:val="lv-LV"/>
              </w:rPr>
              <w:t>, tādējādi MK Noteikumu Nr.805 regulējums ierobežo šo institūciju tiesības. Piemēram, juridiskas personas pamatfunkcijā ietilpst  aizsargāt savu biedru intereses nekustamo īpašuma tirgū, attīstīt nekustamā īpašuma tirgu, bet pamatfunkcijās neietilpst apmācību sniegšana.</w:t>
            </w:r>
          </w:p>
          <w:p w14:paraId="61E434EE" w14:textId="06639EEE" w:rsidR="00D0113D" w:rsidRDefault="00D0113D" w:rsidP="00D0113D">
            <w:pPr>
              <w:spacing w:before="120"/>
              <w:jc w:val="both"/>
              <w:rPr>
                <w:rFonts w:eastAsia="Times New Roman"/>
                <w:iCs/>
                <w:sz w:val="26"/>
                <w:szCs w:val="26"/>
                <w:lang w:val="lv-LV"/>
              </w:rPr>
            </w:pPr>
            <w:r>
              <w:rPr>
                <w:rFonts w:eastAsia="Times New Roman"/>
                <w:iCs/>
                <w:sz w:val="26"/>
                <w:szCs w:val="26"/>
                <w:lang w:val="lv-LV"/>
              </w:rPr>
              <w:t>MK Noteikumu projekts paredz precizēt MK Noteikumu Nr.805 2.</w:t>
            </w:r>
            <w:r w:rsidR="00D84436">
              <w:rPr>
                <w:rFonts w:eastAsia="Times New Roman"/>
                <w:iCs/>
                <w:sz w:val="26"/>
                <w:szCs w:val="26"/>
                <w:lang w:val="lv-LV"/>
              </w:rPr>
              <w:t xml:space="preserve"> </w:t>
            </w:r>
            <w:r>
              <w:rPr>
                <w:rFonts w:eastAsia="Times New Roman"/>
                <w:iCs/>
                <w:sz w:val="26"/>
                <w:szCs w:val="26"/>
                <w:lang w:val="lv-LV"/>
              </w:rPr>
              <w:t>punktu, nosakot, ka apmācību piedāvātājs var būt arī privātpersona, kuras darbības veids ir saistīts ar kvalifikācijas celšanas pasākumu organizēšanu.</w:t>
            </w:r>
          </w:p>
          <w:p w14:paraId="3F075A20" w14:textId="77777777" w:rsidR="00D0113D" w:rsidRDefault="00D0113D" w:rsidP="00D0113D">
            <w:pPr>
              <w:spacing w:before="120"/>
              <w:jc w:val="both"/>
              <w:rPr>
                <w:rFonts w:eastAsia="Times New Roman"/>
                <w:iCs/>
                <w:sz w:val="26"/>
                <w:szCs w:val="26"/>
                <w:lang w:val="lv-LV"/>
              </w:rPr>
            </w:pPr>
          </w:p>
          <w:p w14:paraId="4AEF3ADC" w14:textId="77777777" w:rsidR="001D6554" w:rsidRDefault="001D6554" w:rsidP="001D6554">
            <w:pPr>
              <w:spacing w:before="120"/>
              <w:jc w:val="both"/>
              <w:rPr>
                <w:rFonts w:eastAsia="Times New Roman"/>
                <w:iCs/>
                <w:sz w:val="26"/>
                <w:szCs w:val="26"/>
                <w:lang w:val="lv-LV" w:eastAsia="lv-LV"/>
              </w:rPr>
            </w:pPr>
            <w:r w:rsidRPr="00BB419B">
              <w:rPr>
                <w:rFonts w:eastAsia="Times New Roman"/>
                <w:iCs/>
                <w:sz w:val="26"/>
                <w:szCs w:val="26"/>
                <w:lang w:val="lv-LV"/>
              </w:rPr>
              <w:t xml:space="preserve">Ekonomikas ministrija ir saņēmusi </w:t>
            </w:r>
            <w:r w:rsidRPr="00BB419B">
              <w:rPr>
                <w:rFonts w:eastAsia="Times New Roman"/>
                <w:iCs/>
                <w:sz w:val="26"/>
                <w:szCs w:val="26"/>
                <w:lang w:val="lv-LV" w:eastAsia="lv-LV"/>
              </w:rPr>
              <w:t xml:space="preserve">starpnieku jautājumus </w:t>
            </w:r>
            <w:r w:rsidRPr="00BB419B">
              <w:rPr>
                <w:rFonts w:eastAsia="Times New Roman"/>
                <w:iCs/>
                <w:sz w:val="26"/>
                <w:szCs w:val="26"/>
                <w:lang w:val="lv-LV"/>
              </w:rPr>
              <w:t xml:space="preserve">par </w:t>
            </w:r>
            <w:r>
              <w:rPr>
                <w:rFonts w:eastAsia="Times New Roman"/>
                <w:iCs/>
                <w:sz w:val="26"/>
                <w:szCs w:val="26"/>
                <w:lang w:val="lv-LV" w:eastAsia="lv-LV"/>
              </w:rPr>
              <w:t xml:space="preserve">MK Noteikumu Nr.805 piemērošanu attiecībā par kvalifikācijas celšanas pasākumu informācijas glabāšanu, ievērojot Likuma 12.panta pirmajā daļā noteikto pienākumu sniegt Ekonomikas ministrijai informāciju par </w:t>
            </w:r>
            <w:r w:rsidRPr="007E2F27">
              <w:rPr>
                <w:rFonts w:eastAsia="Times New Roman"/>
                <w:iCs/>
                <w:sz w:val="26"/>
                <w:szCs w:val="26"/>
                <w:lang w:val="lv-LV" w:eastAsia="lv-LV"/>
              </w:rPr>
              <w:t>apmeklētajiem kvalifikācijas celšanas pasākumiem</w:t>
            </w:r>
            <w:r w:rsidRPr="00986A4D">
              <w:rPr>
                <w:rFonts w:eastAsia="Times New Roman"/>
                <w:iCs/>
                <w:sz w:val="26"/>
                <w:szCs w:val="26"/>
                <w:lang w:val="lv-LV" w:eastAsia="lv-LV"/>
              </w:rPr>
              <w:t xml:space="preserve">. </w:t>
            </w:r>
            <w:r>
              <w:rPr>
                <w:rFonts w:eastAsia="Times New Roman"/>
                <w:iCs/>
                <w:sz w:val="26"/>
                <w:szCs w:val="26"/>
                <w:lang w:val="lv-LV" w:eastAsia="lv-LV"/>
              </w:rPr>
              <w:t xml:space="preserve">Nolūkā nodrošināt vienveidīgu praksi, MK Noteikumu projekts papildina MK Noteikumu Nr.805 3.punktu, nosakot, kāda informācija par kvalifikācijas pasākumu celšanu ir glabājama: </w:t>
            </w:r>
          </w:p>
          <w:p w14:paraId="56B1E615" w14:textId="77777777" w:rsidR="001D6554" w:rsidRPr="007E2F27"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 xml:space="preserve">- </w:t>
            </w:r>
            <w:r w:rsidRPr="007E2F27">
              <w:rPr>
                <w:rFonts w:eastAsia="Times New Roman"/>
                <w:iCs/>
                <w:sz w:val="26"/>
                <w:szCs w:val="26"/>
                <w:lang w:val="lv-LV" w:eastAsia="lv-LV"/>
              </w:rPr>
              <w:t>informācija par kvalifikācijas celšanas pasākuma apmeklētāju (starpnieku</w:t>
            </w:r>
            <w:r>
              <w:rPr>
                <w:rFonts w:eastAsia="Times New Roman"/>
                <w:iCs/>
                <w:sz w:val="26"/>
                <w:szCs w:val="26"/>
                <w:lang w:val="lv-LV" w:eastAsia="lv-LV"/>
              </w:rPr>
              <w:t xml:space="preserve"> (fizisko personu)</w:t>
            </w:r>
            <w:r w:rsidRPr="007E2F27">
              <w:rPr>
                <w:rFonts w:eastAsia="Times New Roman"/>
                <w:iCs/>
                <w:sz w:val="26"/>
                <w:szCs w:val="26"/>
                <w:lang w:val="lv-LV" w:eastAsia="lv-LV"/>
              </w:rPr>
              <w:t xml:space="preserve"> vai nekustamā īpašuma darījumu starpniecības pakalpojumu sniedzēju starpnieka</w:t>
            </w:r>
            <w:r>
              <w:rPr>
                <w:rFonts w:eastAsia="Times New Roman"/>
                <w:iCs/>
                <w:sz w:val="26"/>
                <w:szCs w:val="26"/>
                <w:lang w:val="lv-LV" w:eastAsia="lv-LV"/>
              </w:rPr>
              <w:t xml:space="preserve"> (juridiskās personas)</w:t>
            </w:r>
            <w:r w:rsidRPr="007E2F27">
              <w:rPr>
                <w:rFonts w:eastAsia="Times New Roman"/>
                <w:iCs/>
                <w:sz w:val="26"/>
                <w:szCs w:val="26"/>
                <w:lang w:val="lv-LV" w:eastAsia="lv-LV"/>
              </w:rPr>
              <w:t xml:space="preserve"> vārdā - fizisku personu);</w:t>
            </w:r>
          </w:p>
          <w:p w14:paraId="01D49D82" w14:textId="77777777" w:rsidR="001D6554" w:rsidRPr="007E2F27"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w:t>
            </w:r>
            <w:r w:rsidRPr="007E2F27">
              <w:rPr>
                <w:rFonts w:eastAsia="Times New Roman"/>
                <w:iCs/>
                <w:sz w:val="26"/>
                <w:szCs w:val="26"/>
                <w:lang w:val="lv-LV" w:eastAsia="lv-LV"/>
              </w:rPr>
              <w:t xml:space="preserve"> kvalifikācijas celšanas pasākuma norises datums un vieta;</w:t>
            </w:r>
          </w:p>
          <w:p w14:paraId="54AB2A97" w14:textId="77777777" w:rsidR="001D6554" w:rsidRPr="007E2F27"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 xml:space="preserve">- </w:t>
            </w:r>
            <w:r w:rsidRPr="007E2F27">
              <w:rPr>
                <w:rFonts w:eastAsia="Times New Roman"/>
                <w:iCs/>
                <w:sz w:val="26"/>
                <w:szCs w:val="26"/>
                <w:lang w:val="lv-LV" w:eastAsia="lv-LV"/>
              </w:rPr>
              <w:t>informācija par apmācību piedāvātāj</w:t>
            </w:r>
            <w:r>
              <w:rPr>
                <w:rFonts w:eastAsia="Times New Roman"/>
                <w:iCs/>
                <w:sz w:val="26"/>
                <w:szCs w:val="26"/>
                <w:lang w:val="lv-LV" w:eastAsia="lv-LV"/>
              </w:rPr>
              <w:t>u (nosaukums, reģistrācijas numurs)</w:t>
            </w:r>
            <w:r w:rsidRPr="007E2F27">
              <w:rPr>
                <w:rFonts w:eastAsia="Times New Roman"/>
                <w:iCs/>
                <w:sz w:val="26"/>
                <w:szCs w:val="26"/>
                <w:lang w:val="lv-LV" w:eastAsia="lv-LV"/>
              </w:rPr>
              <w:t>;</w:t>
            </w:r>
          </w:p>
          <w:p w14:paraId="458DBCB2" w14:textId="77777777" w:rsidR="001D6554" w:rsidRPr="007E2F27"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 xml:space="preserve">- </w:t>
            </w:r>
            <w:r w:rsidRPr="007E2F27">
              <w:rPr>
                <w:rFonts w:eastAsia="Times New Roman"/>
                <w:iCs/>
                <w:sz w:val="26"/>
                <w:szCs w:val="26"/>
                <w:lang w:val="lv-LV" w:eastAsia="lv-LV"/>
              </w:rPr>
              <w:t>kvalifikācijas  celšanas pasākuma tēma;</w:t>
            </w:r>
          </w:p>
          <w:p w14:paraId="698CE156" w14:textId="77777777" w:rsidR="001D6554" w:rsidRPr="007E2F27"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 xml:space="preserve">- </w:t>
            </w:r>
            <w:r w:rsidRPr="007E2F27">
              <w:rPr>
                <w:rFonts w:eastAsia="Times New Roman"/>
                <w:iCs/>
                <w:sz w:val="26"/>
                <w:szCs w:val="26"/>
                <w:lang w:val="lv-LV" w:eastAsia="lv-LV"/>
              </w:rPr>
              <w:t>informācija par kvalifikācijas  celšanas pasākuma ilgumu (kvalifikācijas stundu skaits);</w:t>
            </w:r>
          </w:p>
          <w:p w14:paraId="6F12FFC3" w14:textId="793D1329" w:rsidR="001D6554" w:rsidRDefault="001D6554" w:rsidP="001D6554">
            <w:pPr>
              <w:spacing w:before="120"/>
              <w:jc w:val="both"/>
              <w:rPr>
                <w:rFonts w:eastAsia="Times New Roman"/>
                <w:iCs/>
                <w:sz w:val="26"/>
                <w:szCs w:val="26"/>
                <w:lang w:val="lv-LV" w:eastAsia="lv-LV"/>
              </w:rPr>
            </w:pPr>
            <w:r>
              <w:rPr>
                <w:rFonts w:eastAsia="Times New Roman"/>
                <w:iCs/>
                <w:sz w:val="26"/>
                <w:szCs w:val="26"/>
                <w:lang w:val="lv-LV" w:eastAsia="lv-LV"/>
              </w:rPr>
              <w:t xml:space="preserve">- </w:t>
            </w:r>
            <w:r w:rsidRPr="007E2F27">
              <w:rPr>
                <w:rFonts w:eastAsia="Times New Roman"/>
                <w:iCs/>
                <w:sz w:val="26"/>
                <w:szCs w:val="26"/>
                <w:lang w:val="lv-LV" w:eastAsia="lv-LV"/>
              </w:rPr>
              <w:t>kvalifikācijas celšanas pasākuma apmeklējumu apliecinošā informācija (apmācību piedāvātāja izdota sertifikāta, apliecības, izziņas kopija vai cits apmeklējumu apliecinošs dokuments).”;</w:t>
            </w:r>
            <w:r w:rsidR="002A3150">
              <w:rPr>
                <w:rFonts w:eastAsia="Times New Roman"/>
                <w:iCs/>
                <w:sz w:val="26"/>
                <w:szCs w:val="26"/>
                <w:lang w:val="lv-LV" w:eastAsia="lv-LV"/>
              </w:rPr>
              <w:t xml:space="preserve"> </w:t>
            </w:r>
            <w:r>
              <w:rPr>
                <w:rFonts w:eastAsia="Times New Roman"/>
                <w:iCs/>
                <w:sz w:val="26"/>
                <w:szCs w:val="26"/>
                <w:lang w:val="lv-LV" w:eastAsia="lv-LV"/>
              </w:rPr>
              <w:t xml:space="preserve">Atbilstoši Likuma 12.panta pirmajai daļai minētā informācija ir </w:t>
            </w:r>
            <w:r>
              <w:rPr>
                <w:rFonts w:eastAsia="Times New Roman"/>
                <w:iCs/>
                <w:sz w:val="26"/>
                <w:szCs w:val="26"/>
                <w:lang w:val="lv-LV" w:eastAsia="lv-LV"/>
              </w:rPr>
              <w:lastRenderedPageBreak/>
              <w:t xml:space="preserve">glabājama līdz iesniegšanas Ekonomikas ministrijai brīdim – katra gada 31.janvārim. </w:t>
            </w:r>
          </w:p>
          <w:p w14:paraId="1AFCA2D9" w14:textId="40AE056D" w:rsidR="00B7641E" w:rsidRDefault="00701156" w:rsidP="001D6554">
            <w:pPr>
              <w:spacing w:before="120"/>
              <w:jc w:val="both"/>
              <w:rPr>
                <w:rFonts w:eastAsia="Times New Roman"/>
                <w:iCs/>
                <w:sz w:val="26"/>
                <w:szCs w:val="26"/>
                <w:lang w:val="lv-LV"/>
              </w:rPr>
            </w:pPr>
            <w:r w:rsidRPr="001D6554">
              <w:rPr>
                <w:rFonts w:eastAsia="Times New Roman"/>
                <w:iCs/>
                <w:sz w:val="26"/>
                <w:szCs w:val="26"/>
                <w:lang w:val="lv-LV" w:eastAsia="lv-LV"/>
              </w:rPr>
              <w:t>N</w:t>
            </w:r>
            <w:r w:rsidR="00AC2A15" w:rsidRPr="001D6554">
              <w:rPr>
                <w:rFonts w:eastAsia="Times New Roman"/>
                <w:iCs/>
                <w:sz w:val="26"/>
                <w:szCs w:val="26"/>
                <w:lang w:val="lv-LV" w:eastAsia="lv-LV"/>
              </w:rPr>
              <w:t>odrošinot</w:t>
            </w:r>
            <w:r w:rsidR="00AC2A15">
              <w:rPr>
                <w:rFonts w:eastAsia="Times New Roman"/>
                <w:iCs/>
                <w:sz w:val="26"/>
                <w:szCs w:val="26"/>
                <w:lang w:val="lv-LV" w:eastAsia="lv-LV"/>
              </w:rPr>
              <w:t xml:space="preserve"> praktisku starpnieku reģistrēšanu,</w:t>
            </w:r>
            <w:r>
              <w:rPr>
                <w:rFonts w:eastAsia="Times New Roman"/>
                <w:iCs/>
                <w:sz w:val="26"/>
                <w:szCs w:val="26"/>
                <w:lang w:val="lv-LV" w:eastAsia="lv-LV"/>
              </w:rPr>
              <w:t xml:space="preserve"> Ekonomikas ministrija</w:t>
            </w:r>
            <w:r w:rsidR="00AC2A15">
              <w:rPr>
                <w:rFonts w:eastAsia="Times New Roman"/>
                <w:iCs/>
                <w:sz w:val="26"/>
                <w:szCs w:val="26"/>
                <w:lang w:val="lv-LV" w:eastAsia="lv-LV"/>
              </w:rPr>
              <w:t xml:space="preserve"> ir saņēmusi vairāku esošu vai potenciālu starpnieku (juridiskās personu) jautājumus par MK Noteikumu Nr.805 piemērošanu attiecībā uz starpniekiem</w:t>
            </w:r>
            <w:r w:rsidR="00373808">
              <w:rPr>
                <w:rFonts w:eastAsia="Times New Roman"/>
                <w:iCs/>
                <w:sz w:val="26"/>
                <w:szCs w:val="26"/>
                <w:lang w:val="lv-LV" w:eastAsia="lv-LV"/>
              </w:rPr>
              <w:t xml:space="preserve"> – juridiskām personām un proti, vai juridiskās personas v</w:t>
            </w:r>
            <w:r w:rsidR="00373808" w:rsidRPr="00373808">
              <w:rPr>
                <w:rFonts w:eastAsia="Times New Roman"/>
                <w:iCs/>
                <w:sz w:val="26"/>
                <w:szCs w:val="26"/>
                <w:lang w:val="lv-LV" w:eastAsia="lv-LV"/>
              </w:rPr>
              <w:t>aldes locekli</w:t>
            </w:r>
            <w:r w:rsidR="00373808">
              <w:rPr>
                <w:rFonts w:eastAsia="Times New Roman"/>
                <w:iCs/>
                <w:sz w:val="26"/>
                <w:szCs w:val="26"/>
                <w:lang w:val="lv-LV" w:eastAsia="lv-LV"/>
              </w:rPr>
              <w:t>m</w:t>
            </w:r>
            <w:r w:rsidR="00373808" w:rsidRPr="00373808">
              <w:rPr>
                <w:rFonts w:eastAsia="Times New Roman"/>
                <w:iCs/>
                <w:sz w:val="26"/>
                <w:szCs w:val="26"/>
                <w:lang w:val="lv-LV" w:eastAsia="lv-LV"/>
              </w:rPr>
              <w:t xml:space="preserve"> vai darbiniek</w:t>
            </w:r>
            <w:r w:rsidR="00373808">
              <w:rPr>
                <w:rFonts w:eastAsia="Times New Roman"/>
                <w:iCs/>
                <w:sz w:val="26"/>
                <w:szCs w:val="26"/>
                <w:lang w:val="lv-LV" w:eastAsia="lv-LV"/>
              </w:rPr>
              <w:t>am ir pienākums apgūt MK Noteikumos Nr.805 noteikto k</w:t>
            </w:r>
            <w:r w:rsidR="00373808" w:rsidRPr="00373808">
              <w:rPr>
                <w:rFonts w:eastAsia="Times New Roman"/>
                <w:iCs/>
                <w:sz w:val="26"/>
                <w:szCs w:val="26"/>
                <w:lang w:val="lv-LV" w:eastAsia="lv-LV"/>
              </w:rPr>
              <w:t>valifikācijas celšanas pasākumu apjomu</w:t>
            </w:r>
            <w:r w:rsidR="00373808">
              <w:rPr>
                <w:rFonts w:eastAsia="Times New Roman"/>
                <w:iCs/>
                <w:sz w:val="26"/>
                <w:szCs w:val="26"/>
                <w:lang w:val="lv-LV" w:eastAsia="lv-LV"/>
              </w:rPr>
              <w:t>, un līdz ar to, par kuru personu apmeklētajiem kvalifikācijas celšanas pasākumiem starpniekam – juridiskai personai ir jāsniedz informācija Ekonomikas ministrijai atbilstoši Likuma 12.</w:t>
            </w:r>
            <w:r w:rsidR="00D84436">
              <w:rPr>
                <w:rFonts w:eastAsia="Times New Roman"/>
                <w:iCs/>
                <w:sz w:val="26"/>
                <w:szCs w:val="26"/>
                <w:lang w:val="lv-LV" w:eastAsia="lv-LV"/>
              </w:rPr>
              <w:t xml:space="preserve"> </w:t>
            </w:r>
            <w:r w:rsidR="00373808">
              <w:rPr>
                <w:rFonts w:eastAsia="Times New Roman"/>
                <w:iCs/>
                <w:sz w:val="26"/>
                <w:szCs w:val="26"/>
                <w:lang w:val="lv-LV" w:eastAsia="lv-LV"/>
              </w:rPr>
              <w:t xml:space="preserve">panta pirmajai daļai. Ņemot vērā minēto, MK Noteikumu projekts </w:t>
            </w:r>
            <w:r w:rsidR="0073718A">
              <w:rPr>
                <w:rFonts w:eastAsia="Times New Roman"/>
                <w:iCs/>
                <w:sz w:val="26"/>
                <w:szCs w:val="26"/>
                <w:lang w:val="lv-LV" w:eastAsia="lv-LV"/>
              </w:rPr>
              <w:t>papildina</w:t>
            </w:r>
            <w:r w:rsidR="00373808">
              <w:rPr>
                <w:rFonts w:eastAsia="Times New Roman"/>
                <w:iCs/>
                <w:sz w:val="26"/>
                <w:szCs w:val="26"/>
                <w:lang w:val="lv-LV" w:eastAsia="lv-LV"/>
              </w:rPr>
              <w:t xml:space="preserve"> MK Noteikumu Nr.805 </w:t>
            </w:r>
            <w:r w:rsidR="0073718A">
              <w:rPr>
                <w:rFonts w:eastAsia="Times New Roman"/>
                <w:iCs/>
                <w:sz w:val="26"/>
                <w:szCs w:val="26"/>
                <w:lang w:val="lv-LV" w:eastAsia="lv-LV"/>
              </w:rPr>
              <w:t>ar 6</w:t>
            </w:r>
            <w:r w:rsidR="00373808">
              <w:rPr>
                <w:rFonts w:eastAsia="Times New Roman"/>
                <w:iCs/>
                <w:sz w:val="26"/>
                <w:szCs w:val="26"/>
                <w:lang w:val="lv-LV" w:eastAsia="lv-LV"/>
              </w:rPr>
              <w:t>.</w:t>
            </w:r>
            <w:r w:rsidR="00D84436">
              <w:rPr>
                <w:rFonts w:eastAsia="Times New Roman"/>
                <w:iCs/>
                <w:sz w:val="26"/>
                <w:szCs w:val="26"/>
                <w:lang w:val="lv-LV" w:eastAsia="lv-LV"/>
              </w:rPr>
              <w:t xml:space="preserve"> </w:t>
            </w:r>
            <w:r w:rsidR="00373808">
              <w:rPr>
                <w:rFonts w:eastAsia="Times New Roman"/>
                <w:iCs/>
                <w:sz w:val="26"/>
                <w:szCs w:val="26"/>
                <w:lang w:val="lv-LV" w:eastAsia="lv-LV"/>
              </w:rPr>
              <w:t xml:space="preserve">punktu, nosakot, ka kvalifikācijas celšanas pasākumos piedalās </w:t>
            </w:r>
            <w:r w:rsidR="00555CED">
              <w:rPr>
                <w:rFonts w:eastAsia="Times New Roman"/>
                <w:iCs/>
                <w:sz w:val="26"/>
                <w:szCs w:val="26"/>
                <w:lang w:val="lv-LV" w:eastAsia="lv-LV"/>
              </w:rPr>
              <w:t>tādas</w:t>
            </w:r>
            <w:r w:rsidR="00373808">
              <w:rPr>
                <w:rFonts w:eastAsia="Times New Roman"/>
                <w:iCs/>
                <w:sz w:val="26"/>
                <w:szCs w:val="26"/>
                <w:lang w:val="lv-LV" w:eastAsia="lv-LV"/>
              </w:rPr>
              <w:t xml:space="preserve"> personas</w:t>
            </w:r>
            <w:r w:rsidR="00555CED">
              <w:rPr>
                <w:rFonts w:eastAsia="Times New Roman"/>
                <w:iCs/>
                <w:sz w:val="26"/>
                <w:szCs w:val="26"/>
                <w:lang w:val="lv-LV" w:eastAsia="lv-LV"/>
              </w:rPr>
              <w:t xml:space="preserve">, kuras </w:t>
            </w:r>
            <w:r w:rsidR="00D93142" w:rsidRPr="002A7C45">
              <w:rPr>
                <w:rFonts w:eastAsia="Times New Roman"/>
                <w:iCs/>
                <w:sz w:val="26"/>
                <w:szCs w:val="26"/>
                <w:lang w:val="lv-LV"/>
              </w:rPr>
              <w:t>faktiski sniedz nekustamā īpašuma darījumu starpniecības pakalpojumus juridiskās personas vārdā.</w:t>
            </w:r>
            <w:r w:rsidR="00E06D4A" w:rsidRPr="002A7C45">
              <w:rPr>
                <w:rFonts w:eastAsia="Times New Roman"/>
                <w:iCs/>
                <w:sz w:val="26"/>
                <w:szCs w:val="26"/>
                <w:lang w:val="lv-LV"/>
              </w:rPr>
              <w:t xml:space="preserve"> </w:t>
            </w:r>
            <w:r w:rsidR="000C6987" w:rsidRPr="002A7C45" w:rsidDel="000C6987">
              <w:rPr>
                <w:rFonts w:eastAsia="Times New Roman"/>
                <w:iCs/>
                <w:sz w:val="26"/>
                <w:szCs w:val="26"/>
                <w:lang w:val="lv-LV"/>
              </w:rPr>
              <w:t xml:space="preserve"> </w:t>
            </w:r>
            <w:r w:rsidR="00555CED">
              <w:rPr>
                <w:rFonts w:eastAsia="Times New Roman"/>
                <w:iCs/>
                <w:sz w:val="26"/>
                <w:szCs w:val="26"/>
                <w:lang w:val="lv-LV"/>
              </w:rPr>
              <w:t xml:space="preserve">Proti, tās var būt gan juridiskās personas amatpersonas, gan darbinieki, kā arī </w:t>
            </w:r>
            <w:r w:rsidR="007D302E">
              <w:rPr>
                <w:rFonts w:eastAsia="Times New Roman"/>
                <w:iCs/>
                <w:sz w:val="26"/>
                <w:szCs w:val="26"/>
                <w:lang w:val="lv-LV"/>
              </w:rPr>
              <w:t>personas</w:t>
            </w:r>
            <w:r w:rsidR="007D302E" w:rsidRPr="00FC015A">
              <w:rPr>
                <w:rFonts w:eastAsia="Times New Roman"/>
                <w:iCs/>
                <w:sz w:val="26"/>
                <w:szCs w:val="26"/>
                <w:lang w:val="lv-LV"/>
              </w:rPr>
              <w:t>,</w:t>
            </w:r>
            <w:r w:rsidR="00FC015A">
              <w:rPr>
                <w:rFonts w:eastAsia="Times New Roman"/>
                <w:iCs/>
                <w:sz w:val="26"/>
                <w:szCs w:val="26"/>
                <w:lang w:val="lv-LV"/>
              </w:rPr>
              <w:t xml:space="preserve"> </w:t>
            </w:r>
            <w:r w:rsidR="00A000CC">
              <w:rPr>
                <w:rFonts w:eastAsia="Times New Roman"/>
                <w:iCs/>
                <w:sz w:val="26"/>
                <w:szCs w:val="26"/>
                <w:lang w:val="lv-LV"/>
              </w:rPr>
              <w:t>kurām ir sadarbības līgums</w:t>
            </w:r>
            <w:r w:rsidR="004E14E3">
              <w:rPr>
                <w:rFonts w:eastAsia="Times New Roman"/>
                <w:iCs/>
                <w:sz w:val="26"/>
                <w:szCs w:val="26"/>
                <w:lang w:val="lv-LV"/>
              </w:rPr>
              <w:t>.</w:t>
            </w:r>
            <w:r w:rsidR="007D302E">
              <w:rPr>
                <w:rFonts w:eastAsia="Times New Roman"/>
                <w:iCs/>
                <w:sz w:val="26"/>
                <w:szCs w:val="26"/>
                <w:lang w:val="lv-LV"/>
              </w:rPr>
              <w:t xml:space="preserve"> </w:t>
            </w:r>
          </w:p>
          <w:p w14:paraId="554F118E" w14:textId="01E2655E" w:rsidR="00555CED" w:rsidRDefault="00555CED" w:rsidP="000C6987">
            <w:pPr>
              <w:spacing w:before="120"/>
              <w:jc w:val="both"/>
              <w:rPr>
                <w:rFonts w:eastAsia="Times New Roman"/>
                <w:iCs/>
                <w:sz w:val="26"/>
                <w:szCs w:val="26"/>
                <w:lang w:val="lv-LV"/>
              </w:rPr>
            </w:pPr>
          </w:p>
          <w:p w14:paraId="09F04E06" w14:textId="2498CDB2" w:rsidR="001129AA" w:rsidRPr="002A7C45" w:rsidRDefault="001129AA" w:rsidP="00D0113D">
            <w:pPr>
              <w:spacing w:before="120"/>
              <w:jc w:val="both"/>
              <w:rPr>
                <w:rFonts w:eastAsia="Times New Roman"/>
                <w:iCs/>
                <w:sz w:val="26"/>
                <w:szCs w:val="26"/>
                <w:lang w:val="lv-LV"/>
              </w:rPr>
            </w:pPr>
          </w:p>
        </w:tc>
      </w:tr>
      <w:tr w:rsidR="00844176" w:rsidRPr="00642478" w14:paraId="41041CF1" w14:textId="77777777" w:rsidTr="00C72D2B">
        <w:trPr>
          <w:trHeight w:val="465"/>
          <w:tblCellSpacing w:w="20" w:type="dxa"/>
        </w:trPr>
        <w:tc>
          <w:tcPr>
            <w:tcW w:w="418" w:type="dxa"/>
            <w:hideMark/>
          </w:tcPr>
          <w:p w14:paraId="5CAB363A"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lastRenderedPageBreak/>
              <w:t>3.</w:t>
            </w:r>
          </w:p>
        </w:tc>
        <w:tc>
          <w:tcPr>
            <w:tcW w:w="1883" w:type="dxa"/>
            <w:hideMark/>
          </w:tcPr>
          <w:p w14:paraId="2F4C459C" w14:textId="2F738161" w:rsidR="00844176" w:rsidRPr="006640AA" w:rsidRDefault="00557B17" w:rsidP="00B043DE">
            <w:pPr>
              <w:contextualSpacing/>
              <w:rPr>
                <w:rFonts w:eastAsia="Times New Roman"/>
                <w:sz w:val="26"/>
                <w:szCs w:val="26"/>
                <w:lang w:val="lv-LV" w:eastAsia="lv-LV"/>
              </w:rPr>
            </w:pPr>
            <w:r w:rsidRPr="006640AA">
              <w:rPr>
                <w:sz w:val="26"/>
                <w:szCs w:val="26"/>
                <w:lang w:val="lv-LV"/>
              </w:rPr>
              <w:t>Projekta izstrādē iesaistītās institūcijas un publiskas personas kapitālsabiedrības</w:t>
            </w:r>
          </w:p>
        </w:tc>
        <w:tc>
          <w:tcPr>
            <w:tcW w:w="7047" w:type="dxa"/>
            <w:hideMark/>
          </w:tcPr>
          <w:p w14:paraId="1C1732C9" w14:textId="24927F63" w:rsidR="00844176" w:rsidRPr="002A0F87" w:rsidRDefault="002A0F87" w:rsidP="00B043DE">
            <w:pPr>
              <w:ind w:left="-31"/>
              <w:contextualSpacing/>
              <w:rPr>
                <w:rFonts w:eastAsia="Times New Roman"/>
                <w:sz w:val="26"/>
                <w:szCs w:val="26"/>
                <w:lang w:val="lv-LV" w:eastAsia="lv-LV"/>
              </w:rPr>
            </w:pPr>
            <w:r w:rsidRPr="002A0F87">
              <w:rPr>
                <w:rFonts w:eastAsia="Times New Roman"/>
                <w:iCs/>
                <w:sz w:val="26"/>
                <w:szCs w:val="26"/>
                <w:lang w:val="lv-LV" w:eastAsia="lv-LV"/>
              </w:rPr>
              <w:t>Ekonomikas ministrija</w:t>
            </w:r>
          </w:p>
        </w:tc>
      </w:tr>
      <w:tr w:rsidR="00844176" w:rsidRPr="006640AA" w14:paraId="3C98D228" w14:textId="77777777" w:rsidTr="00C72D2B">
        <w:trPr>
          <w:tblCellSpacing w:w="20" w:type="dxa"/>
        </w:trPr>
        <w:tc>
          <w:tcPr>
            <w:tcW w:w="418" w:type="dxa"/>
            <w:hideMark/>
          </w:tcPr>
          <w:p w14:paraId="55D70DCF"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4.</w:t>
            </w:r>
          </w:p>
        </w:tc>
        <w:tc>
          <w:tcPr>
            <w:tcW w:w="1883" w:type="dxa"/>
            <w:hideMark/>
          </w:tcPr>
          <w:p w14:paraId="3639AA3F"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Cita informācija</w:t>
            </w:r>
          </w:p>
        </w:tc>
        <w:tc>
          <w:tcPr>
            <w:tcW w:w="7047" w:type="dxa"/>
            <w:hideMark/>
          </w:tcPr>
          <w:p w14:paraId="5D4509E1" w14:textId="72CDA336" w:rsidR="00844176" w:rsidRPr="006640AA" w:rsidRDefault="00844176" w:rsidP="00B043DE">
            <w:pPr>
              <w:contextualSpacing/>
              <w:rPr>
                <w:rFonts w:eastAsia="Times New Roman"/>
                <w:sz w:val="26"/>
                <w:szCs w:val="26"/>
                <w:lang w:val="lv-LV" w:eastAsia="lv-LV"/>
              </w:rPr>
            </w:pPr>
            <w:r w:rsidRPr="006640AA">
              <w:rPr>
                <w:sz w:val="26"/>
                <w:szCs w:val="26"/>
                <w:lang w:val="lv-LV"/>
              </w:rPr>
              <w:t>Nav</w:t>
            </w:r>
            <w:r w:rsidR="002C749F">
              <w:rPr>
                <w:sz w:val="26"/>
                <w:szCs w:val="26"/>
                <w:lang w:val="lv-LV"/>
              </w:rPr>
              <w:t>.</w:t>
            </w:r>
            <w:r w:rsidRPr="006640AA">
              <w:rPr>
                <w:sz w:val="26"/>
                <w:szCs w:val="26"/>
                <w:lang w:val="lv-LV"/>
              </w:rPr>
              <w:t xml:space="preserve"> </w:t>
            </w:r>
          </w:p>
        </w:tc>
      </w:tr>
    </w:tbl>
    <w:p w14:paraId="00447F19" w14:textId="3BFE4D51" w:rsidR="009A00EB" w:rsidRPr="006640AA" w:rsidRDefault="009A00EB" w:rsidP="00B043DE">
      <w:pPr>
        <w:contextualSpacing/>
        <w:rPr>
          <w:rFonts w:eastAsia="Times New Roman"/>
          <w:sz w:val="26"/>
          <w:szCs w:val="26"/>
          <w:lang w:val="lv-LV" w:eastAsia="lv-LV"/>
        </w:rPr>
      </w:pPr>
    </w:p>
    <w:tbl>
      <w:tblPr>
        <w:tblW w:w="93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45"/>
        <w:gridCol w:w="2712"/>
        <w:gridCol w:w="6294"/>
      </w:tblGrid>
      <w:tr w:rsidR="00844176" w:rsidRPr="00BD3FC1" w14:paraId="5271E387" w14:textId="77777777" w:rsidTr="00C72D2B">
        <w:trPr>
          <w:trHeight w:val="555"/>
          <w:tblCellSpacing w:w="20" w:type="dxa"/>
        </w:trPr>
        <w:tc>
          <w:tcPr>
            <w:tcW w:w="9351" w:type="dxa"/>
            <w:gridSpan w:val="3"/>
            <w:hideMark/>
          </w:tcPr>
          <w:p w14:paraId="4DC32511" w14:textId="2050B5AE" w:rsidR="00844176" w:rsidRPr="006640AA" w:rsidRDefault="009A00EB" w:rsidP="00B043DE">
            <w:pPr>
              <w:contextualSpacing/>
              <w:jc w:val="center"/>
              <w:rPr>
                <w:rFonts w:eastAsia="Times New Roman"/>
                <w:sz w:val="26"/>
                <w:szCs w:val="26"/>
                <w:lang w:val="lv-LV" w:eastAsia="lv-LV"/>
              </w:rPr>
            </w:pPr>
            <w:r w:rsidRPr="006640AA">
              <w:rPr>
                <w:rFonts w:eastAsia="Times New Roman"/>
                <w:b/>
                <w:bCs/>
                <w:sz w:val="26"/>
                <w:szCs w:val="26"/>
                <w:lang w:val="lv-LV" w:eastAsia="lv-LV"/>
              </w:rPr>
              <w:t>II. Tiesību akta projekta ietekme uz sabiedrību, tautsaimniecības attīstību un administratīvo slogu</w:t>
            </w:r>
          </w:p>
        </w:tc>
      </w:tr>
      <w:tr w:rsidR="00A76C0A" w:rsidRPr="00BD3FC1" w14:paraId="7F8630C6" w14:textId="77777777" w:rsidTr="00C72D2B">
        <w:trPr>
          <w:trHeight w:val="465"/>
          <w:tblCellSpacing w:w="20" w:type="dxa"/>
        </w:trPr>
        <w:tc>
          <w:tcPr>
            <w:tcW w:w="270" w:type="dxa"/>
            <w:hideMark/>
          </w:tcPr>
          <w:p w14:paraId="523CFEBF"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1.</w:t>
            </w:r>
          </w:p>
        </w:tc>
        <w:tc>
          <w:tcPr>
            <w:tcW w:w="2702" w:type="dxa"/>
            <w:hideMark/>
          </w:tcPr>
          <w:p w14:paraId="0905C526" w14:textId="640FE822"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 xml:space="preserve">Sabiedrības </w:t>
            </w:r>
            <w:proofErr w:type="spellStart"/>
            <w:r w:rsidRPr="006640AA">
              <w:rPr>
                <w:rFonts w:eastAsia="Times New Roman"/>
                <w:sz w:val="26"/>
                <w:szCs w:val="26"/>
                <w:lang w:val="lv-LV" w:eastAsia="lv-LV"/>
              </w:rPr>
              <w:t>mēr</w:t>
            </w:r>
            <w:r w:rsidR="00FD7C45">
              <w:rPr>
                <w:rFonts w:eastAsia="Times New Roman"/>
                <w:sz w:val="26"/>
                <w:szCs w:val="26"/>
                <w:lang w:val="lv-LV" w:eastAsia="lv-LV"/>
              </w:rPr>
              <w:t>ķ</w:t>
            </w:r>
            <w:r w:rsidRPr="006640AA">
              <w:rPr>
                <w:rFonts w:eastAsia="Times New Roman"/>
                <w:sz w:val="26"/>
                <w:szCs w:val="26"/>
                <w:lang w:val="lv-LV" w:eastAsia="lv-LV"/>
              </w:rPr>
              <w:t>grupas</w:t>
            </w:r>
            <w:proofErr w:type="spellEnd"/>
            <w:r w:rsidRPr="006640AA">
              <w:rPr>
                <w:rFonts w:eastAsia="Times New Roman"/>
                <w:sz w:val="26"/>
                <w:szCs w:val="26"/>
                <w:lang w:val="lv-LV" w:eastAsia="lv-LV"/>
              </w:rPr>
              <w:t>, kuras tiesiskais regulējums ietekmē vai varētu ietekmēt</w:t>
            </w:r>
          </w:p>
        </w:tc>
        <w:tc>
          <w:tcPr>
            <w:tcW w:w="6379" w:type="dxa"/>
            <w:hideMark/>
          </w:tcPr>
          <w:p w14:paraId="741303FE" w14:textId="78143DAD" w:rsidR="00ED6CC7" w:rsidRPr="00ED6CC7" w:rsidRDefault="00ED6CC7" w:rsidP="00ED6CC7">
            <w:pPr>
              <w:jc w:val="both"/>
              <w:rPr>
                <w:rFonts w:eastAsia="Times New Roman"/>
                <w:iCs/>
                <w:sz w:val="26"/>
                <w:szCs w:val="26"/>
                <w:lang w:val="lv-LV" w:eastAsia="lv-LV"/>
              </w:rPr>
            </w:pPr>
            <w:r w:rsidRPr="00ED6CC7">
              <w:rPr>
                <w:rFonts w:eastAsia="Times New Roman"/>
                <w:iCs/>
                <w:sz w:val="26"/>
                <w:szCs w:val="26"/>
                <w:lang w:val="lv-LV" w:eastAsia="lv-LV"/>
              </w:rPr>
              <w:t xml:space="preserve">MK noteikumu projekts attiecināms uz </w:t>
            </w:r>
            <w:r w:rsidRPr="00ED6CC7">
              <w:rPr>
                <w:iCs/>
                <w:color w:val="000000"/>
                <w:spacing w:val="-2"/>
                <w:sz w:val="26"/>
                <w:szCs w:val="26"/>
                <w:lang w:val="lv-LV"/>
              </w:rPr>
              <w:t>privātpersonām (</w:t>
            </w:r>
            <w:r w:rsidRPr="00ED6CC7">
              <w:rPr>
                <w:rFonts w:eastAsia="Times New Roman"/>
                <w:iCs/>
                <w:sz w:val="26"/>
                <w:szCs w:val="26"/>
                <w:lang w:val="lv-LV" w:eastAsia="lv-LV"/>
              </w:rPr>
              <w:t xml:space="preserve">starpniekiem), kas sniedz vai vēlas sniegt nekustamā īpašuma darījumu starpniecības pakalpojumus. </w:t>
            </w:r>
          </w:p>
          <w:p w14:paraId="3D68FB87" w14:textId="24EE5146" w:rsidR="005E6955" w:rsidRPr="00ED6CC7" w:rsidRDefault="00ED6CC7" w:rsidP="00ED6CC7">
            <w:pPr>
              <w:ind w:right="201"/>
              <w:contextualSpacing/>
              <w:jc w:val="both"/>
              <w:rPr>
                <w:sz w:val="26"/>
                <w:szCs w:val="26"/>
                <w:lang w:val="lv-LV"/>
              </w:rPr>
            </w:pPr>
            <w:r w:rsidRPr="00ED6CC7">
              <w:rPr>
                <w:rFonts w:eastAsia="Times New Roman"/>
                <w:iCs/>
                <w:sz w:val="26"/>
                <w:szCs w:val="26"/>
                <w:lang w:val="lv-LV" w:eastAsia="lv-LV"/>
              </w:rPr>
              <w:t>Saskaņā ar Likuma anotācijā sniegto informāciju uz 2018. gada 31. decembri Valsts ieņēmumu dienesta uzraudzībā bija 1612 aģenti vai starpnieki darījumos ar nekustamo īpašumu. Laika posmā no 2018. gada 1. janvāra līdz 2018. gada 31. decembrim 73 nodokļu maksātāji reģistrējuši darbības veidu aģenta vai starpnieka pakalpojumi darījumos ar nekustamo īpašumu.</w:t>
            </w:r>
            <w:r w:rsidR="002E1779">
              <w:rPr>
                <w:rFonts w:eastAsia="Times New Roman"/>
                <w:iCs/>
                <w:sz w:val="26"/>
                <w:szCs w:val="26"/>
                <w:lang w:val="lv-LV" w:eastAsia="lv-LV"/>
              </w:rPr>
              <w:t xml:space="preserve"> Laika posmā no 2020. gada 1.augusta līdz 2021.gada 23.aprīlim nekustamā īpašuma darījumu reģistrā ir reģistrēti </w:t>
            </w:r>
            <w:r w:rsidR="004154AB">
              <w:rPr>
                <w:rFonts w:eastAsia="Times New Roman"/>
                <w:iCs/>
                <w:sz w:val="26"/>
                <w:szCs w:val="26"/>
                <w:lang w:val="lv-LV" w:eastAsia="lv-LV"/>
              </w:rPr>
              <w:t>85</w:t>
            </w:r>
            <w:r w:rsidR="002E1779">
              <w:rPr>
                <w:rFonts w:eastAsia="Times New Roman"/>
                <w:iCs/>
                <w:sz w:val="26"/>
                <w:szCs w:val="26"/>
                <w:lang w:val="lv-LV" w:eastAsia="lv-LV"/>
              </w:rPr>
              <w:t xml:space="preserve"> starpniek</w:t>
            </w:r>
            <w:r w:rsidR="0025130F">
              <w:rPr>
                <w:rFonts w:eastAsia="Times New Roman"/>
                <w:iCs/>
                <w:sz w:val="26"/>
                <w:szCs w:val="26"/>
                <w:lang w:val="lv-LV" w:eastAsia="lv-LV"/>
              </w:rPr>
              <w:t>i</w:t>
            </w:r>
            <w:r w:rsidR="002E1779">
              <w:rPr>
                <w:rFonts w:eastAsia="Times New Roman"/>
                <w:iCs/>
                <w:sz w:val="26"/>
                <w:szCs w:val="26"/>
                <w:lang w:val="lv-LV" w:eastAsia="lv-LV"/>
              </w:rPr>
              <w:t xml:space="preserve">, no kuriem </w:t>
            </w:r>
            <w:r w:rsidR="00ED5010">
              <w:rPr>
                <w:rFonts w:eastAsia="Times New Roman"/>
                <w:iCs/>
                <w:sz w:val="26"/>
                <w:szCs w:val="26"/>
                <w:lang w:val="lv-LV" w:eastAsia="lv-LV"/>
              </w:rPr>
              <w:t>21</w:t>
            </w:r>
            <w:r w:rsidR="002E1779">
              <w:rPr>
                <w:rFonts w:eastAsia="Times New Roman"/>
                <w:iCs/>
                <w:sz w:val="26"/>
                <w:szCs w:val="26"/>
                <w:lang w:val="lv-LV" w:eastAsia="lv-LV"/>
              </w:rPr>
              <w:t xml:space="preserve"> fiziskās personas, </w:t>
            </w:r>
            <w:r w:rsidR="00ED5010">
              <w:rPr>
                <w:rFonts w:eastAsia="Times New Roman"/>
                <w:iCs/>
                <w:sz w:val="26"/>
                <w:szCs w:val="26"/>
                <w:lang w:val="lv-LV" w:eastAsia="lv-LV"/>
              </w:rPr>
              <w:t>64</w:t>
            </w:r>
            <w:r w:rsidR="002E1779">
              <w:rPr>
                <w:rFonts w:eastAsia="Times New Roman"/>
                <w:iCs/>
                <w:sz w:val="26"/>
                <w:szCs w:val="26"/>
                <w:lang w:val="lv-LV" w:eastAsia="lv-LV"/>
              </w:rPr>
              <w:t xml:space="preserve"> – juridiskās pers</w:t>
            </w:r>
            <w:r w:rsidR="00174095">
              <w:rPr>
                <w:rFonts w:eastAsia="Times New Roman"/>
                <w:iCs/>
                <w:sz w:val="26"/>
                <w:szCs w:val="26"/>
                <w:lang w:val="lv-LV" w:eastAsia="lv-LV"/>
              </w:rPr>
              <w:t>o</w:t>
            </w:r>
            <w:r w:rsidR="002E1779">
              <w:rPr>
                <w:rFonts w:eastAsia="Times New Roman"/>
                <w:iCs/>
                <w:sz w:val="26"/>
                <w:szCs w:val="26"/>
                <w:lang w:val="lv-LV" w:eastAsia="lv-LV"/>
              </w:rPr>
              <w:t>nas</w:t>
            </w:r>
            <w:r w:rsidR="00174095">
              <w:rPr>
                <w:rFonts w:eastAsia="Times New Roman"/>
                <w:iCs/>
                <w:sz w:val="26"/>
                <w:szCs w:val="26"/>
                <w:lang w:val="lv-LV" w:eastAsia="lv-LV"/>
              </w:rPr>
              <w:t>.</w:t>
            </w:r>
          </w:p>
        </w:tc>
      </w:tr>
      <w:tr w:rsidR="00A76C0A" w:rsidRPr="00BD3FC1" w14:paraId="718E705D" w14:textId="77777777" w:rsidTr="00C72D2B">
        <w:trPr>
          <w:trHeight w:val="510"/>
          <w:tblCellSpacing w:w="20" w:type="dxa"/>
        </w:trPr>
        <w:tc>
          <w:tcPr>
            <w:tcW w:w="270" w:type="dxa"/>
            <w:hideMark/>
          </w:tcPr>
          <w:p w14:paraId="5A0A07C0"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lastRenderedPageBreak/>
              <w:t>2.</w:t>
            </w:r>
          </w:p>
        </w:tc>
        <w:tc>
          <w:tcPr>
            <w:tcW w:w="2702" w:type="dxa"/>
            <w:hideMark/>
          </w:tcPr>
          <w:p w14:paraId="4DD83946"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Tiesiskā regulējuma ietekme uz tautsaimniecību un administratīvo slogu</w:t>
            </w:r>
          </w:p>
        </w:tc>
        <w:tc>
          <w:tcPr>
            <w:tcW w:w="6379" w:type="dxa"/>
            <w:hideMark/>
          </w:tcPr>
          <w:p w14:paraId="14015604" w14:textId="77777777" w:rsidR="008F03F7" w:rsidRPr="008F03F7" w:rsidRDefault="008F03F7" w:rsidP="008F03F7">
            <w:pPr>
              <w:pStyle w:val="BodyText"/>
              <w:ind w:right="201"/>
              <w:contextualSpacing/>
              <w:rPr>
                <w:rFonts w:eastAsia="Calibri"/>
                <w:sz w:val="26"/>
                <w:szCs w:val="26"/>
                <w:lang w:eastAsia="en-US"/>
              </w:rPr>
            </w:pPr>
            <w:r w:rsidRPr="008F03F7">
              <w:rPr>
                <w:rFonts w:eastAsia="Calibri"/>
                <w:sz w:val="26"/>
                <w:szCs w:val="26"/>
                <w:lang w:eastAsia="en-US"/>
              </w:rPr>
              <w:t>Projekts neparedz ietekmi uz administratīvo slogu, jo regulējums pēc būtības nemaina pienākumus.</w:t>
            </w:r>
          </w:p>
          <w:p w14:paraId="309FA251" w14:textId="77777777" w:rsidR="009A00EB" w:rsidRDefault="008F03F7" w:rsidP="008F03F7">
            <w:pPr>
              <w:jc w:val="both"/>
              <w:rPr>
                <w:sz w:val="26"/>
                <w:szCs w:val="26"/>
                <w:lang w:val="lv-LV"/>
              </w:rPr>
            </w:pPr>
            <w:r w:rsidRPr="008F03F7">
              <w:rPr>
                <w:sz w:val="26"/>
                <w:szCs w:val="26"/>
                <w:lang w:val="lv-LV"/>
              </w:rPr>
              <w:t>Projektā ietvertā tiesiskā regulējuma īstenošana tiks nodrošināta esošo resursu ietvaros un neprasa papildus resursus</w:t>
            </w:r>
            <w:r w:rsidR="000874E6">
              <w:rPr>
                <w:sz w:val="26"/>
                <w:szCs w:val="26"/>
                <w:lang w:val="lv-LV"/>
              </w:rPr>
              <w:t>.</w:t>
            </w:r>
          </w:p>
          <w:p w14:paraId="33918B01" w14:textId="5348F303" w:rsidR="00AA6F3A" w:rsidRPr="003850E7" w:rsidRDefault="00AA6F3A" w:rsidP="008F03F7">
            <w:pPr>
              <w:jc w:val="both"/>
              <w:rPr>
                <w:sz w:val="26"/>
                <w:szCs w:val="26"/>
                <w:lang w:val="lv-LV"/>
              </w:rPr>
            </w:pPr>
          </w:p>
        </w:tc>
      </w:tr>
      <w:tr w:rsidR="00A76C0A" w:rsidRPr="006640AA" w14:paraId="6AF18C8D" w14:textId="77777777" w:rsidTr="00C72D2B">
        <w:trPr>
          <w:trHeight w:val="510"/>
          <w:tblCellSpacing w:w="20" w:type="dxa"/>
        </w:trPr>
        <w:tc>
          <w:tcPr>
            <w:tcW w:w="270" w:type="dxa"/>
            <w:hideMark/>
          </w:tcPr>
          <w:p w14:paraId="0079992C"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3.</w:t>
            </w:r>
          </w:p>
        </w:tc>
        <w:tc>
          <w:tcPr>
            <w:tcW w:w="2702" w:type="dxa"/>
            <w:hideMark/>
          </w:tcPr>
          <w:p w14:paraId="53F5EA5A"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Administratīvo izmaksu monetārs novērtējums</w:t>
            </w:r>
          </w:p>
        </w:tc>
        <w:tc>
          <w:tcPr>
            <w:tcW w:w="6379" w:type="dxa"/>
            <w:hideMark/>
          </w:tcPr>
          <w:p w14:paraId="1C2C4F79" w14:textId="4B21D32D" w:rsidR="009A00EB" w:rsidRPr="006640AA" w:rsidRDefault="007A189E" w:rsidP="00B043DE">
            <w:pPr>
              <w:pStyle w:val="BodyText"/>
              <w:ind w:right="201"/>
              <w:contextualSpacing/>
              <w:rPr>
                <w:rFonts w:eastAsia="Calibri"/>
                <w:sz w:val="26"/>
                <w:szCs w:val="26"/>
                <w:lang w:eastAsia="en-US"/>
              </w:rPr>
            </w:pPr>
            <w:r>
              <w:rPr>
                <w:iCs/>
                <w:sz w:val="26"/>
                <w:szCs w:val="26"/>
              </w:rPr>
              <w:t>P</w:t>
            </w:r>
            <w:r w:rsidR="003D0F93" w:rsidRPr="006640AA">
              <w:rPr>
                <w:iCs/>
                <w:sz w:val="26"/>
                <w:szCs w:val="26"/>
              </w:rPr>
              <w:t>rojekts</w:t>
            </w:r>
            <w:r w:rsidR="003D0F93" w:rsidRPr="006640AA" w:rsidDel="003D0F93">
              <w:rPr>
                <w:rFonts w:eastAsia="Calibri"/>
                <w:sz w:val="26"/>
                <w:szCs w:val="26"/>
                <w:lang w:eastAsia="en-US"/>
              </w:rPr>
              <w:t xml:space="preserve"> </w:t>
            </w:r>
            <w:r w:rsidR="009A00EB" w:rsidRPr="006640AA">
              <w:rPr>
                <w:rFonts w:eastAsia="Calibri"/>
                <w:sz w:val="26"/>
                <w:szCs w:val="26"/>
                <w:lang w:eastAsia="en-US"/>
              </w:rPr>
              <w:t>šo jomu neskar</w:t>
            </w:r>
            <w:r w:rsidR="006900EA" w:rsidRPr="006640AA">
              <w:rPr>
                <w:rFonts w:eastAsia="Calibri"/>
                <w:sz w:val="26"/>
                <w:szCs w:val="26"/>
                <w:lang w:eastAsia="en-US"/>
              </w:rPr>
              <w:t>.</w:t>
            </w:r>
          </w:p>
        </w:tc>
      </w:tr>
      <w:tr w:rsidR="008F594F" w:rsidRPr="006640AA" w14:paraId="259E0982" w14:textId="77777777" w:rsidTr="00C72D2B">
        <w:trPr>
          <w:trHeight w:val="510"/>
          <w:tblCellSpacing w:w="20" w:type="dxa"/>
        </w:trPr>
        <w:tc>
          <w:tcPr>
            <w:tcW w:w="270" w:type="dxa"/>
          </w:tcPr>
          <w:p w14:paraId="4FA9F4E2"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4.</w:t>
            </w:r>
          </w:p>
        </w:tc>
        <w:tc>
          <w:tcPr>
            <w:tcW w:w="2702" w:type="dxa"/>
          </w:tcPr>
          <w:p w14:paraId="46245F16"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Atbilstības izmaksu monetārs novērtējums</w:t>
            </w:r>
          </w:p>
        </w:tc>
        <w:tc>
          <w:tcPr>
            <w:tcW w:w="6379" w:type="dxa"/>
          </w:tcPr>
          <w:p w14:paraId="7C60B8CA" w14:textId="5F375DB5" w:rsidR="008F594F" w:rsidRPr="008F594F" w:rsidRDefault="00284ADB" w:rsidP="008F594F">
            <w:pPr>
              <w:pStyle w:val="BodyText"/>
              <w:ind w:right="201"/>
              <w:contextualSpacing/>
              <w:rPr>
                <w:rFonts w:eastAsia="Calibri"/>
                <w:sz w:val="26"/>
                <w:szCs w:val="26"/>
                <w:lang w:eastAsia="en-US"/>
              </w:rPr>
            </w:pPr>
            <w:r>
              <w:rPr>
                <w:rFonts w:eastAsia="Calibri"/>
                <w:sz w:val="26"/>
                <w:szCs w:val="26"/>
                <w:lang w:eastAsia="en-US"/>
              </w:rPr>
              <w:t>Projekts šo jomu neskar.</w:t>
            </w:r>
          </w:p>
        </w:tc>
      </w:tr>
      <w:tr w:rsidR="008F594F" w:rsidRPr="006640AA" w14:paraId="14FCA979" w14:textId="77777777" w:rsidTr="00C72D2B">
        <w:trPr>
          <w:trHeight w:val="345"/>
          <w:tblCellSpacing w:w="20" w:type="dxa"/>
        </w:trPr>
        <w:tc>
          <w:tcPr>
            <w:tcW w:w="270" w:type="dxa"/>
            <w:hideMark/>
          </w:tcPr>
          <w:p w14:paraId="3ADF77E6"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5.</w:t>
            </w:r>
          </w:p>
        </w:tc>
        <w:tc>
          <w:tcPr>
            <w:tcW w:w="2702" w:type="dxa"/>
            <w:hideMark/>
          </w:tcPr>
          <w:p w14:paraId="2A078AD2"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Cita informācija</w:t>
            </w:r>
          </w:p>
        </w:tc>
        <w:tc>
          <w:tcPr>
            <w:tcW w:w="6379" w:type="dxa"/>
            <w:hideMark/>
          </w:tcPr>
          <w:p w14:paraId="7E657313" w14:textId="77777777" w:rsidR="008F594F" w:rsidRPr="006640AA" w:rsidRDefault="008F594F" w:rsidP="008F594F">
            <w:pPr>
              <w:ind w:right="201"/>
              <w:contextualSpacing/>
              <w:jc w:val="both"/>
              <w:rPr>
                <w:sz w:val="26"/>
                <w:szCs w:val="26"/>
                <w:lang w:val="lv-LV"/>
              </w:rPr>
            </w:pPr>
            <w:r w:rsidRPr="006640AA">
              <w:rPr>
                <w:sz w:val="26"/>
                <w:szCs w:val="26"/>
                <w:lang w:val="lv-LV"/>
              </w:rPr>
              <w:t>Nav</w:t>
            </w:r>
          </w:p>
        </w:tc>
      </w:tr>
    </w:tbl>
    <w:p w14:paraId="57F14BC5" w14:textId="001CFD96" w:rsidR="00844176" w:rsidRPr="006640AA" w:rsidRDefault="00844176" w:rsidP="00B043DE">
      <w:pPr>
        <w:contextualSpacing/>
        <w:rPr>
          <w:rFonts w:eastAsia="Times New Roman"/>
          <w:sz w:val="26"/>
          <w:szCs w:val="26"/>
          <w:lang w:val="lv-LV" w:eastAsia="lv-LV"/>
        </w:rPr>
      </w:pPr>
    </w:p>
    <w:tbl>
      <w:tblPr>
        <w:tblW w:w="9348" w:type="dxa"/>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30" w:type="dxa"/>
          <w:left w:w="30" w:type="dxa"/>
          <w:bottom w:w="30" w:type="dxa"/>
          <w:right w:w="30" w:type="dxa"/>
        </w:tblCellMar>
        <w:tblLook w:val="04A0" w:firstRow="1" w:lastRow="0" w:firstColumn="1" w:lastColumn="0" w:noHBand="0" w:noVBand="1"/>
      </w:tblPr>
      <w:tblGrid>
        <w:gridCol w:w="9348"/>
      </w:tblGrid>
      <w:tr w:rsidR="00CD433A" w:rsidRPr="00BD3FC1" w14:paraId="1F2AB1AA" w14:textId="77777777" w:rsidTr="009D2832">
        <w:trPr>
          <w:tblCellSpacing w:w="20" w:type="dxa"/>
        </w:trPr>
        <w:tc>
          <w:tcPr>
            <w:tcW w:w="9348" w:type="dxa"/>
            <w:shd w:val="clear" w:color="auto" w:fill="auto"/>
            <w:vAlign w:val="center"/>
          </w:tcPr>
          <w:p w14:paraId="0E6A4D78" w14:textId="4D0B9837" w:rsidR="00CD433A" w:rsidRPr="006640AA" w:rsidRDefault="00CD433A" w:rsidP="00CD433A">
            <w:pPr>
              <w:contextualSpacing/>
              <w:jc w:val="center"/>
              <w:rPr>
                <w:b/>
                <w:sz w:val="26"/>
                <w:szCs w:val="26"/>
                <w:lang w:val="lv-LV"/>
              </w:rPr>
            </w:pPr>
            <w:r w:rsidRPr="006640AA">
              <w:rPr>
                <w:rFonts w:eastAsia="Times New Roman"/>
                <w:b/>
                <w:bCs/>
                <w:iCs/>
                <w:sz w:val="26"/>
                <w:szCs w:val="26"/>
                <w:lang w:val="lv-LV" w:eastAsia="lv-LV"/>
              </w:rPr>
              <w:t>III. Tiesību akta projekta ietekme uz valsts budžetu un pašvaldību budžetiem</w:t>
            </w:r>
          </w:p>
        </w:tc>
      </w:tr>
      <w:tr w:rsidR="00CD433A" w:rsidRPr="006640AA" w14:paraId="2F0ABF03" w14:textId="77777777" w:rsidTr="009D2832">
        <w:trPr>
          <w:tblCellSpacing w:w="20" w:type="dxa"/>
        </w:trPr>
        <w:tc>
          <w:tcPr>
            <w:tcW w:w="9348" w:type="dxa"/>
            <w:shd w:val="clear" w:color="auto" w:fill="auto"/>
            <w:vAlign w:val="center"/>
          </w:tcPr>
          <w:p w14:paraId="43EE7BA8" w14:textId="6BAF4507" w:rsidR="00CD433A" w:rsidRPr="006640AA" w:rsidRDefault="00E13F51" w:rsidP="00CD433A">
            <w:pPr>
              <w:contextualSpacing/>
              <w:jc w:val="center"/>
              <w:rPr>
                <w:b/>
                <w:color w:val="000000" w:themeColor="text1"/>
                <w:sz w:val="26"/>
                <w:szCs w:val="26"/>
                <w:lang w:val="lv-LV"/>
              </w:rPr>
            </w:pPr>
            <w:r>
              <w:rPr>
                <w:rFonts w:eastAsia="Times New Roman"/>
                <w:iCs/>
                <w:color w:val="000000" w:themeColor="text1"/>
                <w:sz w:val="26"/>
                <w:szCs w:val="26"/>
                <w:lang w:val="lv-LV" w:eastAsia="lv-LV"/>
              </w:rPr>
              <w:t>P</w:t>
            </w:r>
            <w:r w:rsidR="00CD433A" w:rsidRPr="006640AA">
              <w:rPr>
                <w:rFonts w:eastAsia="Times New Roman"/>
                <w:iCs/>
                <w:color w:val="000000" w:themeColor="text1"/>
                <w:sz w:val="26"/>
                <w:szCs w:val="26"/>
                <w:lang w:val="lv-LV" w:eastAsia="lv-LV"/>
              </w:rPr>
              <w:t>rojekts šo jomu neskar.</w:t>
            </w:r>
          </w:p>
        </w:tc>
      </w:tr>
      <w:tr w:rsidR="00794E33" w:rsidRPr="006640AA" w14:paraId="07C3ABEE" w14:textId="77777777" w:rsidTr="009D2832">
        <w:trPr>
          <w:tblCellSpacing w:w="20" w:type="dxa"/>
        </w:trPr>
        <w:tc>
          <w:tcPr>
            <w:tcW w:w="9348" w:type="dxa"/>
            <w:shd w:val="clear" w:color="auto" w:fill="auto"/>
            <w:vAlign w:val="center"/>
            <w:hideMark/>
          </w:tcPr>
          <w:p w14:paraId="6901DE8D" w14:textId="4F954A53" w:rsidR="00794E33" w:rsidRPr="006640AA" w:rsidRDefault="00794E33" w:rsidP="00794E33">
            <w:pPr>
              <w:contextualSpacing/>
              <w:jc w:val="center"/>
              <w:rPr>
                <w:rFonts w:eastAsia="Times New Roman"/>
                <w:sz w:val="26"/>
                <w:szCs w:val="26"/>
                <w:lang w:val="lv-LV" w:eastAsia="lv-LV"/>
              </w:rPr>
            </w:pPr>
            <w:r w:rsidRPr="006640AA">
              <w:rPr>
                <w:rFonts w:eastAsia="Times New Roman"/>
                <w:b/>
                <w:bCs/>
                <w:color w:val="000000" w:themeColor="text1"/>
                <w:sz w:val="26"/>
                <w:szCs w:val="26"/>
                <w:lang w:val="lv-LV" w:eastAsia="lv-LV"/>
              </w:rPr>
              <w:t>IV. Tiesību akta projekta ietekme uz spēkā esošo tiesību normu sistēmu</w:t>
            </w:r>
          </w:p>
        </w:tc>
      </w:tr>
      <w:tr w:rsidR="008B7841" w:rsidRPr="006640AA" w14:paraId="17F7F902" w14:textId="77777777" w:rsidTr="009D2832">
        <w:trPr>
          <w:tblCellSpacing w:w="20" w:type="dxa"/>
        </w:trPr>
        <w:tc>
          <w:tcPr>
            <w:tcW w:w="9348" w:type="dxa"/>
            <w:shd w:val="clear" w:color="auto" w:fill="auto"/>
            <w:vAlign w:val="center"/>
          </w:tcPr>
          <w:p w14:paraId="313D4E77" w14:textId="3DF81C06" w:rsidR="008B7841" w:rsidRPr="008B7841" w:rsidRDefault="00480B18" w:rsidP="008B7841">
            <w:pPr>
              <w:spacing w:before="120"/>
              <w:ind w:right="250"/>
              <w:jc w:val="center"/>
              <w:rPr>
                <w:rFonts w:eastAsia="Times New Roman"/>
                <w:sz w:val="26"/>
                <w:szCs w:val="26"/>
                <w:lang w:val="lv-LV"/>
              </w:rPr>
            </w:pPr>
            <w:r>
              <w:rPr>
                <w:rFonts w:eastAsia="Times New Roman"/>
                <w:iCs/>
                <w:color w:val="000000" w:themeColor="text1"/>
                <w:sz w:val="26"/>
                <w:szCs w:val="26"/>
                <w:lang w:val="lv-LV" w:eastAsia="lv-LV"/>
              </w:rPr>
              <w:t>P</w:t>
            </w:r>
            <w:r w:rsidR="008B7841" w:rsidRPr="006640AA">
              <w:rPr>
                <w:rFonts w:eastAsia="Times New Roman"/>
                <w:iCs/>
                <w:color w:val="000000" w:themeColor="text1"/>
                <w:sz w:val="26"/>
                <w:szCs w:val="26"/>
                <w:lang w:val="lv-LV" w:eastAsia="lv-LV"/>
              </w:rPr>
              <w:t>rojekts šo jomu neskar.</w:t>
            </w:r>
          </w:p>
        </w:tc>
      </w:tr>
    </w:tbl>
    <w:p w14:paraId="1F45E5ED" w14:textId="2B4DD16B" w:rsidR="00844176" w:rsidRPr="006640AA" w:rsidRDefault="00844176" w:rsidP="00B043DE">
      <w:pPr>
        <w:contextualSpacing/>
        <w:rPr>
          <w:sz w:val="26"/>
          <w:szCs w:val="26"/>
          <w:lang w:val="lv-LV"/>
        </w:rPr>
      </w:pPr>
    </w:p>
    <w:tbl>
      <w:tblPr>
        <w:tblW w:w="9348" w:type="dxa"/>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30" w:type="dxa"/>
          <w:left w:w="30" w:type="dxa"/>
          <w:bottom w:w="30" w:type="dxa"/>
          <w:right w:w="30" w:type="dxa"/>
        </w:tblCellMar>
        <w:tblLook w:val="04A0" w:firstRow="1" w:lastRow="0" w:firstColumn="1" w:lastColumn="0" w:noHBand="0" w:noVBand="1"/>
      </w:tblPr>
      <w:tblGrid>
        <w:gridCol w:w="751"/>
        <w:gridCol w:w="8597"/>
      </w:tblGrid>
      <w:tr w:rsidR="00794E33" w:rsidRPr="006640AA" w14:paraId="71F263D6" w14:textId="77777777" w:rsidTr="009D2832">
        <w:trPr>
          <w:tblCellSpacing w:w="20" w:type="dxa"/>
        </w:trPr>
        <w:tc>
          <w:tcPr>
            <w:tcW w:w="701" w:type="dxa"/>
          </w:tcPr>
          <w:p w14:paraId="64320A8C" w14:textId="77777777" w:rsidR="00794E33" w:rsidRPr="006640AA" w:rsidRDefault="00794E33" w:rsidP="00CD059C">
            <w:pPr>
              <w:contextualSpacing/>
              <w:jc w:val="center"/>
              <w:rPr>
                <w:b/>
                <w:sz w:val="26"/>
                <w:szCs w:val="26"/>
                <w:lang w:val="lv-LV"/>
              </w:rPr>
            </w:pPr>
          </w:p>
        </w:tc>
        <w:tc>
          <w:tcPr>
            <w:tcW w:w="8647" w:type="dxa"/>
            <w:shd w:val="clear" w:color="auto" w:fill="auto"/>
            <w:hideMark/>
          </w:tcPr>
          <w:p w14:paraId="64C19808" w14:textId="10DC082B" w:rsidR="00794E33" w:rsidRPr="006640AA" w:rsidRDefault="00794E33" w:rsidP="00CD059C">
            <w:pPr>
              <w:contextualSpacing/>
              <w:jc w:val="center"/>
              <w:rPr>
                <w:rFonts w:eastAsia="Times New Roman"/>
                <w:sz w:val="26"/>
                <w:szCs w:val="26"/>
                <w:lang w:val="lv-LV" w:eastAsia="lv-LV"/>
              </w:rPr>
            </w:pPr>
            <w:r w:rsidRPr="006640AA">
              <w:rPr>
                <w:b/>
                <w:sz w:val="26"/>
                <w:szCs w:val="26"/>
                <w:lang w:val="lv-LV"/>
              </w:rPr>
              <w:t>V. Tiesību akta projekta atbilstība Latvijas Republikas starptautiskajām saistībām</w:t>
            </w:r>
          </w:p>
        </w:tc>
      </w:tr>
      <w:tr w:rsidR="009C4EB8" w:rsidRPr="006640AA" w14:paraId="4D4FEDF7" w14:textId="77777777" w:rsidTr="009D2832">
        <w:trPr>
          <w:tblCellSpacing w:w="20" w:type="dxa"/>
        </w:trPr>
        <w:tc>
          <w:tcPr>
            <w:tcW w:w="9348" w:type="dxa"/>
            <w:gridSpan w:val="2"/>
          </w:tcPr>
          <w:p w14:paraId="2D2DB39A" w14:textId="7257DD08" w:rsidR="009C4EB8" w:rsidRPr="00137E32" w:rsidRDefault="002F1DFD" w:rsidP="009C4EB8">
            <w:pPr>
              <w:pStyle w:val="ListParagraph"/>
              <w:ind w:left="105"/>
              <w:jc w:val="center"/>
              <w:rPr>
                <w:sz w:val="26"/>
                <w:szCs w:val="26"/>
                <w:lang w:val="lv-LV"/>
              </w:rPr>
            </w:pPr>
            <w:r>
              <w:rPr>
                <w:rFonts w:eastAsia="Times New Roman"/>
                <w:iCs/>
                <w:color w:val="000000" w:themeColor="text1"/>
                <w:sz w:val="26"/>
                <w:szCs w:val="26"/>
                <w:lang w:val="lv-LV" w:eastAsia="lv-LV"/>
              </w:rPr>
              <w:t>P</w:t>
            </w:r>
            <w:r w:rsidR="009C4EB8" w:rsidRPr="006640AA">
              <w:rPr>
                <w:rFonts w:eastAsia="Times New Roman"/>
                <w:iCs/>
                <w:color w:val="000000" w:themeColor="text1"/>
                <w:sz w:val="26"/>
                <w:szCs w:val="26"/>
                <w:lang w:val="lv-LV" w:eastAsia="lv-LV"/>
              </w:rPr>
              <w:t>rojekts šo jomu neskar.</w:t>
            </w:r>
          </w:p>
        </w:tc>
      </w:tr>
    </w:tbl>
    <w:p w14:paraId="18147B0E" w14:textId="62F61DFE" w:rsidR="00794E33" w:rsidRPr="006640AA" w:rsidRDefault="00794E33" w:rsidP="009C4EB8">
      <w:pPr>
        <w:contextualSpacing/>
        <w:jc w:val="center"/>
        <w:rPr>
          <w:sz w:val="26"/>
          <w:szCs w:val="26"/>
          <w:lang w:val="lv-LV"/>
        </w:rPr>
      </w:pPr>
    </w:p>
    <w:tbl>
      <w:tblPr>
        <w:tblW w:w="5000" w:type="pct"/>
        <w:tblCellSpacing w:w="15"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2275"/>
        <w:gridCol w:w="6373"/>
      </w:tblGrid>
      <w:tr w:rsidR="00C72D2B" w:rsidRPr="00BD3FC1" w14:paraId="75D7CB08" w14:textId="77777777" w:rsidTr="009D2832">
        <w:trPr>
          <w:tblCellSpacing w:w="15" w:type="dxa"/>
        </w:trPr>
        <w:tc>
          <w:tcPr>
            <w:tcW w:w="8995" w:type="dxa"/>
            <w:gridSpan w:val="3"/>
            <w:vAlign w:val="center"/>
            <w:hideMark/>
          </w:tcPr>
          <w:p w14:paraId="426D4AB5" w14:textId="77777777" w:rsidR="00C72D2B" w:rsidRPr="00E6604A" w:rsidRDefault="00C72D2B" w:rsidP="00F0376B">
            <w:pPr>
              <w:jc w:val="center"/>
              <w:rPr>
                <w:rFonts w:eastAsia="Times New Roman"/>
                <w:b/>
                <w:bCs/>
                <w:iCs/>
                <w:sz w:val="26"/>
                <w:szCs w:val="26"/>
                <w:lang w:val="lv-LV" w:eastAsia="lv-LV"/>
              </w:rPr>
            </w:pPr>
            <w:r w:rsidRPr="00E6604A">
              <w:rPr>
                <w:rFonts w:eastAsia="Times New Roman"/>
                <w:b/>
                <w:bCs/>
                <w:iCs/>
                <w:sz w:val="26"/>
                <w:szCs w:val="26"/>
                <w:lang w:val="lv-LV" w:eastAsia="lv-LV"/>
              </w:rPr>
              <w:t>VI. Sabiedrības līdzdalība un komunikācijas aktivitātes</w:t>
            </w:r>
          </w:p>
        </w:tc>
      </w:tr>
      <w:tr w:rsidR="00C72D2B" w:rsidRPr="00BD3FC1" w14:paraId="63581B01" w14:textId="77777777" w:rsidTr="009D2832">
        <w:trPr>
          <w:tblCellSpacing w:w="15" w:type="dxa"/>
        </w:trPr>
        <w:tc>
          <w:tcPr>
            <w:tcW w:w="368" w:type="dxa"/>
            <w:hideMark/>
          </w:tcPr>
          <w:p w14:paraId="7294E47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1.</w:t>
            </w:r>
          </w:p>
        </w:tc>
        <w:tc>
          <w:tcPr>
            <w:tcW w:w="2243" w:type="dxa"/>
            <w:hideMark/>
          </w:tcPr>
          <w:p w14:paraId="550DC574"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Plānotās sabiedrības līdzdalības un komunikācijas aktivitātes saistībā ar projektu</w:t>
            </w:r>
          </w:p>
        </w:tc>
        <w:tc>
          <w:tcPr>
            <w:tcW w:w="6324" w:type="dxa"/>
            <w:hideMark/>
          </w:tcPr>
          <w:p w14:paraId="0C5CE8B5" w14:textId="0CDEAEAF" w:rsidR="00C72D2B" w:rsidRPr="00603A12" w:rsidRDefault="00642478" w:rsidP="00F0376B">
            <w:pPr>
              <w:jc w:val="both"/>
              <w:rPr>
                <w:rFonts w:eastAsia="Times New Roman"/>
                <w:iCs/>
                <w:sz w:val="26"/>
                <w:szCs w:val="26"/>
                <w:lang w:val="lv-LV" w:eastAsia="lv-LV"/>
              </w:rPr>
            </w:pPr>
            <w:r w:rsidRPr="00642478">
              <w:rPr>
                <w:rFonts w:eastAsia="Times New Roman"/>
                <w:sz w:val="26"/>
                <w:szCs w:val="26"/>
                <w:lang w:val="lv-LV" w:eastAsia="ja-JP"/>
              </w:rPr>
              <w:t xml:space="preserve">Atbilstoši Ministru kabineta 2009. gada 25. augusta noteikumiem Nr. 970 "Sabiedrības līdzdalības kārtība attīstības plānošanas procesā", lai informētu sabiedrību par noteikumu projektu un dotu iespēju izteikt viedokli, noteikumu projekts pirms tā izsludināšanas Valsts sekretāru sanāksmē ievietots </w:t>
            </w:r>
            <w:r>
              <w:rPr>
                <w:rFonts w:eastAsia="Times New Roman"/>
                <w:sz w:val="26"/>
                <w:szCs w:val="26"/>
                <w:lang w:val="lv-LV" w:eastAsia="ja-JP"/>
              </w:rPr>
              <w:t>Ekonomikas</w:t>
            </w:r>
            <w:r w:rsidRPr="00642478">
              <w:rPr>
                <w:rFonts w:eastAsia="Times New Roman"/>
                <w:sz w:val="26"/>
                <w:szCs w:val="26"/>
                <w:lang w:val="lv-LV" w:eastAsia="ja-JP"/>
              </w:rPr>
              <w:t xml:space="preserve"> ministrijas tīmekļvietnē.</w:t>
            </w:r>
          </w:p>
        </w:tc>
      </w:tr>
      <w:tr w:rsidR="00C72D2B" w:rsidRPr="00BD3FC1" w14:paraId="4F84430F" w14:textId="77777777" w:rsidTr="009D2832">
        <w:trPr>
          <w:tblCellSpacing w:w="15" w:type="dxa"/>
        </w:trPr>
        <w:tc>
          <w:tcPr>
            <w:tcW w:w="368" w:type="dxa"/>
            <w:hideMark/>
          </w:tcPr>
          <w:p w14:paraId="4610D87E"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2.</w:t>
            </w:r>
          </w:p>
        </w:tc>
        <w:tc>
          <w:tcPr>
            <w:tcW w:w="2243" w:type="dxa"/>
            <w:hideMark/>
          </w:tcPr>
          <w:p w14:paraId="0F4E3F8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Sabiedrības līdzdalība projekta izstrādē</w:t>
            </w:r>
          </w:p>
        </w:tc>
        <w:tc>
          <w:tcPr>
            <w:tcW w:w="6324" w:type="dxa"/>
            <w:shd w:val="clear" w:color="auto" w:fill="auto"/>
            <w:hideMark/>
          </w:tcPr>
          <w:p w14:paraId="12D9FB24" w14:textId="756F2984" w:rsidR="00C72D2B" w:rsidRPr="00603A12" w:rsidRDefault="00642478" w:rsidP="00F0376B">
            <w:pPr>
              <w:jc w:val="both"/>
              <w:rPr>
                <w:rFonts w:eastAsia="Times New Roman"/>
                <w:iCs/>
                <w:color w:val="000000" w:themeColor="text1"/>
                <w:sz w:val="26"/>
                <w:szCs w:val="26"/>
                <w:lang w:val="lv-LV" w:eastAsia="lv-LV"/>
              </w:rPr>
            </w:pPr>
            <w:r w:rsidRPr="00642478">
              <w:rPr>
                <w:sz w:val="26"/>
                <w:szCs w:val="26"/>
                <w:shd w:val="clear" w:color="000000" w:fill="FFFFFF"/>
                <w:lang w:val="lv-LV"/>
              </w:rPr>
              <w:t>Lai informētu sabiedrību par noteikumu projektu un dotu iespēju izteikt viedokli, noteikumu projekts 2021. gada 30.aprīlī ievietots Ekonomikas ministrijas tīmekļvietnē https://www.em.gov.lv/lv/diskusiju-dokumenti un sabiedrības pārstāvjiem atbilstoši Ministru kabineta 2009. gada 25. augusta noteikumu Nr. 970 "Sabiedrības līdzdalības kārtība attīstības plānošanas procesā" 7.4.</w:t>
            </w:r>
            <w:r w:rsidRPr="00BD3FC1">
              <w:rPr>
                <w:sz w:val="26"/>
                <w:szCs w:val="26"/>
                <w:shd w:val="clear" w:color="000000" w:fill="FFFFFF"/>
                <w:vertAlign w:val="superscript"/>
                <w:lang w:val="lv-LV"/>
              </w:rPr>
              <w:t>1</w:t>
            </w:r>
            <w:r w:rsidRPr="00642478">
              <w:rPr>
                <w:sz w:val="26"/>
                <w:szCs w:val="26"/>
                <w:shd w:val="clear" w:color="000000" w:fill="FFFFFF"/>
                <w:lang w:val="lv-LV"/>
              </w:rPr>
              <w:t>apakšpunktam ir tiesības sniegt rakstveida viedokli.</w:t>
            </w:r>
          </w:p>
        </w:tc>
      </w:tr>
      <w:tr w:rsidR="00C72D2B" w:rsidRPr="00603A12" w14:paraId="65CA5BD8" w14:textId="77777777" w:rsidTr="009D2832">
        <w:trPr>
          <w:tblCellSpacing w:w="15" w:type="dxa"/>
        </w:trPr>
        <w:tc>
          <w:tcPr>
            <w:tcW w:w="368" w:type="dxa"/>
            <w:hideMark/>
          </w:tcPr>
          <w:p w14:paraId="200D6C05"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3.</w:t>
            </w:r>
          </w:p>
        </w:tc>
        <w:tc>
          <w:tcPr>
            <w:tcW w:w="2243" w:type="dxa"/>
            <w:hideMark/>
          </w:tcPr>
          <w:p w14:paraId="3DF5BFED"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Sabiedrības līdzdalības rezultāti</w:t>
            </w:r>
          </w:p>
        </w:tc>
        <w:tc>
          <w:tcPr>
            <w:tcW w:w="6324" w:type="dxa"/>
            <w:hideMark/>
          </w:tcPr>
          <w:p w14:paraId="57EACD14" w14:textId="73E78AFC" w:rsidR="00C72D2B" w:rsidRPr="00603A12" w:rsidRDefault="000A3879" w:rsidP="00F0376B">
            <w:pPr>
              <w:jc w:val="both"/>
              <w:rPr>
                <w:rFonts w:eastAsia="Times New Roman"/>
                <w:iCs/>
                <w:sz w:val="26"/>
                <w:szCs w:val="26"/>
                <w:lang w:val="lv-LV" w:eastAsia="lv-LV"/>
              </w:rPr>
            </w:pPr>
            <w:r w:rsidRPr="00603A12">
              <w:rPr>
                <w:rFonts w:eastAsia="Times New Roman"/>
                <w:iCs/>
                <w:sz w:val="26"/>
                <w:szCs w:val="26"/>
                <w:lang w:val="lv-LV" w:eastAsia="lv-LV"/>
              </w:rPr>
              <w:t>Nav.</w:t>
            </w:r>
          </w:p>
        </w:tc>
      </w:tr>
      <w:tr w:rsidR="00C72D2B" w:rsidRPr="00BD3FC1" w14:paraId="581791B6" w14:textId="77777777" w:rsidTr="009D2832">
        <w:trPr>
          <w:tblCellSpacing w:w="15" w:type="dxa"/>
        </w:trPr>
        <w:tc>
          <w:tcPr>
            <w:tcW w:w="368" w:type="dxa"/>
            <w:hideMark/>
          </w:tcPr>
          <w:p w14:paraId="1F3256AC"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4.</w:t>
            </w:r>
          </w:p>
        </w:tc>
        <w:tc>
          <w:tcPr>
            <w:tcW w:w="2243" w:type="dxa"/>
            <w:hideMark/>
          </w:tcPr>
          <w:p w14:paraId="6933B8DB"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Cita informācija</w:t>
            </w:r>
          </w:p>
        </w:tc>
        <w:tc>
          <w:tcPr>
            <w:tcW w:w="6324" w:type="dxa"/>
            <w:hideMark/>
          </w:tcPr>
          <w:p w14:paraId="0047A87E" w14:textId="5F77EA5E" w:rsidR="00C72D2B" w:rsidRPr="00E830D0" w:rsidRDefault="00E830D0" w:rsidP="00F0376B">
            <w:pPr>
              <w:rPr>
                <w:rFonts w:eastAsia="Times New Roman"/>
                <w:iCs/>
                <w:sz w:val="26"/>
                <w:szCs w:val="26"/>
                <w:lang w:val="lv-LV" w:eastAsia="lv-LV"/>
              </w:rPr>
            </w:pPr>
            <w:r w:rsidRPr="00E830D0">
              <w:rPr>
                <w:rFonts w:eastAsia="PMingLiU"/>
                <w:sz w:val="26"/>
                <w:szCs w:val="26"/>
                <w:lang w:val="lv-LV" w:eastAsia="ja-JP"/>
              </w:rPr>
              <w:t xml:space="preserve">Pēc noteikumu pieņemšanas tiks publicēts oficiālajā izdevumā “Latvijas Vēstnesis” un tīmekļa vietnē </w:t>
            </w:r>
            <w:hyperlink r:id="rId8" w:history="1">
              <w:r w:rsidRPr="00E830D0">
                <w:rPr>
                  <w:rStyle w:val="Hyperlink"/>
                  <w:rFonts w:eastAsia="PMingLiU"/>
                  <w:sz w:val="26"/>
                  <w:szCs w:val="26"/>
                  <w:lang w:val="lv-LV" w:eastAsia="ja-JP"/>
                </w:rPr>
                <w:t>www.likumi.lv</w:t>
              </w:r>
            </w:hyperlink>
            <w:r w:rsidRPr="00E830D0">
              <w:rPr>
                <w:rFonts w:eastAsia="PMingLiU"/>
                <w:sz w:val="26"/>
                <w:szCs w:val="26"/>
                <w:lang w:val="lv-LV" w:eastAsia="ja-JP"/>
              </w:rPr>
              <w:t>. Informācija par izmaiņām tiks ietverta Ekonomikas ministrijas tīmekļa vietnē sadaļā “Nekustamā īpašuma darījumu starpnieku reģistrs”.</w:t>
            </w:r>
          </w:p>
        </w:tc>
      </w:tr>
    </w:tbl>
    <w:p w14:paraId="1B3DC5D8" w14:textId="77777777" w:rsidR="00C72D2B" w:rsidRPr="00603A12" w:rsidRDefault="00C72D2B" w:rsidP="00C72D2B">
      <w:pPr>
        <w:rPr>
          <w:rFonts w:eastAsia="Times New Roman"/>
          <w:iCs/>
          <w:sz w:val="26"/>
          <w:szCs w:val="26"/>
          <w:lang w:val="lv-LV" w:eastAsia="lv-LV"/>
        </w:rPr>
      </w:pPr>
      <w:r w:rsidRPr="00603A12">
        <w:rPr>
          <w:rFonts w:eastAsia="Times New Roman"/>
          <w:iCs/>
          <w:sz w:val="26"/>
          <w:szCs w:val="26"/>
          <w:lang w:val="lv-LV"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72D2B" w:rsidRPr="00BD3FC1" w14:paraId="237CF5CC" w14:textId="77777777" w:rsidTr="00F037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DB9F59" w14:textId="77777777" w:rsidR="00C72D2B" w:rsidRPr="00603A12" w:rsidRDefault="00C72D2B" w:rsidP="00F0376B">
            <w:pPr>
              <w:jc w:val="center"/>
              <w:rPr>
                <w:rFonts w:eastAsia="Times New Roman"/>
                <w:b/>
                <w:bCs/>
                <w:iCs/>
                <w:sz w:val="26"/>
                <w:szCs w:val="26"/>
                <w:lang w:val="lv-LV" w:eastAsia="lv-LV"/>
              </w:rPr>
            </w:pPr>
            <w:r w:rsidRPr="00603A12">
              <w:rPr>
                <w:rFonts w:eastAsia="Times New Roman"/>
                <w:b/>
                <w:bCs/>
                <w:iCs/>
                <w:sz w:val="26"/>
                <w:szCs w:val="26"/>
                <w:lang w:val="lv-LV" w:eastAsia="lv-LV"/>
              </w:rPr>
              <w:t>VII. Tiesību akta projekta izpildes nodrošināšana un tās ietekme uz institūcijām</w:t>
            </w:r>
          </w:p>
        </w:tc>
      </w:tr>
      <w:tr w:rsidR="00C72D2B" w:rsidRPr="00603A12" w14:paraId="62AAFB88"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EE4C22"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FEB709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64B528F"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Ekonomikas ministrija</w:t>
            </w:r>
          </w:p>
        </w:tc>
      </w:tr>
      <w:tr w:rsidR="00C72D2B" w:rsidRPr="00DD6B81" w14:paraId="397425CD"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808A77"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24CCCF2"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Projekta izpildes ietekme uz pārvaldes funkcijām un institucionālo struktūru.</w:t>
            </w:r>
            <w:r w:rsidRPr="00603A12">
              <w:rPr>
                <w:rFonts w:eastAsia="Times New Roman"/>
                <w:iCs/>
                <w:sz w:val="26"/>
                <w:szCs w:val="26"/>
                <w:lang w:val="lv-LV"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FCC3E05" w14:textId="6B596AC3" w:rsidR="00C72D2B" w:rsidRPr="004A09C9" w:rsidRDefault="008F107D" w:rsidP="00F0376B">
            <w:pPr>
              <w:jc w:val="both"/>
              <w:rPr>
                <w:rFonts w:eastAsia="Times New Roman"/>
                <w:iCs/>
                <w:sz w:val="26"/>
                <w:szCs w:val="26"/>
                <w:lang w:val="lv-LV" w:eastAsia="lv-LV"/>
              </w:rPr>
            </w:pPr>
            <w:proofErr w:type="spellStart"/>
            <w:r w:rsidRPr="004A09C9">
              <w:rPr>
                <w:rFonts w:eastAsia="Times New Roman"/>
                <w:bCs/>
                <w:sz w:val="26"/>
                <w:szCs w:val="26"/>
                <w:lang w:eastAsia="lv-LV"/>
              </w:rPr>
              <w:t>Noteikumu</w:t>
            </w:r>
            <w:proofErr w:type="spellEnd"/>
            <w:r w:rsidRPr="004A09C9">
              <w:rPr>
                <w:rFonts w:eastAsia="Times New Roman"/>
                <w:bCs/>
                <w:sz w:val="26"/>
                <w:szCs w:val="26"/>
                <w:lang w:eastAsia="lv-LV"/>
              </w:rPr>
              <w:t xml:space="preserve"> </w:t>
            </w:r>
            <w:proofErr w:type="spellStart"/>
            <w:r w:rsidRPr="004A09C9">
              <w:rPr>
                <w:rFonts w:eastAsia="Times New Roman"/>
                <w:bCs/>
                <w:sz w:val="26"/>
                <w:szCs w:val="26"/>
                <w:lang w:eastAsia="lv-LV"/>
              </w:rPr>
              <w:t>projekta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izpilde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nerada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ietekmi</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uz</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pārvaldes</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funkcijām</w:t>
            </w:r>
            <w:proofErr w:type="spellEnd"/>
            <w:r w:rsidRPr="004A09C9">
              <w:rPr>
                <w:rFonts w:eastAsia="Times New Roman"/>
                <w:sz w:val="26"/>
                <w:szCs w:val="26"/>
                <w:lang w:eastAsia="lv-LV"/>
              </w:rPr>
              <w:t xml:space="preserve"> un </w:t>
            </w:r>
            <w:proofErr w:type="spellStart"/>
            <w:r w:rsidRPr="004A09C9">
              <w:rPr>
                <w:rFonts w:eastAsia="Times New Roman"/>
                <w:sz w:val="26"/>
                <w:szCs w:val="26"/>
                <w:lang w:eastAsia="lv-LV"/>
              </w:rPr>
              <w:t>institucionālo</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struktūru</w:t>
            </w:r>
            <w:proofErr w:type="spellEnd"/>
            <w:r w:rsidRPr="004A09C9">
              <w:rPr>
                <w:rFonts w:eastAsia="Times New Roman"/>
                <w:sz w:val="26"/>
                <w:szCs w:val="26"/>
                <w:lang w:eastAsia="lv-LV"/>
              </w:rPr>
              <w:t xml:space="preserve">. Nav </w:t>
            </w:r>
            <w:proofErr w:type="spellStart"/>
            <w:r w:rsidRPr="004A09C9">
              <w:rPr>
                <w:rFonts w:eastAsia="Times New Roman"/>
                <w:sz w:val="26"/>
                <w:szCs w:val="26"/>
                <w:lang w:eastAsia="lv-LV"/>
              </w:rPr>
              <w:t>nepieciešama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jaunu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izveide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esošu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likvidācija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vai</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reorganizācija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Netiek</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radīta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ietekme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uz</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institūcijas</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cilvēkresursiem</w:t>
            </w:r>
            <w:proofErr w:type="spellEnd"/>
            <w:r w:rsidRPr="004A09C9">
              <w:rPr>
                <w:rFonts w:eastAsia="Times New Roman"/>
                <w:sz w:val="26"/>
                <w:szCs w:val="26"/>
                <w:lang w:eastAsia="lv-LV"/>
              </w:rPr>
              <w:t>.</w:t>
            </w:r>
          </w:p>
        </w:tc>
      </w:tr>
      <w:tr w:rsidR="00C72D2B" w:rsidRPr="00603A12" w14:paraId="6963BB1C"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DAF719"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6465AD0"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416CA82"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Nav.</w:t>
            </w:r>
          </w:p>
        </w:tc>
      </w:tr>
    </w:tbl>
    <w:p w14:paraId="3C97E095" w14:textId="77777777" w:rsidR="00FA4414" w:rsidRPr="006640AA" w:rsidRDefault="00FA4414" w:rsidP="003D0F93">
      <w:pPr>
        <w:ind w:firstLine="709"/>
        <w:jc w:val="both"/>
        <w:rPr>
          <w:sz w:val="26"/>
          <w:szCs w:val="26"/>
          <w:lang w:val="lv-LV"/>
        </w:rPr>
      </w:pPr>
    </w:p>
    <w:p w14:paraId="67755341" w14:textId="2FC7675B" w:rsidR="003D0F93" w:rsidRPr="006640AA" w:rsidRDefault="003D0F93" w:rsidP="003D0F93">
      <w:pPr>
        <w:ind w:firstLine="709"/>
        <w:jc w:val="both"/>
        <w:rPr>
          <w:b/>
          <w:bCs/>
          <w:sz w:val="26"/>
          <w:szCs w:val="26"/>
          <w:lang w:val="lv-LV"/>
        </w:rPr>
      </w:pPr>
      <w:r w:rsidRPr="006640AA">
        <w:rPr>
          <w:b/>
          <w:bCs/>
          <w:sz w:val="26"/>
          <w:szCs w:val="26"/>
          <w:lang w:val="lv-LV"/>
        </w:rPr>
        <w:t>Ekonomikas ministrs</w:t>
      </w:r>
      <w:r w:rsidRPr="006640AA">
        <w:rPr>
          <w:b/>
          <w:bCs/>
          <w:sz w:val="26"/>
          <w:szCs w:val="26"/>
          <w:lang w:val="lv-LV"/>
        </w:rPr>
        <w:tab/>
      </w:r>
      <w:r w:rsidRPr="006640AA">
        <w:rPr>
          <w:b/>
          <w:bCs/>
          <w:sz w:val="26"/>
          <w:szCs w:val="26"/>
          <w:lang w:val="lv-LV"/>
        </w:rPr>
        <w:tab/>
      </w:r>
      <w:r w:rsidRPr="006640AA">
        <w:rPr>
          <w:b/>
          <w:bCs/>
          <w:sz w:val="26"/>
          <w:szCs w:val="26"/>
          <w:lang w:val="lv-LV"/>
        </w:rPr>
        <w:tab/>
      </w:r>
      <w:r w:rsidRPr="006640AA">
        <w:rPr>
          <w:b/>
          <w:bCs/>
          <w:sz w:val="26"/>
          <w:szCs w:val="26"/>
          <w:lang w:val="lv-LV"/>
        </w:rPr>
        <w:tab/>
      </w:r>
      <w:r w:rsidRPr="006640AA">
        <w:rPr>
          <w:b/>
          <w:bCs/>
          <w:sz w:val="26"/>
          <w:szCs w:val="26"/>
          <w:lang w:val="lv-LV"/>
        </w:rPr>
        <w:tab/>
        <w:t>J</w:t>
      </w:r>
      <w:r w:rsidR="002F1DFD">
        <w:rPr>
          <w:b/>
          <w:bCs/>
          <w:sz w:val="26"/>
          <w:szCs w:val="26"/>
          <w:lang w:val="lv-LV"/>
        </w:rPr>
        <w:t>.</w:t>
      </w:r>
      <w:r w:rsidRPr="006640AA">
        <w:rPr>
          <w:b/>
          <w:bCs/>
          <w:sz w:val="26"/>
          <w:szCs w:val="26"/>
          <w:lang w:val="lv-LV"/>
        </w:rPr>
        <w:t xml:space="preserve"> </w:t>
      </w:r>
      <w:proofErr w:type="spellStart"/>
      <w:r w:rsidRPr="006640AA">
        <w:rPr>
          <w:b/>
          <w:bCs/>
          <w:sz w:val="26"/>
          <w:szCs w:val="26"/>
          <w:lang w:val="lv-LV"/>
        </w:rPr>
        <w:t>Vitenbergs</w:t>
      </w:r>
      <w:proofErr w:type="spellEnd"/>
    </w:p>
    <w:p w14:paraId="48387A36" w14:textId="77777777" w:rsidR="00E766FF" w:rsidRDefault="003D0F93" w:rsidP="00777098">
      <w:pPr>
        <w:rPr>
          <w:sz w:val="26"/>
          <w:szCs w:val="26"/>
          <w:lang w:val="lv-LV"/>
        </w:rPr>
      </w:pPr>
      <w:r w:rsidRPr="006640AA">
        <w:rPr>
          <w:sz w:val="26"/>
          <w:szCs w:val="26"/>
          <w:lang w:val="lv-LV"/>
        </w:rPr>
        <w:tab/>
      </w:r>
    </w:p>
    <w:p w14:paraId="7EA4A4E0" w14:textId="639AE462" w:rsidR="003D0F93" w:rsidRPr="006640AA" w:rsidRDefault="003D0F93" w:rsidP="00E766FF">
      <w:pPr>
        <w:ind w:firstLine="709"/>
        <w:rPr>
          <w:sz w:val="26"/>
          <w:szCs w:val="26"/>
          <w:lang w:val="lv-LV"/>
        </w:rPr>
      </w:pPr>
      <w:r w:rsidRPr="006640AA">
        <w:rPr>
          <w:sz w:val="26"/>
          <w:szCs w:val="26"/>
          <w:lang w:val="lv-LV"/>
        </w:rPr>
        <w:t>Vīza:</w:t>
      </w:r>
      <w:r w:rsidR="000E46A4" w:rsidRPr="006640AA">
        <w:rPr>
          <w:sz w:val="26"/>
          <w:szCs w:val="26"/>
          <w:lang w:val="lv-LV"/>
        </w:rPr>
        <w:tab/>
      </w:r>
    </w:p>
    <w:p w14:paraId="6A9A4541" w14:textId="0FD4D3D2" w:rsidR="00E766FF" w:rsidRDefault="00E766FF" w:rsidP="00E766FF">
      <w:pPr>
        <w:ind w:firstLine="709"/>
        <w:rPr>
          <w:rFonts w:eastAsiaTheme="minorHAnsi"/>
          <w:b/>
          <w:bCs/>
          <w:sz w:val="26"/>
          <w:szCs w:val="26"/>
          <w:lang w:val="lv-LV"/>
        </w:rPr>
      </w:pPr>
      <w:r>
        <w:rPr>
          <w:b/>
          <w:bCs/>
          <w:sz w:val="26"/>
          <w:szCs w:val="26"/>
        </w:rPr>
        <w:t xml:space="preserve">Valsts </w:t>
      </w:r>
      <w:r w:rsidRPr="00603A12">
        <w:rPr>
          <w:b/>
          <w:bCs/>
          <w:sz w:val="26"/>
          <w:szCs w:val="26"/>
          <w:lang w:val="lv-LV"/>
        </w:rPr>
        <w:t>sekretārs</w:t>
      </w:r>
      <w:r w:rsidRPr="00603A12">
        <w:rPr>
          <w:b/>
          <w:bCs/>
          <w:sz w:val="26"/>
          <w:szCs w:val="26"/>
          <w:lang w:val="lv-LV"/>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E</w:t>
      </w:r>
      <w:r w:rsidR="002F1DFD">
        <w:rPr>
          <w:b/>
          <w:bCs/>
          <w:sz w:val="26"/>
          <w:szCs w:val="26"/>
        </w:rPr>
        <w:t>.</w:t>
      </w:r>
      <w:r>
        <w:rPr>
          <w:b/>
          <w:bCs/>
          <w:sz w:val="26"/>
          <w:szCs w:val="26"/>
        </w:rPr>
        <w:t xml:space="preserve"> Valantis</w:t>
      </w:r>
    </w:p>
    <w:p w14:paraId="4DBFB4BF" w14:textId="0715B7AE" w:rsidR="00403BB6" w:rsidRPr="00403BB6" w:rsidRDefault="00403BB6" w:rsidP="00F5463E">
      <w:pPr>
        <w:tabs>
          <w:tab w:val="left" w:pos="6237"/>
        </w:tabs>
        <w:ind w:left="709"/>
        <w:rPr>
          <w:sz w:val="26"/>
          <w:szCs w:val="26"/>
          <w:lang w:val="lv-LV"/>
        </w:rPr>
      </w:pPr>
    </w:p>
    <w:p w14:paraId="58247D8F" w14:textId="39B37F36" w:rsidR="00403BB6" w:rsidRPr="00403BB6" w:rsidRDefault="00403BB6" w:rsidP="00403BB6">
      <w:pPr>
        <w:tabs>
          <w:tab w:val="left" w:pos="1440"/>
        </w:tabs>
        <w:rPr>
          <w:sz w:val="26"/>
          <w:szCs w:val="26"/>
          <w:lang w:val="lv-LV"/>
        </w:rPr>
      </w:pPr>
    </w:p>
    <w:sectPr w:rsidR="00403BB6" w:rsidRPr="00403BB6" w:rsidSect="00B84453">
      <w:headerReference w:type="default" r:id="rId9"/>
      <w:footerReference w:type="default" r:id="rId10"/>
      <w:footerReference w:type="first" r:id="rId11"/>
      <w:endnotePr>
        <w:numFmt w:val="decimal"/>
      </w:endnotePr>
      <w:type w:val="continuous"/>
      <w:pgSz w:w="11906" w:h="16838" w:code="9"/>
      <w:pgMar w:top="1134" w:right="1134"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965CA" w14:textId="77777777" w:rsidR="00B5695B" w:rsidRDefault="00B5695B" w:rsidP="006B2FEF">
      <w:r>
        <w:separator/>
      </w:r>
    </w:p>
  </w:endnote>
  <w:endnote w:type="continuationSeparator" w:id="0">
    <w:p w14:paraId="1D46914C" w14:textId="77777777" w:rsidR="00B5695B" w:rsidRDefault="00B5695B" w:rsidP="006B2FEF">
      <w:r>
        <w:continuationSeparator/>
      </w:r>
    </w:p>
  </w:endnote>
  <w:endnote w:type="continuationNotice" w:id="1">
    <w:p w14:paraId="4E33092F" w14:textId="77777777" w:rsidR="00B5695B" w:rsidRDefault="00B56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4F74" w14:textId="4BE170B6" w:rsidR="004259BC" w:rsidRPr="00B84453" w:rsidRDefault="00B84453" w:rsidP="00B84453">
    <w:pPr>
      <w:pStyle w:val="Footer"/>
      <w:jc w:val="both"/>
      <w:rPr>
        <w:lang w:val="lv-LV"/>
      </w:rPr>
    </w:pPr>
    <w:r w:rsidRPr="0014051E">
      <w:rPr>
        <w:lang w:val="lv-LV"/>
      </w:rPr>
      <w:t>EM</w:t>
    </w:r>
    <w:r>
      <w:rPr>
        <w:lang w:val="lv-LV"/>
      </w:rPr>
      <w:t>An</w:t>
    </w:r>
    <w:r w:rsidRPr="0014051E">
      <w:rPr>
        <w:lang w:val="lv-LV"/>
      </w:rPr>
      <w:t>ot_</w:t>
    </w:r>
    <w:r w:rsidR="00403BB6">
      <w:rPr>
        <w:lang w:val="lv-LV"/>
      </w:rPr>
      <w:t>starp_apmac_805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B8FB" w14:textId="533F3367" w:rsidR="004259BC" w:rsidRPr="0014051E" w:rsidRDefault="004259BC" w:rsidP="0014051E">
    <w:pPr>
      <w:pStyle w:val="Footer"/>
      <w:jc w:val="both"/>
      <w:rPr>
        <w:lang w:val="lv-LV"/>
      </w:rPr>
    </w:pPr>
    <w:r w:rsidRPr="0014051E">
      <w:rPr>
        <w:lang w:val="lv-LV"/>
      </w:rPr>
      <w:t>EM</w:t>
    </w:r>
    <w:r>
      <w:rPr>
        <w:lang w:val="lv-LV"/>
      </w:rPr>
      <w:t>An</w:t>
    </w:r>
    <w:r w:rsidRPr="0014051E">
      <w:rPr>
        <w:lang w:val="lv-LV"/>
      </w:rPr>
      <w:t>ot_</w:t>
    </w:r>
    <w:r w:rsidR="00403BB6">
      <w:rPr>
        <w:lang w:val="lv-LV"/>
      </w:rPr>
      <w:t>starp_apmac_805</w:t>
    </w:r>
  </w:p>
  <w:p w14:paraId="2658AF59" w14:textId="77777777" w:rsidR="004259BC" w:rsidRDefault="0042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3AE30" w14:textId="77777777" w:rsidR="00B5695B" w:rsidRDefault="00B5695B" w:rsidP="006B2FEF">
      <w:r>
        <w:separator/>
      </w:r>
    </w:p>
  </w:footnote>
  <w:footnote w:type="continuationSeparator" w:id="0">
    <w:p w14:paraId="2624C18B" w14:textId="77777777" w:rsidR="00B5695B" w:rsidRDefault="00B5695B" w:rsidP="006B2FEF">
      <w:r>
        <w:continuationSeparator/>
      </w:r>
    </w:p>
  </w:footnote>
  <w:footnote w:type="continuationNotice" w:id="1">
    <w:p w14:paraId="0546F02F" w14:textId="77777777" w:rsidR="00B5695B" w:rsidRDefault="00B56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7235"/>
      <w:docPartObj>
        <w:docPartGallery w:val="Page Numbers (Top of Page)"/>
        <w:docPartUnique/>
      </w:docPartObj>
    </w:sdtPr>
    <w:sdtEndPr>
      <w:rPr>
        <w:sz w:val="24"/>
        <w:szCs w:val="24"/>
      </w:rPr>
    </w:sdtEndPr>
    <w:sdtContent>
      <w:p w14:paraId="4597F8B3" w14:textId="3CA29690" w:rsidR="004259BC" w:rsidRPr="005A1518" w:rsidRDefault="004259BC"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7</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3C8"/>
    <w:multiLevelType w:val="hybridMultilevel"/>
    <w:tmpl w:val="45FEA8E0"/>
    <w:lvl w:ilvl="0" w:tplc="6D5CF492">
      <w:start w:val="1"/>
      <w:numFmt w:val="decimal"/>
      <w:lvlText w:val="%1)"/>
      <w:lvlJc w:val="left"/>
      <w:pPr>
        <w:ind w:left="3784" w:hanging="360"/>
      </w:pPr>
      <w:rPr>
        <w:rFonts w:hint="default"/>
      </w:rPr>
    </w:lvl>
    <w:lvl w:ilvl="1" w:tplc="04260019" w:tentative="1">
      <w:start w:val="1"/>
      <w:numFmt w:val="lowerLetter"/>
      <w:lvlText w:val="%2."/>
      <w:lvlJc w:val="left"/>
      <w:pPr>
        <w:ind w:left="4504" w:hanging="360"/>
      </w:pPr>
    </w:lvl>
    <w:lvl w:ilvl="2" w:tplc="0426001B" w:tentative="1">
      <w:start w:val="1"/>
      <w:numFmt w:val="lowerRoman"/>
      <w:lvlText w:val="%3."/>
      <w:lvlJc w:val="right"/>
      <w:pPr>
        <w:ind w:left="5224" w:hanging="180"/>
      </w:pPr>
    </w:lvl>
    <w:lvl w:ilvl="3" w:tplc="0426000F" w:tentative="1">
      <w:start w:val="1"/>
      <w:numFmt w:val="decimal"/>
      <w:lvlText w:val="%4."/>
      <w:lvlJc w:val="left"/>
      <w:pPr>
        <w:ind w:left="5944" w:hanging="360"/>
      </w:pPr>
    </w:lvl>
    <w:lvl w:ilvl="4" w:tplc="04260019" w:tentative="1">
      <w:start w:val="1"/>
      <w:numFmt w:val="lowerLetter"/>
      <w:lvlText w:val="%5."/>
      <w:lvlJc w:val="left"/>
      <w:pPr>
        <w:ind w:left="6664" w:hanging="360"/>
      </w:pPr>
    </w:lvl>
    <w:lvl w:ilvl="5" w:tplc="0426001B" w:tentative="1">
      <w:start w:val="1"/>
      <w:numFmt w:val="lowerRoman"/>
      <w:lvlText w:val="%6."/>
      <w:lvlJc w:val="right"/>
      <w:pPr>
        <w:ind w:left="7384" w:hanging="180"/>
      </w:pPr>
    </w:lvl>
    <w:lvl w:ilvl="6" w:tplc="0426000F" w:tentative="1">
      <w:start w:val="1"/>
      <w:numFmt w:val="decimal"/>
      <w:lvlText w:val="%7."/>
      <w:lvlJc w:val="left"/>
      <w:pPr>
        <w:ind w:left="8104" w:hanging="360"/>
      </w:pPr>
    </w:lvl>
    <w:lvl w:ilvl="7" w:tplc="04260019" w:tentative="1">
      <w:start w:val="1"/>
      <w:numFmt w:val="lowerLetter"/>
      <w:lvlText w:val="%8."/>
      <w:lvlJc w:val="left"/>
      <w:pPr>
        <w:ind w:left="8824" w:hanging="360"/>
      </w:pPr>
    </w:lvl>
    <w:lvl w:ilvl="8" w:tplc="0426001B" w:tentative="1">
      <w:start w:val="1"/>
      <w:numFmt w:val="lowerRoman"/>
      <w:lvlText w:val="%9."/>
      <w:lvlJc w:val="right"/>
      <w:pPr>
        <w:ind w:left="9544" w:hanging="180"/>
      </w:pPr>
    </w:lvl>
  </w:abstractNum>
  <w:abstractNum w:abstractNumId="1"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0766FE"/>
    <w:multiLevelType w:val="hybridMultilevel"/>
    <w:tmpl w:val="7C34376E"/>
    <w:lvl w:ilvl="0" w:tplc="DCAC6048">
      <w:start w:val="1"/>
      <w:numFmt w:val="decimal"/>
      <w:lvlText w:val="%1."/>
      <w:lvlJc w:val="left"/>
      <w:pPr>
        <w:ind w:left="720" w:hanging="360"/>
      </w:pPr>
      <w:rPr>
        <w:rFonts w:eastAsia="Calibri" w:hint="default"/>
        <w:b w:val="0"/>
        <w:bCs/>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F756CC"/>
    <w:multiLevelType w:val="hybridMultilevel"/>
    <w:tmpl w:val="2F3A3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CC0D3F"/>
    <w:multiLevelType w:val="hybridMultilevel"/>
    <w:tmpl w:val="0D06DB20"/>
    <w:lvl w:ilvl="0" w:tplc="33E8D8DC">
      <w:start w:val="2020"/>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6"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D6733E"/>
    <w:multiLevelType w:val="hybridMultilevel"/>
    <w:tmpl w:val="D1D0D5AE"/>
    <w:lvl w:ilvl="0" w:tplc="9496D090">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9559B7"/>
    <w:multiLevelType w:val="hybridMultilevel"/>
    <w:tmpl w:val="E6CA93B8"/>
    <w:lvl w:ilvl="0" w:tplc="AEE2AE30">
      <w:start w:val="1"/>
      <w:numFmt w:val="decimal"/>
      <w:lvlText w:val="%1."/>
      <w:lvlJc w:val="left"/>
      <w:pPr>
        <w:ind w:left="450" w:hanging="39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B234D9"/>
    <w:multiLevelType w:val="hybridMultilevel"/>
    <w:tmpl w:val="3AAE74A4"/>
    <w:lvl w:ilvl="0" w:tplc="04260001">
      <w:start w:val="1"/>
      <w:numFmt w:val="bullet"/>
      <w:lvlText w:val=""/>
      <w:lvlJc w:val="left"/>
      <w:pPr>
        <w:ind w:left="1253" w:hanging="360"/>
      </w:pPr>
      <w:rPr>
        <w:rFonts w:ascii="Symbol" w:hAnsi="Symbol" w:hint="default"/>
      </w:rPr>
    </w:lvl>
    <w:lvl w:ilvl="1" w:tplc="04260003">
      <w:start w:val="1"/>
      <w:numFmt w:val="bullet"/>
      <w:lvlText w:val="o"/>
      <w:lvlJc w:val="left"/>
      <w:pPr>
        <w:ind w:left="1973" w:hanging="360"/>
      </w:pPr>
      <w:rPr>
        <w:rFonts w:ascii="Courier New" w:hAnsi="Courier New" w:cs="Courier New" w:hint="default"/>
      </w:rPr>
    </w:lvl>
    <w:lvl w:ilvl="2" w:tplc="04260005">
      <w:start w:val="1"/>
      <w:numFmt w:val="bullet"/>
      <w:lvlText w:val=""/>
      <w:lvlJc w:val="left"/>
      <w:pPr>
        <w:ind w:left="2693" w:hanging="360"/>
      </w:pPr>
      <w:rPr>
        <w:rFonts w:ascii="Wingdings" w:hAnsi="Wingdings" w:hint="default"/>
      </w:rPr>
    </w:lvl>
    <w:lvl w:ilvl="3" w:tplc="04260001">
      <w:start w:val="1"/>
      <w:numFmt w:val="bullet"/>
      <w:lvlText w:val=""/>
      <w:lvlJc w:val="left"/>
      <w:pPr>
        <w:ind w:left="3413" w:hanging="360"/>
      </w:pPr>
      <w:rPr>
        <w:rFonts w:ascii="Symbol" w:hAnsi="Symbol" w:hint="default"/>
      </w:rPr>
    </w:lvl>
    <w:lvl w:ilvl="4" w:tplc="04260003">
      <w:start w:val="1"/>
      <w:numFmt w:val="bullet"/>
      <w:lvlText w:val="o"/>
      <w:lvlJc w:val="left"/>
      <w:pPr>
        <w:ind w:left="4133" w:hanging="360"/>
      </w:pPr>
      <w:rPr>
        <w:rFonts w:ascii="Courier New" w:hAnsi="Courier New" w:cs="Courier New" w:hint="default"/>
      </w:rPr>
    </w:lvl>
    <w:lvl w:ilvl="5" w:tplc="04260005">
      <w:start w:val="1"/>
      <w:numFmt w:val="bullet"/>
      <w:lvlText w:val=""/>
      <w:lvlJc w:val="left"/>
      <w:pPr>
        <w:ind w:left="4853" w:hanging="360"/>
      </w:pPr>
      <w:rPr>
        <w:rFonts w:ascii="Wingdings" w:hAnsi="Wingdings" w:hint="default"/>
      </w:rPr>
    </w:lvl>
    <w:lvl w:ilvl="6" w:tplc="04260001">
      <w:start w:val="1"/>
      <w:numFmt w:val="bullet"/>
      <w:lvlText w:val=""/>
      <w:lvlJc w:val="left"/>
      <w:pPr>
        <w:ind w:left="5573" w:hanging="360"/>
      </w:pPr>
      <w:rPr>
        <w:rFonts w:ascii="Symbol" w:hAnsi="Symbol" w:hint="default"/>
      </w:rPr>
    </w:lvl>
    <w:lvl w:ilvl="7" w:tplc="04260003">
      <w:start w:val="1"/>
      <w:numFmt w:val="bullet"/>
      <w:lvlText w:val="o"/>
      <w:lvlJc w:val="left"/>
      <w:pPr>
        <w:ind w:left="6293" w:hanging="360"/>
      </w:pPr>
      <w:rPr>
        <w:rFonts w:ascii="Courier New" w:hAnsi="Courier New" w:cs="Courier New" w:hint="default"/>
      </w:rPr>
    </w:lvl>
    <w:lvl w:ilvl="8" w:tplc="04260005">
      <w:start w:val="1"/>
      <w:numFmt w:val="bullet"/>
      <w:lvlText w:val=""/>
      <w:lvlJc w:val="left"/>
      <w:pPr>
        <w:ind w:left="7013" w:hanging="360"/>
      </w:pPr>
      <w:rPr>
        <w:rFonts w:ascii="Wingdings" w:hAnsi="Wingdings" w:hint="default"/>
      </w:rPr>
    </w:lvl>
  </w:abstractNum>
  <w:abstractNum w:abstractNumId="12" w15:restartNumberingAfterBreak="0">
    <w:nsid w:val="61111602"/>
    <w:multiLevelType w:val="hybridMultilevel"/>
    <w:tmpl w:val="45FEA8E0"/>
    <w:lvl w:ilvl="0" w:tplc="6D5CF492">
      <w:start w:val="1"/>
      <w:numFmt w:val="decimal"/>
      <w:lvlText w:val="%1)"/>
      <w:lvlJc w:val="left"/>
      <w:pPr>
        <w:ind w:left="708" w:hanging="360"/>
      </w:pPr>
      <w:rPr>
        <w:rFonts w:hint="default"/>
      </w:rPr>
    </w:lvl>
    <w:lvl w:ilvl="1" w:tplc="04260019" w:tentative="1">
      <w:start w:val="1"/>
      <w:numFmt w:val="lowerLetter"/>
      <w:lvlText w:val="%2."/>
      <w:lvlJc w:val="left"/>
      <w:pPr>
        <w:ind w:left="1428" w:hanging="360"/>
      </w:pPr>
    </w:lvl>
    <w:lvl w:ilvl="2" w:tplc="0426001B" w:tentative="1">
      <w:start w:val="1"/>
      <w:numFmt w:val="lowerRoman"/>
      <w:lvlText w:val="%3."/>
      <w:lvlJc w:val="right"/>
      <w:pPr>
        <w:ind w:left="2148" w:hanging="180"/>
      </w:pPr>
    </w:lvl>
    <w:lvl w:ilvl="3" w:tplc="0426000F" w:tentative="1">
      <w:start w:val="1"/>
      <w:numFmt w:val="decimal"/>
      <w:lvlText w:val="%4."/>
      <w:lvlJc w:val="left"/>
      <w:pPr>
        <w:ind w:left="2868" w:hanging="360"/>
      </w:pPr>
    </w:lvl>
    <w:lvl w:ilvl="4" w:tplc="04260019" w:tentative="1">
      <w:start w:val="1"/>
      <w:numFmt w:val="lowerLetter"/>
      <w:lvlText w:val="%5."/>
      <w:lvlJc w:val="left"/>
      <w:pPr>
        <w:ind w:left="3588" w:hanging="360"/>
      </w:pPr>
    </w:lvl>
    <w:lvl w:ilvl="5" w:tplc="0426001B" w:tentative="1">
      <w:start w:val="1"/>
      <w:numFmt w:val="lowerRoman"/>
      <w:lvlText w:val="%6."/>
      <w:lvlJc w:val="right"/>
      <w:pPr>
        <w:ind w:left="4308" w:hanging="180"/>
      </w:pPr>
    </w:lvl>
    <w:lvl w:ilvl="6" w:tplc="0426000F" w:tentative="1">
      <w:start w:val="1"/>
      <w:numFmt w:val="decimal"/>
      <w:lvlText w:val="%7."/>
      <w:lvlJc w:val="left"/>
      <w:pPr>
        <w:ind w:left="5028" w:hanging="360"/>
      </w:pPr>
    </w:lvl>
    <w:lvl w:ilvl="7" w:tplc="04260019" w:tentative="1">
      <w:start w:val="1"/>
      <w:numFmt w:val="lowerLetter"/>
      <w:lvlText w:val="%8."/>
      <w:lvlJc w:val="left"/>
      <w:pPr>
        <w:ind w:left="5748" w:hanging="360"/>
      </w:pPr>
    </w:lvl>
    <w:lvl w:ilvl="8" w:tplc="0426001B" w:tentative="1">
      <w:start w:val="1"/>
      <w:numFmt w:val="lowerRoman"/>
      <w:lvlText w:val="%9."/>
      <w:lvlJc w:val="right"/>
      <w:pPr>
        <w:ind w:left="6468" w:hanging="180"/>
      </w:pPr>
    </w:lvl>
  </w:abstractNum>
  <w:abstractNum w:abstractNumId="13" w15:restartNumberingAfterBreak="0">
    <w:nsid w:val="64CB1BA5"/>
    <w:multiLevelType w:val="hybridMultilevel"/>
    <w:tmpl w:val="A1B8AD32"/>
    <w:lvl w:ilvl="0" w:tplc="DCAC6048">
      <w:start w:val="1"/>
      <w:numFmt w:val="decimal"/>
      <w:lvlText w:val="%1."/>
      <w:lvlJc w:val="left"/>
      <w:pPr>
        <w:ind w:left="780" w:hanging="360"/>
      </w:pPr>
      <w:rPr>
        <w:rFonts w:eastAsia="Calibri" w:hint="default"/>
        <w:b w:val="0"/>
        <w:bCs/>
        <w:color w:val="000000" w:themeColor="text1"/>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69CE54EA"/>
    <w:multiLevelType w:val="hybridMultilevel"/>
    <w:tmpl w:val="DBECA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D9A0D5B"/>
    <w:multiLevelType w:val="hybridMultilevel"/>
    <w:tmpl w:val="268E5ABE"/>
    <w:lvl w:ilvl="0" w:tplc="A9AEE2D8">
      <w:start w:val="202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AA1E41"/>
    <w:multiLevelType w:val="hybridMultilevel"/>
    <w:tmpl w:val="D426601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3"/>
  </w:num>
  <w:num w:numId="2">
    <w:abstractNumId w:val="10"/>
  </w:num>
  <w:num w:numId="3">
    <w:abstractNumId w:val="6"/>
  </w:num>
  <w:num w:numId="4">
    <w:abstractNumId w:val="1"/>
  </w:num>
  <w:num w:numId="5">
    <w:abstractNumId w:val="9"/>
  </w:num>
  <w:num w:numId="6">
    <w:abstractNumId w:val="17"/>
  </w:num>
  <w:num w:numId="7">
    <w:abstractNumId w:val="15"/>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12"/>
  </w:num>
  <w:num w:numId="14">
    <w:abstractNumId w:val="2"/>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7"/>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3B9C"/>
    <w:rsid w:val="000058AA"/>
    <w:rsid w:val="0000653D"/>
    <w:rsid w:val="00007491"/>
    <w:rsid w:val="0001048C"/>
    <w:rsid w:val="00013B61"/>
    <w:rsid w:val="00014B9F"/>
    <w:rsid w:val="000157FD"/>
    <w:rsid w:val="00016159"/>
    <w:rsid w:val="0002003C"/>
    <w:rsid w:val="000231D2"/>
    <w:rsid w:val="000240CA"/>
    <w:rsid w:val="00024ACB"/>
    <w:rsid w:val="00024D9D"/>
    <w:rsid w:val="00024EF9"/>
    <w:rsid w:val="0002511E"/>
    <w:rsid w:val="0002596F"/>
    <w:rsid w:val="00026F18"/>
    <w:rsid w:val="0003012D"/>
    <w:rsid w:val="00030B7E"/>
    <w:rsid w:val="0003245D"/>
    <w:rsid w:val="00032471"/>
    <w:rsid w:val="0003265E"/>
    <w:rsid w:val="00033F5A"/>
    <w:rsid w:val="00035C7B"/>
    <w:rsid w:val="000430AC"/>
    <w:rsid w:val="0004380E"/>
    <w:rsid w:val="00044683"/>
    <w:rsid w:val="00044743"/>
    <w:rsid w:val="00045B58"/>
    <w:rsid w:val="00045E27"/>
    <w:rsid w:val="00045F86"/>
    <w:rsid w:val="00047095"/>
    <w:rsid w:val="00047962"/>
    <w:rsid w:val="000527A4"/>
    <w:rsid w:val="00053E3A"/>
    <w:rsid w:val="000648D9"/>
    <w:rsid w:val="00064B6E"/>
    <w:rsid w:val="000665BC"/>
    <w:rsid w:val="000678CD"/>
    <w:rsid w:val="00070F56"/>
    <w:rsid w:val="00071082"/>
    <w:rsid w:val="0007156D"/>
    <w:rsid w:val="00071BC9"/>
    <w:rsid w:val="00072B02"/>
    <w:rsid w:val="0007330D"/>
    <w:rsid w:val="00074090"/>
    <w:rsid w:val="0007684B"/>
    <w:rsid w:val="000773A5"/>
    <w:rsid w:val="00077D13"/>
    <w:rsid w:val="0008002B"/>
    <w:rsid w:val="00080352"/>
    <w:rsid w:val="000818FB"/>
    <w:rsid w:val="00081EC5"/>
    <w:rsid w:val="0008515E"/>
    <w:rsid w:val="00085640"/>
    <w:rsid w:val="000874E6"/>
    <w:rsid w:val="00091668"/>
    <w:rsid w:val="00091F4F"/>
    <w:rsid w:val="0009324B"/>
    <w:rsid w:val="00094B1E"/>
    <w:rsid w:val="00095280"/>
    <w:rsid w:val="00095AF8"/>
    <w:rsid w:val="00096060"/>
    <w:rsid w:val="000964C6"/>
    <w:rsid w:val="0009743E"/>
    <w:rsid w:val="000A0059"/>
    <w:rsid w:val="000A14E3"/>
    <w:rsid w:val="000A3654"/>
    <w:rsid w:val="000A37C3"/>
    <w:rsid w:val="000A3879"/>
    <w:rsid w:val="000A38DA"/>
    <w:rsid w:val="000A44CE"/>
    <w:rsid w:val="000A4B5A"/>
    <w:rsid w:val="000A4CDB"/>
    <w:rsid w:val="000A5D04"/>
    <w:rsid w:val="000A6486"/>
    <w:rsid w:val="000A7E05"/>
    <w:rsid w:val="000B0748"/>
    <w:rsid w:val="000B1926"/>
    <w:rsid w:val="000B1B64"/>
    <w:rsid w:val="000B20D2"/>
    <w:rsid w:val="000B2C54"/>
    <w:rsid w:val="000B3449"/>
    <w:rsid w:val="000B3FAB"/>
    <w:rsid w:val="000B492B"/>
    <w:rsid w:val="000B71B4"/>
    <w:rsid w:val="000C090A"/>
    <w:rsid w:val="000C33C1"/>
    <w:rsid w:val="000C4418"/>
    <w:rsid w:val="000C6987"/>
    <w:rsid w:val="000C7F31"/>
    <w:rsid w:val="000D1EA5"/>
    <w:rsid w:val="000D2474"/>
    <w:rsid w:val="000D3D56"/>
    <w:rsid w:val="000D43D9"/>
    <w:rsid w:val="000D74B9"/>
    <w:rsid w:val="000E257B"/>
    <w:rsid w:val="000E46A4"/>
    <w:rsid w:val="000E53C3"/>
    <w:rsid w:val="000E56F8"/>
    <w:rsid w:val="000E5DD2"/>
    <w:rsid w:val="000E63F3"/>
    <w:rsid w:val="000F0A62"/>
    <w:rsid w:val="000F0E0E"/>
    <w:rsid w:val="000F1D22"/>
    <w:rsid w:val="000F25D2"/>
    <w:rsid w:val="000F2EA7"/>
    <w:rsid w:val="000F4230"/>
    <w:rsid w:val="000F5401"/>
    <w:rsid w:val="001001F5"/>
    <w:rsid w:val="0010088E"/>
    <w:rsid w:val="00102922"/>
    <w:rsid w:val="00102B0D"/>
    <w:rsid w:val="00102B1D"/>
    <w:rsid w:val="00104BDD"/>
    <w:rsid w:val="00105A7C"/>
    <w:rsid w:val="00105D17"/>
    <w:rsid w:val="00110128"/>
    <w:rsid w:val="001129AA"/>
    <w:rsid w:val="001133E7"/>
    <w:rsid w:val="0011606F"/>
    <w:rsid w:val="001164C3"/>
    <w:rsid w:val="0012177A"/>
    <w:rsid w:val="0012624C"/>
    <w:rsid w:val="0013024B"/>
    <w:rsid w:val="00130C79"/>
    <w:rsid w:val="00131C9F"/>
    <w:rsid w:val="00137388"/>
    <w:rsid w:val="00137E32"/>
    <w:rsid w:val="00137F96"/>
    <w:rsid w:val="0014051E"/>
    <w:rsid w:val="0014092F"/>
    <w:rsid w:val="00142C3C"/>
    <w:rsid w:val="00143BB6"/>
    <w:rsid w:val="00145366"/>
    <w:rsid w:val="00146697"/>
    <w:rsid w:val="00146D17"/>
    <w:rsid w:val="00151BBD"/>
    <w:rsid w:val="00151F22"/>
    <w:rsid w:val="00152387"/>
    <w:rsid w:val="0015295F"/>
    <w:rsid w:val="00152F52"/>
    <w:rsid w:val="00156C28"/>
    <w:rsid w:val="0016143E"/>
    <w:rsid w:val="00161BA7"/>
    <w:rsid w:val="00161DD5"/>
    <w:rsid w:val="001633A3"/>
    <w:rsid w:val="001650AC"/>
    <w:rsid w:val="001655DD"/>
    <w:rsid w:val="00165747"/>
    <w:rsid w:val="00165F5E"/>
    <w:rsid w:val="0016668A"/>
    <w:rsid w:val="00166A8B"/>
    <w:rsid w:val="0016744E"/>
    <w:rsid w:val="00167597"/>
    <w:rsid w:val="00172082"/>
    <w:rsid w:val="00174095"/>
    <w:rsid w:val="00176AB2"/>
    <w:rsid w:val="00177250"/>
    <w:rsid w:val="00177882"/>
    <w:rsid w:val="00177C69"/>
    <w:rsid w:val="001805FA"/>
    <w:rsid w:val="00180DBF"/>
    <w:rsid w:val="00180E2B"/>
    <w:rsid w:val="00183B65"/>
    <w:rsid w:val="00183C0A"/>
    <w:rsid w:val="00186A4D"/>
    <w:rsid w:val="00187140"/>
    <w:rsid w:val="00190B3D"/>
    <w:rsid w:val="001935C8"/>
    <w:rsid w:val="001946C8"/>
    <w:rsid w:val="00195D43"/>
    <w:rsid w:val="001A120C"/>
    <w:rsid w:val="001A1322"/>
    <w:rsid w:val="001A1368"/>
    <w:rsid w:val="001A1439"/>
    <w:rsid w:val="001A2748"/>
    <w:rsid w:val="001A38EA"/>
    <w:rsid w:val="001A3ED2"/>
    <w:rsid w:val="001A623D"/>
    <w:rsid w:val="001A7C3A"/>
    <w:rsid w:val="001A7E1D"/>
    <w:rsid w:val="001B6AC0"/>
    <w:rsid w:val="001B70CA"/>
    <w:rsid w:val="001B7454"/>
    <w:rsid w:val="001C0801"/>
    <w:rsid w:val="001C143C"/>
    <w:rsid w:val="001C1B72"/>
    <w:rsid w:val="001C2832"/>
    <w:rsid w:val="001C362D"/>
    <w:rsid w:val="001C5ED6"/>
    <w:rsid w:val="001C6208"/>
    <w:rsid w:val="001C68A2"/>
    <w:rsid w:val="001C6D4A"/>
    <w:rsid w:val="001C70CC"/>
    <w:rsid w:val="001D0561"/>
    <w:rsid w:val="001D0800"/>
    <w:rsid w:val="001D2C06"/>
    <w:rsid w:val="001D3167"/>
    <w:rsid w:val="001D6554"/>
    <w:rsid w:val="001D6EFA"/>
    <w:rsid w:val="001D7397"/>
    <w:rsid w:val="001D7DC1"/>
    <w:rsid w:val="001E023A"/>
    <w:rsid w:val="001E1B0F"/>
    <w:rsid w:val="001E2389"/>
    <w:rsid w:val="001E3588"/>
    <w:rsid w:val="001E4C2F"/>
    <w:rsid w:val="001E5FBC"/>
    <w:rsid w:val="001E76BE"/>
    <w:rsid w:val="001F2BA2"/>
    <w:rsid w:val="001F6DBE"/>
    <w:rsid w:val="001F7086"/>
    <w:rsid w:val="001F7AAD"/>
    <w:rsid w:val="00200E7D"/>
    <w:rsid w:val="00201D17"/>
    <w:rsid w:val="0020468C"/>
    <w:rsid w:val="002107BF"/>
    <w:rsid w:val="00210E64"/>
    <w:rsid w:val="00211315"/>
    <w:rsid w:val="00215A5A"/>
    <w:rsid w:val="00215C6A"/>
    <w:rsid w:val="0021738A"/>
    <w:rsid w:val="002177B0"/>
    <w:rsid w:val="00217F5B"/>
    <w:rsid w:val="00223778"/>
    <w:rsid w:val="00224E84"/>
    <w:rsid w:val="002267E7"/>
    <w:rsid w:val="00227BC3"/>
    <w:rsid w:val="00227F25"/>
    <w:rsid w:val="00232596"/>
    <w:rsid w:val="0023582E"/>
    <w:rsid w:val="002376A8"/>
    <w:rsid w:val="00237878"/>
    <w:rsid w:val="00240921"/>
    <w:rsid w:val="00243066"/>
    <w:rsid w:val="002438ED"/>
    <w:rsid w:val="00244A9E"/>
    <w:rsid w:val="002453A1"/>
    <w:rsid w:val="00246849"/>
    <w:rsid w:val="00247A0B"/>
    <w:rsid w:val="00250127"/>
    <w:rsid w:val="0025023B"/>
    <w:rsid w:val="0025130F"/>
    <w:rsid w:val="00252B8E"/>
    <w:rsid w:val="00252EEF"/>
    <w:rsid w:val="00253B6C"/>
    <w:rsid w:val="00253C94"/>
    <w:rsid w:val="00254651"/>
    <w:rsid w:val="00254901"/>
    <w:rsid w:val="0025543B"/>
    <w:rsid w:val="00255BAC"/>
    <w:rsid w:val="0025654B"/>
    <w:rsid w:val="00256ACE"/>
    <w:rsid w:val="00257981"/>
    <w:rsid w:val="002601C7"/>
    <w:rsid w:val="00261B97"/>
    <w:rsid w:val="002651EA"/>
    <w:rsid w:val="0027369F"/>
    <w:rsid w:val="00273700"/>
    <w:rsid w:val="00273B21"/>
    <w:rsid w:val="00274E8B"/>
    <w:rsid w:val="00277D9D"/>
    <w:rsid w:val="00281C0B"/>
    <w:rsid w:val="00282251"/>
    <w:rsid w:val="0028288E"/>
    <w:rsid w:val="00284ADB"/>
    <w:rsid w:val="00286A8E"/>
    <w:rsid w:val="00290EE2"/>
    <w:rsid w:val="00292062"/>
    <w:rsid w:val="002932D2"/>
    <w:rsid w:val="002938AB"/>
    <w:rsid w:val="00294593"/>
    <w:rsid w:val="00294DDB"/>
    <w:rsid w:val="00294DF3"/>
    <w:rsid w:val="00295741"/>
    <w:rsid w:val="002957B7"/>
    <w:rsid w:val="002965D2"/>
    <w:rsid w:val="002A0435"/>
    <w:rsid w:val="002A0BC1"/>
    <w:rsid w:val="002A0F87"/>
    <w:rsid w:val="002A166A"/>
    <w:rsid w:val="002A1AA4"/>
    <w:rsid w:val="002A2C52"/>
    <w:rsid w:val="002A3150"/>
    <w:rsid w:val="002A3287"/>
    <w:rsid w:val="002A3EC2"/>
    <w:rsid w:val="002A6400"/>
    <w:rsid w:val="002A7C45"/>
    <w:rsid w:val="002B071C"/>
    <w:rsid w:val="002B133E"/>
    <w:rsid w:val="002B24D2"/>
    <w:rsid w:val="002B3EAE"/>
    <w:rsid w:val="002B4900"/>
    <w:rsid w:val="002B6364"/>
    <w:rsid w:val="002B7681"/>
    <w:rsid w:val="002B7F82"/>
    <w:rsid w:val="002C0D41"/>
    <w:rsid w:val="002C15A0"/>
    <w:rsid w:val="002C22CF"/>
    <w:rsid w:val="002C3E23"/>
    <w:rsid w:val="002C3E51"/>
    <w:rsid w:val="002C504B"/>
    <w:rsid w:val="002C743D"/>
    <w:rsid w:val="002C749F"/>
    <w:rsid w:val="002D339C"/>
    <w:rsid w:val="002D43A2"/>
    <w:rsid w:val="002D4C3F"/>
    <w:rsid w:val="002D6A10"/>
    <w:rsid w:val="002D6BDB"/>
    <w:rsid w:val="002D744A"/>
    <w:rsid w:val="002D7D0E"/>
    <w:rsid w:val="002E024D"/>
    <w:rsid w:val="002E1075"/>
    <w:rsid w:val="002E1779"/>
    <w:rsid w:val="002E5019"/>
    <w:rsid w:val="002E5643"/>
    <w:rsid w:val="002E678E"/>
    <w:rsid w:val="002E708A"/>
    <w:rsid w:val="002E7635"/>
    <w:rsid w:val="002F06CE"/>
    <w:rsid w:val="002F1DFD"/>
    <w:rsid w:val="002F21A8"/>
    <w:rsid w:val="002F5587"/>
    <w:rsid w:val="002F5FB0"/>
    <w:rsid w:val="002F741D"/>
    <w:rsid w:val="003003D5"/>
    <w:rsid w:val="00300615"/>
    <w:rsid w:val="00300B84"/>
    <w:rsid w:val="00301A6D"/>
    <w:rsid w:val="0030247A"/>
    <w:rsid w:val="00303955"/>
    <w:rsid w:val="00303F18"/>
    <w:rsid w:val="00304810"/>
    <w:rsid w:val="003048C5"/>
    <w:rsid w:val="003055C3"/>
    <w:rsid w:val="003061FB"/>
    <w:rsid w:val="00306270"/>
    <w:rsid w:val="0031008A"/>
    <w:rsid w:val="00310924"/>
    <w:rsid w:val="0031259B"/>
    <w:rsid w:val="00314298"/>
    <w:rsid w:val="0031471E"/>
    <w:rsid w:val="003176D3"/>
    <w:rsid w:val="00317EBF"/>
    <w:rsid w:val="003202B6"/>
    <w:rsid w:val="00320409"/>
    <w:rsid w:val="003204E2"/>
    <w:rsid w:val="00320B22"/>
    <w:rsid w:val="003228DE"/>
    <w:rsid w:val="00323C8A"/>
    <w:rsid w:val="00326096"/>
    <w:rsid w:val="00326AE5"/>
    <w:rsid w:val="00330421"/>
    <w:rsid w:val="0033237E"/>
    <w:rsid w:val="003334FB"/>
    <w:rsid w:val="003344E7"/>
    <w:rsid w:val="0033779C"/>
    <w:rsid w:val="00337AC6"/>
    <w:rsid w:val="00343A18"/>
    <w:rsid w:val="0034476B"/>
    <w:rsid w:val="00346913"/>
    <w:rsid w:val="003469B5"/>
    <w:rsid w:val="00346CE0"/>
    <w:rsid w:val="00354ABE"/>
    <w:rsid w:val="00356159"/>
    <w:rsid w:val="00356492"/>
    <w:rsid w:val="00357C6C"/>
    <w:rsid w:val="00360657"/>
    <w:rsid w:val="00366AFE"/>
    <w:rsid w:val="00367B98"/>
    <w:rsid w:val="00370711"/>
    <w:rsid w:val="003711F9"/>
    <w:rsid w:val="00371757"/>
    <w:rsid w:val="00373808"/>
    <w:rsid w:val="00373F39"/>
    <w:rsid w:val="00374F73"/>
    <w:rsid w:val="0037530A"/>
    <w:rsid w:val="00375D4C"/>
    <w:rsid w:val="00375F30"/>
    <w:rsid w:val="00376F09"/>
    <w:rsid w:val="00380AC5"/>
    <w:rsid w:val="00380D03"/>
    <w:rsid w:val="00381382"/>
    <w:rsid w:val="003814A5"/>
    <w:rsid w:val="00381B26"/>
    <w:rsid w:val="00382FEC"/>
    <w:rsid w:val="003850E7"/>
    <w:rsid w:val="00385772"/>
    <w:rsid w:val="00387734"/>
    <w:rsid w:val="003911D7"/>
    <w:rsid w:val="0039139B"/>
    <w:rsid w:val="003913FB"/>
    <w:rsid w:val="00391F87"/>
    <w:rsid w:val="003926B4"/>
    <w:rsid w:val="00392998"/>
    <w:rsid w:val="00392C95"/>
    <w:rsid w:val="00393026"/>
    <w:rsid w:val="0039319E"/>
    <w:rsid w:val="00393E8A"/>
    <w:rsid w:val="00394872"/>
    <w:rsid w:val="003949F0"/>
    <w:rsid w:val="00395460"/>
    <w:rsid w:val="00396152"/>
    <w:rsid w:val="003962D9"/>
    <w:rsid w:val="00397D0E"/>
    <w:rsid w:val="003A038F"/>
    <w:rsid w:val="003A1D77"/>
    <w:rsid w:val="003A24AD"/>
    <w:rsid w:val="003A2C91"/>
    <w:rsid w:val="003A3887"/>
    <w:rsid w:val="003A3B51"/>
    <w:rsid w:val="003A40AD"/>
    <w:rsid w:val="003A66B2"/>
    <w:rsid w:val="003A6A32"/>
    <w:rsid w:val="003A6B7C"/>
    <w:rsid w:val="003A7D7E"/>
    <w:rsid w:val="003B1693"/>
    <w:rsid w:val="003B32EC"/>
    <w:rsid w:val="003B3488"/>
    <w:rsid w:val="003B42F1"/>
    <w:rsid w:val="003B5E55"/>
    <w:rsid w:val="003B5F6A"/>
    <w:rsid w:val="003B623A"/>
    <w:rsid w:val="003B63BE"/>
    <w:rsid w:val="003B7B62"/>
    <w:rsid w:val="003C072B"/>
    <w:rsid w:val="003C3D3D"/>
    <w:rsid w:val="003C5836"/>
    <w:rsid w:val="003C585E"/>
    <w:rsid w:val="003C7796"/>
    <w:rsid w:val="003D0189"/>
    <w:rsid w:val="003D0448"/>
    <w:rsid w:val="003D0D82"/>
    <w:rsid w:val="003D0F93"/>
    <w:rsid w:val="003D0FB7"/>
    <w:rsid w:val="003D1A86"/>
    <w:rsid w:val="003D3252"/>
    <w:rsid w:val="003D3CA2"/>
    <w:rsid w:val="003D3E7E"/>
    <w:rsid w:val="003D4D20"/>
    <w:rsid w:val="003D72E9"/>
    <w:rsid w:val="003D7F0B"/>
    <w:rsid w:val="003E06DF"/>
    <w:rsid w:val="003E145E"/>
    <w:rsid w:val="003E171B"/>
    <w:rsid w:val="003E3100"/>
    <w:rsid w:val="003E4132"/>
    <w:rsid w:val="003E5276"/>
    <w:rsid w:val="003E58C7"/>
    <w:rsid w:val="003E5A6D"/>
    <w:rsid w:val="003E5B81"/>
    <w:rsid w:val="003E5D7B"/>
    <w:rsid w:val="003E637A"/>
    <w:rsid w:val="003E78C2"/>
    <w:rsid w:val="003F0341"/>
    <w:rsid w:val="003F0484"/>
    <w:rsid w:val="003F288B"/>
    <w:rsid w:val="003F2AC0"/>
    <w:rsid w:val="003F2B20"/>
    <w:rsid w:val="003F2C34"/>
    <w:rsid w:val="003F2DF0"/>
    <w:rsid w:val="003F30FC"/>
    <w:rsid w:val="003F45CD"/>
    <w:rsid w:val="003F4CC7"/>
    <w:rsid w:val="003F7C94"/>
    <w:rsid w:val="00401397"/>
    <w:rsid w:val="004022E2"/>
    <w:rsid w:val="004038BC"/>
    <w:rsid w:val="00403BB6"/>
    <w:rsid w:val="0040575E"/>
    <w:rsid w:val="00406AE2"/>
    <w:rsid w:val="0041036A"/>
    <w:rsid w:val="0041316A"/>
    <w:rsid w:val="004139E4"/>
    <w:rsid w:val="004154AB"/>
    <w:rsid w:val="004158F6"/>
    <w:rsid w:val="00415A66"/>
    <w:rsid w:val="00416547"/>
    <w:rsid w:val="00416A31"/>
    <w:rsid w:val="00417136"/>
    <w:rsid w:val="00417240"/>
    <w:rsid w:val="0041770B"/>
    <w:rsid w:val="004205F6"/>
    <w:rsid w:val="00420760"/>
    <w:rsid w:val="00420CFF"/>
    <w:rsid w:val="004224C2"/>
    <w:rsid w:val="00423B46"/>
    <w:rsid w:val="00424376"/>
    <w:rsid w:val="004259BC"/>
    <w:rsid w:val="00425AA9"/>
    <w:rsid w:val="00426250"/>
    <w:rsid w:val="00426A69"/>
    <w:rsid w:val="00426B77"/>
    <w:rsid w:val="00430F61"/>
    <w:rsid w:val="00431019"/>
    <w:rsid w:val="00432155"/>
    <w:rsid w:val="00433EC2"/>
    <w:rsid w:val="00434856"/>
    <w:rsid w:val="00434CD9"/>
    <w:rsid w:val="004352F7"/>
    <w:rsid w:val="0043554A"/>
    <w:rsid w:val="0043619D"/>
    <w:rsid w:val="004362D3"/>
    <w:rsid w:val="0043788C"/>
    <w:rsid w:val="0044076E"/>
    <w:rsid w:val="00441C35"/>
    <w:rsid w:val="00442A8B"/>
    <w:rsid w:val="00442D1E"/>
    <w:rsid w:val="00443016"/>
    <w:rsid w:val="00444344"/>
    <w:rsid w:val="00445945"/>
    <w:rsid w:val="00450691"/>
    <w:rsid w:val="00450D9C"/>
    <w:rsid w:val="00452140"/>
    <w:rsid w:val="00453BB3"/>
    <w:rsid w:val="004545A3"/>
    <w:rsid w:val="00454695"/>
    <w:rsid w:val="00454D95"/>
    <w:rsid w:val="004569B2"/>
    <w:rsid w:val="00457427"/>
    <w:rsid w:val="00457C1C"/>
    <w:rsid w:val="004619FE"/>
    <w:rsid w:val="00462679"/>
    <w:rsid w:val="0046308C"/>
    <w:rsid w:val="00463574"/>
    <w:rsid w:val="00464762"/>
    <w:rsid w:val="00465B5F"/>
    <w:rsid w:val="004666F3"/>
    <w:rsid w:val="00467343"/>
    <w:rsid w:val="0046742A"/>
    <w:rsid w:val="0047031A"/>
    <w:rsid w:val="004710ED"/>
    <w:rsid w:val="00471A6D"/>
    <w:rsid w:val="0047322E"/>
    <w:rsid w:val="004741BD"/>
    <w:rsid w:val="004757CE"/>
    <w:rsid w:val="00475FA3"/>
    <w:rsid w:val="00476F80"/>
    <w:rsid w:val="00477B23"/>
    <w:rsid w:val="00480B18"/>
    <w:rsid w:val="00480F68"/>
    <w:rsid w:val="00481C20"/>
    <w:rsid w:val="00483B86"/>
    <w:rsid w:val="00485293"/>
    <w:rsid w:val="00485E47"/>
    <w:rsid w:val="00490499"/>
    <w:rsid w:val="00497AB8"/>
    <w:rsid w:val="004A09C9"/>
    <w:rsid w:val="004A0C09"/>
    <w:rsid w:val="004A2EE3"/>
    <w:rsid w:val="004A4356"/>
    <w:rsid w:val="004A5EEF"/>
    <w:rsid w:val="004A6D94"/>
    <w:rsid w:val="004A7474"/>
    <w:rsid w:val="004B0B1D"/>
    <w:rsid w:val="004B3711"/>
    <w:rsid w:val="004B3C41"/>
    <w:rsid w:val="004B4797"/>
    <w:rsid w:val="004B61CF"/>
    <w:rsid w:val="004B6792"/>
    <w:rsid w:val="004C0738"/>
    <w:rsid w:val="004C0D20"/>
    <w:rsid w:val="004C0FE6"/>
    <w:rsid w:val="004C20F1"/>
    <w:rsid w:val="004C212C"/>
    <w:rsid w:val="004C253C"/>
    <w:rsid w:val="004C2FC4"/>
    <w:rsid w:val="004C30C9"/>
    <w:rsid w:val="004D0374"/>
    <w:rsid w:val="004D0B68"/>
    <w:rsid w:val="004D0F95"/>
    <w:rsid w:val="004D232B"/>
    <w:rsid w:val="004D3010"/>
    <w:rsid w:val="004D3527"/>
    <w:rsid w:val="004D3ABB"/>
    <w:rsid w:val="004D4A6B"/>
    <w:rsid w:val="004E0DCF"/>
    <w:rsid w:val="004E1476"/>
    <w:rsid w:val="004E14E3"/>
    <w:rsid w:val="004E4946"/>
    <w:rsid w:val="004E5D38"/>
    <w:rsid w:val="004E603B"/>
    <w:rsid w:val="004E626B"/>
    <w:rsid w:val="004E6C7D"/>
    <w:rsid w:val="004F13BD"/>
    <w:rsid w:val="004F478F"/>
    <w:rsid w:val="004F5D3E"/>
    <w:rsid w:val="004F729B"/>
    <w:rsid w:val="004F7784"/>
    <w:rsid w:val="00501246"/>
    <w:rsid w:val="0050230D"/>
    <w:rsid w:val="0050364D"/>
    <w:rsid w:val="00503D17"/>
    <w:rsid w:val="00504D00"/>
    <w:rsid w:val="00504D6E"/>
    <w:rsid w:val="005116FB"/>
    <w:rsid w:val="0051173D"/>
    <w:rsid w:val="0051378F"/>
    <w:rsid w:val="00514B75"/>
    <w:rsid w:val="00515D44"/>
    <w:rsid w:val="00520B91"/>
    <w:rsid w:val="00523C60"/>
    <w:rsid w:val="005251E8"/>
    <w:rsid w:val="00526473"/>
    <w:rsid w:val="00527164"/>
    <w:rsid w:val="0053141C"/>
    <w:rsid w:val="00531AFF"/>
    <w:rsid w:val="00532875"/>
    <w:rsid w:val="00534305"/>
    <w:rsid w:val="00535A41"/>
    <w:rsid w:val="0053691B"/>
    <w:rsid w:val="005376A4"/>
    <w:rsid w:val="00537FF8"/>
    <w:rsid w:val="00542913"/>
    <w:rsid w:val="0054467E"/>
    <w:rsid w:val="005464E6"/>
    <w:rsid w:val="00546938"/>
    <w:rsid w:val="00546F28"/>
    <w:rsid w:val="00547ACF"/>
    <w:rsid w:val="005525C7"/>
    <w:rsid w:val="00552639"/>
    <w:rsid w:val="00554C22"/>
    <w:rsid w:val="00555557"/>
    <w:rsid w:val="00555CED"/>
    <w:rsid w:val="00557927"/>
    <w:rsid w:val="00557AA8"/>
    <w:rsid w:val="00557B17"/>
    <w:rsid w:val="00560761"/>
    <w:rsid w:val="00561126"/>
    <w:rsid w:val="00561296"/>
    <w:rsid w:val="00566916"/>
    <w:rsid w:val="00566F71"/>
    <w:rsid w:val="00567EBC"/>
    <w:rsid w:val="00567FC5"/>
    <w:rsid w:val="00571CCF"/>
    <w:rsid w:val="00572180"/>
    <w:rsid w:val="00572337"/>
    <w:rsid w:val="00573049"/>
    <w:rsid w:val="00573FFE"/>
    <w:rsid w:val="00575FC3"/>
    <w:rsid w:val="0057625C"/>
    <w:rsid w:val="00576743"/>
    <w:rsid w:val="005771D5"/>
    <w:rsid w:val="0058066B"/>
    <w:rsid w:val="0058099B"/>
    <w:rsid w:val="00580B98"/>
    <w:rsid w:val="00581784"/>
    <w:rsid w:val="005836A3"/>
    <w:rsid w:val="00583CBA"/>
    <w:rsid w:val="00584453"/>
    <w:rsid w:val="00586E05"/>
    <w:rsid w:val="0058713E"/>
    <w:rsid w:val="00591838"/>
    <w:rsid w:val="00592809"/>
    <w:rsid w:val="00593343"/>
    <w:rsid w:val="00594A83"/>
    <w:rsid w:val="005A0C78"/>
    <w:rsid w:val="005A1518"/>
    <w:rsid w:val="005A4807"/>
    <w:rsid w:val="005A5A80"/>
    <w:rsid w:val="005B0FC7"/>
    <w:rsid w:val="005B2674"/>
    <w:rsid w:val="005B297A"/>
    <w:rsid w:val="005B29EF"/>
    <w:rsid w:val="005B2DA5"/>
    <w:rsid w:val="005B476F"/>
    <w:rsid w:val="005B5F05"/>
    <w:rsid w:val="005B6095"/>
    <w:rsid w:val="005B65B8"/>
    <w:rsid w:val="005B6A0D"/>
    <w:rsid w:val="005B6D1C"/>
    <w:rsid w:val="005B6FD2"/>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94E"/>
    <w:rsid w:val="005E2FF9"/>
    <w:rsid w:val="005E30B2"/>
    <w:rsid w:val="005E39B3"/>
    <w:rsid w:val="005E4164"/>
    <w:rsid w:val="005E6955"/>
    <w:rsid w:val="005F24C4"/>
    <w:rsid w:val="005F3196"/>
    <w:rsid w:val="005F32D1"/>
    <w:rsid w:val="005F3FC6"/>
    <w:rsid w:val="005F75C4"/>
    <w:rsid w:val="006002BF"/>
    <w:rsid w:val="00600301"/>
    <w:rsid w:val="006008D1"/>
    <w:rsid w:val="00601137"/>
    <w:rsid w:val="00603A12"/>
    <w:rsid w:val="00603CC2"/>
    <w:rsid w:val="006064F8"/>
    <w:rsid w:val="006101CF"/>
    <w:rsid w:val="00611ADA"/>
    <w:rsid w:val="00611E18"/>
    <w:rsid w:val="00611FC0"/>
    <w:rsid w:val="00613A4A"/>
    <w:rsid w:val="00614157"/>
    <w:rsid w:val="00614A2A"/>
    <w:rsid w:val="00614ECD"/>
    <w:rsid w:val="006231D7"/>
    <w:rsid w:val="00624A71"/>
    <w:rsid w:val="00626031"/>
    <w:rsid w:val="00630C6C"/>
    <w:rsid w:val="00630ED2"/>
    <w:rsid w:val="00631935"/>
    <w:rsid w:val="006342EF"/>
    <w:rsid w:val="00636B91"/>
    <w:rsid w:val="006373FF"/>
    <w:rsid w:val="00637833"/>
    <w:rsid w:val="00641AC4"/>
    <w:rsid w:val="00642478"/>
    <w:rsid w:val="00646A6F"/>
    <w:rsid w:val="0065132D"/>
    <w:rsid w:val="00653397"/>
    <w:rsid w:val="006535C3"/>
    <w:rsid w:val="006553CD"/>
    <w:rsid w:val="006559F5"/>
    <w:rsid w:val="0065752A"/>
    <w:rsid w:val="00661782"/>
    <w:rsid w:val="00661F54"/>
    <w:rsid w:val="00662C11"/>
    <w:rsid w:val="006640AA"/>
    <w:rsid w:val="0066570F"/>
    <w:rsid w:val="00672822"/>
    <w:rsid w:val="006729D2"/>
    <w:rsid w:val="00673B07"/>
    <w:rsid w:val="00673BC6"/>
    <w:rsid w:val="00676F44"/>
    <w:rsid w:val="006775B3"/>
    <w:rsid w:val="00681089"/>
    <w:rsid w:val="00681434"/>
    <w:rsid w:val="006815C5"/>
    <w:rsid w:val="006842D2"/>
    <w:rsid w:val="00684808"/>
    <w:rsid w:val="0068483E"/>
    <w:rsid w:val="00684B94"/>
    <w:rsid w:val="00687967"/>
    <w:rsid w:val="006900EA"/>
    <w:rsid w:val="00690F72"/>
    <w:rsid w:val="0069237F"/>
    <w:rsid w:val="00695FE4"/>
    <w:rsid w:val="006A0F95"/>
    <w:rsid w:val="006A516C"/>
    <w:rsid w:val="006A6B80"/>
    <w:rsid w:val="006B0913"/>
    <w:rsid w:val="006B1301"/>
    <w:rsid w:val="006B2D92"/>
    <w:rsid w:val="006B2FEF"/>
    <w:rsid w:val="006B4B31"/>
    <w:rsid w:val="006B6581"/>
    <w:rsid w:val="006B6D6C"/>
    <w:rsid w:val="006B77B3"/>
    <w:rsid w:val="006C20C5"/>
    <w:rsid w:val="006C5DED"/>
    <w:rsid w:val="006C5ECD"/>
    <w:rsid w:val="006D1520"/>
    <w:rsid w:val="006D2482"/>
    <w:rsid w:val="006D2E02"/>
    <w:rsid w:val="006D2F0C"/>
    <w:rsid w:val="006D3604"/>
    <w:rsid w:val="006D416D"/>
    <w:rsid w:val="006D536E"/>
    <w:rsid w:val="006D5EB4"/>
    <w:rsid w:val="006E03EB"/>
    <w:rsid w:val="006E2082"/>
    <w:rsid w:val="006E3BE5"/>
    <w:rsid w:val="006E5D5B"/>
    <w:rsid w:val="006E67BA"/>
    <w:rsid w:val="006F04B5"/>
    <w:rsid w:val="006F2362"/>
    <w:rsid w:val="006F47EB"/>
    <w:rsid w:val="006F4B13"/>
    <w:rsid w:val="006F4DE9"/>
    <w:rsid w:val="006F61B5"/>
    <w:rsid w:val="006F681A"/>
    <w:rsid w:val="006F71C2"/>
    <w:rsid w:val="006F7CE7"/>
    <w:rsid w:val="007008B0"/>
    <w:rsid w:val="00700AC3"/>
    <w:rsid w:val="00700AD6"/>
    <w:rsid w:val="00700E68"/>
    <w:rsid w:val="00701065"/>
    <w:rsid w:val="00701156"/>
    <w:rsid w:val="0070175E"/>
    <w:rsid w:val="00703DC5"/>
    <w:rsid w:val="007040F2"/>
    <w:rsid w:val="007049DF"/>
    <w:rsid w:val="00705DFA"/>
    <w:rsid w:val="007061B6"/>
    <w:rsid w:val="007120EE"/>
    <w:rsid w:val="0071279F"/>
    <w:rsid w:val="00714A9A"/>
    <w:rsid w:val="007153C5"/>
    <w:rsid w:val="007161D3"/>
    <w:rsid w:val="007172E6"/>
    <w:rsid w:val="00720C35"/>
    <w:rsid w:val="00720E7B"/>
    <w:rsid w:val="0072232C"/>
    <w:rsid w:val="007262F0"/>
    <w:rsid w:val="00726398"/>
    <w:rsid w:val="00727BE9"/>
    <w:rsid w:val="00730C7F"/>
    <w:rsid w:val="007314F1"/>
    <w:rsid w:val="00731BE9"/>
    <w:rsid w:val="00731E2B"/>
    <w:rsid w:val="00733C32"/>
    <w:rsid w:val="007366D2"/>
    <w:rsid w:val="0073718A"/>
    <w:rsid w:val="007420D7"/>
    <w:rsid w:val="007436E9"/>
    <w:rsid w:val="0074545C"/>
    <w:rsid w:val="00745C4D"/>
    <w:rsid w:val="00746933"/>
    <w:rsid w:val="0074742D"/>
    <w:rsid w:val="00752DBC"/>
    <w:rsid w:val="00753FF4"/>
    <w:rsid w:val="0075411D"/>
    <w:rsid w:val="0075462B"/>
    <w:rsid w:val="00755531"/>
    <w:rsid w:val="00755CB1"/>
    <w:rsid w:val="00756116"/>
    <w:rsid w:val="007568E1"/>
    <w:rsid w:val="00756F8A"/>
    <w:rsid w:val="00757367"/>
    <w:rsid w:val="007601AF"/>
    <w:rsid w:val="00760295"/>
    <w:rsid w:val="007603B4"/>
    <w:rsid w:val="00760998"/>
    <w:rsid w:val="00760B97"/>
    <w:rsid w:val="00762675"/>
    <w:rsid w:val="00762FC8"/>
    <w:rsid w:val="00763E37"/>
    <w:rsid w:val="00765825"/>
    <w:rsid w:val="007700D3"/>
    <w:rsid w:val="00770594"/>
    <w:rsid w:val="00770970"/>
    <w:rsid w:val="0077131C"/>
    <w:rsid w:val="0077138B"/>
    <w:rsid w:val="00773FA8"/>
    <w:rsid w:val="00774B70"/>
    <w:rsid w:val="0077534E"/>
    <w:rsid w:val="00777098"/>
    <w:rsid w:val="00777133"/>
    <w:rsid w:val="0077733C"/>
    <w:rsid w:val="0078045E"/>
    <w:rsid w:val="00780B70"/>
    <w:rsid w:val="00782502"/>
    <w:rsid w:val="007827A4"/>
    <w:rsid w:val="00782847"/>
    <w:rsid w:val="00783777"/>
    <w:rsid w:val="00783D20"/>
    <w:rsid w:val="00785232"/>
    <w:rsid w:val="0078549A"/>
    <w:rsid w:val="007862D0"/>
    <w:rsid w:val="00791D8D"/>
    <w:rsid w:val="0079247D"/>
    <w:rsid w:val="00792559"/>
    <w:rsid w:val="00794CBC"/>
    <w:rsid w:val="00794E33"/>
    <w:rsid w:val="00794F2D"/>
    <w:rsid w:val="007954D3"/>
    <w:rsid w:val="00796159"/>
    <w:rsid w:val="00797AAD"/>
    <w:rsid w:val="007A189E"/>
    <w:rsid w:val="007A2F02"/>
    <w:rsid w:val="007A5127"/>
    <w:rsid w:val="007A5C51"/>
    <w:rsid w:val="007B25FF"/>
    <w:rsid w:val="007B2A03"/>
    <w:rsid w:val="007B3A30"/>
    <w:rsid w:val="007B41D7"/>
    <w:rsid w:val="007B671D"/>
    <w:rsid w:val="007B70B5"/>
    <w:rsid w:val="007C0DB7"/>
    <w:rsid w:val="007C1585"/>
    <w:rsid w:val="007C1A7D"/>
    <w:rsid w:val="007C1F6C"/>
    <w:rsid w:val="007C4094"/>
    <w:rsid w:val="007C415F"/>
    <w:rsid w:val="007C45C5"/>
    <w:rsid w:val="007C5945"/>
    <w:rsid w:val="007C608D"/>
    <w:rsid w:val="007D1EA6"/>
    <w:rsid w:val="007D29EC"/>
    <w:rsid w:val="007D302E"/>
    <w:rsid w:val="007D4E04"/>
    <w:rsid w:val="007D50AE"/>
    <w:rsid w:val="007D516C"/>
    <w:rsid w:val="007E1EA6"/>
    <w:rsid w:val="007E2FDE"/>
    <w:rsid w:val="007E4C1F"/>
    <w:rsid w:val="007E4FE6"/>
    <w:rsid w:val="007E50CC"/>
    <w:rsid w:val="007E6491"/>
    <w:rsid w:val="007E6851"/>
    <w:rsid w:val="007E6943"/>
    <w:rsid w:val="007E6E32"/>
    <w:rsid w:val="007F0204"/>
    <w:rsid w:val="007F11B0"/>
    <w:rsid w:val="007F3879"/>
    <w:rsid w:val="007F5C3C"/>
    <w:rsid w:val="007F5C58"/>
    <w:rsid w:val="007F6449"/>
    <w:rsid w:val="007F6674"/>
    <w:rsid w:val="0080630B"/>
    <w:rsid w:val="00806AB5"/>
    <w:rsid w:val="00807142"/>
    <w:rsid w:val="008074E3"/>
    <w:rsid w:val="00807802"/>
    <w:rsid w:val="0080799C"/>
    <w:rsid w:val="00810C18"/>
    <w:rsid w:val="008139A1"/>
    <w:rsid w:val="00814421"/>
    <w:rsid w:val="00814AFC"/>
    <w:rsid w:val="00814B22"/>
    <w:rsid w:val="00822862"/>
    <w:rsid w:val="00823106"/>
    <w:rsid w:val="0082350A"/>
    <w:rsid w:val="00823765"/>
    <w:rsid w:val="00825174"/>
    <w:rsid w:val="0082597B"/>
    <w:rsid w:val="00831A5D"/>
    <w:rsid w:val="00831DB4"/>
    <w:rsid w:val="00832D85"/>
    <w:rsid w:val="008365EC"/>
    <w:rsid w:val="00836F80"/>
    <w:rsid w:val="00837390"/>
    <w:rsid w:val="00840A7F"/>
    <w:rsid w:val="00840A8F"/>
    <w:rsid w:val="00844176"/>
    <w:rsid w:val="00844A32"/>
    <w:rsid w:val="00846A9D"/>
    <w:rsid w:val="008503CA"/>
    <w:rsid w:val="008513A9"/>
    <w:rsid w:val="00852BA6"/>
    <w:rsid w:val="00852C60"/>
    <w:rsid w:val="0085308E"/>
    <w:rsid w:val="0085318D"/>
    <w:rsid w:val="008540A7"/>
    <w:rsid w:val="008565FB"/>
    <w:rsid w:val="008577FA"/>
    <w:rsid w:val="00860354"/>
    <w:rsid w:val="008617A6"/>
    <w:rsid w:val="00862580"/>
    <w:rsid w:val="00862834"/>
    <w:rsid w:val="00870E97"/>
    <w:rsid w:val="00871516"/>
    <w:rsid w:val="00871540"/>
    <w:rsid w:val="00871E2F"/>
    <w:rsid w:val="00876284"/>
    <w:rsid w:val="008764DD"/>
    <w:rsid w:val="00877499"/>
    <w:rsid w:val="008814E9"/>
    <w:rsid w:val="00882A5D"/>
    <w:rsid w:val="00883C37"/>
    <w:rsid w:val="008841EB"/>
    <w:rsid w:val="008854B0"/>
    <w:rsid w:val="0088688D"/>
    <w:rsid w:val="008910B2"/>
    <w:rsid w:val="00891622"/>
    <w:rsid w:val="00891C00"/>
    <w:rsid w:val="008921BE"/>
    <w:rsid w:val="00895E41"/>
    <w:rsid w:val="0089734D"/>
    <w:rsid w:val="008A0A32"/>
    <w:rsid w:val="008A1056"/>
    <w:rsid w:val="008A44F0"/>
    <w:rsid w:val="008A50CB"/>
    <w:rsid w:val="008A7CC5"/>
    <w:rsid w:val="008B0720"/>
    <w:rsid w:val="008B1C5A"/>
    <w:rsid w:val="008B1CC3"/>
    <w:rsid w:val="008B206C"/>
    <w:rsid w:val="008B34AA"/>
    <w:rsid w:val="008B4335"/>
    <w:rsid w:val="008B5413"/>
    <w:rsid w:val="008B56DF"/>
    <w:rsid w:val="008B5B2C"/>
    <w:rsid w:val="008B5EFB"/>
    <w:rsid w:val="008B69DC"/>
    <w:rsid w:val="008B7841"/>
    <w:rsid w:val="008C01BC"/>
    <w:rsid w:val="008C1990"/>
    <w:rsid w:val="008C20CF"/>
    <w:rsid w:val="008C4728"/>
    <w:rsid w:val="008C7959"/>
    <w:rsid w:val="008C7CA6"/>
    <w:rsid w:val="008D093B"/>
    <w:rsid w:val="008D3653"/>
    <w:rsid w:val="008D4F09"/>
    <w:rsid w:val="008D539E"/>
    <w:rsid w:val="008D65D5"/>
    <w:rsid w:val="008D75EB"/>
    <w:rsid w:val="008D7F23"/>
    <w:rsid w:val="008E12FB"/>
    <w:rsid w:val="008E1F57"/>
    <w:rsid w:val="008E405B"/>
    <w:rsid w:val="008E5D85"/>
    <w:rsid w:val="008E69F8"/>
    <w:rsid w:val="008E71BC"/>
    <w:rsid w:val="008E751B"/>
    <w:rsid w:val="008F03F7"/>
    <w:rsid w:val="008F0C45"/>
    <w:rsid w:val="008F107D"/>
    <w:rsid w:val="008F2FCB"/>
    <w:rsid w:val="008F40FA"/>
    <w:rsid w:val="008F594F"/>
    <w:rsid w:val="008F5CF9"/>
    <w:rsid w:val="00900C33"/>
    <w:rsid w:val="0090193D"/>
    <w:rsid w:val="009034C7"/>
    <w:rsid w:val="00904815"/>
    <w:rsid w:val="00906ABE"/>
    <w:rsid w:val="00907D1C"/>
    <w:rsid w:val="00907DD7"/>
    <w:rsid w:val="00910BBC"/>
    <w:rsid w:val="0091182D"/>
    <w:rsid w:val="00911DA2"/>
    <w:rsid w:val="009120EC"/>
    <w:rsid w:val="00915081"/>
    <w:rsid w:val="009165D6"/>
    <w:rsid w:val="00917D6F"/>
    <w:rsid w:val="00921504"/>
    <w:rsid w:val="00921E12"/>
    <w:rsid w:val="00922352"/>
    <w:rsid w:val="0092710C"/>
    <w:rsid w:val="0093112B"/>
    <w:rsid w:val="0093298F"/>
    <w:rsid w:val="009354F2"/>
    <w:rsid w:val="009370A3"/>
    <w:rsid w:val="009370D2"/>
    <w:rsid w:val="00937BB0"/>
    <w:rsid w:val="0094022B"/>
    <w:rsid w:val="00941E05"/>
    <w:rsid w:val="00942D63"/>
    <w:rsid w:val="00942DAA"/>
    <w:rsid w:val="0094437B"/>
    <w:rsid w:val="009455DB"/>
    <w:rsid w:val="00945DB2"/>
    <w:rsid w:val="00946114"/>
    <w:rsid w:val="0094630E"/>
    <w:rsid w:val="009511D6"/>
    <w:rsid w:val="00951ED7"/>
    <w:rsid w:val="0095349E"/>
    <w:rsid w:val="00954428"/>
    <w:rsid w:val="00954541"/>
    <w:rsid w:val="00954C0F"/>
    <w:rsid w:val="00956218"/>
    <w:rsid w:val="00956C4B"/>
    <w:rsid w:val="00957E64"/>
    <w:rsid w:val="00961605"/>
    <w:rsid w:val="009620C5"/>
    <w:rsid w:val="009636AC"/>
    <w:rsid w:val="00963C88"/>
    <w:rsid w:val="00965995"/>
    <w:rsid w:val="00966814"/>
    <w:rsid w:val="00970D58"/>
    <w:rsid w:val="00973167"/>
    <w:rsid w:val="00980174"/>
    <w:rsid w:val="00981A42"/>
    <w:rsid w:val="00985A6C"/>
    <w:rsid w:val="00986A4D"/>
    <w:rsid w:val="009921E3"/>
    <w:rsid w:val="0099282E"/>
    <w:rsid w:val="00992E0E"/>
    <w:rsid w:val="00993596"/>
    <w:rsid w:val="009A00EB"/>
    <w:rsid w:val="009A44E3"/>
    <w:rsid w:val="009A6766"/>
    <w:rsid w:val="009A692C"/>
    <w:rsid w:val="009A7E10"/>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4EB8"/>
    <w:rsid w:val="009C5640"/>
    <w:rsid w:val="009C7F6E"/>
    <w:rsid w:val="009D0403"/>
    <w:rsid w:val="009D09C1"/>
    <w:rsid w:val="009D0A96"/>
    <w:rsid w:val="009D1051"/>
    <w:rsid w:val="009D2037"/>
    <w:rsid w:val="009D2832"/>
    <w:rsid w:val="009D3F87"/>
    <w:rsid w:val="009D43B2"/>
    <w:rsid w:val="009E03F3"/>
    <w:rsid w:val="009E2629"/>
    <w:rsid w:val="009E3364"/>
    <w:rsid w:val="009E5C84"/>
    <w:rsid w:val="009F0FC9"/>
    <w:rsid w:val="009F1A7E"/>
    <w:rsid w:val="009F5156"/>
    <w:rsid w:val="00A000CC"/>
    <w:rsid w:val="00A03E32"/>
    <w:rsid w:val="00A075B0"/>
    <w:rsid w:val="00A11259"/>
    <w:rsid w:val="00A12B76"/>
    <w:rsid w:val="00A13FC8"/>
    <w:rsid w:val="00A14369"/>
    <w:rsid w:val="00A14C7F"/>
    <w:rsid w:val="00A154D5"/>
    <w:rsid w:val="00A16CCF"/>
    <w:rsid w:val="00A2067E"/>
    <w:rsid w:val="00A20B99"/>
    <w:rsid w:val="00A21F19"/>
    <w:rsid w:val="00A229AC"/>
    <w:rsid w:val="00A239BC"/>
    <w:rsid w:val="00A23E8B"/>
    <w:rsid w:val="00A25225"/>
    <w:rsid w:val="00A26607"/>
    <w:rsid w:val="00A26676"/>
    <w:rsid w:val="00A267B2"/>
    <w:rsid w:val="00A27A02"/>
    <w:rsid w:val="00A30DAB"/>
    <w:rsid w:val="00A3172A"/>
    <w:rsid w:val="00A32A3F"/>
    <w:rsid w:val="00A337C5"/>
    <w:rsid w:val="00A33B10"/>
    <w:rsid w:val="00A340FB"/>
    <w:rsid w:val="00A34C17"/>
    <w:rsid w:val="00A34EAB"/>
    <w:rsid w:val="00A3537A"/>
    <w:rsid w:val="00A37CD5"/>
    <w:rsid w:val="00A40FC4"/>
    <w:rsid w:val="00A41FB2"/>
    <w:rsid w:val="00A43105"/>
    <w:rsid w:val="00A43A02"/>
    <w:rsid w:val="00A468F1"/>
    <w:rsid w:val="00A471D7"/>
    <w:rsid w:val="00A50812"/>
    <w:rsid w:val="00A541ED"/>
    <w:rsid w:val="00A5551D"/>
    <w:rsid w:val="00A562DC"/>
    <w:rsid w:val="00A56E9B"/>
    <w:rsid w:val="00A56F27"/>
    <w:rsid w:val="00A57518"/>
    <w:rsid w:val="00A603DF"/>
    <w:rsid w:val="00A60C80"/>
    <w:rsid w:val="00A62D53"/>
    <w:rsid w:val="00A656FE"/>
    <w:rsid w:val="00A658C7"/>
    <w:rsid w:val="00A66F1F"/>
    <w:rsid w:val="00A71824"/>
    <w:rsid w:val="00A718EE"/>
    <w:rsid w:val="00A73448"/>
    <w:rsid w:val="00A74203"/>
    <w:rsid w:val="00A76C0A"/>
    <w:rsid w:val="00A82313"/>
    <w:rsid w:val="00A83263"/>
    <w:rsid w:val="00A86F1C"/>
    <w:rsid w:val="00A87100"/>
    <w:rsid w:val="00A9174A"/>
    <w:rsid w:val="00A92A07"/>
    <w:rsid w:val="00A93054"/>
    <w:rsid w:val="00A94B68"/>
    <w:rsid w:val="00A969CC"/>
    <w:rsid w:val="00A96C8D"/>
    <w:rsid w:val="00A9708B"/>
    <w:rsid w:val="00A978C3"/>
    <w:rsid w:val="00AA34A6"/>
    <w:rsid w:val="00AA3A72"/>
    <w:rsid w:val="00AA45BA"/>
    <w:rsid w:val="00AA6E88"/>
    <w:rsid w:val="00AA6F3A"/>
    <w:rsid w:val="00AA71C4"/>
    <w:rsid w:val="00AB3EB4"/>
    <w:rsid w:val="00AB4677"/>
    <w:rsid w:val="00AB5B04"/>
    <w:rsid w:val="00AB6AE8"/>
    <w:rsid w:val="00AB7C59"/>
    <w:rsid w:val="00AC105D"/>
    <w:rsid w:val="00AC16D2"/>
    <w:rsid w:val="00AC24BD"/>
    <w:rsid w:val="00AC2A15"/>
    <w:rsid w:val="00AC2B46"/>
    <w:rsid w:val="00AC5779"/>
    <w:rsid w:val="00AC6178"/>
    <w:rsid w:val="00AD2FA3"/>
    <w:rsid w:val="00AD3D79"/>
    <w:rsid w:val="00AD48AA"/>
    <w:rsid w:val="00AD5B91"/>
    <w:rsid w:val="00AD5C75"/>
    <w:rsid w:val="00AD6AEF"/>
    <w:rsid w:val="00AD7371"/>
    <w:rsid w:val="00AE0055"/>
    <w:rsid w:val="00AE091D"/>
    <w:rsid w:val="00AE3B88"/>
    <w:rsid w:val="00AE45DC"/>
    <w:rsid w:val="00AE4C8F"/>
    <w:rsid w:val="00AE5675"/>
    <w:rsid w:val="00AE57EC"/>
    <w:rsid w:val="00AE64F9"/>
    <w:rsid w:val="00AF0C8E"/>
    <w:rsid w:val="00AF1C04"/>
    <w:rsid w:val="00AF21BE"/>
    <w:rsid w:val="00AF2547"/>
    <w:rsid w:val="00AF254A"/>
    <w:rsid w:val="00AF36C9"/>
    <w:rsid w:val="00AF5DF5"/>
    <w:rsid w:val="00AF755E"/>
    <w:rsid w:val="00B0174E"/>
    <w:rsid w:val="00B02EDD"/>
    <w:rsid w:val="00B039A0"/>
    <w:rsid w:val="00B043DE"/>
    <w:rsid w:val="00B04603"/>
    <w:rsid w:val="00B0569D"/>
    <w:rsid w:val="00B1092B"/>
    <w:rsid w:val="00B10B94"/>
    <w:rsid w:val="00B111A5"/>
    <w:rsid w:val="00B117F2"/>
    <w:rsid w:val="00B13379"/>
    <w:rsid w:val="00B13C6F"/>
    <w:rsid w:val="00B14D75"/>
    <w:rsid w:val="00B15DBA"/>
    <w:rsid w:val="00B16A95"/>
    <w:rsid w:val="00B2297A"/>
    <w:rsid w:val="00B230F6"/>
    <w:rsid w:val="00B26202"/>
    <w:rsid w:val="00B300C7"/>
    <w:rsid w:val="00B30CFE"/>
    <w:rsid w:val="00B3144D"/>
    <w:rsid w:val="00B31DDF"/>
    <w:rsid w:val="00B32793"/>
    <w:rsid w:val="00B33D89"/>
    <w:rsid w:val="00B34F7D"/>
    <w:rsid w:val="00B351E7"/>
    <w:rsid w:val="00B355D9"/>
    <w:rsid w:val="00B404B6"/>
    <w:rsid w:val="00B414FF"/>
    <w:rsid w:val="00B4164D"/>
    <w:rsid w:val="00B450C4"/>
    <w:rsid w:val="00B457C4"/>
    <w:rsid w:val="00B462F7"/>
    <w:rsid w:val="00B464A8"/>
    <w:rsid w:val="00B4697F"/>
    <w:rsid w:val="00B46A16"/>
    <w:rsid w:val="00B47747"/>
    <w:rsid w:val="00B47E34"/>
    <w:rsid w:val="00B50D88"/>
    <w:rsid w:val="00B51099"/>
    <w:rsid w:val="00B51427"/>
    <w:rsid w:val="00B52561"/>
    <w:rsid w:val="00B5564B"/>
    <w:rsid w:val="00B55A30"/>
    <w:rsid w:val="00B56674"/>
    <w:rsid w:val="00B5695B"/>
    <w:rsid w:val="00B56A48"/>
    <w:rsid w:val="00B56B47"/>
    <w:rsid w:val="00B618A9"/>
    <w:rsid w:val="00B621AF"/>
    <w:rsid w:val="00B63C0B"/>
    <w:rsid w:val="00B64A3E"/>
    <w:rsid w:val="00B652FE"/>
    <w:rsid w:val="00B65A0A"/>
    <w:rsid w:val="00B65CF6"/>
    <w:rsid w:val="00B700CC"/>
    <w:rsid w:val="00B72365"/>
    <w:rsid w:val="00B74B38"/>
    <w:rsid w:val="00B759C4"/>
    <w:rsid w:val="00B762A0"/>
    <w:rsid w:val="00B7641E"/>
    <w:rsid w:val="00B77E56"/>
    <w:rsid w:val="00B80371"/>
    <w:rsid w:val="00B8269F"/>
    <w:rsid w:val="00B837AE"/>
    <w:rsid w:val="00B83DDC"/>
    <w:rsid w:val="00B83EED"/>
    <w:rsid w:val="00B84453"/>
    <w:rsid w:val="00B85597"/>
    <w:rsid w:val="00B85A89"/>
    <w:rsid w:val="00B868AD"/>
    <w:rsid w:val="00B86DD0"/>
    <w:rsid w:val="00B91B04"/>
    <w:rsid w:val="00B9742D"/>
    <w:rsid w:val="00BA131A"/>
    <w:rsid w:val="00BA2274"/>
    <w:rsid w:val="00BA31BC"/>
    <w:rsid w:val="00BA5070"/>
    <w:rsid w:val="00BB0042"/>
    <w:rsid w:val="00BB0BAA"/>
    <w:rsid w:val="00BB1455"/>
    <w:rsid w:val="00BB1EA2"/>
    <w:rsid w:val="00BB419B"/>
    <w:rsid w:val="00BB480B"/>
    <w:rsid w:val="00BB4E62"/>
    <w:rsid w:val="00BB55EA"/>
    <w:rsid w:val="00BB6326"/>
    <w:rsid w:val="00BB7389"/>
    <w:rsid w:val="00BB7D03"/>
    <w:rsid w:val="00BC31E7"/>
    <w:rsid w:val="00BC37E0"/>
    <w:rsid w:val="00BC38A7"/>
    <w:rsid w:val="00BC3900"/>
    <w:rsid w:val="00BC608E"/>
    <w:rsid w:val="00BC69DC"/>
    <w:rsid w:val="00BC7045"/>
    <w:rsid w:val="00BD07F2"/>
    <w:rsid w:val="00BD1C32"/>
    <w:rsid w:val="00BD20AE"/>
    <w:rsid w:val="00BD3FC1"/>
    <w:rsid w:val="00BD746F"/>
    <w:rsid w:val="00BD7AE1"/>
    <w:rsid w:val="00BE0E6C"/>
    <w:rsid w:val="00BE15E4"/>
    <w:rsid w:val="00BE6127"/>
    <w:rsid w:val="00BE786E"/>
    <w:rsid w:val="00BF13E6"/>
    <w:rsid w:val="00BF15B9"/>
    <w:rsid w:val="00BF2AA4"/>
    <w:rsid w:val="00BF742F"/>
    <w:rsid w:val="00BF7BD9"/>
    <w:rsid w:val="00BF7D60"/>
    <w:rsid w:val="00C000CE"/>
    <w:rsid w:val="00C0083C"/>
    <w:rsid w:val="00C017FE"/>
    <w:rsid w:val="00C03273"/>
    <w:rsid w:val="00C0447C"/>
    <w:rsid w:val="00C04CAF"/>
    <w:rsid w:val="00C050AF"/>
    <w:rsid w:val="00C054A9"/>
    <w:rsid w:val="00C05EF2"/>
    <w:rsid w:val="00C0600E"/>
    <w:rsid w:val="00C07585"/>
    <w:rsid w:val="00C11685"/>
    <w:rsid w:val="00C1189F"/>
    <w:rsid w:val="00C11F32"/>
    <w:rsid w:val="00C12263"/>
    <w:rsid w:val="00C12CF8"/>
    <w:rsid w:val="00C136CD"/>
    <w:rsid w:val="00C13D67"/>
    <w:rsid w:val="00C14903"/>
    <w:rsid w:val="00C151DF"/>
    <w:rsid w:val="00C1563D"/>
    <w:rsid w:val="00C15EB7"/>
    <w:rsid w:val="00C1626D"/>
    <w:rsid w:val="00C17A3E"/>
    <w:rsid w:val="00C212B4"/>
    <w:rsid w:val="00C21746"/>
    <w:rsid w:val="00C220E6"/>
    <w:rsid w:val="00C23427"/>
    <w:rsid w:val="00C23F73"/>
    <w:rsid w:val="00C25016"/>
    <w:rsid w:val="00C2517F"/>
    <w:rsid w:val="00C26333"/>
    <w:rsid w:val="00C264E6"/>
    <w:rsid w:val="00C26E37"/>
    <w:rsid w:val="00C271E6"/>
    <w:rsid w:val="00C27354"/>
    <w:rsid w:val="00C32C97"/>
    <w:rsid w:val="00C32DF0"/>
    <w:rsid w:val="00C33A18"/>
    <w:rsid w:val="00C353F8"/>
    <w:rsid w:val="00C35A54"/>
    <w:rsid w:val="00C416DB"/>
    <w:rsid w:val="00C423B7"/>
    <w:rsid w:val="00C42887"/>
    <w:rsid w:val="00C42ACD"/>
    <w:rsid w:val="00C42C49"/>
    <w:rsid w:val="00C446A5"/>
    <w:rsid w:val="00C45150"/>
    <w:rsid w:val="00C46737"/>
    <w:rsid w:val="00C52004"/>
    <w:rsid w:val="00C56568"/>
    <w:rsid w:val="00C60883"/>
    <w:rsid w:val="00C62D9D"/>
    <w:rsid w:val="00C6333E"/>
    <w:rsid w:val="00C633A8"/>
    <w:rsid w:val="00C64DE5"/>
    <w:rsid w:val="00C65AAE"/>
    <w:rsid w:val="00C66A4D"/>
    <w:rsid w:val="00C67534"/>
    <w:rsid w:val="00C712C4"/>
    <w:rsid w:val="00C7141D"/>
    <w:rsid w:val="00C72945"/>
    <w:rsid w:val="00C72D2B"/>
    <w:rsid w:val="00C74D5C"/>
    <w:rsid w:val="00C75E3A"/>
    <w:rsid w:val="00C77378"/>
    <w:rsid w:val="00C77C41"/>
    <w:rsid w:val="00C77C68"/>
    <w:rsid w:val="00C82E0E"/>
    <w:rsid w:val="00C85115"/>
    <w:rsid w:val="00C856AC"/>
    <w:rsid w:val="00C86896"/>
    <w:rsid w:val="00C86AE5"/>
    <w:rsid w:val="00C90114"/>
    <w:rsid w:val="00C921F5"/>
    <w:rsid w:val="00C933DE"/>
    <w:rsid w:val="00C95D2F"/>
    <w:rsid w:val="00CA082C"/>
    <w:rsid w:val="00CA0BCB"/>
    <w:rsid w:val="00CA130E"/>
    <w:rsid w:val="00CA373F"/>
    <w:rsid w:val="00CB237D"/>
    <w:rsid w:val="00CB2A80"/>
    <w:rsid w:val="00CB2F00"/>
    <w:rsid w:val="00CB48BB"/>
    <w:rsid w:val="00CB5A26"/>
    <w:rsid w:val="00CB6AC4"/>
    <w:rsid w:val="00CC10D3"/>
    <w:rsid w:val="00CC2DAC"/>
    <w:rsid w:val="00CC4858"/>
    <w:rsid w:val="00CD00B0"/>
    <w:rsid w:val="00CD1C12"/>
    <w:rsid w:val="00CD1D66"/>
    <w:rsid w:val="00CD1F7F"/>
    <w:rsid w:val="00CD2774"/>
    <w:rsid w:val="00CD402D"/>
    <w:rsid w:val="00CD433A"/>
    <w:rsid w:val="00CD57A7"/>
    <w:rsid w:val="00CD5FCA"/>
    <w:rsid w:val="00CD7CCA"/>
    <w:rsid w:val="00CE0AC5"/>
    <w:rsid w:val="00CE186B"/>
    <w:rsid w:val="00CE1DD6"/>
    <w:rsid w:val="00CE261F"/>
    <w:rsid w:val="00CE35E1"/>
    <w:rsid w:val="00CE5541"/>
    <w:rsid w:val="00CE5C53"/>
    <w:rsid w:val="00CF0573"/>
    <w:rsid w:val="00CF07D3"/>
    <w:rsid w:val="00CF4607"/>
    <w:rsid w:val="00CF4C56"/>
    <w:rsid w:val="00CF6767"/>
    <w:rsid w:val="00CF747C"/>
    <w:rsid w:val="00D00001"/>
    <w:rsid w:val="00D00576"/>
    <w:rsid w:val="00D0113D"/>
    <w:rsid w:val="00D0207F"/>
    <w:rsid w:val="00D02CD4"/>
    <w:rsid w:val="00D04299"/>
    <w:rsid w:val="00D0506F"/>
    <w:rsid w:val="00D05A7A"/>
    <w:rsid w:val="00D06C14"/>
    <w:rsid w:val="00D06F0E"/>
    <w:rsid w:val="00D07B78"/>
    <w:rsid w:val="00D1072F"/>
    <w:rsid w:val="00D12439"/>
    <w:rsid w:val="00D12B80"/>
    <w:rsid w:val="00D13BD0"/>
    <w:rsid w:val="00D13D6F"/>
    <w:rsid w:val="00D165F4"/>
    <w:rsid w:val="00D1668E"/>
    <w:rsid w:val="00D167C5"/>
    <w:rsid w:val="00D16C33"/>
    <w:rsid w:val="00D177EA"/>
    <w:rsid w:val="00D20CC5"/>
    <w:rsid w:val="00D217AC"/>
    <w:rsid w:val="00D27E4D"/>
    <w:rsid w:val="00D30610"/>
    <w:rsid w:val="00D31BE1"/>
    <w:rsid w:val="00D326BF"/>
    <w:rsid w:val="00D35B96"/>
    <w:rsid w:val="00D35CE6"/>
    <w:rsid w:val="00D37973"/>
    <w:rsid w:val="00D40EAC"/>
    <w:rsid w:val="00D41BB4"/>
    <w:rsid w:val="00D41F46"/>
    <w:rsid w:val="00D4222D"/>
    <w:rsid w:val="00D42754"/>
    <w:rsid w:val="00D4381D"/>
    <w:rsid w:val="00D455A4"/>
    <w:rsid w:val="00D51DD0"/>
    <w:rsid w:val="00D5265D"/>
    <w:rsid w:val="00D60415"/>
    <w:rsid w:val="00D62E09"/>
    <w:rsid w:val="00D64101"/>
    <w:rsid w:val="00D64A1D"/>
    <w:rsid w:val="00D64FFD"/>
    <w:rsid w:val="00D671F5"/>
    <w:rsid w:val="00D67CE9"/>
    <w:rsid w:val="00D67F89"/>
    <w:rsid w:val="00D70AAA"/>
    <w:rsid w:val="00D7105E"/>
    <w:rsid w:val="00D710DA"/>
    <w:rsid w:val="00D711C9"/>
    <w:rsid w:val="00D71684"/>
    <w:rsid w:val="00D72D32"/>
    <w:rsid w:val="00D734E3"/>
    <w:rsid w:val="00D7671C"/>
    <w:rsid w:val="00D767E6"/>
    <w:rsid w:val="00D76D7C"/>
    <w:rsid w:val="00D77A0C"/>
    <w:rsid w:val="00D8129D"/>
    <w:rsid w:val="00D8131B"/>
    <w:rsid w:val="00D81D94"/>
    <w:rsid w:val="00D83021"/>
    <w:rsid w:val="00D8420C"/>
    <w:rsid w:val="00D84436"/>
    <w:rsid w:val="00D84DE0"/>
    <w:rsid w:val="00D852A4"/>
    <w:rsid w:val="00D85764"/>
    <w:rsid w:val="00D863D0"/>
    <w:rsid w:val="00D90CAE"/>
    <w:rsid w:val="00D93142"/>
    <w:rsid w:val="00D953C8"/>
    <w:rsid w:val="00D96FBA"/>
    <w:rsid w:val="00D97622"/>
    <w:rsid w:val="00DA1B53"/>
    <w:rsid w:val="00DA1FCE"/>
    <w:rsid w:val="00DA239C"/>
    <w:rsid w:val="00DA3088"/>
    <w:rsid w:val="00DA433D"/>
    <w:rsid w:val="00DA58AF"/>
    <w:rsid w:val="00DA7141"/>
    <w:rsid w:val="00DA744D"/>
    <w:rsid w:val="00DB1E78"/>
    <w:rsid w:val="00DB3228"/>
    <w:rsid w:val="00DB3721"/>
    <w:rsid w:val="00DB3D04"/>
    <w:rsid w:val="00DB57B4"/>
    <w:rsid w:val="00DC07AE"/>
    <w:rsid w:val="00DC10A1"/>
    <w:rsid w:val="00DC15CB"/>
    <w:rsid w:val="00DC1AC5"/>
    <w:rsid w:val="00DC3534"/>
    <w:rsid w:val="00DC499A"/>
    <w:rsid w:val="00DC64F8"/>
    <w:rsid w:val="00DC72F1"/>
    <w:rsid w:val="00DD00BE"/>
    <w:rsid w:val="00DD02D4"/>
    <w:rsid w:val="00DD0953"/>
    <w:rsid w:val="00DD0F2E"/>
    <w:rsid w:val="00DD1CB9"/>
    <w:rsid w:val="00DD1F77"/>
    <w:rsid w:val="00DD226B"/>
    <w:rsid w:val="00DD23E0"/>
    <w:rsid w:val="00DD2637"/>
    <w:rsid w:val="00DD2F35"/>
    <w:rsid w:val="00DD696D"/>
    <w:rsid w:val="00DD6B81"/>
    <w:rsid w:val="00DD7872"/>
    <w:rsid w:val="00DE0896"/>
    <w:rsid w:val="00DE0AD5"/>
    <w:rsid w:val="00DE4556"/>
    <w:rsid w:val="00DE4ED9"/>
    <w:rsid w:val="00DE592E"/>
    <w:rsid w:val="00DE7E62"/>
    <w:rsid w:val="00DF1C2B"/>
    <w:rsid w:val="00DF2F6B"/>
    <w:rsid w:val="00DF3993"/>
    <w:rsid w:val="00DF4EB1"/>
    <w:rsid w:val="00DF6E16"/>
    <w:rsid w:val="00E00218"/>
    <w:rsid w:val="00E018E1"/>
    <w:rsid w:val="00E0333C"/>
    <w:rsid w:val="00E0484E"/>
    <w:rsid w:val="00E06D4A"/>
    <w:rsid w:val="00E07AC4"/>
    <w:rsid w:val="00E10305"/>
    <w:rsid w:val="00E105CB"/>
    <w:rsid w:val="00E1062C"/>
    <w:rsid w:val="00E1136D"/>
    <w:rsid w:val="00E116BA"/>
    <w:rsid w:val="00E11D27"/>
    <w:rsid w:val="00E11D29"/>
    <w:rsid w:val="00E13F51"/>
    <w:rsid w:val="00E140A6"/>
    <w:rsid w:val="00E15447"/>
    <w:rsid w:val="00E15B7B"/>
    <w:rsid w:val="00E162B7"/>
    <w:rsid w:val="00E16B00"/>
    <w:rsid w:val="00E20773"/>
    <w:rsid w:val="00E2107F"/>
    <w:rsid w:val="00E23059"/>
    <w:rsid w:val="00E231E0"/>
    <w:rsid w:val="00E231F4"/>
    <w:rsid w:val="00E30352"/>
    <w:rsid w:val="00E32516"/>
    <w:rsid w:val="00E33146"/>
    <w:rsid w:val="00E374D1"/>
    <w:rsid w:val="00E37F50"/>
    <w:rsid w:val="00E40942"/>
    <w:rsid w:val="00E50D80"/>
    <w:rsid w:val="00E50E6F"/>
    <w:rsid w:val="00E51035"/>
    <w:rsid w:val="00E53438"/>
    <w:rsid w:val="00E539B3"/>
    <w:rsid w:val="00E54104"/>
    <w:rsid w:val="00E55EC8"/>
    <w:rsid w:val="00E56469"/>
    <w:rsid w:val="00E565A7"/>
    <w:rsid w:val="00E56D02"/>
    <w:rsid w:val="00E57209"/>
    <w:rsid w:val="00E5727D"/>
    <w:rsid w:val="00E57FAB"/>
    <w:rsid w:val="00E6604A"/>
    <w:rsid w:val="00E66893"/>
    <w:rsid w:val="00E66EE6"/>
    <w:rsid w:val="00E670D3"/>
    <w:rsid w:val="00E677B9"/>
    <w:rsid w:val="00E713A7"/>
    <w:rsid w:val="00E72404"/>
    <w:rsid w:val="00E73990"/>
    <w:rsid w:val="00E74A15"/>
    <w:rsid w:val="00E7567F"/>
    <w:rsid w:val="00E766FF"/>
    <w:rsid w:val="00E81F3E"/>
    <w:rsid w:val="00E830D0"/>
    <w:rsid w:val="00E85807"/>
    <w:rsid w:val="00E86211"/>
    <w:rsid w:val="00E86ACB"/>
    <w:rsid w:val="00E900E0"/>
    <w:rsid w:val="00E90628"/>
    <w:rsid w:val="00E90D4F"/>
    <w:rsid w:val="00E90E2C"/>
    <w:rsid w:val="00E9122B"/>
    <w:rsid w:val="00E93759"/>
    <w:rsid w:val="00E93CFE"/>
    <w:rsid w:val="00E953B9"/>
    <w:rsid w:val="00EA0D43"/>
    <w:rsid w:val="00EA0EBB"/>
    <w:rsid w:val="00EA135F"/>
    <w:rsid w:val="00EA1619"/>
    <w:rsid w:val="00EA49CE"/>
    <w:rsid w:val="00EA4CBA"/>
    <w:rsid w:val="00EA6CD3"/>
    <w:rsid w:val="00EA7EDF"/>
    <w:rsid w:val="00EB184B"/>
    <w:rsid w:val="00EB27FB"/>
    <w:rsid w:val="00EB4B7B"/>
    <w:rsid w:val="00EC03E6"/>
    <w:rsid w:val="00EC218F"/>
    <w:rsid w:val="00EC5935"/>
    <w:rsid w:val="00EC60FD"/>
    <w:rsid w:val="00EC71D7"/>
    <w:rsid w:val="00ED053C"/>
    <w:rsid w:val="00ED0911"/>
    <w:rsid w:val="00ED0A46"/>
    <w:rsid w:val="00ED18C9"/>
    <w:rsid w:val="00ED2979"/>
    <w:rsid w:val="00ED377A"/>
    <w:rsid w:val="00ED39FF"/>
    <w:rsid w:val="00ED4255"/>
    <w:rsid w:val="00ED5010"/>
    <w:rsid w:val="00ED5CF7"/>
    <w:rsid w:val="00ED603E"/>
    <w:rsid w:val="00ED6CC7"/>
    <w:rsid w:val="00EE44FE"/>
    <w:rsid w:val="00EE4A54"/>
    <w:rsid w:val="00EE4C51"/>
    <w:rsid w:val="00EE61BD"/>
    <w:rsid w:val="00EE7BA0"/>
    <w:rsid w:val="00EF17FD"/>
    <w:rsid w:val="00EF2696"/>
    <w:rsid w:val="00EF2DE0"/>
    <w:rsid w:val="00EF55B6"/>
    <w:rsid w:val="00F00E88"/>
    <w:rsid w:val="00F01691"/>
    <w:rsid w:val="00F019FA"/>
    <w:rsid w:val="00F02EB7"/>
    <w:rsid w:val="00F03FAA"/>
    <w:rsid w:val="00F0662E"/>
    <w:rsid w:val="00F066C5"/>
    <w:rsid w:val="00F06F21"/>
    <w:rsid w:val="00F07E1B"/>
    <w:rsid w:val="00F1504D"/>
    <w:rsid w:val="00F15773"/>
    <w:rsid w:val="00F1588A"/>
    <w:rsid w:val="00F16EDF"/>
    <w:rsid w:val="00F205D5"/>
    <w:rsid w:val="00F23C9C"/>
    <w:rsid w:val="00F25C34"/>
    <w:rsid w:val="00F2652E"/>
    <w:rsid w:val="00F27363"/>
    <w:rsid w:val="00F2791C"/>
    <w:rsid w:val="00F30608"/>
    <w:rsid w:val="00F30A0A"/>
    <w:rsid w:val="00F32129"/>
    <w:rsid w:val="00F32822"/>
    <w:rsid w:val="00F32ADC"/>
    <w:rsid w:val="00F3414C"/>
    <w:rsid w:val="00F352DD"/>
    <w:rsid w:val="00F35567"/>
    <w:rsid w:val="00F378E2"/>
    <w:rsid w:val="00F40716"/>
    <w:rsid w:val="00F40762"/>
    <w:rsid w:val="00F40F20"/>
    <w:rsid w:val="00F418C2"/>
    <w:rsid w:val="00F42208"/>
    <w:rsid w:val="00F437DF"/>
    <w:rsid w:val="00F445A1"/>
    <w:rsid w:val="00F449A8"/>
    <w:rsid w:val="00F44B3E"/>
    <w:rsid w:val="00F47123"/>
    <w:rsid w:val="00F51164"/>
    <w:rsid w:val="00F53042"/>
    <w:rsid w:val="00F5311D"/>
    <w:rsid w:val="00F53217"/>
    <w:rsid w:val="00F53508"/>
    <w:rsid w:val="00F53B91"/>
    <w:rsid w:val="00F542FA"/>
    <w:rsid w:val="00F545E1"/>
    <w:rsid w:val="00F5463E"/>
    <w:rsid w:val="00F5586F"/>
    <w:rsid w:val="00F626F8"/>
    <w:rsid w:val="00F64D33"/>
    <w:rsid w:val="00F652EB"/>
    <w:rsid w:val="00F669EB"/>
    <w:rsid w:val="00F66C35"/>
    <w:rsid w:val="00F70443"/>
    <w:rsid w:val="00F7097D"/>
    <w:rsid w:val="00F716EF"/>
    <w:rsid w:val="00F77D50"/>
    <w:rsid w:val="00F8080B"/>
    <w:rsid w:val="00F81A0A"/>
    <w:rsid w:val="00F838F0"/>
    <w:rsid w:val="00F858D1"/>
    <w:rsid w:val="00F85A24"/>
    <w:rsid w:val="00F86C74"/>
    <w:rsid w:val="00F9016C"/>
    <w:rsid w:val="00F929ED"/>
    <w:rsid w:val="00F9305D"/>
    <w:rsid w:val="00F94D89"/>
    <w:rsid w:val="00F9522F"/>
    <w:rsid w:val="00F96902"/>
    <w:rsid w:val="00F97E63"/>
    <w:rsid w:val="00FA2346"/>
    <w:rsid w:val="00FA37DC"/>
    <w:rsid w:val="00FA3AB1"/>
    <w:rsid w:val="00FA3B62"/>
    <w:rsid w:val="00FA4414"/>
    <w:rsid w:val="00FA4EC5"/>
    <w:rsid w:val="00FA5EE1"/>
    <w:rsid w:val="00FB1472"/>
    <w:rsid w:val="00FB228A"/>
    <w:rsid w:val="00FC015A"/>
    <w:rsid w:val="00FC0EDC"/>
    <w:rsid w:val="00FC3C5A"/>
    <w:rsid w:val="00FC3C7A"/>
    <w:rsid w:val="00FC4BE9"/>
    <w:rsid w:val="00FC6839"/>
    <w:rsid w:val="00FC6FCC"/>
    <w:rsid w:val="00FD01FC"/>
    <w:rsid w:val="00FD061B"/>
    <w:rsid w:val="00FD31D4"/>
    <w:rsid w:val="00FD5F34"/>
    <w:rsid w:val="00FD5FEF"/>
    <w:rsid w:val="00FD6027"/>
    <w:rsid w:val="00FD7C45"/>
    <w:rsid w:val="00FE2D33"/>
    <w:rsid w:val="00FE3D8C"/>
    <w:rsid w:val="00FE6FC3"/>
    <w:rsid w:val="00FE76B5"/>
    <w:rsid w:val="00FE76D2"/>
    <w:rsid w:val="00FE7FDD"/>
    <w:rsid w:val="00FF15B4"/>
    <w:rsid w:val="00FF171B"/>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aliases w:val="Footnote,Fußnote,Char,Char Rakstz. Rakstz. Rakstz.,Footnote Text Char2,Footnote Text Char1 Char,Footnote Text Char1 Char Char Char,Footnote Text Char1 Char Char Char Rakstz. Rakstz.,Fußnote Char Char Char Char Char Char,Cha,Ch,1,C,Char1, C"/>
    <w:basedOn w:val="Normal"/>
    <w:link w:val="FootnoteTextChar"/>
    <w:qFormat/>
    <w:rsid w:val="00AD6AEF"/>
    <w:pPr>
      <w:jc w:val="both"/>
    </w:pPr>
    <w:rPr>
      <w:rFonts w:eastAsia="Times New Roman"/>
      <w:lang w:val="lv-LV"/>
    </w:rPr>
  </w:style>
  <w:style w:type="character" w:customStyle="1" w:styleId="FootnoteTextChar">
    <w:name w:val="Footnote Text Char"/>
    <w:aliases w:val="Footnote Char,Fußnote Char,Char Char,Char Rakstz. Rakstz. Rakstz. Char,Footnote Text Char2 Char,Footnote Text Char1 Char Char,Footnote Text Char1 Char Char Char Char,Footnote Text Char1 Char Char Char Rakstz. Rakstz. Char,Cha Char"/>
    <w:basedOn w:val="DefaultParagraphFont"/>
    <w:link w:val="FootnoteText"/>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table" w:styleId="TableGrid">
    <w:name w:val="Table Grid"/>
    <w:basedOn w:val="TableNormal"/>
    <w:uiPriority w:val="59"/>
    <w:rsid w:val="00FE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F22"/>
    <w:rPr>
      <w:color w:val="605E5C"/>
      <w:shd w:val="clear" w:color="auto" w:fill="E1DFDD"/>
    </w:rPr>
  </w:style>
  <w:style w:type="paragraph" w:customStyle="1" w:styleId="naisc">
    <w:name w:val="naisc"/>
    <w:basedOn w:val="Normal"/>
    <w:rsid w:val="00852C60"/>
    <w:pPr>
      <w:spacing w:before="75" w:after="75"/>
      <w:jc w:val="center"/>
    </w:pPr>
    <w:rPr>
      <w:rFonts w:eastAsia="Times New Roman"/>
      <w:sz w:val="24"/>
      <w:szCs w:val="24"/>
      <w:lang w:val="lv-LV" w:eastAsia="lv-LV"/>
    </w:rPr>
  </w:style>
  <w:style w:type="paragraph" w:styleId="Title">
    <w:name w:val="Title"/>
    <w:basedOn w:val="Normal"/>
    <w:link w:val="TitleChar"/>
    <w:qFormat/>
    <w:rsid w:val="002A7C45"/>
    <w:pPr>
      <w:jc w:val="center"/>
    </w:pPr>
    <w:rPr>
      <w:rFonts w:eastAsia="Times New Roman"/>
      <w:sz w:val="28"/>
      <w:lang w:val="lv-LV"/>
    </w:rPr>
  </w:style>
  <w:style w:type="character" w:customStyle="1" w:styleId="TitleChar">
    <w:name w:val="Title Char"/>
    <w:basedOn w:val="DefaultParagraphFont"/>
    <w:link w:val="Title"/>
    <w:rsid w:val="002A7C45"/>
    <w:rPr>
      <w:rFonts w:ascii="Times New Roman" w:eastAsia="Times New Roman" w:hAnsi="Times New Roman" w:cs="Times New Roman"/>
      <w:sz w:val="28"/>
      <w:szCs w:val="20"/>
    </w:rPr>
  </w:style>
  <w:style w:type="character" w:customStyle="1" w:styleId="st1">
    <w:name w:val="st1"/>
    <w:uiPriority w:val="99"/>
    <w:rsid w:val="00CD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6491">
      <w:bodyDiv w:val="1"/>
      <w:marLeft w:val="0"/>
      <w:marRight w:val="0"/>
      <w:marTop w:val="0"/>
      <w:marBottom w:val="0"/>
      <w:divBdr>
        <w:top w:val="none" w:sz="0" w:space="0" w:color="auto"/>
        <w:left w:val="none" w:sz="0" w:space="0" w:color="auto"/>
        <w:bottom w:val="none" w:sz="0" w:space="0" w:color="auto"/>
        <w:right w:val="none" w:sz="0" w:space="0" w:color="auto"/>
      </w:divBdr>
    </w:div>
    <w:div w:id="77092894">
      <w:bodyDiv w:val="1"/>
      <w:marLeft w:val="0"/>
      <w:marRight w:val="0"/>
      <w:marTop w:val="0"/>
      <w:marBottom w:val="0"/>
      <w:divBdr>
        <w:top w:val="none" w:sz="0" w:space="0" w:color="auto"/>
        <w:left w:val="none" w:sz="0" w:space="0" w:color="auto"/>
        <w:bottom w:val="none" w:sz="0" w:space="0" w:color="auto"/>
        <w:right w:val="none" w:sz="0" w:space="0" w:color="auto"/>
      </w:divBdr>
    </w:div>
    <w:div w:id="111637803">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237112">
      <w:bodyDiv w:val="1"/>
      <w:marLeft w:val="0"/>
      <w:marRight w:val="0"/>
      <w:marTop w:val="0"/>
      <w:marBottom w:val="0"/>
      <w:divBdr>
        <w:top w:val="none" w:sz="0" w:space="0" w:color="auto"/>
        <w:left w:val="none" w:sz="0" w:space="0" w:color="auto"/>
        <w:bottom w:val="none" w:sz="0" w:space="0" w:color="auto"/>
        <w:right w:val="none" w:sz="0" w:space="0" w:color="auto"/>
      </w:divBdr>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52602839">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4219981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49295725">
      <w:bodyDiv w:val="1"/>
      <w:marLeft w:val="0"/>
      <w:marRight w:val="0"/>
      <w:marTop w:val="0"/>
      <w:marBottom w:val="0"/>
      <w:divBdr>
        <w:top w:val="none" w:sz="0" w:space="0" w:color="auto"/>
        <w:left w:val="none" w:sz="0" w:space="0" w:color="auto"/>
        <w:bottom w:val="none" w:sz="0" w:space="0" w:color="auto"/>
        <w:right w:val="none" w:sz="0" w:space="0" w:color="auto"/>
      </w:divBdr>
    </w:div>
    <w:div w:id="1078987221">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25799909">
      <w:bodyDiv w:val="1"/>
      <w:marLeft w:val="0"/>
      <w:marRight w:val="0"/>
      <w:marTop w:val="0"/>
      <w:marBottom w:val="0"/>
      <w:divBdr>
        <w:top w:val="none" w:sz="0" w:space="0" w:color="auto"/>
        <w:left w:val="none" w:sz="0" w:space="0" w:color="auto"/>
        <w:bottom w:val="none" w:sz="0" w:space="0" w:color="auto"/>
        <w:right w:val="none" w:sz="0" w:space="0" w:color="auto"/>
      </w:divBdr>
      <w:divsChild>
        <w:div w:id="1129712428">
          <w:marLeft w:val="1440"/>
          <w:marRight w:val="0"/>
          <w:marTop w:val="240"/>
          <w:marBottom w:val="0"/>
          <w:divBdr>
            <w:top w:val="none" w:sz="0" w:space="0" w:color="auto"/>
            <w:left w:val="none" w:sz="0" w:space="0" w:color="auto"/>
            <w:bottom w:val="none" w:sz="0" w:space="0" w:color="auto"/>
            <w:right w:val="none" w:sz="0" w:space="0" w:color="auto"/>
          </w:divBdr>
        </w:div>
        <w:div w:id="1685665072">
          <w:marLeft w:val="1440"/>
          <w:marRight w:val="0"/>
          <w:marTop w:val="240"/>
          <w:marBottom w:val="0"/>
          <w:divBdr>
            <w:top w:val="none" w:sz="0" w:space="0" w:color="auto"/>
            <w:left w:val="none" w:sz="0" w:space="0" w:color="auto"/>
            <w:bottom w:val="none" w:sz="0" w:space="0" w:color="auto"/>
            <w:right w:val="none" w:sz="0" w:space="0" w:color="auto"/>
          </w:divBdr>
        </w:div>
        <w:div w:id="1937595867">
          <w:marLeft w:val="1440"/>
          <w:marRight w:val="0"/>
          <w:marTop w:val="240"/>
          <w:marBottom w:val="0"/>
          <w:divBdr>
            <w:top w:val="none" w:sz="0" w:space="0" w:color="auto"/>
            <w:left w:val="none" w:sz="0" w:space="0" w:color="auto"/>
            <w:bottom w:val="none" w:sz="0" w:space="0" w:color="auto"/>
            <w:right w:val="none" w:sz="0" w:space="0" w:color="auto"/>
          </w:divBdr>
        </w:div>
      </w:divsChild>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380592230">
      <w:bodyDiv w:val="1"/>
      <w:marLeft w:val="0"/>
      <w:marRight w:val="0"/>
      <w:marTop w:val="0"/>
      <w:marBottom w:val="0"/>
      <w:divBdr>
        <w:top w:val="none" w:sz="0" w:space="0" w:color="auto"/>
        <w:left w:val="none" w:sz="0" w:space="0" w:color="auto"/>
        <w:bottom w:val="none" w:sz="0" w:space="0" w:color="auto"/>
        <w:right w:val="none" w:sz="0" w:space="0" w:color="auto"/>
      </w:divBdr>
    </w:div>
    <w:div w:id="1414159824">
      <w:bodyDiv w:val="1"/>
      <w:marLeft w:val="0"/>
      <w:marRight w:val="0"/>
      <w:marTop w:val="0"/>
      <w:marBottom w:val="0"/>
      <w:divBdr>
        <w:top w:val="none" w:sz="0" w:space="0" w:color="auto"/>
        <w:left w:val="none" w:sz="0" w:space="0" w:color="auto"/>
        <w:bottom w:val="none" w:sz="0" w:space="0" w:color="auto"/>
        <w:right w:val="none" w:sz="0" w:space="0" w:color="auto"/>
      </w:divBdr>
      <w:divsChild>
        <w:div w:id="244416166">
          <w:marLeft w:val="0"/>
          <w:marRight w:val="0"/>
          <w:marTop w:val="0"/>
          <w:marBottom w:val="0"/>
          <w:divBdr>
            <w:top w:val="none" w:sz="0" w:space="0" w:color="auto"/>
            <w:left w:val="none" w:sz="0" w:space="0" w:color="auto"/>
            <w:bottom w:val="none" w:sz="0" w:space="0" w:color="auto"/>
            <w:right w:val="none" w:sz="0" w:space="0" w:color="auto"/>
          </w:divBdr>
        </w:div>
      </w:divsChild>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41358515">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50279227">
      <w:bodyDiv w:val="1"/>
      <w:marLeft w:val="0"/>
      <w:marRight w:val="0"/>
      <w:marTop w:val="0"/>
      <w:marBottom w:val="0"/>
      <w:divBdr>
        <w:top w:val="none" w:sz="0" w:space="0" w:color="auto"/>
        <w:left w:val="none" w:sz="0" w:space="0" w:color="auto"/>
        <w:bottom w:val="none" w:sz="0" w:space="0" w:color="auto"/>
        <w:right w:val="none" w:sz="0" w:space="0" w:color="auto"/>
      </w:divBdr>
    </w:div>
    <w:div w:id="1668903836">
      <w:bodyDiv w:val="1"/>
      <w:marLeft w:val="0"/>
      <w:marRight w:val="0"/>
      <w:marTop w:val="0"/>
      <w:marBottom w:val="0"/>
      <w:divBdr>
        <w:top w:val="none" w:sz="0" w:space="0" w:color="auto"/>
        <w:left w:val="none" w:sz="0" w:space="0" w:color="auto"/>
        <w:bottom w:val="none" w:sz="0" w:space="0" w:color="auto"/>
        <w:right w:val="none" w:sz="0" w:space="0" w:color="auto"/>
      </w:divBdr>
      <w:divsChild>
        <w:div w:id="762530543">
          <w:marLeft w:val="1800"/>
          <w:marRight w:val="0"/>
          <w:marTop w:val="240"/>
          <w:marBottom w:val="0"/>
          <w:divBdr>
            <w:top w:val="none" w:sz="0" w:space="0" w:color="auto"/>
            <w:left w:val="none" w:sz="0" w:space="0" w:color="auto"/>
            <w:bottom w:val="none" w:sz="0" w:space="0" w:color="auto"/>
            <w:right w:val="none" w:sz="0" w:space="0" w:color="auto"/>
          </w:divBdr>
        </w:div>
        <w:div w:id="505362658">
          <w:marLeft w:val="1800"/>
          <w:marRight w:val="0"/>
          <w:marTop w:val="240"/>
          <w:marBottom w:val="0"/>
          <w:divBdr>
            <w:top w:val="none" w:sz="0" w:space="0" w:color="auto"/>
            <w:left w:val="none" w:sz="0" w:space="0" w:color="auto"/>
            <w:bottom w:val="none" w:sz="0" w:space="0" w:color="auto"/>
            <w:right w:val="none" w:sz="0" w:space="0" w:color="auto"/>
          </w:divBdr>
        </w:div>
        <w:div w:id="830177265">
          <w:marLeft w:val="1080"/>
          <w:marRight w:val="0"/>
          <w:marTop w:val="240"/>
          <w:marBottom w:val="0"/>
          <w:divBdr>
            <w:top w:val="none" w:sz="0" w:space="0" w:color="auto"/>
            <w:left w:val="none" w:sz="0" w:space="0" w:color="auto"/>
            <w:bottom w:val="none" w:sz="0" w:space="0" w:color="auto"/>
            <w:right w:val="none" w:sz="0" w:space="0" w:color="auto"/>
          </w:divBdr>
        </w:div>
        <w:div w:id="1577931630">
          <w:marLeft w:val="1080"/>
          <w:marRight w:val="0"/>
          <w:marTop w:val="240"/>
          <w:marBottom w:val="0"/>
          <w:divBdr>
            <w:top w:val="none" w:sz="0" w:space="0" w:color="auto"/>
            <w:left w:val="none" w:sz="0" w:space="0" w:color="auto"/>
            <w:bottom w:val="none" w:sz="0" w:space="0" w:color="auto"/>
            <w:right w:val="none" w:sz="0" w:space="0" w:color="auto"/>
          </w:divBdr>
        </w:div>
        <w:div w:id="1328359019">
          <w:marLeft w:val="1080"/>
          <w:marRight w:val="0"/>
          <w:marTop w:val="240"/>
          <w:marBottom w:val="0"/>
          <w:divBdr>
            <w:top w:val="none" w:sz="0" w:space="0" w:color="auto"/>
            <w:left w:val="none" w:sz="0" w:space="0" w:color="auto"/>
            <w:bottom w:val="none" w:sz="0" w:space="0" w:color="auto"/>
            <w:right w:val="none" w:sz="0" w:space="0" w:color="auto"/>
          </w:divBdr>
        </w:div>
      </w:divsChild>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712487128">
      <w:bodyDiv w:val="1"/>
      <w:marLeft w:val="0"/>
      <w:marRight w:val="0"/>
      <w:marTop w:val="0"/>
      <w:marBottom w:val="0"/>
      <w:divBdr>
        <w:top w:val="none" w:sz="0" w:space="0" w:color="auto"/>
        <w:left w:val="none" w:sz="0" w:space="0" w:color="auto"/>
        <w:bottom w:val="none" w:sz="0" w:space="0" w:color="auto"/>
        <w:right w:val="none" w:sz="0" w:space="0" w:color="auto"/>
      </w:divBdr>
    </w:div>
    <w:div w:id="1785730315">
      <w:bodyDiv w:val="1"/>
      <w:marLeft w:val="0"/>
      <w:marRight w:val="0"/>
      <w:marTop w:val="0"/>
      <w:marBottom w:val="0"/>
      <w:divBdr>
        <w:top w:val="none" w:sz="0" w:space="0" w:color="auto"/>
        <w:left w:val="none" w:sz="0" w:space="0" w:color="auto"/>
        <w:bottom w:val="none" w:sz="0" w:space="0" w:color="auto"/>
        <w:right w:val="none" w:sz="0" w:space="0" w:color="auto"/>
      </w:divBdr>
    </w:div>
    <w:div w:id="1823277882">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933665253">
      <w:bodyDiv w:val="1"/>
      <w:marLeft w:val="0"/>
      <w:marRight w:val="0"/>
      <w:marTop w:val="0"/>
      <w:marBottom w:val="0"/>
      <w:divBdr>
        <w:top w:val="none" w:sz="0" w:space="0" w:color="auto"/>
        <w:left w:val="none" w:sz="0" w:space="0" w:color="auto"/>
        <w:bottom w:val="none" w:sz="0" w:space="0" w:color="auto"/>
        <w:right w:val="none" w:sz="0" w:space="0" w:color="auto"/>
      </w:divBdr>
      <w:divsChild>
        <w:div w:id="977491932">
          <w:marLeft w:val="720"/>
          <w:marRight w:val="0"/>
          <w:marTop w:val="240"/>
          <w:marBottom w:val="0"/>
          <w:divBdr>
            <w:top w:val="none" w:sz="0" w:space="0" w:color="auto"/>
            <w:left w:val="none" w:sz="0" w:space="0" w:color="auto"/>
            <w:bottom w:val="none" w:sz="0" w:space="0" w:color="auto"/>
            <w:right w:val="none" w:sz="0" w:space="0" w:color="auto"/>
          </w:divBdr>
        </w:div>
        <w:div w:id="1217009295">
          <w:marLeft w:val="720"/>
          <w:marRight w:val="0"/>
          <w:marTop w:val="240"/>
          <w:marBottom w:val="0"/>
          <w:divBdr>
            <w:top w:val="none" w:sz="0" w:space="0" w:color="auto"/>
            <w:left w:val="none" w:sz="0" w:space="0" w:color="auto"/>
            <w:bottom w:val="none" w:sz="0" w:space="0" w:color="auto"/>
            <w:right w:val="none" w:sz="0" w:space="0" w:color="auto"/>
          </w:divBdr>
        </w:div>
        <w:div w:id="49422607">
          <w:marLeft w:val="547"/>
          <w:marRight w:val="0"/>
          <w:marTop w:val="240"/>
          <w:marBottom w:val="0"/>
          <w:divBdr>
            <w:top w:val="none" w:sz="0" w:space="0" w:color="auto"/>
            <w:left w:val="none" w:sz="0" w:space="0" w:color="auto"/>
            <w:bottom w:val="none" w:sz="0" w:space="0" w:color="auto"/>
            <w:right w:val="none" w:sz="0" w:space="0" w:color="auto"/>
          </w:divBdr>
        </w:div>
        <w:div w:id="2124028753">
          <w:marLeft w:val="720"/>
          <w:marRight w:val="0"/>
          <w:marTop w:val="240"/>
          <w:marBottom w:val="0"/>
          <w:divBdr>
            <w:top w:val="none" w:sz="0" w:space="0" w:color="auto"/>
            <w:left w:val="none" w:sz="0" w:space="0" w:color="auto"/>
            <w:bottom w:val="none" w:sz="0" w:space="0" w:color="auto"/>
            <w:right w:val="none" w:sz="0" w:space="0" w:color="auto"/>
          </w:divBdr>
        </w:div>
      </w:divsChild>
    </w:div>
    <w:div w:id="1946770081">
      <w:bodyDiv w:val="1"/>
      <w:marLeft w:val="0"/>
      <w:marRight w:val="0"/>
      <w:marTop w:val="0"/>
      <w:marBottom w:val="0"/>
      <w:divBdr>
        <w:top w:val="none" w:sz="0" w:space="0" w:color="auto"/>
        <w:left w:val="none" w:sz="0" w:space="0" w:color="auto"/>
        <w:bottom w:val="none" w:sz="0" w:space="0" w:color="auto"/>
        <w:right w:val="none" w:sz="0" w:space="0" w:color="auto"/>
      </w:divBdr>
    </w:div>
    <w:div w:id="1984040002">
      <w:bodyDiv w:val="1"/>
      <w:marLeft w:val="0"/>
      <w:marRight w:val="0"/>
      <w:marTop w:val="0"/>
      <w:marBottom w:val="0"/>
      <w:divBdr>
        <w:top w:val="none" w:sz="0" w:space="0" w:color="auto"/>
        <w:left w:val="none" w:sz="0" w:space="0" w:color="auto"/>
        <w:bottom w:val="none" w:sz="0" w:space="0" w:color="auto"/>
        <w:right w:val="none" w:sz="0" w:space="0" w:color="auto"/>
      </w:divBdr>
    </w:div>
    <w:div w:id="2093306620">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9D85-08CB-47DA-B2AE-2228153E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6076</Words>
  <Characters>3464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Ieva Veisa</cp:lastModifiedBy>
  <cp:revision>37</cp:revision>
  <cp:lastPrinted>2020-05-15T11:33:00Z</cp:lastPrinted>
  <dcterms:created xsi:type="dcterms:W3CDTF">2021-04-28T10:45:00Z</dcterms:created>
  <dcterms:modified xsi:type="dcterms:W3CDTF">2021-04-28T12:41:00Z</dcterms:modified>
</cp:coreProperties>
</file>