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20236" w14:textId="77777777" w:rsidR="00E92E8E" w:rsidRDefault="00EA6CD3" w:rsidP="00A87D1C">
      <w:pPr>
        <w:contextualSpacing/>
        <w:jc w:val="center"/>
        <w:rPr>
          <w:b/>
          <w:sz w:val="26"/>
          <w:szCs w:val="26"/>
          <w:lang w:val="lv-LV"/>
        </w:rPr>
      </w:pPr>
      <w:bookmarkStart w:id="0" w:name="OLE_LINK3"/>
      <w:bookmarkStart w:id="1" w:name="OLE_LINK1"/>
      <w:bookmarkStart w:id="2" w:name="OLE_LINK2"/>
      <w:r w:rsidRPr="001319E5">
        <w:rPr>
          <w:b/>
          <w:sz w:val="26"/>
          <w:szCs w:val="26"/>
          <w:lang w:val="lv-LV"/>
        </w:rPr>
        <w:t>Ministru kabineta noteikumu projekta</w:t>
      </w:r>
      <w:bookmarkStart w:id="3" w:name="OLE_LINK7"/>
      <w:bookmarkStart w:id="4" w:name="OLE_LINK8"/>
    </w:p>
    <w:p w14:paraId="088F7E8E" w14:textId="06A872A1" w:rsidR="00EA6CD3" w:rsidRPr="001319E5" w:rsidRDefault="00E66147" w:rsidP="00A87D1C">
      <w:pPr>
        <w:contextualSpacing/>
        <w:jc w:val="center"/>
        <w:rPr>
          <w:b/>
          <w:sz w:val="26"/>
          <w:szCs w:val="26"/>
          <w:lang w:val="lv-LV"/>
        </w:rPr>
      </w:pPr>
      <w:r w:rsidRPr="001319E5">
        <w:rPr>
          <w:b/>
          <w:sz w:val="26"/>
          <w:szCs w:val="26"/>
          <w:lang w:val="lv-LV"/>
        </w:rPr>
        <w:t>“</w:t>
      </w:r>
      <w:r w:rsidR="00FE76B5" w:rsidRPr="001319E5">
        <w:rPr>
          <w:b/>
          <w:sz w:val="26"/>
          <w:szCs w:val="26"/>
          <w:lang w:val="lv-LV"/>
        </w:rPr>
        <w:t xml:space="preserve">Grozījumi Ministru kabineta 2016.gada </w:t>
      </w:r>
      <w:r w:rsidR="00123887" w:rsidRPr="001319E5">
        <w:rPr>
          <w:b/>
          <w:sz w:val="26"/>
          <w:szCs w:val="26"/>
          <w:lang w:val="lv-LV"/>
        </w:rPr>
        <w:t>1</w:t>
      </w:r>
      <w:r w:rsidR="00AB13CC" w:rsidRPr="001319E5">
        <w:rPr>
          <w:b/>
          <w:sz w:val="26"/>
          <w:szCs w:val="26"/>
          <w:lang w:val="lv-LV"/>
        </w:rPr>
        <w:t>2</w:t>
      </w:r>
      <w:r w:rsidR="00123887" w:rsidRPr="001319E5">
        <w:rPr>
          <w:b/>
          <w:sz w:val="26"/>
          <w:szCs w:val="26"/>
          <w:lang w:val="lv-LV"/>
        </w:rPr>
        <w:t>.</w:t>
      </w:r>
      <w:r w:rsidR="000B3A3F" w:rsidRPr="001319E5">
        <w:rPr>
          <w:b/>
          <w:sz w:val="26"/>
          <w:szCs w:val="26"/>
          <w:lang w:val="lv-LV"/>
        </w:rPr>
        <w:t>aprīļa</w:t>
      </w:r>
      <w:r w:rsidR="00FE76B5" w:rsidRPr="001319E5">
        <w:rPr>
          <w:b/>
          <w:sz w:val="26"/>
          <w:szCs w:val="26"/>
          <w:lang w:val="lv-LV"/>
        </w:rPr>
        <w:t xml:space="preserve"> noteikumos Nr.</w:t>
      </w:r>
      <w:r w:rsidR="000B3A3F" w:rsidRPr="001319E5">
        <w:rPr>
          <w:b/>
          <w:sz w:val="26"/>
          <w:szCs w:val="26"/>
          <w:lang w:val="lv-LV"/>
        </w:rPr>
        <w:t>226</w:t>
      </w:r>
      <w:r w:rsidR="00FE76B5" w:rsidRPr="001319E5">
        <w:rPr>
          <w:b/>
          <w:sz w:val="26"/>
          <w:szCs w:val="26"/>
          <w:lang w:val="lv-LV"/>
        </w:rPr>
        <w:t xml:space="preserve"> </w:t>
      </w:r>
      <w:r w:rsidR="00187921" w:rsidRPr="001319E5">
        <w:rPr>
          <w:lang w:val="lv-LV"/>
        </w:rPr>
        <w:t>“</w:t>
      </w:r>
      <w:r w:rsidR="000B3A3F" w:rsidRPr="001319E5">
        <w:rPr>
          <w:b/>
          <w:sz w:val="26"/>
          <w:szCs w:val="26"/>
          <w:lang w:val="lv-LV"/>
        </w:rPr>
        <w:t>Noteikumi par akcelerācijas fondiem saimnieciskās darbības veicēju izveides, attīstības un konkurētspējas veicināšanai</w:t>
      </w:r>
      <w:r w:rsidR="00FE76B5" w:rsidRPr="001319E5">
        <w:rPr>
          <w:b/>
          <w:sz w:val="26"/>
          <w:szCs w:val="26"/>
          <w:lang w:val="lv-LV"/>
        </w:rPr>
        <w:t>”</w:t>
      </w:r>
      <w:r w:rsidR="00EA6CD3" w:rsidRPr="001319E5">
        <w:rPr>
          <w:b/>
          <w:sz w:val="26"/>
          <w:szCs w:val="26"/>
          <w:lang w:val="lv-LV"/>
        </w:rPr>
        <w:t>”</w:t>
      </w:r>
      <w:bookmarkEnd w:id="3"/>
      <w:bookmarkEnd w:id="4"/>
      <w:r w:rsidR="00844176" w:rsidRPr="001319E5">
        <w:rPr>
          <w:b/>
          <w:sz w:val="26"/>
          <w:szCs w:val="26"/>
          <w:lang w:val="lv-LV"/>
        </w:rPr>
        <w:t xml:space="preserve"> </w:t>
      </w:r>
      <w:r w:rsidR="00EA6CD3" w:rsidRPr="001319E5">
        <w:rPr>
          <w:b/>
          <w:sz w:val="26"/>
          <w:szCs w:val="26"/>
          <w:lang w:val="lv-LV"/>
        </w:rPr>
        <w:t>sākotnējās ietekmes novērtējuma ziņojums (anotācija)</w:t>
      </w:r>
    </w:p>
    <w:p w14:paraId="4F03DE00" w14:textId="77777777" w:rsidR="00310924" w:rsidRPr="001319E5" w:rsidRDefault="00310924" w:rsidP="007B27D9">
      <w:pPr>
        <w:contextualSpacing/>
        <w:rPr>
          <w:b/>
          <w:sz w:val="26"/>
          <w:szCs w:val="26"/>
          <w:lang w:val="lv-LV"/>
        </w:rPr>
      </w:pPr>
    </w:p>
    <w:tbl>
      <w:tblPr>
        <w:tblW w:w="508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0"/>
        <w:gridCol w:w="6245"/>
      </w:tblGrid>
      <w:tr w:rsidR="00310924" w:rsidRPr="001319E5" w14:paraId="06A3987D" w14:textId="77777777" w:rsidTr="006F29AD">
        <w:trPr>
          <w:trHeight w:val="267"/>
          <w:tblCellSpacing w:w="15" w:type="dxa"/>
        </w:trPr>
        <w:tc>
          <w:tcPr>
            <w:tcW w:w="4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bookmarkEnd w:id="1"/>
          <w:bookmarkEnd w:id="2"/>
          <w:p w14:paraId="0723E20C" w14:textId="77777777" w:rsidR="00310924" w:rsidRPr="001319E5" w:rsidRDefault="00310924" w:rsidP="00A87D1C">
            <w:pPr>
              <w:contextualSpacing/>
              <w:rPr>
                <w:rFonts w:eastAsia="Times New Roman"/>
                <w:b/>
                <w:bCs/>
                <w:iCs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b/>
                <w:bCs/>
                <w:iCs/>
                <w:sz w:val="24"/>
                <w:szCs w:val="24"/>
                <w:lang w:val="lv-LV" w:eastAsia="lv-LV"/>
              </w:rPr>
              <w:t>Tiesību akta projekta anotācijas kopsavilkums</w:t>
            </w:r>
          </w:p>
        </w:tc>
      </w:tr>
      <w:tr w:rsidR="00310924" w:rsidRPr="00681FC2" w14:paraId="5F92C921" w14:textId="77777777" w:rsidTr="006F29AD">
        <w:trPr>
          <w:tblCellSpacing w:w="15" w:type="dxa"/>
        </w:trPr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DBABE" w14:textId="77777777" w:rsidR="00310924" w:rsidRPr="001319E5" w:rsidRDefault="00310924" w:rsidP="00A87D1C">
            <w:pPr>
              <w:contextualSpacing/>
              <w:rPr>
                <w:rFonts w:eastAsia="Times New Roman"/>
                <w:iCs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Mērķis, risinājums un projekta spēkā stāšanās laiks (500 zīmes bez atstarpēm)</w:t>
            </w:r>
          </w:p>
        </w:tc>
        <w:tc>
          <w:tcPr>
            <w:tcW w:w="3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FDB7D" w14:textId="02417A4F" w:rsidR="00DD696D" w:rsidRDefault="0065450B" w:rsidP="00A87D1C">
            <w:pPr>
              <w:contextualSpacing/>
              <w:jc w:val="both"/>
              <w:rPr>
                <w:sz w:val="24"/>
                <w:szCs w:val="24"/>
                <w:lang w:val="lv-LV"/>
              </w:rPr>
            </w:pPr>
            <w:r>
              <w:rPr>
                <w:rFonts w:eastAsia="Times New Roman"/>
                <w:iCs/>
                <w:sz w:val="24"/>
                <w:szCs w:val="24"/>
                <w:lang w:val="lv-LV" w:eastAsia="lv-LV"/>
              </w:rPr>
              <w:t>P</w:t>
            </w:r>
            <w:r w:rsidR="00310924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 xml:space="preserve">rojekts paredz </w:t>
            </w:r>
            <w:r w:rsidR="00EA717A">
              <w:rPr>
                <w:rFonts w:eastAsia="Times New Roman"/>
                <w:iCs/>
                <w:sz w:val="24"/>
                <w:szCs w:val="24"/>
                <w:lang w:val="lv-LV" w:eastAsia="lv-LV"/>
              </w:rPr>
              <w:t xml:space="preserve">pagarināt </w:t>
            </w:r>
            <w:r w:rsidR="00D67CE9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 xml:space="preserve">Ministru kabineta 2016.gada </w:t>
            </w:r>
            <w:r w:rsidR="00123887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1</w:t>
            </w:r>
            <w:r w:rsidR="005D3B18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2</w:t>
            </w:r>
            <w:r w:rsidR="00123887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.</w:t>
            </w:r>
            <w:r w:rsidR="000B3A3F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aprīļa</w:t>
            </w:r>
            <w:r w:rsidR="00D67CE9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 xml:space="preserve"> noteikumos Nr.</w:t>
            </w:r>
            <w:r w:rsidR="000B3A3F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226</w:t>
            </w:r>
            <w:r w:rsidR="00D67CE9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 xml:space="preserve"> „</w:t>
            </w:r>
            <w:r w:rsidR="000B3A3F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Noteikumi par akcelerācijas fondiem saimnieciskās darbības veicēju izveides, attīstības un konkurētspējas veicināšanai</w:t>
            </w:r>
            <w:r w:rsidR="00D67CE9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”</w:t>
            </w:r>
            <w:r w:rsidR="00DD696D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 xml:space="preserve"> </w:t>
            </w:r>
            <w:r w:rsidR="00D67CE9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noteikt</w:t>
            </w:r>
            <w:r w:rsidR="00DD696D" w:rsidRPr="001319E5">
              <w:rPr>
                <w:rFonts w:eastAsia="Times New Roman"/>
                <w:iCs/>
                <w:sz w:val="24"/>
                <w:szCs w:val="24"/>
                <w:lang w:val="lv-LV" w:eastAsia="lv-LV"/>
              </w:rPr>
              <w:t xml:space="preserve">o </w:t>
            </w:r>
            <w:r w:rsidR="00EA717A">
              <w:rPr>
                <w:rFonts w:eastAsia="Times New Roman"/>
                <w:iCs/>
                <w:sz w:val="24"/>
                <w:szCs w:val="24"/>
                <w:lang w:val="lv-LV" w:eastAsia="lv-LV"/>
              </w:rPr>
              <w:t xml:space="preserve">termiņu lēmumu pieņemšanai par </w:t>
            </w:r>
            <w:proofErr w:type="spellStart"/>
            <w:r w:rsidR="00EA717A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pirmssēklas</w:t>
            </w:r>
            <w:proofErr w:type="spellEnd"/>
            <w:r w:rsidR="00EA717A">
              <w:rPr>
                <w:rFonts w:eastAsia="Times New Roman"/>
                <w:iCs/>
                <w:sz w:val="24"/>
                <w:szCs w:val="24"/>
                <w:lang w:val="lv-LV" w:eastAsia="lv-LV"/>
              </w:rPr>
              <w:t xml:space="preserve"> naudas ieguldījumu piešķiršanu.</w:t>
            </w:r>
          </w:p>
          <w:p w14:paraId="0891E1DE" w14:textId="164F27A7" w:rsidR="00B03741" w:rsidRPr="001319E5" w:rsidRDefault="00B03741" w:rsidP="00A87D1C">
            <w:pPr>
              <w:contextualSpacing/>
              <w:jc w:val="both"/>
              <w:rPr>
                <w:rFonts w:eastAsia="Times New Roman"/>
                <w:iCs/>
                <w:sz w:val="24"/>
                <w:szCs w:val="24"/>
                <w:lang w:val="lv-LV" w:eastAsia="lv-LV"/>
              </w:rPr>
            </w:pPr>
            <w:r w:rsidRPr="00B03741">
              <w:rPr>
                <w:rFonts w:eastAsia="Times New Roman"/>
                <w:iCs/>
                <w:sz w:val="24"/>
                <w:szCs w:val="24"/>
                <w:lang w:val="lv-LV" w:eastAsia="lv-LV"/>
              </w:rPr>
              <w:t xml:space="preserve">Ministru kabineta noteikumi stājas spēkā nākamajā dienā pēc to </w:t>
            </w:r>
            <w:r w:rsidR="00B92A84">
              <w:rPr>
                <w:rFonts w:eastAsia="Times New Roman"/>
                <w:iCs/>
                <w:sz w:val="24"/>
                <w:szCs w:val="24"/>
                <w:lang w:val="lv-LV" w:eastAsia="lv-LV"/>
              </w:rPr>
              <w:t>publicēšanas oficiālajā izdevumā “Latvijas Vēstnesis”</w:t>
            </w:r>
          </w:p>
        </w:tc>
      </w:tr>
    </w:tbl>
    <w:p w14:paraId="2DE059E4" w14:textId="6BA0F248" w:rsidR="003E171B" w:rsidRPr="001319E5" w:rsidRDefault="003E171B" w:rsidP="00A87D1C">
      <w:pPr>
        <w:tabs>
          <w:tab w:val="right" w:pos="9072"/>
        </w:tabs>
        <w:contextualSpacing/>
        <w:rPr>
          <w:sz w:val="26"/>
          <w:szCs w:val="26"/>
          <w:lang w:val="lv-LV"/>
        </w:rPr>
      </w:pPr>
    </w:p>
    <w:tbl>
      <w:tblPr>
        <w:tblW w:w="9129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57" w:type="dxa"/>
          <w:bottom w:w="30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2552"/>
        <w:gridCol w:w="6160"/>
      </w:tblGrid>
      <w:tr w:rsidR="00844176" w:rsidRPr="001319E5" w14:paraId="02364BB3" w14:textId="77777777" w:rsidTr="004A6A58">
        <w:trPr>
          <w:trHeight w:val="178"/>
        </w:trPr>
        <w:tc>
          <w:tcPr>
            <w:tcW w:w="91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E54FE2" w14:textId="77777777" w:rsidR="00844176" w:rsidRPr="001319E5" w:rsidRDefault="00844176" w:rsidP="00A87D1C">
            <w:pPr>
              <w:ind w:firstLine="300"/>
              <w:contextualSpacing/>
              <w:jc w:val="center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I. Tiesību akta projekta izstrādes nepieciešamība</w:t>
            </w:r>
          </w:p>
        </w:tc>
      </w:tr>
      <w:tr w:rsidR="00844176" w:rsidRPr="00681FC2" w14:paraId="7F385C9A" w14:textId="77777777" w:rsidTr="004A6A58">
        <w:trPr>
          <w:trHeight w:val="405"/>
        </w:trPr>
        <w:tc>
          <w:tcPr>
            <w:tcW w:w="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02C726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255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EF4B2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Pamatojums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DF1BBF" w14:textId="4C62E591" w:rsidR="00A76035" w:rsidRPr="001319E5" w:rsidRDefault="00D615A0" w:rsidP="00D615A0">
            <w:pPr>
              <w:ind w:right="31"/>
              <w:contextualSpacing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Projekts izstrādāts pēc Ekonomikas ministrijas iniciatīvas saskaņā ar </w:t>
            </w:r>
            <w:r w:rsidR="00F162CA" w:rsidRPr="001319E5">
              <w:rPr>
                <w:sz w:val="24"/>
                <w:szCs w:val="24"/>
                <w:lang w:val="lv-LV"/>
              </w:rPr>
              <w:t>Attīstības finanšu institūcijas likuma 12.panta ceturt</w:t>
            </w:r>
            <w:r w:rsidR="00F162CA">
              <w:rPr>
                <w:sz w:val="24"/>
                <w:szCs w:val="24"/>
                <w:lang w:val="lv-LV"/>
              </w:rPr>
              <w:t>o</w:t>
            </w:r>
            <w:r w:rsidR="00F162CA" w:rsidRPr="001319E5">
              <w:rPr>
                <w:sz w:val="24"/>
                <w:szCs w:val="24"/>
                <w:lang w:val="lv-LV"/>
              </w:rPr>
              <w:t xml:space="preserve"> daļ</w:t>
            </w:r>
            <w:r w:rsidR="00F162CA">
              <w:rPr>
                <w:sz w:val="24"/>
                <w:szCs w:val="24"/>
                <w:lang w:val="lv-LV"/>
              </w:rPr>
              <w:t xml:space="preserve">u un </w:t>
            </w:r>
            <w:r w:rsidR="006D1B02">
              <w:fldChar w:fldCharType="begin"/>
            </w:r>
            <w:r w:rsidR="006D1B02" w:rsidRPr="00681FC2">
              <w:rPr>
                <w:lang w:val="lv-LV"/>
              </w:rPr>
              <w:instrText xml:space="preserve"> HYPERLINK "http://likumi.lv/ta/id/" \t "_blank" </w:instrText>
            </w:r>
            <w:r w:rsidR="006D1B02">
              <w:fldChar w:fldCharType="separate"/>
            </w:r>
            <w:r w:rsidR="00F162CA" w:rsidRPr="001319E5">
              <w:rPr>
                <w:sz w:val="24"/>
                <w:szCs w:val="24"/>
                <w:lang w:val="lv-LV"/>
              </w:rPr>
              <w:t>Eiropas Savienības struktūrfondu un</w:t>
            </w:r>
            <w:r w:rsidR="00F162CA">
              <w:rPr>
                <w:sz w:val="24"/>
                <w:szCs w:val="24"/>
                <w:lang w:val="lv-LV"/>
              </w:rPr>
              <w:t xml:space="preserve"> </w:t>
            </w:r>
            <w:r w:rsidR="00F162CA" w:rsidRPr="001319E5">
              <w:rPr>
                <w:sz w:val="24"/>
                <w:szCs w:val="24"/>
                <w:lang w:val="lv-LV"/>
              </w:rPr>
              <w:t>Kohēzijas fonda 2014.–2020.</w:t>
            </w:r>
            <w:r w:rsidR="00F162CA">
              <w:rPr>
                <w:sz w:val="24"/>
                <w:szCs w:val="24"/>
                <w:lang w:val="lv-LV"/>
              </w:rPr>
              <w:t> </w:t>
            </w:r>
            <w:r w:rsidR="00F162CA" w:rsidRPr="001319E5">
              <w:rPr>
                <w:sz w:val="24"/>
                <w:szCs w:val="24"/>
                <w:lang w:val="lv-LV"/>
              </w:rPr>
              <w:t>gada plānošanas perioda vadības likuma</w:t>
            </w:r>
            <w:r w:rsidR="006D1B02">
              <w:rPr>
                <w:sz w:val="24"/>
                <w:szCs w:val="24"/>
                <w:lang w:val="lv-LV"/>
              </w:rPr>
              <w:fldChar w:fldCharType="end"/>
            </w:r>
            <w:r w:rsidR="00F162CA">
              <w:rPr>
                <w:sz w:val="24"/>
                <w:szCs w:val="24"/>
                <w:lang w:val="lv-LV"/>
              </w:rPr>
              <w:t xml:space="preserve"> </w:t>
            </w:r>
            <w:r w:rsidR="006D1B02">
              <w:fldChar w:fldCharType="begin"/>
            </w:r>
            <w:r w:rsidR="006D1B02" w:rsidRPr="00681FC2">
              <w:rPr>
                <w:lang w:val="lv-LV"/>
              </w:rPr>
              <w:instrText xml:space="preserve"> HYPERLINK "http://likumi.lv/ta/id/" \l "p20" \t "_blank" </w:instrText>
            </w:r>
            <w:r w:rsidR="006D1B02">
              <w:fldChar w:fldCharType="separate"/>
            </w:r>
            <w:r w:rsidR="00F162CA" w:rsidRPr="001319E5">
              <w:rPr>
                <w:sz w:val="24"/>
                <w:szCs w:val="24"/>
                <w:lang w:val="lv-LV"/>
              </w:rPr>
              <w:t>20.pant</w:t>
            </w:r>
            <w:r w:rsidR="006D1B02">
              <w:rPr>
                <w:sz w:val="24"/>
                <w:szCs w:val="24"/>
                <w:lang w:val="lv-LV"/>
              </w:rPr>
              <w:fldChar w:fldCharType="end"/>
            </w:r>
            <w:r w:rsidR="00F162CA" w:rsidRPr="001319E5">
              <w:rPr>
                <w:sz w:val="24"/>
                <w:szCs w:val="24"/>
                <w:lang w:val="lv-LV"/>
              </w:rPr>
              <w:t>a 14.punkt</w:t>
            </w:r>
            <w:r w:rsidR="00841374">
              <w:rPr>
                <w:sz w:val="24"/>
                <w:szCs w:val="24"/>
                <w:lang w:val="lv-LV"/>
              </w:rPr>
              <w:t>u</w:t>
            </w:r>
            <w:r w:rsidR="00773178">
              <w:rPr>
                <w:sz w:val="24"/>
                <w:szCs w:val="24"/>
                <w:lang w:val="lv-LV"/>
              </w:rPr>
              <w:t>.</w:t>
            </w:r>
          </w:p>
        </w:tc>
      </w:tr>
      <w:tr w:rsidR="00844176" w:rsidRPr="00681FC2" w14:paraId="62EDED08" w14:textId="77777777" w:rsidTr="004A6A58">
        <w:trPr>
          <w:trHeight w:val="465"/>
        </w:trPr>
        <w:tc>
          <w:tcPr>
            <w:tcW w:w="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4587A4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255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AD4671" w14:textId="71679EB9" w:rsidR="00A76035" w:rsidRPr="00A76035" w:rsidRDefault="00844176" w:rsidP="00DA0ED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E075A5" w14:textId="399CF10F" w:rsidR="00844176" w:rsidRPr="002E1888" w:rsidRDefault="00246849" w:rsidP="00A87D1C">
            <w:pPr>
              <w:contextualSpacing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1319E5">
              <w:rPr>
                <w:sz w:val="24"/>
                <w:szCs w:val="24"/>
                <w:lang w:val="lv-LV"/>
              </w:rPr>
              <w:t xml:space="preserve">Ar šo </w:t>
            </w:r>
            <w:r w:rsidR="00B7135A" w:rsidRPr="00B7135A">
              <w:rPr>
                <w:sz w:val="24"/>
                <w:szCs w:val="24"/>
                <w:lang w:val="lv-LV"/>
              </w:rPr>
              <w:t xml:space="preserve">Ministru kabineta (turpmāk </w:t>
            </w:r>
            <w:r w:rsidR="00B7135A">
              <w:rPr>
                <w:sz w:val="24"/>
                <w:szCs w:val="24"/>
                <w:lang w:val="lv-LV"/>
              </w:rPr>
              <w:t>–</w:t>
            </w:r>
            <w:r w:rsidR="00B7135A" w:rsidRPr="00B7135A">
              <w:rPr>
                <w:sz w:val="24"/>
                <w:szCs w:val="24"/>
                <w:lang w:val="lv-LV"/>
              </w:rPr>
              <w:t xml:space="preserve"> </w:t>
            </w:r>
            <w:r w:rsidRPr="001319E5">
              <w:rPr>
                <w:sz w:val="24"/>
                <w:szCs w:val="24"/>
                <w:lang w:val="lv-LV"/>
              </w:rPr>
              <w:t>MK</w:t>
            </w:r>
            <w:r w:rsidR="00B7135A">
              <w:rPr>
                <w:sz w:val="24"/>
                <w:szCs w:val="24"/>
                <w:lang w:val="lv-LV"/>
              </w:rPr>
              <w:t>)</w:t>
            </w:r>
            <w:r w:rsidRPr="001319E5">
              <w:rPr>
                <w:sz w:val="24"/>
                <w:szCs w:val="24"/>
                <w:lang w:val="lv-LV"/>
              </w:rPr>
              <w:t xml:space="preserve"> noteikumu projektu tiek veikt</w:t>
            </w:r>
            <w:r w:rsidR="002E1888">
              <w:rPr>
                <w:sz w:val="24"/>
                <w:szCs w:val="24"/>
                <w:lang w:val="lv-LV"/>
              </w:rPr>
              <w:t>s</w:t>
            </w:r>
            <w:r w:rsidRPr="001319E5">
              <w:rPr>
                <w:sz w:val="24"/>
                <w:szCs w:val="24"/>
                <w:lang w:val="lv-LV"/>
              </w:rPr>
              <w:t xml:space="preserve"> grozījum</w:t>
            </w:r>
            <w:r w:rsidR="002E1888">
              <w:rPr>
                <w:sz w:val="24"/>
                <w:szCs w:val="24"/>
                <w:lang w:val="lv-LV"/>
              </w:rPr>
              <w:t>s</w:t>
            </w:r>
            <w:r w:rsidRPr="001319E5">
              <w:rPr>
                <w:sz w:val="24"/>
                <w:szCs w:val="24"/>
                <w:lang w:val="lv-LV"/>
              </w:rPr>
              <w:t xml:space="preserve"> </w:t>
            </w:r>
            <w:r w:rsidR="00FE76B5" w:rsidRPr="001319E5">
              <w:rPr>
                <w:sz w:val="24"/>
                <w:szCs w:val="24"/>
                <w:lang w:val="lv-LV"/>
              </w:rPr>
              <w:t>2016.</w:t>
            </w:r>
            <w:r w:rsidR="00DC1354">
              <w:rPr>
                <w:sz w:val="24"/>
                <w:szCs w:val="24"/>
                <w:lang w:val="lv-LV"/>
              </w:rPr>
              <w:t> </w:t>
            </w:r>
            <w:r w:rsidR="00FE76B5" w:rsidRPr="001319E5">
              <w:rPr>
                <w:sz w:val="24"/>
                <w:szCs w:val="24"/>
                <w:lang w:val="lv-LV"/>
              </w:rPr>
              <w:t xml:space="preserve">gada </w:t>
            </w:r>
            <w:r w:rsidR="00123887" w:rsidRPr="001319E5">
              <w:rPr>
                <w:sz w:val="24"/>
                <w:szCs w:val="24"/>
                <w:lang w:val="lv-LV"/>
              </w:rPr>
              <w:t>1</w:t>
            </w:r>
            <w:r w:rsidR="00E15DBA" w:rsidRPr="001319E5">
              <w:rPr>
                <w:sz w:val="24"/>
                <w:szCs w:val="24"/>
                <w:lang w:val="lv-LV"/>
              </w:rPr>
              <w:t>2</w:t>
            </w:r>
            <w:r w:rsidR="00123887" w:rsidRPr="001319E5">
              <w:rPr>
                <w:sz w:val="24"/>
                <w:szCs w:val="24"/>
                <w:lang w:val="lv-LV"/>
              </w:rPr>
              <w:t>.</w:t>
            </w:r>
            <w:r w:rsidR="00DC1354">
              <w:rPr>
                <w:sz w:val="24"/>
                <w:szCs w:val="24"/>
                <w:lang w:val="lv-LV"/>
              </w:rPr>
              <w:t> </w:t>
            </w:r>
            <w:r w:rsidR="000B3A3F" w:rsidRPr="001319E5">
              <w:rPr>
                <w:sz w:val="24"/>
                <w:szCs w:val="24"/>
                <w:lang w:val="lv-LV"/>
              </w:rPr>
              <w:t>aprīļa</w:t>
            </w:r>
            <w:r w:rsidR="00FE76B5" w:rsidRPr="001319E5">
              <w:rPr>
                <w:sz w:val="24"/>
                <w:szCs w:val="24"/>
                <w:lang w:val="lv-LV"/>
              </w:rPr>
              <w:t xml:space="preserve"> noteikum</w:t>
            </w:r>
            <w:r w:rsidRPr="001319E5">
              <w:rPr>
                <w:sz w:val="24"/>
                <w:szCs w:val="24"/>
                <w:lang w:val="lv-LV"/>
              </w:rPr>
              <w:t>os</w:t>
            </w:r>
            <w:r w:rsidR="00FE76B5" w:rsidRPr="001319E5">
              <w:rPr>
                <w:sz w:val="24"/>
                <w:szCs w:val="24"/>
                <w:lang w:val="lv-LV"/>
              </w:rPr>
              <w:t xml:space="preserve"> Nr.</w:t>
            </w:r>
            <w:r w:rsidR="00DC1354">
              <w:rPr>
                <w:sz w:val="24"/>
                <w:szCs w:val="24"/>
                <w:lang w:val="lv-LV"/>
              </w:rPr>
              <w:t> </w:t>
            </w:r>
            <w:r w:rsidR="000B3A3F" w:rsidRPr="001319E5">
              <w:rPr>
                <w:sz w:val="24"/>
                <w:szCs w:val="24"/>
                <w:lang w:val="lv-LV"/>
              </w:rPr>
              <w:t>226</w:t>
            </w:r>
            <w:r w:rsidR="00FE76B5" w:rsidRPr="001319E5">
              <w:rPr>
                <w:sz w:val="24"/>
                <w:szCs w:val="24"/>
                <w:lang w:val="lv-LV"/>
              </w:rPr>
              <w:t xml:space="preserve"> </w:t>
            </w:r>
            <w:r w:rsidR="008E3E6E">
              <w:rPr>
                <w:sz w:val="24"/>
                <w:szCs w:val="24"/>
                <w:lang w:val="lv-LV"/>
              </w:rPr>
              <w:t>“</w:t>
            </w:r>
            <w:r w:rsidR="000B3A3F" w:rsidRPr="001319E5">
              <w:rPr>
                <w:sz w:val="24"/>
                <w:szCs w:val="24"/>
                <w:lang w:val="lv-LV"/>
              </w:rPr>
              <w:t>Noteikumi par akcelerācijas fondiem saimnieciskās darbības veicēju izveides, attīstības un konkurētspējas veicināšanai</w:t>
            </w:r>
            <w:r w:rsidR="00FE76B5" w:rsidRPr="001319E5">
              <w:rPr>
                <w:sz w:val="24"/>
                <w:szCs w:val="24"/>
                <w:lang w:val="lv-LV"/>
              </w:rPr>
              <w:t>”</w:t>
            </w:r>
            <w:r w:rsidR="007F6449" w:rsidRPr="001319E5">
              <w:rPr>
                <w:sz w:val="24"/>
                <w:szCs w:val="24"/>
                <w:lang w:val="lv-LV"/>
              </w:rPr>
              <w:t xml:space="preserve"> (turpmāk – MK noteikumi </w:t>
            </w:r>
            <w:r w:rsidR="00796159" w:rsidRPr="001319E5">
              <w:rPr>
                <w:sz w:val="24"/>
                <w:szCs w:val="24"/>
                <w:lang w:val="lv-LV"/>
              </w:rPr>
              <w:t>N</w:t>
            </w:r>
            <w:r w:rsidR="007F6449" w:rsidRPr="001319E5">
              <w:rPr>
                <w:sz w:val="24"/>
                <w:szCs w:val="24"/>
                <w:lang w:val="lv-LV"/>
              </w:rPr>
              <w:t>r.</w:t>
            </w:r>
            <w:r w:rsidR="000B3A3F" w:rsidRPr="001319E5">
              <w:rPr>
                <w:sz w:val="24"/>
                <w:szCs w:val="24"/>
                <w:lang w:val="lv-LV"/>
              </w:rPr>
              <w:t>226</w:t>
            </w:r>
            <w:r w:rsidR="007F6449" w:rsidRPr="001319E5">
              <w:rPr>
                <w:sz w:val="24"/>
                <w:szCs w:val="24"/>
                <w:lang w:val="lv-LV"/>
              </w:rPr>
              <w:t>)</w:t>
            </w:r>
            <w:r w:rsidR="002E1888">
              <w:rPr>
                <w:sz w:val="24"/>
                <w:szCs w:val="24"/>
                <w:lang w:val="lv-LV"/>
              </w:rPr>
              <w:t xml:space="preserve">, </w:t>
            </w:r>
            <w:r w:rsidR="002E1888">
              <w:rPr>
                <w:b/>
                <w:bCs/>
                <w:sz w:val="24"/>
                <w:szCs w:val="24"/>
                <w:lang w:val="lv-LV"/>
              </w:rPr>
              <w:t xml:space="preserve">pagarinot termiņu lēmumu pieņemšanai par </w:t>
            </w:r>
            <w:proofErr w:type="spellStart"/>
            <w:r w:rsidR="002E1888">
              <w:rPr>
                <w:b/>
                <w:bCs/>
                <w:sz w:val="24"/>
                <w:szCs w:val="24"/>
                <w:lang w:val="lv-LV"/>
              </w:rPr>
              <w:t>pirmssēklas</w:t>
            </w:r>
            <w:proofErr w:type="spellEnd"/>
            <w:r w:rsidR="002E1888">
              <w:rPr>
                <w:b/>
                <w:bCs/>
                <w:sz w:val="24"/>
                <w:szCs w:val="24"/>
                <w:lang w:val="lv-LV"/>
              </w:rPr>
              <w:t xml:space="preserve"> naudas ieguldījumu piešķiršanu fondos līdz 2022. gada 30. jūnijam.  </w:t>
            </w:r>
          </w:p>
          <w:p w14:paraId="2D787CFA" w14:textId="77777777" w:rsidR="00906ABE" w:rsidRPr="001319E5" w:rsidRDefault="00906ABE" w:rsidP="00A87D1C">
            <w:pPr>
              <w:contextualSpacing/>
              <w:jc w:val="both"/>
              <w:rPr>
                <w:sz w:val="24"/>
                <w:szCs w:val="24"/>
                <w:lang w:val="lv-LV"/>
              </w:rPr>
            </w:pPr>
          </w:p>
          <w:p w14:paraId="2858DCE1" w14:textId="65163B55" w:rsidR="00D05A6D" w:rsidRDefault="00D05A6D" w:rsidP="00D05A6D">
            <w:pPr>
              <w:ind w:firstLine="231"/>
              <w:contextualSpacing/>
              <w:jc w:val="both"/>
              <w:rPr>
                <w:sz w:val="24"/>
                <w:szCs w:val="24"/>
                <w:lang w:val="lv-LV"/>
              </w:rPr>
            </w:pPr>
            <w:r w:rsidRPr="001319E5">
              <w:rPr>
                <w:sz w:val="24"/>
                <w:szCs w:val="24"/>
                <w:lang w:val="lv-LV"/>
              </w:rPr>
              <w:t>Šobrīd MK noteikumos Nr.</w:t>
            </w:r>
            <w:r>
              <w:rPr>
                <w:sz w:val="24"/>
                <w:szCs w:val="24"/>
                <w:lang w:val="lv-LV"/>
              </w:rPr>
              <w:t> </w:t>
            </w:r>
            <w:r w:rsidRPr="001319E5">
              <w:rPr>
                <w:sz w:val="24"/>
                <w:szCs w:val="24"/>
                <w:lang w:val="lv-LV"/>
              </w:rPr>
              <w:t>226</w:t>
            </w:r>
            <w:r>
              <w:rPr>
                <w:sz w:val="24"/>
                <w:szCs w:val="24"/>
                <w:lang w:val="lv-LV"/>
              </w:rPr>
              <w:t xml:space="preserve"> termiņš lēmumu pieņemšanai par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naudas ieguldījumu piešķiršanu ir 2021. gada 30. jūnijs. Nepieciešamība pagarināt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ieguldījumu lēmumu pieņemšanas periodu </w:t>
            </w:r>
            <w:r w:rsidRPr="004C7A7D">
              <w:rPr>
                <w:sz w:val="24"/>
                <w:szCs w:val="24"/>
                <w:lang w:val="lv-LV"/>
              </w:rPr>
              <w:t xml:space="preserve">ir izveidojusies, galvenokārt, Covid-19 ceļošanas ierobežojumu dēļ. </w:t>
            </w:r>
            <w:r>
              <w:rPr>
                <w:sz w:val="24"/>
                <w:szCs w:val="24"/>
                <w:lang w:val="lv-LV"/>
              </w:rPr>
              <w:t>A</w:t>
            </w:r>
            <w:r w:rsidRPr="004C7A7D">
              <w:rPr>
                <w:sz w:val="24"/>
                <w:szCs w:val="24"/>
                <w:lang w:val="lv-LV"/>
              </w:rPr>
              <w:t>kcelerācijas programm</w:t>
            </w:r>
            <w:r>
              <w:rPr>
                <w:sz w:val="24"/>
                <w:szCs w:val="24"/>
                <w:lang w:val="lv-LV"/>
              </w:rPr>
              <w:t>u</w:t>
            </w:r>
            <w:r w:rsidRPr="004C7A7D">
              <w:rPr>
                <w:sz w:val="24"/>
                <w:szCs w:val="24"/>
                <w:lang w:val="lv-LV"/>
              </w:rPr>
              <w:t xml:space="preserve"> dalībniekiem bija </w:t>
            </w:r>
            <w:r>
              <w:rPr>
                <w:sz w:val="24"/>
                <w:szCs w:val="24"/>
                <w:lang w:val="lv-LV"/>
              </w:rPr>
              <w:t>būtiski</w:t>
            </w:r>
            <w:r w:rsidRPr="004C7A7D">
              <w:rPr>
                <w:sz w:val="24"/>
                <w:szCs w:val="24"/>
                <w:lang w:val="lv-LV"/>
              </w:rPr>
              <w:t xml:space="preserve"> ierobežotas iespējas ierasties Latvijā, lai reģistrētu uzņēmumus, atvērtu norēķinu kontus, kā arī </w:t>
            </w:r>
            <w:r>
              <w:rPr>
                <w:sz w:val="24"/>
                <w:szCs w:val="24"/>
                <w:lang w:val="lv-LV"/>
              </w:rPr>
              <w:t xml:space="preserve">lai </w:t>
            </w:r>
            <w:r w:rsidRPr="004C7A7D">
              <w:rPr>
                <w:sz w:val="24"/>
                <w:szCs w:val="24"/>
                <w:lang w:val="lv-LV"/>
              </w:rPr>
              <w:t xml:space="preserve">tiktos ar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fondu </w:t>
            </w:r>
            <w:r w:rsidRPr="004C7A7D">
              <w:rPr>
                <w:sz w:val="24"/>
                <w:szCs w:val="24"/>
                <w:lang w:val="lv-LV"/>
              </w:rPr>
              <w:t>pārvaldnieku pārstāvjiem un piedalīt</w:t>
            </w:r>
            <w:r>
              <w:rPr>
                <w:sz w:val="24"/>
                <w:szCs w:val="24"/>
                <w:lang w:val="lv-LV"/>
              </w:rPr>
              <w:t>o</w:t>
            </w:r>
            <w:r w:rsidRPr="004C7A7D">
              <w:rPr>
                <w:sz w:val="24"/>
                <w:szCs w:val="24"/>
                <w:lang w:val="lv-LV"/>
              </w:rPr>
              <w:t xml:space="preserve">s </w:t>
            </w:r>
            <w:r>
              <w:rPr>
                <w:sz w:val="24"/>
                <w:szCs w:val="24"/>
                <w:lang w:val="lv-LV"/>
              </w:rPr>
              <w:t xml:space="preserve">akcelerācijas </w:t>
            </w:r>
            <w:r w:rsidRPr="004C7A7D">
              <w:rPr>
                <w:sz w:val="24"/>
                <w:szCs w:val="24"/>
                <w:lang w:val="lv-LV"/>
              </w:rPr>
              <w:t xml:space="preserve">programmās. </w:t>
            </w:r>
            <w:r>
              <w:rPr>
                <w:sz w:val="24"/>
                <w:szCs w:val="24"/>
                <w:lang w:val="lv-LV"/>
              </w:rPr>
              <w:t>Tāpat 2020.</w:t>
            </w:r>
            <w:r w:rsidR="00DC1354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 xml:space="preserve">gadā </w:t>
            </w:r>
            <w:r w:rsidRPr="004C7A7D">
              <w:rPr>
                <w:sz w:val="24"/>
                <w:szCs w:val="24"/>
                <w:lang w:val="lv-LV"/>
              </w:rPr>
              <w:t xml:space="preserve">Covid-19 </w:t>
            </w:r>
            <w:r>
              <w:rPr>
                <w:sz w:val="24"/>
                <w:szCs w:val="24"/>
                <w:lang w:val="lv-LV"/>
              </w:rPr>
              <w:t xml:space="preserve">negatīvi ietekmēja iespējas arī tikties un izvērtēt vietējās jaunuzņēmumu komandas. </w:t>
            </w:r>
            <w:r w:rsidRPr="004C7A7D">
              <w:rPr>
                <w:sz w:val="24"/>
                <w:szCs w:val="24"/>
                <w:lang w:val="lv-LV"/>
              </w:rPr>
              <w:t xml:space="preserve">Covid-19 </w:t>
            </w:r>
            <w:r>
              <w:rPr>
                <w:sz w:val="24"/>
                <w:szCs w:val="24"/>
                <w:lang w:val="lv-LV"/>
              </w:rPr>
              <w:t>apstākļi 2020.</w:t>
            </w:r>
            <w:r w:rsidR="00DC1354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 xml:space="preserve">gada sākumā prasīja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fondu pārvaldniekiem laiku akcelerācijas programmu organizācijas maiņai, kā arī adaptēt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ieguldījumu lēmumu pieņemšanas procesu. </w:t>
            </w:r>
            <w:r w:rsidRPr="004C7A7D">
              <w:rPr>
                <w:sz w:val="24"/>
                <w:szCs w:val="24"/>
                <w:lang w:val="lv-LV"/>
              </w:rPr>
              <w:t>Kaut arī 2020.</w:t>
            </w:r>
            <w:r w:rsidR="00DC1354">
              <w:rPr>
                <w:sz w:val="24"/>
                <w:szCs w:val="24"/>
                <w:lang w:val="lv-LV"/>
              </w:rPr>
              <w:t> </w:t>
            </w:r>
            <w:r w:rsidRPr="004C7A7D">
              <w:rPr>
                <w:sz w:val="24"/>
                <w:szCs w:val="24"/>
                <w:lang w:val="lv-LV"/>
              </w:rPr>
              <w:t xml:space="preserve">gadā </w:t>
            </w:r>
            <w:r>
              <w:rPr>
                <w:sz w:val="24"/>
                <w:szCs w:val="24"/>
                <w:lang w:val="lv-LV"/>
              </w:rPr>
              <w:t>un 2021.</w:t>
            </w:r>
            <w:r w:rsidR="00DC1354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 xml:space="preserve">gadā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fondu pārvaldnieki </w:t>
            </w:r>
            <w:r w:rsidRPr="004C7A7D">
              <w:rPr>
                <w:sz w:val="24"/>
                <w:szCs w:val="24"/>
                <w:lang w:val="lv-LV"/>
              </w:rPr>
              <w:t xml:space="preserve">veiksmīgi </w:t>
            </w:r>
            <w:r>
              <w:rPr>
                <w:sz w:val="24"/>
                <w:szCs w:val="24"/>
                <w:lang w:val="lv-LV"/>
              </w:rPr>
              <w:t>realizēja</w:t>
            </w:r>
            <w:r w:rsidRPr="004C7A7D">
              <w:rPr>
                <w:sz w:val="24"/>
                <w:szCs w:val="24"/>
                <w:lang w:val="lv-LV"/>
              </w:rPr>
              <w:t xml:space="preserve"> akcelerācijas programmas attālinātā formātā, minēto ierobežojumu rezultātā tie </w:t>
            </w:r>
            <w:r>
              <w:rPr>
                <w:sz w:val="24"/>
                <w:szCs w:val="24"/>
                <w:lang w:val="lv-LV"/>
              </w:rPr>
              <w:t xml:space="preserve">ir </w:t>
            </w:r>
            <w:r w:rsidRPr="004C7A7D">
              <w:rPr>
                <w:sz w:val="24"/>
                <w:szCs w:val="24"/>
                <w:lang w:val="lv-LV"/>
              </w:rPr>
              <w:t>spējuši veikt mazāku investīciju skaitu nekā to paredz fondu ieguldījumu stratēģijas</w:t>
            </w:r>
            <w:r>
              <w:rPr>
                <w:sz w:val="24"/>
                <w:szCs w:val="24"/>
                <w:lang w:val="lv-LV"/>
              </w:rPr>
              <w:t xml:space="preserve">. Aplēses liecina, ka vidēji katrs no trim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fonda </w:t>
            </w:r>
            <w:r>
              <w:rPr>
                <w:sz w:val="24"/>
                <w:szCs w:val="24"/>
                <w:lang w:val="lv-LV"/>
              </w:rPr>
              <w:lastRenderedPageBreak/>
              <w:t>pārvaldniekiem 2020.</w:t>
            </w:r>
            <w:r w:rsidR="00DC1354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>gadā zaudēja iespējas ieguldīt vismaz 10 jaunuzņēmumos.</w:t>
            </w:r>
          </w:p>
          <w:p w14:paraId="741E5DA8" w14:textId="77777777" w:rsidR="00D05A6D" w:rsidRDefault="00D05A6D" w:rsidP="00D05A6D">
            <w:pPr>
              <w:ind w:firstLine="231"/>
              <w:contextualSpacing/>
              <w:jc w:val="both"/>
              <w:rPr>
                <w:sz w:val="24"/>
                <w:szCs w:val="24"/>
                <w:lang w:val="lv-LV"/>
              </w:rPr>
            </w:pPr>
            <w:r w:rsidRPr="000E6298">
              <w:rPr>
                <w:sz w:val="24"/>
                <w:szCs w:val="24"/>
                <w:lang w:val="lv-LV"/>
              </w:rPr>
              <w:t xml:space="preserve">Lai pārvaldnieki nezaudētu investīciju iespējas strauji augošos jaunuzņēmumos, kā arī spētu sasniegt pēc iespējas lielāku atbalstīto uzņēmumu skaitu, veikto investīciju apjomu un augstākas fondu </w:t>
            </w:r>
            <w:proofErr w:type="spellStart"/>
            <w:r w:rsidRPr="000E6298">
              <w:rPr>
                <w:sz w:val="24"/>
                <w:szCs w:val="24"/>
                <w:lang w:val="lv-LV"/>
              </w:rPr>
              <w:t>atdeves</w:t>
            </w:r>
            <w:proofErr w:type="spellEnd"/>
            <w:r w:rsidRPr="000E6298">
              <w:rPr>
                <w:sz w:val="24"/>
                <w:szCs w:val="24"/>
                <w:lang w:val="lv-LV"/>
              </w:rPr>
              <w:t>, ir būtiski</w:t>
            </w:r>
            <w:r>
              <w:rPr>
                <w:sz w:val="24"/>
                <w:szCs w:val="24"/>
                <w:lang w:val="lv-LV"/>
              </w:rPr>
              <w:t xml:space="preserve"> pagarināt termiņu, kādā var pieņemt attiecīgos lēmumus. Balstoties uz līdzšinējo pieredzi par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fondu darbību, indikatīvi nepieciešamais lēmumu pieņemšanas termiņa pagarinājums ir viens gads. Pēc attiecīgu grozījumu veikšanas Ministru kabineta noteikumos </w:t>
            </w:r>
            <w:r w:rsidRPr="001319E5">
              <w:rPr>
                <w:sz w:val="24"/>
                <w:szCs w:val="24"/>
                <w:lang w:val="lv-LV"/>
              </w:rPr>
              <w:t xml:space="preserve">akciju sabiedrība “Attīstības finanšu institūcija </w:t>
            </w:r>
            <w:proofErr w:type="spellStart"/>
            <w:r w:rsidRPr="001319E5">
              <w:rPr>
                <w:sz w:val="24"/>
                <w:szCs w:val="24"/>
                <w:lang w:val="lv-LV"/>
              </w:rPr>
              <w:t>Altum</w:t>
            </w:r>
            <w:proofErr w:type="spellEnd"/>
            <w:r w:rsidRPr="001319E5">
              <w:rPr>
                <w:sz w:val="24"/>
                <w:szCs w:val="24"/>
                <w:lang w:val="lv-LV"/>
              </w:rPr>
              <w:t>”</w:t>
            </w:r>
            <w:r>
              <w:rPr>
                <w:sz w:val="24"/>
                <w:szCs w:val="24"/>
                <w:lang w:val="lv-LV"/>
              </w:rPr>
              <w:t xml:space="preserve"> slēgs papildu vienošanās ar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fondu pārvaldniekiem.</w:t>
            </w:r>
          </w:p>
          <w:p w14:paraId="4BFBDF88" w14:textId="0D3F6F92" w:rsidR="00D05A6D" w:rsidRDefault="00D05A6D" w:rsidP="00D05A6D">
            <w:pPr>
              <w:ind w:firstLine="231"/>
              <w:contextualSpacing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2021.</w:t>
            </w:r>
            <w:r w:rsidR="00DC1354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>gada 2.</w:t>
            </w:r>
            <w:r w:rsidR="00DC1354">
              <w:rPr>
                <w:sz w:val="24"/>
                <w:szCs w:val="24"/>
                <w:lang w:val="lv-LV"/>
              </w:rPr>
              <w:t> </w:t>
            </w:r>
            <w:r>
              <w:rPr>
                <w:sz w:val="24"/>
                <w:szCs w:val="24"/>
                <w:lang w:val="lv-LV"/>
              </w:rPr>
              <w:t xml:space="preserve">jūnijā investīcijām paredzētā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fondu kapitāla daļa ir izmantota vidēji 50% apmērā, tādējādi esošā parakstītā kapitāla ietvaros ir iespējams turpināt veikt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ieguldījumus tehnoloģiskajos jaunuzņēmumos. Līdzšinēji atbalstīto jaunuzņēmumu skaits ir 88 jeb vidēji 29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ieguldījuma saņēmēji katrā no fondiem. Pagarinot </w:t>
            </w:r>
            <w:proofErr w:type="spellStart"/>
            <w:r>
              <w:rPr>
                <w:sz w:val="24"/>
                <w:szCs w:val="24"/>
                <w:lang w:val="lv-LV"/>
              </w:rPr>
              <w:t>pirmssēklas</w:t>
            </w:r>
            <w:proofErr w:type="spellEnd"/>
            <w:r>
              <w:rPr>
                <w:sz w:val="24"/>
                <w:szCs w:val="24"/>
                <w:lang w:val="lv-LV"/>
              </w:rPr>
              <w:t xml:space="preserve"> ieguldījumu lēmumu pieņemšanas periodu par vienu gadu, fondu pārvaldnieki varētu nodrošināt investīcijām paredzētās kapitāla komponentes pilnu apguvi, kā arī sasniegt publiskajā iepirkumā un fondu investīciju stratēģijās paredzēto atbalsta saņēmēju skaitu – vidēji 50 katrā no fondiem.</w:t>
            </w:r>
          </w:p>
          <w:p w14:paraId="09F04E06" w14:textId="5086F714" w:rsidR="00F00E6D" w:rsidRPr="001319E5" w:rsidRDefault="00F00E6D" w:rsidP="001D0E8C">
            <w:pPr>
              <w:ind w:firstLine="231"/>
              <w:contextualSpacing/>
              <w:jc w:val="both"/>
              <w:rPr>
                <w:bCs/>
                <w:sz w:val="24"/>
                <w:szCs w:val="24"/>
                <w:lang w:val="lv-LV"/>
              </w:rPr>
            </w:pPr>
          </w:p>
        </w:tc>
      </w:tr>
      <w:tr w:rsidR="00844176" w:rsidRPr="001319E5" w14:paraId="41041CF1" w14:textId="77777777" w:rsidTr="004A6A58">
        <w:trPr>
          <w:trHeight w:val="465"/>
        </w:trPr>
        <w:tc>
          <w:tcPr>
            <w:tcW w:w="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AB363A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4C459C" w14:textId="172FDB22" w:rsidR="00844176" w:rsidRPr="001319E5" w:rsidRDefault="00D8087E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Projekta izstrādē iesaistītās institūcijas un publiskas personas kapitālsabiedrības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1732C9" w14:textId="77777777" w:rsidR="00844176" w:rsidRPr="001319E5" w:rsidRDefault="00CE0AC5" w:rsidP="006F29AD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sz w:val="24"/>
                <w:szCs w:val="24"/>
                <w:lang w:val="lv-LV"/>
              </w:rPr>
              <w:t>E</w:t>
            </w:r>
            <w:r w:rsidR="00547ACF" w:rsidRPr="001319E5">
              <w:rPr>
                <w:sz w:val="24"/>
                <w:szCs w:val="24"/>
                <w:lang w:val="lv-LV"/>
              </w:rPr>
              <w:t>konomikas ministrija</w:t>
            </w:r>
            <w:r w:rsidRPr="001319E5">
              <w:rPr>
                <w:sz w:val="24"/>
                <w:szCs w:val="24"/>
                <w:lang w:val="lv-LV"/>
              </w:rPr>
              <w:t xml:space="preserve">, </w:t>
            </w:r>
            <w:r w:rsidR="00547ACF" w:rsidRPr="001319E5">
              <w:rPr>
                <w:sz w:val="24"/>
                <w:szCs w:val="24"/>
                <w:lang w:val="lv-LV"/>
              </w:rPr>
              <w:t xml:space="preserve">akciju sabiedrība “Attīstības finanšu institūcija </w:t>
            </w:r>
            <w:proofErr w:type="spellStart"/>
            <w:r w:rsidR="00547ACF" w:rsidRPr="001319E5">
              <w:rPr>
                <w:sz w:val="24"/>
                <w:szCs w:val="24"/>
                <w:lang w:val="lv-LV"/>
              </w:rPr>
              <w:t>Altum</w:t>
            </w:r>
            <w:proofErr w:type="spellEnd"/>
            <w:r w:rsidR="00547ACF" w:rsidRPr="001319E5">
              <w:rPr>
                <w:sz w:val="24"/>
                <w:szCs w:val="24"/>
                <w:lang w:val="lv-LV"/>
              </w:rPr>
              <w:t>”</w:t>
            </w:r>
          </w:p>
        </w:tc>
      </w:tr>
      <w:tr w:rsidR="00844176" w:rsidRPr="001319E5" w14:paraId="3C98D228" w14:textId="77777777" w:rsidTr="004A6A58">
        <w:tc>
          <w:tcPr>
            <w:tcW w:w="41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D70DCF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255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39AA3F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Cita informācija</w:t>
            </w:r>
          </w:p>
        </w:tc>
        <w:tc>
          <w:tcPr>
            <w:tcW w:w="61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4509E1" w14:textId="42ABA57B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Nav</w:t>
            </w:r>
          </w:p>
        </w:tc>
      </w:tr>
    </w:tbl>
    <w:p w14:paraId="0078E3BD" w14:textId="17790966" w:rsidR="001319E5" w:rsidRDefault="001319E5" w:rsidP="00A87D1C">
      <w:pPr>
        <w:contextualSpacing/>
        <w:rPr>
          <w:rFonts w:eastAsia="Times New Roman"/>
          <w:vanish/>
          <w:sz w:val="26"/>
          <w:szCs w:val="26"/>
          <w:lang w:val="lv-LV" w:eastAsia="lv-LV"/>
        </w:rPr>
      </w:pPr>
    </w:p>
    <w:tbl>
      <w:tblPr>
        <w:tblW w:w="9129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57" w:type="dxa"/>
          <w:bottom w:w="30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2554"/>
        <w:gridCol w:w="6157"/>
      </w:tblGrid>
      <w:tr w:rsidR="00844176" w:rsidRPr="00681FC2" w14:paraId="7175E08A" w14:textId="77777777" w:rsidTr="00E154DB">
        <w:trPr>
          <w:trHeight w:val="555"/>
        </w:trPr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66C2" w14:textId="23A4937A" w:rsidR="00844176" w:rsidRPr="001319E5" w:rsidRDefault="00844176" w:rsidP="00A87D1C">
            <w:pPr>
              <w:ind w:firstLine="300"/>
              <w:contextualSpacing/>
              <w:jc w:val="center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II. Tiesību akta projekta ietekme uz sabiedrību, tautsaimniecības attīstību un administratīvo slogu</w:t>
            </w:r>
          </w:p>
        </w:tc>
      </w:tr>
      <w:tr w:rsidR="00844176" w:rsidRPr="00681FC2" w14:paraId="3867AEAD" w14:textId="77777777" w:rsidTr="00E154DB">
        <w:trPr>
          <w:trHeight w:val="465"/>
        </w:trPr>
        <w:tc>
          <w:tcPr>
            <w:tcW w:w="418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33F396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14993C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 xml:space="preserve">Sabiedrības </w:t>
            </w:r>
            <w:proofErr w:type="spellStart"/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mērķgrupas</w:t>
            </w:r>
            <w:proofErr w:type="spellEnd"/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, kuras tiesiskais regulējums ietekmē vai varētu ietekmēt</w:t>
            </w:r>
          </w:p>
        </w:tc>
        <w:tc>
          <w:tcPr>
            <w:tcW w:w="6157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47612B" w14:textId="537580B1" w:rsidR="00844176" w:rsidRPr="001319E5" w:rsidRDefault="00844176" w:rsidP="001319E5">
            <w:pPr>
              <w:ind w:right="201"/>
              <w:contextualSpacing/>
              <w:jc w:val="both"/>
              <w:rPr>
                <w:sz w:val="24"/>
                <w:szCs w:val="24"/>
                <w:lang w:val="lv-LV"/>
              </w:rPr>
            </w:pPr>
            <w:r w:rsidRPr="001319E5">
              <w:rPr>
                <w:sz w:val="24"/>
                <w:szCs w:val="24"/>
                <w:lang w:val="lv-LV"/>
              </w:rPr>
              <w:t>Latvijā reģistrēti saimnieciskās darbības veicēji</w:t>
            </w:r>
          </w:p>
        </w:tc>
      </w:tr>
      <w:tr w:rsidR="00844176" w:rsidRPr="001319E5" w14:paraId="7D9FA66B" w14:textId="77777777" w:rsidTr="00E154DB">
        <w:trPr>
          <w:trHeight w:val="510"/>
        </w:trPr>
        <w:tc>
          <w:tcPr>
            <w:tcW w:w="4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A4E694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255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2EC3C2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Tiesiskā regulējuma ietekme uz tautsaimniecību un administratīvo slogu</w:t>
            </w:r>
          </w:p>
        </w:tc>
        <w:tc>
          <w:tcPr>
            <w:tcW w:w="61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F21F17" w14:textId="5DD6E622" w:rsidR="00844176" w:rsidRPr="001319E5" w:rsidRDefault="00F31ECE" w:rsidP="00577628">
            <w:pPr>
              <w:pStyle w:val="Pamatteksts"/>
              <w:ind w:right="201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P</w:t>
            </w:r>
            <w:r w:rsidR="00844176" w:rsidRPr="001319E5">
              <w:rPr>
                <w:rFonts w:eastAsia="Calibri"/>
                <w:sz w:val="24"/>
                <w:szCs w:val="24"/>
                <w:lang w:eastAsia="en-US"/>
              </w:rPr>
              <w:t>rojekts neparedz ietekmi uz administratīvo slogu.</w:t>
            </w:r>
          </w:p>
        </w:tc>
      </w:tr>
      <w:tr w:rsidR="00844176" w:rsidRPr="001319E5" w14:paraId="183D00C8" w14:textId="77777777" w:rsidTr="00E154DB">
        <w:trPr>
          <w:trHeight w:val="510"/>
        </w:trPr>
        <w:tc>
          <w:tcPr>
            <w:tcW w:w="4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C05ABE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255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661F3D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Administratīvo izmaksu monetārs novērtējums</w:t>
            </w:r>
          </w:p>
        </w:tc>
        <w:tc>
          <w:tcPr>
            <w:tcW w:w="61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C93682" w14:textId="18478C68" w:rsidR="00844176" w:rsidRPr="001319E5" w:rsidRDefault="00844176" w:rsidP="00577628">
            <w:pPr>
              <w:pStyle w:val="Pamatteksts"/>
              <w:ind w:right="201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319E5">
              <w:rPr>
                <w:rFonts w:eastAsia="Calibri"/>
                <w:sz w:val="24"/>
                <w:szCs w:val="24"/>
                <w:lang w:eastAsia="en-US"/>
              </w:rPr>
              <w:t>Projekts šo jomu neskar</w:t>
            </w:r>
          </w:p>
        </w:tc>
      </w:tr>
      <w:tr w:rsidR="00D8087E" w:rsidRPr="001319E5" w14:paraId="667CF23B" w14:textId="77777777" w:rsidTr="00E154DB">
        <w:trPr>
          <w:trHeight w:val="345"/>
        </w:trPr>
        <w:tc>
          <w:tcPr>
            <w:tcW w:w="4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E5559E" w14:textId="7422E169" w:rsidR="00D8087E" w:rsidRPr="001319E5" w:rsidRDefault="00D8087E" w:rsidP="00A87D1C">
            <w:pPr>
              <w:contextualSpacing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255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1233F1" w14:textId="7BEA2791" w:rsidR="00D8087E" w:rsidRPr="001319E5" w:rsidRDefault="00D8087E" w:rsidP="00A87D1C">
            <w:pPr>
              <w:contextualSpacing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Atbilstības izmaksu monetārs novērtējums</w:t>
            </w:r>
          </w:p>
        </w:tc>
        <w:tc>
          <w:tcPr>
            <w:tcW w:w="61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5F639B" w14:textId="0BE23465" w:rsidR="00D8087E" w:rsidRPr="001319E5" w:rsidRDefault="00D8087E" w:rsidP="00577628">
            <w:pPr>
              <w:ind w:right="201"/>
              <w:contextualSpacing/>
              <w:jc w:val="both"/>
              <w:rPr>
                <w:sz w:val="24"/>
                <w:szCs w:val="24"/>
                <w:lang w:val="lv-LV"/>
              </w:rPr>
            </w:pPr>
            <w:r w:rsidRPr="001319E5">
              <w:rPr>
                <w:sz w:val="24"/>
                <w:szCs w:val="24"/>
                <w:lang w:val="lv-LV"/>
              </w:rPr>
              <w:t>Projekts šo jomu neskar</w:t>
            </w:r>
          </w:p>
        </w:tc>
      </w:tr>
      <w:tr w:rsidR="00844176" w:rsidRPr="001319E5" w14:paraId="2F7C8B1B" w14:textId="77777777" w:rsidTr="00E154DB">
        <w:trPr>
          <w:trHeight w:val="345"/>
        </w:trPr>
        <w:tc>
          <w:tcPr>
            <w:tcW w:w="4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53AD2E" w14:textId="606EAA08" w:rsidR="00844176" w:rsidRPr="001319E5" w:rsidRDefault="00D8087E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5</w:t>
            </w:r>
            <w:r w:rsidR="00844176"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2554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27A436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Cita informācija</w:t>
            </w:r>
          </w:p>
        </w:tc>
        <w:tc>
          <w:tcPr>
            <w:tcW w:w="615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D39809" w14:textId="77777777" w:rsidR="00844176" w:rsidRPr="001319E5" w:rsidRDefault="00844176" w:rsidP="00295F9F">
            <w:pPr>
              <w:ind w:right="201"/>
              <w:contextualSpacing/>
              <w:jc w:val="both"/>
              <w:rPr>
                <w:sz w:val="24"/>
                <w:szCs w:val="24"/>
                <w:lang w:val="lv-LV"/>
              </w:rPr>
            </w:pPr>
            <w:r w:rsidRPr="001319E5">
              <w:rPr>
                <w:sz w:val="24"/>
                <w:szCs w:val="24"/>
                <w:lang w:val="lv-LV"/>
              </w:rPr>
              <w:t>Nav</w:t>
            </w:r>
          </w:p>
        </w:tc>
      </w:tr>
    </w:tbl>
    <w:p w14:paraId="57D2014F" w14:textId="77777777" w:rsidR="00E0333C" w:rsidRPr="001319E5" w:rsidRDefault="00E0333C" w:rsidP="00A87D1C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E0333C" w:rsidRPr="00681FC2" w14:paraId="5C3AC8E5" w14:textId="77777777" w:rsidTr="006F29A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16C1" w14:textId="77777777" w:rsidR="00E0333C" w:rsidRPr="001319E5" w:rsidRDefault="00E0333C" w:rsidP="00A87D1C">
            <w:pPr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b/>
                <w:bCs/>
                <w:sz w:val="24"/>
                <w:szCs w:val="24"/>
                <w:lang w:val="lv-LV" w:eastAsia="lv-LV"/>
              </w:rPr>
              <w:t>III. Tiesību akta projekta ietekme uz valsts budžetu un pašvaldību budžetiem</w:t>
            </w:r>
          </w:p>
        </w:tc>
      </w:tr>
      <w:tr w:rsidR="00E0333C" w:rsidRPr="001319E5" w14:paraId="07D6D83D" w14:textId="77777777" w:rsidTr="006F29A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F0C7" w14:textId="0DA94877" w:rsidR="00E0333C" w:rsidRPr="001319E5" w:rsidRDefault="00D8087E" w:rsidP="00A87D1C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bCs/>
                <w:sz w:val="24"/>
                <w:szCs w:val="24"/>
                <w:lang w:val="lv-LV" w:eastAsia="lv-LV"/>
              </w:rPr>
              <w:t>P</w:t>
            </w:r>
            <w:r w:rsidR="00E0333C" w:rsidRPr="001319E5">
              <w:rPr>
                <w:rFonts w:eastAsia="Times New Roman"/>
                <w:bCs/>
                <w:sz w:val="24"/>
                <w:szCs w:val="24"/>
                <w:lang w:val="lv-LV" w:eastAsia="lv-LV"/>
              </w:rPr>
              <w:t>rojekts šo jomu neskar</w:t>
            </w:r>
          </w:p>
        </w:tc>
      </w:tr>
    </w:tbl>
    <w:p w14:paraId="57F14BC5" w14:textId="512F1E09" w:rsidR="00844176" w:rsidRPr="001319E5" w:rsidRDefault="00844176" w:rsidP="00A87D1C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508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57" w:type="dxa"/>
          <w:bottom w:w="30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2476"/>
        <w:gridCol w:w="6285"/>
      </w:tblGrid>
      <w:tr w:rsidR="00844176" w:rsidRPr="00681FC2" w14:paraId="6C33CD82" w14:textId="77777777" w:rsidTr="006F29AD">
        <w:trPr>
          <w:trHeight w:val="18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F4B0E9" w14:textId="77777777" w:rsidR="00844176" w:rsidRPr="001319E5" w:rsidRDefault="00844176" w:rsidP="00A87D1C">
            <w:pPr>
              <w:ind w:firstLine="300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b/>
                <w:bCs/>
                <w:sz w:val="24"/>
                <w:szCs w:val="24"/>
                <w:lang w:val="lv-LV" w:eastAsia="lv-LV"/>
              </w:rPr>
              <w:lastRenderedPageBreak/>
              <w:t>IV. Tiesību akta projekta ietekme uz spēkā esošo tiesību normu sistēmu</w:t>
            </w:r>
          </w:p>
        </w:tc>
      </w:tr>
      <w:tr w:rsidR="00844176" w:rsidRPr="00EA717A" w14:paraId="57818953" w14:textId="77777777" w:rsidTr="006F29AD">
        <w:tc>
          <w:tcPr>
            <w:tcW w:w="2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5FDF87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13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0EF5B6" w14:textId="49AF31B3" w:rsidR="00844176" w:rsidRPr="001319E5" w:rsidRDefault="00D8087E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sz w:val="24"/>
                <w:szCs w:val="24"/>
                <w:lang w:val="lv-LV" w:eastAsia="lv-LV"/>
              </w:rPr>
              <w:t>S</w:t>
            </w:r>
            <w:r w:rsidR="00844176" w:rsidRPr="001319E5">
              <w:rPr>
                <w:rFonts w:eastAsia="Times New Roman"/>
                <w:sz w:val="24"/>
                <w:szCs w:val="24"/>
                <w:lang w:val="lv-LV" w:eastAsia="lv-LV"/>
              </w:rPr>
              <w:t>aistītie tiesību aktu projekti</w:t>
            </w:r>
          </w:p>
        </w:tc>
        <w:tc>
          <w:tcPr>
            <w:tcW w:w="34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F545BF" w14:textId="5417D976" w:rsidR="00343F62" w:rsidRPr="00E154DB" w:rsidRDefault="00B92A84" w:rsidP="00E154DB">
            <w:pPr>
              <w:jc w:val="both"/>
              <w:rPr>
                <w:bCs/>
                <w:iCs/>
                <w:sz w:val="24"/>
                <w:szCs w:val="24"/>
                <w:lang w:val="lv-LV"/>
              </w:rPr>
            </w:pPr>
            <w:r w:rsidRPr="001319E5">
              <w:rPr>
                <w:rFonts w:eastAsia="Times New Roman"/>
                <w:bCs/>
                <w:sz w:val="24"/>
                <w:szCs w:val="24"/>
                <w:lang w:val="lv-LV" w:eastAsia="lv-LV"/>
              </w:rPr>
              <w:t>Projekts šo jomu neskar</w:t>
            </w:r>
          </w:p>
        </w:tc>
      </w:tr>
      <w:tr w:rsidR="00844176" w:rsidRPr="001319E5" w14:paraId="3469659F" w14:textId="77777777" w:rsidTr="006F29AD">
        <w:tc>
          <w:tcPr>
            <w:tcW w:w="2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7E264C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13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8FEFBA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sz w:val="24"/>
                <w:szCs w:val="24"/>
                <w:lang w:val="lv-LV" w:eastAsia="lv-LV"/>
              </w:rPr>
              <w:t>Atbildīgā institūcija</w:t>
            </w:r>
          </w:p>
        </w:tc>
        <w:tc>
          <w:tcPr>
            <w:tcW w:w="34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EC7C4D" w14:textId="77777777" w:rsidR="00844176" w:rsidRPr="001319E5" w:rsidRDefault="007F6449" w:rsidP="00A87D1C">
            <w:pPr>
              <w:pStyle w:val="Pamatteksts"/>
              <w:ind w:right="142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1319E5">
              <w:rPr>
                <w:rFonts w:eastAsia="Calibri"/>
                <w:sz w:val="24"/>
                <w:szCs w:val="24"/>
                <w:lang w:eastAsia="en-US"/>
              </w:rPr>
              <w:t>Ekonomikas ministrija</w:t>
            </w:r>
          </w:p>
        </w:tc>
      </w:tr>
      <w:tr w:rsidR="00844176" w:rsidRPr="001319E5" w14:paraId="32F2DD54" w14:textId="77777777" w:rsidTr="006F29AD">
        <w:tc>
          <w:tcPr>
            <w:tcW w:w="2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C61D3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13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F1A60F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sz w:val="24"/>
                <w:szCs w:val="24"/>
                <w:lang w:val="lv-LV" w:eastAsia="lv-LV"/>
              </w:rPr>
              <w:t>Cita informācija</w:t>
            </w:r>
          </w:p>
        </w:tc>
        <w:tc>
          <w:tcPr>
            <w:tcW w:w="34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7C4F16" w14:textId="10481EDD" w:rsidR="00844176" w:rsidRPr="001319E5" w:rsidRDefault="00D97622" w:rsidP="00A87D1C">
            <w:pPr>
              <w:contextualSpacing/>
              <w:jc w:val="both"/>
              <w:rPr>
                <w:sz w:val="24"/>
                <w:szCs w:val="24"/>
                <w:lang w:val="lv-LV"/>
              </w:rPr>
            </w:pPr>
            <w:r w:rsidRPr="001319E5">
              <w:rPr>
                <w:sz w:val="24"/>
                <w:szCs w:val="24"/>
                <w:lang w:val="lv-LV"/>
              </w:rPr>
              <w:t>Nav</w:t>
            </w:r>
          </w:p>
        </w:tc>
      </w:tr>
    </w:tbl>
    <w:p w14:paraId="2A21AD4B" w14:textId="77777777" w:rsidR="00844176" w:rsidRPr="001319E5" w:rsidRDefault="00844176" w:rsidP="00A87D1C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9205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57" w:type="dxa"/>
          <w:bottom w:w="30" w:type="dxa"/>
          <w:right w:w="57" w:type="dxa"/>
        </w:tblCellMar>
        <w:tblLook w:val="04A0" w:firstRow="1" w:lastRow="0" w:firstColumn="1" w:lastColumn="0" w:noHBand="0" w:noVBand="1"/>
      </w:tblPr>
      <w:tblGrid>
        <w:gridCol w:w="9205"/>
      </w:tblGrid>
      <w:tr w:rsidR="00844176" w:rsidRPr="001319E5" w14:paraId="07C3ABEE" w14:textId="77777777" w:rsidTr="007759DD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01DE8D" w14:textId="77777777" w:rsidR="00844176" w:rsidRPr="001319E5" w:rsidRDefault="00844176" w:rsidP="00A87D1C">
            <w:pPr>
              <w:ind w:firstLine="300"/>
              <w:contextualSpacing/>
              <w:jc w:val="center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V. Tiesību akta projekta atbilstība Latvijas Republikas starptautiskajām saistībām</w:t>
            </w:r>
          </w:p>
        </w:tc>
      </w:tr>
      <w:tr w:rsidR="00B92A84" w:rsidRPr="001319E5" w14:paraId="608C70B0" w14:textId="77777777" w:rsidTr="007759DD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9A17B7" w14:textId="06CC0C66" w:rsidR="00B92A84" w:rsidRPr="001319E5" w:rsidRDefault="00B92A84" w:rsidP="00A87D1C">
            <w:pPr>
              <w:ind w:firstLine="300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bCs/>
                <w:sz w:val="24"/>
                <w:szCs w:val="24"/>
                <w:lang w:val="lv-LV" w:eastAsia="lv-LV"/>
              </w:rPr>
              <w:t>Projekts šo jomu neskar</w:t>
            </w:r>
          </w:p>
        </w:tc>
      </w:tr>
    </w:tbl>
    <w:p w14:paraId="7F1B3010" w14:textId="77777777" w:rsidR="007759DD" w:rsidRPr="001319E5" w:rsidRDefault="007759DD" w:rsidP="00A87D1C">
      <w:pPr>
        <w:contextualSpacing/>
        <w:rPr>
          <w:rFonts w:eastAsia="Times New Roman"/>
          <w:color w:val="000000"/>
          <w:sz w:val="26"/>
          <w:szCs w:val="26"/>
          <w:lang w:val="lv-LV" w:eastAsia="lv-LV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"/>
        <w:gridCol w:w="2752"/>
        <w:gridCol w:w="6111"/>
      </w:tblGrid>
      <w:tr w:rsidR="006F4B13" w:rsidRPr="00681FC2" w14:paraId="7EEC0F00" w14:textId="77777777" w:rsidTr="00D049DD">
        <w:trPr>
          <w:trHeight w:val="289"/>
        </w:trPr>
        <w:tc>
          <w:tcPr>
            <w:tcW w:w="9214" w:type="dxa"/>
            <w:gridSpan w:val="3"/>
            <w:tcBorders>
              <w:top w:val="single" w:sz="2" w:space="0" w:color="auto"/>
            </w:tcBorders>
            <w:vAlign w:val="center"/>
          </w:tcPr>
          <w:p w14:paraId="7BCCE7F8" w14:textId="77777777" w:rsidR="006F4B13" w:rsidRPr="001319E5" w:rsidRDefault="006F4B13" w:rsidP="00A87D1C">
            <w:pPr>
              <w:ind w:left="57" w:right="57"/>
              <w:contextualSpacing/>
              <w:jc w:val="center"/>
              <w:rPr>
                <w:rFonts w:eastAsia="Times New Roman"/>
                <w:sz w:val="24"/>
                <w:szCs w:val="24"/>
                <w:lang w:val="lv-LV"/>
              </w:rPr>
            </w:pPr>
            <w:r w:rsidRPr="001319E5">
              <w:rPr>
                <w:rFonts w:eastAsia="Times New Roman"/>
                <w:b/>
                <w:sz w:val="24"/>
                <w:szCs w:val="24"/>
                <w:lang w:val="lv-LV"/>
              </w:rPr>
              <w:t>VI. Sabiedrības līdzdalība un komunikācijas aktivitātes</w:t>
            </w:r>
          </w:p>
        </w:tc>
      </w:tr>
      <w:tr w:rsidR="006F4B13" w:rsidRPr="00681FC2" w14:paraId="6FEF54FD" w14:textId="77777777" w:rsidTr="00D049DD">
        <w:trPr>
          <w:trHeight w:val="553"/>
        </w:trPr>
        <w:tc>
          <w:tcPr>
            <w:tcW w:w="284" w:type="dxa"/>
          </w:tcPr>
          <w:p w14:paraId="41086138" w14:textId="77777777" w:rsidR="006F4B13" w:rsidRPr="001319E5" w:rsidRDefault="006F4B13" w:rsidP="00A87D1C">
            <w:pPr>
              <w:ind w:left="57" w:right="57"/>
              <w:contextualSpacing/>
              <w:jc w:val="both"/>
              <w:rPr>
                <w:rFonts w:eastAsia="PMingLiU"/>
                <w:bCs/>
                <w:sz w:val="24"/>
                <w:szCs w:val="24"/>
                <w:lang w:val="lv-LV" w:eastAsia="ja-JP"/>
              </w:rPr>
            </w:pPr>
            <w:r w:rsidRPr="001319E5">
              <w:rPr>
                <w:rFonts w:eastAsia="PMingLiU"/>
                <w:bCs/>
                <w:sz w:val="24"/>
                <w:szCs w:val="24"/>
                <w:lang w:val="lv-LV" w:eastAsia="ja-JP"/>
              </w:rPr>
              <w:t>1.</w:t>
            </w:r>
          </w:p>
        </w:tc>
        <w:tc>
          <w:tcPr>
            <w:tcW w:w="2766" w:type="dxa"/>
          </w:tcPr>
          <w:p w14:paraId="798682AC" w14:textId="77777777" w:rsidR="006F4B13" w:rsidRPr="001319E5" w:rsidRDefault="006F4B13" w:rsidP="00A87D1C">
            <w:pPr>
              <w:tabs>
                <w:tab w:val="left" w:pos="170"/>
              </w:tabs>
              <w:ind w:left="57" w:right="57"/>
              <w:contextualSpacing/>
              <w:rPr>
                <w:rFonts w:eastAsia="PMingLiU"/>
                <w:sz w:val="24"/>
                <w:szCs w:val="24"/>
                <w:lang w:val="lv-LV" w:eastAsia="ja-JP"/>
              </w:rPr>
            </w:pPr>
            <w:r w:rsidRPr="001319E5">
              <w:rPr>
                <w:rFonts w:eastAsia="PMingLiU"/>
                <w:sz w:val="24"/>
                <w:szCs w:val="24"/>
                <w:lang w:val="lv-LV" w:eastAsia="ja-JP"/>
              </w:rPr>
              <w:t>Plānotās sabiedrības līdzdalības un komunikācijas aktivitātes saistībā ar projektu</w:t>
            </w:r>
          </w:p>
        </w:tc>
        <w:tc>
          <w:tcPr>
            <w:tcW w:w="6164" w:type="dxa"/>
          </w:tcPr>
          <w:p w14:paraId="384FFED0" w14:textId="414CEB0F" w:rsidR="006F4B13" w:rsidRPr="001319E5" w:rsidRDefault="00D8087E" w:rsidP="00A87D1C">
            <w:pPr>
              <w:shd w:val="clear" w:color="auto" w:fill="FFFFFF"/>
              <w:ind w:left="57" w:right="113"/>
              <w:contextualSpacing/>
              <w:jc w:val="both"/>
              <w:rPr>
                <w:rFonts w:eastAsia="PMingLiU"/>
                <w:sz w:val="24"/>
                <w:szCs w:val="24"/>
                <w:lang w:val="lv-LV" w:eastAsia="ja-JP"/>
              </w:rPr>
            </w:pPr>
            <w:r w:rsidRPr="001319E5">
              <w:rPr>
                <w:rFonts w:eastAsia="PMingLiU"/>
                <w:sz w:val="24"/>
                <w:szCs w:val="24"/>
                <w:lang w:val="lv-LV" w:eastAsia="ja-JP"/>
              </w:rPr>
              <w:t>Sabiedrības līdzdalība  tiek nodrošināta, ievietojot projektu Ekonomikas ministrijas mājas lapā sabiedriskajai apspriešanai</w:t>
            </w:r>
          </w:p>
        </w:tc>
      </w:tr>
      <w:tr w:rsidR="006F4B13" w:rsidRPr="00681FC2" w14:paraId="3F5FD1CD" w14:textId="77777777" w:rsidTr="00D049DD">
        <w:trPr>
          <w:trHeight w:val="339"/>
        </w:trPr>
        <w:tc>
          <w:tcPr>
            <w:tcW w:w="284" w:type="dxa"/>
          </w:tcPr>
          <w:p w14:paraId="4B9C6F89" w14:textId="77777777" w:rsidR="006F4B13" w:rsidRPr="001319E5" w:rsidRDefault="006F4B13" w:rsidP="00A87D1C">
            <w:pPr>
              <w:ind w:left="57" w:right="57"/>
              <w:contextualSpacing/>
              <w:jc w:val="both"/>
              <w:rPr>
                <w:rFonts w:eastAsia="PMingLiU"/>
                <w:bCs/>
                <w:sz w:val="24"/>
                <w:szCs w:val="24"/>
                <w:lang w:val="lv-LV" w:eastAsia="ja-JP"/>
              </w:rPr>
            </w:pPr>
            <w:r w:rsidRPr="001319E5">
              <w:rPr>
                <w:rFonts w:eastAsia="PMingLiU"/>
                <w:bCs/>
                <w:sz w:val="24"/>
                <w:szCs w:val="24"/>
                <w:lang w:val="lv-LV" w:eastAsia="ja-JP"/>
              </w:rPr>
              <w:t>2.</w:t>
            </w:r>
          </w:p>
        </w:tc>
        <w:tc>
          <w:tcPr>
            <w:tcW w:w="2766" w:type="dxa"/>
          </w:tcPr>
          <w:p w14:paraId="4B6FBDE6" w14:textId="77777777" w:rsidR="006F4B13" w:rsidRPr="001319E5" w:rsidRDefault="006F4B13" w:rsidP="00A87D1C">
            <w:pPr>
              <w:ind w:left="57" w:right="57"/>
              <w:contextualSpacing/>
              <w:rPr>
                <w:rFonts w:eastAsia="PMingLiU"/>
                <w:sz w:val="24"/>
                <w:szCs w:val="24"/>
                <w:lang w:val="lv-LV" w:eastAsia="ja-JP"/>
              </w:rPr>
            </w:pPr>
            <w:r w:rsidRPr="001319E5">
              <w:rPr>
                <w:rFonts w:eastAsia="PMingLiU"/>
                <w:sz w:val="24"/>
                <w:szCs w:val="24"/>
                <w:lang w:val="lv-LV" w:eastAsia="ja-JP"/>
              </w:rPr>
              <w:t>Sabiedrības līdzdalība projekta izstrādē</w:t>
            </w:r>
          </w:p>
        </w:tc>
        <w:tc>
          <w:tcPr>
            <w:tcW w:w="6164" w:type="dxa"/>
          </w:tcPr>
          <w:p w14:paraId="18D5064F" w14:textId="5E94B6BB" w:rsidR="006F4B13" w:rsidRPr="001319E5" w:rsidRDefault="00B92A84" w:rsidP="00A87D1C">
            <w:pPr>
              <w:shd w:val="clear" w:color="auto" w:fill="FFFFFF"/>
              <w:ind w:left="57" w:right="113"/>
              <w:contextualSpacing/>
              <w:jc w:val="both"/>
              <w:rPr>
                <w:rFonts w:eastAsia="PMingLiU"/>
                <w:sz w:val="24"/>
                <w:szCs w:val="24"/>
                <w:shd w:val="clear" w:color="auto" w:fill="FFFFFF"/>
                <w:lang w:val="lv-LV" w:eastAsia="ja-JP"/>
              </w:rPr>
            </w:pPr>
            <w:r>
              <w:rPr>
                <w:rFonts w:eastAsia="Times New Roman"/>
                <w:iCs/>
                <w:sz w:val="24"/>
                <w:szCs w:val="24"/>
                <w:lang w:val="lv-LV"/>
              </w:rPr>
              <w:t>Tiks izskatīti priekšlikumi vai iebildumi, ja tie tiks saņemti.</w:t>
            </w:r>
          </w:p>
        </w:tc>
      </w:tr>
      <w:tr w:rsidR="006F4B13" w:rsidRPr="00681FC2" w14:paraId="0F937EA3" w14:textId="77777777" w:rsidTr="00D049DD">
        <w:trPr>
          <w:trHeight w:val="476"/>
        </w:trPr>
        <w:tc>
          <w:tcPr>
            <w:tcW w:w="284" w:type="dxa"/>
          </w:tcPr>
          <w:p w14:paraId="5A007BCA" w14:textId="77777777" w:rsidR="006F4B13" w:rsidRPr="001319E5" w:rsidRDefault="006F4B13" w:rsidP="00A87D1C">
            <w:pPr>
              <w:ind w:left="57" w:right="57"/>
              <w:contextualSpacing/>
              <w:jc w:val="both"/>
              <w:rPr>
                <w:rFonts w:eastAsia="PMingLiU"/>
                <w:bCs/>
                <w:sz w:val="24"/>
                <w:szCs w:val="24"/>
                <w:lang w:val="lv-LV" w:eastAsia="ja-JP"/>
              </w:rPr>
            </w:pPr>
            <w:r w:rsidRPr="001319E5">
              <w:rPr>
                <w:rFonts w:eastAsia="PMingLiU"/>
                <w:bCs/>
                <w:sz w:val="24"/>
                <w:szCs w:val="24"/>
                <w:lang w:val="lv-LV" w:eastAsia="ja-JP"/>
              </w:rPr>
              <w:t>3.</w:t>
            </w:r>
          </w:p>
        </w:tc>
        <w:tc>
          <w:tcPr>
            <w:tcW w:w="2766" w:type="dxa"/>
          </w:tcPr>
          <w:p w14:paraId="5F99D7D0" w14:textId="77777777" w:rsidR="006F4B13" w:rsidRPr="001319E5" w:rsidRDefault="006F4B13" w:rsidP="00A87D1C">
            <w:pPr>
              <w:ind w:left="57" w:right="57"/>
              <w:contextualSpacing/>
              <w:rPr>
                <w:rFonts w:eastAsia="PMingLiU"/>
                <w:sz w:val="24"/>
                <w:szCs w:val="24"/>
                <w:lang w:val="lv-LV" w:eastAsia="ja-JP"/>
              </w:rPr>
            </w:pPr>
            <w:r w:rsidRPr="001319E5">
              <w:rPr>
                <w:rFonts w:eastAsia="PMingLiU"/>
                <w:sz w:val="24"/>
                <w:szCs w:val="24"/>
                <w:lang w:val="lv-LV" w:eastAsia="ja-JP"/>
              </w:rPr>
              <w:t>Sabiedrības līdzdalības rezultāti</w:t>
            </w:r>
          </w:p>
        </w:tc>
        <w:tc>
          <w:tcPr>
            <w:tcW w:w="6164" w:type="dxa"/>
          </w:tcPr>
          <w:p w14:paraId="2BF921D4" w14:textId="59E0F012" w:rsidR="006F4B13" w:rsidRPr="001319E5" w:rsidRDefault="00B92A84" w:rsidP="00A87D1C">
            <w:pPr>
              <w:shd w:val="clear" w:color="auto" w:fill="FFFFFF"/>
              <w:ind w:left="57" w:right="113"/>
              <w:contextualSpacing/>
              <w:jc w:val="both"/>
              <w:rPr>
                <w:rFonts w:eastAsia="PMingLiU"/>
                <w:sz w:val="24"/>
                <w:szCs w:val="24"/>
                <w:shd w:val="clear" w:color="auto" w:fill="FFFFFF"/>
                <w:lang w:val="lv-LV" w:eastAsia="ja-JP"/>
              </w:rPr>
            </w:pPr>
            <w:r>
              <w:rPr>
                <w:rFonts w:eastAsia="Times New Roman"/>
                <w:iCs/>
                <w:sz w:val="24"/>
                <w:szCs w:val="24"/>
                <w:lang w:val="lv-LV"/>
              </w:rPr>
              <w:t>Tiks izskatīti priekšlikumi vai iebildumi, ja tie tiks saņemti.</w:t>
            </w:r>
          </w:p>
        </w:tc>
      </w:tr>
      <w:tr w:rsidR="006F4B13" w:rsidRPr="001319E5" w14:paraId="13638F96" w14:textId="77777777" w:rsidTr="00D049DD">
        <w:trPr>
          <w:trHeight w:val="205"/>
        </w:trPr>
        <w:tc>
          <w:tcPr>
            <w:tcW w:w="284" w:type="dxa"/>
          </w:tcPr>
          <w:p w14:paraId="286DE4AB" w14:textId="77777777" w:rsidR="006F4B13" w:rsidRPr="001319E5" w:rsidRDefault="006F4B13" w:rsidP="00A87D1C">
            <w:pPr>
              <w:ind w:left="57" w:right="57"/>
              <w:contextualSpacing/>
              <w:jc w:val="both"/>
              <w:rPr>
                <w:rFonts w:eastAsia="PMingLiU"/>
                <w:bCs/>
                <w:sz w:val="24"/>
                <w:szCs w:val="24"/>
                <w:lang w:val="lv-LV" w:eastAsia="ja-JP"/>
              </w:rPr>
            </w:pPr>
            <w:r w:rsidRPr="001319E5">
              <w:rPr>
                <w:rFonts w:eastAsia="PMingLiU"/>
                <w:bCs/>
                <w:sz w:val="24"/>
                <w:szCs w:val="24"/>
                <w:lang w:val="lv-LV" w:eastAsia="ja-JP"/>
              </w:rPr>
              <w:t>4.</w:t>
            </w:r>
          </w:p>
        </w:tc>
        <w:tc>
          <w:tcPr>
            <w:tcW w:w="2766" w:type="dxa"/>
          </w:tcPr>
          <w:p w14:paraId="1AEA4978" w14:textId="77777777" w:rsidR="006F4B13" w:rsidRPr="001319E5" w:rsidRDefault="006F4B13" w:rsidP="00A87D1C">
            <w:pPr>
              <w:ind w:left="57" w:right="57"/>
              <w:contextualSpacing/>
              <w:rPr>
                <w:rFonts w:eastAsia="PMingLiU"/>
                <w:sz w:val="24"/>
                <w:szCs w:val="24"/>
                <w:lang w:val="lv-LV" w:eastAsia="ja-JP"/>
              </w:rPr>
            </w:pPr>
            <w:r w:rsidRPr="001319E5">
              <w:rPr>
                <w:rFonts w:eastAsia="PMingLiU"/>
                <w:sz w:val="24"/>
                <w:szCs w:val="24"/>
                <w:lang w:val="lv-LV" w:eastAsia="ja-JP"/>
              </w:rPr>
              <w:t>Cita informācija</w:t>
            </w:r>
          </w:p>
        </w:tc>
        <w:tc>
          <w:tcPr>
            <w:tcW w:w="6164" w:type="dxa"/>
          </w:tcPr>
          <w:p w14:paraId="29112FCD" w14:textId="3028D2AC" w:rsidR="006F4B13" w:rsidRPr="001319E5" w:rsidRDefault="006F4B13" w:rsidP="00A87D1C">
            <w:pPr>
              <w:ind w:left="57" w:right="113"/>
              <w:contextualSpacing/>
              <w:jc w:val="both"/>
              <w:rPr>
                <w:rFonts w:eastAsia="PMingLiU"/>
                <w:sz w:val="24"/>
                <w:szCs w:val="24"/>
                <w:lang w:val="lv-LV" w:eastAsia="ja-JP"/>
              </w:rPr>
            </w:pPr>
            <w:r w:rsidRPr="00041D0F">
              <w:rPr>
                <w:rFonts w:eastAsia="PMingLiU"/>
                <w:sz w:val="24"/>
                <w:szCs w:val="24"/>
                <w:lang w:val="lv-LV" w:eastAsia="ja-JP"/>
              </w:rPr>
              <w:t>Nav</w:t>
            </w:r>
          </w:p>
        </w:tc>
      </w:tr>
    </w:tbl>
    <w:p w14:paraId="07B85D36" w14:textId="1E6EF1D8" w:rsidR="00844176" w:rsidRPr="001319E5" w:rsidRDefault="00844176" w:rsidP="00A87D1C">
      <w:pPr>
        <w:contextualSpacing/>
        <w:rPr>
          <w:rFonts w:eastAsia="Times New Roman"/>
          <w:sz w:val="26"/>
          <w:szCs w:val="26"/>
          <w:lang w:val="lv-LV" w:eastAsia="lv-LV"/>
        </w:rPr>
      </w:pPr>
    </w:p>
    <w:tbl>
      <w:tblPr>
        <w:tblW w:w="9206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85" w:type="dxa"/>
          <w:bottom w:w="30" w:type="dxa"/>
          <w:right w:w="85" w:type="dxa"/>
        </w:tblCellMar>
        <w:tblLook w:val="04A0" w:firstRow="1" w:lastRow="0" w:firstColumn="1" w:lastColumn="0" w:noHBand="0" w:noVBand="1"/>
      </w:tblPr>
      <w:tblGrid>
        <w:gridCol w:w="350"/>
        <w:gridCol w:w="2706"/>
        <w:gridCol w:w="6150"/>
      </w:tblGrid>
      <w:tr w:rsidR="00844176" w:rsidRPr="00681FC2" w14:paraId="72278BCA" w14:textId="77777777" w:rsidTr="00D049DD">
        <w:trPr>
          <w:trHeight w:val="238"/>
        </w:trPr>
        <w:tc>
          <w:tcPr>
            <w:tcW w:w="9206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C12EA7" w14:textId="53912CA3" w:rsidR="00844176" w:rsidRPr="001319E5" w:rsidRDefault="00844176" w:rsidP="00A87D1C">
            <w:pPr>
              <w:ind w:firstLine="300"/>
              <w:contextualSpacing/>
              <w:jc w:val="center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VII. Tiesību akta projekta izpildes nodrošināšana un tās ietekme uz institūcijām</w:t>
            </w:r>
          </w:p>
        </w:tc>
      </w:tr>
      <w:tr w:rsidR="00844176" w:rsidRPr="001319E5" w14:paraId="3BE578E7" w14:textId="77777777" w:rsidTr="00D049DD">
        <w:trPr>
          <w:trHeight w:val="420"/>
        </w:trPr>
        <w:tc>
          <w:tcPr>
            <w:tcW w:w="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2ABD64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27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B08CA7" w14:textId="77777777" w:rsidR="00844176" w:rsidRPr="001319E5" w:rsidRDefault="00844176" w:rsidP="00A87D1C">
            <w:pPr>
              <w:ind w:right="112"/>
              <w:contextualSpacing/>
              <w:jc w:val="both"/>
              <w:rPr>
                <w:sz w:val="24"/>
                <w:szCs w:val="24"/>
                <w:lang w:val="lv-LV"/>
              </w:rPr>
            </w:pPr>
            <w:r w:rsidRPr="001319E5">
              <w:rPr>
                <w:sz w:val="24"/>
                <w:szCs w:val="24"/>
                <w:lang w:val="lv-LV"/>
              </w:rPr>
              <w:t>Projekta izpildē iesaistītās institūcijas</w:t>
            </w:r>
          </w:p>
        </w:tc>
        <w:tc>
          <w:tcPr>
            <w:tcW w:w="61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10CF17" w14:textId="77777777" w:rsidR="00844176" w:rsidRPr="001319E5" w:rsidRDefault="00844176" w:rsidP="006F29AD">
            <w:pPr>
              <w:contextualSpacing/>
              <w:jc w:val="both"/>
              <w:rPr>
                <w:sz w:val="24"/>
                <w:szCs w:val="24"/>
                <w:lang w:val="lv-LV"/>
              </w:rPr>
            </w:pPr>
            <w:r w:rsidRPr="001319E5">
              <w:rPr>
                <w:sz w:val="24"/>
                <w:szCs w:val="24"/>
                <w:lang w:val="lv-LV"/>
              </w:rPr>
              <w:t>E</w:t>
            </w:r>
            <w:r w:rsidR="00733C32" w:rsidRPr="001319E5">
              <w:rPr>
                <w:sz w:val="24"/>
                <w:szCs w:val="24"/>
                <w:lang w:val="lv-LV"/>
              </w:rPr>
              <w:t>konomikas ministrija</w:t>
            </w:r>
            <w:r w:rsidR="0074545C" w:rsidRPr="001319E5">
              <w:rPr>
                <w:sz w:val="24"/>
                <w:szCs w:val="24"/>
                <w:lang w:val="lv-LV"/>
              </w:rPr>
              <w:t>, akciju sabiedrība</w:t>
            </w:r>
            <w:r w:rsidR="00733C32" w:rsidRPr="001319E5">
              <w:rPr>
                <w:sz w:val="24"/>
                <w:szCs w:val="24"/>
                <w:lang w:val="lv-LV"/>
              </w:rPr>
              <w:t xml:space="preserve"> “Attīstības finanšu institūcija </w:t>
            </w:r>
            <w:proofErr w:type="spellStart"/>
            <w:r w:rsidR="00733C32" w:rsidRPr="001319E5">
              <w:rPr>
                <w:sz w:val="24"/>
                <w:szCs w:val="24"/>
                <w:lang w:val="lv-LV"/>
              </w:rPr>
              <w:t>Altum</w:t>
            </w:r>
            <w:proofErr w:type="spellEnd"/>
            <w:r w:rsidR="00733C32" w:rsidRPr="001319E5">
              <w:rPr>
                <w:sz w:val="24"/>
                <w:szCs w:val="24"/>
                <w:lang w:val="lv-LV"/>
              </w:rPr>
              <w:t>”</w:t>
            </w:r>
            <w:r w:rsidRPr="001319E5">
              <w:rPr>
                <w:sz w:val="24"/>
                <w:szCs w:val="24"/>
                <w:lang w:val="lv-LV"/>
              </w:rPr>
              <w:t>.</w:t>
            </w:r>
          </w:p>
        </w:tc>
      </w:tr>
      <w:tr w:rsidR="00844176" w:rsidRPr="00681FC2" w14:paraId="2CF2C3EA" w14:textId="77777777" w:rsidTr="00D049DD">
        <w:trPr>
          <w:trHeight w:val="450"/>
        </w:trPr>
        <w:tc>
          <w:tcPr>
            <w:tcW w:w="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5BFDB2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27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209650" w14:textId="77777777" w:rsidR="00844176" w:rsidRPr="001319E5" w:rsidRDefault="00844176" w:rsidP="00A87D1C">
            <w:pPr>
              <w:ind w:right="112"/>
              <w:contextualSpacing/>
              <w:jc w:val="both"/>
              <w:rPr>
                <w:sz w:val="24"/>
                <w:szCs w:val="24"/>
                <w:lang w:val="lv-LV"/>
              </w:rPr>
            </w:pPr>
            <w:r w:rsidRPr="001319E5">
              <w:rPr>
                <w:sz w:val="24"/>
                <w:szCs w:val="24"/>
                <w:lang w:val="lv-LV"/>
              </w:rPr>
              <w:t>Projekta izpildes ietekme uz pārvaldes funkcijām un institucionālo struktūru. Jaunu institūciju izveide, esošu institūciju likvidācija vai reorganizācija, to ietekme uz institūcijas cilvēkresursiem.</w:t>
            </w:r>
          </w:p>
        </w:tc>
        <w:tc>
          <w:tcPr>
            <w:tcW w:w="61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5A7977" w14:textId="46D5FA6E" w:rsidR="00844176" w:rsidRPr="001319E5" w:rsidRDefault="00D8087E" w:rsidP="006F29AD">
            <w:pPr>
              <w:contextualSpacing/>
              <w:jc w:val="both"/>
              <w:rPr>
                <w:sz w:val="24"/>
                <w:szCs w:val="24"/>
                <w:lang w:val="lv-LV"/>
              </w:rPr>
            </w:pPr>
            <w:r w:rsidRPr="001319E5">
              <w:rPr>
                <w:sz w:val="24"/>
                <w:szCs w:val="24"/>
                <w:lang w:val="lv-LV"/>
              </w:rPr>
              <w:t xml:space="preserve">Projekta izpilde tiks nodrošināta Ekonomikas ministrijas un akciju sabiedrības “Attīstības finanšu institūcija </w:t>
            </w:r>
            <w:proofErr w:type="spellStart"/>
            <w:r w:rsidRPr="001319E5">
              <w:rPr>
                <w:sz w:val="24"/>
                <w:szCs w:val="24"/>
                <w:lang w:val="lv-LV"/>
              </w:rPr>
              <w:t>Altum</w:t>
            </w:r>
            <w:proofErr w:type="spellEnd"/>
            <w:r w:rsidRPr="001319E5">
              <w:rPr>
                <w:sz w:val="24"/>
                <w:szCs w:val="24"/>
                <w:lang w:val="lv-LV"/>
              </w:rPr>
              <w:t>” esošo funkciju un cilvēkresursu ietvaros, kā arī nav paredzēta jaunu institūciju izveide, esošu institūciju likvidācija vai reorganizācija.</w:t>
            </w:r>
          </w:p>
        </w:tc>
      </w:tr>
      <w:tr w:rsidR="00844176" w:rsidRPr="001319E5" w14:paraId="2EBACAF6" w14:textId="77777777" w:rsidTr="00D049DD">
        <w:trPr>
          <w:trHeight w:val="232"/>
        </w:trPr>
        <w:tc>
          <w:tcPr>
            <w:tcW w:w="292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52C13F" w14:textId="77777777" w:rsidR="00844176" w:rsidRPr="001319E5" w:rsidRDefault="00844176" w:rsidP="00A87D1C">
            <w:pPr>
              <w:contextualSpacing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271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CC748B" w14:textId="77777777" w:rsidR="00844176" w:rsidRPr="001319E5" w:rsidRDefault="00844176" w:rsidP="00A87D1C">
            <w:pPr>
              <w:contextualSpacing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sz w:val="24"/>
                <w:szCs w:val="24"/>
                <w:lang w:val="lv-LV" w:eastAsia="lv-LV"/>
              </w:rPr>
              <w:t>Cita informācija</w:t>
            </w:r>
          </w:p>
        </w:tc>
        <w:tc>
          <w:tcPr>
            <w:tcW w:w="61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9FA647" w14:textId="77777777" w:rsidR="00844176" w:rsidRPr="001319E5" w:rsidRDefault="00844176" w:rsidP="006F29AD">
            <w:pPr>
              <w:contextualSpacing/>
              <w:jc w:val="both"/>
              <w:rPr>
                <w:rFonts w:eastAsia="Times New Roman"/>
                <w:sz w:val="24"/>
                <w:szCs w:val="24"/>
                <w:lang w:val="lv-LV" w:eastAsia="lv-LV"/>
              </w:rPr>
            </w:pPr>
            <w:r w:rsidRPr="001319E5">
              <w:rPr>
                <w:rFonts w:eastAsia="Times New Roman"/>
                <w:sz w:val="24"/>
                <w:szCs w:val="24"/>
                <w:lang w:val="lv-LV" w:eastAsia="lv-LV"/>
              </w:rPr>
              <w:t>Nav</w:t>
            </w:r>
          </w:p>
        </w:tc>
      </w:tr>
    </w:tbl>
    <w:p w14:paraId="7FC0F3F0" w14:textId="1E3ACBC7" w:rsidR="000A0059" w:rsidRPr="001319E5" w:rsidRDefault="000A0059" w:rsidP="00A87D1C">
      <w:pPr>
        <w:tabs>
          <w:tab w:val="right" w:pos="9072"/>
        </w:tabs>
        <w:contextualSpacing/>
        <w:rPr>
          <w:sz w:val="26"/>
          <w:szCs w:val="26"/>
          <w:lang w:val="lv-LV"/>
        </w:rPr>
      </w:pPr>
    </w:p>
    <w:p w14:paraId="03EE94B5" w14:textId="77777777" w:rsidR="00862580" w:rsidRPr="001319E5" w:rsidRDefault="00862580" w:rsidP="00A87D1C">
      <w:pPr>
        <w:contextualSpacing/>
        <w:jc w:val="both"/>
        <w:rPr>
          <w:sz w:val="26"/>
          <w:szCs w:val="26"/>
          <w:lang w:val="lv-LV"/>
        </w:rPr>
      </w:pPr>
    </w:p>
    <w:p w14:paraId="70DCEC57" w14:textId="464166D4" w:rsidR="00B92A84" w:rsidRDefault="00D8087E" w:rsidP="006156D2">
      <w:pPr>
        <w:tabs>
          <w:tab w:val="left" w:pos="7230"/>
        </w:tabs>
        <w:contextualSpacing/>
        <w:rPr>
          <w:sz w:val="24"/>
          <w:szCs w:val="24"/>
          <w:lang w:val="lv-LV"/>
        </w:rPr>
      </w:pPr>
      <w:r w:rsidRPr="001319E5">
        <w:rPr>
          <w:sz w:val="24"/>
          <w:szCs w:val="24"/>
          <w:lang w:val="lv-LV"/>
        </w:rPr>
        <w:t>E</w:t>
      </w:r>
      <w:r w:rsidR="00862580" w:rsidRPr="001319E5">
        <w:rPr>
          <w:sz w:val="24"/>
          <w:szCs w:val="24"/>
          <w:lang w:val="lv-LV"/>
        </w:rPr>
        <w:t>konomikas ministr</w:t>
      </w:r>
      <w:r w:rsidR="004D7625">
        <w:rPr>
          <w:sz w:val="24"/>
          <w:szCs w:val="24"/>
          <w:lang w:val="lv-LV"/>
        </w:rPr>
        <w:t xml:space="preserve">a </w:t>
      </w:r>
      <w:proofErr w:type="spellStart"/>
      <w:r w:rsidR="004D7625">
        <w:rPr>
          <w:sz w:val="24"/>
          <w:szCs w:val="24"/>
          <w:lang w:val="lv-LV"/>
        </w:rPr>
        <w:t>p.i</w:t>
      </w:r>
      <w:proofErr w:type="spellEnd"/>
      <w:r w:rsidR="004D7625">
        <w:rPr>
          <w:sz w:val="24"/>
          <w:szCs w:val="24"/>
          <w:lang w:val="lv-LV"/>
        </w:rPr>
        <w:t>.</w:t>
      </w:r>
      <w:r w:rsidR="00B92A84">
        <w:rPr>
          <w:sz w:val="24"/>
          <w:szCs w:val="24"/>
          <w:lang w:val="lv-LV"/>
        </w:rPr>
        <w:t>,</w:t>
      </w:r>
    </w:p>
    <w:p w14:paraId="09558E83" w14:textId="70A80BB3" w:rsidR="00862580" w:rsidRPr="001319E5" w:rsidRDefault="00B92A84" w:rsidP="006156D2">
      <w:pPr>
        <w:tabs>
          <w:tab w:val="left" w:pos="7230"/>
        </w:tabs>
        <w:contextualSpacing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Zemkopības minis</w:t>
      </w:r>
      <w:r w:rsidR="00681FC2">
        <w:rPr>
          <w:sz w:val="24"/>
          <w:szCs w:val="24"/>
          <w:lang w:val="lv-LV"/>
        </w:rPr>
        <w:t>t</w:t>
      </w:r>
      <w:r>
        <w:rPr>
          <w:sz w:val="24"/>
          <w:szCs w:val="24"/>
          <w:lang w:val="lv-LV"/>
        </w:rPr>
        <w:t>rs</w:t>
      </w:r>
      <w:r w:rsidR="00862580" w:rsidRPr="001319E5">
        <w:rPr>
          <w:sz w:val="24"/>
          <w:szCs w:val="24"/>
          <w:lang w:val="lv-LV"/>
        </w:rPr>
        <w:tab/>
      </w:r>
      <w:r w:rsidR="004D7625">
        <w:rPr>
          <w:sz w:val="24"/>
          <w:szCs w:val="24"/>
          <w:lang w:val="lv-LV"/>
        </w:rPr>
        <w:t>K. Gerhards</w:t>
      </w:r>
    </w:p>
    <w:p w14:paraId="3248ED04" w14:textId="7776E005" w:rsidR="00862580" w:rsidRPr="001319E5" w:rsidRDefault="00862580" w:rsidP="006156D2">
      <w:pPr>
        <w:tabs>
          <w:tab w:val="left" w:pos="7230"/>
        </w:tabs>
        <w:contextualSpacing/>
        <w:rPr>
          <w:sz w:val="24"/>
          <w:szCs w:val="24"/>
          <w:lang w:val="lv-LV"/>
        </w:rPr>
      </w:pPr>
      <w:bookmarkStart w:id="5" w:name="_GoBack"/>
      <w:bookmarkEnd w:id="5"/>
    </w:p>
    <w:p w14:paraId="267D11C9" w14:textId="77777777" w:rsidR="00D8087E" w:rsidRPr="001319E5" w:rsidRDefault="00D8087E" w:rsidP="006156D2">
      <w:pPr>
        <w:tabs>
          <w:tab w:val="left" w:pos="7230"/>
        </w:tabs>
        <w:contextualSpacing/>
        <w:rPr>
          <w:sz w:val="24"/>
          <w:szCs w:val="24"/>
          <w:lang w:val="lv-LV"/>
        </w:rPr>
      </w:pPr>
    </w:p>
    <w:p w14:paraId="32B9797C" w14:textId="77777777" w:rsidR="00862580" w:rsidRPr="001319E5" w:rsidRDefault="00862580" w:rsidP="006156D2">
      <w:pPr>
        <w:tabs>
          <w:tab w:val="left" w:pos="7230"/>
        </w:tabs>
        <w:contextualSpacing/>
        <w:rPr>
          <w:sz w:val="24"/>
          <w:szCs w:val="24"/>
          <w:lang w:val="lv-LV"/>
        </w:rPr>
      </w:pPr>
      <w:r w:rsidRPr="001319E5">
        <w:rPr>
          <w:sz w:val="24"/>
          <w:szCs w:val="24"/>
          <w:lang w:val="lv-LV"/>
        </w:rPr>
        <w:t>Vīza:</w:t>
      </w:r>
    </w:p>
    <w:p w14:paraId="10766B62" w14:textId="7AE1C5C5" w:rsidR="00862580" w:rsidRPr="001319E5" w:rsidRDefault="00862580" w:rsidP="006156D2">
      <w:pPr>
        <w:tabs>
          <w:tab w:val="left" w:pos="7230"/>
        </w:tabs>
        <w:contextualSpacing/>
        <w:rPr>
          <w:sz w:val="24"/>
          <w:szCs w:val="24"/>
          <w:lang w:val="lv-LV"/>
        </w:rPr>
      </w:pPr>
      <w:r w:rsidRPr="001319E5">
        <w:rPr>
          <w:sz w:val="24"/>
          <w:szCs w:val="24"/>
          <w:lang w:val="lv-LV"/>
        </w:rPr>
        <w:t xml:space="preserve">Valsts sekretārs </w:t>
      </w:r>
      <w:r w:rsidRPr="001319E5">
        <w:rPr>
          <w:sz w:val="24"/>
          <w:szCs w:val="24"/>
          <w:lang w:val="lv-LV"/>
        </w:rPr>
        <w:tab/>
      </w:r>
      <w:r w:rsidR="00471139">
        <w:rPr>
          <w:sz w:val="24"/>
          <w:szCs w:val="24"/>
          <w:lang w:val="lv-LV"/>
        </w:rPr>
        <w:t>E.</w:t>
      </w:r>
      <w:r w:rsidR="004D7625">
        <w:rPr>
          <w:sz w:val="24"/>
          <w:szCs w:val="24"/>
          <w:lang w:val="lv-LV"/>
        </w:rPr>
        <w:t> </w:t>
      </w:r>
      <w:proofErr w:type="spellStart"/>
      <w:r w:rsidR="00471139">
        <w:rPr>
          <w:sz w:val="24"/>
          <w:szCs w:val="24"/>
          <w:lang w:val="lv-LV"/>
        </w:rPr>
        <w:t>Valantis</w:t>
      </w:r>
      <w:proofErr w:type="spellEnd"/>
    </w:p>
    <w:p w14:paraId="3365EE2C" w14:textId="77777777" w:rsidR="00862580" w:rsidRPr="001319E5" w:rsidRDefault="00862580" w:rsidP="003A6554">
      <w:pPr>
        <w:tabs>
          <w:tab w:val="left" w:pos="6237"/>
        </w:tabs>
        <w:contextualSpacing/>
        <w:rPr>
          <w:lang w:val="lv-LV"/>
        </w:rPr>
      </w:pPr>
    </w:p>
    <w:p w14:paraId="686EDB4F" w14:textId="4A5EF590" w:rsidR="00862580" w:rsidRDefault="00862580" w:rsidP="00A87D1C">
      <w:pPr>
        <w:tabs>
          <w:tab w:val="left" w:pos="6237"/>
        </w:tabs>
        <w:contextualSpacing/>
        <w:rPr>
          <w:lang w:val="lv-LV"/>
        </w:rPr>
      </w:pPr>
    </w:p>
    <w:p w14:paraId="37FF81A9" w14:textId="77777777" w:rsidR="0018135A" w:rsidRPr="001319E5" w:rsidRDefault="0018135A" w:rsidP="00A87D1C">
      <w:pPr>
        <w:tabs>
          <w:tab w:val="left" w:pos="6237"/>
        </w:tabs>
        <w:contextualSpacing/>
        <w:rPr>
          <w:lang w:val="lv-LV"/>
        </w:rPr>
      </w:pPr>
    </w:p>
    <w:p w14:paraId="7FE050EB" w14:textId="17AE5092" w:rsidR="00862580" w:rsidRPr="001319E5" w:rsidRDefault="004D7625" w:rsidP="00A87D1C">
      <w:pPr>
        <w:tabs>
          <w:tab w:val="left" w:pos="6840"/>
        </w:tabs>
        <w:contextualSpacing/>
        <w:jc w:val="both"/>
        <w:rPr>
          <w:lang w:val="lv-LV"/>
        </w:rPr>
      </w:pPr>
      <w:r>
        <w:rPr>
          <w:lang w:val="lv-LV"/>
        </w:rPr>
        <w:t>Lāce</w:t>
      </w:r>
      <w:r w:rsidR="00862580" w:rsidRPr="001319E5">
        <w:rPr>
          <w:lang w:val="lv-LV"/>
        </w:rPr>
        <w:t xml:space="preserve">, </w:t>
      </w:r>
      <w:r w:rsidRPr="004D7625">
        <w:rPr>
          <w:lang w:val="lv-LV"/>
        </w:rPr>
        <w:t>67013256</w:t>
      </w:r>
    </w:p>
    <w:p w14:paraId="30EAABC8" w14:textId="5BF25F72" w:rsidR="000948CC" w:rsidRPr="001319E5" w:rsidRDefault="006D1B02" w:rsidP="00A87D1C">
      <w:pPr>
        <w:pStyle w:val="Galvene"/>
        <w:tabs>
          <w:tab w:val="clear" w:pos="4153"/>
          <w:tab w:val="clear" w:pos="8306"/>
        </w:tabs>
        <w:contextualSpacing/>
        <w:rPr>
          <w:lang w:val="lv-LV"/>
        </w:rPr>
      </w:pPr>
      <w:hyperlink r:id="rId8" w:history="1">
        <w:r w:rsidR="001E7F29" w:rsidRPr="00C15348">
          <w:rPr>
            <w:rStyle w:val="Hipersaite"/>
            <w:lang w:val="lv-LV"/>
          </w:rPr>
          <w:t>Sanita.Lace@em.gov.lv</w:t>
        </w:r>
      </w:hyperlink>
    </w:p>
    <w:sectPr w:rsidR="000948CC" w:rsidRPr="001319E5" w:rsidSect="001135F9">
      <w:headerReference w:type="default" r:id="rId9"/>
      <w:footerReference w:type="default" r:id="rId10"/>
      <w:footerReference w:type="first" r:id="rId11"/>
      <w:endnotePr>
        <w:numFmt w:val="decimal"/>
      </w:endnotePr>
      <w:type w:val="continuous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85F60" w14:textId="77777777" w:rsidR="006D1B02" w:rsidRDefault="006D1B02" w:rsidP="006B2FEF">
      <w:r>
        <w:separator/>
      </w:r>
    </w:p>
  </w:endnote>
  <w:endnote w:type="continuationSeparator" w:id="0">
    <w:p w14:paraId="3DAD75A2" w14:textId="77777777" w:rsidR="006D1B02" w:rsidRDefault="006D1B02" w:rsidP="006B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F5D7B" w14:textId="7961E6E3" w:rsidR="00784B98" w:rsidRPr="00BB55EA" w:rsidRDefault="00784B98" w:rsidP="00E37F50">
    <w:pPr>
      <w:pStyle w:val="Kjene"/>
      <w:jc w:val="both"/>
      <w:rPr>
        <w:lang w:val="lv-LV"/>
      </w:rPr>
    </w:pPr>
    <w:r>
      <w:rPr>
        <w:lang w:val="lv-LV"/>
      </w:rPr>
      <w:fldChar w:fldCharType="begin"/>
    </w:r>
    <w:r>
      <w:rPr>
        <w:lang w:val="lv-LV"/>
      </w:rPr>
      <w:instrText xml:space="preserve"> FILENAME \* MERGEFORMAT </w:instrText>
    </w:r>
    <w:r>
      <w:rPr>
        <w:lang w:val="lv-LV"/>
      </w:rPr>
      <w:fldChar w:fldCharType="separate"/>
    </w:r>
    <w:r>
      <w:rPr>
        <w:noProof/>
        <w:lang w:val="lv-LV"/>
      </w:rPr>
      <w:t>EAnot_030621_MKN_266_Groz.docx</w:t>
    </w:r>
    <w:r>
      <w:rPr>
        <w:lang w:val="lv-LV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F2A6" w14:textId="22F5EF8E" w:rsidR="0007156D" w:rsidRPr="004A6A58" w:rsidRDefault="0007156D" w:rsidP="003B7B62">
    <w:pPr>
      <w:pStyle w:val="Kjene"/>
      <w:jc w:val="both"/>
      <w:rPr>
        <w:noProof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082CE" w14:textId="77777777" w:rsidR="006D1B02" w:rsidRDefault="006D1B02" w:rsidP="006B2FEF">
      <w:r>
        <w:separator/>
      </w:r>
    </w:p>
  </w:footnote>
  <w:footnote w:type="continuationSeparator" w:id="0">
    <w:p w14:paraId="0164BF57" w14:textId="77777777" w:rsidR="006D1B02" w:rsidRDefault="006D1B02" w:rsidP="006B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6272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6079B9A" w14:textId="71A56292" w:rsidR="0007156D" w:rsidRPr="001319E5" w:rsidRDefault="0007156D">
        <w:pPr>
          <w:pStyle w:val="Galvene"/>
          <w:jc w:val="center"/>
          <w:rPr>
            <w:sz w:val="24"/>
            <w:szCs w:val="24"/>
          </w:rPr>
        </w:pPr>
        <w:r w:rsidRPr="001319E5">
          <w:rPr>
            <w:sz w:val="24"/>
            <w:szCs w:val="24"/>
          </w:rPr>
          <w:fldChar w:fldCharType="begin"/>
        </w:r>
        <w:r w:rsidRPr="001319E5">
          <w:rPr>
            <w:sz w:val="24"/>
            <w:szCs w:val="24"/>
          </w:rPr>
          <w:instrText xml:space="preserve"> PAGE   \* MERGEFORMAT </w:instrText>
        </w:r>
        <w:r w:rsidRPr="001319E5">
          <w:rPr>
            <w:sz w:val="24"/>
            <w:szCs w:val="24"/>
          </w:rPr>
          <w:fldChar w:fldCharType="separate"/>
        </w:r>
        <w:r w:rsidR="00C91851">
          <w:rPr>
            <w:noProof/>
            <w:sz w:val="24"/>
            <w:szCs w:val="24"/>
          </w:rPr>
          <w:t>6</w:t>
        </w:r>
        <w:r w:rsidRPr="001319E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61A"/>
    <w:multiLevelType w:val="hybridMultilevel"/>
    <w:tmpl w:val="E90AB3D0"/>
    <w:lvl w:ilvl="0" w:tplc="69484720">
      <w:start w:val="5"/>
      <w:numFmt w:val="bullet"/>
      <w:lvlText w:val="-"/>
      <w:lvlJc w:val="left"/>
      <w:pPr>
        <w:ind w:left="35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51D5F0E"/>
    <w:multiLevelType w:val="hybridMultilevel"/>
    <w:tmpl w:val="4B546A86"/>
    <w:lvl w:ilvl="0" w:tplc="1D9AE45C">
      <w:numFmt w:val="bullet"/>
      <w:lvlText w:val="–"/>
      <w:lvlJc w:val="left"/>
      <w:pPr>
        <w:ind w:left="142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 w15:restartNumberingAfterBreak="0">
    <w:nsid w:val="063438F4"/>
    <w:multiLevelType w:val="hybridMultilevel"/>
    <w:tmpl w:val="FFCA72A0"/>
    <w:lvl w:ilvl="0" w:tplc="0FCC6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8171BC"/>
    <w:multiLevelType w:val="hybridMultilevel"/>
    <w:tmpl w:val="6BAE6320"/>
    <w:lvl w:ilvl="0" w:tplc="46BAD3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555B1C"/>
    <w:multiLevelType w:val="hybridMultilevel"/>
    <w:tmpl w:val="35C08D2E"/>
    <w:lvl w:ilvl="0" w:tplc="5440773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9CF3FAE"/>
    <w:multiLevelType w:val="hybridMultilevel"/>
    <w:tmpl w:val="D0140E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C60C8"/>
    <w:multiLevelType w:val="hybridMultilevel"/>
    <w:tmpl w:val="AC582DDE"/>
    <w:lvl w:ilvl="0" w:tplc="52EA642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FA95D05"/>
    <w:multiLevelType w:val="hybridMultilevel"/>
    <w:tmpl w:val="77C41132"/>
    <w:lvl w:ilvl="0" w:tplc="37E00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8D2668"/>
    <w:multiLevelType w:val="hybridMultilevel"/>
    <w:tmpl w:val="AAA4C9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E420C"/>
    <w:multiLevelType w:val="hybridMultilevel"/>
    <w:tmpl w:val="431E2A94"/>
    <w:lvl w:ilvl="0" w:tplc="0B2E20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F58BF"/>
    <w:multiLevelType w:val="hybridMultilevel"/>
    <w:tmpl w:val="E6A269FE"/>
    <w:lvl w:ilvl="0" w:tplc="AA6C73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34708A"/>
    <w:multiLevelType w:val="hybridMultilevel"/>
    <w:tmpl w:val="E7E03FB6"/>
    <w:lvl w:ilvl="0" w:tplc="42DAF4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8" w:hanging="360"/>
      </w:pPr>
    </w:lvl>
    <w:lvl w:ilvl="2" w:tplc="0426001B" w:tentative="1">
      <w:start w:val="1"/>
      <w:numFmt w:val="lowerRoman"/>
      <w:lvlText w:val="%3."/>
      <w:lvlJc w:val="right"/>
      <w:pPr>
        <w:ind w:left="2508" w:hanging="180"/>
      </w:pPr>
    </w:lvl>
    <w:lvl w:ilvl="3" w:tplc="0426000F" w:tentative="1">
      <w:start w:val="1"/>
      <w:numFmt w:val="decimal"/>
      <w:lvlText w:val="%4."/>
      <w:lvlJc w:val="left"/>
      <w:pPr>
        <w:ind w:left="3228" w:hanging="360"/>
      </w:pPr>
    </w:lvl>
    <w:lvl w:ilvl="4" w:tplc="04260019" w:tentative="1">
      <w:start w:val="1"/>
      <w:numFmt w:val="lowerLetter"/>
      <w:lvlText w:val="%5."/>
      <w:lvlJc w:val="left"/>
      <w:pPr>
        <w:ind w:left="3948" w:hanging="360"/>
      </w:pPr>
    </w:lvl>
    <w:lvl w:ilvl="5" w:tplc="0426001B" w:tentative="1">
      <w:start w:val="1"/>
      <w:numFmt w:val="lowerRoman"/>
      <w:lvlText w:val="%6."/>
      <w:lvlJc w:val="right"/>
      <w:pPr>
        <w:ind w:left="4668" w:hanging="180"/>
      </w:pPr>
    </w:lvl>
    <w:lvl w:ilvl="6" w:tplc="0426000F" w:tentative="1">
      <w:start w:val="1"/>
      <w:numFmt w:val="decimal"/>
      <w:lvlText w:val="%7."/>
      <w:lvlJc w:val="left"/>
      <w:pPr>
        <w:ind w:left="5388" w:hanging="360"/>
      </w:pPr>
    </w:lvl>
    <w:lvl w:ilvl="7" w:tplc="04260019" w:tentative="1">
      <w:start w:val="1"/>
      <w:numFmt w:val="lowerLetter"/>
      <w:lvlText w:val="%8."/>
      <w:lvlJc w:val="left"/>
      <w:pPr>
        <w:ind w:left="6108" w:hanging="360"/>
      </w:pPr>
    </w:lvl>
    <w:lvl w:ilvl="8" w:tplc="042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FB5050"/>
    <w:multiLevelType w:val="hybridMultilevel"/>
    <w:tmpl w:val="FE1ACFF2"/>
    <w:lvl w:ilvl="0" w:tplc="E356F95C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11" w:hanging="360"/>
      </w:pPr>
    </w:lvl>
    <w:lvl w:ilvl="2" w:tplc="0426001B" w:tentative="1">
      <w:start w:val="1"/>
      <w:numFmt w:val="lowerRoman"/>
      <w:lvlText w:val="%3."/>
      <w:lvlJc w:val="right"/>
      <w:pPr>
        <w:ind w:left="2031" w:hanging="180"/>
      </w:pPr>
    </w:lvl>
    <w:lvl w:ilvl="3" w:tplc="0426000F" w:tentative="1">
      <w:start w:val="1"/>
      <w:numFmt w:val="decimal"/>
      <w:lvlText w:val="%4."/>
      <w:lvlJc w:val="left"/>
      <w:pPr>
        <w:ind w:left="2751" w:hanging="360"/>
      </w:pPr>
    </w:lvl>
    <w:lvl w:ilvl="4" w:tplc="04260019" w:tentative="1">
      <w:start w:val="1"/>
      <w:numFmt w:val="lowerLetter"/>
      <w:lvlText w:val="%5."/>
      <w:lvlJc w:val="left"/>
      <w:pPr>
        <w:ind w:left="3471" w:hanging="360"/>
      </w:pPr>
    </w:lvl>
    <w:lvl w:ilvl="5" w:tplc="0426001B" w:tentative="1">
      <w:start w:val="1"/>
      <w:numFmt w:val="lowerRoman"/>
      <w:lvlText w:val="%6."/>
      <w:lvlJc w:val="right"/>
      <w:pPr>
        <w:ind w:left="4191" w:hanging="180"/>
      </w:pPr>
    </w:lvl>
    <w:lvl w:ilvl="6" w:tplc="0426000F" w:tentative="1">
      <w:start w:val="1"/>
      <w:numFmt w:val="decimal"/>
      <w:lvlText w:val="%7."/>
      <w:lvlJc w:val="left"/>
      <w:pPr>
        <w:ind w:left="4911" w:hanging="360"/>
      </w:pPr>
    </w:lvl>
    <w:lvl w:ilvl="7" w:tplc="04260019" w:tentative="1">
      <w:start w:val="1"/>
      <w:numFmt w:val="lowerLetter"/>
      <w:lvlText w:val="%8."/>
      <w:lvlJc w:val="left"/>
      <w:pPr>
        <w:ind w:left="5631" w:hanging="360"/>
      </w:pPr>
    </w:lvl>
    <w:lvl w:ilvl="8" w:tplc="0426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13" w15:restartNumberingAfterBreak="0">
    <w:nsid w:val="315539C9"/>
    <w:multiLevelType w:val="hybridMultilevel"/>
    <w:tmpl w:val="3FF28906"/>
    <w:lvl w:ilvl="0" w:tplc="69484720">
      <w:start w:val="5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38939FF"/>
    <w:multiLevelType w:val="hybridMultilevel"/>
    <w:tmpl w:val="E09A29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D7DD8"/>
    <w:multiLevelType w:val="hybridMultilevel"/>
    <w:tmpl w:val="5D96A968"/>
    <w:lvl w:ilvl="0" w:tplc="741CB2F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91720"/>
    <w:multiLevelType w:val="hybridMultilevel"/>
    <w:tmpl w:val="5C242DD4"/>
    <w:lvl w:ilvl="0" w:tplc="9F2AC0A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60574"/>
    <w:multiLevelType w:val="hybridMultilevel"/>
    <w:tmpl w:val="626C33EE"/>
    <w:lvl w:ilvl="0" w:tplc="77765C2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66B6A2C"/>
    <w:multiLevelType w:val="hybridMultilevel"/>
    <w:tmpl w:val="1DE2ED08"/>
    <w:lvl w:ilvl="0" w:tplc="0AA833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D17CA9"/>
    <w:multiLevelType w:val="hybridMultilevel"/>
    <w:tmpl w:val="CBA2BB18"/>
    <w:lvl w:ilvl="0" w:tplc="1C52F5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352863"/>
    <w:multiLevelType w:val="hybridMultilevel"/>
    <w:tmpl w:val="2F5EAFB6"/>
    <w:lvl w:ilvl="0" w:tplc="58D68196">
      <w:start w:val="1"/>
      <w:numFmt w:val="decimal"/>
      <w:lvlText w:val="(%1)"/>
      <w:lvlJc w:val="left"/>
      <w:pPr>
        <w:ind w:left="412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72288"/>
    <w:multiLevelType w:val="hybridMultilevel"/>
    <w:tmpl w:val="C624FCF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E1100"/>
    <w:multiLevelType w:val="hybridMultilevel"/>
    <w:tmpl w:val="10144120"/>
    <w:lvl w:ilvl="0" w:tplc="D0A627C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56F18"/>
    <w:multiLevelType w:val="hybridMultilevel"/>
    <w:tmpl w:val="E09A29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65F8E"/>
    <w:multiLevelType w:val="hybridMultilevel"/>
    <w:tmpl w:val="B5E8051A"/>
    <w:lvl w:ilvl="0" w:tplc="4B789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510D38"/>
    <w:multiLevelType w:val="hybridMultilevel"/>
    <w:tmpl w:val="888CE90E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A931078"/>
    <w:multiLevelType w:val="hybridMultilevel"/>
    <w:tmpl w:val="7CB21D14"/>
    <w:lvl w:ilvl="0" w:tplc="28746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D2601"/>
    <w:multiLevelType w:val="hybridMultilevel"/>
    <w:tmpl w:val="61B286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A2F4E"/>
    <w:multiLevelType w:val="hybridMultilevel"/>
    <w:tmpl w:val="3508ED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72757"/>
    <w:multiLevelType w:val="hybridMultilevel"/>
    <w:tmpl w:val="A7FCEC66"/>
    <w:lvl w:ilvl="0" w:tplc="EFF408B0">
      <w:start w:val="201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FED38EF"/>
    <w:multiLevelType w:val="hybridMultilevel"/>
    <w:tmpl w:val="C48CD6D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E154F"/>
    <w:multiLevelType w:val="hybridMultilevel"/>
    <w:tmpl w:val="9168DF8E"/>
    <w:lvl w:ilvl="0" w:tplc="BEE0299C">
      <w:start w:val="201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66266BE"/>
    <w:multiLevelType w:val="hybridMultilevel"/>
    <w:tmpl w:val="E154F6C2"/>
    <w:lvl w:ilvl="0" w:tplc="22EACA3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E11B1"/>
    <w:multiLevelType w:val="hybridMultilevel"/>
    <w:tmpl w:val="60EA4F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E4F9C"/>
    <w:multiLevelType w:val="hybridMultilevel"/>
    <w:tmpl w:val="FADEBF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6341"/>
    <w:multiLevelType w:val="hybridMultilevel"/>
    <w:tmpl w:val="A698B9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24"/>
  </w:num>
  <w:num w:numId="4">
    <w:abstractNumId w:val="7"/>
  </w:num>
  <w:num w:numId="5">
    <w:abstractNumId w:val="11"/>
  </w:num>
  <w:num w:numId="6">
    <w:abstractNumId w:val="3"/>
  </w:num>
  <w:num w:numId="7">
    <w:abstractNumId w:val="19"/>
  </w:num>
  <w:num w:numId="8">
    <w:abstractNumId w:val="35"/>
  </w:num>
  <w:num w:numId="9">
    <w:abstractNumId w:val="25"/>
  </w:num>
  <w:num w:numId="10">
    <w:abstractNumId w:val="0"/>
  </w:num>
  <w:num w:numId="11">
    <w:abstractNumId w:val="1"/>
  </w:num>
  <w:num w:numId="12">
    <w:abstractNumId w:val="13"/>
  </w:num>
  <w:num w:numId="13">
    <w:abstractNumId w:val="28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9"/>
  </w:num>
  <w:num w:numId="19">
    <w:abstractNumId w:val="18"/>
  </w:num>
  <w:num w:numId="20">
    <w:abstractNumId w:val="4"/>
  </w:num>
  <w:num w:numId="21">
    <w:abstractNumId w:val="6"/>
  </w:num>
  <w:num w:numId="22">
    <w:abstractNumId w:val="5"/>
  </w:num>
  <w:num w:numId="23">
    <w:abstractNumId w:val="17"/>
  </w:num>
  <w:num w:numId="24">
    <w:abstractNumId w:val="8"/>
  </w:num>
  <w:num w:numId="25">
    <w:abstractNumId w:val="14"/>
  </w:num>
  <w:num w:numId="26">
    <w:abstractNumId w:val="16"/>
  </w:num>
  <w:num w:numId="27">
    <w:abstractNumId w:val="21"/>
  </w:num>
  <w:num w:numId="28">
    <w:abstractNumId w:val="27"/>
  </w:num>
  <w:num w:numId="29">
    <w:abstractNumId w:val="9"/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0"/>
  </w:num>
  <w:num w:numId="33">
    <w:abstractNumId w:val="23"/>
  </w:num>
  <w:num w:numId="34">
    <w:abstractNumId w:val="15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D3"/>
    <w:rsid w:val="000008A9"/>
    <w:rsid w:val="00003D52"/>
    <w:rsid w:val="000058AA"/>
    <w:rsid w:val="0001048C"/>
    <w:rsid w:val="00013B61"/>
    <w:rsid w:val="00014B9F"/>
    <w:rsid w:val="00014C4B"/>
    <w:rsid w:val="00016159"/>
    <w:rsid w:val="0002003C"/>
    <w:rsid w:val="0002596F"/>
    <w:rsid w:val="00026F18"/>
    <w:rsid w:val="000272EB"/>
    <w:rsid w:val="0003012D"/>
    <w:rsid w:val="00030B7E"/>
    <w:rsid w:val="0003245D"/>
    <w:rsid w:val="0003265E"/>
    <w:rsid w:val="00032C42"/>
    <w:rsid w:val="00033E11"/>
    <w:rsid w:val="00041D0F"/>
    <w:rsid w:val="00042885"/>
    <w:rsid w:val="000430AC"/>
    <w:rsid w:val="0004380E"/>
    <w:rsid w:val="00044503"/>
    <w:rsid w:val="00044743"/>
    <w:rsid w:val="00044EB9"/>
    <w:rsid w:val="00047095"/>
    <w:rsid w:val="000527A4"/>
    <w:rsid w:val="00060527"/>
    <w:rsid w:val="000678CD"/>
    <w:rsid w:val="00070F56"/>
    <w:rsid w:val="00071082"/>
    <w:rsid w:val="0007156D"/>
    <w:rsid w:val="00071BC9"/>
    <w:rsid w:val="00072618"/>
    <w:rsid w:val="00072B02"/>
    <w:rsid w:val="0007330D"/>
    <w:rsid w:val="00074090"/>
    <w:rsid w:val="000773A5"/>
    <w:rsid w:val="00077D13"/>
    <w:rsid w:val="0008002B"/>
    <w:rsid w:val="00080352"/>
    <w:rsid w:val="00081EC5"/>
    <w:rsid w:val="0008303C"/>
    <w:rsid w:val="0008515E"/>
    <w:rsid w:val="00085640"/>
    <w:rsid w:val="0009324B"/>
    <w:rsid w:val="000948CC"/>
    <w:rsid w:val="00094B1E"/>
    <w:rsid w:val="00095280"/>
    <w:rsid w:val="00096060"/>
    <w:rsid w:val="000964C6"/>
    <w:rsid w:val="000A0059"/>
    <w:rsid w:val="000A14E3"/>
    <w:rsid w:val="000A5031"/>
    <w:rsid w:val="000A7804"/>
    <w:rsid w:val="000B00F5"/>
    <w:rsid w:val="000B0748"/>
    <w:rsid w:val="000B1926"/>
    <w:rsid w:val="000B1B64"/>
    <w:rsid w:val="000B1FEA"/>
    <w:rsid w:val="000B2C54"/>
    <w:rsid w:val="000B3449"/>
    <w:rsid w:val="000B3A3F"/>
    <w:rsid w:val="000B3FAB"/>
    <w:rsid w:val="000B492B"/>
    <w:rsid w:val="000C33C1"/>
    <w:rsid w:val="000C4418"/>
    <w:rsid w:val="000D180D"/>
    <w:rsid w:val="000D2474"/>
    <w:rsid w:val="000D3D56"/>
    <w:rsid w:val="000D43D9"/>
    <w:rsid w:val="000D4AF0"/>
    <w:rsid w:val="000D74B9"/>
    <w:rsid w:val="000E257B"/>
    <w:rsid w:val="000E53C3"/>
    <w:rsid w:val="000E56F8"/>
    <w:rsid w:val="000E5DD2"/>
    <w:rsid w:val="000F0A62"/>
    <w:rsid w:val="000F2111"/>
    <w:rsid w:val="000F2838"/>
    <w:rsid w:val="000F4230"/>
    <w:rsid w:val="000F676D"/>
    <w:rsid w:val="00102922"/>
    <w:rsid w:val="00102B1D"/>
    <w:rsid w:val="00110128"/>
    <w:rsid w:val="001135F9"/>
    <w:rsid w:val="0011606F"/>
    <w:rsid w:val="00120189"/>
    <w:rsid w:val="00122FE6"/>
    <w:rsid w:val="00123887"/>
    <w:rsid w:val="0012624C"/>
    <w:rsid w:val="001319E5"/>
    <w:rsid w:val="00137388"/>
    <w:rsid w:val="00137F96"/>
    <w:rsid w:val="00143BB6"/>
    <w:rsid w:val="00145366"/>
    <w:rsid w:val="00146697"/>
    <w:rsid w:val="00151BBD"/>
    <w:rsid w:val="00152387"/>
    <w:rsid w:val="0015295F"/>
    <w:rsid w:val="00156C28"/>
    <w:rsid w:val="00161BA7"/>
    <w:rsid w:val="00164AAB"/>
    <w:rsid w:val="001650AC"/>
    <w:rsid w:val="001655DD"/>
    <w:rsid w:val="00165747"/>
    <w:rsid w:val="00165F5E"/>
    <w:rsid w:val="0016668A"/>
    <w:rsid w:val="00166A8B"/>
    <w:rsid w:val="0016744E"/>
    <w:rsid w:val="00172082"/>
    <w:rsid w:val="00177250"/>
    <w:rsid w:val="00177882"/>
    <w:rsid w:val="00177C69"/>
    <w:rsid w:val="00180E2B"/>
    <w:rsid w:val="0018135A"/>
    <w:rsid w:val="00183B65"/>
    <w:rsid w:val="00186A4D"/>
    <w:rsid w:val="00187140"/>
    <w:rsid w:val="00187921"/>
    <w:rsid w:val="001905EC"/>
    <w:rsid w:val="00190B3D"/>
    <w:rsid w:val="001935C8"/>
    <w:rsid w:val="001946C8"/>
    <w:rsid w:val="00195D43"/>
    <w:rsid w:val="00197380"/>
    <w:rsid w:val="001A1368"/>
    <w:rsid w:val="001A1439"/>
    <w:rsid w:val="001A38EA"/>
    <w:rsid w:val="001A3ED2"/>
    <w:rsid w:val="001A7C3A"/>
    <w:rsid w:val="001A7E1D"/>
    <w:rsid w:val="001B7454"/>
    <w:rsid w:val="001C0801"/>
    <w:rsid w:val="001C143C"/>
    <w:rsid w:val="001C1B72"/>
    <w:rsid w:val="001C2832"/>
    <w:rsid w:val="001C362D"/>
    <w:rsid w:val="001C5404"/>
    <w:rsid w:val="001C5ED6"/>
    <w:rsid w:val="001C6208"/>
    <w:rsid w:val="001C68A2"/>
    <w:rsid w:val="001D0561"/>
    <w:rsid w:val="001D0800"/>
    <w:rsid w:val="001D0E8C"/>
    <w:rsid w:val="001D3167"/>
    <w:rsid w:val="001D7397"/>
    <w:rsid w:val="001D7DC1"/>
    <w:rsid w:val="001E1B0F"/>
    <w:rsid w:val="001E3588"/>
    <w:rsid w:val="001E3D29"/>
    <w:rsid w:val="001E4C2F"/>
    <w:rsid w:val="001E5FBC"/>
    <w:rsid w:val="001E76BE"/>
    <w:rsid w:val="001E7F29"/>
    <w:rsid w:val="001F2BA2"/>
    <w:rsid w:val="001F3225"/>
    <w:rsid w:val="001F6DBE"/>
    <w:rsid w:val="001F7086"/>
    <w:rsid w:val="001F7AAD"/>
    <w:rsid w:val="00200E7D"/>
    <w:rsid w:val="0020468C"/>
    <w:rsid w:val="002107BF"/>
    <w:rsid w:val="00211315"/>
    <w:rsid w:val="00215C6A"/>
    <w:rsid w:val="002167D1"/>
    <w:rsid w:val="002177B0"/>
    <w:rsid w:val="00217F5B"/>
    <w:rsid w:val="00222120"/>
    <w:rsid w:val="00224E84"/>
    <w:rsid w:val="002267E7"/>
    <w:rsid w:val="00227BB4"/>
    <w:rsid w:val="00230ADB"/>
    <w:rsid w:val="0023582E"/>
    <w:rsid w:val="00237878"/>
    <w:rsid w:val="002438ED"/>
    <w:rsid w:val="00244A9E"/>
    <w:rsid w:val="00246849"/>
    <w:rsid w:val="00250127"/>
    <w:rsid w:val="0025023B"/>
    <w:rsid w:val="00252EEF"/>
    <w:rsid w:val="00253B6C"/>
    <w:rsid w:val="00254651"/>
    <w:rsid w:val="00254901"/>
    <w:rsid w:val="00255BAC"/>
    <w:rsid w:val="002601C7"/>
    <w:rsid w:val="00261B97"/>
    <w:rsid w:val="002651EA"/>
    <w:rsid w:val="0027369F"/>
    <w:rsid w:val="00273700"/>
    <w:rsid w:val="00273B21"/>
    <w:rsid w:val="00277D9D"/>
    <w:rsid w:val="00281C0B"/>
    <w:rsid w:val="00283D87"/>
    <w:rsid w:val="00286779"/>
    <w:rsid w:val="00290EE2"/>
    <w:rsid w:val="00292062"/>
    <w:rsid w:val="002932D2"/>
    <w:rsid w:val="002957B7"/>
    <w:rsid w:val="00295F9F"/>
    <w:rsid w:val="002A0435"/>
    <w:rsid w:val="002A0BC1"/>
    <w:rsid w:val="002A166A"/>
    <w:rsid w:val="002A3EC2"/>
    <w:rsid w:val="002A6400"/>
    <w:rsid w:val="002B3EAE"/>
    <w:rsid w:val="002B4900"/>
    <w:rsid w:val="002B6364"/>
    <w:rsid w:val="002B7F82"/>
    <w:rsid w:val="002C15A0"/>
    <w:rsid w:val="002C22CF"/>
    <w:rsid w:val="002C3E23"/>
    <w:rsid w:val="002C3E51"/>
    <w:rsid w:val="002C504B"/>
    <w:rsid w:val="002C7113"/>
    <w:rsid w:val="002D6A10"/>
    <w:rsid w:val="002D6BDB"/>
    <w:rsid w:val="002D744A"/>
    <w:rsid w:val="002D7D0E"/>
    <w:rsid w:val="002E024D"/>
    <w:rsid w:val="002E1075"/>
    <w:rsid w:val="002E1888"/>
    <w:rsid w:val="002E2950"/>
    <w:rsid w:val="002E5643"/>
    <w:rsid w:val="002E678E"/>
    <w:rsid w:val="002E708A"/>
    <w:rsid w:val="002E7635"/>
    <w:rsid w:val="002F06CE"/>
    <w:rsid w:val="002F5587"/>
    <w:rsid w:val="002F741D"/>
    <w:rsid w:val="00300B84"/>
    <w:rsid w:val="00301A6D"/>
    <w:rsid w:val="0030247A"/>
    <w:rsid w:val="00303955"/>
    <w:rsid w:val="00304810"/>
    <w:rsid w:val="003061FB"/>
    <w:rsid w:val="00306270"/>
    <w:rsid w:val="0031008A"/>
    <w:rsid w:val="00310924"/>
    <w:rsid w:val="0031259B"/>
    <w:rsid w:val="00314298"/>
    <w:rsid w:val="00315152"/>
    <w:rsid w:val="003176D3"/>
    <w:rsid w:val="00320949"/>
    <w:rsid w:val="003228DE"/>
    <w:rsid w:val="00323C8A"/>
    <w:rsid w:val="00326096"/>
    <w:rsid w:val="00326CB6"/>
    <w:rsid w:val="003334FB"/>
    <w:rsid w:val="00336CF9"/>
    <w:rsid w:val="0033779C"/>
    <w:rsid w:val="00337AC6"/>
    <w:rsid w:val="00343A18"/>
    <w:rsid w:val="00343F62"/>
    <w:rsid w:val="0034476B"/>
    <w:rsid w:val="00345CE5"/>
    <w:rsid w:val="003469B5"/>
    <w:rsid w:val="00346CE0"/>
    <w:rsid w:val="00347472"/>
    <w:rsid w:val="00354A3F"/>
    <w:rsid w:val="00354ABE"/>
    <w:rsid w:val="00360657"/>
    <w:rsid w:val="00366AFE"/>
    <w:rsid w:val="00367B98"/>
    <w:rsid w:val="00371FC6"/>
    <w:rsid w:val="00374F73"/>
    <w:rsid w:val="00375F30"/>
    <w:rsid w:val="00376F09"/>
    <w:rsid w:val="00380AC5"/>
    <w:rsid w:val="00381382"/>
    <w:rsid w:val="003814A5"/>
    <w:rsid w:val="00381B26"/>
    <w:rsid w:val="00382FEC"/>
    <w:rsid w:val="00385772"/>
    <w:rsid w:val="00387734"/>
    <w:rsid w:val="0039139B"/>
    <w:rsid w:val="003913FB"/>
    <w:rsid w:val="00392998"/>
    <w:rsid w:val="00394D68"/>
    <w:rsid w:val="00395460"/>
    <w:rsid w:val="00396152"/>
    <w:rsid w:val="00397D0E"/>
    <w:rsid w:val="003A1D77"/>
    <w:rsid w:val="003A24AD"/>
    <w:rsid w:val="003A40AD"/>
    <w:rsid w:val="003A6554"/>
    <w:rsid w:val="003A6A32"/>
    <w:rsid w:val="003B1693"/>
    <w:rsid w:val="003B32EC"/>
    <w:rsid w:val="003B3488"/>
    <w:rsid w:val="003B5E55"/>
    <w:rsid w:val="003B5F6A"/>
    <w:rsid w:val="003B63BE"/>
    <w:rsid w:val="003B7B62"/>
    <w:rsid w:val="003C036F"/>
    <w:rsid w:val="003C072B"/>
    <w:rsid w:val="003C3D3D"/>
    <w:rsid w:val="003C5E4F"/>
    <w:rsid w:val="003C7796"/>
    <w:rsid w:val="003D0448"/>
    <w:rsid w:val="003D1A86"/>
    <w:rsid w:val="003D3E7E"/>
    <w:rsid w:val="003D7F0B"/>
    <w:rsid w:val="003E145E"/>
    <w:rsid w:val="003E171B"/>
    <w:rsid w:val="003E4132"/>
    <w:rsid w:val="003E58C7"/>
    <w:rsid w:val="003E5A6D"/>
    <w:rsid w:val="003E5D7B"/>
    <w:rsid w:val="003E637A"/>
    <w:rsid w:val="003F0341"/>
    <w:rsid w:val="003F288B"/>
    <w:rsid w:val="003F2B20"/>
    <w:rsid w:val="003F2C34"/>
    <w:rsid w:val="003F30FC"/>
    <w:rsid w:val="003F45CD"/>
    <w:rsid w:val="003F4CC7"/>
    <w:rsid w:val="003F7C94"/>
    <w:rsid w:val="00401397"/>
    <w:rsid w:val="004038BC"/>
    <w:rsid w:val="00406AE2"/>
    <w:rsid w:val="0041036A"/>
    <w:rsid w:val="0041316A"/>
    <w:rsid w:val="004158F6"/>
    <w:rsid w:val="00415A66"/>
    <w:rsid w:val="00416A31"/>
    <w:rsid w:val="00417136"/>
    <w:rsid w:val="00420760"/>
    <w:rsid w:val="004224C2"/>
    <w:rsid w:val="00423B46"/>
    <w:rsid w:val="00425AA9"/>
    <w:rsid w:val="00426250"/>
    <w:rsid w:val="00426A69"/>
    <w:rsid w:val="00426B77"/>
    <w:rsid w:val="00431019"/>
    <w:rsid w:val="00433EC2"/>
    <w:rsid w:val="004352F7"/>
    <w:rsid w:val="0043554A"/>
    <w:rsid w:val="0043619D"/>
    <w:rsid w:val="004362D3"/>
    <w:rsid w:val="00442A8B"/>
    <w:rsid w:val="00442D1E"/>
    <w:rsid w:val="00443016"/>
    <w:rsid w:val="00444344"/>
    <w:rsid w:val="00445945"/>
    <w:rsid w:val="00450691"/>
    <w:rsid w:val="00450D9C"/>
    <w:rsid w:val="00452140"/>
    <w:rsid w:val="00452927"/>
    <w:rsid w:val="00453BB3"/>
    <w:rsid w:val="00454540"/>
    <w:rsid w:val="004619FE"/>
    <w:rsid w:val="00463574"/>
    <w:rsid w:val="004666F3"/>
    <w:rsid w:val="00467343"/>
    <w:rsid w:val="0047031A"/>
    <w:rsid w:val="00471139"/>
    <w:rsid w:val="004741BD"/>
    <w:rsid w:val="00480F0A"/>
    <w:rsid w:val="00481C20"/>
    <w:rsid w:val="00483B86"/>
    <w:rsid w:val="00485293"/>
    <w:rsid w:val="00485E47"/>
    <w:rsid w:val="00490499"/>
    <w:rsid w:val="00497AB8"/>
    <w:rsid w:val="004A2EE3"/>
    <w:rsid w:val="004A4356"/>
    <w:rsid w:val="004A5EEF"/>
    <w:rsid w:val="004A6A58"/>
    <w:rsid w:val="004B0B1D"/>
    <w:rsid w:val="004C0738"/>
    <w:rsid w:val="004C0FE6"/>
    <w:rsid w:val="004C1724"/>
    <w:rsid w:val="004C20F1"/>
    <w:rsid w:val="004C253C"/>
    <w:rsid w:val="004C2FC4"/>
    <w:rsid w:val="004D0B68"/>
    <w:rsid w:val="004D0F95"/>
    <w:rsid w:val="004D232B"/>
    <w:rsid w:val="004D3010"/>
    <w:rsid w:val="004D30F5"/>
    <w:rsid w:val="004D3ABB"/>
    <w:rsid w:val="004D7625"/>
    <w:rsid w:val="004E4946"/>
    <w:rsid w:val="004E5D38"/>
    <w:rsid w:val="004E603B"/>
    <w:rsid w:val="004E626B"/>
    <w:rsid w:val="004E6C7D"/>
    <w:rsid w:val="004F13BD"/>
    <w:rsid w:val="004F478F"/>
    <w:rsid w:val="004F53B0"/>
    <w:rsid w:val="0050230D"/>
    <w:rsid w:val="0050364D"/>
    <w:rsid w:val="00503D17"/>
    <w:rsid w:val="00504D6E"/>
    <w:rsid w:val="005116FB"/>
    <w:rsid w:val="00514B75"/>
    <w:rsid w:val="00515D44"/>
    <w:rsid w:val="0052402C"/>
    <w:rsid w:val="00531AFF"/>
    <w:rsid w:val="00532875"/>
    <w:rsid w:val="00534305"/>
    <w:rsid w:val="00537FF8"/>
    <w:rsid w:val="00542CD8"/>
    <w:rsid w:val="005464E6"/>
    <w:rsid w:val="00546938"/>
    <w:rsid w:val="00547ACF"/>
    <w:rsid w:val="005507CD"/>
    <w:rsid w:val="00552639"/>
    <w:rsid w:val="00555557"/>
    <w:rsid w:val="00556943"/>
    <w:rsid w:val="00557AA8"/>
    <w:rsid w:val="00564830"/>
    <w:rsid w:val="00566916"/>
    <w:rsid w:val="00566F71"/>
    <w:rsid w:val="00567FC5"/>
    <w:rsid w:val="0057023E"/>
    <w:rsid w:val="00571CCF"/>
    <w:rsid w:val="00572180"/>
    <w:rsid w:val="00572337"/>
    <w:rsid w:val="00573FFE"/>
    <w:rsid w:val="00575FC3"/>
    <w:rsid w:val="0057625C"/>
    <w:rsid w:val="00576743"/>
    <w:rsid w:val="005771D5"/>
    <w:rsid w:val="00577628"/>
    <w:rsid w:val="00581784"/>
    <w:rsid w:val="00582C4E"/>
    <w:rsid w:val="00583746"/>
    <w:rsid w:val="00584453"/>
    <w:rsid w:val="00591838"/>
    <w:rsid w:val="00592809"/>
    <w:rsid w:val="00593343"/>
    <w:rsid w:val="00594A83"/>
    <w:rsid w:val="00596275"/>
    <w:rsid w:val="00597758"/>
    <w:rsid w:val="005A0C78"/>
    <w:rsid w:val="005A2E3D"/>
    <w:rsid w:val="005A4807"/>
    <w:rsid w:val="005A54BA"/>
    <w:rsid w:val="005A5A80"/>
    <w:rsid w:val="005B0013"/>
    <w:rsid w:val="005B044E"/>
    <w:rsid w:val="005B297A"/>
    <w:rsid w:val="005B29EF"/>
    <w:rsid w:val="005B2DA5"/>
    <w:rsid w:val="005B476F"/>
    <w:rsid w:val="005B5F05"/>
    <w:rsid w:val="005B6095"/>
    <w:rsid w:val="005B65B8"/>
    <w:rsid w:val="005B6A0D"/>
    <w:rsid w:val="005B6D1C"/>
    <w:rsid w:val="005C04E5"/>
    <w:rsid w:val="005C1764"/>
    <w:rsid w:val="005C34EA"/>
    <w:rsid w:val="005C37FC"/>
    <w:rsid w:val="005C3B2C"/>
    <w:rsid w:val="005C3D03"/>
    <w:rsid w:val="005C51FA"/>
    <w:rsid w:val="005C5413"/>
    <w:rsid w:val="005C63C7"/>
    <w:rsid w:val="005C6628"/>
    <w:rsid w:val="005C6B2C"/>
    <w:rsid w:val="005C73E4"/>
    <w:rsid w:val="005C7B1F"/>
    <w:rsid w:val="005D06E8"/>
    <w:rsid w:val="005D1195"/>
    <w:rsid w:val="005D2167"/>
    <w:rsid w:val="005D3B18"/>
    <w:rsid w:val="005D688E"/>
    <w:rsid w:val="005D6B98"/>
    <w:rsid w:val="005D794E"/>
    <w:rsid w:val="005E2588"/>
    <w:rsid w:val="005E30B2"/>
    <w:rsid w:val="005E39B3"/>
    <w:rsid w:val="005E4164"/>
    <w:rsid w:val="005F3FC6"/>
    <w:rsid w:val="005F75C4"/>
    <w:rsid w:val="006002BF"/>
    <w:rsid w:val="00600301"/>
    <w:rsid w:val="006008D1"/>
    <w:rsid w:val="00601C42"/>
    <w:rsid w:val="00611ADA"/>
    <w:rsid w:val="00611E18"/>
    <w:rsid w:val="00611FC0"/>
    <w:rsid w:val="00613A4A"/>
    <w:rsid w:val="00614157"/>
    <w:rsid w:val="00614A2A"/>
    <w:rsid w:val="00614ECD"/>
    <w:rsid w:val="006156D2"/>
    <w:rsid w:val="006231D7"/>
    <w:rsid w:val="00626031"/>
    <w:rsid w:val="00630C6C"/>
    <w:rsid w:val="00630ED2"/>
    <w:rsid w:val="00631935"/>
    <w:rsid w:val="00636B91"/>
    <w:rsid w:val="006373FF"/>
    <w:rsid w:val="00646A6F"/>
    <w:rsid w:val="00653397"/>
    <w:rsid w:val="006535C3"/>
    <w:rsid w:val="0065450B"/>
    <w:rsid w:val="006553CD"/>
    <w:rsid w:val="006559F5"/>
    <w:rsid w:val="0065752A"/>
    <w:rsid w:val="00661782"/>
    <w:rsid w:val="00661F97"/>
    <w:rsid w:val="00662C11"/>
    <w:rsid w:val="00672822"/>
    <w:rsid w:val="006729D2"/>
    <w:rsid w:val="00673B07"/>
    <w:rsid w:val="00673BC6"/>
    <w:rsid w:val="006775B3"/>
    <w:rsid w:val="00677F88"/>
    <w:rsid w:val="00681FC2"/>
    <w:rsid w:val="00684808"/>
    <w:rsid w:val="00690858"/>
    <w:rsid w:val="00690F72"/>
    <w:rsid w:val="006B2D92"/>
    <w:rsid w:val="006B2FEF"/>
    <w:rsid w:val="006B4B31"/>
    <w:rsid w:val="006B6581"/>
    <w:rsid w:val="006B6D6C"/>
    <w:rsid w:val="006C20C5"/>
    <w:rsid w:val="006C3335"/>
    <w:rsid w:val="006C5ECD"/>
    <w:rsid w:val="006D1520"/>
    <w:rsid w:val="006D1B02"/>
    <w:rsid w:val="006D2482"/>
    <w:rsid w:val="006D2F0C"/>
    <w:rsid w:val="006D3604"/>
    <w:rsid w:val="006D50C7"/>
    <w:rsid w:val="006D536E"/>
    <w:rsid w:val="006D5EB4"/>
    <w:rsid w:val="006E2082"/>
    <w:rsid w:val="006E3BE5"/>
    <w:rsid w:val="006E5D5B"/>
    <w:rsid w:val="006E67BA"/>
    <w:rsid w:val="006F2362"/>
    <w:rsid w:val="006F29AD"/>
    <w:rsid w:val="006F47EB"/>
    <w:rsid w:val="006F4B13"/>
    <w:rsid w:val="006F4DE9"/>
    <w:rsid w:val="006F61B5"/>
    <w:rsid w:val="006F6BC5"/>
    <w:rsid w:val="006F71C2"/>
    <w:rsid w:val="007008B0"/>
    <w:rsid w:val="00700AC3"/>
    <w:rsid w:val="00700AD6"/>
    <w:rsid w:val="00700E68"/>
    <w:rsid w:val="00701065"/>
    <w:rsid w:val="0070175E"/>
    <w:rsid w:val="00703DC5"/>
    <w:rsid w:val="007040F2"/>
    <w:rsid w:val="007049DF"/>
    <w:rsid w:val="007120EE"/>
    <w:rsid w:val="0071279F"/>
    <w:rsid w:val="007153C5"/>
    <w:rsid w:val="007161D3"/>
    <w:rsid w:val="00720C35"/>
    <w:rsid w:val="00720DD8"/>
    <w:rsid w:val="00720E7B"/>
    <w:rsid w:val="00725CD8"/>
    <w:rsid w:val="007260E9"/>
    <w:rsid w:val="007262F0"/>
    <w:rsid w:val="007314F1"/>
    <w:rsid w:val="00731BE9"/>
    <w:rsid w:val="00731E2B"/>
    <w:rsid w:val="00733C32"/>
    <w:rsid w:val="007420D7"/>
    <w:rsid w:val="0074545C"/>
    <w:rsid w:val="00751809"/>
    <w:rsid w:val="00752DBC"/>
    <w:rsid w:val="00753FF4"/>
    <w:rsid w:val="0075411D"/>
    <w:rsid w:val="00755805"/>
    <w:rsid w:val="00756F8A"/>
    <w:rsid w:val="00757367"/>
    <w:rsid w:val="00760295"/>
    <w:rsid w:val="00760B97"/>
    <w:rsid w:val="00762675"/>
    <w:rsid w:val="00762FC8"/>
    <w:rsid w:val="0076405E"/>
    <w:rsid w:val="00765825"/>
    <w:rsid w:val="007700D3"/>
    <w:rsid w:val="00770970"/>
    <w:rsid w:val="00770EA9"/>
    <w:rsid w:val="0077131C"/>
    <w:rsid w:val="0077138B"/>
    <w:rsid w:val="00773178"/>
    <w:rsid w:val="0077534E"/>
    <w:rsid w:val="007759DD"/>
    <w:rsid w:val="00775EBF"/>
    <w:rsid w:val="0078045E"/>
    <w:rsid w:val="00780B70"/>
    <w:rsid w:val="00782847"/>
    <w:rsid w:val="00783777"/>
    <w:rsid w:val="00783D20"/>
    <w:rsid w:val="00784B98"/>
    <w:rsid w:val="00785232"/>
    <w:rsid w:val="007862D0"/>
    <w:rsid w:val="0079247D"/>
    <w:rsid w:val="00794F2D"/>
    <w:rsid w:val="007954D3"/>
    <w:rsid w:val="00796159"/>
    <w:rsid w:val="007979AE"/>
    <w:rsid w:val="00797AAD"/>
    <w:rsid w:val="007A2F02"/>
    <w:rsid w:val="007A5127"/>
    <w:rsid w:val="007A5C51"/>
    <w:rsid w:val="007B023A"/>
    <w:rsid w:val="007B27D9"/>
    <w:rsid w:val="007B41D7"/>
    <w:rsid w:val="007C1A7D"/>
    <w:rsid w:val="007C4094"/>
    <w:rsid w:val="007C45C5"/>
    <w:rsid w:val="007C608D"/>
    <w:rsid w:val="007D50AE"/>
    <w:rsid w:val="007D516C"/>
    <w:rsid w:val="007D5403"/>
    <w:rsid w:val="007E074D"/>
    <w:rsid w:val="007E1EA6"/>
    <w:rsid w:val="007E2FDE"/>
    <w:rsid w:val="007E4C1F"/>
    <w:rsid w:val="007E6943"/>
    <w:rsid w:val="007E6B6E"/>
    <w:rsid w:val="007F0204"/>
    <w:rsid w:val="007F5C3C"/>
    <w:rsid w:val="007F5C58"/>
    <w:rsid w:val="007F6449"/>
    <w:rsid w:val="007F6674"/>
    <w:rsid w:val="0080630B"/>
    <w:rsid w:val="00806AB5"/>
    <w:rsid w:val="00807142"/>
    <w:rsid w:val="008074E3"/>
    <w:rsid w:val="00807802"/>
    <w:rsid w:val="0080799C"/>
    <w:rsid w:val="00810C18"/>
    <w:rsid w:val="00814421"/>
    <w:rsid w:val="00814AFC"/>
    <w:rsid w:val="00814B22"/>
    <w:rsid w:val="00822862"/>
    <w:rsid w:val="0082350A"/>
    <w:rsid w:val="0082597B"/>
    <w:rsid w:val="008275F3"/>
    <w:rsid w:val="00831A5D"/>
    <w:rsid w:val="00831DB4"/>
    <w:rsid w:val="008365EC"/>
    <w:rsid w:val="00837390"/>
    <w:rsid w:val="00841374"/>
    <w:rsid w:val="00844176"/>
    <w:rsid w:val="00846AF5"/>
    <w:rsid w:val="008503CA"/>
    <w:rsid w:val="0085318D"/>
    <w:rsid w:val="008565FB"/>
    <w:rsid w:val="00861B59"/>
    <w:rsid w:val="00861F0E"/>
    <w:rsid w:val="00862580"/>
    <w:rsid w:val="00862834"/>
    <w:rsid w:val="00862D9E"/>
    <w:rsid w:val="00863309"/>
    <w:rsid w:val="0086464A"/>
    <w:rsid w:val="008708E8"/>
    <w:rsid w:val="00871516"/>
    <w:rsid w:val="00871E2F"/>
    <w:rsid w:val="008764DD"/>
    <w:rsid w:val="00877499"/>
    <w:rsid w:val="008841EB"/>
    <w:rsid w:val="0088688D"/>
    <w:rsid w:val="00886CCB"/>
    <w:rsid w:val="00891622"/>
    <w:rsid w:val="00891C00"/>
    <w:rsid w:val="00895E41"/>
    <w:rsid w:val="00896B9A"/>
    <w:rsid w:val="0089734D"/>
    <w:rsid w:val="008A0A32"/>
    <w:rsid w:val="008A1056"/>
    <w:rsid w:val="008A7CC5"/>
    <w:rsid w:val="008B1CC3"/>
    <w:rsid w:val="008B206C"/>
    <w:rsid w:val="008B32B2"/>
    <w:rsid w:val="008B4335"/>
    <w:rsid w:val="008B56DF"/>
    <w:rsid w:val="008B5B2C"/>
    <w:rsid w:val="008B5EFB"/>
    <w:rsid w:val="008C0A70"/>
    <w:rsid w:val="008C4728"/>
    <w:rsid w:val="008C7959"/>
    <w:rsid w:val="008D1939"/>
    <w:rsid w:val="008D4F09"/>
    <w:rsid w:val="008D539E"/>
    <w:rsid w:val="008D65D5"/>
    <w:rsid w:val="008D6BCF"/>
    <w:rsid w:val="008D75EB"/>
    <w:rsid w:val="008D7F23"/>
    <w:rsid w:val="008E1F57"/>
    <w:rsid w:val="008E3E6E"/>
    <w:rsid w:val="008E5D85"/>
    <w:rsid w:val="008E6583"/>
    <w:rsid w:val="008E751B"/>
    <w:rsid w:val="00900C33"/>
    <w:rsid w:val="0090193D"/>
    <w:rsid w:val="009030F2"/>
    <w:rsid w:val="009034C7"/>
    <w:rsid w:val="00906ABE"/>
    <w:rsid w:val="00907DD7"/>
    <w:rsid w:val="00910BBC"/>
    <w:rsid w:val="009165D6"/>
    <w:rsid w:val="00917D6F"/>
    <w:rsid w:val="00921504"/>
    <w:rsid w:val="00922352"/>
    <w:rsid w:val="00923112"/>
    <w:rsid w:val="0092710C"/>
    <w:rsid w:val="009273CE"/>
    <w:rsid w:val="0093112B"/>
    <w:rsid w:val="0093298F"/>
    <w:rsid w:val="00935BF4"/>
    <w:rsid w:val="009373C1"/>
    <w:rsid w:val="00937BB0"/>
    <w:rsid w:val="0094022B"/>
    <w:rsid w:val="00942D63"/>
    <w:rsid w:val="0094437B"/>
    <w:rsid w:val="009455DB"/>
    <w:rsid w:val="00951ED7"/>
    <w:rsid w:val="00954428"/>
    <w:rsid w:val="00954541"/>
    <w:rsid w:val="00954C0F"/>
    <w:rsid w:val="00956218"/>
    <w:rsid w:val="00956C4B"/>
    <w:rsid w:val="00957E64"/>
    <w:rsid w:val="00961605"/>
    <w:rsid w:val="00963925"/>
    <w:rsid w:val="00963C88"/>
    <w:rsid w:val="00965995"/>
    <w:rsid w:val="00966814"/>
    <w:rsid w:val="00970D58"/>
    <w:rsid w:val="009713A6"/>
    <w:rsid w:val="00973167"/>
    <w:rsid w:val="0097475D"/>
    <w:rsid w:val="00993596"/>
    <w:rsid w:val="009A3CB1"/>
    <w:rsid w:val="009A5428"/>
    <w:rsid w:val="009A6766"/>
    <w:rsid w:val="009A692C"/>
    <w:rsid w:val="009A750B"/>
    <w:rsid w:val="009A7E10"/>
    <w:rsid w:val="009B1CEB"/>
    <w:rsid w:val="009B2576"/>
    <w:rsid w:val="009B3508"/>
    <w:rsid w:val="009B3AE3"/>
    <w:rsid w:val="009B43EB"/>
    <w:rsid w:val="009B584C"/>
    <w:rsid w:val="009B6613"/>
    <w:rsid w:val="009B7000"/>
    <w:rsid w:val="009B75D4"/>
    <w:rsid w:val="009C061A"/>
    <w:rsid w:val="009C108E"/>
    <w:rsid w:val="009C1ABB"/>
    <w:rsid w:val="009C1FE8"/>
    <w:rsid w:val="009C228A"/>
    <w:rsid w:val="009C282F"/>
    <w:rsid w:val="009C2E2D"/>
    <w:rsid w:val="009C3257"/>
    <w:rsid w:val="009C7F6E"/>
    <w:rsid w:val="009D0A96"/>
    <w:rsid w:val="009D1051"/>
    <w:rsid w:val="009D43B2"/>
    <w:rsid w:val="009E22F8"/>
    <w:rsid w:val="009E5C84"/>
    <w:rsid w:val="009F0FC9"/>
    <w:rsid w:val="009F1A7E"/>
    <w:rsid w:val="00A03E32"/>
    <w:rsid w:val="00A13FC8"/>
    <w:rsid w:val="00A14369"/>
    <w:rsid w:val="00A154D5"/>
    <w:rsid w:val="00A2067E"/>
    <w:rsid w:val="00A21F19"/>
    <w:rsid w:val="00A229AC"/>
    <w:rsid w:val="00A22F91"/>
    <w:rsid w:val="00A23E8B"/>
    <w:rsid w:val="00A25225"/>
    <w:rsid w:val="00A26676"/>
    <w:rsid w:val="00A267B2"/>
    <w:rsid w:val="00A27A02"/>
    <w:rsid w:val="00A30DAB"/>
    <w:rsid w:val="00A32A3F"/>
    <w:rsid w:val="00A337C5"/>
    <w:rsid w:val="00A33B10"/>
    <w:rsid w:val="00A34EAB"/>
    <w:rsid w:val="00A37CD5"/>
    <w:rsid w:val="00A41FB2"/>
    <w:rsid w:val="00A468F1"/>
    <w:rsid w:val="00A541ED"/>
    <w:rsid w:val="00A562DC"/>
    <w:rsid w:val="00A56E9B"/>
    <w:rsid w:val="00A66F1F"/>
    <w:rsid w:val="00A73448"/>
    <w:rsid w:val="00A76035"/>
    <w:rsid w:val="00A86F1C"/>
    <w:rsid w:val="00A87D1C"/>
    <w:rsid w:val="00A87FC2"/>
    <w:rsid w:val="00A9174A"/>
    <w:rsid w:val="00A92A07"/>
    <w:rsid w:val="00A93054"/>
    <w:rsid w:val="00A94B68"/>
    <w:rsid w:val="00A969CC"/>
    <w:rsid w:val="00A96C8D"/>
    <w:rsid w:val="00A9708B"/>
    <w:rsid w:val="00AA3A72"/>
    <w:rsid w:val="00AB13CC"/>
    <w:rsid w:val="00AB3EB4"/>
    <w:rsid w:val="00AB6AE8"/>
    <w:rsid w:val="00AB7C88"/>
    <w:rsid w:val="00AC19E0"/>
    <w:rsid w:val="00AC216B"/>
    <w:rsid w:val="00AC24BD"/>
    <w:rsid w:val="00AD3D79"/>
    <w:rsid w:val="00AD5B91"/>
    <w:rsid w:val="00AD5C75"/>
    <w:rsid w:val="00AD62B9"/>
    <w:rsid w:val="00AD6AEF"/>
    <w:rsid w:val="00AD6DD9"/>
    <w:rsid w:val="00AE0055"/>
    <w:rsid w:val="00AE091D"/>
    <w:rsid w:val="00AE44E6"/>
    <w:rsid w:val="00AE5675"/>
    <w:rsid w:val="00AE57EC"/>
    <w:rsid w:val="00AE64F9"/>
    <w:rsid w:val="00AF1C04"/>
    <w:rsid w:val="00AF254A"/>
    <w:rsid w:val="00AF36C9"/>
    <w:rsid w:val="00AF5DF5"/>
    <w:rsid w:val="00AF6FA8"/>
    <w:rsid w:val="00AF755E"/>
    <w:rsid w:val="00B02EDD"/>
    <w:rsid w:val="00B03741"/>
    <w:rsid w:val="00B0569D"/>
    <w:rsid w:val="00B06ECB"/>
    <w:rsid w:val="00B10B94"/>
    <w:rsid w:val="00B111A5"/>
    <w:rsid w:val="00B117F2"/>
    <w:rsid w:val="00B13379"/>
    <w:rsid w:val="00B13C6F"/>
    <w:rsid w:val="00B14D75"/>
    <w:rsid w:val="00B15DBA"/>
    <w:rsid w:val="00B2297A"/>
    <w:rsid w:val="00B230F6"/>
    <w:rsid w:val="00B2368F"/>
    <w:rsid w:val="00B26202"/>
    <w:rsid w:val="00B300C7"/>
    <w:rsid w:val="00B32793"/>
    <w:rsid w:val="00B35CD4"/>
    <w:rsid w:val="00B37BB7"/>
    <w:rsid w:val="00B404B6"/>
    <w:rsid w:val="00B414CA"/>
    <w:rsid w:val="00B414FF"/>
    <w:rsid w:val="00B4164D"/>
    <w:rsid w:val="00B44C59"/>
    <w:rsid w:val="00B450C4"/>
    <w:rsid w:val="00B457C4"/>
    <w:rsid w:val="00B462F7"/>
    <w:rsid w:val="00B4697F"/>
    <w:rsid w:val="00B46A16"/>
    <w:rsid w:val="00B50D88"/>
    <w:rsid w:val="00B51427"/>
    <w:rsid w:val="00B5564B"/>
    <w:rsid w:val="00B55A30"/>
    <w:rsid w:val="00B618A9"/>
    <w:rsid w:val="00B621AF"/>
    <w:rsid w:val="00B652FE"/>
    <w:rsid w:val="00B65CF6"/>
    <w:rsid w:val="00B700CC"/>
    <w:rsid w:val="00B7135A"/>
    <w:rsid w:val="00B74B38"/>
    <w:rsid w:val="00B7600C"/>
    <w:rsid w:val="00B762A0"/>
    <w:rsid w:val="00B77E56"/>
    <w:rsid w:val="00B80371"/>
    <w:rsid w:val="00B8269F"/>
    <w:rsid w:val="00B837AE"/>
    <w:rsid w:val="00B83EED"/>
    <w:rsid w:val="00B85A89"/>
    <w:rsid w:val="00B868AD"/>
    <w:rsid w:val="00B87944"/>
    <w:rsid w:val="00B92A84"/>
    <w:rsid w:val="00B9742D"/>
    <w:rsid w:val="00BA2274"/>
    <w:rsid w:val="00BA542C"/>
    <w:rsid w:val="00BA7A7F"/>
    <w:rsid w:val="00BB0BAA"/>
    <w:rsid w:val="00BB1EA2"/>
    <w:rsid w:val="00BB480B"/>
    <w:rsid w:val="00BB4E62"/>
    <w:rsid w:val="00BB55EA"/>
    <w:rsid w:val="00BC2C4C"/>
    <w:rsid w:val="00BC608E"/>
    <w:rsid w:val="00BC69DC"/>
    <w:rsid w:val="00BC7045"/>
    <w:rsid w:val="00BD20AE"/>
    <w:rsid w:val="00BD7AE1"/>
    <w:rsid w:val="00BE15E4"/>
    <w:rsid w:val="00BE6127"/>
    <w:rsid w:val="00BF1258"/>
    <w:rsid w:val="00BF13E6"/>
    <w:rsid w:val="00BF15B9"/>
    <w:rsid w:val="00BF7BD9"/>
    <w:rsid w:val="00BF7D60"/>
    <w:rsid w:val="00C017FE"/>
    <w:rsid w:val="00C034A5"/>
    <w:rsid w:val="00C0447C"/>
    <w:rsid w:val="00C04CAF"/>
    <w:rsid w:val="00C050AF"/>
    <w:rsid w:val="00C05861"/>
    <w:rsid w:val="00C05EF2"/>
    <w:rsid w:val="00C12263"/>
    <w:rsid w:val="00C12CF8"/>
    <w:rsid w:val="00C136CD"/>
    <w:rsid w:val="00C15EB7"/>
    <w:rsid w:val="00C212B4"/>
    <w:rsid w:val="00C21746"/>
    <w:rsid w:val="00C220E6"/>
    <w:rsid w:val="00C23427"/>
    <w:rsid w:val="00C23F73"/>
    <w:rsid w:val="00C25016"/>
    <w:rsid w:val="00C2517F"/>
    <w:rsid w:val="00C26333"/>
    <w:rsid w:val="00C264E6"/>
    <w:rsid w:val="00C26E37"/>
    <w:rsid w:val="00C271E6"/>
    <w:rsid w:val="00C32C97"/>
    <w:rsid w:val="00C353F8"/>
    <w:rsid w:val="00C35A54"/>
    <w:rsid w:val="00C416DB"/>
    <w:rsid w:val="00C41911"/>
    <w:rsid w:val="00C423B7"/>
    <w:rsid w:val="00C42887"/>
    <w:rsid w:val="00C42ACD"/>
    <w:rsid w:val="00C446A5"/>
    <w:rsid w:val="00C4480A"/>
    <w:rsid w:val="00C45150"/>
    <w:rsid w:val="00C46737"/>
    <w:rsid w:val="00C52004"/>
    <w:rsid w:val="00C6333E"/>
    <w:rsid w:val="00C633A8"/>
    <w:rsid w:val="00C64DE5"/>
    <w:rsid w:val="00C65AAE"/>
    <w:rsid w:val="00C66A4D"/>
    <w:rsid w:val="00C7141D"/>
    <w:rsid w:val="00C72945"/>
    <w:rsid w:val="00C73387"/>
    <w:rsid w:val="00C74085"/>
    <w:rsid w:val="00C760BC"/>
    <w:rsid w:val="00C77C68"/>
    <w:rsid w:val="00C85115"/>
    <w:rsid w:val="00C86896"/>
    <w:rsid w:val="00C86AE5"/>
    <w:rsid w:val="00C91851"/>
    <w:rsid w:val="00C933DE"/>
    <w:rsid w:val="00CA082C"/>
    <w:rsid w:val="00CA0BCB"/>
    <w:rsid w:val="00CA373F"/>
    <w:rsid w:val="00CA5BD2"/>
    <w:rsid w:val="00CB2A80"/>
    <w:rsid w:val="00CB5A26"/>
    <w:rsid w:val="00CB6AC4"/>
    <w:rsid w:val="00CC4425"/>
    <w:rsid w:val="00CC7148"/>
    <w:rsid w:val="00CC759A"/>
    <w:rsid w:val="00CD1C12"/>
    <w:rsid w:val="00CD1F7F"/>
    <w:rsid w:val="00CD2012"/>
    <w:rsid w:val="00CE0AC5"/>
    <w:rsid w:val="00CE1DD6"/>
    <w:rsid w:val="00CE35E1"/>
    <w:rsid w:val="00CE5541"/>
    <w:rsid w:val="00CF4607"/>
    <w:rsid w:val="00CF6767"/>
    <w:rsid w:val="00CF747C"/>
    <w:rsid w:val="00D00576"/>
    <w:rsid w:val="00D0207F"/>
    <w:rsid w:val="00D04299"/>
    <w:rsid w:val="00D049DD"/>
    <w:rsid w:val="00D0506F"/>
    <w:rsid w:val="00D05A6D"/>
    <w:rsid w:val="00D05A7A"/>
    <w:rsid w:val="00D07B78"/>
    <w:rsid w:val="00D12B80"/>
    <w:rsid w:val="00D13BD0"/>
    <w:rsid w:val="00D13D6F"/>
    <w:rsid w:val="00D165F4"/>
    <w:rsid w:val="00D16C33"/>
    <w:rsid w:val="00D20CC5"/>
    <w:rsid w:val="00D217AC"/>
    <w:rsid w:val="00D2755B"/>
    <w:rsid w:val="00D31BE1"/>
    <w:rsid w:val="00D37973"/>
    <w:rsid w:val="00D41F46"/>
    <w:rsid w:val="00D42754"/>
    <w:rsid w:val="00D455A4"/>
    <w:rsid w:val="00D5265D"/>
    <w:rsid w:val="00D615A0"/>
    <w:rsid w:val="00D62E09"/>
    <w:rsid w:val="00D64101"/>
    <w:rsid w:val="00D64FFD"/>
    <w:rsid w:val="00D67CE9"/>
    <w:rsid w:val="00D70AAA"/>
    <w:rsid w:val="00D71684"/>
    <w:rsid w:val="00D740DC"/>
    <w:rsid w:val="00D75C37"/>
    <w:rsid w:val="00D767E6"/>
    <w:rsid w:val="00D76D7C"/>
    <w:rsid w:val="00D77A0C"/>
    <w:rsid w:val="00D8087E"/>
    <w:rsid w:val="00D8131B"/>
    <w:rsid w:val="00D81D94"/>
    <w:rsid w:val="00D8420C"/>
    <w:rsid w:val="00D84DE0"/>
    <w:rsid w:val="00D93334"/>
    <w:rsid w:val="00D93DEA"/>
    <w:rsid w:val="00D96FBA"/>
    <w:rsid w:val="00D97622"/>
    <w:rsid w:val="00DA0EDC"/>
    <w:rsid w:val="00DA1FCE"/>
    <w:rsid w:val="00DA239C"/>
    <w:rsid w:val="00DB3228"/>
    <w:rsid w:val="00DB3721"/>
    <w:rsid w:val="00DB3D04"/>
    <w:rsid w:val="00DB60A0"/>
    <w:rsid w:val="00DC1354"/>
    <w:rsid w:val="00DC59A4"/>
    <w:rsid w:val="00DC64F8"/>
    <w:rsid w:val="00DC72F1"/>
    <w:rsid w:val="00DD00BE"/>
    <w:rsid w:val="00DD02D4"/>
    <w:rsid w:val="00DD031B"/>
    <w:rsid w:val="00DD0953"/>
    <w:rsid w:val="00DD1CB9"/>
    <w:rsid w:val="00DD1F77"/>
    <w:rsid w:val="00DD2637"/>
    <w:rsid w:val="00DD2F35"/>
    <w:rsid w:val="00DD5FA1"/>
    <w:rsid w:val="00DD696D"/>
    <w:rsid w:val="00DF3993"/>
    <w:rsid w:val="00DF5B47"/>
    <w:rsid w:val="00DF6E16"/>
    <w:rsid w:val="00E00218"/>
    <w:rsid w:val="00E018E1"/>
    <w:rsid w:val="00E0333C"/>
    <w:rsid w:val="00E0484E"/>
    <w:rsid w:val="00E07AC4"/>
    <w:rsid w:val="00E07BB1"/>
    <w:rsid w:val="00E10305"/>
    <w:rsid w:val="00E1062C"/>
    <w:rsid w:val="00E1136D"/>
    <w:rsid w:val="00E116BA"/>
    <w:rsid w:val="00E11D29"/>
    <w:rsid w:val="00E140A6"/>
    <w:rsid w:val="00E14FDB"/>
    <w:rsid w:val="00E15447"/>
    <w:rsid w:val="00E154DB"/>
    <w:rsid w:val="00E15B7B"/>
    <w:rsid w:val="00E15DBA"/>
    <w:rsid w:val="00E20773"/>
    <w:rsid w:val="00E2107F"/>
    <w:rsid w:val="00E23059"/>
    <w:rsid w:val="00E231E0"/>
    <w:rsid w:val="00E27A5B"/>
    <w:rsid w:val="00E30352"/>
    <w:rsid w:val="00E328AA"/>
    <w:rsid w:val="00E33146"/>
    <w:rsid w:val="00E34786"/>
    <w:rsid w:val="00E37F50"/>
    <w:rsid w:val="00E40942"/>
    <w:rsid w:val="00E44F5B"/>
    <w:rsid w:val="00E50E6F"/>
    <w:rsid w:val="00E539B3"/>
    <w:rsid w:val="00E55EC8"/>
    <w:rsid w:val="00E56469"/>
    <w:rsid w:val="00E56D02"/>
    <w:rsid w:val="00E56F54"/>
    <w:rsid w:val="00E57209"/>
    <w:rsid w:val="00E5727D"/>
    <w:rsid w:val="00E57FAB"/>
    <w:rsid w:val="00E66147"/>
    <w:rsid w:val="00E70847"/>
    <w:rsid w:val="00E713A7"/>
    <w:rsid w:val="00E72404"/>
    <w:rsid w:val="00E72F3D"/>
    <w:rsid w:val="00E74A15"/>
    <w:rsid w:val="00E7567F"/>
    <w:rsid w:val="00E81F3E"/>
    <w:rsid w:val="00E83EE7"/>
    <w:rsid w:val="00E85807"/>
    <w:rsid w:val="00E85B04"/>
    <w:rsid w:val="00E86211"/>
    <w:rsid w:val="00E86ACB"/>
    <w:rsid w:val="00E900E0"/>
    <w:rsid w:val="00E9122B"/>
    <w:rsid w:val="00E920A6"/>
    <w:rsid w:val="00E92E8E"/>
    <w:rsid w:val="00E93CFE"/>
    <w:rsid w:val="00E953B9"/>
    <w:rsid w:val="00EA0EBB"/>
    <w:rsid w:val="00EA1619"/>
    <w:rsid w:val="00EA49CE"/>
    <w:rsid w:val="00EA4CBA"/>
    <w:rsid w:val="00EA6CD3"/>
    <w:rsid w:val="00EA717A"/>
    <w:rsid w:val="00EA7EDF"/>
    <w:rsid w:val="00EB184B"/>
    <w:rsid w:val="00EC03E6"/>
    <w:rsid w:val="00EC218F"/>
    <w:rsid w:val="00ED053C"/>
    <w:rsid w:val="00ED0911"/>
    <w:rsid w:val="00ED0A46"/>
    <w:rsid w:val="00ED18C9"/>
    <w:rsid w:val="00ED2979"/>
    <w:rsid w:val="00ED377A"/>
    <w:rsid w:val="00ED4255"/>
    <w:rsid w:val="00ED55C0"/>
    <w:rsid w:val="00ED5BF7"/>
    <w:rsid w:val="00ED5CF7"/>
    <w:rsid w:val="00ED603E"/>
    <w:rsid w:val="00EE126A"/>
    <w:rsid w:val="00EE44FE"/>
    <w:rsid w:val="00EE4A54"/>
    <w:rsid w:val="00EE4C51"/>
    <w:rsid w:val="00EE61BD"/>
    <w:rsid w:val="00EE7BA0"/>
    <w:rsid w:val="00EF156A"/>
    <w:rsid w:val="00EF2696"/>
    <w:rsid w:val="00EF55B6"/>
    <w:rsid w:val="00F00E6D"/>
    <w:rsid w:val="00F00E88"/>
    <w:rsid w:val="00F019FA"/>
    <w:rsid w:val="00F02EB7"/>
    <w:rsid w:val="00F03DB4"/>
    <w:rsid w:val="00F0662E"/>
    <w:rsid w:val="00F066C5"/>
    <w:rsid w:val="00F06F21"/>
    <w:rsid w:val="00F1076C"/>
    <w:rsid w:val="00F12130"/>
    <w:rsid w:val="00F15773"/>
    <w:rsid w:val="00F162CA"/>
    <w:rsid w:val="00F21EBE"/>
    <w:rsid w:val="00F30608"/>
    <w:rsid w:val="00F30A0A"/>
    <w:rsid w:val="00F31ECE"/>
    <w:rsid w:val="00F32822"/>
    <w:rsid w:val="00F338A1"/>
    <w:rsid w:val="00F352DD"/>
    <w:rsid w:val="00F40762"/>
    <w:rsid w:val="00F40F20"/>
    <w:rsid w:val="00F418C2"/>
    <w:rsid w:val="00F42208"/>
    <w:rsid w:val="00F449A8"/>
    <w:rsid w:val="00F44B3E"/>
    <w:rsid w:val="00F51164"/>
    <w:rsid w:val="00F53217"/>
    <w:rsid w:val="00F542FA"/>
    <w:rsid w:val="00F64D33"/>
    <w:rsid w:val="00F652EB"/>
    <w:rsid w:val="00F70443"/>
    <w:rsid w:val="00F7097D"/>
    <w:rsid w:val="00F716EF"/>
    <w:rsid w:val="00F74834"/>
    <w:rsid w:val="00F77D50"/>
    <w:rsid w:val="00F81A0A"/>
    <w:rsid w:val="00F838F0"/>
    <w:rsid w:val="00F84060"/>
    <w:rsid w:val="00F858D1"/>
    <w:rsid w:val="00F85A24"/>
    <w:rsid w:val="00F9016C"/>
    <w:rsid w:val="00F913D9"/>
    <w:rsid w:val="00F929ED"/>
    <w:rsid w:val="00F9305D"/>
    <w:rsid w:val="00F94D89"/>
    <w:rsid w:val="00F9522F"/>
    <w:rsid w:val="00FA2346"/>
    <w:rsid w:val="00FA3AB1"/>
    <w:rsid w:val="00FA4EC5"/>
    <w:rsid w:val="00FA5EE1"/>
    <w:rsid w:val="00FA6AA7"/>
    <w:rsid w:val="00FB1472"/>
    <w:rsid w:val="00FB6500"/>
    <w:rsid w:val="00FC3C7A"/>
    <w:rsid w:val="00FC6839"/>
    <w:rsid w:val="00FD01FC"/>
    <w:rsid w:val="00FD061B"/>
    <w:rsid w:val="00FD5F34"/>
    <w:rsid w:val="00FD5FEF"/>
    <w:rsid w:val="00FE2D33"/>
    <w:rsid w:val="00FE2D3C"/>
    <w:rsid w:val="00FE6FC3"/>
    <w:rsid w:val="00FE76B5"/>
    <w:rsid w:val="00FE76D2"/>
    <w:rsid w:val="00FF22AC"/>
    <w:rsid w:val="00FF3664"/>
    <w:rsid w:val="00FF42CE"/>
    <w:rsid w:val="00FF5967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049DE3"/>
  <w15:docId w15:val="{FFC5070A-869C-45D7-974A-330AE733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6C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EA6CD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A6CD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Pamatteksts">
    <w:name w:val="Body Text"/>
    <w:basedOn w:val="Parasts"/>
    <w:link w:val="PamattekstsRakstz"/>
    <w:unhideWhenUsed/>
    <w:rsid w:val="00EA6CD3"/>
    <w:pPr>
      <w:jc w:val="both"/>
    </w:pPr>
    <w:rPr>
      <w:rFonts w:eastAsia="Times New Roman"/>
      <w:sz w:val="28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EA6CD3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Galvene">
    <w:name w:val="header"/>
    <w:basedOn w:val="Parasts"/>
    <w:link w:val="GalveneRakstz"/>
    <w:unhideWhenUsed/>
    <w:rsid w:val="00EA6CD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A6CD3"/>
    <w:rPr>
      <w:rFonts w:ascii="Times New Roman" w:eastAsia="Calibri" w:hAnsi="Times New Roman" w:cs="Times New Roman"/>
      <w:sz w:val="20"/>
      <w:szCs w:val="20"/>
      <w:lang w:val="en-AU"/>
    </w:rPr>
  </w:style>
  <w:style w:type="paragraph" w:customStyle="1" w:styleId="naisf">
    <w:name w:val="naisf"/>
    <w:basedOn w:val="Parasts"/>
    <w:rsid w:val="00EA6CD3"/>
    <w:pPr>
      <w:spacing w:before="75" w:after="75"/>
      <w:ind w:firstLine="375"/>
      <w:jc w:val="both"/>
    </w:pPr>
    <w:rPr>
      <w:rFonts w:eastAsia="Times New Roman"/>
      <w:sz w:val="24"/>
      <w:szCs w:val="24"/>
      <w:lang w:val="lv-LV" w:eastAsia="lv-LV"/>
    </w:rPr>
  </w:style>
  <w:style w:type="paragraph" w:customStyle="1" w:styleId="naiskr">
    <w:name w:val="naiskr"/>
    <w:basedOn w:val="Parasts"/>
    <w:rsid w:val="00EA6CD3"/>
    <w:pPr>
      <w:spacing w:before="75" w:after="75"/>
    </w:pPr>
    <w:rPr>
      <w:rFonts w:eastAsia="Times New Roman"/>
      <w:sz w:val="24"/>
      <w:szCs w:val="24"/>
      <w:lang w:val="lv-LV" w:eastAsia="lv-LV"/>
    </w:rPr>
  </w:style>
  <w:style w:type="paragraph" w:customStyle="1" w:styleId="tv2131">
    <w:name w:val="tv2131"/>
    <w:basedOn w:val="Parasts"/>
    <w:rsid w:val="00EA6CD3"/>
    <w:pPr>
      <w:spacing w:line="360" w:lineRule="auto"/>
      <w:ind w:firstLine="335"/>
    </w:pPr>
    <w:rPr>
      <w:rFonts w:eastAsia="Times New Roman"/>
      <w:color w:val="414142"/>
      <w:sz w:val="22"/>
      <w:szCs w:val="22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D65D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D65D5"/>
    <w:rPr>
      <w:rFonts w:ascii="Tahoma" w:eastAsia="Calibri" w:hAnsi="Tahoma" w:cs="Tahoma"/>
      <w:sz w:val="16"/>
      <w:szCs w:val="16"/>
      <w:lang w:val="en-AU"/>
    </w:rPr>
  </w:style>
  <w:style w:type="paragraph" w:styleId="Sarakstarindkopa">
    <w:name w:val="List Paragraph"/>
    <w:aliases w:val="2,Strip,H&amp;P List Paragraph,Saraksta rindkopa1"/>
    <w:basedOn w:val="Parasts"/>
    <w:link w:val="SarakstarindkopaRakstz"/>
    <w:uiPriority w:val="34"/>
    <w:qFormat/>
    <w:rsid w:val="00166A8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unhideWhenUsed/>
    <w:rsid w:val="00961605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61605"/>
  </w:style>
  <w:style w:type="character" w:customStyle="1" w:styleId="KomentratekstsRakstz">
    <w:name w:val="Komentāra teksts Rakstz."/>
    <w:basedOn w:val="Noklusjumarindkopasfonts"/>
    <w:link w:val="Komentrateksts"/>
    <w:rsid w:val="00961605"/>
    <w:rPr>
      <w:rFonts w:ascii="Times New Roman" w:eastAsia="Calibri" w:hAnsi="Times New Roman" w:cs="Times New Roman"/>
      <w:sz w:val="20"/>
      <w:szCs w:val="20"/>
      <w:lang w:val="en-A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6160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61605"/>
    <w:rPr>
      <w:rFonts w:ascii="Times New Roman" w:eastAsia="Calibri" w:hAnsi="Times New Roman" w:cs="Times New Roman"/>
      <w:b/>
      <w:bCs/>
      <w:sz w:val="20"/>
      <w:szCs w:val="20"/>
      <w:lang w:val="en-AU"/>
    </w:rPr>
  </w:style>
  <w:style w:type="character" w:styleId="Hipersaite">
    <w:name w:val="Hyperlink"/>
    <w:basedOn w:val="Noklusjumarindkopasfonts"/>
    <w:uiPriority w:val="99"/>
    <w:unhideWhenUsed/>
    <w:rsid w:val="00B46A16"/>
    <w:rPr>
      <w:color w:val="0000FF" w:themeColor="hyperlink"/>
      <w:u w:val="single"/>
    </w:rPr>
  </w:style>
  <w:style w:type="paragraph" w:styleId="Vresteksts">
    <w:name w:val="footnote text"/>
    <w:basedOn w:val="Parasts"/>
    <w:link w:val="VrestekstsRakstz"/>
    <w:rsid w:val="00AD6AEF"/>
    <w:pPr>
      <w:jc w:val="both"/>
    </w:pPr>
    <w:rPr>
      <w:rFonts w:eastAsia="Times New Roman"/>
      <w:lang w:val="lv-LV"/>
    </w:rPr>
  </w:style>
  <w:style w:type="character" w:customStyle="1" w:styleId="VrestekstsRakstz">
    <w:name w:val="Vēres teksts Rakstz."/>
    <w:basedOn w:val="Noklusjumarindkopasfonts"/>
    <w:link w:val="Vresteksts"/>
    <w:rsid w:val="00AD6AEF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rsid w:val="00AD6AEF"/>
    <w:rPr>
      <w:rFonts w:ascii="Times New Roman" w:hAnsi="Times New Roman"/>
      <w:vertAlign w:val="superscript"/>
    </w:rPr>
  </w:style>
  <w:style w:type="character" w:customStyle="1" w:styleId="apple-converted-space">
    <w:name w:val="apple-converted-space"/>
    <w:basedOn w:val="Noklusjumarindkopasfonts"/>
    <w:rsid w:val="00753FF4"/>
  </w:style>
  <w:style w:type="character" w:customStyle="1" w:styleId="bumpedfont15">
    <w:name w:val="bumpedfont15"/>
    <w:rsid w:val="006C20C5"/>
  </w:style>
  <w:style w:type="character" w:styleId="Vietturateksts">
    <w:name w:val="Placeholder Text"/>
    <w:basedOn w:val="Noklusjumarindkopasfonts"/>
    <w:uiPriority w:val="99"/>
    <w:semiHidden/>
    <w:rsid w:val="00200E7D"/>
    <w:rPr>
      <w:color w:val="808080"/>
    </w:rPr>
  </w:style>
  <w:style w:type="character" w:customStyle="1" w:styleId="SarakstarindkopaRakstz">
    <w:name w:val="Saraksta rindkopa Rakstz."/>
    <w:aliases w:val="2 Rakstz.,Strip Rakstz.,H&amp;P List Paragraph Rakstz.,Saraksta rindkopa1 Rakstz."/>
    <w:link w:val="Sarakstarindkopa"/>
    <w:uiPriority w:val="34"/>
    <w:locked/>
    <w:rsid w:val="00D165F4"/>
    <w:rPr>
      <w:rFonts w:ascii="Times New Roman" w:eastAsia="Calibri" w:hAnsi="Times New Roman" w:cs="Times New Roman"/>
      <w:sz w:val="20"/>
      <w:szCs w:val="20"/>
      <w:lang w:val="en-AU"/>
    </w:rPr>
  </w:style>
  <w:style w:type="paragraph" w:styleId="Paraststmeklis">
    <w:name w:val="Normal (Web)"/>
    <w:basedOn w:val="Parasts"/>
    <w:uiPriority w:val="99"/>
    <w:semiHidden/>
    <w:unhideWhenUsed/>
    <w:rsid w:val="005E30B2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paragraph" w:customStyle="1" w:styleId="naisnod">
    <w:name w:val="naisnod"/>
    <w:basedOn w:val="Parasts"/>
    <w:rsid w:val="00DC64F8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paragraph" w:customStyle="1" w:styleId="Default">
    <w:name w:val="Default"/>
    <w:rsid w:val="00FE76B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tv213">
    <w:name w:val="tv213"/>
    <w:basedOn w:val="Parasts"/>
    <w:rsid w:val="00F94D89"/>
    <w:pPr>
      <w:spacing w:before="100" w:beforeAutospacing="1" w:after="100" w:afterAutospacing="1"/>
    </w:pPr>
    <w:rPr>
      <w:rFonts w:eastAsia="Times New Roman"/>
      <w:sz w:val="24"/>
      <w:szCs w:val="24"/>
      <w:lang w:val="lv-LV" w:eastAsia="lv-LV"/>
    </w:rPr>
  </w:style>
  <w:style w:type="paragraph" w:styleId="Prskatjums">
    <w:name w:val="Revision"/>
    <w:hidden/>
    <w:uiPriority w:val="99"/>
    <w:semiHidden/>
    <w:rsid w:val="00733C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47ACF"/>
    <w:rPr>
      <w:color w:val="800080" w:themeColor="followedHyperlink"/>
      <w:u w:val="single"/>
    </w:rPr>
  </w:style>
  <w:style w:type="character" w:customStyle="1" w:styleId="Mention1">
    <w:name w:val="Mention1"/>
    <w:basedOn w:val="Noklusjumarindkopasfonts"/>
    <w:uiPriority w:val="99"/>
    <w:semiHidden/>
    <w:unhideWhenUsed/>
    <w:rsid w:val="00547ACF"/>
    <w:rPr>
      <w:color w:val="2B579A"/>
      <w:shd w:val="clear" w:color="auto" w:fill="E6E6E6"/>
    </w:rPr>
  </w:style>
  <w:style w:type="character" w:customStyle="1" w:styleId="Mention2">
    <w:name w:val="Mention2"/>
    <w:basedOn w:val="Noklusjumarindkopasfonts"/>
    <w:uiPriority w:val="99"/>
    <w:semiHidden/>
    <w:unhideWhenUsed/>
    <w:rsid w:val="00B621AF"/>
    <w:rPr>
      <w:color w:val="2B579A"/>
      <w:shd w:val="clear" w:color="auto" w:fill="E6E6E6"/>
    </w:rPr>
  </w:style>
  <w:style w:type="character" w:styleId="Grmatasnosaukums">
    <w:name w:val="Book Title"/>
    <w:basedOn w:val="Noklusjumarindkopasfonts"/>
    <w:uiPriority w:val="33"/>
    <w:qFormat/>
    <w:rsid w:val="00D97622"/>
    <w:rPr>
      <w:b/>
      <w:bCs/>
      <w:i/>
      <w:iCs/>
      <w:spacing w:val="5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A0C78"/>
    <w:rPr>
      <w:color w:val="808080"/>
      <w:shd w:val="clear" w:color="auto" w:fill="E6E6E6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E81F3E"/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E81F3E"/>
    <w:rPr>
      <w:rFonts w:ascii="Times New Roman" w:eastAsia="Calibri" w:hAnsi="Times New Roman" w:cs="Times New Roman"/>
      <w:sz w:val="20"/>
      <w:szCs w:val="20"/>
      <w:lang w:val="en-AU"/>
    </w:rPr>
  </w:style>
  <w:style w:type="character" w:styleId="Beiguvresatsauce">
    <w:name w:val="endnote reference"/>
    <w:basedOn w:val="Noklusjumarindkopasfonts"/>
    <w:uiPriority w:val="99"/>
    <w:semiHidden/>
    <w:unhideWhenUsed/>
    <w:rsid w:val="00E81F3E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E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ta.Lace@e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A069-044B-4B88-AE0E-39C1596C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4310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projekta „Grozījumi Ministru kabineta 2016.gada 12.aprīļa noteikumos Nr.226 “Noteikumi par akcelerācijas fondiem saimnieciskās darbības veicēju izveides, attīstības un konkurētspējas veicināšanai”” sākotnējās ietekmes novērtēju</vt:lpstr>
      <vt:lpstr>Ministru kabineta noteikumu projekta „Grozījumi Ministru kabineta 2016.gada 12.aprīļa noteikumos Nr.226 “Noteikumi par akcelerācijas fondiem saimnieciskās darbības veicēju izveides, attīstības un konkurētspējas veicināšanai”” sākotnējās ietekmes novērtēju</vt:lpstr>
    </vt:vector>
  </TitlesOfParts>
  <Company>Altum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„Grozījumi Ministru kabineta 2016.gada 12.aprīļa noteikumos Nr.226 “Noteikumi par akcelerācijas fondiem saimnieciskās darbības veicēju izveides, attīstības un konkurētspējas veicināšanai”” sākotnējās ietekmes novērtējuma ziņojums (anotācija)</dc:title>
  <dc:subject>Anotācija</dc:subject>
  <dc:creator>Liene.Bergholde@em.gov.lv</dc:creator>
  <cp:keywords>Anotācija</cp:keywords>
  <dc:description>67013203, Liene.Bergholde@em.gov.lv</dc:description>
  <cp:lastModifiedBy>Sanita Lāce</cp:lastModifiedBy>
  <cp:revision>11</cp:revision>
  <cp:lastPrinted>2017-07-21T07:32:00Z</cp:lastPrinted>
  <dcterms:created xsi:type="dcterms:W3CDTF">2021-06-02T08:23:00Z</dcterms:created>
  <dcterms:modified xsi:type="dcterms:W3CDTF">2021-06-03T05:56:00Z</dcterms:modified>
</cp:coreProperties>
</file>