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64A3C" w14:textId="77777777" w:rsidR="00F56B17" w:rsidRPr="00FE2743" w:rsidRDefault="00F74912" w:rsidP="00F56B17">
      <w:pPr>
        <w:pStyle w:val="ListParagraph"/>
        <w:tabs>
          <w:tab w:val="left" w:pos="9072"/>
        </w:tabs>
        <w:ind w:left="0"/>
        <w:jc w:val="center"/>
        <w:rPr>
          <w:b/>
          <w:sz w:val="28"/>
          <w:szCs w:val="28"/>
        </w:rPr>
      </w:pPr>
      <w:r w:rsidRPr="00FE2743">
        <w:rPr>
          <w:b/>
          <w:sz w:val="28"/>
          <w:szCs w:val="28"/>
        </w:rPr>
        <w:t>Mini</w:t>
      </w:r>
      <w:r w:rsidR="00A31820" w:rsidRPr="00FE2743">
        <w:rPr>
          <w:b/>
          <w:sz w:val="28"/>
          <w:szCs w:val="28"/>
        </w:rPr>
        <w:t>stru kabineta noteikumu projekta</w:t>
      </w:r>
      <w:r w:rsidR="007756FB" w:rsidRPr="00FE2743">
        <w:rPr>
          <w:b/>
          <w:sz w:val="28"/>
          <w:szCs w:val="28"/>
        </w:rPr>
        <w:t xml:space="preserve"> </w:t>
      </w:r>
      <w:r w:rsidR="00035A8E" w:rsidRPr="00FE2743">
        <w:rPr>
          <w:b/>
          <w:sz w:val="28"/>
          <w:szCs w:val="28"/>
        </w:rPr>
        <w:t>“</w:t>
      </w:r>
      <w:r w:rsidR="00FB7F54" w:rsidRPr="00FE2743">
        <w:rPr>
          <w:b/>
          <w:sz w:val="28"/>
          <w:szCs w:val="28"/>
        </w:rPr>
        <w:t>Grozījumi Ministru kabineta 2017.gada 4.aprīļa noteikumos Nr.199 “</w:t>
      </w:r>
      <w:r w:rsidR="008E7DC2" w:rsidRPr="00FE2743">
        <w:rPr>
          <w:b/>
          <w:sz w:val="28"/>
          <w:szCs w:val="28"/>
        </w:rPr>
        <w:t>Noteikumi par dabasgāzes apriti un akcīzes nodokļa piemērošanas kārtību</w:t>
      </w:r>
      <w:r w:rsidR="00072B05" w:rsidRPr="00FE2743">
        <w:rPr>
          <w:b/>
          <w:sz w:val="28"/>
          <w:szCs w:val="28"/>
        </w:rPr>
        <w:t>”</w:t>
      </w:r>
      <w:r w:rsidR="00FB7F54" w:rsidRPr="00FE2743">
        <w:rPr>
          <w:b/>
          <w:sz w:val="28"/>
          <w:szCs w:val="28"/>
        </w:rPr>
        <w:t>”</w:t>
      </w:r>
    </w:p>
    <w:p w14:paraId="775AD7FB" w14:textId="77777777" w:rsidR="007756FB" w:rsidRPr="00FE2743" w:rsidRDefault="007756FB" w:rsidP="00F42203">
      <w:pPr>
        <w:pStyle w:val="ListParagraph"/>
        <w:tabs>
          <w:tab w:val="left" w:pos="9072"/>
        </w:tabs>
        <w:ind w:left="0"/>
        <w:jc w:val="center"/>
        <w:rPr>
          <w:b/>
          <w:sz w:val="28"/>
          <w:szCs w:val="28"/>
        </w:rPr>
      </w:pPr>
      <w:r w:rsidRPr="00FE2743">
        <w:rPr>
          <w:b/>
          <w:sz w:val="28"/>
          <w:szCs w:val="28"/>
        </w:rPr>
        <w:t>sākotnējās ietekmes novērtējuma ziņojums (anotācija)</w:t>
      </w:r>
    </w:p>
    <w:p w14:paraId="731C9F82" w14:textId="77777777" w:rsidR="008961E6" w:rsidRPr="00FE2743" w:rsidRDefault="008961E6" w:rsidP="00032C63">
      <w:pPr>
        <w:spacing w:line="270" w:lineRule="atLeast"/>
        <w:jc w:val="both"/>
        <w:rPr>
          <w:rStyle w:val="apple-style-span"/>
          <w:sz w:val="28"/>
          <w:szCs w:val="28"/>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7"/>
        <w:gridCol w:w="6661"/>
      </w:tblGrid>
      <w:tr w:rsidR="00FB7F54" w:rsidRPr="00FE2743" w14:paraId="6910F5D9" w14:textId="77777777" w:rsidTr="0028604F">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C202AA6" w14:textId="77777777" w:rsidR="00FB7F54" w:rsidRPr="00FE2743" w:rsidRDefault="00FB7F54" w:rsidP="0028604F">
            <w:pPr>
              <w:spacing w:before="100" w:beforeAutospacing="1" w:after="100" w:afterAutospacing="1" w:line="360" w:lineRule="auto"/>
              <w:ind w:firstLine="300"/>
              <w:jc w:val="center"/>
              <w:rPr>
                <w:b/>
                <w:bCs/>
              </w:rPr>
            </w:pPr>
            <w:r w:rsidRPr="00FE2743">
              <w:rPr>
                <w:b/>
                <w:bCs/>
              </w:rPr>
              <w:t>Tiesību akta projekta anotācijas kopsavilkums</w:t>
            </w:r>
          </w:p>
        </w:tc>
      </w:tr>
      <w:tr w:rsidR="00FB7F54" w:rsidRPr="00FE2743" w14:paraId="1FD89B1F" w14:textId="77777777" w:rsidTr="0028604F">
        <w:tc>
          <w:tcPr>
            <w:tcW w:w="1437" w:type="pct"/>
            <w:tcBorders>
              <w:top w:val="outset" w:sz="6" w:space="0" w:color="414142"/>
              <w:left w:val="outset" w:sz="6" w:space="0" w:color="414142"/>
              <w:bottom w:val="outset" w:sz="6" w:space="0" w:color="414142"/>
              <w:right w:val="outset" w:sz="6" w:space="0" w:color="414142"/>
            </w:tcBorders>
            <w:hideMark/>
          </w:tcPr>
          <w:p w14:paraId="4AB473FA" w14:textId="77777777" w:rsidR="00FB7F54" w:rsidRPr="00FE2743" w:rsidRDefault="00FB7F54" w:rsidP="0028604F">
            <w:pPr>
              <w:jc w:val="both"/>
            </w:pPr>
            <w:bookmarkStart w:id="0" w:name="_Hlk72761548"/>
            <w:r w:rsidRPr="00FE2743">
              <w:t>Mērķis, risinājums un projekta spēkā stāšanās laiks (500 zīmes bez atstarpēm)</w:t>
            </w:r>
          </w:p>
        </w:tc>
        <w:tc>
          <w:tcPr>
            <w:tcW w:w="3563" w:type="pct"/>
            <w:tcBorders>
              <w:top w:val="outset" w:sz="6" w:space="0" w:color="414142"/>
              <w:left w:val="outset" w:sz="6" w:space="0" w:color="414142"/>
              <w:bottom w:val="outset" w:sz="6" w:space="0" w:color="414142"/>
              <w:right w:val="outset" w:sz="6" w:space="0" w:color="414142"/>
            </w:tcBorders>
            <w:hideMark/>
          </w:tcPr>
          <w:p w14:paraId="751D7DB9" w14:textId="71FCFBF6" w:rsidR="00C07B46" w:rsidRPr="00FE2743" w:rsidRDefault="00FB7F54" w:rsidP="009F59A3">
            <w:pPr>
              <w:ind w:firstLine="248"/>
              <w:jc w:val="both"/>
              <w:rPr>
                <w:rFonts w:eastAsia="Calibri"/>
                <w:bCs/>
              </w:rPr>
            </w:pPr>
            <w:r w:rsidRPr="00FE2743">
              <w:t>Ministru</w:t>
            </w:r>
            <w:r w:rsidR="00830283" w:rsidRPr="00FE2743">
              <w:t xml:space="preserve"> </w:t>
            </w:r>
            <w:r w:rsidRPr="00FE2743">
              <w:t>kabineta noteikumu projekts “</w:t>
            </w:r>
            <w:r w:rsidRPr="00FE2743">
              <w:rPr>
                <w:rFonts w:eastAsia="Calibri"/>
                <w:lang w:eastAsia="en-US"/>
              </w:rPr>
              <w:t>Grozījumi Ministru kabineta 2017.</w:t>
            </w:r>
            <w:r w:rsidR="00142794" w:rsidRPr="00FE2743">
              <w:rPr>
                <w:rFonts w:eastAsia="Calibri"/>
                <w:lang w:eastAsia="en-US"/>
              </w:rPr>
              <w:t> </w:t>
            </w:r>
            <w:r w:rsidRPr="00FE2743">
              <w:rPr>
                <w:rFonts w:eastAsia="Calibri"/>
                <w:lang w:eastAsia="en-US"/>
              </w:rPr>
              <w:t>gada 4.</w:t>
            </w:r>
            <w:r w:rsidR="00142794" w:rsidRPr="00FE2743">
              <w:rPr>
                <w:rFonts w:eastAsia="Calibri"/>
                <w:lang w:eastAsia="en-US"/>
              </w:rPr>
              <w:t> </w:t>
            </w:r>
            <w:r w:rsidRPr="00FE2743">
              <w:rPr>
                <w:rFonts w:eastAsia="Calibri"/>
                <w:lang w:eastAsia="en-US"/>
              </w:rPr>
              <w:t>aprīļa noteikumos Nr.</w:t>
            </w:r>
            <w:r w:rsidR="00142794" w:rsidRPr="00FE2743">
              <w:rPr>
                <w:rFonts w:eastAsia="Calibri"/>
                <w:lang w:eastAsia="en-US"/>
              </w:rPr>
              <w:t> </w:t>
            </w:r>
            <w:r w:rsidRPr="00FE2743">
              <w:rPr>
                <w:rFonts w:eastAsia="Calibri"/>
                <w:lang w:eastAsia="en-US"/>
              </w:rPr>
              <w:t xml:space="preserve">199 “Noteikumi par dabasgāzes apriti un akcīzes nodokļa piemērošanas kārtību”” (turpmāk – noteikumu projekts) </w:t>
            </w:r>
            <w:r w:rsidRPr="00FE2743">
              <w:t xml:space="preserve">izstrādāts </w:t>
            </w:r>
            <w:r w:rsidR="007F281E" w:rsidRPr="00FE2743">
              <w:t>saskaņā ar</w:t>
            </w:r>
            <w:r w:rsidRPr="00FE2743">
              <w:t xml:space="preserve"> likum</w:t>
            </w:r>
            <w:r w:rsidR="00EA3B8F" w:rsidRPr="00FE2743">
              <w:t>a</w:t>
            </w:r>
            <w:r w:rsidRPr="00FE2743">
              <w:t xml:space="preserve"> “Par akcīzes nodokli” (turpmāk – likums) </w:t>
            </w:r>
            <w:r w:rsidR="009F59A3">
              <w:t>2. panta 7.1 daļu, 6.1 panta piekto daļu, 15.1 panta ceturto daļu, 22. panta sesto daļu un pārejas noteikumu 125. punktu</w:t>
            </w:r>
            <w:r w:rsidR="00C07B46" w:rsidRPr="00FE2743">
              <w:rPr>
                <w:rFonts w:eastAsia="Calibri"/>
                <w:bCs/>
              </w:rPr>
              <w:t>.</w:t>
            </w:r>
          </w:p>
          <w:p w14:paraId="07D2181D" w14:textId="1248C8EE" w:rsidR="00EA3B8F" w:rsidRPr="00FE2743" w:rsidRDefault="00EA3B8F" w:rsidP="00FB7F54">
            <w:pPr>
              <w:ind w:firstLine="248"/>
              <w:jc w:val="both"/>
              <w:rPr>
                <w:rFonts w:eastAsia="Calibri"/>
                <w:bCs/>
              </w:rPr>
            </w:pPr>
            <w:r w:rsidRPr="00FE2743">
              <w:rPr>
                <w:rFonts w:eastAsia="Calibri"/>
                <w:bCs/>
              </w:rPr>
              <w:t xml:space="preserve">Noteikumu projekts paredz </w:t>
            </w:r>
            <w:r w:rsidR="001A749B" w:rsidRPr="00FE2743">
              <w:rPr>
                <w:rFonts w:eastAsia="Calibri"/>
                <w:bCs/>
              </w:rPr>
              <w:t>noteikt</w:t>
            </w:r>
            <w:r w:rsidRPr="00FE2743">
              <w:rPr>
                <w:rFonts w:eastAsia="Calibri"/>
                <w:bCs/>
              </w:rPr>
              <w:t xml:space="preserve"> </w:t>
            </w:r>
            <w:r w:rsidR="00B21540">
              <w:rPr>
                <w:rFonts w:eastAsia="Calibri"/>
                <w:bCs/>
              </w:rPr>
              <w:t xml:space="preserve">nosacījumus un </w:t>
            </w:r>
            <w:r w:rsidRPr="00FE2743">
              <w:rPr>
                <w:rFonts w:eastAsia="Calibri"/>
                <w:bCs/>
              </w:rPr>
              <w:t>kārtību, kādā</w:t>
            </w:r>
            <w:r w:rsidR="009911C7" w:rsidRPr="00FE2743">
              <w:t xml:space="preserve"> </w:t>
            </w:r>
            <w:r w:rsidR="009911C7" w:rsidRPr="00FE2743">
              <w:rPr>
                <w:rFonts w:eastAsia="Calibri"/>
                <w:bCs/>
              </w:rPr>
              <w:t xml:space="preserve">piemēro šā likuma </w:t>
            </w:r>
            <w:r w:rsidR="007563A7">
              <w:rPr>
                <w:rFonts w:eastAsia="Calibri"/>
                <w:bCs/>
              </w:rPr>
              <w:t>p</w:t>
            </w:r>
            <w:r w:rsidR="009911C7" w:rsidRPr="00FE2743">
              <w:rPr>
                <w:rFonts w:eastAsia="Calibri"/>
                <w:bCs/>
              </w:rPr>
              <w:t xml:space="preserve">ārejas noteikumu 125. punktā noteikto </w:t>
            </w:r>
            <w:r w:rsidR="007B26CA" w:rsidRPr="00FE2743">
              <w:rPr>
                <w:rFonts w:eastAsia="Calibri"/>
                <w:bCs/>
              </w:rPr>
              <w:t>samazināto</w:t>
            </w:r>
            <w:r w:rsidR="001D370C" w:rsidRPr="00FE2743">
              <w:rPr>
                <w:rFonts w:eastAsia="Calibri"/>
                <w:bCs/>
              </w:rPr>
              <w:t xml:space="preserve"> </w:t>
            </w:r>
            <w:r w:rsidR="007B26CA" w:rsidRPr="00FE2743">
              <w:rPr>
                <w:rFonts w:eastAsia="Calibri"/>
                <w:bCs/>
              </w:rPr>
              <w:t xml:space="preserve"> </w:t>
            </w:r>
            <w:r w:rsidR="009911C7" w:rsidRPr="00FE2743">
              <w:rPr>
                <w:rFonts w:eastAsia="Calibri"/>
                <w:bCs/>
              </w:rPr>
              <w:t>nodokļa likmi</w:t>
            </w:r>
            <w:r w:rsidR="001D370C" w:rsidRPr="00FE2743">
              <w:rPr>
                <w:rFonts w:eastAsia="Calibri"/>
                <w:bCs/>
              </w:rPr>
              <w:t xml:space="preserve"> dabasgāzei kā degvielai transportam</w:t>
            </w:r>
            <w:r w:rsidR="004F72D0" w:rsidRPr="00FE2743">
              <w:rPr>
                <w:rFonts w:eastAsia="Calibri"/>
                <w:bCs/>
              </w:rPr>
              <w:t xml:space="preserve"> </w:t>
            </w:r>
            <w:r w:rsidR="009911C7" w:rsidRPr="00FE2743">
              <w:rPr>
                <w:rFonts w:eastAsia="Calibri"/>
                <w:bCs/>
              </w:rPr>
              <w:t>un izvērtē nodokļa maksātāja atbilstību tās piemērošanai, kārtību, kādā piešķir vai anulē tiesības to piemērot, kārtību, kādā tiek aprēķināts un atgūts nelikumīgs komercdarbības atbalsts kopā ar procentiem, ja nodokļa maksātājs nepamatoti piemērojis minēto nodokļa likmi, kā arī nosaka minētās nodokļa likmes administrēšanas kārtību.</w:t>
            </w:r>
            <w:r w:rsidRPr="00FE2743">
              <w:rPr>
                <w:rFonts w:eastAsia="Calibri"/>
                <w:bCs/>
              </w:rPr>
              <w:t xml:space="preserve"> </w:t>
            </w:r>
          </w:p>
          <w:p w14:paraId="21F3BF4B" w14:textId="1C4CC457" w:rsidR="00FB7F54" w:rsidRPr="00FE2743" w:rsidRDefault="00EA3B8F" w:rsidP="00FB7F54">
            <w:pPr>
              <w:ind w:firstLine="248"/>
              <w:jc w:val="both"/>
            </w:pPr>
            <w:r w:rsidRPr="00FE2743">
              <w:rPr>
                <w:rFonts w:eastAsia="Calibri"/>
                <w:bCs/>
              </w:rPr>
              <w:t xml:space="preserve">Atbilstoši </w:t>
            </w:r>
            <w:r w:rsidR="007B26CA" w:rsidRPr="00FE2743">
              <w:rPr>
                <w:rFonts w:eastAsia="Calibri"/>
                <w:bCs/>
              </w:rPr>
              <w:t xml:space="preserve">tam, </w:t>
            </w:r>
            <w:r w:rsidR="004F72D0" w:rsidRPr="00FE2743">
              <w:rPr>
                <w:rFonts w:eastAsia="Calibri"/>
                <w:bCs/>
              </w:rPr>
              <w:t>ka spēkā esoš</w:t>
            </w:r>
            <w:r w:rsidR="00AA27CB" w:rsidRPr="00FE2743">
              <w:rPr>
                <w:rFonts w:eastAsia="Calibri"/>
                <w:bCs/>
              </w:rPr>
              <w:t>ie</w:t>
            </w:r>
            <w:r w:rsidR="004F72D0" w:rsidRPr="00FE2743">
              <w:rPr>
                <w:rFonts w:eastAsia="Calibri"/>
                <w:bCs/>
              </w:rPr>
              <w:t xml:space="preserve"> </w:t>
            </w:r>
            <w:r w:rsidR="00AA27CB" w:rsidRPr="00FE2743">
              <w:rPr>
                <w:rFonts w:eastAsia="Calibri"/>
                <w:bCs/>
              </w:rPr>
              <w:t xml:space="preserve">samazinātās </w:t>
            </w:r>
            <w:r w:rsidR="00270359" w:rsidRPr="00FE2743">
              <w:rPr>
                <w:rFonts w:eastAsia="Calibri"/>
                <w:bCs/>
              </w:rPr>
              <w:t xml:space="preserve">nodokļa likmes </w:t>
            </w:r>
            <w:r w:rsidR="007B26CA" w:rsidRPr="00FE2743">
              <w:rPr>
                <w:rFonts w:eastAsia="Calibri"/>
                <w:bCs/>
              </w:rPr>
              <w:t>valsts atbalsta (</w:t>
            </w:r>
            <w:proofErr w:type="spellStart"/>
            <w:r w:rsidR="007B26CA" w:rsidRPr="00FE2743">
              <w:rPr>
                <w:rFonts w:eastAsia="Calibri"/>
                <w:bCs/>
              </w:rPr>
              <w:t>komercatbalsta</w:t>
            </w:r>
            <w:proofErr w:type="spellEnd"/>
            <w:r w:rsidR="007B26CA" w:rsidRPr="00FE2743">
              <w:rPr>
                <w:rFonts w:eastAsia="Calibri"/>
                <w:bCs/>
              </w:rPr>
              <w:t>)</w:t>
            </w:r>
            <w:r w:rsidR="00270359" w:rsidRPr="00FE2743">
              <w:rPr>
                <w:rFonts w:eastAsia="Calibri"/>
                <w:bCs/>
              </w:rPr>
              <w:t xml:space="preserve"> </w:t>
            </w:r>
            <w:proofErr w:type="spellStart"/>
            <w:r w:rsidR="007B26CA" w:rsidRPr="00FE2743">
              <w:rPr>
                <w:rFonts w:eastAsia="Calibri"/>
                <w:bCs/>
                <w:i/>
                <w:iCs/>
              </w:rPr>
              <w:t>de</w:t>
            </w:r>
            <w:proofErr w:type="spellEnd"/>
            <w:r w:rsidR="001D370C" w:rsidRPr="00FE2743">
              <w:rPr>
                <w:rFonts w:eastAsia="Calibri"/>
                <w:bCs/>
                <w:i/>
                <w:iCs/>
              </w:rPr>
              <w:t xml:space="preserve"> </w:t>
            </w:r>
            <w:proofErr w:type="spellStart"/>
            <w:r w:rsidR="007B26CA" w:rsidRPr="00FE2743">
              <w:rPr>
                <w:rFonts w:eastAsia="Calibri"/>
                <w:bCs/>
                <w:i/>
                <w:iCs/>
              </w:rPr>
              <w:t>minimis</w:t>
            </w:r>
            <w:proofErr w:type="spellEnd"/>
            <w:r w:rsidR="007B26CA" w:rsidRPr="00FE2743">
              <w:rPr>
                <w:rFonts w:eastAsia="Calibri"/>
                <w:bCs/>
              </w:rPr>
              <w:t xml:space="preserve"> regulēj</w:t>
            </w:r>
            <w:r w:rsidR="001D370C" w:rsidRPr="00FE2743">
              <w:rPr>
                <w:rFonts w:eastAsia="Calibri"/>
                <w:bCs/>
              </w:rPr>
              <w:t>um</w:t>
            </w:r>
            <w:r w:rsidR="004F72D0" w:rsidRPr="00FE2743">
              <w:rPr>
                <w:rFonts w:eastAsia="Calibri"/>
                <w:bCs/>
              </w:rPr>
              <w:t>a</w:t>
            </w:r>
            <w:r w:rsidR="00FF6D6A" w:rsidRPr="00FE2743">
              <w:rPr>
                <w:rFonts w:eastAsia="Calibri"/>
                <w:bCs/>
              </w:rPr>
              <w:t xml:space="preserve"> noteikumi</w:t>
            </w:r>
            <w:r w:rsidR="004F72D0" w:rsidRPr="00FE2743">
              <w:rPr>
                <w:rFonts w:eastAsia="Calibri"/>
                <w:bCs/>
              </w:rPr>
              <w:t xml:space="preserve"> </w:t>
            </w:r>
            <w:r w:rsidR="00FF6D6A" w:rsidRPr="00FE2743">
              <w:rPr>
                <w:rFonts w:eastAsia="Calibri"/>
                <w:bCs/>
              </w:rPr>
              <w:t xml:space="preserve">jau </w:t>
            </w:r>
            <w:r w:rsidR="00270359" w:rsidRPr="00FE2743">
              <w:rPr>
                <w:rFonts w:eastAsia="Calibri"/>
                <w:bCs/>
              </w:rPr>
              <w:t xml:space="preserve">2021. gada </w:t>
            </w:r>
            <w:r w:rsidR="00C74935" w:rsidRPr="00FE2743">
              <w:rPr>
                <w:rFonts w:eastAsia="Calibri"/>
                <w:bCs/>
              </w:rPr>
              <w:t>decembrī</w:t>
            </w:r>
            <w:r w:rsidR="00FF6D6A" w:rsidRPr="00FE2743">
              <w:rPr>
                <w:rFonts w:eastAsia="Calibri"/>
                <w:bCs/>
              </w:rPr>
              <w:t xml:space="preserve"> </w:t>
            </w:r>
            <w:r w:rsidR="00270359" w:rsidRPr="00FE2743">
              <w:rPr>
                <w:rFonts w:eastAsia="Calibri"/>
                <w:bCs/>
              </w:rPr>
              <w:t xml:space="preserve">var </w:t>
            </w:r>
            <w:r w:rsidR="00FF6D6A" w:rsidRPr="00FE2743">
              <w:rPr>
                <w:rFonts w:eastAsia="Calibri"/>
                <w:bCs/>
              </w:rPr>
              <w:t>ierobežot tirgus dalībnieku aktivitāti dabasgāzes kā degvielas</w:t>
            </w:r>
            <w:r w:rsidR="00AA27CB" w:rsidRPr="00FE2743">
              <w:rPr>
                <w:rFonts w:eastAsia="Calibri"/>
                <w:bCs/>
              </w:rPr>
              <w:t xml:space="preserve"> transportam</w:t>
            </w:r>
            <w:r w:rsidR="00FF6D6A" w:rsidRPr="00FE2743">
              <w:rPr>
                <w:rFonts w:eastAsia="Calibri"/>
                <w:bCs/>
              </w:rPr>
              <w:t xml:space="preserve"> </w:t>
            </w:r>
            <w:proofErr w:type="spellStart"/>
            <w:r w:rsidR="00FF6D6A" w:rsidRPr="00FE2743">
              <w:rPr>
                <w:rFonts w:eastAsia="Calibri"/>
                <w:bCs/>
              </w:rPr>
              <w:t>uzpildes</w:t>
            </w:r>
            <w:proofErr w:type="spellEnd"/>
            <w:r w:rsidR="00FF6D6A" w:rsidRPr="00FE2743">
              <w:rPr>
                <w:rFonts w:eastAsia="Calibri"/>
                <w:bCs/>
              </w:rPr>
              <w:t xml:space="preserve"> infrastruktūras paplašināšanā,</w:t>
            </w:r>
            <w:r w:rsidR="007B26CA" w:rsidRPr="00FE2743">
              <w:rPr>
                <w:rFonts w:eastAsia="Calibri"/>
                <w:bCs/>
              </w:rPr>
              <w:t xml:space="preserve"> </w:t>
            </w:r>
            <w:r w:rsidR="002C6218">
              <w:rPr>
                <w:rFonts w:eastAsia="Calibri"/>
                <w:bCs/>
              </w:rPr>
              <w:t xml:space="preserve">noteikumu </w:t>
            </w:r>
            <w:r w:rsidR="007B26CA" w:rsidRPr="00FE2743">
              <w:rPr>
                <w:rFonts w:eastAsia="Calibri"/>
                <w:bCs/>
              </w:rPr>
              <w:t>projektam jā</w:t>
            </w:r>
            <w:r w:rsidR="00830283" w:rsidRPr="00FE2743">
              <w:rPr>
                <w:rFonts w:eastAsia="Calibri"/>
                <w:bCs/>
              </w:rPr>
              <w:t xml:space="preserve">būt pieņemtam līdz </w:t>
            </w:r>
            <w:r w:rsidR="00C74935" w:rsidRPr="00FE2743">
              <w:rPr>
                <w:rFonts w:eastAsia="Calibri"/>
                <w:bCs/>
              </w:rPr>
              <w:t>2021. gada 1. novembr</w:t>
            </w:r>
            <w:r w:rsidR="00830283" w:rsidRPr="00FE2743">
              <w:rPr>
                <w:rFonts w:eastAsia="Calibri"/>
                <w:bCs/>
              </w:rPr>
              <w:t>im,</w:t>
            </w:r>
            <w:r w:rsidR="004F72D0" w:rsidRPr="00FE2743">
              <w:rPr>
                <w:rFonts w:eastAsia="Calibri"/>
                <w:bCs/>
              </w:rPr>
              <w:t xml:space="preserve"> paredzot tā stāšan</w:t>
            </w:r>
            <w:r w:rsidR="00BB26C7" w:rsidRPr="00FE2743">
              <w:rPr>
                <w:rFonts w:eastAsia="Calibri"/>
                <w:bCs/>
              </w:rPr>
              <w:t>o</w:t>
            </w:r>
            <w:r w:rsidR="004F72D0" w:rsidRPr="00FE2743">
              <w:rPr>
                <w:rFonts w:eastAsia="Calibri"/>
                <w:bCs/>
              </w:rPr>
              <w:t>s spēkā uzreiz</w:t>
            </w:r>
            <w:r w:rsidR="00830283" w:rsidRPr="00FE2743">
              <w:rPr>
                <w:rFonts w:eastAsia="Calibri"/>
                <w:bCs/>
              </w:rPr>
              <w:t xml:space="preserve"> </w:t>
            </w:r>
            <w:r w:rsidR="00C74935" w:rsidRPr="00FE2743">
              <w:rPr>
                <w:rFonts w:eastAsia="Calibri"/>
                <w:bCs/>
              </w:rPr>
              <w:t>pēc Eiropas Komisijas lēmuma pieņemšanas par atbalsta pasākuma atbilstību Eiropas Savienības iekšējam tirgum.</w:t>
            </w:r>
          </w:p>
          <w:p w14:paraId="1EFE60E9" w14:textId="77777777" w:rsidR="00FB7F54" w:rsidRPr="00FE2743" w:rsidRDefault="00FB7F54" w:rsidP="0028604F">
            <w:pPr>
              <w:ind w:firstLine="248"/>
              <w:jc w:val="both"/>
            </w:pPr>
          </w:p>
        </w:tc>
      </w:tr>
    </w:tbl>
    <w:p w14:paraId="53C3AAE2" w14:textId="77777777" w:rsidR="00FB7F54" w:rsidRPr="00FE2743" w:rsidRDefault="00FB7F54" w:rsidP="00032C63">
      <w:pPr>
        <w:spacing w:line="270" w:lineRule="atLeast"/>
        <w:jc w:val="both"/>
        <w:rPr>
          <w:rStyle w:val="apple-style-sp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93"/>
        <w:gridCol w:w="6633"/>
      </w:tblGrid>
      <w:tr w:rsidR="00032C63" w:rsidRPr="00FE2743" w14:paraId="7BDA28AC" w14:textId="77777777" w:rsidTr="00743410">
        <w:trPr>
          <w:trHeight w:val="427"/>
        </w:trPr>
        <w:tc>
          <w:tcPr>
            <w:tcW w:w="9322" w:type="dxa"/>
            <w:gridSpan w:val="3"/>
            <w:hideMark/>
          </w:tcPr>
          <w:p w14:paraId="147F89E7" w14:textId="77777777" w:rsidR="00032C63" w:rsidRPr="00FE2743" w:rsidRDefault="00032C63" w:rsidP="00032C63">
            <w:pPr>
              <w:numPr>
                <w:ilvl w:val="0"/>
                <w:numId w:val="1"/>
              </w:numPr>
              <w:jc w:val="center"/>
              <w:rPr>
                <w:b/>
                <w:bCs/>
              </w:rPr>
            </w:pPr>
            <w:r w:rsidRPr="00FE2743">
              <w:rPr>
                <w:b/>
                <w:bCs/>
              </w:rPr>
              <w:t>Tiesību akta projekta izstrādes nepieciešamība</w:t>
            </w:r>
          </w:p>
        </w:tc>
      </w:tr>
      <w:tr w:rsidR="009F107E" w:rsidRPr="00FE2743" w14:paraId="02B1AC21" w14:textId="77777777" w:rsidTr="00EA3B8F">
        <w:tc>
          <w:tcPr>
            <w:tcW w:w="496" w:type="dxa"/>
            <w:hideMark/>
          </w:tcPr>
          <w:p w14:paraId="7B5752CE" w14:textId="77777777" w:rsidR="00032C63" w:rsidRPr="00FE2743" w:rsidRDefault="00032C63" w:rsidP="00032C63">
            <w:r w:rsidRPr="00FE2743">
              <w:t>1.</w:t>
            </w:r>
          </w:p>
        </w:tc>
        <w:tc>
          <w:tcPr>
            <w:tcW w:w="2193" w:type="dxa"/>
            <w:hideMark/>
          </w:tcPr>
          <w:p w14:paraId="6010A0A5" w14:textId="77777777" w:rsidR="00032C63" w:rsidRPr="00FE2743" w:rsidRDefault="00032C63" w:rsidP="00032C63">
            <w:r w:rsidRPr="00FE2743">
              <w:t>Pamatojums</w:t>
            </w:r>
          </w:p>
        </w:tc>
        <w:tc>
          <w:tcPr>
            <w:tcW w:w="6633" w:type="dxa"/>
            <w:hideMark/>
          </w:tcPr>
          <w:p w14:paraId="216033D8" w14:textId="44B0B836" w:rsidR="003D135B" w:rsidRPr="00FE2743" w:rsidRDefault="00EA3B8F" w:rsidP="00B4045D">
            <w:pPr>
              <w:ind w:left="-108" w:firstLine="567"/>
              <w:jc w:val="both"/>
            </w:pPr>
            <w:r w:rsidRPr="00FE2743">
              <w:rPr>
                <w:rFonts w:eastAsia="Calibri"/>
                <w:lang w:eastAsia="en-US"/>
              </w:rPr>
              <w:t>N</w:t>
            </w:r>
            <w:r w:rsidR="00FA6E40" w:rsidRPr="00FE2743">
              <w:rPr>
                <w:rFonts w:eastAsia="Calibri"/>
                <w:lang w:eastAsia="en-US"/>
              </w:rPr>
              <w:t xml:space="preserve">oteikumu projekts </w:t>
            </w:r>
            <w:r w:rsidR="008E7DC2" w:rsidRPr="00FE2743">
              <w:rPr>
                <w:rFonts w:eastAsia="Calibri"/>
                <w:lang w:eastAsia="en-US"/>
              </w:rPr>
              <w:t xml:space="preserve">ir </w:t>
            </w:r>
            <w:r w:rsidR="00191BAD" w:rsidRPr="00FE2743">
              <w:rPr>
                <w:rFonts w:eastAsia="Calibri"/>
                <w:lang w:eastAsia="en-US"/>
              </w:rPr>
              <w:t>izstrādāts</w:t>
            </w:r>
            <w:r w:rsidR="001F14D8" w:rsidRPr="00FE2743">
              <w:rPr>
                <w:rFonts w:eastAsia="Calibri"/>
                <w:lang w:eastAsia="en-US"/>
              </w:rPr>
              <w:t xml:space="preserve"> pamatojoties uz likuma</w:t>
            </w:r>
            <w:r w:rsidR="00A971B4" w:rsidRPr="00FE2743">
              <w:rPr>
                <w:rFonts w:eastAsia="Calibri"/>
                <w:lang w:eastAsia="en-US"/>
              </w:rPr>
              <w:t xml:space="preserve"> </w:t>
            </w:r>
            <w:r w:rsidR="00B4045D" w:rsidRPr="00B4045D">
              <w:rPr>
                <w:rFonts w:eastAsia="Calibri"/>
                <w:lang w:eastAsia="en-US"/>
              </w:rPr>
              <w:t>2. panta 7.1 daļu, 6.1 panta piekto daļu, 15.1 panta ceturto daļu, 22. panta sesto daļu un pārejas noteikumu 125. punktu</w:t>
            </w:r>
            <w:r w:rsidR="00B4045D" w:rsidRPr="00B4045D">
              <w:rPr>
                <w:rFonts w:eastAsia="Calibri"/>
                <w:bCs/>
                <w:lang w:eastAsia="en-US"/>
              </w:rPr>
              <w:t>.</w:t>
            </w:r>
            <w:r w:rsidR="00A971B4" w:rsidRPr="00FE2743">
              <w:rPr>
                <w:rFonts w:eastAsia="Calibri"/>
                <w:lang w:eastAsia="en-US"/>
              </w:rPr>
              <w:t xml:space="preserve"> </w:t>
            </w:r>
          </w:p>
        </w:tc>
      </w:tr>
      <w:tr w:rsidR="009F107E" w:rsidRPr="00FE2743" w14:paraId="5FCBB623" w14:textId="77777777" w:rsidTr="00EA3B8F">
        <w:tc>
          <w:tcPr>
            <w:tcW w:w="496" w:type="dxa"/>
            <w:hideMark/>
          </w:tcPr>
          <w:p w14:paraId="75252C7A" w14:textId="77777777" w:rsidR="00032C63" w:rsidRPr="00FE2743" w:rsidRDefault="00032C63" w:rsidP="00032C63">
            <w:r w:rsidRPr="00FE2743">
              <w:t>2.</w:t>
            </w:r>
          </w:p>
        </w:tc>
        <w:tc>
          <w:tcPr>
            <w:tcW w:w="2193" w:type="dxa"/>
            <w:hideMark/>
          </w:tcPr>
          <w:p w14:paraId="2E2830E5" w14:textId="1C34742D" w:rsidR="00A15191" w:rsidRPr="00FE2743" w:rsidRDefault="003169F1" w:rsidP="003169F1">
            <w:pPr>
              <w:jc w:val="both"/>
            </w:pPr>
            <w:r w:rsidRPr="00FE2743">
              <w:t>Pašreizējā situācija un problēmas, kuru risināšanai tiesību akta projekts izstrādāts, tiesiskā regulējuma mērķis un būtība</w:t>
            </w:r>
          </w:p>
          <w:p w14:paraId="19BF9A8A" w14:textId="77777777" w:rsidR="00A15191" w:rsidRPr="00FE2743" w:rsidRDefault="00A15191" w:rsidP="00A15191"/>
          <w:p w14:paraId="010528B9" w14:textId="77777777" w:rsidR="00A15191" w:rsidRPr="00FE2743" w:rsidRDefault="00A15191" w:rsidP="00A15191"/>
          <w:p w14:paraId="6A2289E3" w14:textId="77777777" w:rsidR="00A15191" w:rsidRPr="00FE2743" w:rsidRDefault="00A15191" w:rsidP="00A15191"/>
          <w:p w14:paraId="7DB9FD75" w14:textId="77777777" w:rsidR="00A15191" w:rsidRPr="00FE2743" w:rsidRDefault="00A15191" w:rsidP="00A15191"/>
          <w:p w14:paraId="47DE1776" w14:textId="77777777" w:rsidR="00A15191" w:rsidRPr="00FE2743" w:rsidRDefault="00A15191" w:rsidP="00A15191"/>
          <w:p w14:paraId="0D56EB12" w14:textId="77777777" w:rsidR="00A15191" w:rsidRPr="00FE2743" w:rsidRDefault="00A15191" w:rsidP="00A15191"/>
          <w:p w14:paraId="35FF342A" w14:textId="77777777" w:rsidR="00A15191" w:rsidRPr="00FE2743" w:rsidRDefault="00A15191" w:rsidP="00A15191"/>
          <w:p w14:paraId="62190355" w14:textId="77777777" w:rsidR="00A15191" w:rsidRPr="00FE2743" w:rsidRDefault="00A15191" w:rsidP="00FC237E"/>
          <w:p w14:paraId="7B1C0BCB" w14:textId="77777777" w:rsidR="00A15191" w:rsidRPr="00FE2743" w:rsidRDefault="00A15191" w:rsidP="00A15191"/>
          <w:p w14:paraId="2359AD21" w14:textId="08286E19" w:rsidR="00A15191" w:rsidRPr="00FE2743" w:rsidRDefault="00B31F5A" w:rsidP="003D5FD1">
            <w:pPr>
              <w:tabs>
                <w:tab w:val="left" w:pos="489"/>
                <w:tab w:val="left" w:pos="1125"/>
              </w:tabs>
            </w:pPr>
            <w:r w:rsidRPr="00FE2743">
              <w:tab/>
            </w:r>
            <w:r w:rsidR="003D5FD1" w:rsidRPr="00FE2743">
              <w:tab/>
            </w:r>
          </w:p>
          <w:p w14:paraId="7F8F2BEA" w14:textId="220AD9DF" w:rsidR="00CF24A3" w:rsidRPr="00FE2743" w:rsidRDefault="00CF24A3" w:rsidP="00A15191">
            <w:pPr>
              <w:ind w:firstLine="720"/>
            </w:pPr>
          </w:p>
          <w:p w14:paraId="7E347E5C" w14:textId="77777777" w:rsidR="00CF24A3" w:rsidRPr="00FE2743" w:rsidRDefault="00CF24A3" w:rsidP="00CF24A3"/>
          <w:p w14:paraId="468E4EE8" w14:textId="77777777" w:rsidR="00CF24A3" w:rsidRPr="00FE2743" w:rsidRDefault="00CF24A3" w:rsidP="00CF24A3"/>
          <w:p w14:paraId="36F49A79" w14:textId="77777777" w:rsidR="00CF24A3" w:rsidRPr="00FE2743" w:rsidRDefault="00CF24A3" w:rsidP="00CF24A3"/>
          <w:p w14:paraId="3092DB1A" w14:textId="77777777" w:rsidR="00CF24A3" w:rsidRPr="00FE2743" w:rsidRDefault="00CF24A3" w:rsidP="00CF24A3"/>
          <w:p w14:paraId="5E2B5338" w14:textId="77777777" w:rsidR="00CF24A3" w:rsidRPr="00FE2743" w:rsidRDefault="00CF24A3" w:rsidP="00CF24A3"/>
          <w:p w14:paraId="74D150A5" w14:textId="77777777" w:rsidR="00CF24A3" w:rsidRPr="00FE2743" w:rsidRDefault="00CF24A3" w:rsidP="00CF24A3"/>
          <w:p w14:paraId="00BF6B4B" w14:textId="77777777" w:rsidR="00CF24A3" w:rsidRPr="00FE2743" w:rsidRDefault="00CF24A3" w:rsidP="00CF24A3"/>
          <w:p w14:paraId="3FBBC740" w14:textId="77777777" w:rsidR="00CF24A3" w:rsidRPr="00FE2743" w:rsidRDefault="00CF24A3" w:rsidP="00CF24A3"/>
          <w:p w14:paraId="696671E9" w14:textId="77777777" w:rsidR="00CF24A3" w:rsidRPr="00FE2743" w:rsidRDefault="00CF24A3" w:rsidP="00CF24A3"/>
          <w:p w14:paraId="4530CAED" w14:textId="77777777" w:rsidR="00CF24A3" w:rsidRPr="00FE2743" w:rsidRDefault="00CF24A3" w:rsidP="00CF24A3"/>
          <w:p w14:paraId="362F80D0" w14:textId="77777777" w:rsidR="00CF24A3" w:rsidRPr="00FE2743" w:rsidRDefault="00CF24A3" w:rsidP="00CF24A3"/>
          <w:p w14:paraId="1C22BA71" w14:textId="77777777" w:rsidR="00CF24A3" w:rsidRPr="00FE2743" w:rsidRDefault="00CF24A3" w:rsidP="00CF24A3"/>
          <w:p w14:paraId="5E6C8F59" w14:textId="77777777" w:rsidR="00CF24A3" w:rsidRPr="00FE2743" w:rsidRDefault="00CF24A3" w:rsidP="00CF24A3"/>
          <w:p w14:paraId="52188E8D" w14:textId="77777777" w:rsidR="00CF24A3" w:rsidRPr="00FE2743" w:rsidRDefault="00CF24A3" w:rsidP="00CF24A3"/>
          <w:p w14:paraId="097C27DA" w14:textId="77777777" w:rsidR="00CF24A3" w:rsidRPr="00FE2743" w:rsidRDefault="00CF24A3" w:rsidP="00CF24A3"/>
          <w:p w14:paraId="69996BA3" w14:textId="77777777" w:rsidR="00CF24A3" w:rsidRPr="00FE2743" w:rsidRDefault="00CF24A3" w:rsidP="00CF24A3"/>
          <w:p w14:paraId="0879F4FF" w14:textId="77777777" w:rsidR="00CF24A3" w:rsidRPr="00FE2743" w:rsidRDefault="00CF24A3" w:rsidP="00CF24A3"/>
          <w:p w14:paraId="46761420" w14:textId="77777777" w:rsidR="00CF24A3" w:rsidRPr="00FE2743" w:rsidRDefault="00CF24A3" w:rsidP="00CF24A3"/>
          <w:p w14:paraId="77CD6AF0" w14:textId="77777777" w:rsidR="00CF24A3" w:rsidRPr="00FE2743" w:rsidRDefault="00CF24A3" w:rsidP="00CF24A3"/>
          <w:p w14:paraId="0CC69257" w14:textId="77777777" w:rsidR="00CF24A3" w:rsidRPr="00FE2743" w:rsidRDefault="00CF24A3" w:rsidP="00CF24A3"/>
          <w:p w14:paraId="54472C84" w14:textId="77777777" w:rsidR="00CF24A3" w:rsidRPr="00FE2743" w:rsidRDefault="00CF24A3" w:rsidP="00CF24A3"/>
          <w:p w14:paraId="5C03C6FE" w14:textId="77777777" w:rsidR="00CF24A3" w:rsidRPr="00FE2743" w:rsidRDefault="00CF24A3" w:rsidP="00CF24A3"/>
          <w:p w14:paraId="4CC709D6" w14:textId="77777777" w:rsidR="00CF24A3" w:rsidRPr="00FE2743" w:rsidRDefault="00CF24A3" w:rsidP="00CF24A3"/>
          <w:p w14:paraId="1821A035" w14:textId="77777777" w:rsidR="00CF24A3" w:rsidRPr="00FE2743" w:rsidRDefault="00CF24A3" w:rsidP="00CF24A3"/>
          <w:p w14:paraId="27CEE860" w14:textId="77777777" w:rsidR="00CF24A3" w:rsidRPr="00FE2743" w:rsidRDefault="00CF24A3" w:rsidP="00CF24A3"/>
          <w:p w14:paraId="15AF0053" w14:textId="77777777" w:rsidR="00CF24A3" w:rsidRPr="00FE2743" w:rsidRDefault="00CF24A3" w:rsidP="00CF24A3"/>
          <w:p w14:paraId="69D0F2C9" w14:textId="77777777" w:rsidR="00CF24A3" w:rsidRPr="00FE2743" w:rsidRDefault="00CF24A3" w:rsidP="00CF24A3"/>
          <w:p w14:paraId="42A7C8B2" w14:textId="77777777" w:rsidR="00CF24A3" w:rsidRPr="00FE2743" w:rsidRDefault="00CF24A3" w:rsidP="00CF24A3"/>
          <w:p w14:paraId="40B8B413" w14:textId="77777777" w:rsidR="00CF24A3" w:rsidRPr="00FE2743" w:rsidRDefault="00CF24A3" w:rsidP="00CF24A3"/>
          <w:p w14:paraId="3B8BE737" w14:textId="77777777" w:rsidR="00CF24A3" w:rsidRPr="00FE2743" w:rsidRDefault="00CF24A3" w:rsidP="00CF24A3"/>
          <w:p w14:paraId="78972D74" w14:textId="77777777" w:rsidR="00CF24A3" w:rsidRPr="00FE2743" w:rsidRDefault="00CF24A3" w:rsidP="00CF24A3"/>
          <w:p w14:paraId="574FE899" w14:textId="77777777" w:rsidR="00CF24A3" w:rsidRPr="00FE2743" w:rsidRDefault="00CF24A3" w:rsidP="00CF24A3"/>
          <w:p w14:paraId="699A6031" w14:textId="77777777" w:rsidR="00CF24A3" w:rsidRPr="00FE2743" w:rsidRDefault="00CF24A3" w:rsidP="00CF24A3"/>
          <w:p w14:paraId="74F32572" w14:textId="77777777" w:rsidR="00CF24A3" w:rsidRPr="00FE2743" w:rsidRDefault="00CF24A3" w:rsidP="00CF24A3"/>
          <w:p w14:paraId="58B1B7E0" w14:textId="77777777" w:rsidR="00CF24A3" w:rsidRPr="00FE2743" w:rsidRDefault="00CF24A3" w:rsidP="00CF24A3"/>
          <w:p w14:paraId="42999992" w14:textId="77777777" w:rsidR="00CF24A3" w:rsidRPr="00FE2743" w:rsidRDefault="00CF24A3" w:rsidP="00CF24A3"/>
          <w:p w14:paraId="76101B3E" w14:textId="77777777" w:rsidR="00CF24A3" w:rsidRPr="00FE2743" w:rsidRDefault="00CF24A3" w:rsidP="00CF24A3"/>
          <w:p w14:paraId="7CF164F7" w14:textId="77777777" w:rsidR="00CF24A3" w:rsidRPr="00FE2743" w:rsidRDefault="00CF24A3" w:rsidP="00CF24A3"/>
          <w:p w14:paraId="56235265" w14:textId="77777777" w:rsidR="00CF24A3" w:rsidRPr="00FE2743" w:rsidRDefault="00CF24A3" w:rsidP="00CF24A3"/>
          <w:p w14:paraId="7F01C0B0" w14:textId="77777777" w:rsidR="00CF24A3" w:rsidRPr="00FE2743" w:rsidRDefault="00CF24A3" w:rsidP="00CF24A3"/>
          <w:p w14:paraId="11D44CDE" w14:textId="77777777" w:rsidR="00CF24A3" w:rsidRPr="00FE2743" w:rsidRDefault="00CF24A3" w:rsidP="00CF24A3"/>
          <w:p w14:paraId="3F6E7522" w14:textId="77777777" w:rsidR="00CF24A3" w:rsidRPr="00FE2743" w:rsidRDefault="00CF24A3" w:rsidP="00CF24A3"/>
          <w:p w14:paraId="3DF7F383" w14:textId="77777777" w:rsidR="00CF24A3" w:rsidRPr="00FE2743" w:rsidRDefault="00CF24A3" w:rsidP="00CF24A3"/>
          <w:p w14:paraId="49C558B4" w14:textId="77777777" w:rsidR="00CF24A3" w:rsidRPr="00FE2743" w:rsidRDefault="00CF24A3" w:rsidP="00CF24A3"/>
          <w:p w14:paraId="28C65CBA" w14:textId="77777777" w:rsidR="00CF24A3" w:rsidRPr="00FE2743" w:rsidRDefault="00CF24A3" w:rsidP="00CF24A3"/>
          <w:p w14:paraId="1B5BDD99" w14:textId="77777777" w:rsidR="00CF24A3" w:rsidRPr="00FE2743" w:rsidRDefault="00CF24A3" w:rsidP="00CF24A3"/>
          <w:p w14:paraId="74606E64" w14:textId="77777777" w:rsidR="00CF24A3" w:rsidRPr="00FE2743" w:rsidRDefault="00CF24A3" w:rsidP="00CF24A3"/>
          <w:p w14:paraId="3BA37F8E" w14:textId="77777777" w:rsidR="00CF24A3" w:rsidRPr="00FE2743" w:rsidRDefault="00CF24A3" w:rsidP="00CF24A3"/>
          <w:p w14:paraId="4F124C36" w14:textId="77777777" w:rsidR="00CF24A3" w:rsidRPr="00FE2743" w:rsidRDefault="00CF24A3" w:rsidP="00CF24A3"/>
          <w:p w14:paraId="1554F3F1" w14:textId="0A613A9D" w:rsidR="00032C63" w:rsidRPr="00FE2743" w:rsidRDefault="00032C63" w:rsidP="00CF24A3"/>
        </w:tc>
        <w:tc>
          <w:tcPr>
            <w:tcW w:w="6633" w:type="dxa"/>
          </w:tcPr>
          <w:p w14:paraId="700E44A9" w14:textId="3224AB7A" w:rsidR="002B2C16" w:rsidRPr="00FE2743" w:rsidRDefault="00A971B4" w:rsidP="00FE2743">
            <w:pPr>
              <w:pStyle w:val="NormalWeb"/>
              <w:spacing w:before="0" w:beforeAutospacing="0" w:after="0" w:afterAutospacing="0"/>
              <w:ind w:left="-108" w:firstLine="567"/>
              <w:jc w:val="both"/>
            </w:pPr>
            <w:r w:rsidRPr="00FE2743">
              <w:lastRenderedPageBreak/>
              <w:t xml:space="preserve">Šobrīd akcīzes nodokļa likmei dabasgāzei, ko izmanto transportam, ir samazināta </w:t>
            </w:r>
            <w:r w:rsidR="002B2C16" w:rsidRPr="00FE2743">
              <w:t xml:space="preserve">balstoties </w:t>
            </w:r>
            <w:r w:rsidRPr="00FE2743">
              <w:t xml:space="preserve">uz </w:t>
            </w:r>
            <w:proofErr w:type="spellStart"/>
            <w:r w:rsidRPr="00FE2743">
              <w:rPr>
                <w:i/>
                <w:iCs/>
              </w:rPr>
              <w:t>de</w:t>
            </w:r>
            <w:proofErr w:type="spellEnd"/>
            <w:r w:rsidRPr="00FE2743">
              <w:rPr>
                <w:i/>
                <w:iCs/>
              </w:rPr>
              <w:t xml:space="preserve"> </w:t>
            </w:r>
            <w:proofErr w:type="spellStart"/>
            <w:r w:rsidRPr="00FE2743">
              <w:rPr>
                <w:i/>
                <w:iCs/>
              </w:rPr>
              <w:t>minimis</w:t>
            </w:r>
            <w:proofErr w:type="spellEnd"/>
            <w:r w:rsidRPr="00FE2743">
              <w:t xml:space="preserve"> atbalsta</w:t>
            </w:r>
            <w:r w:rsidR="00FE2743">
              <w:t xml:space="preserve"> mehānisma</w:t>
            </w:r>
            <w:r w:rsidRPr="00FE2743">
              <w:t xml:space="preserve"> pamat</w:t>
            </w:r>
            <w:r w:rsidR="00FE2743">
              <w:t>a</w:t>
            </w:r>
            <w:r w:rsidRPr="00FE2743">
              <w:t xml:space="preserve">. </w:t>
            </w:r>
            <w:r w:rsidR="00FE2743">
              <w:t>S</w:t>
            </w:r>
            <w:r w:rsidR="004E7F57" w:rsidRPr="00FE2743">
              <w:t xml:space="preserve">ākot ar 2021. gada pavasari, izmainījušās </w:t>
            </w:r>
            <w:r w:rsidR="00E266D7" w:rsidRPr="00FE2743">
              <w:t xml:space="preserve">dabasgāzes kā degvielas  transportam tirgus </w:t>
            </w:r>
            <w:r w:rsidR="004E7F57" w:rsidRPr="00FE2743">
              <w:t>att</w:t>
            </w:r>
            <w:r w:rsidR="00B95E25" w:rsidRPr="00FE2743">
              <w:t>ī</w:t>
            </w:r>
            <w:r w:rsidR="004E7F57" w:rsidRPr="00FE2743">
              <w:t>stības prognozes, kas indikatīvi nosaka</w:t>
            </w:r>
            <w:r w:rsidR="002B2C16" w:rsidRPr="00FE2743">
              <w:t>, ka jau no</w:t>
            </w:r>
            <w:r w:rsidR="004E7F57" w:rsidRPr="00FE2743">
              <w:t xml:space="preserve"> 2021. gada decembr</w:t>
            </w:r>
            <w:r w:rsidR="002B2C16" w:rsidRPr="00FE2743">
              <w:t xml:space="preserve">a būs izsmelts </w:t>
            </w:r>
            <w:proofErr w:type="spellStart"/>
            <w:r w:rsidR="002B2C16" w:rsidRPr="00FE2743">
              <w:rPr>
                <w:i/>
                <w:iCs/>
              </w:rPr>
              <w:t>de</w:t>
            </w:r>
            <w:proofErr w:type="spellEnd"/>
            <w:r w:rsidR="002B2C16" w:rsidRPr="00FE2743">
              <w:rPr>
                <w:i/>
                <w:iCs/>
              </w:rPr>
              <w:t xml:space="preserve"> </w:t>
            </w:r>
            <w:proofErr w:type="spellStart"/>
            <w:r w:rsidR="002B2C16" w:rsidRPr="00FE2743">
              <w:rPr>
                <w:i/>
                <w:iCs/>
              </w:rPr>
              <w:t>minimis</w:t>
            </w:r>
            <w:proofErr w:type="spellEnd"/>
            <w:r w:rsidR="002B2C16" w:rsidRPr="00FE2743">
              <w:t xml:space="preserve"> ietvaros sniedzamais atbalsts. Tā rezultātā, </w:t>
            </w:r>
            <w:r w:rsidR="007563A7">
              <w:t>l</w:t>
            </w:r>
            <w:r w:rsidR="002B2C16" w:rsidRPr="00FE2743">
              <w:t>ikuma grozījumi, kas stājās spēkā 2021.gada [</w:t>
            </w:r>
            <w:proofErr w:type="spellStart"/>
            <w:r w:rsidR="002B2C16" w:rsidRPr="00FE2743">
              <w:t>xx.septembrī</w:t>
            </w:r>
            <w:proofErr w:type="spellEnd"/>
            <w:r w:rsidR="002B2C16" w:rsidRPr="00FE2743">
              <w:t xml:space="preserve">], </w:t>
            </w:r>
            <w:r w:rsidR="005612F6" w:rsidRPr="005612F6">
              <w:t xml:space="preserve">paredz, </w:t>
            </w:r>
            <w:r w:rsidR="005612F6">
              <w:t>k</w:t>
            </w:r>
            <w:r w:rsidR="005612F6" w:rsidRPr="005612F6">
              <w:t>a turpmāk tiks noteikts nodokļu likmes samazinājums, kas uzskatāms par valsts atvalstu.</w:t>
            </w:r>
            <w:bookmarkStart w:id="1" w:name="_GoBack"/>
            <w:bookmarkEnd w:id="1"/>
            <w:r w:rsidR="004E7F57" w:rsidRPr="00FE2743">
              <w:t xml:space="preserve"> </w:t>
            </w:r>
            <w:r w:rsidR="002B2C16" w:rsidRPr="00FE2743">
              <w:t>Šāds valsts atbalsts sniedzams</w:t>
            </w:r>
            <w:r w:rsidR="00E266D7" w:rsidRPr="00FE2743">
              <w:t xml:space="preserve"> ievērojot </w:t>
            </w:r>
            <w:r w:rsidR="002A22CE" w:rsidRPr="00FE2743">
              <w:t xml:space="preserve">Eiropas </w:t>
            </w:r>
            <w:r w:rsidR="00E266D7" w:rsidRPr="00FE2743">
              <w:t xml:space="preserve">Komisijas 2014. gada 28. jūnija paziņojuma Nr. 2014/C 200/01  “Pamatnostādnes par valsts atbalstu vides aizsardzībai un enerģētikai 2014.–2020. gadam” </w:t>
            </w:r>
            <w:r w:rsidR="00126C84" w:rsidRPr="00FE2743">
              <w:t xml:space="preserve">(turpmāk – Pamatnostādnes) </w:t>
            </w:r>
            <w:r w:rsidR="00E266D7" w:rsidRPr="00FE2743">
              <w:t>nosacījumus</w:t>
            </w:r>
            <w:r w:rsidR="002B2C16" w:rsidRPr="00FE2743">
              <w:t>:</w:t>
            </w:r>
            <w:r w:rsidR="00E266D7" w:rsidRPr="00FE2743">
              <w:t xml:space="preserve"> </w:t>
            </w:r>
          </w:p>
          <w:p w14:paraId="31D3C547" w14:textId="77777777" w:rsidR="002B2C16" w:rsidRPr="00FE2743" w:rsidRDefault="00E266D7" w:rsidP="00FE2743">
            <w:pPr>
              <w:pStyle w:val="NormalWeb"/>
              <w:numPr>
                <w:ilvl w:val="0"/>
                <w:numId w:val="20"/>
              </w:numPr>
              <w:spacing w:before="0" w:beforeAutospacing="0" w:after="0" w:afterAutospacing="0"/>
              <w:ind w:left="453"/>
              <w:jc w:val="both"/>
            </w:pPr>
            <w:r w:rsidRPr="00FE2743">
              <w:lastRenderedPageBreak/>
              <w:t xml:space="preserve">atbilstoši 18 (i) apakšpunktā “atbalsts samazinātu vides nodokļu vai atbrīvojumu no tiem” noteiktajai atbalsta pasākuma definīcijai, </w:t>
            </w:r>
          </w:p>
          <w:p w14:paraId="04D3AC3F" w14:textId="083DD54C" w:rsidR="002B2C16" w:rsidRPr="00FE2743" w:rsidRDefault="00E266D7" w:rsidP="002B2C16">
            <w:pPr>
              <w:pStyle w:val="NormalWeb"/>
              <w:numPr>
                <w:ilvl w:val="0"/>
                <w:numId w:val="20"/>
              </w:numPr>
              <w:spacing w:before="0" w:beforeAutospacing="0" w:after="0" w:afterAutospacing="0"/>
              <w:ind w:left="453"/>
              <w:jc w:val="both"/>
            </w:pPr>
            <w:r w:rsidRPr="00FE2743">
              <w:t>ievērojot 3.1. iedaļā “Kopējie novērtēšanas principi” norādīt</w:t>
            </w:r>
            <w:r w:rsidR="002B2C16" w:rsidRPr="00FE2743">
              <w:t>o</w:t>
            </w:r>
            <w:r w:rsidRPr="00FE2743">
              <w:t xml:space="preserve">s atbilstības kritērijus, </w:t>
            </w:r>
          </w:p>
          <w:p w14:paraId="620EED3A" w14:textId="0FFBAB54" w:rsidR="002B2C16" w:rsidRPr="00FE2743" w:rsidRDefault="002B2C16" w:rsidP="00FE2743">
            <w:pPr>
              <w:pStyle w:val="NormalWeb"/>
              <w:numPr>
                <w:ilvl w:val="0"/>
                <w:numId w:val="20"/>
              </w:numPr>
              <w:spacing w:before="0" w:beforeAutospacing="0" w:after="0" w:afterAutospacing="0"/>
              <w:ind w:left="453"/>
              <w:jc w:val="both"/>
            </w:pPr>
            <w:r w:rsidRPr="00FE2743">
              <w:t xml:space="preserve">ievērojot </w:t>
            </w:r>
            <w:r w:rsidR="00E266D7" w:rsidRPr="00FE2743">
              <w:t xml:space="preserve">3.2. iedaļā “Vispārējie saderīguma nosacījumi” norādītos vispārējos atbalsta saderīguma nosacījumus, </w:t>
            </w:r>
          </w:p>
          <w:p w14:paraId="3E02EB7A" w14:textId="472C7A2F" w:rsidR="00126C84" w:rsidRPr="00FE2743" w:rsidRDefault="00E266D7" w:rsidP="00FE2743">
            <w:pPr>
              <w:pStyle w:val="NormalWeb"/>
              <w:numPr>
                <w:ilvl w:val="0"/>
                <w:numId w:val="20"/>
              </w:numPr>
              <w:spacing w:before="0" w:beforeAutospacing="0" w:after="0" w:afterAutospacing="0"/>
              <w:ind w:left="453"/>
              <w:jc w:val="both"/>
            </w:pPr>
            <w:r w:rsidRPr="00FE2743">
              <w:t xml:space="preserve">ievērojot atbalsta definīcijai piekritīgus 3.7.1. </w:t>
            </w:r>
            <w:proofErr w:type="spellStart"/>
            <w:r w:rsidRPr="00FE2743">
              <w:t>apakšiedaļā</w:t>
            </w:r>
            <w:proofErr w:type="spellEnd"/>
            <w:r w:rsidRPr="00FE2743">
              <w:t xml:space="preserve"> “Atbalsts samazinātu vides nodokļu vai atbrīvojumu no tiem veidā” norādītos nosacījumus vai Eiropas Savienības tiesību akta, kas aizstāj Komisijas paziņojumu, nosacījumus</w:t>
            </w:r>
            <w:r w:rsidR="00126C84" w:rsidRPr="00FE2743">
              <w:t>.</w:t>
            </w:r>
          </w:p>
          <w:p w14:paraId="7136ABA8" w14:textId="31927925" w:rsidR="002B2C16" w:rsidRPr="00FE2743" w:rsidRDefault="002A5DEF" w:rsidP="006B144C">
            <w:pPr>
              <w:pStyle w:val="NormalWeb"/>
              <w:spacing w:before="0" w:beforeAutospacing="0" w:after="0" w:afterAutospacing="0"/>
              <w:ind w:left="-108" w:firstLine="567"/>
              <w:jc w:val="both"/>
            </w:pPr>
            <w:r w:rsidRPr="00FE2743">
              <w:t>Ņemot vērā to, ka izstrādājot atbalsta pasākumu, kas tiks ieviests atbilstoši Eiropas Komisijas pieņemtām vadlīnijām, ziņojumiem, paziņojumiem, nostādnēm vai pamatnostādnēm, noteikumu projektā ir paredzēts iekļaut un pārņemt visas nepieciešamās prasībās no minētām Pamatnostādnēm, tostarp noteikumu projektā tiek noteikt</w:t>
            </w:r>
            <w:r w:rsidR="0060542C">
              <w:t>i</w:t>
            </w:r>
            <w:r w:rsidR="002B2C16" w:rsidRPr="00FE2743">
              <w:t>:</w:t>
            </w:r>
            <w:r w:rsidR="006B144C" w:rsidRPr="00FE2743">
              <w:t xml:space="preserve"> </w:t>
            </w:r>
          </w:p>
          <w:p w14:paraId="50E55BA7" w14:textId="7DBFE305" w:rsidR="002B2C16" w:rsidRPr="00FE2743" w:rsidRDefault="0060542C" w:rsidP="00FE2743">
            <w:pPr>
              <w:pStyle w:val="NormalWeb"/>
              <w:numPr>
                <w:ilvl w:val="0"/>
                <w:numId w:val="21"/>
              </w:numPr>
              <w:spacing w:before="0" w:beforeAutospacing="0" w:after="0" w:afterAutospacing="0"/>
              <w:ind w:left="453"/>
              <w:jc w:val="both"/>
            </w:pPr>
            <w:r>
              <w:t xml:space="preserve">nosacījumi un </w:t>
            </w:r>
            <w:r w:rsidR="006B144C" w:rsidRPr="00FE2743">
              <w:t>kārtība</w:t>
            </w:r>
            <w:r w:rsidR="00126C84" w:rsidRPr="00FE2743">
              <w:t>, kādā pie</w:t>
            </w:r>
            <w:r w:rsidR="00DF4ADB" w:rsidRPr="00FE2743">
              <w:t xml:space="preserve">mēro </w:t>
            </w:r>
            <w:r w:rsidR="007563A7">
              <w:t>l</w:t>
            </w:r>
            <w:r w:rsidR="00DF4ADB" w:rsidRPr="00FE2743">
              <w:t xml:space="preserve">ikuma </w:t>
            </w:r>
            <w:r w:rsidR="007563A7">
              <w:t>p</w:t>
            </w:r>
            <w:r w:rsidR="00DF4ADB" w:rsidRPr="00FE2743">
              <w:t>ārejas noteikumu 125. punktā noteikto nodokļa likmi</w:t>
            </w:r>
            <w:r w:rsidR="001602DE" w:rsidRPr="00FE2743">
              <w:t xml:space="preserve"> 1</w:t>
            </w:r>
            <w:r w:rsidR="00741694" w:rsidRPr="00FE2743">
              <w:t>,</w:t>
            </w:r>
            <w:r w:rsidR="001602DE" w:rsidRPr="00FE2743">
              <w:t xml:space="preserve">91 </w:t>
            </w:r>
            <w:proofErr w:type="spellStart"/>
            <w:r w:rsidR="001602DE" w:rsidRPr="00FE2743">
              <w:t>euro</w:t>
            </w:r>
            <w:proofErr w:type="spellEnd"/>
            <w:r w:rsidR="001602DE" w:rsidRPr="00FE2743">
              <w:t xml:space="preserve"> par </w:t>
            </w:r>
            <w:r w:rsidR="00DF4ADB" w:rsidRPr="00FE2743">
              <w:t xml:space="preserve"> </w:t>
            </w:r>
            <w:proofErr w:type="spellStart"/>
            <w:r w:rsidR="00415141" w:rsidRPr="00FE2743">
              <w:t>MWh</w:t>
            </w:r>
            <w:proofErr w:type="spellEnd"/>
            <w:r w:rsidR="00415141" w:rsidRPr="00FE2743">
              <w:t xml:space="preserve"> </w:t>
            </w:r>
            <w:r w:rsidR="00DF4ADB" w:rsidRPr="00FE2743">
              <w:t>un izvērtē nodokļa maksātāja atbilstību tās piemērošanai,</w:t>
            </w:r>
            <w:r w:rsidR="006B144C" w:rsidRPr="00FE2743">
              <w:t xml:space="preserve"> </w:t>
            </w:r>
          </w:p>
          <w:p w14:paraId="555A74E8" w14:textId="77777777" w:rsidR="002B2C16" w:rsidRPr="00FE2743" w:rsidRDefault="001602DE" w:rsidP="00FE2743">
            <w:pPr>
              <w:pStyle w:val="NormalWeb"/>
              <w:numPr>
                <w:ilvl w:val="0"/>
                <w:numId w:val="21"/>
              </w:numPr>
              <w:spacing w:before="0" w:beforeAutospacing="0" w:after="0" w:afterAutospacing="0"/>
              <w:ind w:left="453"/>
              <w:jc w:val="both"/>
            </w:pPr>
            <w:r w:rsidRPr="00FE2743">
              <w:t>kār</w:t>
            </w:r>
            <w:r w:rsidR="00945401" w:rsidRPr="00FE2743">
              <w:t>tīb</w:t>
            </w:r>
            <w:r w:rsidR="006B144C" w:rsidRPr="00FE2743">
              <w:t>a</w:t>
            </w:r>
            <w:r w:rsidR="00DF4ADB" w:rsidRPr="00FE2743">
              <w:t>, kādā piešķir vai anulē tiesības piemērot</w:t>
            </w:r>
            <w:r w:rsidR="006B144C" w:rsidRPr="00FE2743">
              <w:t xml:space="preserve"> Pārejas noteikumu 125. punktā noteikto nodokļa likmi</w:t>
            </w:r>
            <w:r w:rsidR="00DF4ADB" w:rsidRPr="00FE2743">
              <w:t>,</w:t>
            </w:r>
            <w:r w:rsidR="006B144C" w:rsidRPr="00FE2743">
              <w:t xml:space="preserve"> </w:t>
            </w:r>
          </w:p>
          <w:p w14:paraId="63A91A5F" w14:textId="77777777" w:rsidR="002B2C16" w:rsidRPr="00FE2743" w:rsidRDefault="00DF4ADB" w:rsidP="00FE2743">
            <w:pPr>
              <w:pStyle w:val="NormalWeb"/>
              <w:numPr>
                <w:ilvl w:val="0"/>
                <w:numId w:val="21"/>
              </w:numPr>
              <w:spacing w:before="0" w:beforeAutospacing="0" w:after="0" w:afterAutospacing="0"/>
              <w:ind w:left="453"/>
              <w:jc w:val="both"/>
            </w:pPr>
            <w:r w:rsidRPr="00FE2743">
              <w:t>kārtīb</w:t>
            </w:r>
            <w:r w:rsidR="006B144C" w:rsidRPr="00FE2743">
              <w:t>a</w:t>
            </w:r>
            <w:r w:rsidRPr="00FE2743">
              <w:t>, kādā tiek aprēķināts un atgūts nelikumīgs komercdarbības atbalsts kopā ar procentiem, ja nodokļa maksātājs nepamatoti piemērojis minēto nodokļa likmi,</w:t>
            </w:r>
            <w:r w:rsidR="006B144C" w:rsidRPr="00FE2743">
              <w:t xml:space="preserve"> </w:t>
            </w:r>
          </w:p>
          <w:p w14:paraId="10BC009C" w14:textId="0A43BCA7" w:rsidR="006B144C" w:rsidRPr="00FE2743" w:rsidRDefault="006B144C" w:rsidP="00FE2743">
            <w:pPr>
              <w:pStyle w:val="NormalWeb"/>
              <w:numPr>
                <w:ilvl w:val="0"/>
                <w:numId w:val="21"/>
              </w:numPr>
              <w:spacing w:before="0" w:beforeAutospacing="0" w:after="0" w:afterAutospacing="0"/>
              <w:ind w:left="453"/>
              <w:jc w:val="both"/>
            </w:pPr>
            <w:r w:rsidRPr="00FE2743">
              <w:t>kārtība</w:t>
            </w:r>
            <w:r w:rsidR="00945401" w:rsidRPr="00FE2743">
              <w:t>,</w:t>
            </w:r>
            <w:r w:rsidR="00DF4ADB" w:rsidRPr="00FE2743">
              <w:t xml:space="preserve"> </w:t>
            </w:r>
            <w:r w:rsidR="00945401" w:rsidRPr="00FE2743">
              <w:t>kādā</w:t>
            </w:r>
            <w:r w:rsidRPr="00FE2743">
              <w:t xml:space="preserve"> ti</w:t>
            </w:r>
            <w:r w:rsidR="00B95E25" w:rsidRPr="00FE2743">
              <w:t>e</w:t>
            </w:r>
            <w:r w:rsidRPr="00FE2743">
              <w:t>k</w:t>
            </w:r>
            <w:r w:rsidR="00945401" w:rsidRPr="00FE2743">
              <w:t xml:space="preserve"> a</w:t>
            </w:r>
            <w:r w:rsidR="00B95E25" w:rsidRPr="00FE2743">
              <w:t>d</w:t>
            </w:r>
            <w:r w:rsidR="00945401" w:rsidRPr="00FE2743">
              <w:t xml:space="preserve">ministrēta </w:t>
            </w:r>
            <w:r w:rsidR="00DF4ADB" w:rsidRPr="00FE2743">
              <w:t xml:space="preserve">minētās nodokļa likmes </w:t>
            </w:r>
            <w:r w:rsidR="00945401" w:rsidRPr="00FE2743">
              <w:t>sniegšana.</w:t>
            </w:r>
          </w:p>
          <w:p w14:paraId="000AD178" w14:textId="0E3453F1" w:rsidR="00DF214D" w:rsidRPr="00FE2743" w:rsidRDefault="00DF214D" w:rsidP="00DF214D">
            <w:pPr>
              <w:pStyle w:val="tv213"/>
              <w:shd w:val="clear" w:color="auto" w:fill="FFFFFF"/>
              <w:spacing w:before="0" w:beforeAutospacing="0" w:after="0" w:afterAutospacing="0" w:line="293" w:lineRule="atLeast"/>
              <w:ind w:left="-110" w:firstLine="410"/>
              <w:jc w:val="both"/>
            </w:pPr>
            <w:bookmarkStart w:id="2" w:name="_Hlk74056957"/>
            <w:r w:rsidRPr="00FE2743">
              <w:t>Līdz ar to atbilstoši komp</w:t>
            </w:r>
            <w:r w:rsidR="00496917" w:rsidRPr="00FE2743">
              <w:t>e</w:t>
            </w:r>
            <w:r w:rsidRPr="00FE2743">
              <w:t xml:space="preserve">tencei </w:t>
            </w:r>
            <w:r w:rsidR="00496917" w:rsidRPr="00FE2743">
              <w:t xml:space="preserve">Būvniecības valsts kontroles birojam </w:t>
            </w:r>
            <w:r w:rsidR="00A050DF" w:rsidRPr="00FE2743">
              <w:t xml:space="preserve">(turpmāk – </w:t>
            </w:r>
            <w:r w:rsidR="00496917" w:rsidRPr="00FE2743">
              <w:t>BVKB</w:t>
            </w:r>
            <w:r w:rsidR="00A050DF" w:rsidRPr="00FE2743">
              <w:t>)</w:t>
            </w:r>
            <w:r w:rsidRPr="00FE2743">
              <w:t xml:space="preserve"> būs jāveic dabasgāzes</w:t>
            </w:r>
            <w:r w:rsidR="00496917" w:rsidRPr="00FE2743">
              <w:t xml:space="preserve"> kā degvielas transportam tirgotāju </w:t>
            </w:r>
            <w:r w:rsidR="00233493" w:rsidRPr="00FE2743">
              <w:t>iesniegumu</w:t>
            </w:r>
            <w:r w:rsidR="00281782" w:rsidRPr="00FE2743">
              <w:t xml:space="preserve"> (</w:t>
            </w:r>
            <w:r w:rsidR="002B2C16" w:rsidRPr="00FE2743">
              <w:t xml:space="preserve">Noteikumu projekta </w:t>
            </w:r>
            <w:r w:rsidR="00496917" w:rsidRPr="00FE2743">
              <w:t>1</w:t>
            </w:r>
            <w:r w:rsidR="00281782" w:rsidRPr="00FE2743">
              <w:t>.</w:t>
            </w:r>
            <w:r w:rsidR="00142794" w:rsidRPr="00FE2743">
              <w:t xml:space="preserve"> </w:t>
            </w:r>
            <w:r w:rsidR="00281782" w:rsidRPr="00FE2743">
              <w:t>pie</w:t>
            </w:r>
            <w:r w:rsidR="00142794" w:rsidRPr="00FE2743">
              <w:t>l</w:t>
            </w:r>
            <w:r w:rsidR="00281782" w:rsidRPr="00FE2743">
              <w:t>ikums)</w:t>
            </w:r>
            <w:r w:rsidR="00233493" w:rsidRPr="00FE2743">
              <w:t xml:space="preserve"> izvērtēšana, to</w:t>
            </w:r>
            <w:r w:rsidR="00415141" w:rsidRPr="00FE2743">
              <w:t xml:space="preserve">starp </w:t>
            </w:r>
            <w:r w:rsidRPr="00FE2743">
              <w:t xml:space="preserve"> </w:t>
            </w:r>
            <w:r w:rsidR="00415141" w:rsidRPr="00FE2743">
              <w:t xml:space="preserve">vērtējot </w:t>
            </w:r>
            <w:r w:rsidR="00120B9B">
              <w:t xml:space="preserve">valsts atbalsta saņēmēja, t.i. dabasgāzes kā degvielas transportam tirgotāja </w:t>
            </w:r>
            <w:r w:rsidR="00813A06" w:rsidRPr="00FE2743">
              <w:t>atbilstīb</w:t>
            </w:r>
            <w:r w:rsidR="00415141" w:rsidRPr="00FE2743">
              <w:t>u</w:t>
            </w:r>
            <w:r w:rsidR="00813A06" w:rsidRPr="00FE2743">
              <w:t xml:space="preserve"> </w:t>
            </w:r>
            <w:r w:rsidR="00A2302A" w:rsidRPr="00FE2743">
              <w:t>70.</w:t>
            </w:r>
            <w:r w:rsidR="00A2302A" w:rsidRPr="00FE2743">
              <w:rPr>
                <w:vertAlign w:val="superscript"/>
              </w:rPr>
              <w:t>18</w:t>
            </w:r>
            <w:r w:rsidR="00A2302A" w:rsidRPr="00FE2743">
              <w:rPr>
                <w:sz w:val="20"/>
                <w:szCs w:val="20"/>
              </w:rPr>
              <w:t> </w:t>
            </w:r>
            <w:r w:rsidR="00142794" w:rsidRPr="00FE2743">
              <w:rPr>
                <w:vertAlign w:val="superscript"/>
              </w:rPr>
              <w:t> </w:t>
            </w:r>
            <w:r w:rsidR="00813A06" w:rsidRPr="00FE2743">
              <w:t>punkt</w:t>
            </w:r>
            <w:r w:rsidR="00803F37" w:rsidRPr="00FE2743">
              <w:t>ā</w:t>
            </w:r>
            <w:r w:rsidR="00813A06" w:rsidRPr="00FE2743">
              <w:t xml:space="preserve"> minētaj</w:t>
            </w:r>
            <w:r w:rsidR="00A2302A" w:rsidRPr="00FE2743">
              <w:t>ai</w:t>
            </w:r>
            <w:r w:rsidR="00813A06" w:rsidRPr="00FE2743">
              <w:t xml:space="preserve"> prasīb</w:t>
            </w:r>
            <w:r w:rsidR="00A2302A" w:rsidRPr="00FE2743">
              <w:t>ai</w:t>
            </w:r>
            <w:r w:rsidR="00120B9B">
              <w:t xml:space="preserve">, kā arī ievērojot aizliegumu valsts atbalstu </w:t>
            </w:r>
            <w:proofErr w:type="spellStart"/>
            <w:r w:rsidR="00120B9B">
              <w:t>kumulēt</w:t>
            </w:r>
            <w:proofErr w:type="spellEnd"/>
            <w:r w:rsidR="00120B9B">
              <w:t xml:space="preserve"> </w:t>
            </w:r>
            <w:r w:rsidR="00120B9B" w:rsidRPr="00120B9B">
              <w:t xml:space="preserve">ar valsts atbalsta citu atbalsta programmu vai individuālā atbalsta projekta ietvaros, tai skaitā ar </w:t>
            </w:r>
            <w:proofErr w:type="spellStart"/>
            <w:r w:rsidR="00120B9B" w:rsidRPr="009A0ECA">
              <w:rPr>
                <w:i/>
                <w:iCs/>
              </w:rPr>
              <w:t>de</w:t>
            </w:r>
            <w:proofErr w:type="spellEnd"/>
            <w:r w:rsidR="00120B9B" w:rsidRPr="009A0ECA">
              <w:rPr>
                <w:i/>
                <w:iCs/>
              </w:rPr>
              <w:t xml:space="preserve"> </w:t>
            </w:r>
            <w:proofErr w:type="spellStart"/>
            <w:r w:rsidR="00120B9B" w:rsidRPr="009A0ECA">
              <w:rPr>
                <w:i/>
                <w:iCs/>
              </w:rPr>
              <w:t>minimis</w:t>
            </w:r>
            <w:proofErr w:type="spellEnd"/>
            <w:r w:rsidR="00120B9B" w:rsidRPr="00120B9B">
              <w:t xml:space="preserve"> atbalstu.</w:t>
            </w:r>
            <w:bookmarkEnd w:id="2"/>
            <w:r w:rsidR="00A050DF" w:rsidRPr="00FE2743">
              <w:t xml:space="preserve"> Pēc </w:t>
            </w:r>
            <w:r w:rsidR="00314C2B" w:rsidRPr="00FE2743">
              <w:t>ie</w:t>
            </w:r>
            <w:r w:rsidR="009A0ECA">
              <w:t>s</w:t>
            </w:r>
            <w:r w:rsidR="00314C2B" w:rsidRPr="00FE2743">
              <w:t>nieguma izvērtēšanas</w:t>
            </w:r>
            <w:r w:rsidR="00A050DF" w:rsidRPr="00FE2743">
              <w:t xml:space="preserve"> </w:t>
            </w:r>
            <w:r w:rsidR="00A2302A" w:rsidRPr="00FE2743">
              <w:t xml:space="preserve">BVKB mēneša laikā </w:t>
            </w:r>
            <w:r w:rsidR="00314C2B" w:rsidRPr="00FE2743">
              <w:t xml:space="preserve">pieņems lēmumu </w:t>
            </w:r>
            <w:r w:rsidR="00A050DF" w:rsidRPr="00FE2743">
              <w:t>pieš</w:t>
            </w:r>
            <w:r w:rsidR="00314C2B" w:rsidRPr="00FE2743">
              <w:t>ķirt</w:t>
            </w:r>
            <w:r w:rsidR="00A050DF" w:rsidRPr="00FE2743">
              <w:t xml:space="preserve"> tiesības </w:t>
            </w:r>
            <w:r w:rsidR="00583D70" w:rsidRPr="00FE2743">
              <w:t xml:space="preserve">vai </w:t>
            </w:r>
            <w:r w:rsidR="00314C2B" w:rsidRPr="00FE2743">
              <w:t>ne</w:t>
            </w:r>
            <w:r w:rsidR="00583D70" w:rsidRPr="00FE2743">
              <w:t>pieš</w:t>
            </w:r>
            <w:r w:rsidR="00B95E25" w:rsidRPr="00FE2743">
              <w:t>ķ</w:t>
            </w:r>
            <w:r w:rsidR="00583D70" w:rsidRPr="00FE2743">
              <w:t xml:space="preserve">irt tiesības </w:t>
            </w:r>
            <w:r w:rsidR="00A2302A" w:rsidRPr="00FE2743">
              <w:t>dabasgāzes kā degvielas transportam tirgotājam līdz 202</w:t>
            </w:r>
            <w:r w:rsidR="009A0ECA">
              <w:t>5</w:t>
            </w:r>
            <w:r w:rsidR="00A2302A" w:rsidRPr="00FE2743">
              <w:t xml:space="preserve">. gada </w:t>
            </w:r>
            <w:r w:rsidR="009A0ECA">
              <w:t>3</w:t>
            </w:r>
            <w:r w:rsidR="00A2302A" w:rsidRPr="00FE2743">
              <w:t xml:space="preserve">1. </w:t>
            </w:r>
            <w:r w:rsidR="009A0ECA">
              <w:t>decembrim</w:t>
            </w:r>
            <w:r w:rsidR="00A2302A" w:rsidRPr="00FE2743">
              <w:t xml:space="preserve"> </w:t>
            </w:r>
            <w:r w:rsidR="00A050DF" w:rsidRPr="00FE2743">
              <w:t xml:space="preserve"> iegād</w:t>
            </w:r>
            <w:r w:rsidR="00583D70" w:rsidRPr="00FE2743">
              <w:t>āties</w:t>
            </w:r>
            <w:r w:rsidR="00A050DF" w:rsidRPr="00FE2743">
              <w:t xml:space="preserve"> dabasgāzi, kurai piemēro likuma </w:t>
            </w:r>
            <w:r w:rsidR="009A0ECA">
              <w:t>p</w:t>
            </w:r>
            <w:r w:rsidR="00A2302A" w:rsidRPr="00FE2743">
              <w:t xml:space="preserve">ārejas noteikumu 125. punktā </w:t>
            </w:r>
            <w:r w:rsidR="00A050DF" w:rsidRPr="00FE2743">
              <w:t>noteikto nodokļa likmi</w:t>
            </w:r>
            <w:r w:rsidR="00DA206A" w:rsidRPr="00FE2743">
              <w:t>.</w:t>
            </w:r>
          </w:p>
          <w:p w14:paraId="6EFA7E46" w14:textId="395FD415" w:rsidR="00F02531" w:rsidRPr="00FE2743" w:rsidRDefault="00F02531" w:rsidP="00B258E1">
            <w:pPr>
              <w:pStyle w:val="tv213"/>
              <w:shd w:val="clear" w:color="auto" w:fill="FFFFFF"/>
              <w:spacing w:before="0" w:beforeAutospacing="0" w:after="0" w:afterAutospacing="0" w:line="293" w:lineRule="atLeast"/>
              <w:ind w:left="-110" w:firstLine="410"/>
              <w:jc w:val="both"/>
            </w:pPr>
            <w:r w:rsidRPr="00FE2743">
              <w:t>Attiecībā uz akcīzes nodokļa un valsts atbalsta uzraudzības administrēšanu</w:t>
            </w:r>
            <w:r w:rsidR="00741694" w:rsidRPr="00FE2743">
              <w:t>,</w:t>
            </w:r>
            <w:r w:rsidRPr="00FE2743">
              <w:t xml:space="preserve"> informācijas apmaiņa </w:t>
            </w:r>
            <w:r w:rsidR="009F60F1" w:rsidRPr="00FE2743">
              <w:t xml:space="preserve">par </w:t>
            </w:r>
            <w:r w:rsidR="00DA206A" w:rsidRPr="00FE2743">
              <w:t xml:space="preserve">dabasgāzes kā degvielas transportam, ciktāl šī informācijas apmaiņa attiecas uz likuma </w:t>
            </w:r>
            <w:r w:rsidR="007563A7">
              <w:t>p</w:t>
            </w:r>
            <w:r w:rsidR="00DA206A" w:rsidRPr="00FE2743">
              <w:t xml:space="preserve">ārejas noteikumu 125. punktā norādītās samazinātās nodokļa likmes piemērošanu, </w:t>
            </w:r>
            <w:r w:rsidR="00A12A7F" w:rsidRPr="00FE2743">
              <w:t xml:space="preserve">notiks </w:t>
            </w:r>
            <w:r w:rsidRPr="00FE2743">
              <w:t>starp V</w:t>
            </w:r>
            <w:r w:rsidR="0000274A" w:rsidRPr="00FE2743">
              <w:t>alsts ieņēmumu dienestu</w:t>
            </w:r>
            <w:r w:rsidRPr="00FE2743">
              <w:t xml:space="preserve"> un </w:t>
            </w:r>
            <w:r w:rsidR="00E706CA" w:rsidRPr="00FE2743">
              <w:t>BVKB</w:t>
            </w:r>
            <w:r w:rsidR="00A050DF" w:rsidRPr="00FE2743">
              <w:t xml:space="preserve">, </w:t>
            </w:r>
            <w:r w:rsidR="00A12A7F" w:rsidRPr="00FE2743">
              <w:t>un</w:t>
            </w:r>
            <w:r w:rsidRPr="00FE2743">
              <w:t xml:space="preserve"> </w:t>
            </w:r>
            <w:r w:rsidR="00A050DF" w:rsidRPr="00FE2743">
              <w:t xml:space="preserve">tā </w:t>
            </w:r>
            <w:r w:rsidR="009F60F1" w:rsidRPr="00FE2743">
              <w:t xml:space="preserve">tiks nodrošināta reizi </w:t>
            </w:r>
            <w:r w:rsidR="00A86DF6" w:rsidRPr="00FE2743">
              <w:t>gadā līdz kalendārā gada 1.</w:t>
            </w:r>
            <w:r w:rsidR="00D8257C" w:rsidRPr="00FE2743">
              <w:t>februāri</w:t>
            </w:r>
            <w:r w:rsidR="00A86DF6" w:rsidRPr="00FE2743">
              <w:t>m par iepriekšējo kalendāro gadu</w:t>
            </w:r>
            <w:r w:rsidR="009F60F1" w:rsidRPr="00FE2743">
              <w:t>.</w:t>
            </w:r>
          </w:p>
          <w:p w14:paraId="0F8B2FE9" w14:textId="48C3EC94" w:rsidR="00142285" w:rsidRPr="00FE2743" w:rsidRDefault="00547F02" w:rsidP="00142285">
            <w:pPr>
              <w:pStyle w:val="tv213"/>
              <w:shd w:val="clear" w:color="auto" w:fill="FFFFFF"/>
              <w:spacing w:before="0" w:beforeAutospacing="0" w:after="0" w:afterAutospacing="0" w:line="293" w:lineRule="atLeast"/>
              <w:ind w:left="-110" w:firstLine="410"/>
              <w:jc w:val="both"/>
            </w:pPr>
            <w:r w:rsidRPr="00FE2743">
              <w:t>N</w:t>
            </w:r>
            <w:r w:rsidR="00CF675A" w:rsidRPr="00FE2743">
              <w:t xml:space="preserve">oteikumu projekts paredz noteikt dabasgāzes </w:t>
            </w:r>
            <w:r w:rsidR="009276AA" w:rsidRPr="00FE2743">
              <w:t xml:space="preserve">kā degvielas transportam </w:t>
            </w:r>
            <w:r w:rsidR="005467B4">
              <w:t xml:space="preserve">tirgotāja </w:t>
            </w:r>
            <w:r w:rsidR="00CF675A" w:rsidRPr="00FE2743">
              <w:t>atbi</w:t>
            </w:r>
            <w:r w:rsidRPr="00FE2743">
              <w:t>l</w:t>
            </w:r>
            <w:r w:rsidR="00CF675A" w:rsidRPr="00FE2743">
              <w:t>d</w:t>
            </w:r>
            <w:r w:rsidRPr="00FE2743">
              <w:t xml:space="preserve">ību, ja tiek konstatēts </w:t>
            </w:r>
            <w:r w:rsidR="009276AA" w:rsidRPr="00FE2743">
              <w:t xml:space="preserve">Pamatnostādnēs </w:t>
            </w:r>
            <w:r w:rsidRPr="00FE2743">
              <w:lastRenderedPageBreak/>
              <w:t>noteikto prasību pārkāpums, un tiek noteikta kārtība, kā tiek s</w:t>
            </w:r>
            <w:r w:rsidR="00C543EB" w:rsidRPr="00FE2743">
              <w:t>a</w:t>
            </w:r>
            <w:r w:rsidRPr="00FE2743">
              <w:t xml:space="preserve">maksāts nodoklis kā saņemtais komercdarbības atbalsts, kā arī kārtība, </w:t>
            </w:r>
            <w:r w:rsidR="005E1FC2" w:rsidRPr="00FE2743">
              <w:t>kā tiek atgūts nelikumīgi saņemtais komercdarbības atbalsts.</w:t>
            </w:r>
            <w:r w:rsidR="000623B5" w:rsidRPr="00FE2743">
              <w:t xml:space="preserve"> </w:t>
            </w:r>
            <w:r w:rsidR="00C543EB" w:rsidRPr="00FE2743">
              <w:t>Saskaņā ar nepieciešamību atgūt pilnīgi visu nelikumīgi saņemto komercdarbības (valsts) atbalstu kopā ar noteiktiem procentiem vis</w:t>
            </w:r>
            <w:r w:rsidR="0000274A" w:rsidRPr="00FE2743">
              <w:t>ā</w:t>
            </w:r>
            <w:r w:rsidR="00C543EB" w:rsidRPr="00FE2743">
              <w:t xml:space="preserve">  nelikumīga komercdarbības (valsts) atbalsta saņe</w:t>
            </w:r>
            <w:r w:rsidR="0000274A" w:rsidRPr="00FE2743">
              <w:t>m</w:t>
            </w:r>
            <w:r w:rsidR="00C543EB" w:rsidRPr="00FE2743">
              <w:t>šanas period</w:t>
            </w:r>
            <w:r w:rsidR="0000274A" w:rsidRPr="00FE2743">
              <w:t>ā,</w:t>
            </w:r>
            <w:r w:rsidR="00C543EB" w:rsidRPr="00FE2743">
              <w:t xml:space="preserve"> n</w:t>
            </w:r>
            <w:r w:rsidR="000623B5" w:rsidRPr="00FE2743">
              <w:t xml:space="preserve">elikumīgā komercdarbības atbalsta apmērs kopā ar procentiem ir aprēķināms </w:t>
            </w:r>
            <w:r w:rsidR="000426A5" w:rsidRPr="00FE2743">
              <w:t>periodā par trīs gadiem likumā “Par nodokļiem un nodev</w:t>
            </w:r>
            <w:r w:rsidR="00B95E25" w:rsidRPr="00FE2743">
              <w:t>ā</w:t>
            </w:r>
            <w:r w:rsidR="000426A5" w:rsidRPr="00FE2743">
              <w:t>m” noteiktajā k</w:t>
            </w:r>
            <w:r w:rsidR="00142794" w:rsidRPr="00FE2743">
              <w:t>ārtībā</w:t>
            </w:r>
            <w:r w:rsidR="00C543EB" w:rsidRPr="00FE2743">
              <w:t>, bet pārsniedzot trīs gadu periodu</w:t>
            </w:r>
            <w:r w:rsidR="0000274A" w:rsidRPr="00FE2743">
              <w:t xml:space="preserve"> -</w:t>
            </w:r>
            <w:r w:rsidR="000426A5" w:rsidRPr="00FE2743">
              <w:t xml:space="preserve"> </w:t>
            </w:r>
            <w:r w:rsidR="000623B5" w:rsidRPr="00FE2743">
              <w:t xml:space="preserve">saskaņā ar šādu formulu: </w:t>
            </w:r>
            <w:r w:rsidR="0000274A" w:rsidRPr="00FE2743">
              <w:t>k</w:t>
            </w:r>
            <w:r w:rsidR="00AB2544" w:rsidRPr="00FE2743">
              <w:t xml:space="preserve">opējā atgūstamā </w:t>
            </w:r>
            <w:r w:rsidR="000418A9" w:rsidRPr="00FE2743">
              <w:t>summa</w:t>
            </w:r>
            <w:r w:rsidR="000623B5" w:rsidRPr="00FE2743">
              <w:t xml:space="preserve"> = </w:t>
            </w:r>
            <w:r w:rsidR="000418A9" w:rsidRPr="00FE2743">
              <w:t>s</w:t>
            </w:r>
            <w:r w:rsidR="000623B5" w:rsidRPr="00FE2743">
              <w:t>ākotnējā vērtība (</w:t>
            </w:r>
            <w:r w:rsidR="000418A9" w:rsidRPr="00FE2743">
              <w:t>pieš</w:t>
            </w:r>
            <w:r w:rsidR="00B95E25" w:rsidRPr="00FE2743">
              <w:t>ķ</w:t>
            </w:r>
            <w:r w:rsidR="000418A9" w:rsidRPr="00FE2743">
              <w:t>irtā atbalsta summa</w:t>
            </w:r>
            <w:r w:rsidR="000623B5" w:rsidRPr="00FE2743">
              <w:t xml:space="preserve">) x (1 + </w:t>
            </w:r>
            <w:r w:rsidR="000418A9" w:rsidRPr="00FE2743">
              <w:t>atsauces likme</w:t>
            </w:r>
            <w:r w:rsidR="000623B5" w:rsidRPr="00FE2743">
              <w:t>)</w:t>
            </w:r>
            <w:r w:rsidR="000623B5" w:rsidRPr="00FE2743">
              <w:rPr>
                <w:vertAlign w:val="superscript"/>
              </w:rPr>
              <w:t>gadi</w:t>
            </w:r>
            <w:r w:rsidR="000623B5" w:rsidRPr="00FE2743">
              <w:t xml:space="preserve"> x (1 + </w:t>
            </w:r>
            <w:r w:rsidR="000418A9" w:rsidRPr="00FE2743">
              <w:t xml:space="preserve">atsauces </w:t>
            </w:r>
            <w:r w:rsidR="000623B5" w:rsidRPr="00FE2743">
              <w:t>likme)</w:t>
            </w:r>
            <w:r w:rsidR="000623B5" w:rsidRPr="00FE2743">
              <w:rPr>
                <w:vertAlign w:val="superscript"/>
              </w:rPr>
              <w:t>dienu skaits/365</w:t>
            </w:r>
            <w:r w:rsidR="000623B5" w:rsidRPr="00FE2743">
              <w:t>.</w:t>
            </w:r>
            <w:r w:rsidR="00C543EB" w:rsidRPr="00FE2743">
              <w:t xml:space="preserve">  </w:t>
            </w:r>
          </w:p>
          <w:p w14:paraId="512DA97B" w14:textId="21CCD8C6" w:rsidR="00B258E1" w:rsidRPr="00FE2743" w:rsidRDefault="00142794" w:rsidP="00142794">
            <w:pPr>
              <w:pStyle w:val="tv213"/>
              <w:shd w:val="clear" w:color="auto" w:fill="FFFFFF"/>
              <w:spacing w:before="0" w:beforeAutospacing="0" w:after="0" w:afterAutospacing="0" w:line="293" w:lineRule="atLeast"/>
              <w:ind w:left="-110" w:firstLine="410"/>
              <w:jc w:val="both"/>
            </w:pPr>
            <w:r w:rsidRPr="00FE2743">
              <w:t> </w:t>
            </w:r>
            <w:r w:rsidR="00B258E1" w:rsidRPr="00FE2743">
              <w:t>Ņemot vērā nep</w:t>
            </w:r>
            <w:r w:rsidR="00CF24A3" w:rsidRPr="00FE2743">
              <w:t>iec</w:t>
            </w:r>
            <w:r w:rsidR="00B258E1" w:rsidRPr="00FE2743">
              <w:t xml:space="preserve">iešamību </w:t>
            </w:r>
            <w:r w:rsidR="004D64AE" w:rsidRPr="00FE2743">
              <w:t xml:space="preserve">jau sākotnējā posmā </w:t>
            </w:r>
            <w:proofErr w:type="spellStart"/>
            <w:r w:rsidR="004D64AE" w:rsidRPr="00FE2743">
              <w:t>komercatbalsta</w:t>
            </w:r>
            <w:proofErr w:type="spellEnd"/>
            <w:r w:rsidR="004D64AE" w:rsidRPr="00FE2743">
              <w:t xml:space="preserve"> pieš</w:t>
            </w:r>
            <w:r w:rsidR="00B95E25" w:rsidRPr="00FE2743">
              <w:t>ķ</w:t>
            </w:r>
            <w:r w:rsidR="004D64AE" w:rsidRPr="00FE2743">
              <w:t xml:space="preserve">iršanas fāzē noteikt potenciālā </w:t>
            </w:r>
            <w:proofErr w:type="spellStart"/>
            <w:r w:rsidR="004D64AE" w:rsidRPr="00FE2743">
              <w:t>komercatbalsta</w:t>
            </w:r>
            <w:proofErr w:type="spellEnd"/>
            <w:r w:rsidR="004D64AE" w:rsidRPr="00FE2743">
              <w:t xml:space="preserve"> saņēmēja atbildību attiecībā uz noteikumu ievērošanu, ir noteiktas pieteikumā </w:t>
            </w:r>
            <w:proofErr w:type="spellStart"/>
            <w:r w:rsidR="004D64AE" w:rsidRPr="00FE2743">
              <w:t>komercatbalsta</w:t>
            </w:r>
            <w:proofErr w:type="spellEnd"/>
            <w:r w:rsidR="004D64AE" w:rsidRPr="00FE2743">
              <w:t xml:space="preserve"> saņemšanai veidlapā norādāmās informācijas saturs (</w:t>
            </w:r>
            <w:r w:rsidR="00FE2743">
              <w:t>N</w:t>
            </w:r>
            <w:r w:rsidR="004D64AE" w:rsidRPr="00FE2743">
              <w:t xml:space="preserve">oteikumu </w:t>
            </w:r>
            <w:r w:rsidR="00FE2743">
              <w:t>projekta 1.</w:t>
            </w:r>
            <w:r w:rsidR="00FE2743" w:rsidRPr="00FE2743">
              <w:t xml:space="preserve"> </w:t>
            </w:r>
            <w:r w:rsidR="004D64AE" w:rsidRPr="00FE2743">
              <w:t xml:space="preserve">pielikums). </w:t>
            </w:r>
          </w:p>
        </w:tc>
      </w:tr>
      <w:tr w:rsidR="00FE2743" w:rsidRPr="00FE2743" w14:paraId="466EA288" w14:textId="77777777" w:rsidTr="00EA3B8F">
        <w:tc>
          <w:tcPr>
            <w:tcW w:w="496" w:type="dxa"/>
            <w:hideMark/>
          </w:tcPr>
          <w:p w14:paraId="2517507B" w14:textId="77777777" w:rsidR="00032C63" w:rsidRPr="00FE2743" w:rsidRDefault="00431C1A" w:rsidP="00032C63">
            <w:r w:rsidRPr="00FE2743">
              <w:lastRenderedPageBreak/>
              <w:t>3.</w:t>
            </w:r>
          </w:p>
        </w:tc>
        <w:tc>
          <w:tcPr>
            <w:tcW w:w="2193" w:type="dxa"/>
            <w:hideMark/>
          </w:tcPr>
          <w:p w14:paraId="0A774A84" w14:textId="77777777" w:rsidR="00032C63" w:rsidRPr="00FE2743" w:rsidRDefault="00431C1A" w:rsidP="00032C63">
            <w:r w:rsidRPr="00FE2743">
              <w:t>Projekta izstrādē iesaistītās institūcijas</w:t>
            </w:r>
          </w:p>
        </w:tc>
        <w:tc>
          <w:tcPr>
            <w:tcW w:w="6633" w:type="dxa"/>
          </w:tcPr>
          <w:p w14:paraId="1D72568A" w14:textId="1A21E35D" w:rsidR="00032C63" w:rsidRPr="00FE2743" w:rsidRDefault="0000274A">
            <w:pPr>
              <w:ind w:left="-108"/>
              <w:jc w:val="both"/>
            </w:pPr>
            <w:r w:rsidRPr="00FE2743">
              <w:t>Ekonomikas</w:t>
            </w:r>
            <w:r w:rsidR="00F74912" w:rsidRPr="00FE2743">
              <w:t xml:space="preserve"> ministrij</w:t>
            </w:r>
            <w:r w:rsidR="00461717" w:rsidRPr="00FE2743">
              <w:t>a</w:t>
            </w:r>
            <w:r w:rsidR="003B520E" w:rsidRPr="00FE2743">
              <w:t xml:space="preserve">, </w:t>
            </w:r>
            <w:r w:rsidRPr="00FE2743">
              <w:t>BVKB</w:t>
            </w:r>
            <w:r w:rsidR="00F74912" w:rsidRPr="00FE2743">
              <w:t>.</w:t>
            </w:r>
          </w:p>
        </w:tc>
      </w:tr>
      <w:tr w:rsidR="00FE2743" w:rsidRPr="00FE2743" w14:paraId="06DD3074" w14:textId="77777777" w:rsidTr="00EA3B8F">
        <w:tc>
          <w:tcPr>
            <w:tcW w:w="496" w:type="dxa"/>
            <w:hideMark/>
          </w:tcPr>
          <w:p w14:paraId="1D5E104D" w14:textId="77777777" w:rsidR="00032C63" w:rsidRPr="00FE2743" w:rsidRDefault="00431C1A" w:rsidP="00032C63">
            <w:r w:rsidRPr="00FE2743">
              <w:t>4.</w:t>
            </w:r>
          </w:p>
        </w:tc>
        <w:tc>
          <w:tcPr>
            <w:tcW w:w="2193" w:type="dxa"/>
            <w:hideMark/>
          </w:tcPr>
          <w:p w14:paraId="3CA42C18" w14:textId="77777777" w:rsidR="00032C63" w:rsidRPr="00FE2743" w:rsidRDefault="00032C63" w:rsidP="00032C63">
            <w:r w:rsidRPr="00FE2743">
              <w:t>Cita informācija</w:t>
            </w:r>
          </w:p>
        </w:tc>
        <w:tc>
          <w:tcPr>
            <w:tcW w:w="6633" w:type="dxa"/>
          </w:tcPr>
          <w:p w14:paraId="013C718F" w14:textId="77777777" w:rsidR="00032C63" w:rsidRPr="00FE2743" w:rsidRDefault="00605094" w:rsidP="003D312A">
            <w:pPr>
              <w:ind w:left="-108"/>
              <w:jc w:val="both"/>
            </w:pPr>
            <w:r w:rsidRPr="00FE2743">
              <w:t>Nav.</w:t>
            </w:r>
          </w:p>
        </w:tc>
      </w:tr>
    </w:tbl>
    <w:p w14:paraId="6E9879C7" w14:textId="77777777" w:rsidR="00032C63" w:rsidRPr="00FE2743" w:rsidRDefault="00032C63" w:rsidP="00032C63">
      <w:pPr>
        <w:spacing w:line="270" w:lineRule="atLeast"/>
        <w:jc w:val="both"/>
        <w:rPr>
          <w:rStyle w:val="apple-style-span"/>
        </w:rPr>
      </w:pPr>
    </w:p>
    <w:tbl>
      <w:tblPr>
        <w:tblW w:w="5067" w:type="pct"/>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61"/>
        <w:gridCol w:w="3373"/>
        <w:gridCol w:w="5342"/>
      </w:tblGrid>
      <w:tr w:rsidR="00032C63" w:rsidRPr="00FE2743" w14:paraId="7F60FD63" w14:textId="77777777" w:rsidTr="00E742B4">
        <w:tc>
          <w:tcPr>
            <w:tcW w:w="5000" w:type="pct"/>
            <w:gridSpan w:val="3"/>
            <w:tcBorders>
              <w:top w:val="single" w:sz="6" w:space="0" w:color="000000"/>
              <w:left w:val="single" w:sz="6" w:space="0" w:color="000000"/>
              <w:bottom w:val="outset" w:sz="6" w:space="0" w:color="000000"/>
              <w:right w:val="single" w:sz="6" w:space="0" w:color="000000"/>
            </w:tcBorders>
            <w:vAlign w:val="center"/>
          </w:tcPr>
          <w:p w14:paraId="6A84B001" w14:textId="77777777" w:rsidR="00032C63" w:rsidRPr="00FE2743" w:rsidRDefault="00032C63" w:rsidP="00032C63">
            <w:pPr>
              <w:pStyle w:val="NormalWeb"/>
              <w:jc w:val="center"/>
              <w:rPr>
                <w:b/>
                <w:bCs/>
              </w:rPr>
            </w:pPr>
            <w:r w:rsidRPr="00FE2743">
              <w:rPr>
                <w:b/>
                <w:bCs/>
              </w:rPr>
              <w:t>II. Tiesību akta projekta ietekme uz sabiedrību</w:t>
            </w:r>
            <w:r w:rsidR="00431C1A" w:rsidRPr="00FE2743">
              <w:rPr>
                <w:b/>
                <w:bCs/>
              </w:rPr>
              <w:t>, tautsaimniecības attīstību un administratīvo slogu</w:t>
            </w:r>
          </w:p>
        </w:tc>
      </w:tr>
      <w:tr w:rsidR="00FE2743" w:rsidRPr="00FE2743" w14:paraId="228B5B08" w14:textId="77777777" w:rsidTr="00E742B4">
        <w:tc>
          <w:tcPr>
            <w:tcW w:w="251" w:type="pct"/>
            <w:tcBorders>
              <w:top w:val="outset" w:sz="6" w:space="0" w:color="000000"/>
              <w:left w:val="outset" w:sz="6" w:space="0" w:color="000000"/>
              <w:bottom w:val="outset" w:sz="6" w:space="0" w:color="000000"/>
              <w:right w:val="outset" w:sz="6" w:space="0" w:color="000000"/>
            </w:tcBorders>
          </w:tcPr>
          <w:p w14:paraId="46E5B5CD" w14:textId="77777777" w:rsidR="00032C63" w:rsidRPr="00FE2743" w:rsidRDefault="00032C63" w:rsidP="00032C63">
            <w:pPr>
              <w:pStyle w:val="NormalWeb"/>
            </w:pPr>
            <w:r w:rsidRPr="00FE2743">
              <w:t>1.</w:t>
            </w:r>
          </w:p>
        </w:tc>
        <w:tc>
          <w:tcPr>
            <w:tcW w:w="1838" w:type="pct"/>
            <w:tcBorders>
              <w:top w:val="outset" w:sz="6" w:space="0" w:color="000000"/>
              <w:left w:val="outset" w:sz="6" w:space="0" w:color="000000"/>
              <w:bottom w:val="outset" w:sz="6" w:space="0" w:color="000000"/>
              <w:right w:val="outset" w:sz="6" w:space="0" w:color="000000"/>
            </w:tcBorders>
          </w:tcPr>
          <w:p w14:paraId="757C569B" w14:textId="77777777" w:rsidR="00032C63" w:rsidRPr="00FE2743" w:rsidRDefault="00032C63" w:rsidP="00A274A7">
            <w:pPr>
              <w:pStyle w:val="NormalWeb"/>
              <w:ind w:right="113"/>
            </w:pPr>
            <w:r w:rsidRPr="00FE2743">
              <w:t>Sabiedrības mērķgrupa</w:t>
            </w:r>
            <w:r w:rsidR="00431C1A" w:rsidRPr="00FE2743">
              <w:t>s, kuras tiesiskais regulējums ietekmē vai varētu ietekmēt</w:t>
            </w:r>
          </w:p>
        </w:tc>
        <w:tc>
          <w:tcPr>
            <w:tcW w:w="2911" w:type="pct"/>
            <w:tcBorders>
              <w:top w:val="outset" w:sz="6" w:space="0" w:color="000000"/>
              <w:left w:val="outset" w:sz="6" w:space="0" w:color="000000"/>
              <w:bottom w:val="outset" w:sz="6" w:space="0" w:color="000000"/>
              <w:right w:val="outset" w:sz="6" w:space="0" w:color="000000"/>
            </w:tcBorders>
          </w:tcPr>
          <w:p w14:paraId="0C5629D9" w14:textId="0EC8A1EB" w:rsidR="005C4223" w:rsidRPr="00FE2743" w:rsidRDefault="00233493" w:rsidP="005C4223">
            <w:pPr>
              <w:ind w:right="113" w:firstLine="396"/>
              <w:jc w:val="both"/>
            </w:pPr>
            <w:r w:rsidRPr="00FE2743">
              <w:t xml:space="preserve">Noteikumu </w:t>
            </w:r>
            <w:r w:rsidR="00A050DF" w:rsidRPr="00FE2743">
              <w:t>proj</w:t>
            </w:r>
            <w:r w:rsidR="00142794" w:rsidRPr="00FE2743">
              <w:t>e</w:t>
            </w:r>
            <w:r w:rsidR="00A050DF" w:rsidRPr="00FE2743">
              <w:t>kta pieņemšana attiecas uz</w:t>
            </w:r>
            <w:r w:rsidR="005C4223" w:rsidRPr="00FE2743">
              <w:t xml:space="preserve"> </w:t>
            </w:r>
            <w:r w:rsidR="00A050DF" w:rsidRPr="00FE2743">
              <w:t xml:space="preserve"> </w:t>
            </w:r>
            <w:r w:rsidR="00DB3DB4" w:rsidRPr="00FE2743">
              <w:t>komersantiem</w:t>
            </w:r>
            <w:r w:rsidR="00A050DF" w:rsidRPr="00FE2743">
              <w:t xml:space="preserve">, kas </w:t>
            </w:r>
            <w:r w:rsidR="00DB3DB4" w:rsidRPr="00FE2743">
              <w:t xml:space="preserve">pašlaik </w:t>
            </w:r>
            <w:r w:rsidR="00026851" w:rsidRPr="00FE2743">
              <w:t xml:space="preserve">tirgo </w:t>
            </w:r>
            <w:r w:rsidR="00A050DF" w:rsidRPr="00FE2743">
              <w:t>d</w:t>
            </w:r>
            <w:r w:rsidR="00583D70" w:rsidRPr="00FE2743">
              <w:t>abasgāzi</w:t>
            </w:r>
            <w:r w:rsidR="00A050DF" w:rsidRPr="00FE2743">
              <w:t xml:space="preserve"> </w:t>
            </w:r>
            <w:r w:rsidR="00026851" w:rsidRPr="00FE2743">
              <w:t>kā degvielu transportam</w:t>
            </w:r>
            <w:r w:rsidR="005C4223" w:rsidRPr="00FE2743">
              <w:t>, kā arī potenciāli lielāko degvielas tirgotāju skaitu, kuri var izmatot samazinātās akcīzes nodokļa dabasgāzei kā degvielas transportam priekšrocības</w:t>
            </w:r>
            <w:r w:rsidR="00DB3DB4" w:rsidRPr="00FE2743">
              <w:t>, ja</w:t>
            </w:r>
            <w:r w:rsidR="005C4223" w:rsidRPr="00FE2743">
              <w:t xml:space="preserve"> veiks investīcijas dabasgāzes kā degvielas transportam </w:t>
            </w:r>
            <w:proofErr w:type="spellStart"/>
            <w:r w:rsidR="005C4223" w:rsidRPr="00FE2743">
              <w:t>uzpildes</w:t>
            </w:r>
            <w:proofErr w:type="spellEnd"/>
            <w:r w:rsidR="005C4223" w:rsidRPr="00FE2743">
              <w:t xml:space="preserve"> punktu būvniecībā.</w:t>
            </w:r>
          </w:p>
          <w:p w14:paraId="3EC4E4D3" w14:textId="50DE55A9" w:rsidR="00116AA2" w:rsidRPr="00FE2743" w:rsidRDefault="005C4223" w:rsidP="005A6AA4">
            <w:pPr>
              <w:ind w:right="113" w:firstLine="396"/>
              <w:jc w:val="both"/>
            </w:pPr>
            <w:r w:rsidRPr="00FE2743">
              <w:t>Pastarpināti, radot lielāku motivāciju izvēlēties dabasgāzes</w:t>
            </w:r>
            <w:r w:rsidR="005A6AA4" w:rsidRPr="00FE2743">
              <w:t xml:space="preserve">, kā arī nākotnē – </w:t>
            </w:r>
            <w:proofErr w:type="spellStart"/>
            <w:r w:rsidR="005A6AA4" w:rsidRPr="00FE2743">
              <w:t>biometāna</w:t>
            </w:r>
            <w:proofErr w:type="spellEnd"/>
            <w:r w:rsidR="005A6AA4" w:rsidRPr="00FE2743">
              <w:t xml:space="preserve">  darbināmo autotransportu, pl</w:t>
            </w:r>
            <w:r w:rsidR="00B95E25" w:rsidRPr="00FE2743">
              <w:t>a</w:t>
            </w:r>
            <w:r w:rsidR="005A6AA4" w:rsidRPr="00FE2743">
              <w:t>šāk pieej</w:t>
            </w:r>
            <w:r w:rsidR="00B95E25" w:rsidRPr="00FE2743">
              <w:t>a</w:t>
            </w:r>
            <w:r w:rsidR="005A6AA4" w:rsidRPr="00FE2743">
              <w:t xml:space="preserve">mas </w:t>
            </w:r>
            <w:proofErr w:type="spellStart"/>
            <w:r w:rsidR="005A6AA4" w:rsidRPr="00FE2743">
              <w:t>uzpildes</w:t>
            </w:r>
            <w:proofErr w:type="spellEnd"/>
            <w:r w:rsidR="005A6AA4" w:rsidRPr="00FE2743">
              <w:t xml:space="preserve"> infrastruktūras dēļ, noteikumu projekts attiecas uz dabasgāzes un </w:t>
            </w:r>
            <w:proofErr w:type="spellStart"/>
            <w:r w:rsidR="005A6AA4" w:rsidRPr="00FE2743">
              <w:t>biometāna</w:t>
            </w:r>
            <w:proofErr w:type="spellEnd"/>
            <w:r w:rsidR="005A6AA4" w:rsidRPr="00FE2743">
              <w:t xml:space="preserve"> darbināmo autotransporta īpašniekiem, kuru skaita pieaugums tuvāko trīs gadu laikā varētu būt līdz tūkstotim, ieskaitot arī valsts funkciju nodrošināšanā iesaistītā autotransporta, piemēram - dabasgāzes un </w:t>
            </w:r>
            <w:proofErr w:type="spellStart"/>
            <w:r w:rsidR="005A6AA4" w:rsidRPr="00FE2743">
              <w:t>biometāna</w:t>
            </w:r>
            <w:proofErr w:type="spellEnd"/>
            <w:r w:rsidR="005A6AA4" w:rsidRPr="00FE2743">
              <w:t xml:space="preserve"> darbināto jaunu ugunsdzēsēju transporta vienību skaita pieaugumu Latvijā. </w:t>
            </w:r>
          </w:p>
        </w:tc>
      </w:tr>
      <w:tr w:rsidR="00FE2743" w:rsidRPr="00FE2743" w14:paraId="7DA10180" w14:textId="77777777" w:rsidTr="00E742B4">
        <w:tc>
          <w:tcPr>
            <w:tcW w:w="251" w:type="pct"/>
            <w:tcBorders>
              <w:top w:val="outset" w:sz="6" w:space="0" w:color="000000"/>
              <w:left w:val="outset" w:sz="6" w:space="0" w:color="000000"/>
              <w:bottom w:val="outset" w:sz="6" w:space="0" w:color="000000"/>
              <w:right w:val="outset" w:sz="6" w:space="0" w:color="000000"/>
            </w:tcBorders>
          </w:tcPr>
          <w:p w14:paraId="572FF65B" w14:textId="77777777" w:rsidR="00032C63" w:rsidRPr="00FE2743" w:rsidRDefault="00032C63" w:rsidP="00032C63">
            <w:pPr>
              <w:pStyle w:val="NormalWeb"/>
            </w:pPr>
            <w:r w:rsidRPr="00FE2743">
              <w:t>2.</w:t>
            </w:r>
          </w:p>
        </w:tc>
        <w:tc>
          <w:tcPr>
            <w:tcW w:w="1838" w:type="pct"/>
            <w:tcBorders>
              <w:top w:val="outset" w:sz="6" w:space="0" w:color="000000"/>
              <w:left w:val="outset" w:sz="6" w:space="0" w:color="000000"/>
              <w:bottom w:val="outset" w:sz="6" w:space="0" w:color="000000"/>
              <w:right w:val="outset" w:sz="6" w:space="0" w:color="000000"/>
            </w:tcBorders>
          </w:tcPr>
          <w:p w14:paraId="660AE097" w14:textId="77777777" w:rsidR="00032C63" w:rsidRPr="00FE2743" w:rsidRDefault="00431C1A" w:rsidP="00A274A7">
            <w:pPr>
              <w:pStyle w:val="NormalWeb"/>
              <w:ind w:right="113"/>
              <w:jc w:val="both"/>
            </w:pPr>
            <w:r w:rsidRPr="00FE2743">
              <w:t>Tiesiskā regulējuma ietekme uz tautsaimniecību un administratīvo slogu</w:t>
            </w:r>
          </w:p>
        </w:tc>
        <w:tc>
          <w:tcPr>
            <w:tcW w:w="2911" w:type="pct"/>
            <w:tcBorders>
              <w:top w:val="outset" w:sz="6" w:space="0" w:color="000000"/>
              <w:left w:val="outset" w:sz="6" w:space="0" w:color="000000"/>
              <w:bottom w:val="outset" w:sz="6" w:space="0" w:color="000000"/>
              <w:right w:val="outset" w:sz="6" w:space="0" w:color="000000"/>
            </w:tcBorders>
          </w:tcPr>
          <w:p w14:paraId="16418DD1" w14:textId="59918B02" w:rsidR="00DB3DB4" w:rsidRPr="00FE2743" w:rsidRDefault="00DB3DB4" w:rsidP="00DB3DB4">
            <w:pPr>
              <w:pStyle w:val="NormalWeb"/>
              <w:jc w:val="both"/>
            </w:pPr>
            <w:r w:rsidRPr="00FE2743">
              <w:t xml:space="preserve">Tiesiskais regulējums neradīs  negatīvu ietekmi uz tautsaimniecību, ņemot vērā to, ka nav paredzētas esošās akcīzes nodokļa likmes izmaiņas dabasgāzei kā degvielai transportam. </w:t>
            </w:r>
          </w:p>
          <w:p w14:paraId="6BEA41D9" w14:textId="77777777" w:rsidR="00DB3DB4" w:rsidRPr="00FE2743" w:rsidRDefault="00DB3DB4" w:rsidP="00DB3DB4">
            <w:pPr>
              <w:pStyle w:val="NormalWeb"/>
              <w:jc w:val="both"/>
            </w:pPr>
            <w:r w:rsidRPr="00FE2743">
              <w:t>Tiesiskais regulējums neietekmēs negatīvi konkurenci.</w:t>
            </w:r>
          </w:p>
          <w:p w14:paraId="14ED0125" w14:textId="4AA4DB3A" w:rsidR="00DB3DB4" w:rsidRPr="00FE2743" w:rsidRDefault="00DB3DB4" w:rsidP="00DB3DB4">
            <w:pPr>
              <w:pStyle w:val="NormalWeb"/>
              <w:jc w:val="both"/>
            </w:pPr>
            <w:r w:rsidRPr="00FE2743">
              <w:lastRenderedPageBreak/>
              <w:t xml:space="preserve">Tiesiskais regulējums pozitīvi ietekmēs vidi, jo palielinoties transportlīdzekļu skaitam, kuri </w:t>
            </w:r>
            <w:proofErr w:type="spellStart"/>
            <w:r w:rsidRPr="00FE2743">
              <w:t>izmanto</w:t>
            </w:r>
            <w:r w:rsidR="00666BE3" w:rsidRPr="00FE2743">
              <w:t>dabasgāzi</w:t>
            </w:r>
            <w:proofErr w:type="spellEnd"/>
            <w:r w:rsidR="00666BE3" w:rsidRPr="00FE2743">
              <w:t xml:space="preserve"> kā degvielu transportam</w:t>
            </w:r>
            <w:r w:rsidR="00415141" w:rsidRPr="00FE2743">
              <w:t xml:space="preserve"> </w:t>
            </w:r>
            <w:r w:rsidRPr="00FE2743">
              <w:t>, samazināsies radītās CO2 emisijas.</w:t>
            </w:r>
          </w:p>
          <w:p w14:paraId="63519DB7" w14:textId="77777777" w:rsidR="00DB3DB4" w:rsidRPr="00FE2743" w:rsidRDefault="00DB3DB4" w:rsidP="00DB3DB4">
            <w:pPr>
              <w:pStyle w:val="NormalWeb"/>
              <w:jc w:val="both"/>
            </w:pPr>
            <w:r w:rsidRPr="00FE2743">
              <w:t>Tiesiskais regulējums neietekmēs veselību vai ietekmēs to pozitīvi, uzlabojoties gaisa kvalitātei pilsētās ilgtermiņā.</w:t>
            </w:r>
          </w:p>
          <w:p w14:paraId="4D1C54F0" w14:textId="77777777" w:rsidR="00DB3DB4" w:rsidRPr="00FE2743" w:rsidRDefault="00DB3DB4" w:rsidP="00DB3DB4">
            <w:pPr>
              <w:pStyle w:val="NormalWeb"/>
              <w:jc w:val="both"/>
            </w:pPr>
            <w:r w:rsidRPr="00FE2743">
              <w:t>Tiesiskais regulējums neietekmēs nevalstiskās organizācijas.</w:t>
            </w:r>
          </w:p>
          <w:p w14:paraId="0477A927" w14:textId="52F364C3" w:rsidR="007B6927" w:rsidRPr="00FE2743" w:rsidRDefault="00DB3DB4" w:rsidP="00DB3DB4">
            <w:pPr>
              <w:pStyle w:val="NormalWeb"/>
              <w:spacing w:before="0" w:beforeAutospacing="0" w:after="0" w:afterAutospacing="0"/>
              <w:jc w:val="both"/>
            </w:pPr>
            <w:r w:rsidRPr="00FE2743">
              <w:t>Tiesiskais regulējums neietekmēs administratīvo slogu.</w:t>
            </w:r>
          </w:p>
        </w:tc>
      </w:tr>
      <w:tr w:rsidR="00FE2743" w:rsidRPr="00FE2743" w14:paraId="124EDC79" w14:textId="77777777" w:rsidTr="00E742B4">
        <w:tc>
          <w:tcPr>
            <w:tcW w:w="251" w:type="pct"/>
            <w:tcBorders>
              <w:top w:val="outset" w:sz="6" w:space="0" w:color="000000"/>
              <w:left w:val="outset" w:sz="6" w:space="0" w:color="000000"/>
              <w:bottom w:val="outset" w:sz="6" w:space="0" w:color="000000"/>
              <w:right w:val="outset" w:sz="6" w:space="0" w:color="000000"/>
            </w:tcBorders>
          </w:tcPr>
          <w:p w14:paraId="24C37E84" w14:textId="77777777" w:rsidR="00032C63" w:rsidRPr="00FE2743" w:rsidRDefault="00032C63" w:rsidP="00032C63">
            <w:pPr>
              <w:pStyle w:val="NormalWeb"/>
            </w:pPr>
            <w:r w:rsidRPr="00FE2743">
              <w:lastRenderedPageBreak/>
              <w:t>3.</w:t>
            </w:r>
          </w:p>
        </w:tc>
        <w:tc>
          <w:tcPr>
            <w:tcW w:w="1838" w:type="pct"/>
            <w:tcBorders>
              <w:top w:val="outset" w:sz="6" w:space="0" w:color="000000"/>
              <w:left w:val="outset" w:sz="6" w:space="0" w:color="000000"/>
              <w:bottom w:val="outset" w:sz="6" w:space="0" w:color="000000"/>
              <w:right w:val="outset" w:sz="6" w:space="0" w:color="000000"/>
            </w:tcBorders>
          </w:tcPr>
          <w:p w14:paraId="7AD960E5" w14:textId="77777777" w:rsidR="00032C63" w:rsidRPr="00FE2743" w:rsidRDefault="00431C1A" w:rsidP="00A274A7">
            <w:pPr>
              <w:pStyle w:val="NormalWeb"/>
              <w:ind w:right="113"/>
            </w:pPr>
            <w:r w:rsidRPr="00FE2743">
              <w:t>Administratīvo izmaksu monetārs novērtējums</w:t>
            </w:r>
          </w:p>
        </w:tc>
        <w:tc>
          <w:tcPr>
            <w:tcW w:w="2911" w:type="pct"/>
            <w:tcBorders>
              <w:top w:val="outset" w:sz="6" w:space="0" w:color="000000"/>
              <w:left w:val="outset" w:sz="6" w:space="0" w:color="000000"/>
              <w:bottom w:val="outset" w:sz="6" w:space="0" w:color="000000"/>
              <w:right w:val="outset" w:sz="6" w:space="0" w:color="000000"/>
            </w:tcBorders>
          </w:tcPr>
          <w:p w14:paraId="00673452" w14:textId="77777777" w:rsidR="00032C63" w:rsidRPr="00FE2743" w:rsidRDefault="00AE6FC8" w:rsidP="009D57FB">
            <w:pPr>
              <w:pStyle w:val="NormalWeb"/>
              <w:spacing w:before="0" w:beforeAutospacing="0" w:after="0" w:afterAutospacing="0"/>
              <w:jc w:val="both"/>
            </w:pPr>
            <w:r w:rsidRPr="00FE2743">
              <w:t>Projekts šo jomu neskar.</w:t>
            </w:r>
          </w:p>
        </w:tc>
      </w:tr>
      <w:tr w:rsidR="00FE2743" w:rsidRPr="00FE2743" w14:paraId="1A028278" w14:textId="77777777" w:rsidTr="00E742B4">
        <w:tc>
          <w:tcPr>
            <w:tcW w:w="251" w:type="pct"/>
            <w:tcBorders>
              <w:top w:val="outset" w:sz="6" w:space="0" w:color="000000"/>
              <w:left w:val="outset" w:sz="6" w:space="0" w:color="000000"/>
              <w:bottom w:val="outset" w:sz="6" w:space="0" w:color="000000"/>
              <w:right w:val="outset" w:sz="6" w:space="0" w:color="000000"/>
            </w:tcBorders>
          </w:tcPr>
          <w:p w14:paraId="4C4D33D6" w14:textId="136E86EA" w:rsidR="00562169" w:rsidRPr="00FE2743" w:rsidRDefault="00562169" w:rsidP="00032C63">
            <w:pPr>
              <w:pStyle w:val="NormalWeb"/>
            </w:pPr>
            <w:r w:rsidRPr="00FE2743">
              <w:t>4.</w:t>
            </w:r>
          </w:p>
        </w:tc>
        <w:tc>
          <w:tcPr>
            <w:tcW w:w="1838" w:type="pct"/>
            <w:tcBorders>
              <w:top w:val="outset" w:sz="6" w:space="0" w:color="000000"/>
              <w:left w:val="outset" w:sz="6" w:space="0" w:color="000000"/>
              <w:bottom w:val="outset" w:sz="6" w:space="0" w:color="000000"/>
              <w:right w:val="outset" w:sz="6" w:space="0" w:color="000000"/>
            </w:tcBorders>
          </w:tcPr>
          <w:p w14:paraId="48CA8769" w14:textId="39B5D6F4" w:rsidR="00562169" w:rsidRPr="00FE2743" w:rsidRDefault="00562169" w:rsidP="00A274A7">
            <w:pPr>
              <w:pStyle w:val="NormalWeb"/>
              <w:ind w:right="113"/>
            </w:pPr>
            <w:r w:rsidRPr="00FE2743">
              <w:t xml:space="preserve">Atbilstības izmaksu monetārais novērtējums </w:t>
            </w:r>
          </w:p>
        </w:tc>
        <w:tc>
          <w:tcPr>
            <w:tcW w:w="2911" w:type="pct"/>
            <w:tcBorders>
              <w:top w:val="outset" w:sz="6" w:space="0" w:color="000000"/>
              <w:left w:val="outset" w:sz="6" w:space="0" w:color="000000"/>
              <w:bottom w:val="outset" w:sz="6" w:space="0" w:color="000000"/>
              <w:right w:val="outset" w:sz="6" w:space="0" w:color="000000"/>
            </w:tcBorders>
          </w:tcPr>
          <w:p w14:paraId="1CB9ABDA" w14:textId="240BE5A5" w:rsidR="00562169" w:rsidRPr="00FE2743" w:rsidRDefault="00562169" w:rsidP="009D57FB">
            <w:pPr>
              <w:pStyle w:val="NormalWeb"/>
              <w:spacing w:before="0" w:beforeAutospacing="0" w:after="0" w:afterAutospacing="0"/>
              <w:jc w:val="both"/>
            </w:pPr>
            <w:r w:rsidRPr="00FE2743">
              <w:t>Projekts šo jomu neskar.</w:t>
            </w:r>
          </w:p>
        </w:tc>
      </w:tr>
      <w:tr w:rsidR="00032C63" w:rsidRPr="00FE2743" w14:paraId="6AE54419" w14:textId="77777777" w:rsidTr="00E742B4">
        <w:tc>
          <w:tcPr>
            <w:tcW w:w="251" w:type="pct"/>
            <w:tcBorders>
              <w:top w:val="outset" w:sz="6" w:space="0" w:color="000000"/>
              <w:left w:val="outset" w:sz="6" w:space="0" w:color="000000"/>
              <w:bottom w:val="outset" w:sz="6" w:space="0" w:color="000000"/>
              <w:right w:val="outset" w:sz="6" w:space="0" w:color="000000"/>
            </w:tcBorders>
          </w:tcPr>
          <w:p w14:paraId="766CC7A6" w14:textId="2989118E" w:rsidR="00032C63" w:rsidRPr="00FE2743" w:rsidRDefault="00562169" w:rsidP="00032C63">
            <w:pPr>
              <w:pStyle w:val="NormalWeb"/>
            </w:pPr>
            <w:r w:rsidRPr="00FE2743">
              <w:t>5</w:t>
            </w:r>
            <w:r w:rsidR="00032C63" w:rsidRPr="00FE2743">
              <w:t>.</w:t>
            </w:r>
          </w:p>
        </w:tc>
        <w:tc>
          <w:tcPr>
            <w:tcW w:w="1838" w:type="pct"/>
            <w:tcBorders>
              <w:top w:val="outset" w:sz="6" w:space="0" w:color="000000"/>
              <w:left w:val="outset" w:sz="6" w:space="0" w:color="000000"/>
              <w:bottom w:val="outset" w:sz="6" w:space="0" w:color="000000"/>
              <w:right w:val="outset" w:sz="6" w:space="0" w:color="000000"/>
            </w:tcBorders>
          </w:tcPr>
          <w:p w14:paraId="463434A1" w14:textId="77777777" w:rsidR="00032C63" w:rsidRPr="00FE2743" w:rsidRDefault="00032C63" w:rsidP="00A274A7">
            <w:pPr>
              <w:pStyle w:val="NormalWeb"/>
              <w:ind w:right="113"/>
            </w:pPr>
            <w:r w:rsidRPr="00FE2743">
              <w:t>Cita informācija</w:t>
            </w:r>
          </w:p>
        </w:tc>
        <w:tc>
          <w:tcPr>
            <w:tcW w:w="2911" w:type="pct"/>
            <w:tcBorders>
              <w:top w:val="outset" w:sz="6" w:space="0" w:color="000000"/>
              <w:left w:val="outset" w:sz="6" w:space="0" w:color="000000"/>
              <w:bottom w:val="outset" w:sz="6" w:space="0" w:color="000000"/>
              <w:right w:val="outset" w:sz="6" w:space="0" w:color="000000"/>
            </w:tcBorders>
          </w:tcPr>
          <w:p w14:paraId="5BD3E42C" w14:textId="77777777" w:rsidR="00032C63" w:rsidRPr="00FE2743" w:rsidRDefault="00032C63" w:rsidP="00032C63">
            <w:pPr>
              <w:pStyle w:val="NormalWeb"/>
            </w:pPr>
            <w:r w:rsidRPr="00FE2743">
              <w:t>Nav</w:t>
            </w:r>
            <w:r w:rsidR="0050593E" w:rsidRPr="00FE2743">
              <w:t>.</w:t>
            </w:r>
          </w:p>
        </w:tc>
      </w:tr>
    </w:tbl>
    <w:p w14:paraId="7872644C" w14:textId="5415C0F5" w:rsidR="003C5248" w:rsidRPr="00FE2743" w:rsidRDefault="003C5248" w:rsidP="003C52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74"/>
        <w:gridCol w:w="1065"/>
        <w:gridCol w:w="1073"/>
        <w:gridCol w:w="1065"/>
        <w:gridCol w:w="1073"/>
        <w:gridCol w:w="1065"/>
        <w:gridCol w:w="1073"/>
        <w:gridCol w:w="1073"/>
      </w:tblGrid>
      <w:tr w:rsidR="00DB3DB4" w:rsidRPr="00FE2743" w14:paraId="6C668DCC" w14:textId="77777777" w:rsidTr="00415141">
        <w:trPr>
          <w:cantSplit/>
        </w:trPr>
        <w:tc>
          <w:tcPr>
            <w:tcW w:w="9061" w:type="dxa"/>
            <w:gridSpan w:val="8"/>
            <w:shd w:val="clear" w:color="auto" w:fill="auto"/>
            <w:vAlign w:val="center"/>
            <w:hideMark/>
          </w:tcPr>
          <w:p w14:paraId="0F8E97E9" w14:textId="77777777" w:rsidR="00DB3DB4" w:rsidRPr="00FE2743" w:rsidRDefault="00DB3DB4" w:rsidP="00DB3DB4">
            <w:pPr>
              <w:spacing w:before="120" w:after="120"/>
              <w:jc w:val="center"/>
              <w:rPr>
                <w:rFonts w:eastAsia="Calibri"/>
                <w:b/>
                <w:bCs/>
                <w:lang w:eastAsia="en-US"/>
              </w:rPr>
            </w:pPr>
            <w:r w:rsidRPr="00FE2743">
              <w:rPr>
                <w:rFonts w:eastAsia="Calibri"/>
                <w:b/>
                <w:bCs/>
                <w:lang w:eastAsia="en-US"/>
              </w:rPr>
              <w:t>III. Tiesību akta projekta ietekme uz valsts budžetu un pašvaldību budžetiem</w:t>
            </w:r>
          </w:p>
        </w:tc>
      </w:tr>
      <w:tr w:rsidR="00DB3DB4" w:rsidRPr="00FE2743" w14:paraId="780DAFC7"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5AC83E" w14:textId="77777777" w:rsidR="00DB3DB4" w:rsidRPr="00FE2743" w:rsidRDefault="00DB3DB4" w:rsidP="00DB3DB4">
            <w:pPr>
              <w:spacing w:before="100" w:beforeAutospacing="1" w:after="100" w:afterAutospacing="1" w:line="315" w:lineRule="atLeast"/>
              <w:jc w:val="center"/>
            </w:pPr>
            <w:r w:rsidRPr="00FE2743">
              <w:t>Rādītāji</w:t>
            </w:r>
          </w:p>
        </w:tc>
        <w:tc>
          <w:tcPr>
            <w:tcW w:w="2138" w:type="dxa"/>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C0B32F" w14:textId="77777777" w:rsidR="00DB3DB4" w:rsidRPr="00FE2743" w:rsidRDefault="00DB3DB4" w:rsidP="00DB3DB4">
            <w:pPr>
              <w:spacing w:before="100" w:beforeAutospacing="1" w:after="100" w:afterAutospacing="1" w:line="315" w:lineRule="atLeast"/>
              <w:jc w:val="center"/>
            </w:pPr>
            <w:r w:rsidRPr="00FE2743">
              <w:t>n-gads</w:t>
            </w:r>
          </w:p>
        </w:tc>
        <w:tc>
          <w:tcPr>
            <w:tcW w:w="5349" w:type="dxa"/>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A708E9" w14:textId="77777777" w:rsidR="00DB3DB4" w:rsidRPr="00FE2743" w:rsidRDefault="00DB3DB4" w:rsidP="00DB3DB4">
            <w:pPr>
              <w:spacing w:before="100" w:beforeAutospacing="1" w:after="100" w:afterAutospacing="1" w:line="315" w:lineRule="atLeast"/>
              <w:jc w:val="center"/>
            </w:pPr>
            <w:r w:rsidRPr="00FE2743">
              <w:t>Turpmākie trīs gadi (</w:t>
            </w:r>
            <w:proofErr w:type="spellStart"/>
            <w:r w:rsidRPr="00FE2743">
              <w:rPr>
                <w:i/>
                <w:iCs/>
              </w:rPr>
              <w:t>euro</w:t>
            </w:r>
            <w:proofErr w:type="spellEnd"/>
            <w:r w:rsidRPr="00FE2743">
              <w:t>)</w:t>
            </w:r>
          </w:p>
        </w:tc>
      </w:tr>
      <w:tr w:rsidR="00DB3DB4" w:rsidRPr="00FE2743" w14:paraId="228C55E4"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1D5D07" w14:textId="77777777" w:rsidR="00DB3DB4" w:rsidRPr="007A5AE7" w:rsidRDefault="00DB3DB4" w:rsidP="00DB3DB4"/>
        </w:tc>
        <w:tc>
          <w:tcPr>
            <w:tcW w:w="2138" w:type="dxa"/>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86B993" w14:textId="77777777" w:rsidR="00DB3DB4" w:rsidRPr="007A5AE7" w:rsidRDefault="00DB3DB4" w:rsidP="00DB3DB4"/>
        </w:tc>
        <w:tc>
          <w:tcPr>
            <w:tcW w:w="213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8A02AF" w14:textId="77777777" w:rsidR="00DB3DB4" w:rsidRPr="007A5AE7" w:rsidRDefault="00DB3DB4" w:rsidP="00DB3DB4">
            <w:pPr>
              <w:spacing w:before="100" w:beforeAutospacing="1" w:after="100" w:afterAutospacing="1" w:line="315" w:lineRule="atLeast"/>
              <w:jc w:val="center"/>
            </w:pPr>
            <w:r w:rsidRPr="007A5AE7">
              <w:t>n+1</w:t>
            </w:r>
          </w:p>
        </w:tc>
        <w:tc>
          <w:tcPr>
            <w:tcW w:w="213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95DBF4" w14:textId="77777777" w:rsidR="00DB3DB4" w:rsidRPr="007A5AE7" w:rsidRDefault="00DB3DB4" w:rsidP="00DB3DB4">
            <w:pPr>
              <w:spacing w:before="100" w:beforeAutospacing="1" w:after="100" w:afterAutospacing="1" w:line="315" w:lineRule="atLeast"/>
              <w:jc w:val="center"/>
            </w:pPr>
            <w:r w:rsidRPr="007A5AE7">
              <w:t>n+2</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23D417" w14:textId="77777777" w:rsidR="00DB3DB4" w:rsidRPr="007A5AE7" w:rsidRDefault="00DB3DB4" w:rsidP="00DB3DB4">
            <w:pPr>
              <w:spacing w:before="100" w:beforeAutospacing="1" w:after="100" w:afterAutospacing="1" w:line="315" w:lineRule="atLeast"/>
              <w:jc w:val="center"/>
            </w:pPr>
            <w:r w:rsidRPr="007A5AE7">
              <w:t>n+3</w:t>
            </w:r>
          </w:p>
        </w:tc>
      </w:tr>
      <w:tr w:rsidR="00DB3DB4" w:rsidRPr="00FE2743" w14:paraId="363AA160"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7D601" w14:textId="77777777" w:rsidR="00DB3DB4" w:rsidRPr="007A5AE7" w:rsidRDefault="00DB3DB4" w:rsidP="00DB3DB4"/>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69DDD3" w14:textId="77777777" w:rsidR="00DB3DB4" w:rsidRPr="007A5AE7" w:rsidRDefault="00DB3DB4" w:rsidP="00DB3DB4">
            <w:pPr>
              <w:spacing w:before="100" w:beforeAutospacing="1" w:after="100" w:afterAutospacing="1" w:line="315" w:lineRule="atLeast"/>
              <w:jc w:val="center"/>
            </w:pPr>
            <w:r w:rsidRPr="007A5AE7">
              <w:t>saskaņā ar valsts budžetu kārtējam gadam</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6FAC11" w14:textId="77777777" w:rsidR="00DB3DB4" w:rsidRPr="007A5AE7" w:rsidRDefault="00DB3DB4" w:rsidP="00DB3DB4">
            <w:pPr>
              <w:spacing w:before="100" w:beforeAutospacing="1" w:after="100" w:afterAutospacing="1" w:line="315" w:lineRule="atLeast"/>
              <w:jc w:val="center"/>
            </w:pPr>
            <w:r w:rsidRPr="007A5AE7">
              <w:t>izmaiņas kārtējā gadā, salīdzinot ar valsts budžetu kārtējam gadam</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8B570" w14:textId="77777777" w:rsidR="00DB3DB4" w:rsidRPr="007A5AE7" w:rsidRDefault="00DB3DB4" w:rsidP="00DB3DB4">
            <w:pPr>
              <w:spacing w:before="100" w:beforeAutospacing="1" w:after="100" w:afterAutospacing="1" w:line="315" w:lineRule="atLeast"/>
              <w:jc w:val="center"/>
            </w:pPr>
            <w:r w:rsidRPr="007A5AE7">
              <w:t>saskaņā ar vidēja termiņa budžeta ietvaru</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C53214" w14:textId="77777777" w:rsidR="00DB3DB4" w:rsidRPr="007A5AE7" w:rsidRDefault="00DB3DB4" w:rsidP="00DB3DB4">
            <w:pPr>
              <w:spacing w:before="100" w:beforeAutospacing="1" w:after="100" w:afterAutospacing="1" w:line="315" w:lineRule="atLeast"/>
              <w:jc w:val="center"/>
            </w:pPr>
            <w:r w:rsidRPr="007A5AE7">
              <w:t>izmaiņas, salīdzinot ar vidēja termiņa budžeta ietvaru n+1 gadam</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ED913" w14:textId="77777777" w:rsidR="00DB3DB4" w:rsidRPr="007A5AE7" w:rsidRDefault="00DB3DB4" w:rsidP="00DB3DB4">
            <w:pPr>
              <w:spacing w:before="100" w:beforeAutospacing="1" w:after="100" w:afterAutospacing="1" w:line="315" w:lineRule="atLeast"/>
              <w:jc w:val="center"/>
            </w:pPr>
            <w:r w:rsidRPr="007A5AE7">
              <w:t>saskaņā ar vidēja termiņa budžeta ietvaru</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7A5D08" w14:textId="77777777" w:rsidR="00DB3DB4" w:rsidRPr="007A5AE7" w:rsidRDefault="00DB3DB4" w:rsidP="00DB3DB4">
            <w:pPr>
              <w:spacing w:before="100" w:beforeAutospacing="1" w:after="100" w:afterAutospacing="1" w:line="315" w:lineRule="atLeast"/>
              <w:jc w:val="center"/>
            </w:pPr>
            <w:r w:rsidRPr="007A5AE7">
              <w:t>izmaiņas, salīdzinot ar vidēja termiņa budžeta ietvaru n+2 gadam</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FDF68" w14:textId="77777777" w:rsidR="00DB3DB4" w:rsidRPr="007A5AE7" w:rsidRDefault="00DB3DB4" w:rsidP="00DB3DB4">
            <w:pPr>
              <w:spacing w:before="100" w:beforeAutospacing="1" w:after="100" w:afterAutospacing="1" w:line="315" w:lineRule="atLeast"/>
              <w:jc w:val="center"/>
            </w:pPr>
            <w:r w:rsidRPr="007A5AE7">
              <w:t>izmaiņas, salīdzinot ar vidēja termiņa budžeta ietvaru n+2 gadam</w:t>
            </w:r>
          </w:p>
        </w:tc>
      </w:tr>
      <w:tr w:rsidR="00DB3DB4" w:rsidRPr="00FE2743" w14:paraId="012E166B"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4DBED0" w14:textId="77777777" w:rsidR="00DB3DB4" w:rsidRPr="00FE2743" w:rsidRDefault="00DB3DB4" w:rsidP="00DB3DB4">
            <w:pPr>
              <w:spacing w:before="100" w:beforeAutospacing="1" w:after="100" w:afterAutospacing="1" w:line="315" w:lineRule="atLeast"/>
              <w:jc w:val="center"/>
            </w:pPr>
            <w:r w:rsidRPr="00FE2743">
              <w:t>1</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9DEA5B" w14:textId="77777777" w:rsidR="00DB3DB4" w:rsidRPr="00FE2743" w:rsidRDefault="00DB3DB4" w:rsidP="00DB3DB4">
            <w:pPr>
              <w:spacing w:before="100" w:beforeAutospacing="1" w:after="100" w:afterAutospacing="1" w:line="315" w:lineRule="atLeast"/>
              <w:jc w:val="center"/>
            </w:pPr>
            <w:r w:rsidRPr="00FE2743">
              <w:t>2</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34991F" w14:textId="77777777" w:rsidR="00DB3DB4" w:rsidRPr="00FE2743" w:rsidRDefault="00DB3DB4" w:rsidP="00DB3DB4">
            <w:pPr>
              <w:spacing w:before="100" w:beforeAutospacing="1" w:after="100" w:afterAutospacing="1" w:line="315" w:lineRule="atLeast"/>
              <w:jc w:val="center"/>
            </w:pPr>
            <w:r w:rsidRPr="00FE2743">
              <w:t>3</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E338F8" w14:textId="77777777" w:rsidR="00DB3DB4" w:rsidRPr="00FE2743" w:rsidRDefault="00DB3DB4" w:rsidP="00DB3DB4">
            <w:pPr>
              <w:spacing w:before="100" w:beforeAutospacing="1" w:after="100" w:afterAutospacing="1" w:line="315" w:lineRule="atLeast"/>
              <w:jc w:val="center"/>
            </w:pPr>
            <w:r w:rsidRPr="00FE2743">
              <w:t>4</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0D3B90" w14:textId="77777777" w:rsidR="00DB3DB4" w:rsidRPr="00FE2743" w:rsidRDefault="00DB3DB4" w:rsidP="00DB3DB4">
            <w:pPr>
              <w:spacing w:before="100" w:beforeAutospacing="1" w:after="100" w:afterAutospacing="1" w:line="315" w:lineRule="atLeast"/>
              <w:jc w:val="center"/>
            </w:pPr>
            <w:r w:rsidRPr="00FE2743">
              <w:t>5</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B2E95E" w14:textId="77777777" w:rsidR="00DB3DB4" w:rsidRPr="00FE2743" w:rsidRDefault="00DB3DB4" w:rsidP="00DB3DB4">
            <w:pPr>
              <w:spacing w:before="100" w:beforeAutospacing="1" w:after="100" w:afterAutospacing="1" w:line="315" w:lineRule="atLeast"/>
              <w:jc w:val="center"/>
            </w:pPr>
            <w:r w:rsidRPr="00FE2743">
              <w:t>6</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AF7DC2" w14:textId="77777777" w:rsidR="00DB3DB4" w:rsidRPr="00FE2743" w:rsidRDefault="00DB3DB4" w:rsidP="00DB3DB4">
            <w:pPr>
              <w:spacing w:before="100" w:beforeAutospacing="1" w:after="100" w:afterAutospacing="1" w:line="315" w:lineRule="atLeast"/>
              <w:jc w:val="center"/>
            </w:pPr>
            <w:r w:rsidRPr="00FE2743">
              <w:t>7</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7867AD" w14:textId="77777777" w:rsidR="00DB3DB4" w:rsidRPr="00FE2743" w:rsidRDefault="00DB3DB4" w:rsidP="00DB3DB4">
            <w:pPr>
              <w:spacing w:before="100" w:beforeAutospacing="1" w:after="100" w:afterAutospacing="1" w:line="315" w:lineRule="atLeast"/>
              <w:jc w:val="center"/>
            </w:pPr>
            <w:r w:rsidRPr="00FE2743">
              <w:t>8</w:t>
            </w:r>
          </w:p>
        </w:tc>
      </w:tr>
      <w:tr w:rsidR="00DB3DB4" w:rsidRPr="00FE2743" w14:paraId="589D3232"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601EADAF" w14:textId="77777777" w:rsidR="00DB3DB4" w:rsidRPr="00FE2743" w:rsidRDefault="00DB3DB4" w:rsidP="00DB3DB4">
            <w:r w:rsidRPr="00FE2743">
              <w:t>1. Budžeta ieņēmumi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F9EFDD" w14:textId="77777777" w:rsidR="00DB3DB4" w:rsidRPr="00FE2743" w:rsidRDefault="00DB3DB4" w:rsidP="00DB3DB4">
            <w:r w:rsidRPr="00FE2743">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73B5B1" w14:textId="77777777" w:rsidR="00DB3DB4" w:rsidRPr="00FE2743" w:rsidRDefault="00DB3DB4" w:rsidP="00DB3DB4">
            <w:r w:rsidRPr="00FE2743">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500E4149" w14:textId="77777777" w:rsidR="00DB3DB4" w:rsidRPr="00FE2743" w:rsidRDefault="00DB3DB4" w:rsidP="00DB3DB4"/>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EB5C45" w14:textId="77777777" w:rsidR="00DB3DB4" w:rsidRPr="00FE2743" w:rsidRDefault="00DB3DB4" w:rsidP="00DB3DB4">
            <w:r w:rsidRPr="00FE2743">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3F993C" w14:textId="77777777" w:rsidR="00DB3DB4" w:rsidRPr="00FE2743" w:rsidRDefault="00DB3DB4" w:rsidP="00DB3DB4">
            <w:r w:rsidRPr="00FE2743">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E66849" w14:textId="77777777" w:rsidR="00DB3DB4" w:rsidRPr="00FE2743" w:rsidRDefault="00DB3DB4" w:rsidP="00DB3DB4">
            <w:r w:rsidRPr="00FE2743">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3BC263" w14:textId="77777777" w:rsidR="00DB3DB4" w:rsidRPr="00FE2743" w:rsidRDefault="00DB3DB4" w:rsidP="00DB3DB4">
            <w:r w:rsidRPr="00FE2743">
              <w:t> </w:t>
            </w:r>
          </w:p>
        </w:tc>
      </w:tr>
      <w:tr w:rsidR="00DB3DB4" w:rsidRPr="00FE2743" w14:paraId="78318381"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19B8707" w14:textId="77777777" w:rsidR="00DB3DB4" w:rsidRPr="00FE2743" w:rsidRDefault="00DB3DB4" w:rsidP="00DB3DB4">
            <w:r w:rsidRPr="00FE2743">
              <w:t>1.1. valsts pamatbudžets, tai skaitā ieņēmumi no maksas pakalpojumiem un citi pašu ieņēmumi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7C95E" w14:textId="77777777" w:rsidR="00DB3DB4" w:rsidRPr="00FE2743" w:rsidRDefault="00DB3DB4" w:rsidP="00DB3DB4">
            <w:pPr>
              <w:rPr>
                <w:sz w:val="22"/>
                <w:szCs w:val="22"/>
              </w:rPr>
            </w:pPr>
            <w:r w:rsidRPr="00FE2743">
              <w:rPr>
                <w:sz w:val="22"/>
                <w:szCs w:val="22"/>
              </w:rPr>
              <w:t> 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151355" w14:textId="77777777" w:rsidR="00DB3DB4" w:rsidRPr="00FE2743" w:rsidRDefault="00DB3DB4" w:rsidP="00DB3DB4">
            <w:pPr>
              <w:rPr>
                <w:sz w:val="22"/>
                <w:szCs w:val="22"/>
              </w:rPr>
            </w:pPr>
            <w:r w:rsidRPr="00FE2743">
              <w:rPr>
                <w:sz w:val="22"/>
                <w:szCs w:val="22"/>
              </w:rPr>
              <w:t> </w:t>
            </w:r>
            <w:r w:rsidRPr="00FE2743">
              <w:rPr>
                <w:rFonts w:eastAsia="Calibri"/>
                <w:sz w:val="22"/>
                <w:szCs w:val="22"/>
                <w:shd w:val="clear" w:color="auto" w:fill="FFFFFF"/>
                <w:lang w:eastAsia="en-US"/>
              </w:rPr>
              <w:t>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938B35" w14:textId="77777777" w:rsidR="00DB3DB4" w:rsidRPr="00FE2743" w:rsidRDefault="00DB3DB4" w:rsidP="00DB3DB4">
            <w:pPr>
              <w:rPr>
                <w:sz w:val="22"/>
                <w:szCs w:val="22"/>
              </w:rPr>
            </w:pPr>
            <w:r w:rsidRPr="00FE2743">
              <w:rPr>
                <w:sz w:val="22"/>
                <w:szCs w:val="22"/>
              </w:rPr>
              <w:t> </w:t>
            </w:r>
            <w:r w:rsidRPr="00FE2743">
              <w:rPr>
                <w:rFonts w:eastAsia="Calibri"/>
                <w:sz w:val="22"/>
                <w:szCs w:val="22"/>
                <w:shd w:val="clear" w:color="auto" w:fill="FFFFFF"/>
                <w:lang w:eastAsia="en-US"/>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50363D" w14:textId="77777777" w:rsidR="00DB3DB4" w:rsidRPr="00FE2743" w:rsidRDefault="00DB3DB4" w:rsidP="00DB3DB4">
            <w:pPr>
              <w:rPr>
                <w:sz w:val="22"/>
                <w:szCs w:val="22"/>
              </w:rPr>
            </w:pPr>
            <w:r w:rsidRPr="00FE2743">
              <w:rPr>
                <w:sz w:val="22"/>
                <w:szCs w:val="22"/>
              </w:rPr>
              <w:t> </w:t>
            </w:r>
            <w:r w:rsidRPr="00FE2743">
              <w:rPr>
                <w:rFonts w:eastAsia="Calibri"/>
                <w:sz w:val="22"/>
                <w:szCs w:val="22"/>
                <w:shd w:val="clear" w:color="auto" w:fill="FFFFFF"/>
                <w:lang w:eastAsia="en-US"/>
              </w:rPr>
              <w:t>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3D8EAA" w14:textId="77777777" w:rsidR="00DB3DB4" w:rsidRPr="00FE2743" w:rsidRDefault="00DB3DB4" w:rsidP="00DB3DB4">
            <w:pPr>
              <w:rPr>
                <w:sz w:val="22"/>
                <w:szCs w:val="22"/>
              </w:rPr>
            </w:pPr>
            <w:r w:rsidRPr="00FE2743">
              <w:rPr>
                <w:sz w:val="22"/>
                <w:szCs w:val="22"/>
              </w:rPr>
              <w:t> </w:t>
            </w:r>
            <w:r w:rsidRPr="00FE2743">
              <w:rPr>
                <w:rFonts w:eastAsia="Calibri"/>
                <w:sz w:val="22"/>
                <w:szCs w:val="22"/>
                <w:shd w:val="clear" w:color="auto" w:fill="FFFFFF"/>
                <w:lang w:eastAsia="en-US"/>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96D4B1" w14:textId="77777777" w:rsidR="00DB3DB4" w:rsidRPr="00FE2743" w:rsidRDefault="00DB3DB4" w:rsidP="00DB3DB4">
            <w:pPr>
              <w:rPr>
                <w:sz w:val="22"/>
                <w:szCs w:val="22"/>
              </w:rPr>
            </w:pPr>
            <w:r w:rsidRPr="00FE2743">
              <w:rPr>
                <w:sz w:val="22"/>
                <w:szCs w:val="22"/>
              </w:rPr>
              <w:t> </w:t>
            </w:r>
            <w:r w:rsidRPr="00FE2743">
              <w:rPr>
                <w:rFonts w:eastAsia="Calibri"/>
                <w:sz w:val="22"/>
                <w:szCs w:val="22"/>
                <w:shd w:val="clear" w:color="auto" w:fill="FFFFFF"/>
                <w:lang w:eastAsia="en-US"/>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6A6855" w14:textId="77777777" w:rsidR="00DB3DB4" w:rsidRPr="00FE2743" w:rsidRDefault="00DB3DB4" w:rsidP="00DB3DB4">
            <w:pPr>
              <w:rPr>
                <w:sz w:val="22"/>
                <w:szCs w:val="22"/>
              </w:rPr>
            </w:pPr>
            <w:r w:rsidRPr="00FE2743">
              <w:rPr>
                <w:sz w:val="22"/>
                <w:szCs w:val="22"/>
              </w:rPr>
              <w:t> </w:t>
            </w:r>
            <w:r w:rsidRPr="00FE2743">
              <w:rPr>
                <w:rFonts w:eastAsia="Calibri"/>
                <w:sz w:val="22"/>
                <w:szCs w:val="22"/>
                <w:shd w:val="clear" w:color="auto" w:fill="FFFFFF"/>
                <w:lang w:eastAsia="en-US"/>
              </w:rPr>
              <w:t>nav precīzi aprēķināms</w:t>
            </w:r>
          </w:p>
        </w:tc>
      </w:tr>
      <w:tr w:rsidR="00DB3DB4" w:rsidRPr="00FE2743" w14:paraId="53FFAEDE"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1E8EEB05" w14:textId="77777777" w:rsidR="00DB3DB4" w:rsidRPr="00FE2743" w:rsidRDefault="00DB3DB4" w:rsidP="00DB3DB4">
            <w:r w:rsidRPr="00FE2743">
              <w:t>1.2. valsts speciālais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ADBBB"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2C889F"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8226FC"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E689D"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02B6B"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AEA6A7"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3C1509" w14:textId="77777777" w:rsidR="00DB3DB4" w:rsidRPr="00FE2743" w:rsidRDefault="00DB3DB4" w:rsidP="00DB3DB4">
            <w:pPr>
              <w:rPr>
                <w:sz w:val="22"/>
                <w:szCs w:val="22"/>
              </w:rPr>
            </w:pPr>
            <w:r w:rsidRPr="00FE2743">
              <w:rPr>
                <w:sz w:val="22"/>
                <w:szCs w:val="22"/>
              </w:rPr>
              <w:t> 0</w:t>
            </w:r>
          </w:p>
        </w:tc>
      </w:tr>
      <w:tr w:rsidR="00DB3DB4" w:rsidRPr="00FE2743" w14:paraId="6BC1DE45"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12E4681F" w14:textId="77777777" w:rsidR="00DB3DB4" w:rsidRPr="00FE2743" w:rsidRDefault="00DB3DB4" w:rsidP="00DB3DB4">
            <w:r w:rsidRPr="00FE2743">
              <w:t>1.3. pašvaldību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B2F32"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CE8B60"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C59F2A"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7FE6D"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68724A"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F560CC"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F1267" w14:textId="77777777" w:rsidR="00DB3DB4" w:rsidRPr="00FE2743" w:rsidRDefault="00DB3DB4" w:rsidP="00DB3DB4">
            <w:pPr>
              <w:rPr>
                <w:sz w:val="22"/>
                <w:szCs w:val="22"/>
              </w:rPr>
            </w:pPr>
            <w:r w:rsidRPr="00FE2743">
              <w:rPr>
                <w:sz w:val="22"/>
                <w:szCs w:val="22"/>
              </w:rPr>
              <w:t> 0</w:t>
            </w:r>
          </w:p>
        </w:tc>
      </w:tr>
      <w:tr w:rsidR="00FE2743" w:rsidRPr="00FE2743" w14:paraId="5562C6C7"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0778F51B" w14:textId="77777777" w:rsidR="00DB3DB4" w:rsidRPr="00FE2743" w:rsidRDefault="00DB3DB4" w:rsidP="00DB3DB4">
            <w:r w:rsidRPr="00FE2743">
              <w:lastRenderedPageBreak/>
              <w:t>2. Budžeta izdevumi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5FBFFC"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5502B5" w14:textId="77777777" w:rsidR="00DB3DB4" w:rsidRPr="00FE2743" w:rsidRDefault="00DB3DB4" w:rsidP="00DB3DB4">
            <w:pPr>
              <w:rPr>
                <w:sz w:val="22"/>
                <w:szCs w:val="22"/>
              </w:rPr>
            </w:pPr>
            <w:r w:rsidRPr="00FE2743">
              <w:rPr>
                <w:sz w:val="22"/>
                <w:szCs w:val="22"/>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55C3A0"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EC437" w14:textId="77777777" w:rsidR="00DB3DB4" w:rsidRPr="00FE2743" w:rsidRDefault="00DB3DB4" w:rsidP="00DB3DB4">
            <w:pPr>
              <w:rPr>
                <w:sz w:val="22"/>
                <w:szCs w:val="22"/>
              </w:rPr>
            </w:pPr>
            <w:r w:rsidRPr="00FE2743">
              <w:rPr>
                <w:sz w:val="22"/>
                <w:szCs w:val="22"/>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A4BD3"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3B88F5"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021EC1" w14:textId="77777777" w:rsidR="00DB3DB4" w:rsidRPr="00FE2743" w:rsidRDefault="00DB3DB4" w:rsidP="00DB3DB4">
            <w:pPr>
              <w:rPr>
                <w:sz w:val="22"/>
                <w:szCs w:val="22"/>
              </w:rPr>
            </w:pPr>
            <w:r w:rsidRPr="00FE2743">
              <w:rPr>
                <w:sz w:val="22"/>
                <w:szCs w:val="22"/>
              </w:rPr>
              <w:t> </w:t>
            </w:r>
          </w:p>
        </w:tc>
      </w:tr>
      <w:tr w:rsidR="00DB3DB4" w:rsidRPr="00FE2743" w14:paraId="184AAF9C"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49709317" w14:textId="77777777" w:rsidR="00DB3DB4" w:rsidRPr="00FE2743" w:rsidRDefault="00DB3DB4" w:rsidP="00DB3DB4">
            <w:r w:rsidRPr="00FE2743">
              <w:t>2.1. valsts pamatbudžets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C7A82D"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BC9D9"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CB5B48"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799DA3"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A1772B"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657753"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9F88AA" w14:textId="77777777" w:rsidR="00DB3DB4" w:rsidRPr="00FE2743" w:rsidRDefault="00DB3DB4" w:rsidP="00DB3DB4">
            <w:pPr>
              <w:rPr>
                <w:sz w:val="22"/>
                <w:szCs w:val="22"/>
              </w:rPr>
            </w:pPr>
            <w:r w:rsidRPr="00FE2743">
              <w:rPr>
                <w:sz w:val="22"/>
                <w:szCs w:val="22"/>
              </w:rPr>
              <w:t> 0</w:t>
            </w:r>
          </w:p>
        </w:tc>
      </w:tr>
      <w:tr w:rsidR="00DB3DB4" w:rsidRPr="00FE2743" w14:paraId="5DDF21E3"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043FC2F3" w14:textId="77777777" w:rsidR="00DB3DB4" w:rsidRPr="00FE2743" w:rsidRDefault="00DB3DB4" w:rsidP="00DB3DB4">
            <w:r w:rsidRPr="00FE2743">
              <w:t>2.2. valsts speciālais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269E80"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9B4D25"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EB6A91"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642CB1"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13716C"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F2FE06"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7F217" w14:textId="77777777" w:rsidR="00DB3DB4" w:rsidRPr="00FE2743" w:rsidRDefault="00DB3DB4" w:rsidP="00DB3DB4">
            <w:pPr>
              <w:rPr>
                <w:sz w:val="22"/>
                <w:szCs w:val="22"/>
              </w:rPr>
            </w:pPr>
            <w:r w:rsidRPr="00FE2743">
              <w:rPr>
                <w:sz w:val="22"/>
                <w:szCs w:val="22"/>
              </w:rPr>
              <w:t> 0</w:t>
            </w:r>
          </w:p>
        </w:tc>
      </w:tr>
      <w:tr w:rsidR="00DB3DB4" w:rsidRPr="00FE2743" w14:paraId="25244C8A"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5423F0E2" w14:textId="77777777" w:rsidR="00DB3DB4" w:rsidRPr="00FE2743" w:rsidRDefault="00DB3DB4" w:rsidP="00DB3DB4">
            <w:r w:rsidRPr="00FE2743">
              <w:t>2.3. pašvaldību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DCEBC4"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4D73A1"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59AE86"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891CA7"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1D0191"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D1FBC7"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B4F4E8" w14:textId="77777777" w:rsidR="00DB3DB4" w:rsidRPr="00FE2743" w:rsidRDefault="00DB3DB4" w:rsidP="00DB3DB4">
            <w:pPr>
              <w:rPr>
                <w:sz w:val="22"/>
                <w:szCs w:val="22"/>
              </w:rPr>
            </w:pPr>
            <w:r w:rsidRPr="00FE2743">
              <w:rPr>
                <w:sz w:val="22"/>
                <w:szCs w:val="22"/>
              </w:rPr>
              <w:t> 0</w:t>
            </w:r>
          </w:p>
        </w:tc>
      </w:tr>
      <w:tr w:rsidR="00DB3DB4" w:rsidRPr="00FE2743" w14:paraId="280D345C"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7C98FEF4" w14:textId="77777777" w:rsidR="00DB3DB4" w:rsidRPr="00FE2743" w:rsidRDefault="00DB3DB4" w:rsidP="00DB3DB4">
            <w:r w:rsidRPr="00FE2743">
              <w:t>3. Finansiālā ietekme</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79D905"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874A64" w14:textId="77777777" w:rsidR="00DB3DB4" w:rsidRPr="00FE2743" w:rsidRDefault="00DB3DB4" w:rsidP="00DB3DB4">
            <w:pPr>
              <w:rPr>
                <w:sz w:val="22"/>
                <w:szCs w:val="22"/>
              </w:rPr>
            </w:pPr>
            <w:r w:rsidRPr="00FE2743">
              <w:rPr>
                <w:sz w:val="22"/>
                <w:szCs w:val="22"/>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DB34C"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1443B4" w14:textId="77777777" w:rsidR="00DB3DB4" w:rsidRPr="00FE2743" w:rsidRDefault="00DB3DB4" w:rsidP="00DB3DB4">
            <w:pPr>
              <w:rPr>
                <w:sz w:val="22"/>
                <w:szCs w:val="22"/>
              </w:rPr>
            </w:pPr>
            <w:r w:rsidRPr="00FE2743">
              <w:rPr>
                <w:sz w:val="22"/>
                <w:szCs w:val="22"/>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7602BF"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540F43"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DA5574" w14:textId="77777777" w:rsidR="00DB3DB4" w:rsidRPr="00FE2743" w:rsidRDefault="00DB3DB4" w:rsidP="00DB3DB4">
            <w:pPr>
              <w:rPr>
                <w:sz w:val="22"/>
                <w:szCs w:val="22"/>
              </w:rPr>
            </w:pPr>
            <w:r w:rsidRPr="00FE2743">
              <w:rPr>
                <w:sz w:val="22"/>
                <w:szCs w:val="22"/>
              </w:rPr>
              <w:t> </w:t>
            </w:r>
          </w:p>
        </w:tc>
      </w:tr>
      <w:tr w:rsidR="00DB3DB4" w:rsidRPr="00FE2743" w14:paraId="17A4B791"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1D9E7282" w14:textId="77777777" w:rsidR="00DB3DB4" w:rsidRPr="00FE2743" w:rsidRDefault="00DB3DB4" w:rsidP="00DB3DB4">
            <w:r w:rsidRPr="00FE2743">
              <w:t>3.1. valsts pamatbudžets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9BAAD5" w14:textId="77777777" w:rsidR="00DB3DB4" w:rsidRPr="00FE2743" w:rsidRDefault="00DB3DB4" w:rsidP="00DB3DB4">
            <w:pPr>
              <w:rPr>
                <w:sz w:val="22"/>
                <w:szCs w:val="22"/>
              </w:rPr>
            </w:pPr>
            <w:r w:rsidRPr="00FE2743">
              <w:rPr>
                <w:sz w:val="22"/>
                <w:szCs w:val="22"/>
              </w:rPr>
              <w:t> 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F5A3C5" w14:textId="77777777" w:rsidR="00DB3DB4" w:rsidRPr="00FE2743" w:rsidRDefault="00DB3DB4" w:rsidP="00DB3DB4">
            <w:pPr>
              <w:rPr>
                <w:sz w:val="22"/>
                <w:szCs w:val="22"/>
              </w:rPr>
            </w:pPr>
            <w:r w:rsidRPr="00FE2743">
              <w:rPr>
                <w:sz w:val="22"/>
                <w:szCs w:val="22"/>
              </w:rPr>
              <w:t> 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986FBE" w14:textId="77777777" w:rsidR="00DB3DB4" w:rsidRPr="00FE2743" w:rsidRDefault="00DB3DB4" w:rsidP="00DB3DB4">
            <w:pPr>
              <w:rPr>
                <w:sz w:val="22"/>
                <w:szCs w:val="22"/>
              </w:rPr>
            </w:pPr>
            <w:r w:rsidRPr="00FE2743">
              <w:rPr>
                <w:sz w:val="22"/>
                <w:szCs w:val="22"/>
              </w:rPr>
              <w:t> 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03A830" w14:textId="77777777" w:rsidR="00DB3DB4" w:rsidRPr="00FE2743" w:rsidRDefault="00DB3DB4" w:rsidP="00DB3DB4">
            <w:pPr>
              <w:rPr>
                <w:sz w:val="22"/>
                <w:szCs w:val="22"/>
              </w:rPr>
            </w:pPr>
            <w:r w:rsidRPr="00FE2743">
              <w:rPr>
                <w:sz w:val="22"/>
                <w:szCs w:val="22"/>
              </w:rPr>
              <w:t> 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57FCF2" w14:textId="77777777" w:rsidR="00DB3DB4" w:rsidRPr="00FE2743" w:rsidRDefault="00DB3DB4" w:rsidP="00DB3DB4">
            <w:pPr>
              <w:rPr>
                <w:sz w:val="22"/>
                <w:szCs w:val="22"/>
              </w:rPr>
            </w:pPr>
            <w:r w:rsidRPr="00FE2743">
              <w:rPr>
                <w:sz w:val="22"/>
                <w:szCs w:val="22"/>
              </w:rPr>
              <w:t> 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8FC301" w14:textId="77777777" w:rsidR="00DB3DB4" w:rsidRPr="00FE2743" w:rsidRDefault="00DB3DB4" w:rsidP="00DB3DB4">
            <w:pPr>
              <w:rPr>
                <w:sz w:val="22"/>
                <w:szCs w:val="22"/>
              </w:rPr>
            </w:pPr>
            <w:r w:rsidRPr="00FE2743">
              <w:rPr>
                <w:sz w:val="22"/>
                <w:szCs w:val="22"/>
              </w:rPr>
              <w:t> 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8D733" w14:textId="77777777" w:rsidR="00DB3DB4" w:rsidRPr="00FE2743" w:rsidRDefault="00DB3DB4" w:rsidP="00DB3DB4">
            <w:pPr>
              <w:rPr>
                <w:sz w:val="22"/>
                <w:szCs w:val="22"/>
              </w:rPr>
            </w:pPr>
            <w:r w:rsidRPr="00FE2743">
              <w:rPr>
                <w:sz w:val="22"/>
                <w:szCs w:val="22"/>
              </w:rPr>
              <w:t> nav precīzi aprēķināms</w:t>
            </w:r>
          </w:p>
        </w:tc>
      </w:tr>
      <w:tr w:rsidR="00DB3DB4" w:rsidRPr="00FE2743" w14:paraId="7319EB50"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522E8B4" w14:textId="77777777" w:rsidR="00DB3DB4" w:rsidRPr="00FE2743" w:rsidRDefault="00DB3DB4" w:rsidP="00DB3DB4">
            <w:r w:rsidRPr="00FE2743">
              <w:t>3.2. speciālais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460F9E"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D1EC26"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5D6025"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3E4C53"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2E0AD"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71FC20" w14:textId="77777777" w:rsidR="00DB3DB4" w:rsidRPr="00FE2743" w:rsidRDefault="00DB3DB4" w:rsidP="00DB3DB4">
            <w:pPr>
              <w:rPr>
                <w:sz w:val="22"/>
                <w:szCs w:val="22"/>
              </w:rPr>
            </w:pPr>
            <w:r w:rsidRPr="00FE2743">
              <w:rPr>
                <w:sz w:val="22"/>
                <w:szCs w:val="22"/>
              </w:rPr>
              <w:t>0 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E24911" w14:textId="77777777" w:rsidR="00DB3DB4" w:rsidRPr="00FE2743" w:rsidRDefault="00DB3DB4" w:rsidP="00DB3DB4">
            <w:pPr>
              <w:rPr>
                <w:sz w:val="22"/>
                <w:szCs w:val="22"/>
              </w:rPr>
            </w:pPr>
            <w:r w:rsidRPr="00FE2743">
              <w:rPr>
                <w:sz w:val="22"/>
                <w:szCs w:val="22"/>
              </w:rPr>
              <w:t>0 </w:t>
            </w:r>
          </w:p>
        </w:tc>
      </w:tr>
      <w:tr w:rsidR="00DB3DB4" w:rsidRPr="00FE2743" w14:paraId="3BD78731"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4465499C" w14:textId="77777777" w:rsidR="00DB3DB4" w:rsidRPr="00FE2743" w:rsidRDefault="00DB3DB4" w:rsidP="00DB3DB4">
            <w:r w:rsidRPr="00FE2743">
              <w:t>3.3. pašvaldību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5AEB9"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CF33B"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9BFA5F"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E0E37B"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83BEC7"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3A8AA5"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E5B82E" w14:textId="77777777" w:rsidR="00DB3DB4" w:rsidRPr="00FE2743" w:rsidRDefault="00DB3DB4" w:rsidP="00DB3DB4">
            <w:pPr>
              <w:rPr>
                <w:sz w:val="22"/>
                <w:szCs w:val="22"/>
              </w:rPr>
            </w:pPr>
            <w:r w:rsidRPr="00FE2743">
              <w:rPr>
                <w:sz w:val="22"/>
                <w:szCs w:val="22"/>
              </w:rPr>
              <w:t> 0</w:t>
            </w:r>
          </w:p>
        </w:tc>
      </w:tr>
      <w:tr w:rsidR="00DB3DB4" w:rsidRPr="00FE2743" w14:paraId="04D480CE"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566A2B68" w14:textId="77777777" w:rsidR="00DB3DB4" w:rsidRPr="00FE2743" w:rsidRDefault="00DB3DB4" w:rsidP="00DB3DB4">
            <w:r w:rsidRPr="00FE2743">
              <w:t>4. Finanšu līdzekļi papildu izdevumu finansēšanai (kompensējošu izdevumu samazinājumu norāda ar "+" zīmi)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100EFF" w14:textId="77777777" w:rsidR="00DB3DB4" w:rsidRPr="00FE2743" w:rsidRDefault="00DB3DB4" w:rsidP="00DB3DB4">
            <w:pPr>
              <w:rPr>
                <w:sz w:val="22"/>
                <w:szCs w:val="22"/>
              </w:rPr>
            </w:pPr>
            <w:r w:rsidRPr="00FE2743">
              <w:rPr>
                <w:sz w:val="22"/>
                <w:szCs w:val="22"/>
              </w:rPr>
              <w:t>0 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1C1AC9"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3C7C2B"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744DDF" w14:textId="77777777" w:rsidR="00DB3DB4" w:rsidRPr="00FE2743" w:rsidRDefault="00DB3DB4" w:rsidP="00DB3DB4">
            <w:pPr>
              <w:rPr>
                <w:sz w:val="22"/>
                <w:szCs w:val="22"/>
              </w:rPr>
            </w:pPr>
            <w:r w:rsidRPr="00FE2743">
              <w:rPr>
                <w:sz w:val="22"/>
                <w:szCs w:val="22"/>
              </w:rPr>
              <w:t> 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DC2C18"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46484"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E106F3" w14:textId="77777777" w:rsidR="00DB3DB4" w:rsidRPr="00FE2743" w:rsidRDefault="00DB3DB4" w:rsidP="00DB3DB4">
            <w:pPr>
              <w:rPr>
                <w:sz w:val="22"/>
                <w:szCs w:val="22"/>
              </w:rPr>
            </w:pPr>
            <w:r w:rsidRPr="00FE2743">
              <w:rPr>
                <w:sz w:val="22"/>
                <w:szCs w:val="22"/>
              </w:rPr>
              <w:t> 0</w:t>
            </w:r>
          </w:p>
        </w:tc>
      </w:tr>
      <w:tr w:rsidR="00DB3DB4" w:rsidRPr="00FE2743" w14:paraId="3BF4D465"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675E2138" w14:textId="77777777" w:rsidR="00DB3DB4" w:rsidRPr="00FE2743" w:rsidRDefault="00DB3DB4" w:rsidP="00DB3DB4">
            <w:r w:rsidRPr="00FE2743">
              <w:t>5. Precizēta finansiālā ietekme</w:t>
            </w:r>
          </w:p>
        </w:tc>
        <w:tc>
          <w:tcPr>
            <w:tcW w:w="106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D5F00"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A24DED" w14:textId="77777777" w:rsidR="00DB3DB4" w:rsidRPr="00FE2743" w:rsidRDefault="00DB3DB4" w:rsidP="00DB3DB4">
            <w:pPr>
              <w:rPr>
                <w:sz w:val="22"/>
                <w:szCs w:val="22"/>
              </w:rPr>
            </w:pPr>
            <w:r w:rsidRPr="00FE2743">
              <w:rPr>
                <w:sz w:val="22"/>
                <w:szCs w:val="22"/>
              </w:rPr>
              <w:t> </w:t>
            </w:r>
          </w:p>
        </w:tc>
        <w:tc>
          <w:tcPr>
            <w:tcW w:w="106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946F83"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86DC70" w14:textId="77777777" w:rsidR="00DB3DB4" w:rsidRPr="00FE2743" w:rsidRDefault="00DB3DB4" w:rsidP="00DB3DB4">
            <w:pPr>
              <w:rPr>
                <w:sz w:val="22"/>
                <w:szCs w:val="22"/>
              </w:rPr>
            </w:pPr>
            <w:r w:rsidRPr="00FE2743">
              <w:rPr>
                <w:sz w:val="22"/>
                <w:szCs w:val="22"/>
              </w:rPr>
              <w:t> </w:t>
            </w:r>
          </w:p>
        </w:tc>
        <w:tc>
          <w:tcPr>
            <w:tcW w:w="106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C3AB73"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9530DF" w14:textId="77777777" w:rsidR="00DB3DB4" w:rsidRPr="00FE2743" w:rsidRDefault="00DB3DB4" w:rsidP="00DB3DB4">
            <w:pPr>
              <w:rPr>
                <w:sz w:val="22"/>
                <w:szCs w:val="22"/>
              </w:rPr>
            </w:pPr>
            <w:r w:rsidRPr="00FE2743">
              <w:rPr>
                <w:sz w:val="22"/>
                <w:szCs w:val="22"/>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80A98A" w14:textId="77777777" w:rsidR="00DB3DB4" w:rsidRPr="00FE2743" w:rsidRDefault="00DB3DB4" w:rsidP="00DB3DB4">
            <w:pPr>
              <w:rPr>
                <w:sz w:val="22"/>
                <w:szCs w:val="22"/>
              </w:rPr>
            </w:pPr>
            <w:r w:rsidRPr="00FE2743">
              <w:rPr>
                <w:sz w:val="22"/>
                <w:szCs w:val="22"/>
              </w:rPr>
              <w:t> </w:t>
            </w:r>
          </w:p>
        </w:tc>
      </w:tr>
      <w:tr w:rsidR="00DB3DB4" w:rsidRPr="00FE2743" w14:paraId="4A3EE653"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3A85088C" w14:textId="77777777" w:rsidR="00DB3DB4" w:rsidRPr="00FE2743" w:rsidRDefault="00DB3DB4" w:rsidP="00DB3DB4">
            <w:r w:rsidRPr="00FE2743">
              <w:t>5.1. valsts pamatbudžets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A5C53E"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8CA1F5" w14:textId="77777777" w:rsidR="00DB3DB4" w:rsidRPr="00FE2743" w:rsidRDefault="00DB3DB4" w:rsidP="00DB3DB4">
            <w:pPr>
              <w:rPr>
                <w:sz w:val="22"/>
                <w:szCs w:val="22"/>
              </w:rPr>
            </w:pPr>
            <w:r w:rsidRPr="00FE2743">
              <w:rPr>
                <w:sz w:val="22"/>
                <w:szCs w:val="22"/>
              </w:rPr>
              <w:t> nav precīzi aprēķināms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E03F5"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5A7A36" w14:textId="77777777" w:rsidR="00DB3DB4" w:rsidRPr="00FE2743" w:rsidRDefault="00DB3DB4" w:rsidP="00DB3DB4">
            <w:pPr>
              <w:rPr>
                <w:sz w:val="22"/>
                <w:szCs w:val="22"/>
              </w:rPr>
            </w:pPr>
            <w:r w:rsidRPr="00FE2743">
              <w:rPr>
                <w:sz w:val="22"/>
                <w:szCs w:val="22"/>
              </w:rPr>
              <w:t> nav precīzi aprēķināms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0F49E6"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92E60F" w14:textId="77777777" w:rsidR="00DB3DB4" w:rsidRPr="00FE2743" w:rsidRDefault="00DB3DB4" w:rsidP="00DB3DB4">
            <w:pPr>
              <w:rPr>
                <w:sz w:val="22"/>
                <w:szCs w:val="22"/>
              </w:rPr>
            </w:pPr>
            <w:r w:rsidRPr="00FE2743">
              <w:rPr>
                <w:sz w:val="22"/>
                <w:szCs w:val="22"/>
              </w:rPr>
              <w:t> 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907756" w14:textId="77777777" w:rsidR="00DB3DB4" w:rsidRPr="00FE2743" w:rsidRDefault="00DB3DB4" w:rsidP="00DB3DB4">
            <w:pPr>
              <w:rPr>
                <w:sz w:val="22"/>
                <w:szCs w:val="22"/>
              </w:rPr>
            </w:pPr>
            <w:r w:rsidRPr="00FE2743">
              <w:rPr>
                <w:sz w:val="22"/>
                <w:szCs w:val="22"/>
              </w:rPr>
              <w:t> nav precīzi aprēķināms</w:t>
            </w:r>
          </w:p>
        </w:tc>
      </w:tr>
      <w:tr w:rsidR="00DB3DB4" w:rsidRPr="00FE2743" w14:paraId="08A0F277"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6A16CDF3" w14:textId="77777777" w:rsidR="00DB3DB4" w:rsidRPr="00FE2743" w:rsidRDefault="00DB3DB4" w:rsidP="00DB3DB4">
            <w:r w:rsidRPr="00FE2743">
              <w:t>5.2. speciālais budžets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E7CE47"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E13BF4" w14:textId="77777777" w:rsidR="00DB3DB4" w:rsidRPr="00FE2743" w:rsidRDefault="00DB3DB4" w:rsidP="00DB3DB4">
            <w:pPr>
              <w:rPr>
                <w:sz w:val="22"/>
                <w:szCs w:val="22"/>
              </w:rPr>
            </w:pPr>
            <w:r w:rsidRPr="00FE2743">
              <w:rPr>
                <w:sz w:val="22"/>
                <w:szCs w:val="22"/>
              </w:rPr>
              <w:t> 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C5E863"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11B9F" w14:textId="77777777" w:rsidR="00DB3DB4" w:rsidRPr="00FE2743" w:rsidRDefault="00DB3DB4" w:rsidP="00DB3DB4">
            <w:pPr>
              <w:rPr>
                <w:sz w:val="22"/>
                <w:szCs w:val="22"/>
              </w:rPr>
            </w:pPr>
            <w:r w:rsidRPr="00FE2743">
              <w:rPr>
                <w:sz w:val="22"/>
                <w:szCs w:val="22"/>
              </w:rPr>
              <w:t> 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3D6DC4"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A8CB39"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892D6F" w14:textId="77777777" w:rsidR="00DB3DB4" w:rsidRPr="00FE2743" w:rsidRDefault="00DB3DB4" w:rsidP="00DB3DB4">
            <w:pPr>
              <w:rPr>
                <w:sz w:val="22"/>
                <w:szCs w:val="22"/>
              </w:rPr>
            </w:pPr>
            <w:r w:rsidRPr="00FE2743">
              <w:rPr>
                <w:sz w:val="22"/>
                <w:szCs w:val="22"/>
              </w:rPr>
              <w:t> 0</w:t>
            </w:r>
          </w:p>
        </w:tc>
      </w:tr>
      <w:tr w:rsidR="00DB3DB4" w:rsidRPr="00FE2743" w14:paraId="3AF75389"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1826B84" w14:textId="77777777" w:rsidR="00DB3DB4" w:rsidRPr="00FE2743" w:rsidRDefault="00DB3DB4" w:rsidP="00DB3DB4">
            <w:r w:rsidRPr="00FE2743">
              <w:t>5.3. pašvaldību budžets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6367D8"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93887C" w14:textId="77777777" w:rsidR="00DB3DB4" w:rsidRPr="00FE2743" w:rsidRDefault="00DB3DB4" w:rsidP="00DB3DB4">
            <w:pPr>
              <w:rPr>
                <w:sz w:val="22"/>
                <w:szCs w:val="22"/>
              </w:rPr>
            </w:pPr>
            <w:r w:rsidRPr="00FE2743">
              <w:rPr>
                <w:sz w:val="22"/>
                <w:szCs w:val="22"/>
              </w:rPr>
              <w:t> 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E7CDAC"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CA040C" w14:textId="77777777" w:rsidR="00DB3DB4" w:rsidRPr="00FE2743" w:rsidRDefault="00DB3DB4" w:rsidP="00DB3DB4">
            <w:pPr>
              <w:rPr>
                <w:sz w:val="22"/>
                <w:szCs w:val="22"/>
              </w:rPr>
            </w:pPr>
            <w:r w:rsidRPr="00FE2743">
              <w:rPr>
                <w:sz w:val="22"/>
                <w:szCs w:val="22"/>
              </w:rPr>
              <w:t> 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09FB8D" w14:textId="77777777" w:rsidR="00DB3DB4" w:rsidRPr="00FE2743" w:rsidRDefault="00DB3DB4" w:rsidP="00DB3DB4">
            <w:pPr>
              <w:rPr>
                <w:sz w:val="22"/>
                <w:szCs w:val="22"/>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043D19" w14:textId="77777777" w:rsidR="00DB3DB4" w:rsidRPr="00FE2743" w:rsidRDefault="00DB3DB4" w:rsidP="00DB3DB4">
            <w:pPr>
              <w:rPr>
                <w:sz w:val="22"/>
                <w:szCs w:val="22"/>
              </w:rPr>
            </w:pPr>
            <w:r w:rsidRPr="00FE2743">
              <w:rPr>
                <w:sz w:val="22"/>
                <w:szCs w:val="22"/>
              </w:rPr>
              <w:t> 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A898B7" w14:textId="77777777" w:rsidR="00DB3DB4" w:rsidRPr="00FE2743" w:rsidRDefault="00DB3DB4" w:rsidP="00DB3DB4">
            <w:pPr>
              <w:rPr>
                <w:sz w:val="22"/>
                <w:szCs w:val="22"/>
              </w:rPr>
            </w:pPr>
            <w:r w:rsidRPr="00FE2743">
              <w:rPr>
                <w:sz w:val="22"/>
                <w:szCs w:val="22"/>
              </w:rPr>
              <w:t> 0</w:t>
            </w:r>
          </w:p>
        </w:tc>
      </w:tr>
      <w:tr w:rsidR="00DB3DB4" w:rsidRPr="00FE2743" w14:paraId="7211DF6B"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3D4C8B4E" w14:textId="77777777" w:rsidR="00DB3DB4" w:rsidRPr="00FE2743" w:rsidRDefault="00DB3DB4" w:rsidP="00DB3DB4">
            <w:r w:rsidRPr="00FE2743">
              <w:t>6. Detalizēts ieņēmumu un izdevumu aprēķins (ja nepieciešams, detalizētu ieņēmumu un izdevumu aprēķinu var pievienot anotācijas pielikumā)</w:t>
            </w:r>
          </w:p>
        </w:tc>
        <w:tc>
          <w:tcPr>
            <w:tcW w:w="7487" w:type="dxa"/>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8915B0" w14:textId="77777777" w:rsidR="00DB3DB4" w:rsidRPr="00FE2743" w:rsidRDefault="00DB3DB4" w:rsidP="00DB3DB4">
            <w:pPr>
              <w:rPr>
                <w:sz w:val="22"/>
                <w:szCs w:val="22"/>
              </w:rPr>
            </w:pPr>
            <w:r w:rsidRPr="00FE2743">
              <w:rPr>
                <w:sz w:val="22"/>
                <w:szCs w:val="22"/>
              </w:rPr>
              <w:t> nav precīzi aprēķināms</w:t>
            </w:r>
          </w:p>
        </w:tc>
      </w:tr>
      <w:tr w:rsidR="00DB3DB4" w:rsidRPr="00FE2743" w14:paraId="75F2660E"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32B50DF3" w14:textId="77777777" w:rsidR="00DB3DB4" w:rsidRPr="00FE2743" w:rsidRDefault="00DB3DB4" w:rsidP="00DB3DB4">
            <w:r w:rsidRPr="00FE2743">
              <w:lastRenderedPageBreak/>
              <w:t>6.1. detalizēts ieņēmumu aprēķins</w:t>
            </w:r>
          </w:p>
        </w:tc>
        <w:tc>
          <w:tcPr>
            <w:tcW w:w="7487" w:type="dxa"/>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E4E357" w14:textId="77777777" w:rsidR="00DB3DB4" w:rsidRPr="00FE2743" w:rsidRDefault="00DB3DB4" w:rsidP="00DB3DB4">
            <w:pPr>
              <w:rPr>
                <w:sz w:val="22"/>
                <w:szCs w:val="22"/>
              </w:rPr>
            </w:pPr>
          </w:p>
        </w:tc>
      </w:tr>
      <w:tr w:rsidR="00DB3DB4" w:rsidRPr="00FE2743" w14:paraId="5DBF7F33"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6F42250A" w14:textId="77777777" w:rsidR="00DB3DB4" w:rsidRPr="00FE2743" w:rsidRDefault="00DB3DB4" w:rsidP="00DB3DB4">
            <w:r w:rsidRPr="00FE2743">
              <w:t>6.2. detalizēts izdevumu aprēķins</w:t>
            </w:r>
          </w:p>
        </w:tc>
        <w:tc>
          <w:tcPr>
            <w:tcW w:w="7487" w:type="dxa"/>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93D782" w14:textId="77777777" w:rsidR="00DB3DB4" w:rsidRPr="00FE2743" w:rsidRDefault="00DB3DB4" w:rsidP="00DB3DB4">
            <w:pPr>
              <w:rPr>
                <w:sz w:val="22"/>
                <w:szCs w:val="22"/>
              </w:rPr>
            </w:pPr>
          </w:p>
        </w:tc>
      </w:tr>
      <w:tr w:rsidR="00DB3DB4" w:rsidRPr="00FE2743" w14:paraId="0D3F941E"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167FB3BA" w14:textId="77777777" w:rsidR="00DB3DB4" w:rsidRPr="00FE2743" w:rsidRDefault="00DB3DB4" w:rsidP="00DB3DB4">
            <w:r w:rsidRPr="00FE2743">
              <w:t>7. Amata vietu skaita izmaiņas</w:t>
            </w:r>
          </w:p>
        </w:tc>
        <w:tc>
          <w:tcPr>
            <w:tcW w:w="7487" w:type="dxa"/>
            <w:gridSpan w:val="7"/>
            <w:tcBorders>
              <w:top w:val="outset" w:sz="6" w:space="0" w:color="414142"/>
              <w:left w:val="outset" w:sz="6" w:space="0" w:color="414142"/>
              <w:bottom w:val="outset" w:sz="6" w:space="0" w:color="414142"/>
              <w:right w:val="outset" w:sz="6" w:space="0" w:color="414142"/>
            </w:tcBorders>
            <w:shd w:val="clear" w:color="auto" w:fill="FFFFFF"/>
            <w:hideMark/>
          </w:tcPr>
          <w:p w14:paraId="3C1EA523" w14:textId="77777777" w:rsidR="00DB3DB4" w:rsidRPr="00FE2743" w:rsidRDefault="00DB3DB4" w:rsidP="00DB3DB4">
            <w:pPr>
              <w:rPr>
                <w:sz w:val="22"/>
                <w:szCs w:val="22"/>
              </w:rPr>
            </w:pPr>
            <w:r w:rsidRPr="00FE2743">
              <w:rPr>
                <w:sz w:val="22"/>
                <w:szCs w:val="22"/>
              </w:rPr>
              <w:t>0</w:t>
            </w:r>
          </w:p>
          <w:p w14:paraId="7EB1FCE3" w14:textId="77777777" w:rsidR="00DB3DB4" w:rsidRPr="00FE2743" w:rsidRDefault="00DB3DB4" w:rsidP="00DB3DB4">
            <w:pPr>
              <w:rPr>
                <w:sz w:val="22"/>
                <w:szCs w:val="22"/>
              </w:rPr>
            </w:pPr>
          </w:p>
        </w:tc>
      </w:tr>
      <w:tr w:rsidR="00DB3DB4" w:rsidRPr="00FE2743" w14:paraId="6F8AE2F4" w14:textId="77777777" w:rsidTr="0041514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5B21FBEB" w14:textId="77777777" w:rsidR="00DB3DB4" w:rsidRPr="00FE2743" w:rsidRDefault="00DB3DB4" w:rsidP="00DB3DB4">
            <w:r w:rsidRPr="00FE2743">
              <w:t>8. Cita informācija</w:t>
            </w:r>
          </w:p>
        </w:tc>
        <w:tc>
          <w:tcPr>
            <w:tcW w:w="7487" w:type="dxa"/>
            <w:gridSpan w:val="7"/>
            <w:tcBorders>
              <w:top w:val="outset" w:sz="6" w:space="0" w:color="414142"/>
              <w:left w:val="outset" w:sz="6" w:space="0" w:color="414142"/>
              <w:bottom w:val="outset" w:sz="6" w:space="0" w:color="414142"/>
              <w:right w:val="outset" w:sz="6" w:space="0" w:color="414142"/>
            </w:tcBorders>
            <w:shd w:val="clear" w:color="auto" w:fill="FFFFFF"/>
            <w:hideMark/>
          </w:tcPr>
          <w:p w14:paraId="41CA48FA" w14:textId="77777777" w:rsidR="00DB3DB4" w:rsidRPr="00FE2743" w:rsidRDefault="00DB3DB4" w:rsidP="00DB3DB4">
            <w:pPr>
              <w:rPr>
                <w:sz w:val="22"/>
                <w:szCs w:val="22"/>
              </w:rPr>
            </w:pPr>
            <w:r w:rsidRPr="00FE2743">
              <w:rPr>
                <w:sz w:val="22"/>
                <w:szCs w:val="22"/>
              </w:rPr>
              <w:t>Nav.</w:t>
            </w:r>
          </w:p>
          <w:p w14:paraId="085E7A29" w14:textId="77777777" w:rsidR="00DB3DB4" w:rsidRPr="00FE2743" w:rsidRDefault="00DB3DB4" w:rsidP="00DB3DB4">
            <w:pPr>
              <w:rPr>
                <w:sz w:val="22"/>
                <w:szCs w:val="22"/>
              </w:rPr>
            </w:pPr>
          </w:p>
          <w:p w14:paraId="2B813A7B" w14:textId="77777777" w:rsidR="00DB3DB4" w:rsidRPr="00FE2743" w:rsidRDefault="00DB3DB4" w:rsidP="00DB3DB4">
            <w:pPr>
              <w:rPr>
                <w:sz w:val="22"/>
                <w:szCs w:val="22"/>
              </w:rPr>
            </w:pPr>
          </w:p>
          <w:p w14:paraId="17AD5462" w14:textId="77777777" w:rsidR="00DB3DB4" w:rsidRPr="00FE2743" w:rsidRDefault="00DB3DB4" w:rsidP="00DB3DB4">
            <w:pPr>
              <w:rPr>
                <w:sz w:val="22"/>
                <w:szCs w:val="22"/>
              </w:rPr>
            </w:pPr>
          </w:p>
        </w:tc>
      </w:tr>
    </w:tbl>
    <w:p w14:paraId="619848C0" w14:textId="2A2BCE1C" w:rsidR="00DB3DB4" w:rsidRPr="00FE2743" w:rsidRDefault="00DB3DB4" w:rsidP="003C5248"/>
    <w:p w14:paraId="6D8ED246" w14:textId="1B25B9EC" w:rsidR="00DB3DB4" w:rsidRPr="00FE2743" w:rsidRDefault="00DB3DB4" w:rsidP="003C5248"/>
    <w:p w14:paraId="115A5B31" w14:textId="52693314" w:rsidR="00DB3DB4" w:rsidRPr="00FE2743" w:rsidRDefault="00DB3DB4" w:rsidP="003C5248"/>
    <w:p w14:paraId="28D95CA9" w14:textId="77777777" w:rsidR="00DB3DB4" w:rsidRPr="00FE2743" w:rsidRDefault="00DB3DB4" w:rsidP="003C5248"/>
    <w:tbl>
      <w:tblPr>
        <w:tblW w:w="5088" w:type="pct"/>
        <w:tblInd w:w="-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426"/>
        <w:gridCol w:w="3671"/>
        <w:gridCol w:w="5117"/>
      </w:tblGrid>
      <w:tr w:rsidR="003C5248" w:rsidRPr="00FE2743" w14:paraId="01A313D7" w14:textId="77777777" w:rsidTr="005F1FAF">
        <w:tc>
          <w:tcPr>
            <w:tcW w:w="5000" w:type="pct"/>
            <w:gridSpan w:val="3"/>
            <w:tcBorders>
              <w:top w:val="single" w:sz="6" w:space="0" w:color="auto"/>
              <w:left w:val="single" w:sz="6" w:space="0" w:color="auto"/>
              <w:bottom w:val="outset" w:sz="6" w:space="0" w:color="000000"/>
              <w:right w:val="single" w:sz="6" w:space="0" w:color="auto"/>
            </w:tcBorders>
            <w:vAlign w:val="center"/>
            <w:hideMark/>
          </w:tcPr>
          <w:p w14:paraId="246995C3" w14:textId="77777777" w:rsidR="003C5248" w:rsidRPr="00FE2743" w:rsidRDefault="003C5248" w:rsidP="003C5248">
            <w:pPr>
              <w:spacing w:before="100" w:beforeAutospacing="1" w:after="100" w:afterAutospacing="1"/>
              <w:jc w:val="center"/>
              <w:rPr>
                <w:b/>
                <w:bCs/>
              </w:rPr>
            </w:pPr>
            <w:r w:rsidRPr="00FE2743">
              <w:rPr>
                <w:rFonts w:eastAsia="Calibri"/>
                <w:b/>
                <w:bCs/>
                <w:szCs w:val="22"/>
                <w:lang w:eastAsia="en-US"/>
              </w:rPr>
              <w:t>IV. Tiesību akta projekta ietekme uz spēkā esošo tiesību normu sistēmu</w:t>
            </w:r>
          </w:p>
        </w:tc>
      </w:tr>
      <w:tr w:rsidR="00FE2743" w:rsidRPr="00FE2743" w14:paraId="7E0BCAF5" w14:textId="77777777" w:rsidTr="005F1FAF">
        <w:tc>
          <w:tcPr>
            <w:tcW w:w="231" w:type="pct"/>
            <w:tcBorders>
              <w:top w:val="outset" w:sz="6" w:space="0" w:color="000000"/>
              <w:left w:val="outset" w:sz="6" w:space="0" w:color="000000"/>
              <w:bottom w:val="outset" w:sz="6" w:space="0" w:color="000000"/>
              <w:right w:val="outset" w:sz="6" w:space="0" w:color="000000"/>
            </w:tcBorders>
            <w:hideMark/>
          </w:tcPr>
          <w:p w14:paraId="6FC8DF2A" w14:textId="5770168A" w:rsidR="00176B8A" w:rsidRPr="00FE2743" w:rsidRDefault="00176B8A" w:rsidP="003C5248">
            <w:pPr>
              <w:ind w:right="113"/>
              <w:jc w:val="center"/>
            </w:pPr>
            <w:r w:rsidRPr="00FE2743">
              <w:t>1.</w:t>
            </w:r>
          </w:p>
        </w:tc>
        <w:tc>
          <w:tcPr>
            <w:tcW w:w="1992" w:type="pct"/>
            <w:tcBorders>
              <w:top w:val="outset" w:sz="6" w:space="0" w:color="000000"/>
              <w:left w:val="outset" w:sz="6" w:space="0" w:color="000000"/>
              <w:bottom w:val="outset" w:sz="6" w:space="0" w:color="000000"/>
              <w:right w:val="outset" w:sz="6" w:space="0" w:color="000000"/>
            </w:tcBorders>
          </w:tcPr>
          <w:p w14:paraId="082637D6" w14:textId="3A0BB1B2" w:rsidR="00176B8A" w:rsidRPr="00FE2743" w:rsidRDefault="00176B8A" w:rsidP="005F1FAF">
            <w:pPr>
              <w:ind w:right="113"/>
            </w:pPr>
            <w:r w:rsidRPr="00FE2743">
              <w:t>Saistītie tiesību aktu projekti</w:t>
            </w:r>
          </w:p>
        </w:tc>
        <w:tc>
          <w:tcPr>
            <w:tcW w:w="2777" w:type="pct"/>
            <w:tcBorders>
              <w:top w:val="outset" w:sz="6" w:space="0" w:color="000000"/>
              <w:left w:val="outset" w:sz="6" w:space="0" w:color="000000"/>
              <w:bottom w:val="outset" w:sz="6" w:space="0" w:color="000000"/>
              <w:right w:val="outset" w:sz="6" w:space="0" w:color="000000"/>
            </w:tcBorders>
          </w:tcPr>
          <w:p w14:paraId="683CC2D8" w14:textId="43AAEF97" w:rsidR="00176B8A" w:rsidRPr="00FE2743" w:rsidRDefault="005F1FAF" w:rsidP="005F1FAF">
            <w:pPr>
              <w:ind w:right="113"/>
              <w:jc w:val="both"/>
            </w:pPr>
            <w:r w:rsidRPr="00FE2743">
              <w:t xml:space="preserve">Grozījumi </w:t>
            </w:r>
            <w:r w:rsidR="0069729C" w:rsidRPr="00FE2743">
              <w:t xml:space="preserve">likumā “Par akcīzes nodokli” </w:t>
            </w:r>
          </w:p>
        </w:tc>
      </w:tr>
      <w:tr w:rsidR="00FE2743" w:rsidRPr="00FE2743" w14:paraId="1DC10BB4" w14:textId="77777777" w:rsidTr="005F1FAF">
        <w:tc>
          <w:tcPr>
            <w:tcW w:w="231" w:type="pct"/>
            <w:tcBorders>
              <w:top w:val="outset" w:sz="6" w:space="0" w:color="000000"/>
              <w:left w:val="outset" w:sz="6" w:space="0" w:color="000000"/>
              <w:bottom w:val="outset" w:sz="6" w:space="0" w:color="000000"/>
              <w:right w:val="outset" w:sz="6" w:space="0" w:color="000000"/>
            </w:tcBorders>
          </w:tcPr>
          <w:p w14:paraId="0CE78C6D" w14:textId="57755A13" w:rsidR="00176B8A" w:rsidRPr="00FE2743" w:rsidRDefault="00176B8A" w:rsidP="003C5248">
            <w:pPr>
              <w:ind w:right="113"/>
              <w:jc w:val="center"/>
            </w:pPr>
            <w:r w:rsidRPr="00FE2743">
              <w:t>2.</w:t>
            </w:r>
          </w:p>
        </w:tc>
        <w:tc>
          <w:tcPr>
            <w:tcW w:w="1992" w:type="pct"/>
            <w:tcBorders>
              <w:top w:val="outset" w:sz="6" w:space="0" w:color="000000"/>
              <w:left w:val="outset" w:sz="6" w:space="0" w:color="000000"/>
              <w:bottom w:val="outset" w:sz="6" w:space="0" w:color="000000"/>
              <w:right w:val="outset" w:sz="6" w:space="0" w:color="000000"/>
            </w:tcBorders>
          </w:tcPr>
          <w:p w14:paraId="2A02EA9F" w14:textId="6C89409B" w:rsidR="00176B8A" w:rsidRPr="00FE2743" w:rsidRDefault="00176B8A" w:rsidP="005F1FAF">
            <w:pPr>
              <w:ind w:right="113"/>
            </w:pPr>
            <w:r w:rsidRPr="00FE2743">
              <w:t>Atbildīgā institūcija</w:t>
            </w:r>
          </w:p>
        </w:tc>
        <w:tc>
          <w:tcPr>
            <w:tcW w:w="2777" w:type="pct"/>
            <w:tcBorders>
              <w:top w:val="outset" w:sz="6" w:space="0" w:color="000000"/>
              <w:left w:val="outset" w:sz="6" w:space="0" w:color="000000"/>
              <w:bottom w:val="outset" w:sz="6" w:space="0" w:color="000000"/>
              <w:right w:val="outset" w:sz="6" w:space="0" w:color="000000"/>
            </w:tcBorders>
          </w:tcPr>
          <w:p w14:paraId="4CEF9201" w14:textId="62B95ACB" w:rsidR="00176B8A" w:rsidRPr="00FE2743" w:rsidRDefault="00F9499D" w:rsidP="005F1FAF">
            <w:pPr>
              <w:ind w:right="113"/>
            </w:pPr>
            <w:r w:rsidRPr="00FE2743">
              <w:t xml:space="preserve">Ekonomikas </w:t>
            </w:r>
            <w:r w:rsidR="005F1FAF" w:rsidRPr="00FE2743">
              <w:t>ministrija</w:t>
            </w:r>
          </w:p>
        </w:tc>
      </w:tr>
      <w:tr w:rsidR="00FE2743" w:rsidRPr="00FE2743" w14:paraId="0A6117CC" w14:textId="77777777" w:rsidTr="005F1FAF">
        <w:trPr>
          <w:trHeight w:val="264"/>
        </w:trPr>
        <w:tc>
          <w:tcPr>
            <w:tcW w:w="231" w:type="pct"/>
            <w:tcBorders>
              <w:top w:val="outset" w:sz="6" w:space="0" w:color="000000"/>
              <w:left w:val="outset" w:sz="6" w:space="0" w:color="000000"/>
              <w:bottom w:val="outset" w:sz="6" w:space="0" w:color="000000"/>
              <w:right w:val="outset" w:sz="6" w:space="0" w:color="000000"/>
            </w:tcBorders>
          </w:tcPr>
          <w:p w14:paraId="679B6C9B" w14:textId="1F9E0D8E" w:rsidR="00176B8A" w:rsidRPr="00FE2743" w:rsidRDefault="00176B8A" w:rsidP="003C5248">
            <w:pPr>
              <w:ind w:right="113"/>
              <w:jc w:val="center"/>
            </w:pPr>
            <w:r w:rsidRPr="00FE2743">
              <w:t>3.</w:t>
            </w:r>
          </w:p>
        </w:tc>
        <w:tc>
          <w:tcPr>
            <w:tcW w:w="1992" w:type="pct"/>
            <w:tcBorders>
              <w:top w:val="outset" w:sz="6" w:space="0" w:color="000000"/>
              <w:left w:val="outset" w:sz="6" w:space="0" w:color="000000"/>
              <w:bottom w:val="outset" w:sz="6" w:space="0" w:color="000000"/>
              <w:right w:val="outset" w:sz="6" w:space="0" w:color="000000"/>
            </w:tcBorders>
          </w:tcPr>
          <w:p w14:paraId="50A25D1C" w14:textId="41D23B86" w:rsidR="00176B8A" w:rsidRPr="00FE2743" w:rsidRDefault="00176B8A" w:rsidP="005F1FAF">
            <w:pPr>
              <w:ind w:right="113"/>
            </w:pPr>
            <w:r w:rsidRPr="00FE2743">
              <w:t>Cita informācija</w:t>
            </w:r>
          </w:p>
        </w:tc>
        <w:tc>
          <w:tcPr>
            <w:tcW w:w="2777" w:type="pct"/>
            <w:tcBorders>
              <w:top w:val="outset" w:sz="6" w:space="0" w:color="000000"/>
              <w:left w:val="outset" w:sz="6" w:space="0" w:color="000000"/>
              <w:bottom w:val="outset" w:sz="6" w:space="0" w:color="000000"/>
              <w:right w:val="outset" w:sz="6" w:space="0" w:color="000000"/>
            </w:tcBorders>
          </w:tcPr>
          <w:p w14:paraId="7FDADD19" w14:textId="5B17D96E" w:rsidR="00176B8A" w:rsidRPr="00FE2743" w:rsidRDefault="00176B8A" w:rsidP="005F1FAF">
            <w:pPr>
              <w:ind w:right="113"/>
            </w:pPr>
            <w:r w:rsidRPr="00FE2743">
              <w:t>Nav</w:t>
            </w:r>
          </w:p>
        </w:tc>
      </w:tr>
    </w:tbl>
    <w:p w14:paraId="2576134A" w14:textId="77777777" w:rsidR="003C5248" w:rsidRPr="00FE2743" w:rsidRDefault="003C5248" w:rsidP="00032C63"/>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3202"/>
        <w:gridCol w:w="5583"/>
      </w:tblGrid>
      <w:tr w:rsidR="00441730" w:rsidRPr="00FE2743" w14:paraId="3FFACB20" w14:textId="77777777" w:rsidTr="007B6927">
        <w:tc>
          <w:tcPr>
            <w:tcW w:w="5000" w:type="pct"/>
            <w:gridSpan w:val="3"/>
            <w:shd w:val="clear" w:color="auto" w:fill="auto"/>
            <w:hideMark/>
          </w:tcPr>
          <w:p w14:paraId="3DCEC225" w14:textId="77777777" w:rsidR="00441730" w:rsidRPr="00FE2743" w:rsidRDefault="00441730" w:rsidP="007B6927">
            <w:pPr>
              <w:jc w:val="center"/>
              <w:rPr>
                <w:b/>
                <w:bCs/>
              </w:rPr>
            </w:pPr>
            <w:r w:rsidRPr="00FE2743">
              <w:rPr>
                <w:b/>
                <w:bCs/>
              </w:rPr>
              <w:t>V. Tiesību akta projekta atbilstība Latvijas Republikas starptautiskajām saistībām</w:t>
            </w:r>
          </w:p>
        </w:tc>
      </w:tr>
      <w:tr w:rsidR="00FE2743" w:rsidRPr="00FE2743" w14:paraId="21F84239" w14:textId="77777777" w:rsidTr="007B6927">
        <w:tc>
          <w:tcPr>
            <w:tcW w:w="232" w:type="pct"/>
            <w:shd w:val="clear" w:color="auto" w:fill="auto"/>
            <w:hideMark/>
          </w:tcPr>
          <w:p w14:paraId="134F619F" w14:textId="77777777" w:rsidR="00441730" w:rsidRPr="00FE2743" w:rsidRDefault="00441730" w:rsidP="0028604F">
            <w:r w:rsidRPr="00FE2743">
              <w:t>1.</w:t>
            </w:r>
          </w:p>
        </w:tc>
        <w:tc>
          <w:tcPr>
            <w:tcW w:w="1738" w:type="pct"/>
            <w:shd w:val="clear" w:color="auto" w:fill="auto"/>
            <w:hideMark/>
          </w:tcPr>
          <w:p w14:paraId="6760BFD1" w14:textId="77777777" w:rsidR="00441730" w:rsidRPr="00FE2743" w:rsidRDefault="00441730" w:rsidP="0028604F">
            <w:r w:rsidRPr="00FE2743">
              <w:t>Saistības pret Eiropas Savienību</w:t>
            </w:r>
          </w:p>
        </w:tc>
        <w:tc>
          <w:tcPr>
            <w:tcW w:w="3030" w:type="pct"/>
            <w:shd w:val="clear" w:color="auto" w:fill="auto"/>
            <w:hideMark/>
          </w:tcPr>
          <w:p w14:paraId="3E4B85B6" w14:textId="0CD9A0E0" w:rsidR="00441730" w:rsidRPr="00FE2743" w:rsidRDefault="002A22CE" w:rsidP="00441730">
            <w:pPr>
              <w:jc w:val="both"/>
            </w:pPr>
            <w:r w:rsidRPr="00FE2743">
              <w:t xml:space="preserve">Eiropas Komisijas 2014. gada 28. jūnija paziņojums Nr. 2014/C 200/01  “Pamatnostādnes par valsts atbalstu vides aizsardzībai un enerģētikai 2014.–2020. gadam” </w:t>
            </w:r>
            <w:r w:rsidR="00441730" w:rsidRPr="00FE2743">
              <w:t>(Eiropas Savienības Oficiālais Vēstnesis, 2014.</w:t>
            </w:r>
            <w:r w:rsidR="00DD6A59" w:rsidRPr="00FE2743">
              <w:t> </w:t>
            </w:r>
            <w:r w:rsidR="00441730" w:rsidRPr="00FE2743">
              <w:t>gada 2</w:t>
            </w:r>
            <w:r w:rsidRPr="00FE2743">
              <w:t>8</w:t>
            </w:r>
            <w:r w:rsidR="00441730" w:rsidRPr="00FE2743">
              <w:t>.</w:t>
            </w:r>
            <w:r w:rsidR="00DD6A59" w:rsidRPr="00FE2743">
              <w:t> </w:t>
            </w:r>
            <w:r w:rsidR="00441730" w:rsidRPr="00FE2743">
              <w:t xml:space="preserve">jūnijs, </w:t>
            </w:r>
            <w:r w:rsidRPr="00FE2743">
              <w:t xml:space="preserve">57. sējums, </w:t>
            </w:r>
            <w:r w:rsidR="00441730" w:rsidRPr="00FE2743">
              <w:t>Nr.</w:t>
            </w:r>
            <w:r w:rsidR="00DD6A59" w:rsidRPr="00FE2743">
              <w:t> </w:t>
            </w:r>
            <w:r w:rsidRPr="00FE2743">
              <w:t>C 200</w:t>
            </w:r>
            <w:r w:rsidR="00441730" w:rsidRPr="00FE2743">
              <w:t>).</w:t>
            </w:r>
          </w:p>
          <w:p w14:paraId="05AB9177" w14:textId="236258E5" w:rsidR="00886E49" w:rsidRPr="00FE2743" w:rsidRDefault="00886E49" w:rsidP="00DD6A59">
            <w:pPr>
              <w:jc w:val="both"/>
            </w:pPr>
            <w:r w:rsidRPr="00FE2743">
              <w:t>Komisijas 2004.</w:t>
            </w:r>
            <w:r w:rsidR="00DD6A59" w:rsidRPr="00FE2743">
              <w:t> </w:t>
            </w:r>
            <w:r w:rsidRPr="00FE2743">
              <w:t>gada 21.</w:t>
            </w:r>
            <w:r w:rsidR="00DD6A59" w:rsidRPr="00FE2743">
              <w:t> </w:t>
            </w:r>
            <w:r w:rsidRPr="00FE2743">
              <w:t>aprīļa Regula (EK) Nr.</w:t>
            </w:r>
            <w:r w:rsidR="00DD6A59" w:rsidRPr="00FE2743">
              <w:t> </w:t>
            </w:r>
            <w:r w:rsidRPr="00FE2743">
              <w:t>794/2004, ar ko īsteno Padomes Regulu (ES) 2015/1589, ar ko nosaka sīki izstrādātus noteikumus Līguma par Eiropas Savienības darbību 108.panta piemērošanai (Eiropas Savienības Oficiālais Vēstnesis, 2004.</w:t>
            </w:r>
            <w:r w:rsidR="00DD6A59" w:rsidRPr="00FE2743">
              <w:t> </w:t>
            </w:r>
            <w:r w:rsidRPr="00FE2743">
              <w:t>gada 30.</w:t>
            </w:r>
            <w:r w:rsidR="00DD6A59" w:rsidRPr="00FE2743">
              <w:t> </w:t>
            </w:r>
            <w:r w:rsidRPr="00FE2743">
              <w:t>aprīlis, Nr.</w:t>
            </w:r>
            <w:r w:rsidR="00DD6A59" w:rsidRPr="00FE2743">
              <w:t> </w:t>
            </w:r>
            <w:r w:rsidRPr="00FE2743">
              <w:t>L140).</w:t>
            </w:r>
          </w:p>
        </w:tc>
      </w:tr>
      <w:tr w:rsidR="00441730" w:rsidRPr="00FE2743" w14:paraId="48523EF2" w14:textId="77777777" w:rsidTr="007B6927">
        <w:tc>
          <w:tcPr>
            <w:tcW w:w="232" w:type="pct"/>
            <w:shd w:val="clear" w:color="auto" w:fill="auto"/>
            <w:hideMark/>
          </w:tcPr>
          <w:p w14:paraId="4C113CD4" w14:textId="77777777" w:rsidR="00441730" w:rsidRPr="00FE2743" w:rsidRDefault="00441730" w:rsidP="0028604F">
            <w:r w:rsidRPr="00FE2743">
              <w:t>2.</w:t>
            </w:r>
          </w:p>
        </w:tc>
        <w:tc>
          <w:tcPr>
            <w:tcW w:w="1738" w:type="pct"/>
            <w:shd w:val="clear" w:color="auto" w:fill="auto"/>
            <w:hideMark/>
          </w:tcPr>
          <w:p w14:paraId="4C576CBA" w14:textId="77777777" w:rsidR="00441730" w:rsidRPr="00FE2743" w:rsidRDefault="00441730" w:rsidP="0028604F">
            <w:r w:rsidRPr="00FE2743">
              <w:t>Citas starptautiskās saistības</w:t>
            </w:r>
          </w:p>
        </w:tc>
        <w:tc>
          <w:tcPr>
            <w:tcW w:w="3030" w:type="pct"/>
            <w:shd w:val="clear" w:color="auto" w:fill="auto"/>
            <w:hideMark/>
          </w:tcPr>
          <w:p w14:paraId="50F301FF" w14:textId="77777777" w:rsidR="00441730" w:rsidRPr="00FE2743" w:rsidRDefault="00441730" w:rsidP="0028604F">
            <w:r w:rsidRPr="00FE2743">
              <w:t>Projekts šo jomu neskar.</w:t>
            </w:r>
          </w:p>
          <w:p w14:paraId="15A07918" w14:textId="77777777" w:rsidR="00441730" w:rsidRPr="00FE2743" w:rsidRDefault="00441730" w:rsidP="0028604F"/>
        </w:tc>
      </w:tr>
      <w:tr w:rsidR="00441730" w:rsidRPr="00FE2743" w14:paraId="6C1D6972" w14:textId="77777777" w:rsidTr="007B6927">
        <w:tc>
          <w:tcPr>
            <w:tcW w:w="232" w:type="pct"/>
            <w:shd w:val="clear" w:color="auto" w:fill="auto"/>
            <w:hideMark/>
          </w:tcPr>
          <w:p w14:paraId="1645B0B8" w14:textId="77777777" w:rsidR="00441730" w:rsidRPr="00FE2743" w:rsidRDefault="00441730" w:rsidP="0028604F">
            <w:r w:rsidRPr="00FE2743">
              <w:t>3.</w:t>
            </w:r>
          </w:p>
        </w:tc>
        <w:tc>
          <w:tcPr>
            <w:tcW w:w="1738" w:type="pct"/>
            <w:shd w:val="clear" w:color="auto" w:fill="auto"/>
            <w:hideMark/>
          </w:tcPr>
          <w:p w14:paraId="0A993E6A" w14:textId="77777777" w:rsidR="00441730" w:rsidRPr="00FE2743" w:rsidRDefault="00441730" w:rsidP="0028604F">
            <w:r w:rsidRPr="00FE2743">
              <w:t>Cita informācija</w:t>
            </w:r>
          </w:p>
        </w:tc>
        <w:tc>
          <w:tcPr>
            <w:tcW w:w="3030" w:type="pct"/>
            <w:shd w:val="clear" w:color="auto" w:fill="auto"/>
            <w:hideMark/>
          </w:tcPr>
          <w:p w14:paraId="33FC2B7F" w14:textId="77777777" w:rsidR="00441730" w:rsidRPr="00FE2743" w:rsidRDefault="00441730" w:rsidP="0028604F">
            <w:r w:rsidRPr="00FE2743">
              <w:t>Nav.</w:t>
            </w:r>
          </w:p>
        </w:tc>
      </w:tr>
    </w:tbl>
    <w:p w14:paraId="3F63311A" w14:textId="77777777" w:rsidR="00441730" w:rsidRPr="00FE2743" w:rsidRDefault="00441730" w:rsidP="00441730">
      <w:r w:rsidRPr="00FE2743">
        <w:t xml:space="preserve">  </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6"/>
        <w:gridCol w:w="997"/>
        <w:gridCol w:w="1270"/>
        <w:gridCol w:w="2410"/>
      </w:tblGrid>
      <w:tr w:rsidR="00441730" w:rsidRPr="00FE2743" w14:paraId="79F7B0D0" w14:textId="77777777" w:rsidTr="007B6927">
        <w:tc>
          <w:tcPr>
            <w:tcW w:w="5000" w:type="pct"/>
            <w:gridSpan w:val="5"/>
            <w:shd w:val="clear" w:color="auto" w:fill="auto"/>
            <w:hideMark/>
          </w:tcPr>
          <w:p w14:paraId="5B5F817E" w14:textId="77777777" w:rsidR="00441730" w:rsidRPr="00FE2743" w:rsidRDefault="00441730" w:rsidP="007B6927">
            <w:pPr>
              <w:jc w:val="center"/>
              <w:rPr>
                <w:b/>
                <w:bCs/>
              </w:rPr>
            </w:pPr>
            <w:r w:rsidRPr="00FE2743">
              <w:rPr>
                <w:b/>
                <w:bCs/>
              </w:rPr>
              <w:t>1. tabula</w:t>
            </w:r>
            <w:r w:rsidRPr="00FE2743">
              <w:rPr>
                <w:b/>
                <w:bCs/>
              </w:rPr>
              <w:br/>
              <w:t>Tiesību akta projekta atbilstība ES tiesību aktiem</w:t>
            </w:r>
          </w:p>
        </w:tc>
      </w:tr>
      <w:tr w:rsidR="00FE2743" w:rsidRPr="00FE2743" w14:paraId="75F0F007" w14:textId="77777777" w:rsidTr="007B6927">
        <w:tc>
          <w:tcPr>
            <w:tcW w:w="1232" w:type="pct"/>
            <w:shd w:val="clear" w:color="auto" w:fill="auto"/>
            <w:hideMark/>
          </w:tcPr>
          <w:p w14:paraId="2E4706F0" w14:textId="77777777" w:rsidR="00441730" w:rsidRPr="00FE2743" w:rsidRDefault="00441730" w:rsidP="0028604F">
            <w:r w:rsidRPr="00FE2743">
              <w:t>Attiecīgā ES tiesību akta datums, numurs un nosaukums</w:t>
            </w:r>
          </w:p>
        </w:tc>
        <w:tc>
          <w:tcPr>
            <w:tcW w:w="3768" w:type="pct"/>
            <w:gridSpan w:val="4"/>
            <w:shd w:val="clear" w:color="auto" w:fill="auto"/>
            <w:hideMark/>
          </w:tcPr>
          <w:p w14:paraId="55A441E1" w14:textId="3E97933A" w:rsidR="007A28EB" w:rsidRPr="00FE2743" w:rsidRDefault="007A28EB" w:rsidP="00DD6A59">
            <w:pPr>
              <w:jc w:val="both"/>
            </w:pPr>
            <w:r w:rsidRPr="00FE2743">
              <w:t>Eiropas Komisijas 2014. gada 28. jūnija paziņojums Nr. 2014/C 200/01  “Pamatnostādnes par valsts atbalstu vides aizsardzībai un enerģētikai 2014.–2020. gadam” (Eiropas Savienības Oficiālais Vēstnesis, 2014. gada 28. jūnijs, 57. sējums, Nr. C 200) (turpmāk – Pamatnostādnes).</w:t>
            </w:r>
          </w:p>
          <w:p w14:paraId="75E1E3E6" w14:textId="40A0031D" w:rsidR="00886E49" w:rsidRPr="00FE2743" w:rsidRDefault="00886E49" w:rsidP="00DD6A59">
            <w:pPr>
              <w:jc w:val="both"/>
            </w:pPr>
            <w:r w:rsidRPr="00FE2743">
              <w:t>Komisijas 2004.</w:t>
            </w:r>
            <w:r w:rsidR="00DD6A59" w:rsidRPr="00FE2743">
              <w:t> </w:t>
            </w:r>
            <w:r w:rsidRPr="00FE2743">
              <w:t>gada 21.</w:t>
            </w:r>
            <w:r w:rsidR="00DD6A59" w:rsidRPr="00FE2743">
              <w:t> </w:t>
            </w:r>
            <w:r w:rsidRPr="00FE2743">
              <w:t>aprīļa Regula (EK) Nr.</w:t>
            </w:r>
            <w:r w:rsidR="00DD6A59" w:rsidRPr="00FE2743">
              <w:t> </w:t>
            </w:r>
            <w:r w:rsidRPr="00FE2743">
              <w:t>794/2004, ar ko īsteno Padomes Regulu (ES) 2015/1589, ar ko nosaka sīki izstrādātus noteikumus Līguma par Eiropas Savienības darbību 108.</w:t>
            </w:r>
            <w:r w:rsidR="00DD6A59" w:rsidRPr="00FE2743">
              <w:t> </w:t>
            </w:r>
            <w:r w:rsidRPr="00FE2743">
              <w:t>panta piemērošanai (Eiropas Savienības Oficiālais Vēstnesis, 2004.</w:t>
            </w:r>
            <w:r w:rsidR="00DD6A59" w:rsidRPr="00FE2743">
              <w:t> </w:t>
            </w:r>
            <w:r w:rsidRPr="00FE2743">
              <w:t>gada 30.</w:t>
            </w:r>
            <w:r w:rsidR="00DD6A59" w:rsidRPr="00FE2743">
              <w:t> </w:t>
            </w:r>
            <w:r w:rsidRPr="00FE2743">
              <w:t>aprīlis, Nr.</w:t>
            </w:r>
            <w:r w:rsidR="00DD6A59" w:rsidRPr="00FE2743">
              <w:t> </w:t>
            </w:r>
            <w:r w:rsidRPr="00FE2743">
              <w:t>L140) (turpmāk – regula Nr.</w:t>
            </w:r>
            <w:r w:rsidR="00DD6A59" w:rsidRPr="00FE2743">
              <w:t> </w:t>
            </w:r>
            <w:r w:rsidRPr="00FE2743">
              <w:t>794/2004).</w:t>
            </w:r>
          </w:p>
        </w:tc>
      </w:tr>
      <w:tr w:rsidR="00FE2743" w:rsidRPr="00FE2743" w14:paraId="58B2384B" w14:textId="77777777" w:rsidTr="0053749E">
        <w:tc>
          <w:tcPr>
            <w:tcW w:w="1232" w:type="pct"/>
            <w:shd w:val="clear" w:color="auto" w:fill="auto"/>
            <w:hideMark/>
          </w:tcPr>
          <w:p w14:paraId="373537F3" w14:textId="77777777" w:rsidR="00441730" w:rsidRPr="00FE2743" w:rsidRDefault="00441730" w:rsidP="0028604F">
            <w:r w:rsidRPr="00FE2743">
              <w:t>A</w:t>
            </w:r>
          </w:p>
        </w:tc>
        <w:tc>
          <w:tcPr>
            <w:tcW w:w="1230" w:type="pct"/>
            <w:shd w:val="clear" w:color="auto" w:fill="auto"/>
            <w:hideMark/>
          </w:tcPr>
          <w:p w14:paraId="0FB0456A" w14:textId="77777777" w:rsidR="00441730" w:rsidRPr="00FE2743" w:rsidRDefault="00441730" w:rsidP="0028604F">
            <w:r w:rsidRPr="00FE2743">
              <w:t>B</w:t>
            </w:r>
          </w:p>
        </w:tc>
        <w:tc>
          <w:tcPr>
            <w:tcW w:w="1230" w:type="pct"/>
            <w:gridSpan w:val="2"/>
            <w:shd w:val="clear" w:color="auto" w:fill="auto"/>
            <w:hideMark/>
          </w:tcPr>
          <w:p w14:paraId="7863A8B4" w14:textId="77777777" w:rsidR="00441730" w:rsidRPr="00FE2743" w:rsidRDefault="00441730" w:rsidP="0028604F">
            <w:r w:rsidRPr="00FE2743">
              <w:t>C</w:t>
            </w:r>
          </w:p>
        </w:tc>
        <w:tc>
          <w:tcPr>
            <w:tcW w:w="1308" w:type="pct"/>
            <w:shd w:val="clear" w:color="auto" w:fill="auto"/>
            <w:hideMark/>
          </w:tcPr>
          <w:p w14:paraId="224C003F" w14:textId="77777777" w:rsidR="00441730" w:rsidRPr="00FE2743" w:rsidRDefault="00441730" w:rsidP="0028604F">
            <w:r w:rsidRPr="00FE2743">
              <w:t>D</w:t>
            </w:r>
          </w:p>
        </w:tc>
      </w:tr>
      <w:tr w:rsidR="00FE2743" w:rsidRPr="00FE2743" w14:paraId="76A4DC3E"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hideMark/>
          </w:tcPr>
          <w:p w14:paraId="4826730E" w14:textId="5C1C269A" w:rsidR="00441730" w:rsidRPr="00FE2743" w:rsidRDefault="00EB3A73" w:rsidP="0028604F">
            <w:r w:rsidRPr="00FE2743">
              <w:lastRenderedPageBreak/>
              <w:t>Pamatnostādņu 81. un 82. punkts</w:t>
            </w:r>
          </w:p>
          <w:p w14:paraId="0618C9D0" w14:textId="77777777" w:rsidR="00441730" w:rsidRPr="00FE2743" w:rsidRDefault="00441730" w:rsidP="0028604F">
            <w:pPr>
              <w:tabs>
                <w:tab w:val="left" w:pos="405"/>
              </w:tabs>
              <w:rPr>
                <w:highlight w:val="yellow"/>
              </w:rPr>
            </w:pPr>
          </w:p>
        </w:tc>
        <w:tc>
          <w:tcPr>
            <w:tcW w:w="1230" w:type="pct"/>
            <w:tcBorders>
              <w:top w:val="single" w:sz="4" w:space="0" w:color="auto"/>
              <w:left w:val="single" w:sz="4" w:space="0" w:color="auto"/>
              <w:bottom w:val="single" w:sz="4" w:space="0" w:color="auto"/>
              <w:right w:val="single" w:sz="4" w:space="0" w:color="auto"/>
            </w:tcBorders>
            <w:shd w:val="clear" w:color="auto" w:fill="auto"/>
            <w:hideMark/>
          </w:tcPr>
          <w:p w14:paraId="0002EF5B" w14:textId="5CE9710D" w:rsidR="00441730" w:rsidRPr="00FE2743" w:rsidRDefault="00441730" w:rsidP="007E425C">
            <w:r w:rsidRPr="00FE2743">
              <w:t xml:space="preserve">Noteikumu projekta </w:t>
            </w:r>
            <w:r w:rsidR="00DC0D59" w:rsidRPr="00FE2743">
              <w:t>1.</w:t>
            </w:r>
            <w:r w:rsidR="00EB3A73" w:rsidRPr="00FE2743">
              <w:t>3</w:t>
            </w:r>
            <w:r w:rsidRPr="00FE2743">
              <w:t>.</w:t>
            </w:r>
            <w:r w:rsidR="00DD6A59" w:rsidRPr="00FE2743">
              <w:t> </w:t>
            </w:r>
            <w:r w:rsidR="00DC0D59" w:rsidRPr="00FE2743">
              <w:t>apakš</w:t>
            </w:r>
            <w:r w:rsidRPr="00FE2743">
              <w:t>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BA531C8" w14:textId="238AEAD5" w:rsidR="00441730" w:rsidRPr="00FE2743" w:rsidRDefault="00EB3A73" w:rsidP="00DC0D59">
            <w:r w:rsidRPr="00FE2743">
              <w:t>Pamatnostādņu prasības tiek ievērotas</w:t>
            </w:r>
            <w:r w:rsidR="00441730" w:rsidRPr="00FE2743">
              <w:t xml:space="preserve"> pilnībā.</w:t>
            </w:r>
          </w:p>
        </w:tc>
        <w:tc>
          <w:tcPr>
            <w:tcW w:w="1308" w:type="pct"/>
            <w:tcBorders>
              <w:top w:val="single" w:sz="4" w:space="0" w:color="auto"/>
              <w:left w:val="single" w:sz="4" w:space="0" w:color="auto"/>
              <w:bottom w:val="single" w:sz="4" w:space="0" w:color="auto"/>
              <w:right w:val="single" w:sz="4" w:space="0" w:color="auto"/>
            </w:tcBorders>
            <w:shd w:val="clear" w:color="auto" w:fill="auto"/>
            <w:hideMark/>
          </w:tcPr>
          <w:p w14:paraId="5B737037" w14:textId="77777777" w:rsidR="00441730" w:rsidRPr="00FE2743" w:rsidRDefault="00DC0D59" w:rsidP="00DC0D59">
            <w:r w:rsidRPr="00FE2743">
              <w:t>Noteikumu projekt</w:t>
            </w:r>
            <w:r w:rsidR="00441730" w:rsidRPr="00FE2743">
              <w:t>s neparedz stingrākas prasības kā šīs tabulas A ailē minētās ES tiesību akta vienības.</w:t>
            </w:r>
          </w:p>
        </w:tc>
      </w:tr>
      <w:tr w:rsidR="00FE2743" w:rsidRPr="00FE2743" w14:paraId="764E6571"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4425A337" w14:textId="7E1C4D93" w:rsidR="00441730" w:rsidRPr="00FE2743" w:rsidRDefault="00EB3A73" w:rsidP="00EB3A73">
            <w:pPr>
              <w:rPr>
                <w:highlight w:val="yellow"/>
              </w:rPr>
            </w:pPr>
            <w:r w:rsidRPr="00FE2743">
              <w:t>Pamatnostādņu 16. punkts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72F34EBE" w14:textId="07BC035B" w:rsidR="00441730" w:rsidRPr="00FE2743" w:rsidRDefault="00DC0D59" w:rsidP="007E425C">
            <w:r w:rsidRPr="00FE2743">
              <w:t>Noteikumu projekta 1.</w:t>
            </w:r>
            <w:r w:rsidR="00EB3A73"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7B20C016" w14:textId="1914A60E" w:rsidR="00441730" w:rsidRPr="00FE2743" w:rsidRDefault="00EB3A73" w:rsidP="00DC0D59">
            <w:r w:rsidRPr="00FE2743">
              <w:t>Pamatnostādņu prasības tiek ievērotas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32760FF1" w14:textId="2EF2418D" w:rsidR="00441730" w:rsidRPr="00FE2743" w:rsidRDefault="00DC0D59" w:rsidP="00EC2DA1">
            <w:r w:rsidRPr="00FE2743">
              <w:t>Noteikumu projekt</w:t>
            </w:r>
            <w:r w:rsidR="00441730" w:rsidRPr="00FE2743">
              <w:t>s paredz stingrākas prasības kā šīs tabulas A ailē minētās ES tiesību akta vienības.</w:t>
            </w:r>
          </w:p>
        </w:tc>
      </w:tr>
      <w:tr w:rsidR="00FE2743" w:rsidRPr="00FE2743" w14:paraId="2A8A01C4"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04669C9C" w14:textId="00587C91" w:rsidR="00441730" w:rsidRPr="00FE2743" w:rsidRDefault="00E33CE0" w:rsidP="00E33CE0">
            <w:pPr>
              <w:rPr>
                <w:highlight w:val="yellow"/>
              </w:rPr>
            </w:pPr>
            <w:r w:rsidRPr="00FE2743">
              <w:t>Pamatnostādņu 253. punkts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6F92C22B" w14:textId="1CE2C342" w:rsidR="00441730" w:rsidRPr="00FE2743" w:rsidRDefault="00DC0D59" w:rsidP="007E425C">
            <w:r w:rsidRPr="00FE2743">
              <w:t>Noteikumu projekta 1.</w:t>
            </w:r>
            <w:r w:rsidR="00E33CE0"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6C2FDFFB" w14:textId="6A6CB3C4" w:rsidR="00441730" w:rsidRPr="00FE2743" w:rsidRDefault="00DF2E85" w:rsidP="00DC0D59">
            <w:r w:rsidRPr="00FE2743">
              <w:t>Pamatnostādņu prasības tiek ievērotas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03B0A3D6" w14:textId="77777777" w:rsidR="00441730" w:rsidRPr="00FE2743" w:rsidRDefault="00DC0D59" w:rsidP="00DC0D59">
            <w:r w:rsidRPr="00FE2743">
              <w:t xml:space="preserve">Noteikumu projekts </w:t>
            </w:r>
            <w:r w:rsidR="00441730" w:rsidRPr="00FE2743">
              <w:t>neparedz stingrākas prasības kā šīs tabulas A ailē minētās ES tiesību akta vienības.</w:t>
            </w:r>
          </w:p>
        </w:tc>
      </w:tr>
      <w:tr w:rsidR="00FE2743" w:rsidRPr="00FE2743" w14:paraId="2D549504"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418388C0" w14:textId="7C4CA330" w:rsidR="0053749E" w:rsidRPr="00FE2743" w:rsidRDefault="00E33CE0" w:rsidP="00E33CE0">
            <w:pPr>
              <w:rPr>
                <w:highlight w:val="yellow"/>
              </w:rPr>
            </w:pPr>
            <w:r w:rsidRPr="00FE2743">
              <w:t>Pamatnostādņu 104., punkts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6E2217B2" w14:textId="34F15BC5" w:rsidR="0053749E" w:rsidRPr="00FE2743" w:rsidRDefault="0053749E" w:rsidP="007E425C">
            <w:r w:rsidRPr="00FE2743">
              <w:t>Noteikumu projekta 1.</w:t>
            </w:r>
            <w:r w:rsidR="00E33CE0"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2CF401B9" w14:textId="05B95DDB" w:rsidR="0053749E" w:rsidRPr="00FE2743" w:rsidRDefault="00DF2E85" w:rsidP="0053749E">
            <w:r w:rsidRPr="00FE2743">
              <w:t>Pamatnostādņu prasības tiek ievērotas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27F2EC00" w14:textId="77777777" w:rsidR="0053749E" w:rsidRPr="00FE2743" w:rsidRDefault="0053749E" w:rsidP="0053749E">
            <w:r w:rsidRPr="00FE2743">
              <w:t>Noteikumu projekts neparedz stingrākas prasības kā šīs tabulas A ailē minētās ES tiesību akta vienības.</w:t>
            </w:r>
          </w:p>
        </w:tc>
      </w:tr>
      <w:tr w:rsidR="00FE2743" w:rsidRPr="00FE2743" w14:paraId="35A3188B"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214060E3" w14:textId="648A6827" w:rsidR="0053749E" w:rsidRPr="00FE2743" w:rsidRDefault="00E33CE0" w:rsidP="00E33CE0">
            <w:pPr>
              <w:rPr>
                <w:highlight w:val="yellow"/>
              </w:rPr>
            </w:pPr>
            <w:r w:rsidRPr="00FE2743">
              <w:t>Pamatnostādņu 105.  punkts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3DD1AE92" w14:textId="4DAF6D80" w:rsidR="0053749E" w:rsidRPr="00FE2743" w:rsidRDefault="0053749E" w:rsidP="007E425C">
            <w:r w:rsidRPr="00FE2743">
              <w:t>Noteikumu projekta 1.</w:t>
            </w:r>
            <w:r w:rsidR="00E33CE0"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3022E32B" w14:textId="33525BBF" w:rsidR="0053749E" w:rsidRPr="00FE2743" w:rsidRDefault="00DF2E85" w:rsidP="0053749E">
            <w:r w:rsidRPr="00FE2743">
              <w:t>Pamatnostādņu prasības tiek ievērotas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4571B114" w14:textId="77777777" w:rsidR="0053749E" w:rsidRPr="00FE2743" w:rsidRDefault="0053749E" w:rsidP="0053749E">
            <w:r w:rsidRPr="00FE2743">
              <w:t>Noteikumu projekts neparedz stingrākas prasības kā šīs tabulas A ailē minētās ES tiesību akta vienības.</w:t>
            </w:r>
          </w:p>
        </w:tc>
      </w:tr>
      <w:tr w:rsidR="00FE2743" w:rsidRPr="00FE2743" w14:paraId="4212D4ED"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636B88DC" w14:textId="77DF8B59" w:rsidR="0053749E" w:rsidRPr="00FE2743" w:rsidRDefault="00E33CE0" w:rsidP="00E33CE0">
            <w:pPr>
              <w:rPr>
                <w:highlight w:val="yellow"/>
              </w:rPr>
            </w:pPr>
            <w:r w:rsidRPr="00FE2743">
              <w:t>Pamatnostādņu 106. punkts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2F6E5D6E" w14:textId="6B619816" w:rsidR="0053749E" w:rsidRPr="00FE2743" w:rsidRDefault="0053749E" w:rsidP="007E425C">
            <w:r w:rsidRPr="00FE2743">
              <w:t>Noteikumu projekta 1.</w:t>
            </w:r>
            <w:r w:rsidR="00E33CE0"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380301F4" w14:textId="79968946" w:rsidR="0053749E" w:rsidRPr="00FE2743" w:rsidRDefault="00DF2E85" w:rsidP="0053749E">
            <w:r w:rsidRPr="00FE2743">
              <w:t>Pamatnostādņu prasības tiek ievērotas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666EC1EF" w14:textId="77777777" w:rsidR="0053749E" w:rsidRPr="00FE2743" w:rsidRDefault="0053749E" w:rsidP="0053749E">
            <w:r w:rsidRPr="00FE2743">
              <w:t>Noteikumu projekts neparedz stingrākas prasības kā šīs tabulas A ailē minētās ES tiesību akta vienības.</w:t>
            </w:r>
          </w:p>
        </w:tc>
      </w:tr>
      <w:tr w:rsidR="00FE2743" w:rsidRPr="00FE2743" w14:paraId="7C8E5643"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4E542729" w14:textId="224C464D" w:rsidR="00DF2E85" w:rsidRPr="00FE2743" w:rsidRDefault="007A28EB" w:rsidP="00DF2E85">
            <w:r w:rsidRPr="00FE2743">
              <w:t>R</w:t>
            </w:r>
            <w:r w:rsidR="00DF2E85" w:rsidRPr="00FE2743">
              <w:t>egulas Nr. 794/2004</w:t>
            </w:r>
          </w:p>
          <w:p w14:paraId="102014BB" w14:textId="12DD9B51" w:rsidR="00200F64" w:rsidRPr="00FE2743" w:rsidRDefault="00DF2E85" w:rsidP="00DF2E85">
            <w:pPr>
              <w:rPr>
                <w:highlight w:val="yellow"/>
              </w:rPr>
            </w:pPr>
            <w:r w:rsidRPr="00FE2743">
              <w:t>9. pants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39C8032E" w14:textId="33233C80" w:rsidR="00200F64" w:rsidRPr="00FE2743" w:rsidRDefault="00200F64" w:rsidP="00200F64">
            <w:r w:rsidRPr="00FE2743">
              <w:t>Noteikumu projekta 1.</w:t>
            </w:r>
            <w:r w:rsidR="00107B50"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492ECCDC" w14:textId="38405069" w:rsidR="00200F64" w:rsidRPr="00FE2743" w:rsidRDefault="007A28EB" w:rsidP="00200F64">
            <w:r w:rsidRPr="00FE2743">
              <w:t>R</w:t>
            </w:r>
            <w:r w:rsidR="00200F64" w:rsidRPr="00FE2743">
              <w:t xml:space="preserve">egulas </w:t>
            </w:r>
            <w:r w:rsidR="00DF2E85" w:rsidRPr="00FE2743">
              <w:t>Nr. 794/2004</w:t>
            </w:r>
            <w:r w:rsidR="00200F64" w:rsidRPr="00FE2743">
              <w:t xml:space="preserve"> prasības tiek ieviestas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2375E2E6" w14:textId="77777777" w:rsidR="00200F64" w:rsidRPr="00FE2743" w:rsidRDefault="00200F64" w:rsidP="00200F64">
            <w:r w:rsidRPr="00FE2743">
              <w:t>Noteikumu projekts neparedz stingrākas prasības kā šīs tabulas A ailē minētās ES tiesību akta vienības.</w:t>
            </w:r>
          </w:p>
        </w:tc>
      </w:tr>
      <w:tr w:rsidR="00FE2743" w:rsidRPr="00FE2743" w14:paraId="4D467AC1" w14:textId="77777777" w:rsidTr="0053749E">
        <w:tc>
          <w:tcPr>
            <w:tcW w:w="1232" w:type="pct"/>
            <w:tcBorders>
              <w:top w:val="single" w:sz="4" w:space="0" w:color="auto"/>
              <w:left w:val="single" w:sz="4" w:space="0" w:color="auto"/>
              <w:bottom w:val="single" w:sz="4" w:space="0" w:color="auto"/>
              <w:right w:val="single" w:sz="4" w:space="0" w:color="auto"/>
            </w:tcBorders>
            <w:shd w:val="clear" w:color="auto" w:fill="auto"/>
          </w:tcPr>
          <w:p w14:paraId="369CFD68" w14:textId="055FB75F" w:rsidR="00886E49" w:rsidRPr="00FE2743" w:rsidRDefault="007A28EB" w:rsidP="00886E49">
            <w:r w:rsidRPr="00FE2743">
              <w:t>R</w:t>
            </w:r>
            <w:r w:rsidR="00886E49" w:rsidRPr="00FE2743">
              <w:t>egulas Nr.</w:t>
            </w:r>
            <w:r w:rsidR="00DD6A59" w:rsidRPr="00FE2743">
              <w:t> </w:t>
            </w:r>
            <w:r w:rsidR="00886E49" w:rsidRPr="00FE2743">
              <w:t>794/2004</w:t>
            </w:r>
          </w:p>
          <w:p w14:paraId="2D09A0AF" w14:textId="0D85333E" w:rsidR="00886E49" w:rsidRPr="00FE2743" w:rsidRDefault="00886E49" w:rsidP="00886E49">
            <w:r w:rsidRPr="00FE2743">
              <w:t>1</w:t>
            </w:r>
            <w:r w:rsidR="00DF2E85" w:rsidRPr="00FE2743">
              <w:t>1</w:t>
            </w:r>
            <w:r w:rsidRPr="00FE2743">
              <w:t>.</w:t>
            </w:r>
            <w:r w:rsidR="00DD6A59" w:rsidRPr="00FE2743">
              <w:t> </w:t>
            </w:r>
            <w:r w:rsidRPr="00FE2743">
              <w:t>pants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65661524" w14:textId="32F27FDD" w:rsidR="00886E49" w:rsidRPr="00FE2743" w:rsidRDefault="00886E49" w:rsidP="00886E49">
            <w:r w:rsidRPr="00FE2743">
              <w:t>Noteikumu projekta 1.</w:t>
            </w:r>
            <w:r w:rsidR="00107B50" w:rsidRPr="00FE2743">
              <w:t>3</w:t>
            </w:r>
            <w:r w:rsidRPr="00FE2743">
              <w:t>.</w:t>
            </w:r>
            <w:r w:rsidR="00DD6A59" w:rsidRPr="00FE2743">
              <w:t> </w:t>
            </w:r>
            <w:r w:rsidRPr="00FE2743">
              <w:t>apakšpunkts</w:t>
            </w:r>
          </w:p>
        </w:tc>
        <w:tc>
          <w:tcPr>
            <w:tcW w:w="1230" w:type="pct"/>
            <w:gridSpan w:val="2"/>
            <w:tcBorders>
              <w:top w:val="single" w:sz="4" w:space="0" w:color="auto"/>
              <w:left w:val="single" w:sz="4" w:space="0" w:color="auto"/>
              <w:bottom w:val="single" w:sz="4" w:space="0" w:color="auto"/>
              <w:right w:val="single" w:sz="4" w:space="0" w:color="auto"/>
            </w:tcBorders>
            <w:shd w:val="clear" w:color="auto" w:fill="auto"/>
          </w:tcPr>
          <w:p w14:paraId="1845EF6E" w14:textId="74FDFBFB" w:rsidR="00886E49" w:rsidRPr="00FE2743" w:rsidRDefault="007A28EB" w:rsidP="00886E49">
            <w:r w:rsidRPr="00FE2743">
              <w:t>R</w:t>
            </w:r>
            <w:r w:rsidR="00886E49" w:rsidRPr="00FE2743">
              <w:t>egulas Nr.</w:t>
            </w:r>
            <w:r w:rsidR="00DD6A59" w:rsidRPr="00FE2743">
              <w:t> </w:t>
            </w:r>
            <w:r w:rsidR="00886E49" w:rsidRPr="00FE2743">
              <w:t>794/2004 prasības tiek ieviestas pilnībā.</w:t>
            </w:r>
          </w:p>
        </w:tc>
        <w:tc>
          <w:tcPr>
            <w:tcW w:w="1308" w:type="pct"/>
            <w:tcBorders>
              <w:top w:val="single" w:sz="4" w:space="0" w:color="auto"/>
              <w:left w:val="single" w:sz="4" w:space="0" w:color="auto"/>
              <w:bottom w:val="single" w:sz="4" w:space="0" w:color="auto"/>
              <w:right w:val="single" w:sz="4" w:space="0" w:color="auto"/>
            </w:tcBorders>
            <w:shd w:val="clear" w:color="auto" w:fill="auto"/>
          </w:tcPr>
          <w:p w14:paraId="4DFF1146" w14:textId="43D6372B" w:rsidR="00886E49" w:rsidRPr="00FE2743" w:rsidRDefault="00886E49" w:rsidP="00886E49">
            <w:r w:rsidRPr="00FE2743">
              <w:t>Noteikumu projekts neparedz stingrākas prasības kā šīs tabulas A ailē minētās ES tiesību akta vienības.</w:t>
            </w:r>
          </w:p>
        </w:tc>
      </w:tr>
      <w:tr w:rsidR="00FE2743" w:rsidRPr="00FE2743" w14:paraId="270AE378" w14:textId="77777777" w:rsidTr="007B6927">
        <w:tc>
          <w:tcPr>
            <w:tcW w:w="1232" w:type="pct"/>
            <w:shd w:val="clear" w:color="auto" w:fill="auto"/>
            <w:hideMark/>
          </w:tcPr>
          <w:p w14:paraId="7B9037D4" w14:textId="77777777" w:rsidR="00886E49" w:rsidRPr="00FE2743" w:rsidRDefault="00886E49" w:rsidP="00886E49">
            <w:r w:rsidRPr="00FE2743">
              <w:t>Kā ir izmantota ES tiesību aktā paredzētā rīcības brīvība dalībvalstij pārņemt vai ieviest noteiktas ES tiesību akta normas? Kādēļ?</w:t>
            </w:r>
          </w:p>
        </w:tc>
        <w:tc>
          <w:tcPr>
            <w:tcW w:w="3768" w:type="pct"/>
            <w:gridSpan w:val="4"/>
            <w:shd w:val="clear" w:color="auto" w:fill="auto"/>
            <w:hideMark/>
          </w:tcPr>
          <w:p w14:paraId="66BACB01" w14:textId="77777777" w:rsidR="00886E49" w:rsidRPr="00FE2743" w:rsidRDefault="00886E49" w:rsidP="00886E49">
            <w:r w:rsidRPr="00FE2743">
              <w:t>Projekts šo jomu neskar.</w:t>
            </w:r>
          </w:p>
        </w:tc>
      </w:tr>
      <w:tr w:rsidR="00FE2743" w:rsidRPr="00FE2743" w14:paraId="42E739C1" w14:textId="77777777" w:rsidTr="007B6927">
        <w:tc>
          <w:tcPr>
            <w:tcW w:w="1232" w:type="pct"/>
            <w:shd w:val="clear" w:color="auto" w:fill="auto"/>
            <w:hideMark/>
          </w:tcPr>
          <w:p w14:paraId="67C540F7" w14:textId="77777777" w:rsidR="00886E49" w:rsidRPr="00FE2743" w:rsidRDefault="00886E49" w:rsidP="00886E49">
            <w:r w:rsidRPr="00FE2743">
              <w:t xml:space="preserve">Saistības sniegt paziņojumu ES institūcijām un ES dalībvalstīm </w:t>
            </w:r>
            <w:r w:rsidRPr="00FE2743">
              <w:lastRenderedPageBreak/>
              <w:t>atbilstoši normatīvajiem aktiem, kas regulē informācijas sniegšanu par tehnisko noteikumu, valsts atbalsta piešķiršanas un finanšu noteikumu (attiecībā uz monetāro politiku) projektiem</w:t>
            </w:r>
          </w:p>
        </w:tc>
        <w:tc>
          <w:tcPr>
            <w:tcW w:w="3768" w:type="pct"/>
            <w:gridSpan w:val="4"/>
            <w:shd w:val="clear" w:color="auto" w:fill="auto"/>
            <w:hideMark/>
          </w:tcPr>
          <w:p w14:paraId="155A43C9" w14:textId="48337CA3" w:rsidR="00886E49" w:rsidRPr="00FE2743" w:rsidRDefault="00A871C3" w:rsidP="00886E49">
            <w:r w:rsidRPr="00FE2743">
              <w:lastRenderedPageBreak/>
              <w:t>Šī projekta apstiprināšanas procesa gaitā ir paredzēts šo projektu pievienot, ka daļu no Eiropas Komisija</w:t>
            </w:r>
            <w:r w:rsidR="007563A7">
              <w:t>i</w:t>
            </w:r>
            <w:r w:rsidRPr="00FE2743">
              <w:t xml:space="preserve"> iesniedzamo dokumentu pakas  pie elektroniski nosūtāma paziņojuma par valsts atbalstu, </w:t>
            </w:r>
            <w:r w:rsidRPr="00FE2743">
              <w:lastRenderedPageBreak/>
              <w:t>izmantojot tīmekļa lietojumprogrammu – Interaktīvie valsts atbalsta paziņojumi (SANI2).</w:t>
            </w:r>
          </w:p>
        </w:tc>
      </w:tr>
      <w:tr w:rsidR="00886E49" w:rsidRPr="00FE2743" w14:paraId="3675D788" w14:textId="77777777" w:rsidTr="007B6927">
        <w:tc>
          <w:tcPr>
            <w:tcW w:w="1232" w:type="pct"/>
            <w:shd w:val="clear" w:color="auto" w:fill="auto"/>
            <w:hideMark/>
          </w:tcPr>
          <w:p w14:paraId="3B9F82BF" w14:textId="77777777" w:rsidR="00886E49" w:rsidRPr="00FE2743" w:rsidRDefault="00886E49" w:rsidP="00886E49">
            <w:r w:rsidRPr="00FE2743">
              <w:lastRenderedPageBreak/>
              <w:t>Cita informācija</w:t>
            </w:r>
          </w:p>
        </w:tc>
        <w:tc>
          <w:tcPr>
            <w:tcW w:w="3768" w:type="pct"/>
            <w:gridSpan w:val="4"/>
            <w:shd w:val="clear" w:color="auto" w:fill="auto"/>
            <w:hideMark/>
          </w:tcPr>
          <w:p w14:paraId="7167A6DC" w14:textId="77777777" w:rsidR="00886E49" w:rsidRPr="00FE2743" w:rsidRDefault="00886E49" w:rsidP="00886E49">
            <w:r w:rsidRPr="00FE2743">
              <w:t>Nav.</w:t>
            </w:r>
          </w:p>
          <w:p w14:paraId="30793F15" w14:textId="77777777" w:rsidR="00886E49" w:rsidRPr="00FE2743" w:rsidRDefault="00886E49" w:rsidP="00886E49"/>
        </w:tc>
      </w:tr>
      <w:tr w:rsidR="00FE2743" w:rsidRPr="00FE2743" w14:paraId="0BF5910F" w14:textId="77777777" w:rsidTr="007B6927">
        <w:tc>
          <w:tcPr>
            <w:tcW w:w="5000" w:type="pct"/>
            <w:gridSpan w:val="5"/>
            <w:shd w:val="clear" w:color="auto" w:fill="auto"/>
            <w:hideMark/>
          </w:tcPr>
          <w:p w14:paraId="61DA3A25" w14:textId="77777777" w:rsidR="00886E49" w:rsidRPr="00FE2743" w:rsidRDefault="00886E49" w:rsidP="00886E49">
            <w:pPr>
              <w:jc w:val="center"/>
              <w:rPr>
                <w:b/>
                <w:bCs/>
              </w:rPr>
            </w:pPr>
            <w:r w:rsidRPr="00FE2743">
              <w:rPr>
                <w:b/>
                <w:bCs/>
              </w:rPr>
              <w:t>2. tabula</w:t>
            </w:r>
            <w:r w:rsidRPr="00FE2743">
              <w:rPr>
                <w:b/>
                <w:bCs/>
              </w:rPr>
              <w:br/>
              <w:t>Ar tiesību akta projektu izpildītās vai uzņemtās saistības, kas izriet no starptautiskajiem tiesību aktiem vai starptautiskas institūcijas vai organizācijas dokumentiem.</w:t>
            </w:r>
            <w:r w:rsidRPr="00FE2743">
              <w:rPr>
                <w:b/>
                <w:bCs/>
              </w:rPr>
              <w:br/>
              <w:t>Pasākumi šo saistību izpildei</w:t>
            </w:r>
          </w:p>
        </w:tc>
      </w:tr>
      <w:tr w:rsidR="00FE2743" w:rsidRPr="00FE2743" w14:paraId="760C95C1" w14:textId="77777777" w:rsidTr="007B6927">
        <w:tc>
          <w:tcPr>
            <w:tcW w:w="1232" w:type="pct"/>
            <w:shd w:val="clear" w:color="auto" w:fill="auto"/>
            <w:hideMark/>
          </w:tcPr>
          <w:p w14:paraId="66CAAA57" w14:textId="77777777" w:rsidR="00886E49" w:rsidRPr="00FE2743" w:rsidRDefault="00886E49" w:rsidP="00886E49">
            <w:r w:rsidRPr="00FE2743">
              <w:t>Attiecīgā starptautiskā tiesību akta vai starptautiskas institūcijas vai organizācijas dokumenta (turpmāk – starptautiskais dokuments) datums, numurs un nosaukums</w:t>
            </w:r>
          </w:p>
        </w:tc>
        <w:tc>
          <w:tcPr>
            <w:tcW w:w="3768" w:type="pct"/>
            <w:gridSpan w:val="4"/>
            <w:shd w:val="clear" w:color="auto" w:fill="auto"/>
            <w:hideMark/>
          </w:tcPr>
          <w:p w14:paraId="07F5A6CC" w14:textId="77777777" w:rsidR="00886E49" w:rsidRPr="00FE2743" w:rsidRDefault="00886E49" w:rsidP="00886E49">
            <w:r w:rsidRPr="00FE2743">
              <w:t>Projekts šo jomu neskar.</w:t>
            </w:r>
          </w:p>
        </w:tc>
      </w:tr>
      <w:tr w:rsidR="00FE2743" w:rsidRPr="00FE2743" w14:paraId="0C38F5C1" w14:textId="77777777" w:rsidTr="0053749E">
        <w:tc>
          <w:tcPr>
            <w:tcW w:w="1232" w:type="pct"/>
            <w:shd w:val="clear" w:color="auto" w:fill="auto"/>
            <w:hideMark/>
          </w:tcPr>
          <w:p w14:paraId="5BDA0F6A" w14:textId="77777777" w:rsidR="00886E49" w:rsidRPr="00FE2743" w:rsidRDefault="00886E49" w:rsidP="00886E49">
            <w:r w:rsidRPr="00FE2743">
              <w:t>A</w:t>
            </w:r>
          </w:p>
        </w:tc>
        <w:tc>
          <w:tcPr>
            <w:tcW w:w="1771" w:type="pct"/>
            <w:gridSpan w:val="2"/>
            <w:shd w:val="clear" w:color="auto" w:fill="auto"/>
            <w:hideMark/>
          </w:tcPr>
          <w:p w14:paraId="578E2A8D" w14:textId="77777777" w:rsidR="00886E49" w:rsidRPr="00FE2743" w:rsidRDefault="00886E49" w:rsidP="00886E49">
            <w:r w:rsidRPr="00FE2743">
              <w:t>B</w:t>
            </w:r>
          </w:p>
        </w:tc>
        <w:tc>
          <w:tcPr>
            <w:tcW w:w="1997" w:type="pct"/>
            <w:gridSpan w:val="2"/>
            <w:shd w:val="clear" w:color="auto" w:fill="auto"/>
            <w:hideMark/>
          </w:tcPr>
          <w:p w14:paraId="04034349" w14:textId="77777777" w:rsidR="00886E49" w:rsidRPr="00FE2743" w:rsidRDefault="00886E49" w:rsidP="00886E49">
            <w:r w:rsidRPr="00FE2743">
              <w:t>C</w:t>
            </w:r>
          </w:p>
        </w:tc>
      </w:tr>
      <w:tr w:rsidR="00FE2743" w:rsidRPr="00FE2743" w14:paraId="7F3AFC6A" w14:textId="77777777" w:rsidTr="0053749E">
        <w:tc>
          <w:tcPr>
            <w:tcW w:w="1232" w:type="pct"/>
            <w:shd w:val="clear" w:color="auto" w:fill="auto"/>
            <w:hideMark/>
          </w:tcPr>
          <w:p w14:paraId="0038A35E" w14:textId="77777777" w:rsidR="00886E49" w:rsidRPr="00FE2743" w:rsidRDefault="00886E49" w:rsidP="00886E49">
            <w:r w:rsidRPr="00FE2743">
              <w:t>Projekts šo jomu neskar.</w:t>
            </w:r>
          </w:p>
        </w:tc>
        <w:tc>
          <w:tcPr>
            <w:tcW w:w="1771" w:type="pct"/>
            <w:gridSpan w:val="2"/>
            <w:shd w:val="clear" w:color="auto" w:fill="auto"/>
            <w:hideMark/>
          </w:tcPr>
          <w:p w14:paraId="17DFEDBF" w14:textId="77777777" w:rsidR="00886E49" w:rsidRPr="00FE2743" w:rsidRDefault="00886E49" w:rsidP="00886E49">
            <w:r w:rsidRPr="00FE2743">
              <w:t>Projekts šo jomu neskar.</w:t>
            </w:r>
          </w:p>
        </w:tc>
        <w:tc>
          <w:tcPr>
            <w:tcW w:w="1997" w:type="pct"/>
            <w:gridSpan w:val="2"/>
            <w:shd w:val="clear" w:color="auto" w:fill="auto"/>
            <w:hideMark/>
          </w:tcPr>
          <w:p w14:paraId="04B06C64" w14:textId="77777777" w:rsidR="00886E49" w:rsidRPr="00FE2743" w:rsidRDefault="00886E49" w:rsidP="00886E49">
            <w:r w:rsidRPr="00FE2743">
              <w:t>Projekts šo jomu neskar.</w:t>
            </w:r>
          </w:p>
        </w:tc>
      </w:tr>
      <w:tr w:rsidR="00FE2743" w:rsidRPr="00FE2743" w14:paraId="18B1F78F" w14:textId="77777777" w:rsidTr="007B6927">
        <w:tc>
          <w:tcPr>
            <w:tcW w:w="1232" w:type="pct"/>
            <w:shd w:val="clear" w:color="auto" w:fill="auto"/>
            <w:hideMark/>
          </w:tcPr>
          <w:p w14:paraId="14F27AD5" w14:textId="77777777" w:rsidR="00886E49" w:rsidRPr="00FE2743" w:rsidRDefault="00886E49" w:rsidP="00886E49">
            <w:r w:rsidRPr="00FE2743">
              <w:t>Vai starptautiskajā dokumentā paredzētās saistības nav pretrunā ar jau esošajām Latvijas Republikas starptautiskajām saistībām</w:t>
            </w:r>
          </w:p>
        </w:tc>
        <w:tc>
          <w:tcPr>
            <w:tcW w:w="3768" w:type="pct"/>
            <w:gridSpan w:val="4"/>
            <w:shd w:val="clear" w:color="auto" w:fill="auto"/>
            <w:hideMark/>
          </w:tcPr>
          <w:p w14:paraId="355F00E4" w14:textId="77777777" w:rsidR="00886E49" w:rsidRPr="00FE2743" w:rsidRDefault="00886E49" w:rsidP="00886E49">
            <w:r w:rsidRPr="00FE2743">
              <w:t>Projekts šo jomu neskar.</w:t>
            </w:r>
          </w:p>
        </w:tc>
      </w:tr>
      <w:tr w:rsidR="00FE2743" w:rsidRPr="00FE2743" w14:paraId="0113179C" w14:textId="77777777" w:rsidTr="007B6927">
        <w:tc>
          <w:tcPr>
            <w:tcW w:w="1232" w:type="pct"/>
            <w:shd w:val="clear" w:color="auto" w:fill="auto"/>
            <w:hideMark/>
          </w:tcPr>
          <w:p w14:paraId="7E72DC6C" w14:textId="77777777" w:rsidR="00886E49" w:rsidRPr="00FE2743" w:rsidRDefault="00886E49" w:rsidP="00886E49">
            <w:r w:rsidRPr="00FE2743">
              <w:t>Cita informācija</w:t>
            </w:r>
          </w:p>
        </w:tc>
        <w:tc>
          <w:tcPr>
            <w:tcW w:w="3768" w:type="pct"/>
            <w:gridSpan w:val="4"/>
            <w:shd w:val="clear" w:color="auto" w:fill="auto"/>
            <w:hideMark/>
          </w:tcPr>
          <w:p w14:paraId="177F1346" w14:textId="0086BC39" w:rsidR="00886E49" w:rsidRPr="00FE2743" w:rsidRDefault="007A28EB" w:rsidP="00886E49">
            <w:pPr>
              <w:ind w:right="113" w:firstLine="386"/>
              <w:jc w:val="both"/>
              <w:rPr>
                <w:rFonts w:eastAsiaTheme="minorHAnsi"/>
                <w:sz w:val="22"/>
              </w:rPr>
            </w:pPr>
            <w:r w:rsidRPr="00FE2743">
              <w:rPr>
                <w:rFonts w:eastAsiaTheme="minorHAnsi"/>
                <w:sz w:val="22"/>
              </w:rPr>
              <w:t>Nav</w:t>
            </w:r>
          </w:p>
        </w:tc>
      </w:tr>
    </w:tbl>
    <w:p w14:paraId="547D7178" w14:textId="77777777" w:rsidR="00441730" w:rsidRPr="00FE2743" w:rsidRDefault="00441730" w:rsidP="00441730"/>
    <w:tbl>
      <w:tblPr>
        <w:tblW w:w="5067" w:type="pct"/>
        <w:tblInd w:w="-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461"/>
        <w:gridCol w:w="3371"/>
        <w:gridCol w:w="5344"/>
      </w:tblGrid>
      <w:tr w:rsidR="00032C63" w:rsidRPr="00FE2743" w14:paraId="4D40BDC9" w14:textId="77777777" w:rsidTr="007B6927">
        <w:tc>
          <w:tcPr>
            <w:tcW w:w="5000" w:type="pct"/>
            <w:gridSpan w:val="3"/>
            <w:tcBorders>
              <w:top w:val="single" w:sz="6" w:space="0" w:color="auto"/>
              <w:left w:val="single" w:sz="6" w:space="0" w:color="auto"/>
              <w:bottom w:val="single" w:sz="6" w:space="0" w:color="auto"/>
              <w:right w:val="single" w:sz="6" w:space="0" w:color="auto"/>
            </w:tcBorders>
            <w:hideMark/>
          </w:tcPr>
          <w:p w14:paraId="6B76F277" w14:textId="77777777" w:rsidR="00032C63" w:rsidRPr="00FE2743" w:rsidRDefault="00BB389E" w:rsidP="00913C1A">
            <w:pPr>
              <w:tabs>
                <w:tab w:val="center" w:pos="4648"/>
                <w:tab w:val="left" w:pos="8395"/>
              </w:tabs>
              <w:spacing w:before="100" w:beforeAutospacing="1" w:after="100" w:afterAutospacing="1"/>
              <w:rPr>
                <w:b/>
                <w:bCs/>
              </w:rPr>
            </w:pPr>
            <w:r w:rsidRPr="00FE2743">
              <w:rPr>
                <w:b/>
                <w:bCs/>
              </w:rPr>
              <w:tab/>
            </w:r>
            <w:r w:rsidR="00032C63" w:rsidRPr="00FE2743">
              <w:rPr>
                <w:b/>
                <w:bCs/>
              </w:rPr>
              <w:t>V</w:t>
            </w:r>
            <w:r w:rsidR="00EF06E7" w:rsidRPr="00FE2743">
              <w:rPr>
                <w:b/>
                <w:bCs/>
              </w:rPr>
              <w:t>I</w:t>
            </w:r>
            <w:r w:rsidR="00032C63" w:rsidRPr="00FE2743">
              <w:rPr>
                <w:b/>
                <w:bCs/>
              </w:rPr>
              <w:t xml:space="preserve">. </w:t>
            </w:r>
            <w:r w:rsidR="00EF06E7" w:rsidRPr="00FE2743">
              <w:rPr>
                <w:b/>
                <w:bCs/>
              </w:rPr>
              <w:t>Sabiedrības līdzdalība un komunikācijas aktivitātes</w:t>
            </w:r>
            <w:r w:rsidRPr="00FE2743">
              <w:rPr>
                <w:b/>
                <w:bCs/>
              </w:rPr>
              <w:tab/>
            </w:r>
          </w:p>
        </w:tc>
      </w:tr>
      <w:tr w:rsidR="00FE2743" w:rsidRPr="00FE2743" w14:paraId="092BCA33" w14:textId="77777777" w:rsidTr="007B6927">
        <w:tc>
          <w:tcPr>
            <w:tcW w:w="251" w:type="pct"/>
            <w:tcBorders>
              <w:top w:val="single" w:sz="6" w:space="0" w:color="auto"/>
              <w:left w:val="single" w:sz="6" w:space="0" w:color="auto"/>
              <w:bottom w:val="single" w:sz="6" w:space="0" w:color="auto"/>
              <w:right w:val="single" w:sz="4" w:space="0" w:color="auto"/>
            </w:tcBorders>
          </w:tcPr>
          <w:p w14:paraId="47BD99EA" w14:textId="77777777" w:rsidR="008D06E4" w:rsidRPr="00FE2743" w:rsidRDefault="008D06E4" w:rsidP="00032C63">
            <w:pPr>
              <w:spacing w:before="100" w:beforeAutospacing="1" w:after="100" w:afterAutospacing="1"/>
              <w:jc w:val="center"/>
              <w:rPr>
                <w:bCs/>
              </w:rPr>
            </w:pPr>
            <w:r w:rsidRPr="00FE2743">
              <w:rPr>
                <w:bCs/>
              </w:rPr>
              <w:t>1.</w:t>
            </w:r>
          </w:p>
        </w:tc>
        <w:tc>
          <w:tcPr>
            <w:tcW w:w="1837" w:type="pct"/>
            <w:tcBorders>
              <w:top w:val="single" w:sz="6" w:space="0" w:color="auto"/>
              <w:left w:val="single" w:sz="4" w:space="0" w:color="auto"/>
              <w:bottom w:val="single" w:sz="6" w:space="0" w:color="auto"/>
              <w:right w:val="single" w:sz="4" w:space="0" w:color="auto"/>
            </w:tcBorders>
          </w:tcPr>
          <w:p w14:paraId="4FC6944D" w14:textId="77777777" w:rsidR="008D06E4" w:rsidRPr="00FE2743" w:rsidRDefault="00EF06E7" w:rsidP="00A274A7">
            <w:pPr>
              <w:spacing w:before="100" w:beforeAutospacing="1" w:after="100" w:afterAutospacing="1"/>
              <w:ind w:right="-31"/>
              <w:rPr>
                <w:bCs/>
              </w:rPr>
            </w:pPr>
            <w:r w:rsidRPr="00FE2743">
              <w:rPr>
                <w:bCs/>
              </w:rPr>
              <w:t>Plānotās sabiedrības līdzdalības un komunikācijas aktivitātes saistībā ar projektu</w:t>
            </w:r>
          </w:p>
        </w:tc>
        <w:tc>
          <w:tcPr>
            <w:tcW w:w="2911" w:type="pct"/>
            <w:tcBorders>
              <w:top w:val="single" w:sz="6" w:space="0" w:color="auto"/>
              <w:left w:val="single" w:sz="4" w:space="0" w:color="auto"/>
              <w:bottom w:val="single" w:sz="6" w:space="0" w:color="auto"/>
              <w:right w:val="single" w:sz="6" w:space="0" w:color="auto"/>
            </w:tcBorders>
          </w:tcPr>
          <w:p w14:paraId="7034CDFB" w14:textId="77777777" w:rsidR="001C4ABF" w:rsidRPr="00FE2743" w:rsidRDefault="00E278F7" w:rsidP="00593DD2">
            <w:pPr>
              <w:pStyle w:val="NormalWeb"/>
              <w:spacing w:before="0" w:beforeAutospacing="0" w:after="0" w:afterAutospacing="0"/>
              <w:jc w:val="both"/>
            </w:pPr>
            <w:r w:rsidRPr="00FE2743">
              <w:t xml:space="preserve">Sabiedrības līdzdalība tiek īstenota saskaņā ar Ministru kabineta 2009. gada 25. augusta noteikumu Nr. 970 “Sabiedrības līdzdalības kārtība attīstības plānošanas procesā” 7.4. apakšpunktu. </w:t>
            </w:r>
          </w:p>
          <w:p w14:paraId="3E100F67" w14:textId="08ACEE88" w:rsidR="005F54C7" w:rsidRPr="00FE2743" w:rsidRDefault="005F54C7" w:rsidP="00593DD2">
            <w:pPr>
              <w:pStyle w:val="NormalWeb"/>
              <w:spacing w:before="0" w:beforeAutospacing="0" w:after="0" w:afterAutospacing="0"/>
              <w:jc w:val="both"/>
            </w:pPr>
          </w:p>
        </w:tc>
      </w:tr>
      <w:tr w:rsidR="008D06E4" w:rsidRPr="00FE2743" w14:paraId="3888BC98" w14:textId="77777777" w:rsidTr="007B6927">
        <w:tc>
          <w:tcPr>
            <w:tcW w:w="251" w:type="pct"/>
            <w:tcBorders>
              <w:top w:val="single" w:sz="6" w:space="0" w:color="auto"/>
              <w:left w:val="single" w:sz="6" w:space="0" w:color="auto"/>
              <w:bottom w:val="single" w:sz="6" w:space="0" w:color="auto"/>
              <w:right w:val="single" w:sz="4" w:space="0" w:color="auto"/>
            </w:tcBorders>
          </w:tcPr>
          <w:p w14:paraId="6FF8A997" w14:textId="77777777" w:rsidR="008D06E4" w:rsidRPr="00FE2743" w:rsidRDefault="0085794A" w:rsidP="00AA1306">
            <w:pPr>
              <w:spacing w:before="100" w:beforeAutospacing="1" w:after="100" w:afterAutospacing="1"/>
              <w:jc w:val="center"/>
              <w:rPr>
                <w:bCs/>
              </w:rPr>
            </w:pPr>
            <w:r w:rsidRPr="00FE2743">
              <w:rPr>
                <w:bCs/>
              </w:rPr>
              <w:t>2.</w:t>
            </w:r>
          </w:p>
        </w:tc>
        <w:tc>
          <w:tcPr>
            <w:tcW w:w="1837" w:type="pct"/>
            <w:tcBorders>
              <w:top w:val="single" w:sz="6" w:space="0" w:color="auto"/>
              <w:left w:val="single" w:sz="4" w:space="0" w:color="auto"/>
              <w:bottom w:val="single" w:sz="6" w:space="0" w:color="auto"/>
              <w:right w:val="single" w:sz="4" w:space="0" w:color="auto"/>
            </w:tcBorders>
          </w:tcPr>
          <w:p w14:paraId="318F065C" w14:textId="77777777" w:rsidR="008D06E4" w:rsidRPr="00FE2743" w:rsidRDefault="00EF06E7" w:rsidP="00A274A7">
            <w:pPr>
              <w:spacing w:before="100" w:beforeAutospacing="1" w:after="100" w:afterAutospacing="1"/>
              <w:ind w:right="-31"/>
              <w:rPr>
                <w:bCs/>
              </w:rPr>
            </w:pPr>
            <w:r w:rsidRPr="00FE2743">
              <w:rPr>
                <w:bCs/>
              </w:rPr>
              <w:t>Sabiedrības līdzdalība projekta izstrādē</w:t>
            </w:r>
          </w:p>
        </w:tc>
        <w:tc>
          <w:tcPr>
            <w:tcW w:w="2911" w:type="pct"/>
            <w:tcBorders>
              <w:top w:val="single" w:sz="6" w:space="0" w:color="auto"/>
              <w:left w:val="single" w:sz="4" w:space="0" w:color="auto"/>
              <w:bottom w:val="single" w:sz="6" w:space="0" w:color="auto"/>
              <w:right w:val="single" w:sz="6" w:space="0" w:color="auto"/>
            </w:tcBorders>
          </w:tcPr>
          <w:p w14:paraId="5FE6E915" w14:textId="6A1846F0" w:rsidR="00593DD2" w:rsidRPr="00FE2743" w:rsidRDefault="001C4ABF">
            <w:pPr>
              <w:spacing w:before="100" w:beforeAutospacing="1" w:after="100" w:afterAutospacing="1"/>
              <w:ind w:right="113"/>
              <w:jc w:val="both"/>
            </w:pPr>
            <w:r w:rsidRPr="00FE2743">
              <w:t xml:space="preserve">Sabiedrības līdzdalība tiek īstenota saskaņā ar Ministru kabineta 2009. gada 25. augusta noteikumu </w:t>
            </w:r>
            <w:r w:rsidRPr="00FE2743">
              <w:lastRenderedPageBreak/>
              <w:t xml:space="preserve">Nr. 970 “Sabiedrības līdzdalības kārtība attīstības plānošanas procesā” 7.4.1apakšpunktu – Likumprojekts ir publicēts Ekonomikas ministrijas tīmekļvietnē: https://www.em.gov.lv/lv/diskusiju-dokumenti.  </w:t>
            </w:r>
          </w:p>
        </w:tc>
      </w:tr>
      <w:tr w:rsidR="00EF06E7" w:rsidRPr="00FE2743" w14:paraId="2360A15B" w14:textId="77777777" w:rsidTr="007B6927">
        <w:tc>
          <w:tcPr>
            <w:tcW w:w="251" w:type="pct"/>
            <w:tcBorders>
              <w:top w:val="single" w:sz="6" w:space="0" w:color="auto"/>
              <w:left w:val="single" w:sz="6" w:space="0" w:color="auto"/>
              <w:bottom w:val="outset" w:sz="6" w:space="0" w:color="000000"/>
              <w:right w:val="single" w:sz="4" w:space="0" w:color="auto"/>
            </w:tcBorders>
          </w:tcPr>
          <w:p w14:paraId="70B7F79F" w14:textId="77777777" w:rsidR="00EF06E7" w:rsidRPr="00FE2743" w:rsidRDefault="00EF06E7" w:rsidP="00AA1306">
            <w:pPr>
              <w:spacing w:before="100" w:beforeAutospacing="1" w:after="100" w:afterAutospacing="1"/>
              <w:jc w:val="center"/>
              <w:rPr>
                <w:bCs/>
              </w:rPr>
            </w:pPr>
            <w:r w:rsidRPr="00FE2743">
              <w:rPr>
                <w:bCs/>
              </w:rPr>
              <w:lastRenderedPageBreak/>
              <w:t>3.</w:t>
            </w:r>
          </w:p>
        </w:tc>
        <w:tc>
          <w:tcPr>
            <w:tcW w:w="1837" w:type="pct"/>
            <w:tcBorders>
              <w:top w:val="single" w:sz="6" w:space="0" w:color="auto"/>
              <w:left w:val="single" w:sz="4" w:space="0" w:color="auto"/>
              <w:bottom w:val="outset" w:sz="6" w:space="0" w:color="000000"/>
              <w:right w:val="single" w:sz="4" w:space="0" w:color="auto"/>
            </w:tcBorders>
          </w:tcPr>
          <w:p w14:paraId="5CA377E2" w14:textId="77777777" w:rsidR="00EF06E7" w:rsidRPr="00FE2743" w:rsidRDefault="00EF06E7" w:rsidP="00A274A7">
            <w:pPr>
              <w:spacing w:before="100" w:beforeAutospacing="1" w:after="100" w:afterAutospacing="1"/>
              <w:ind w:right="-31"/>
              <w:rPr>
                <w:bCs/>
              </w:rPr>
            </w:pPr>
            <w:r w:rsidRPr="00FE2743">
              <w:rPr>
                <w:bCs/>
              </w:rPr>
              <w:t>Sabiedrības līdzdalības rezultāti</w:t>
            </w:r>
          </w:p>
        </w:tc>
        <w:tc>
          <w:tcPr>
            <w:tcW w:w="2911" w:type="pct"/>
            <w:tcBorders>
              <w:top w:val="single" w:sz="6" w:space="0" w:color="auto"/>
              <w:left w:val="single" w:sz="4" w:space="0" w:color="auto"/>
              <w:bottom w:val="outset" w:sz="6" w:space="0" w:color="000000"/>
              <w:right w:val="single" w:sz="6" w:space="0" w:color="auto"/>
            </w:tcBorders>
          </w:tcPr>
          <w:p w14:paraId="063B1350" w14:textId="0F281C75" w:rsidR="00A64E0D" w:rsidRPr="00FE2743" w:rsidRDefault="00A64E0D" w:rsidP="0034587F">
            <w:pPr>
              <w:spacing w:before="100" w:beforeAutospacing="1"/>
              <w:ind w:right="113"/>
              <w:jc w:val="both"/>
            </w:pPr>
          </w:p>
        </w:tc>
      </w:tr>
      <w:tr w:rsidR="00BC24BC" w:rsidRPr="00FE2743" w14:paraId="69B6C1B3" w14:textId="77777777" w:rsidTr="007B6927">
        <w:tc>
          <w:tcPr>
            <w:tcW w:w="251" w:type="pct"/>
            <w:tcBorders>
              <w:top w:val="single" w:sz="6" w:space="0" w:color="auto"/>
              <w:left w:val="single" w:sz="6" w:space="0" w:color="auto"/>
              <w:bottom w:val="outset" w:sz="6" w:space="0" w:color="000000"/>
              <w:right w:val="single" w:sz="4" w:space="0" w:color="auto"/>
            </w:tcBorders>
          </w:tcPr>
          <w:p w14:paraId="4D1AE9DD" w14:textId="77777777" w:rsidR="00BC24BC" w:rsidRPr="00FE2743" w:rsidRDefault="00EF06E7" w:rsidP="00AA1306">
            <w:pPr>
              <w:spacing w:before="100" w:beforeAutospacing="1" w:after="100" w:afterAutospacing="1"/>
              <w:jc w:val="center"/>
              <w:rPr>
                <w:bCs/>
              </w:rPr>
            </w:pPr>
            <w:r w:rsidRPr="00FE2743">
              <w:rPr>
                <w:bCs/>
              </w:rPr>
              <w:t>4</w:t>
            </w:r>
            <w:r w:rsidR="00BC24BC" w:rsidRPr="00FE2743">
              <w:rPr>
                <w:bCs/>
              </w:rPr>
              <w:t>.</w:t>
            </w:r>
          </w:p>
        </w:tc>
        <w:tc>
          <w:tcPr>
            <w:tcW w:w="1837" w:type="pct"/>
            <w:tcBorders>
              <w:top w:val="single" w:sz="6" w:space="0" w:color="auto"/>
              <w:left w:val="single" w:sz="4" w:space="0" w:color="auto"/>
              <w:bottom w:val="outset" w:sz="6" w:space="0" w:color="000000"/>
              <w:right w:val="single" w:sz="4" w:space="0" w:color="auto"/>
            </w:tcBorders>
          </w:tcPr>
          <w:p w14:paraId="1C8A99E8" w14:textId="77777777" w:rsidR="00BC24BC" w:rsidRPr="00FE2743" w:rsidRDefault="00BC24BC" w:rsidP="00EF06E7">
            <w:pPr>
              <w:spacing w:before="100" w:beforeAutospacing="1" w:after="100" w:afterAutospacing="1"/>
              <w:rPr>
                <w:bCs/>
              </w:rPr>
            </w:pPr>
            <w:r w:rsidRPr="00FE2743">
              <w:rPr>
                <w:bCs/>
              </w:rPr>
              <w:t>Cita informācija</w:t>
            </w:r>
          </w:p>
        </w:tc>
        <w:tc>
          <w:tcPr>
            <w:tcW w:w="2911" w:type="pct"/>
            <w:tcBorders>
              <w:top w:val="single" w:sz="6" w:space="0" w:color="auto"/>
              <w:left w:val="single" w:sz="4" w:space="0" w:color="auto"/>
              <w:bottom w:val="outset" w:sz="6" w:space="0" w:color="000000"/>
              <w:right w:val="single" w:sz="6" w:space="0" w:color="auto"/>
            </w:tcBorders>
          </w:tcPr>
          <w:p w14:paraId="0C3F0BDD" w14:textId="77777777" w:rsidR="00BC24BC" w:rsidRPr="00FE2743" w:rsidRDefault="00BC24BC" w:rsidP="00EF06E7">
            <w:pPr>
              <w:spacing w:before="100" w:beforeAutospacing="1" w:after="100" w:afterAutospacing="1"/>
            </w:pPr>
            <w:r w:rsidRPr="00FE2743">
              <w:t>Nav</w:t>
            </w:r>
            <w:r w:rsidR="00E15B52" w:rsidRPr="00FE2743">
              <w:t>.</w:t>
            </w:r>
          </w:p>
        </w:tc>
      </w:tr>
    </w:tbl>
    <w:p w14:paraId="2331D482" w14:textId="77777777" w:rsidR="00032C63" w:rsidRPr="00FE2743" w:rsidRDefault="00032C63" w:rsidP="00032C63">
      <w:r w:rsidRPr="00FE2743">
        <w:t> </w:t>
      </w:r>
    </w:p>
    <w:tbl>
      <w:tblPr>
        <w:tblW w:w="5140" w:type="pct"/>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9"/>
        <w:gridCol w:w="3344"/>
        <w:gridCol w:w="5476"/>
      </w:tblGrid>
      <w:tr w:rsidR="00032C63" w:rsidRPr="00FE2743" w14:paraId="57A5AEA7" w14:textId="77777777" w:rsidTr="007B6927">
        <w:trPr>
          <w:trHeight w:val="288"/>
        </w:trPr>
        <w:tc>
          <w:tcPr>
            <w:tcW w:w="5000" w:type="pct"/>
            <w:gridSpan w:val="3"/>
            <w:tcBorders>
              <w:top w:val="outset" w:sz="6" w:space="0" w:color="000000"/>
              <w:left w:val="outset" w:sz="6" w:space="0" w:color="000000"/>
              <w:bottom w:val="outset" w:sz="6" w:space="0" w:color="000000"/>
              <w:right w:val="outset" w:sz="6" w:space="0" w:color="000000"/>
            </w:tcBorders>
            <w:hideMark/>
          </w:tcPr>
          <w:p w14:paraId="49B248F5" w14:textId="77777777" w:rsidR="00032C63" w:rsidRPr="00FE2743" w:rsidRDefault="00032C63" w:rsidP="00032C63">
            <w:pPr>
              <w:spacing w:before="100" w:beforeAutospacing="1" w:after="100" w:afterAutospacing="1"/>
              <w:jc w:val="center"/>
              <w:rPr>
                <w:b/>
                <w:bCs/>
              </w:rPr>
            </w:pPr>
            <w:r w:rsidRPr="00FE2743">
              <w:rPr>
                <w:b/>
                <w:bCs/>
              </w:rPr>
              <w:t>VII. Tiesību akta projekta izpildes nodrošināšana un tās ietekme uz institūcijām</w:t>
            </w:r>
          </w:p>
        </w:tc>
      </w:tr>
      <w:tr w:rsidR="00032C63" w:rsidRPr="00FE2743" w14:paraId="1D8CB4DC" w14:textId="77777777" w:rsidTr="007B6927">
        <w:trPr>
          <w:trHeight w:val="577"/>
        </w:trPr>
        <w:tc>
          <w:tcPr>
            <w:tcW w:w="263" w:type="pct"/>
            <w:tcBorders>
              <w:top w:val="outset" w:sz="6" w:space="0" w:color="000000"/>
              <w:left w:val="outset" w:sz="6" w:space="0" w:color="000000"/>
              <w:bottom w:val="outset" w:sz="6" w:space="0" w:color="000000"/>
              <w:right w:val="single" w:sz="4" w:space="0" w:color="auto"/>
            </w:tcBorders>
          </w:tcPr>
          <w:p w14:paraId="0A2A19BC" w14:textId="77777777" w:rsidR="00032C63" w:rsidRPr="00FE2743" w:rsidRDefault="00032C63" w:rsidP="00032C63">
            <w:pPr>
              <w:spacing w:before="100" w:beforeAutospacing="1" w:after="100" w:afterAutospacing="1"/>
              <w:jc w:val="center"/>
            </w:pPr>
            <w:r w:rsidRPr="00FE2743">
              <w:t>1.</w:t>
            </w:r>
          </w:p>
        </w:tc>
        <w:tc>
          <w:tcPr>
            <w:tcW w:w="1796" w:type="pct"/>
            <w:tcBorders>
              <w:top w:val="outset" w:sz="6" w:space="0" w:color="000000"/>
              <w:left w:val="single" w:sz="4" w:space="0" w:color="auto"/>
              <w:bottom w:val="outset" w:sz="6" w:space="0" w:color="000000"/>
              <w:right w:val="single" w:sz="4" w:space="0" w:color="auto"/>
            </w:tcBorders>
          </w:tcPr>
          <w:p w14:paraId="0C29E557" w14:textId="77777777" w:rsidR="00032C63" w:rsidRPr="00FE2743" w:rsidRDefault="00032C63" w:rsidP="00032C63">
            <w:pPr>
              <w:spacing w:before="100" w:beforeAutospacing="1" w:after="100" w:afterAutospacing="1"/>
            </w:pPr>
            <w:r w:rsidRPr="00FE2743">
              <w:t>Projekta izpildē iesaistītās institūcijas</w:t>
            </w:r>
          </w:p>
        </w:tc>
        <w:tc>
          <w:tcPr>
            <w:tcW w:w="2942" w:type="pct"/>
            <w:tcBorders>
              <w:top w:val="outset" w:sz="6" w:space="0" w:color="000000"/>
              <w:left w:val="single" w:sz="4" w:space="0" w:color="auto"/>
              <w:bottom w:val="outset" w:sz="6" w:space="0" w:color="000000"/>
              <w:right w:val="outset" w:sz="6" w:space="0" w:color="000000"/>
            </w:tcBorders>
          </w:tcPr>
          <w:p w14:paraId="3E4FFC3E" w14:textId="162370B4" w:rsidR="00032C63" w:rsidRPr="00FE2743" w:rsidRDefault="001C4ABF" w:rsidP="00233493">
            <w:pPr>
              <w:spacing w:before="100" w:beforeAutospacing="1" w:after="100" w:afterAutospacing="1"/>
              <w:ind w:right="138"/>
              <w:jc w:val="both"/>
            </w:pPr>
            <w:r w:rsidRPr="00FE2743">
              <w:t xml:space="preserve">BVKB </w:t>
            </w:r>
            <w:r w:rsidR="00E3002F" w:rsidRPr="00FE2743">
              <w:t xml:space="preserve">un </w:t>
            </w:r>
            <w:r w:rsidR="009B3F10" w:rsidRPr="00FE2743">
              <w:t>VID</w:t>
            </w:r>
            <w:r w:rsidR="007D62E2" w:rsidRPr="00FE2743">
              <w:t>.</w:t>
            </w:r>
          </w:p>
        </w:tc>
      </w:tr>
      <w:tr w:rsidR="00FE2743" w:rsidRPr="00FE2743" w14:paraId="7309DA98" w14:textId="77777777" w:rsidTr="007B6927">
        <w:trPr>
          <w:trHeight w:val="2050"/>
        </w:trPr>
        <w:tc>
          <w:tcPr>
            <w:tcW w:w="263" w:type="pct"/>
            <w:tcBorders>
              <w:top w:val="outset" w:sz="6" w:space="0" w:color="000000"/>
              <w:left w:val="outset" w:sz="6" w:space="0" w:color="000000"/>
              <w:bottom w:val="outset" w:sz="6" w:space="0" w:color="000000"/>
              <w:right w:val="single" w:sz="4" w:space="0" w:color="auto"/>
            </w:tcBorders>
          </w:tcPr>
          <w:p w14:paraId="3A0329B3" w14:textId="77777777" w:rsidR="00032C63" w:rsidRPr="00FE2743" w:rsidRDefault="00032C63" w:rsidP="00032C63">
            <w:pPr>
              <w:spacing w:before="100" w:beforeAutospacing="1" w:after="100" w:afterAutospacing="1"/>
              <w:jc w:val="center"/>
            </w:pPr>
            <w:r w:rsidRPr="00FE2743">
              <w:t>2.</w:t>
            </w:r>
          </w:p>
        </w:tc>
        <w:tc>
          <w:tcPr>
            <w:tcW w:w="1796" w:type="pct"/>
            <w:tcBorders>
              <w:top w:val="outset" w:sz="6" w:space="0" w:color="000000"/>
              <w:left w:val="single" w:sz="4" w:space="0" w:color="auto"/>
              <w:bottom w:val="outset" w:sz="6" w:space="0" w:color="000000"/>
              <w:right w:val="single" w:sz="4" w:space="0" w:color="auto"/>
            </w:tcBorders>
          </w:tcPr>
          <w:p w14:paraId="26638056" w14:textId="77777777" w:rsidR="00032C63" w:rsidRPr="00FE2743" w:rsidRDefault="00FF735C" w:rsidP="005425C7">
            <w:pPr>
              <w:ind w:right="109"/>
              <w:jc w:val="both"/>
            </w:pPr>
            <w:r w:rsidRPr="00FE2743">
              <w:t>Projekta izpildes ietekme uz pārvaldes funkcijām un institucionālo struktūru.</w:t>
            </w:r>
            <w:r w:rsidR="000C52A7" w:rsidRPr="00FE2743">
              <w:t xml:space="preserve"> </w:t>
            </w:r>
            <w:r w:rsidRPr="00FE2743">
              <w:t>Jaunu institūciju izveide, esošo institūciju likvidācija vai reorganizācija, to ietekme uz institūcijas cilvēkresursiem</w:t>
            </w:r>
          </w:p>
        </w:tc>
        <w:tc>
          <w:tcPr>
            <w:tcW w:w="2942" w:type="pct"/>
            <w:tcBorders>
              <w:top w:val="outset" w:sz="6" w:space="0" w:color="000000"/>
              <w:left w:val="single" w:sz="4" w:space="0" w:color="auto"/>
              <w:bottom w:val="outset" w:sz="6" w:space="0" w:color="000000"/>
              <w:right w:val="outset" w:sz="6" w:space="0" w:color="000000"/>
            </w:tcBorders>
          </w:tcPr>
          <w:p w14:paraId="523F2195" w14:textId="77777777" w:rsidR="0001200D" w:rsidRPr="00FE2743" w:rsidRDefault="0001200D" w:rsidP="0001200D">
            <w:pPr>
              <w:jc w:val="both"/>
            </w:pPr>
            <w:r w:rsidRPr="00FE2743">
              <w:t>Projekta izpilde neietekmēs pārvaldes funkcijas.</w:t>
            </w:r>
          </w:p>
          <w:p w14:paraId="5AF82FC3" w14:textId="77777777" w:rsidR="0001200D" w:rsidRPr="00FE2743" w:rsidRDefault="0001200D" w:rsidP="0001200D">
            <w:pPr>
              <w:jc w:val="both"/>
            </w:pPr>
            <w:r w:rsidRPr="00FE2743">
              <w:t>Projekta izpildei nav nepieciešama jaunu institūciju izveide, esošo institūciju likvidācija vai reorganizācija.</w:t>
            </w:r>
          </w:p>
          <w:p w14:paraId="7E4D357C" w14:textId="77777777" w:rsidR="00032C63" w:rsidRPr="00FE2743" w:rsidRDefault="0001200D" w:rsidP="0001200D">
            <w:pPr>
              <w:jc w:val="both"/>
            </w:pPr>
            <w:r w:rsidRPr="00FE2743">
              <w:t>Projekta izpilde tiks nodrošināta esošo cilvēkresursu un finanšu līdzekļu ietvaros.</w:t>
            </w:r>
          </w:p>
        </w:tc>
      </w:tr>
      <w:bookmarkEnd w:id="0"/>
      <w:tr w:rsidR="00032C63" w:rsidRPr="00FE2743" w14:paraId="5A937E71" w14:textId="77777777" w:rsidTr="007B6927">
        <w:trPr>
          <w:trHeight w:val="288"/>
        </w:trPr>
        <w:tc>
          <w:tcPr>
            <w:tcW w:w="263" w:type="pct"/>
            <w:tcBorders>
              <w:top w:val="outset" w:sz="6" w:space="0" w:color="000000"/>
              <w:left w:val="outset" w:sz="6" w:space="0" w:color="000000"/>
              <w:bottom w:val="single" w:sz="4" w:space="0" w:color="auto"/>
              <w:right w:val="single" w:sz="4" w:space="0" w:color="auto"/>
            </w:tcBorders>
          </w:tcPr>
          <w:p w14:paraId="5C13DF7F" w14:textId="77777777" w:rsidR="00032C63" w:rsidRPr="00FE2743" w:rsidRDefault="00032C63" w:rsidP="00032C63">
            <w:pPr>
              <w:spacing w:before="100" w:beforeAutospacing="1" w:after="100" w:afterAutospacing="1"/>
              <w:jc w:val="center"/>
            </w:pPr>
            <w:r w:rsidRPr="00FE2743">
              <w:t>3.</w:t>
            </w:r>
          </w:p>
        </w:tc>
        <w:tc>
          <w:tcPr>
            <w:tcW w:w="1796" w:type="pct"/>
            <w:tcBorders>
              <w:top w:val="outset" w:sz="6" w:space="0" w:color="000000"/>
              <w:left w:val="single" w:sz="4" w:space="0" w:color="auto"/>
              <w:bottom w:val="single" w:sz="4" w:space="0" w:color="auto"/>
              <w:right w:val="single" w:sz="4" w:space="0" w:color="auto"/>
            </w:tcBorders>
          </w:tcPr>
          <w:p w14:paraId="0171E2BB" w14:textId="77777777" w:rsidR="00032C63" w:rsidRPr="00FE2743" w:rsidRDefault="00FF735C" w:rsidP="00FF735C">
            <w:pPr>
              <w:jc w:val="both"/>
            </w:pPr>
            <w:r w:rsidRPr="00FE2743">
              <w:t>Cita informācija</w:t>
            </w:r>
          </w:p>
        </w:tc>
        <w:tc>
          <w:tcPr>
            <w:tcW w:w="2942" w:type="pct"/>
            <w:tcBorders>
              <w:top w:val="outset" w:sz="6" w:space="0" w:color="000000"/>
              <w:left w:val="single" w:sz="4" w:space="0" w:color="auto"/>
              <w:bottom w:val="single" w:sz="4" w:space="0" w:color="auto"/>
              <w:right w:val="outset" w:sz="6" w:space="0" w:color="000000"/>
            </w:tcBorders>
          </w:tcPr>
          <w:p w14:paraId="0913E060" w14:textId="77777777" w:rsidR="00032C63" w:rsidRPr="00FE2743" w:rsidRDefault="00FF735C" w:rsidP="00032C63">
            <w:pPr>
              <w:spacing w:before="100" w:beforeAutospacing="1" w:after="100" w:afterAutospacing="1"/>
              <w:jc w:val="both"/>
            </w:pPr>
            <w:r w:rsidRPr="00FE2743">
              <w:t>Nav</w:t>
            </w:r>
            <w:r w:rsidR="00DC0F0D" w:rsidRPr="00FE2743">
              <w:t>.</w:t>
            </w:r>
          </w:p>
        </w:tc>
      </w:tr>
      <w:tr w:rsidR="0082105B" w:rsidRPr="00FE2743" w14:paraId="1E8FE235" w14:textId="77777777" w:rsidTr="007B69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15"/>
        </w:trPr>
        <w:tc>
          <w:tcPr>
            <w:tcW w:w="5000" w:type="pct"/>
            <w:gridSpan w:val="3"/>
            <w:tcBorders>
              <w:top w:val="single" w:sz="4" w:space="0" w:color="auto"/>
            </w:tcBorders>
          </w:tcPr>
          <w:p w14:paraId="171BBF8A" w14:textId="77777777" w:rsidR="0082105B" w:rsidRPr="00FE2743" w:rsidRDefault="0082105B" w:rsidP="00032C63">
            <w:pPr>
              <w:rPr>
                <w:i/>
                <w:lang w:eastAsia="en-US"/>
              </w:rPr>
            </w:pPr>
          </w:p>
        </w:tc>
      </w:tr>
    </w:tbl>
    <w:p w14:paraId="30A8C579" w14:textId="6BBC0BD1" w:rsidR="00DC0F0D" w:rsidRPr="00784637" w:rsidRDefault="007446D1" w:rsidP="00662B49">
      <w:pPr>
        <w:jc w:val="both"/>
      </w:pPr>
      <w:r w:rsidRPr="00784637">
        <w:t>Ekonomikas</w:t>
      </w:r>
      <w:r w:rsidR="00662B49" w:rsidRPr="00784637">
        <w:t xml:space="preserve"> ministr</w:t>
      </w:r>
      <w:r w:rsidR="003C5248" w:rsidRPr="00784637">
        <w:t>s</w:t>
      </w:r>
      <w:r w:rsidR="005268C8" w:rsidRPr="00784637">
        <w:t xml:space="preserve"> </w:t>
      </w:r>
      <w:r w:rsidR="00662B49" w:rsidRPr="00784637">
        <w:tab/>
      </w:r>
      <w:r w:rsidR="00662B49" w:rsidRPr="00784637">
        <w:tab/>
      </w:r>
      <w:r w:rsidR="00662B49" w:rsidRPr="00784637">
        <w:tab/>
      </w:r>
      <w:r w:rsidR="00662B49" w:rsidRPr="00784637">
        <w:tab/>
      </w:r>
      <w:r w:rsidR="00662B49" w:rsidRPr="00784637">
        <w:tab/>
      </w:r>
      <w:r w:rsidR="00662B49" w:rsidRPr="00784637">
        <w:tab/>
      </w:r>
      <w:r w:rsidR="00662B49" w:rsidRPr="00784637">
        <w:tab/>
      </w:r>
      <w:r w:rsidR="004D6833" w:rsidRPr="00784637">
        <w:tab/>
      </w:r>
      <w:proofErr w:type="spellStart"/>
      <w:r w:rsidR="007563A7">
        <w:t>J.Vitenbergs</w:t>
      </w:r>
      <w:proofErr w:type="spellEnd"/>
    </w:p>
    <w:p w14:paraId="55AC787D" w14:textId="77777777" w:rsidR="00DC0F0D" w:rsidRPr="00784637" w:rsidRDefault="00DC0F0D" w:rsidP="007756FB"/>
    <w:p w14:paraId="549742D4" w14:textId="77777777" w:rsidR="00886ECA" w:rsidRPr="00FE2743" w:rsidRDefault="00886ECA" w:rsidP="007756FB">
      <w:pPr>
        <w:rPr>
          <w:sz w:val="20"/>
          <w:szCs w:val="20"/>
        </w:rPr>
      </w:pPr>
    </w:p>
    <w:p w14:paraId="49EB9CAD" w14:textId="52E9EF3B" w:rsidR="00886ECA" w:rsidRPr="00FE2743" w:rsidRDefault="00886ECA" w:rsidP="007756FB">
      <w:pPr>
        <w:rPr>
          <w:sz w:val="20"/>
          <w:szCs w:val="20"/>
        </w:rPr>
      </w:pPr>
    </w:p>
    <w:p w14:paraId="3C360F75" w14:textId="77777777" w:rsidR="004D6833" w:rsidRPr="00FE2743" w:rsidRDefault="004D6833" w:rsidP="007756FB">
      <w:pPr>
        <w:rPr>
          <w:sz w:val="20"/>
          <w:szCs w:val="20"/>
        </w:rPr>
      </w:pPr>
    </w:p>
    <w:p w14:paraId="6EE674A2" w14:textId="77777777" w:rsidR="005268C8" w:rsidRPr="00FE2743" w:rsidRDefault="005268C8" w:rsidP="007756FB">
      <w:pPr>
        <w:pStyle w:val="ListParagraph"/>
        <w:ind w:left="0"/>
        <w:jc w:val="both"/>
        <w:rPr>
          <w:sz w:val="20"/>
          <w:szCs w:val="20"/>
        </w:rPr>
      </w:pPr>
    </w:p>
    <w:p w14:paraId="1A155840" w14:textId="240D9FB9" w:rsidR="005268C8" w:rsidRPr="007563A7" w:rsidRDefault="0001200D" w:rsidP="007756FB">
      <w:pPr>
        <w:pStyle w:val="ListParagraph"/>
        <w:ind w:left="0"/>
        <w:jc w:val="both"/>
        <w:rPr>
          <w:sz w:val="20"/>
          <w:szCs w:val="20"/>
        </w:rPr>
      </w:pPr>
      <w:proofErr w:type="spellStart"/>
      <w:r w:rsidRPr="007563A7">
        <w:rPr>
          <w:sz w:val="20"/>
          <w:szCs w:val="20"/>
        </w:rPr>
        <w:t>J.</w:t>
      </w:r>
      <w:r w:rsidR="007446D1" w:rsidRPr="007563A7">
        <w:rPr>
          <w:sz w:val="20"/>
          <w:szCs w:val="20"/>
        </w:rPr>
        <w:t>Rozītis</w:t>
      </w:r>
      <w:proofErr w:type="spellEnd"/>
      <w:r w:rsidRPr="007563A7">
        <w:rPr>
          <w:sz w:val="20"/>
          <w:szCs w:val="20"/>
        </w:rPr>
        <w:t>, 670</w:t>
      </w:r>
      <w:r w:rsidR="006135A8" w:rsidRPr="007563A7">
        <w:rPr>
          <w:sz w:val="20"/>
          <w:szCs w:val="20"/>
        </w:rPr>
        <w:t>13272</w:t>
      </w:r>
    </w:p>
    <w:p w14:paraId="3FE74A38" w14:textId="76FBE709" w:rsidR="0001200D" w:rsidRPr="007563A7" w:rsidRDefault="005612F6" w:rsidP="007756FB">
      <w:pPr>
        <w:pStyle w:val="ListParagraph"/>
        <w:ind w:left="0"/>
        <w:jc w:val="both"/>
        <w:rPr>
          <w:sz w:val="20"/>
          <w:szCs w:val="20"/>
        </w:rPr>
      </w:pPr>
      <w:hyperlink r:id="rId8" w:history="1">
        <w:r w:rsidR="006135A8" w:rsidRPr="007563A7">
          <w:rPr>
            <w:rStyle w:val="Hyperlink"/>
            <w:color w:val="auto"/>
            <w:sz w:val="20"/>
            <w:szCs w:val="20"/>
          </w:rPr>
          <w:t>Janis.Rozitis@em.gov.lv</w:t>
        </w:r>
      </w:hyperlink>
      <w:r w:rsidR="0001200D" w:rsidRPr="007563A7">
        <w:rPr>
          <w:sz w:val="20"/>
          <w:szCs w:val="20"/>
        </w:rPr>
        <w:t xml:space="preserve"> </w:t>
      </w:r>
    </w:p>
    <w:p w14:paraId="27171E50" w14:textId="77777777" w:rsidR="005268C8" w:rsidRPr="00FE2743" w:rsidRDefault="005268C8" w:rsidP="007756FB">
      <w:pPr>
        <w:pStyle w:val="ListParagraph"/>
        <w:ind w:left="0"/>
        <w:jc w:val="both"/>
        <w:rPr>
          <w:sz w:val="20"/>
          <w:szCs w:val="20"/>
        </w:rPr>
      </w:pPr>
    </w:p>
    <w:p w14:paraId="3CF29FFB" w14:textId="77777777" w:rsidR="005268C8" w:rsidRPr="00FE2743" w:rsidRDefault="005268C8" w:rsidP="007756FB">
      <w:pPr>
        <w:pStyle w:val="ListParagraph"/>
        <w:ind w:left="0"/>
        <w:jc w:val="both"/>
        <w:rPr>
          <w:sz w:val="20"/>
          <w:szCs w:val="20"/>
        </w:rPr>
      </w:pPr>
    </w:p>
    <w:p w14:paraId="42F02D82" w14:textId="77777777" w:rsidR="005268C8" w:rsidRPr="00FE2743" w:rsidRDefault="005268C8" w:rsidP="007756FB">
      <w:pPr>
        <w:pStyle w:val="ListParagraph"/>
        <w:ind w:left="0"/>
        <w:jc w:val="both"/>
        <w:rPr>
          <w:sz w:val="20"/>
          <w:szCs w:val="20"/>
        </w:rPr>
      </w:pPr>
    </w:p>
    <w:p w14:paraId="130EBF74" w14:textId="77777777" w:rsidR="005268C8" w:rsidRPr="00FE2743" w:rsidRDefault="005268C8" w:rsidP="007756FB">
      <w:pPr>
        <w:pStyle w:val="ListParagraph"/>
        <w:ind w:left="0"/>
        <w:jc w:val="both"/>
        <w:rPr>
          <w:sz w:val="20"/>
          <w:szCs w:val="20"/>
        </w:rPr>
      </w:pPr>
    </w:p>
    <w:sectPr w:rsidR="005268C8" w:rsidRPr="00FE2743" w:rsidSect="00886A57">
      <w:headerReference w:type="even" r:id="rId9"/>
      <w:headerReference w:type="default" r:id="rId10"/>
      <w:footerReference w:type="even" r:id="rId11"/>
      <w:footerReference w:type="default" r:id="rId12"/>
      <w:headerReference w:type="first" r:id="rId13"/>
      <w:footerReference w:type="first" r:id="rId14"/>
      <w:pgSz w:w="11906" w:h="16838" w:code="9"/>
      <w:pgMar w:top="1276"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A0DC3" w14:textId="77777777" w:rsidR="000156C5" w:rsidRDefault="000156C5">
      <w:r>
        <w:separator/>
      </w:r>
    </w:p>
  </w:endnote>
  <w:endnote w:type="continuationSeparator" w:id="0">
    <w:p w14:paraId="7CC6D7B9" w14:textId="77777777" w:rsidR="000156C5" w:rsidRDefault="0001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ED7C" w14:textId="77777777" w:rsidR="00476AD2" w:rsidRDefault="00476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72761408"/>
  <w:p w14:paraId="4D926A14" w14:textId="21A9B512" w:rsidR="002B2C16" w:rsidRPr="00F56B17" w:rsidRDefault="002B2C16" w:rsidP="0021135F">
    <w:pPr>
      <w:pStyle w:val="naislab"/>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sz w:val="20"/>
        <w:szCs w:val="20"/>
      </w:rPr>
      <w:t>EM</w:t>
    </w:r>
    <w:r>
      <w:rPr>
        <w:noProof/>
        <w:sz w:val="20"/>
        <w:szCs w:val="20"/>
      </w:rPr>
      <w:t>Anot_</w:t>
    </w:r>
    <w:r w:rsidR="00476AD2">
      <w:rPr>
        <w:noProof/>
        <w:sz w:val="20"/>
        <w:szCs w:val="20"/>
      </w:rPr>
      <w:t>0</w:t>
    </w:r>
    <w:r w:rsidR="00197A8A">
      <w:rPr>
        <w:noProof/>
        <w:sz w:val="20"/>
        <w:szCs w:val="20"/>
      </w:rPr>
      <w:t>8</w:t>
    </w:r>
    <w:r>
      <w:rPr>
        <w:noProof/>
        <w:sz w:val="20"/>
        <w:szCs w:val="20"/>
      </w:rPr>
      <w:t>0</w:t>
    </w:r>
    <w:r w:rsidR="00476AD2">
      <w:rPr>
        <w:noProof/>
        <w:sz w:val="20"/>
        <w:szCs w:val="20"/>
      </w:rPr>
      <w:t>6</w:t>
    </w:r>
    <w:r>
      <w:rPr>
        <w:noProof/>
        <w:sz w:val="20"/>
        <w:szCs w:val="20"/>
      </w:rPr>
      <w:t>2021_</w:t>
    </w:r>
    <w:r w:rsidR="00523942">
      <w:rPr>
        <w:noProof/>
        <w:sz w:val="20"/>
        <w:szCs w:val="20"/>
      </w:rPr>
      <w:t xml:space="preserve">Grozījumi_ </w:t>
    </w:r>
    <w:r w:rsidR="00DD0FE9">
      <w:rPr>
        <w:noProof/>
        <w:sz w:val="20"/>
        <w:szCs w:val="20"/>
      </w:rPr>
      <w:t>MKN</w:t>
    </w:r>
    <w:r>
      <w:rPr>
        <w:noProof/>
        <w:sz w:val="20"/>
        <w:szCs w:val="20"/>
      </w:rPr>
      <w:t>_199.docx</w:t>
    </w:r>
    <w:r>
      <w:rPr>
        <w:sz w:val="20"/>
        <w:szCs w:val="20"/>
      </w:rPr>
      <w:fldChar w:fldCharType="end"/>
    </w:r>
    <w:r w:rsidRPr="00F56B17">
      <w:rPr>
        <w:sz w:val="20"/>
        <w:szCs w:val="20"/>
      </w:rPr>
      <w:t xml:space="preserve"> </w:t>
    </w:r>
  </w:p>
  <w:bookmarkEnd w:id="3"/>
  <w:p w14:paraId="04FC697F" w14:textId="77777777" w:rsidR="002B2C16" w:rsidRPr="0021135F" w:rsidRDefault="002B2C16" w:rsidP="0021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6F15" w14:textId="7D007092" w:rsidR="002B2C16" w:rsidRPr="00F56B17" w:rsidRDefault="002B2C16" w:rsidP="003D312A">
    <w:pPr>
      <w:pStyle w:val="naislab"/>
      <w:jc w:val="both"/>
      <w:rPr>
        <w:sz w:val="20"/>
        <w:szCs w:val="20"/>
      </w:rPr>
    </w:pPr>
    <w:r w:rsidRPr="00F73D7C">
      <w:rPr>
        <w:sz w:val="20"/>
        <w:szCs w:val="20"/>
      </w:rPr>
      <w:t>EMAnot_</w:t>
    </w:r>
    <w:r w:rsidR="00476AD2">
      <w:rPr>
        <w:sz w:val="20"/>
        <w:szCs w:val="20"/>
      </w:rPr>
      <w:t>08</w:t>
    </w:r>
    <w:r w:rsidRPr="00F73D7C">
      <w:rPr>
        <w:sz w:val="20"/>
        <w:szCs w:val="20"/>
      </w:rPr>
      <w:t>0</w:t>
    </w:r>
    <w:r w:rsidR="00476AD2">
      <w:rPr>
        <w:sz w:val="20"/>
        <w:szCs w:val="20"/>
      </w:rPr>
      <w:t>6</w:t>
    </w:r>
    <w:r w:rsidRPr="00F73D7C">
      <w:rPr>
        <w:sz w:val="20"/>
        <w:szCs w:val="20"/>
      </w:rPr>
      <w:t>2021_</w:t>
    </w:r>
    <w:r w:rsidR="00523942">
      <w:rPr>
        <w:sz w:val="20"/>
        <w:szCs w:val="20"/>
      </w:rPr>
      <w:t>Grozījumi_</w:t>
    </w:r>
    <w:r w:rsidR="00DD0FE9">
      <w:rPr>
        <w:sz w:val="20"/>
        <w:szCs w:val="20"/>
      </w:rPr>
      <w:t>MKN</w:t>
    </w:r>
    <w:r w:rsidRPr="00F73D7C">
      <w:rPr>
        <w:sz w:val="20"/>
        <w:szCs w:val="20"/>
      </w:rPr>
      <w:t>_199.docx</w:t>
    </w:r>
  </w:p>
  <w:p w14:paraId="6AC5420E" w14:textId="77777777" w:rsidR="002B2C16" w:rsidRPr="00F56B17" w:rsidRDefault="002B2C16" w:rsidP="00C92FA7">
    <w:pPr>
      <w:pStyle w:val="naislab"/>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AF0CF" w14:textId="77777777" w:rsidR="000156C5" w:rsidRDefault="000156C5">
      <w:r>
        <w:separator/>
      </w:r>
    </w:p>
  </w:footnote>
  <w:footnote w:type="continuationSeparator" w:id="0">
    <w:p w14:paraId="3E1DC74C" w14:textId="77777777" w:rsidR="000156C5" w:rsidRDefault="0001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BFA6" w14:textId="77777777" w:rsidR="002B2C16" w:rsidRDefault="002B2C16" w:rsidP="00F439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00E3B" w14:textId="77777777" w:rsidR="002B2C16" w:rsidRDefault="002B2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6FC2" w14:textId="40F5FCE6" w:rsidR="002B2C16" w:rsidRDefault="002B2C16" w:rsidP="00F439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2E23CD9" w14:textId="77777777" w:rsidR="002B2C16" w:rsidRDefault="002B2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3839" w14:textId="77777777" w:rsidR="00476AD2" w:rsidRDefault="0047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000E"/>
    <w:multiLevelType w:val="hybridMultilevel"/>
    <w:tmpl w:val="9558D132"/>
    <w:lvl w:ilvl="0" w:tplc="84FE7D98">
      <w:start w:val="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F6E2396"/>
    <w:multiLevelType w:val="hybridMultilevel"/>
    <w:tmpl w:val="9500AEC0"/>
    <w:lvl w:ilvl="0" w:tplc="3EA229C4">
      <w:start w:val="1"/>
      <w:numFmt w:val="decimal"/>
      <w:lvlText w:val="%1)"/>
      <w:lvlJc w:val="left"/>
      <w:pPr>
        <w:ind w:left="720" w:hanging="42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0F8A62D4"/>
    <w:multiLevelType w:val="hybridMultilevel"/>
    <w:tmpl w:val="BB9E54C8"/>
    <w:lvl w:ilvl="0" w:tplc="741A7526">
      <w:start w:val="5"/>
      <w:numFmt w:val="bullet"/>
      <w:lvlText w:val="-"/>
      <w:lvlJc w:val="left"/>
      <w:pPr>
        <w:ind w:left="756" w:hanging="360"/>
      </w:pPr>
      <w:rPr>
        <w:rFonts w:ascii="Times New Roman" w:eastAsia="Times New Roman" w:hAnsi="Times New Roman" w:cs="Times New Roman" w:hint="default"/>
      </w:rPr>
    </w:lvl>
    <w:lvl w:ilvl="1" w:tplc="04260003" w:tentative="1">
      <w:start w:val="1"/>
      <w:numFmt w:val="bullet"/>
      <w:lvlText w:val="o"/>
      <w:lvlJc w:val="left"/>
      <w:pPr>
        <w:ind w:left="1476" w:hanging="360"/>
      </w:pPr>
      <w:rPr>
        <w:rFonts w:ascii="Courier New" w:hAnsi="Courier New" w:cs="Courier New" w:hint="default"/>
      </w:rPr>
    </w:lvl>
    <w:lvl w:ilvl="2" w:tplc="04260005" w:tentative="1">
      <w:start w:val="1"/>
      <w:numFmt w:val="bullet"/>
      <w:lvlText w:val=""/>
      <w:lvlJc w:val="left"/>
      <w:pPr>
        <w:ind w:left="2196" w:hanging="360"/>
      </w:pPr>
      <w:rPr>
        <w:rFonts w:ascii="Wingdings" w:hAnsi="Wingdings" w:hint="default"/>
      </w:rPr>
    </w:lvl>
    <w:lvl w:ilvl="3" w:tplc="04260001" w:tentative="1">
      <w:start w:val="1"/>
      <w:numFmt w:val="bullet"/>
      <w:lvlText w:val=""/>
      <w:lvlJc w:val="left"/>
      <w:pPr>
        <w:ind w:left="2916" w:hanging="360"/>
      </w:pPr>
      <w:rPr>
        <w:rFonts w:ascii="Symbol" w:hAnsi="Symbol" w:hint="default"/>
      </w:rPr>
    </w:lvl>
    <w:lvl w:ilvl="4" w:tplc="04260003" w:tentative="1">
      <w:start w:val="1"/>
      <w:numFmt w:val="bullet"/>
      <w:lvlText w:val="o"/>
      <w:lvlJc w:val="left"/>
      <w:pPr>
        <w:ind w:left="3636" w:hanging="360"/>
      </w:pPr>
      <w:rPr>
        <w:rFonts w:ascii="Courier New" w:hAnsi="Courier New" w:cs="Courier New" w:hint="default"/>
      </w:rPr>
    </w:lvl>
    <w:lvl w:ilvl="5" w:tplc="04260005" w:tentative="1">
      <w:start w:val="1"/>
      <w:numFmt w:val="bullet"/>
      <w:lvlText w:val=""/>
      <w:lvlJc w:val="left"/>
      <w:pPr>
        <w:ind w:left="4356" w:hanging="360"/>
      </w:pPr>
      <w:rPr>
        <w:rFonts w:ascii="Wingdings" w:hAnsi="Wingdings" w:hint="default"/>
      </w:rPr>
    </w:lvl>
    <w:lvl w:ilvl="6" w:tplc="04260001" w:tentative="1">
      <w:start w:val="1"/>
      <w:numFmt w:val="bullet"/>
      <w:lvlText w:val=""/>
      <w:lvlJc w:val="left"/>
      <w:pPr>
        <w:ind w:left="5076" w:hanging="360"/>
      </w:pPr>
      <w:rPr>
        <w:rFonts w:ascii="Symbol" w:hAnsi="Symbol" w:hint="default"/>
      </w:rPr>
    </w:lvl>
    <w:lvl w:ilvl="7" w:tplc="04260003" w:tentative="1">
      <w:start w:val="1"/>
      <w:numFmt w:val="bullet"/>
      <w:lvlText w:val="o"/>
      <w:lvlJc w:val="left"/>
      <w:pPr>
        <w:ind w:left="5796" w:hanging="360"/>
      </w:pPr>
      <w:rPr>
        <w:rFonts w:ascii="Courier New" w:hAnsi="Courier New" w:cs="Courier New" w:hint="default"/>
      </w:rPr>
    </w:lvl>
    <w:lvl w:ilvl="8" w:tplc="04260005" w:tentative="1">
      <w:start w:val="1"/>
      <w:numFmt w:val="bullet"/>
      <w:lvlText w:val=""/>
      <w:lvlJc w:val="left"/>
      <w:pPr>
        <w:ind w:left="6516" w:hanging="360"/>
      </w:pPr>
      <w:rPr>
        <w:rFonts w:ascii="Wingdings" w:hAnsi="Wingdings" w:hint="default"/>
      </w:rPr>
    </w:lvl>
  </w:abstractNum>
  <w:abstractNum w:abstractNumId="3" w15:restartNumberingAfterBreak="0">
    <w:nsid w:val="18925D1D"/>
    <w:multiLevelType w:val="hybridMultilevel"/>
    <w:tmpl w:val="D9BC8E80"/>
    <w:lvl w:ilvl="0" w:tplc="04260001">
      <w:start w:val="1"/>
      <w:numFmt w:val="bullet"/>
      <w:lvlText w:val=""/>
      <w:lvlJc w:val="left"/>
      <w:pPr>
        <w:ind w:left="1179" w:hanging="360"/>
      </w:pPr>
      <w:rPr>
        <w:rFonts w:ascii="Symbol" w:hAnsi="Symbol"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4" w15:restartNumberingAfterBreak="0">
    <w:nsid w:val="22653D4D"/>
    <w:multiLevelType w:val="hybridMultilevel"/>
    <w:tmpl w:val="46BE40CC"/>
    <w:lvl w:ilvl="0" w:tplc="8AE01DD8">
      <w:numFmt w:val="bullet"/>
      <w:lvlText w:val="-"/>
      <w:lvlJc w:val="left"/>
      <w:pPr>
        <w:ind w:left="720" w:hanging="360"/>
      </w:pPr>
      <w:rPr>
        <w:rFonts w:ascii="Times New Roman" w:eastAsiaTheme="minorHAnsi" w:hAnsi="Times New Roman" w:cs="Times New Roman" w:hint="default"/>
        <w:color w:val="000000" w:themeColor="text1"/>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DC79B1"/>
    <w:multiLevelType w:val="hybridMultilevel"/>
    <w:tmpl w:val="B3D6C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1B46AC"/>
    <w:multiLevelType w:val="hybridMultilevel"/>
    <w:tmpl w:val="43EE90FC"/>
    <w:lvl w:ilvl="0" w:tplc="6B563C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D652F19"/>
    <w:multiLevelType w:val="hybridMultilevel"/>
    <w:tmpl w:val="F98065F0"/>
    <w:lvl w:ilvl="0" w:tplc="0426000F">
      <w:start w:val="1"/>
      <w:numFmt w:val="decimal"/>
      <w:lvlText w:val="%1."/>
      <w:lvlJc w:val="left"/>
      <w:pPr>
        <w:ind w:left="1300" w:hanging="360"/>
      </w:pPr>
    </w:lvl>
    <w:lvl w:ilvl="1" w:tplc="04260019" w:tentative="1">
      <w:start w:val="1"/>
      <w:numFmt w:val="lowerLetter"/>
      <w:lvlText w:val="%2."/>
      <w:lvlJc w:val="left"/>
      <w:pPr>
        <w:ind w:left="2020" w:hanging="360"/>
      </w:pPr>
    </w:lvl>
    <w:lvl w:ilvl="2" w:tplc="0426001B" w:tentative="1">
      <w:start w:val="1"/>
      <w:numFmt w:val="lowerRoman"/>
      <w:lvlText w:val="%3."/>
      <w:lvlJc w:val="right"/>
      <w:pPr>
        <w:ind w:left="2740" w:hanging="180"/>
      </w:pPr>
    </w:lvl>
    <w:lvl w:ilvl="3" w:tplc="0426000F" w:tentative="1">
      <w:start w:val="1"/>
      <w:numFmt w:val="decimal"/>
      <w:lvlText w:val="%4."/>
      <w:lvlJc w:val="left"/>
      <w:pPr>
        <w:ind w:left="3460" w:hanging="360"/>
      </w:pPr>
    </w:lvl>
    <w:lvl w:ilvl="4" w:tplc="04260019" w:tentative="1">
      <w:start w:val="1"/>
      <w:numFmt w:val="lowerLetter"/>
      <w:lvlText w:val="%5."/>
      <w:lvlJc w:val="left"/>
      <w:pPr>
        <w:ind w:left="4180" w:hanging="360"/>
      </w:pPr>
    </w:lvl>
    <w:lvl w:ilvl="5" w:tplc="0426001B" w:tentative="1">
      <w:start w:val="1"/>
      <w:numFmt w:val="lowerRoman"/>
      <w:lvlText w:val="%6."/>
      <w:lvlJc w:val="right"/>
      <w:pPr>
        <w:ind w:left="4900" w:hanging="180"/>
      </w:pPr>
    </w:lvl>
    <w:lvl w:ilvl="6" w:tplc="0426000F" w:tentative="1">
      <w:start w:val="1"/>
      <w:numFmt w:val="decimal"/>
      <w:lvlText w:val="%7."/>
      <w:lvlJc w:val="left"/>
      <w:pPr>
        <w:ind w:left="5620" w:hanging="360"/>
      </w:pPr>
    </w:lvl>
    <w:lvl w:ilvl="7" w:tplc="04260019" w:tentative="1">
      <w:start w:val="1"/>
      <w:numFmt w:val="lowerLetter"/>
      <w:lvlText w:val="%8."/>
      <w:lvlJc w:val="left"/>
      <w:pPr>
        <w:ind w:left="6340" w:hanging="360"/>
      </w:pPr>
    </w:lvl>
    <w:lvl w:ilvl="8" w:tplc="0426001B" w:tentative="1">
      <w:start w:val="1"/>
      <w:numFmt w:val="lowerRoman"/>
      <w:lvlText w:val="%9."/>
      <w:lvlJc w:val="right"/>
      <w:pPr>
        <w:ind w:left="7060" w:hanging="180"/>
      </w:pPr>
    </w:lvl>
  </w:abstractNum>
  <w:abstractNum w:abstractNumId="8" w15:restartNumberingAfterBreak="0">
    <w:nsid w:val="323E2313"/>
    <w:multiLevelType w:val="hybridMultilevel"/>
    <w:tmpl w:val="CC42B868"/>
    <w:lvl w:ilvl="0" w:tplc="485EC5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AD5C1C"/>
    <w:multiLevelType w:val="hybridMultilevel"/>
    <w:tmpl w:val="D3BED12E"/>
    <w:lvl w:ilvl="0" w:tplc="57A4807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D55466"/>
    <w:multiLevelType w:val="hybridMultilevel"/>
    <w:tmpl w:val="874E5F7A"/>
    <w:lvl w:ilvl="0" w:tplc="9760C1DC">
      <w:start w:val="1"/>
      <w:numFmt w:val="decimal"/>
      <w:lvlText w:val="%1)"/>
      <w:lvlJc w:val="left"/>
      <w:pPr>
        <w:ind w:left="470" w:hanging="360"/>
      </w:pPr>
      <w:rPr>
        <w:rFonts w:hint="default"/>
        <w:color w:val="auto"/>
      </w:rPr>
    </w:lvl>
    <w:lvl w:ilvl="1" w:tplc="04260019" w:tentative="1">
      <w:start w:val="1"/>
      <w:numFmt w:val="lowerLetter"/>
      <w:lvlText w:val="%2."/>
      <w:lvlJc w:val="left"/>
      <w:pPr>
        <w:ind w:left="1190" w:hanging="360"/>
      </w:pPr>
    </w:lvl>
    <w:lvl w:ilvl="2" w:tplc="0426001B" w:tentative="1">
      <w:start w:val="1"/>
      <w:numFmt w:val="lowerRoman"/>
      <w:lvlText w:val="%3."/>
      <w:lvlJc w:val="right"/>
      <w:pPr>
        <w:ind w:left="1910" w:hanging="180"/>
      </w:pPr>
    </w:lvl>
    <w:lvl w:ilvl="3" w:tplc="0426000F" w:tentative="1">
      <w:start w:val="1"/>
      <w:numFmt w:val="decimal"/>
      <w:lvlText w:val="%4."/>
      <w:lvlJc w:val="left"/>
      <w:pPr>
        <w:ind w:left="2630" w:hanging="360"/>
      </w:pPr>
    </w:lvl>
    <w:lvl w:ilvl="4" w:tplc="04260019" w:tentative="1">
      <w:start w:val="1"/>
      <w:numFmt w:val="lowerLetter"/>
      <w:lvlText w:val="%5."/>
      <w:lvlJc w:val="left"/>
      <w:pPr>
        <w:ind w:left="3350" w:hanging="360"/>
      </w:pPr>
    </w:lvl>
    <w:lvl w:ilvl="5" w:tplc="0426001B" w:tentative="1">
      <w:start w:val="1"/>
      <w:numFmt w:val="lowerRoman"/>
      <w:lvlText w:val="%6."/>
      <w:lvlJc w:val="right"/>
      <w:pPr>
        <w:ind w:left="4070" w:hanging="180"/>
      </w:pPr>
    </w:lvl>
    <w:lvl w:ilvl="6" w:tplc="0426000F" w:tentative="1">
      <w:start w:val="1"/>
      <w:numFmt w:val="decimal"/>
      <w:lvlText w:val="%7."/>
      <w:lvlJc w:val="left"/>
      <w:pPr>
        <w:ind w:left="4790" w:hanging="360"/>
      </w:pPr>
    </w:lvl>
    <w:lvl w:ilvl="7" w:tplc="04260019" w:tentative="1">
      <w:start w:val="1"/>
      <w:numFmt w:val="lowerLetter"/>
      <w:lvlText w:val="%8."/>
      <w:lvlJc w:val="left"/>
      <w:pPr>
        <w:ind w:left="5510" w:hanging="360"/>
      </w:pPr>
    </w:lvl>
    <w:lvl w:ilvl="8" w:tplc="0426001B" w:tentative="1">
      <w:start w:val="1"/>
      <w:numFmt w:val="lowerRoman"/>
      <w:lvlText w:val="%9."/>
      <w:lvlJc w:val="right"/>
      <w:pPr>
        <w:ind w:left="6230" w:hanging="180"/>
      </w:pPr>
    </w:lvl>
  </w:abstractNum>
  <w:abstractNum w:abstractNumId="11" w15:restartNumberingAfterBreak="0">
    <w:nsid w:val="37113DA6"/>
    <w:multiLevelType w:val="hybridMultilevel"/>
    <w:tmpl w:val="4470F150"/>
    <w:lvl w:ilvl="0" w:tplc="AF68B28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B2C3A4B"/>
    <w:multiLevelType w:val="hybridMultilevel"/>
    <w:tmpl w:val="D8C21B5A"/>
    <w:lvl w:ilvl="0" w:tplc="E8DCFC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0722D9"/>
    <w:multiLevelType w:val="hybridMultilevel"/>
    <w:tmpl w:val="0F3CC864"/>
    <w:lvl w:ilvl="0" w:tplc="56FEE7B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F832AE0"/>
    <w:multiLevelType w:val="hybridMultilevel"/>
    <w:tmpl w:val="45FA10E6"/>
    <w:lvl w:ilvl="0" w:tplc="FD1487DA">
      <w:start w:val="1"/>
      <w:numFmt w:val="decimal"/>
      <w:lvlText w:val="%1."/>
      <w:lvlJc w:val="left"/>
      <w:pPr>
        <w:ind w:left="720" w:hanging="360"/>
      </w:pPr>
      <w:rPr>
        <w:rFonts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DC3EC3"/>
    <w:multiLevelType w:val="hybridMultilevel"/>
    <w:tmpl w:val="C4B00F14"/>
    <w:lvl w:ilvl="0" w:tplc="952085D6">
      <w:start w:val="1"/>
      <w:numFmt w:val="decimal"/>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16" w15:restartNumberingAfterBreak="0">
    <w:nsid w:val="596374EC"/>
    <w:multiLevelType w:val="hybridMultilevel"/>
    <w:tmpl w:val="B0707036"/>
    <w:lvl w:ilvl="0" w:tplc="04260001">
      <w:start w:val="1"/>
      <w:numFmt w:val="bullet"/>
      <w:lvlText w:val=""/>
      <w:lvlJc w:val="left"/>
      <w:pPr>
        <w:ind w:left="1179" w:hanging="360"/>
      </w:pPr>
      <w:rPr>
        <w:rFonts w:ascii="Symbol" w:hAnsi="Symbol"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17" w15:restartNumberingAfterBreak="0">
    <w:nsid w:val="66632543"/>
    <w:multiLevelType w:val="hybridMultilevel"/>
    <w:tmpl w:val="B3287E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48421A"/>
    <w:multiLevelType w:val="hybridMultilevel"/>
    <w:tmpl w:val="987444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0DA36F4"/>
    <w:multiLevelType w:val="hybridMultilevel"/>
    <w:tmpl w:val="0F3CC864"/>
    <w:lvl w:ilvl="0" w:tplc="56FEE7B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795E656A"/>
    <w:multiLevelType w:val="hybridMultilevel"/>
    <w:tmpl w:val="641AAAF4"/>
    <w:lvl w:ilvl="0" w:tplc="51F6A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2"/>
  </w:num>
  <w:num w:numId="2">
    <w:abstractNumId w:val="9"/>
  </w:num>
  <w:num w:numId="3">
    <w:abstractNumId w:val="14"/>
  </w:num>
  <w:num w:numId="4">
    <w:abstractNumId w:val="19"/>
  </w:num>
  <w:num w:numId="5">
    <w:abstractNumId w:val="13"/>
  </w:num>
  <w:num w:numId="6">
    <w:abstractNumId w:val="20"/>
  </w:num>
  <w:num w:numId="7">
    <w:abstractNumId w:val="6"/>
  </w:num>
  <w:num w:numId="8">
    <w:abstractNumId w:val="0"/>
  </w:num>
  <w:num w:numId="9">
    <w:abstractNumId w:val="18"/>
  </w:num>
  <w:num w:numId="10">
    <w:abstractNumId w:val="8"/>
  </w:num>
  <w:num w:numId="11">
    <w:abstractNumId w:val="11"/>
  </w:num>
  <w:num w:numId="12">
    <w:abstractNumId w:val="10"/>
  </w:num>
  <w:num w:numId="13">
    <w:abstractNumId w:val="15"/>
  </w:num>
  <w:num w:numId="14">
    <w:abstractNumId w:val="17"/>
  </w:num>
  <w:num w:numId="15">
    <w:abstractNumId w:val="1"/>
  </w:num>
  <w:num w:numId="16">
    <w:abstractNumId w:val="5"/>
  </w:num>
  <w:num w:numId="17">
    <w:abstractNumId w:val="2"/>
  </w:num>
  <w:num w:numId="18">
    <w:abstractNumId w:val="4"/>
  </w:num>
  <w:num w:numId="19">
    <w:abstractNumId w:val="7"/>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4F"/>
    <w:rsid w:val="00002215"/>
    <w:rsid w:val="0000274A"/>
    <w:rsid w:val="000073E1"/>
    <w:rsid w:val="000112BE"/>
    <w:rsid w:val="0001200D"/>
    <w:rsid w:val="000126A8"/>
    <w:rsid w:val="00013FC3"/>
    <w:rsid w:val="000156C5"/>
    <w:rsid w:val="000165BC"/>
    <w:rsid w:val="000215DD"/>
    <w:rsid w:val="0002259A"/>
    <w:rsid w:val="00022F36"/>
    <w:rsid w:val="00024D4A"/>
    <w:rsid w:val="00026851"/>
    <w:rsid w:val="00031CE5"/>
    <w:rsid w:val="00032C63"/>
    <w:rsid w:val="00035A8E"/>
    <w:rsid w:val="00037560"/>
    <w:rsid w:val="000418A9"/>
    <w:rsid w:val="000426A5"/>
    <w:rsid w:val="00044C08"/>
    <w:rsid w:val="00045E7D"/>
    <w:rsid w:val="00046550"/>
    <w:rsid w:val="0004797F"/>
    <w:rsid w:val="00047D03"/>
    <w:rsid w:val="00060552"/>
    <w:rsid w:val="000623B5"/>
    <w:rsid w:val="00063D36"/>
    <w:rsid w:val="00066329"/>
    <w:rsid w:val="00070294"/>
    <w:rsid w:val="00071E5F"/>
    <w:rsid w:val="00072B05"/>
    <w:rsid w:val="00075879"/>
    <w:rsid w:val="000804CB"/>
    <w:rsid w:val="00081DAB"/>
    <w:rsid w:val="00082620"/>
    <w:rsid w:val="0008296A"/>
    <w:rsid w:val="00082C5B"/>
    <w:rsid w:val="00083F2A"/>
    <w:rsid w:val="00084990"/>
    <w:rsid w:val="00086667"/>
    <w:rsid w:val="0009087B"/>
    <w:rsid w:val="00093490"/>
    <w:rsid w:val="00096B37"/>
    <w:rsid w:val="00097625"/>
    <w:rsid w:val="00097AD2"/>
    <w:rsid w:val="000A2622"/>
    <w:rsid w:val="000A3646"/>
    <w:rsid w:val="000A3870"/>
    <w:rsid w:val="000A3930"/>
    <w:rsid w:val="000A5B5A"/>
    <w:rsid w:val="000B0183"/>
    <w:rsid w:val="000B3304"/>
    <w:rsid w:val="000B54C5"/>
    <w:rsid w:val="000B576F"/>
    <w:rsid w:val="000B6BEE"/>
    <w:rsid w:val="000C2AFE"/>
    <w:rsid w:val="000C3320"/>
    <w:rsid w:val="000C3950"/>
    <w:rsid w:val="000C52A7"/>
    <w:rsid w:val="000C7337"/>
    <w:rsid w:val="000C7CF1"/>
    <w:rsid w:val="000D39EB"/>
    <w:rsid w:val="000D3B96"/>
    <w:rsid w:val="000D4077"/>
    <w:rsid w:val="000D4E09"/>
    <w:rsid w:val="000D5468"/>
    <w:rsid w:val="000E06A4"/>
    <w:rsid w:val="000E0F2D"/>
    <w:rsid w:val="000E1EDB"/>
    <w:rsid w:val="000E2EDA"/>
    <w:rsid w:val="000E2FBE"/>
    <w:rsid w:val="000E3625"/>
    <w:rsid w:val="000E3B72"/>
    <w:rsid w:val="000F0B5C"/>
    <w:rsid w:val="000F148C"/>
    <w:rsid w:val="000F66D3"/>
    <w:rsid w:val="000F7CD5"/>
    <w:rsid w:val="001010AB"/>
    <w:rsid w:val="001012AA"/>
    <w:rsid w:val="00101E12"/>
    <w:rsid w:val="001030F2"/>
    <w:rsid w:val="00104B33"/>
    <w:rsid w:val="00104F4C"/>
    <w:rsid w:val="001054AA"/>
    <w:rsid w:val="00107126"/>
    <w:rsid w:val="00107B50"/>
    <w:rsid w:val="0011196B"/>
    <w:rsid w:val="001126DB"/>
    <w:rsid w:val="0011613C"/>
    <w:rsid w:val="001166D1"/>
    <w:rsid w:val="00116AA2"/>
    <w:rsid w:val="00116D0F"/>
    <w:rsid w:val="00120B9B"/>
    <w:rsid w:val="00121706"/>
    <w:rsid w:val="00122AB3"/>
    <w:rsid w:val="00122D82"/>
    <w:rsid w:val="00126C84"/>
    <w:rsid w:val="00126CB6"/>
    <w:rsid w:val="001275D5"/>
    <w:rsid w:val="0013216F"/>
    <w:rsid w:val="001321E4"/>
    <w:rsid w:val="001331D4"/>
    <w:rsid w:val="00134C95"/>
    <w:rsid w:val="00142285"/>
    <w:rsid w:val="00142794"/>
    <w:rsid w:val="00142AB7"/>
    <w:rsid w:val="001433EC"/>
    <w:rsid w:val="00145B6F"/>
    <w:rsid w:val="001478FB"/>
    <w:rsid w:val="001524FA"/>
    <w:rsid w:val="00153F36"/>
    <w:rsid w:val="00154F91"/>
    <w:rsid w:val="001568DB"/>
    <w:rsid w:val="001602DE"/>
    <w:rsid w:val="001623C7"/>
    <w:rsid w:val="00164AB4"/>
    <w:rsid w:val="001653BC"/>
    <w:rsid w:val="00170AC9"/>
    <w:rsid w:val="00170E3F"/>
    <w:rsid w:val="00173D2A"/>
    <w:rsid w:val="001745CE"/>
    <w:rsid w:val="00174B92"/>
    <w:rsid w:val="00176B8A"/>
    <w:rsid w:val="00180237"/>
    <w:rsid w:val="00180C78"/>
    <w:rsid w:val="00180D6E"/>
    <w:rsid w:val="0018771A"/>
    <w:rsid w:val="00191BAD"/>
    <w:rsid w:val="00196892"/>
    <w:rsid w:val="00197A8A"/>
    <w:rsid w:val="001A0D5C"/>
    <w:rsid w:val="001A4001"/>
    <w:rsid w:val="001A5F1A"/>
    <w:rsid w:val="001A749B"/>
    <w:rsid w:val="001B1F9A"/>
    <w:rsid w:val="001B4146"/>
    <w:rsid w:val="001B54D2"/>
    <w:rsid w:val="001B6E27"/>
    <w:rsid w:val="001B7188"/>
    <w:rsid w:val="001C4ABF"/>
    <w:rsid w:val="001C6B25"/>
    <w:rsid w:val="001C6DAE"/>
    <w:rsid w:val="001C7060"/>
    <w:rsid w:val="001C787A"/>
    <w:rsid w:val="001D1059"/>
    <w:rsid w:val="001D370C"/>
    <w:rsid w:val="001D5088"/>
    <w:rsid w:val="001D637E"/>
    <w:rsid w:val="001D73D4"/>
    <w:rsid w:val="001E2991"/>
    <w:rsid w:val="001E5242"/>
    <w:rsid w:val="001E6F3B"/>
    <w:rsid w:val="001E7B85"/>
    <w:rsid w:val="001F040F"/>
    <w:rsid w:val="001F14D8"/>
    <w:rsid w:val="001F23CC"/>
    <w:rsid w:val="001F414D"/>
    <w:rsid w:val="001F65BB"/>
    <w:rsid w:val="001F74F1"/>
    <w:rsid w:val="00200F64"/>
    <w:rsid w:val="0020109C"/>
    <w:rsid w:val="00202C2F"/>
    <w:rsid w:val="00207EC0"/>
    <w:rsid w:val="0021058A"/>
    <w:rsid w:val="0021135F"/>
    <w:rsid w:val="00217AAD"/>
    <w:rsid w:val="00224AEE"/>
    <w:rsid w:val="002251DB"/>
    <w:rsid w:val="002268EF"/>
    <w:rsid w:val="002278F3"/>
    <w:rsid w:val="00231E45"/>
    <w:rsid w:val="0023256A"/>
    <w:rsid w:val="00232C65"/>
    <w:rsid w:val="00233493"/>
    <w:rsid w:val="00244450"/>
    <w:rsid w:val="0024448B"/>
    <w:rsid w:val="002469CD"/>
    <w:rsid w:val="00246D9C"/>
    <w:rsid w:val="00253E23"/>
    <w:rsid w:val="00254730"/>
    <w:rsid w:val="00254C34"/>
    <w:rsid w:val="00256793"/>
    <w:rsid w:val="00262A3F"/>
    <w:rsid w:val="002645F5"/>
    <w:rsid w:val="00264C8E"/>
    <w:rsid w:val="00267711"/>
    <w:rsid w:val="00270359"/>
    <w:rsid w:val="002716A4"/>
    <w:rsid w:val="00271A80"/>
    <w:rsid w:val="0027384B"/>
    <w:rsid w:val="002766FA"/>
    <w:rsid w:val="0028039B"/>
    <w:rsid w:val="00280C85"/>
    <w:rsid w:val="00281782"/>
    <w:rsid w:val="002829BB"/>
    <w:rsid w:val="0028604F"/>
    <w:rsid w:val="002911BC"/>
    <w:rsid w:val="002913D0"/>
    <w:rsid w:val="002937A4"/>
    <w:rsid w:val="00294287"/>
    <w:rsid w:val="00294A3C"/>
    <w:rsid w:val="00296449"/>
    <w:rsid w:val="00296B46"/>
    <w:rsid w:val="002A22CE"/>
    <w:rsid w:val="002A58D6"/>
    <w:rsid w:val="002A5DEF"/>
    <w:rsid w:val="002B01EB"/>
    <w:rsid w:val="002B14BA"/>
    <w:rsid w:val="002B2C16"/>
    <w:rsid w:val="002B2CDC"/>
    <w:rsid w:val="002B3DC1"/>
    <w:rsid w:val="002B458F"/>
    <w:rsid w:val="002B55AD"/>
    <w:rsid w:val="002B7CC7"/>
    <w:rsid w:val="002C2088"/>
    <w:rsid w:val="002C2FE3"/>
    <w:rsid w:val="002C4629"/>
    <w:rsid w:val="002C4749"/>
    <w:rsid w:val="002C4D8E"/>
    <w:rsid w:val="002C6218"/>
    <w:rsid w:val="002D45C0"/>
    <w:rsid w:val="002D5260"/>
    <w:rsid w:val="002D5DC7"/>
    <w:rsid w:val="002D7D23"/>
    <w:rsid w:val="002E008D"/>
    <w:rsid w:val="002E1C54"/>
    <w:rsid w:val="002E32B4"/>
    <w:rsid w:val="002E77D4"/>
    <w:rsid w:val="002E7FE8"/>
    <w:rsid w:val="002F033B"/>
    <w:rsid w:val="002F16D8"/>
    <w:rsid w:val="002F2545"/>
    <w:rsid w:val="002F4C6B"/>
    <w:rsid w:val="00300095"/>
    <w:rsid w:val="00300176"/>
    <w:rsid w:val="00302DBA"/>
    <w:rsid w:val="00302DF7"/>
    <w:rsid w:val="00303697"/>
    <w:rsid w:val="00305133"/>
    <w:rsid w:val="00310B26"/>
    <w:rsid w:val="00311E75"/>
    <w:rsid w:val="0031278B"/>
    <w:rsid w:val="00313B2A"/>
    <w:rsid w:val="00314C2B"/>
    <w:rsid w:val="00315E5C"/>
    <w:rsid w:val="00316186"/>
    <w:rsid w:val="003169F1"/>
    <w:rsid w:val="00317E69"/>
    <w:rsid w:val="003233AA"/>
    <w:rsid w:val="00324A5D"/>
    <w:rsid w:val="003307A9"/>
    <w:rsid w:val="0033273F"/>
    <w:rsid w:val="00341D41"/>
    <w:rsid w:val="0034223F"/>
    <w:rsid w:val="00343F57"/>
    <w:rsid w:val="00344A45"/>
    <w:rsid w:val="0034521A"/>
    <w:rsid w:val="0034587F"/>
    <w:rsid w:val="00350F82"/>
    <w:rsid w:val="00352217"/>
    <w:rsid w:val="003522A4"/>
    <w:rsid w:val="003522C3"/>
    <w:rsid w:val="0035359B"/>
    <w:rsid w:val="003537C1"/>
    <w:rsid w:val="00353D75"/>
    <w:rsid w:val="00354DB1"/>
    <w:rsid w:val="003551E6"/>
    <w:rsid w:val="00356FAB"/>
    <w:rsid w:val="00357B1C"/>
    <w:rsid w:val="00362A1B"/>
    <w:rsid w:val="003644CA"/>
    <w:rsid w:val="00364A42"/>
    <w:rsid w:val="00365AF2"/>
    <w:rsid w:val="00370F7F"/>
    <w:rsid w:val="0037109E"/>
    <w:rsid w:val="00372B4E"/>
    <w:rsid w:val="00377E32"/>
    <w:rsid w:val="003804CD"/>
    <w:rsid w:val="00381A3F"/>
    <w:rsid w:val="00385421"/>
    <w:rsid w:val="003865B1"/>
    <w:rsid w:val="00387B30"/>
    <w:rsid w:val="00395A8D"/>
    <w:rsid w:val="003A13FC"/>
    <w:rsid w:val="003A4FA2"/>
    <w:rsid w:val="003A6756"/>
    <w:rsid w:val="003B0C03"/>
    <w:rsid w:val="003B18D7"/>
    <w:rsid w:val="003B1F9B"/>
    <w:rsid w:val="003B520E"/>
    <w:rsid w:val="003C23FA"/>
    <w:rsid w:val="003C2949"/>
    <w:rsid w:val="003C29DD"/>
    <w:rsid w:val="003C370C"/>
    <w:rsid w:val="003C5248"/>
    <w:rsid w:val="003C642A"/>
    <w:rsid w:val="003D0F05"/>
    <w:rsid w:val="003D135B"/>
    <w:rsid w:val="003D3027"/>
    <w:rsid w:val="003D312A"/>
    <w:rsid w:val="003D35D3"/>
    <w:rsid w:val="003D59A1"/>
    <w:rsid w:val="003D5FD1"/>
    <w:rsid w:val="003D6415"/>
    <w:rsid w:val="003D6F11"/>
    <w:rsid w:val="003D7939"/>
    <w:rsid w:val="003E20DD"/>
    <w:rsid w:val="003E4C04"/>
    <w:rsid w:val="003E51BF"/>
    <w:rsid w:val="003E5803"/>
    <w:rsid w:val="003E5902"/>
    <w:rsid w:val="003F352F"/>
    <w:rsid w:val="003F3578"/>
    <w:rsid w:val="003F4165"/>
    <w:rsid w:val="003F4513"/>
    <w:rsid w:val="003F689B"/>
    <w:rsid w:val="003F6A7A"/>
    <w:rsid w:val="004005ED"/>
    <w:rsid w:val="00402F38"/>
    <w:rsid w:val="004032BD"/>
    <w:rsid w:val="004039BE"/>
    <w:rsid w:val="0040534A"/>
    <w:rsid w:val="00415141"/>
    <w:rsid w:val="004176A4"/>
    <w:rsid w:val="004204BE"/>
    <w:rsid w:val="0042422B"/>
    <w:rsid w:val="004315A2"/>
    <w:rsid w:val="00431878"/>
    <w:rsid w:val="00431C1A"/>
    <w:rsid w:val="004324F7"/>
    <w:rsid w:val="00434021"/>
    <w:rsid w:val="0043493E"/>
    <w:rsid w:val="00436FB2"/>
    <w:rsid w:val="004402AD"/>
    <w:rsid w:val="00441730"/>
    <w:rsid w:val="0044261A"/>
    <w:rsid w:val="004439DE"/>
    <w:rsid w:val="00444671"/>
    <w:rsid w:val="00444E42"/>
    <w:rsid w:val="00445C00"/>
    <w:rsid w:val="004513BB"/>
    <w:rsid w:val="004516F7"/>
    <w:rsid w:val="004529D6"/>
    <w:rsid w:val="00460717"/>
    <w:rsid w:val="00461717"/>
    <w:rsid w:val="00463BB0"/>
    <w:rsid w:val="004675D9"/>
    <w:rsid w:val="004731BD"/>
    <w:rsid w:val="00473899"/>
    <w:rsid w:val="00474F48"/>
    <w:rsid w:val="004768D8"/>
    <w:rsid w:val="00476AD2"/>
    <w:rsid w:val="004800A1"/>
    <w:rsid w:val="00480D75"/>
    <w:rsid w:val="004832FF"/>
    <w:rsid w:val="00483499"/>
    <w:rsid w:val="0048441E"/>
    <w:rsid w:val="00485FA2"/>
    <w:rsid w:val="004862E9"/>
    <w:rsid w:val="00490DB0"/>
    <w:rsid w:val="004933D4"/>
    <w:rsid w:val="00493932"/>
    <w:rsid w:val="00493B21"/>
    <w:rsid w:val="00495216"/>
    <w:rsid w:val="00496917"/>
    <w:rsid w:val="004969A9"/>
    <w:rsid w:val="004A4673"/>
    <w:rsid w:val="004B1783"/>
    <w:rsid w:val="004B1C65"/>
    <w:rsid w:val="004B365D"/>
    <w:rsid w:val="004B4386"/>
    <w:rsid w:val="004B6731"/>
    <w:rsid w:val="004C7E64"/>
    <w:rsid w:val="004D0F9A"/>
    <w:rsid w:val="004D2A03"/>
    <w:rsid w:val="004D3E54"/>
    <w:rsid w:val="004D42EC"/>
    <w:rsid w:val="004D47A4"/>
    <w:rsid w:val="004D4D67"/>
    <w:rsid w:val="004D64AE"/>
    <w:rsid w:val="004D6833"/>
    <w:rsid w:val="004E00F8"/>
    <w:rsid w:val="004E4573"/>
    <w:rsid w:val="004E4E8D"/>
    <w:rsid w:val="004E5930"/>
    <w:rsid w:val="004E683A"/>
    <w:rsid w:val="004E72CB"/>
    <w:rsid w:val="004E7F57"/>
    <w:rsid w:val="004F0539"/>
    <w:rsid w:val="004F0874"/>
    <w:rsid w:val="004F1B4F"/>
    <w:rsid w:val="004F1F73"/>
    <w:rsid w:val="004F38AA"/>
    <w:rsid w:val="004F56AF"/>
    <w:rsid w:val="004F5A89"/>
    <w:rsid w:val="004F72D0"/>
    <w:rsid w:val="004F7B81"/>
    <w:rsid w:val="0050448A"/>
    <w:rsid w:val="00505044"/>
    <w:rsid w:val="0050593E"/>
    <w:rsid w:val="005076C8"/>
    <w:rsid w:val="005103BA"/>
    <w:rsid w:val="00510E4C"/>
    <w:rsid w:val="005211BF"/>
    <w:rsid w:val="005212CF"/>
    <w:rsid w:val="00521B58"/>
    <w:rsid w:val="00523942"/>
    <w:rsid w:val="00524FEE"/>
    <w:rsid w:val="005268C8"/>
    <w:rsid w:val="00532675"/>
    <w:rsid w:val="00535025"/>
    <w:rsid w:val="00537033"/>
    <w:rsid w:val="0053749E"/>
    <w:rsid w:val="00540CB2"/>
    <w:rsid w:val="005425C7"/>
    <w:rsid w:val="0054309A"/>
    <w:rsid w:val="00543451"/>
    <w:rsid w:val="005467B4"/>
    <w:rsid w:val="00546D21"/>
    <w:rsid w:val="00547F02"/>
    <w:rsid w:val="005505DC"/>
    <w:rsid w:val="00550CA5"/>
    <w:rsid w:val="00551342"/>
    <w:rsid w:val="00551F52"/>
    <w:rsid w:val="005524C9"/>
    <w:rsid w:val="005563DA"/>
    <w:rsid w:val="005612F6"/>
    <w:rsid w:val="00561333"/>
    <w:rsid w:val="00562169"/>
    <w:rsid w:val="0056508B"/>
    <w:rsid w:val="005661DC"/>
    <w:rsid w:val="00572925"/>
    <w:rsid w:val="00574DC8"/>
    <w:rsid w:val="00582A5C"/>
    <w:rsid w:val="00583D70"/>
    <w:rsid w:val="00586838"/>
    <w:rsid w:val="00591160"/>
    <w:rsid w:val="00592CAE"/>
    <w:rsid w:val="00593CE9"/>
    <w:rsid w:val="00593DD2"/>
    <w:rsid w:val="005973FC"/>
    <w:rsid w:val="005A020D"/>
    <w:rsid w:val="005A4596"/>
    <w:rsid w:val="005A6AA4"/>
    <w:rsid w:val="005A7972"/>
    <w:rsid w:val="005A7A3D"/>
    <w:rsid w:val="005B0766"/>
    <w:rsid w:val="005B0B7E"/>
    <w:rsid w:val="005B3362"/>
    <w:rsid w:val="005B456C"/>
    <w:rsid w:val="005B5C9B"/>
    <w:rsid w:val="005B6855"/>
    <w:rsid w:val="005C1766"/>
    <w:rsid w:val="005C4223"/>
    <w:rsid w:val="005C7897"/>
    <w:rsid w:val="005D0D04"/>
    <w:rsid w:val="005D68E2"/>
    <w:rsid w:val="005D6DEB"/>
    <w:rsid w:val="005D7601"/>
    <w:rsid w:val="005E1FC2"/>
    <w:rsid w:val="005E4124"/>
    <w:rsid w:val="005E4B46"/>
    <w:rsid w:val="005E7979"/>
    <w:rsid w:val="005F1FAF"/>
    <w:rsid w:val="005F449F"/>
    <w:rsid w:val="005F54C7"/>
    <w:rsid w:val="005F6915"/>
    <w:rsid w:val="005F734D"/>
    <w:rsid w:val="0060078A"/>
    <w:rsid w:val="00604115"/>
    <w:rsid w:val="00605094"/>
    <w:rsid w:val="00605425"/>
    <w:rsid w:val="0060542C"/>
    <w:rsid w:val="006135A8"/>
    <w:rsid w:val="00614D4C"/>
    <w:rsid w:val="00616D47"/>
    <w:rsid w:val="00621AD7"/>
    <w:rsid w:val="00621E39"/>
    <w:rsid w:val="00621E8B"/>
    <w:rsid w:val="00622102"/>
    <w:rsid w:val="006272DC"/>
    <w:rsid w:val="00634309"/>
    <w:rsid w:val="006356BF"/>
    <w:rsid w:val="00637EDA"/>
    <w:rsid w:val="00637F1D"/>
    <w:rsid w:val="006411DC"/>
    <w:rsid w:val="00643EAB"/>
    <w:rsid w:val="0064733A"/>
    <w:rsid w:val="006504C0"/>
    <w:rsid w:val="00650C10"/>
    <w:rsid w:val="0065404F"/>
    <w:rsid w:val="0065409F"/>
    <w:rsid w:val="00655DCE"/>
    <w:rsid w:val="006578B7"/>
    <w:rsid w:val="00657AE9"/>
    <w:rsid w:val="00657D42"/>
    <w:rsid w:val="0066245B"/>
    <w:rsid w:val="006624E8"/>
    <w:rsid w:val="00662B49"/>
    <w:rsid w:val="006642F2"/>
    <w:rsid w:val="00664F7D"/>
    <w:rsid w:val="00666BE3"/>
    <w:rsid w:val="0066723D"/>
    <w:rsid w:val="0067240C"/>
    <w:rsid w:val="00672E1E"/>
    <w:rsid w:val="00673945"/>
    <w:rsid w:val="006836A4"/>
    <w:rsid w:val="00684766"/>
    <w:rsid w:val="006847D0"/>
    <w:rsid w:val="00690B68"/>
    <w:rsid w:val="006924F7"/>
    <w:rsid w:val="00694740"/>
    <w:rsid w:val="0069729C"/>
    <w:rsid w:val="006A0A29"/>
    <w:rsid w:val="006A2408"/>
    <w:rsid w:val="006A5AB7"/>
    <w:rsid w:val="006A7583"/>
    <w:rsid w:val="006B0609"/>
    <w:rsid w:val="006B144C"/>
    <w:rsid w:val="006B1B31"/>
    <w:rsid w:val="006B2606"/>
    <w:rsid w:val="006B3695"/>
    <w:rsid w:val="006C70E7"/>
    <w:rsid w:val="006C7BE2"/>
    <w:rsid w:val="006C7F25"/>
    <w:rsid w:val="006D0FF2"/>
    <w:rsid w:val="006D6325"/>
    <w:rsid w:val="006E0AA8"/>
    <w:rsid w:val="006E5E7F"/>
    <w:rsid w:val="006E68D1"/>
    <w:rsid w:val="006E7361"/>
    <w:rsid w:val="006F02EA"/>
    <w:rsid w:val="006F3FEE"/>
    <w:rsid w:val="006F4216"/>
    <w:rsid w:val="006F5B85"/>
    <w:rsid w:val="00702067"/>
    <w:rsid w:val="0070418E"/>
    <w:rsid w:val="00705019"/>
    <w:rsid w:val="00705178"/>
    <w:rsid w:val="0070771B"/>
    <w:rsid w:val="00707786"/>
    <w:rsid w:val="00707C0E"/>
    <w:rsid w:val="00710ACD"/>
    <w:rsid w:val="007118F7"/>
    <w:rsid w:val="00712511"/>
    <w:rsid w:val="00713669"/>
    <w:rsid w:val="00714D20"/>
    <w:rsid w:val="00715755"/>
    <w:rsid w:val="00716A04"/>
    <w:rsid w:val="007246EC"/>
    <w:rsid w:val="0072701D"/>
    <w:rsid w:val="00730595"/>
    <w:rsid w:val="00733D77"/>
    <w:rsid w:val="0073486C"/>
    <w:rsid w:val="00735C27"/>
    <w:rsid w:val="00735EF4"/>
    <w:rsid w:val="00741694"/>
    <w:rsid w:val="00743410"/>
    <w:rsid w:val="007444DF"/>
    <w:rsid w:val="0074457B"/>
    <w:rsid w:val="007446D1"/>
    <w:rsid w:val="00754EAE"/>
    <w:rsid w:val="0075561B"/>
    <w:rsid w:val="007563A7"/>
    <w:rsid w:val="00760EA6"/>
    <w:rsid w:val="00763648"/>
    <w:rsid w:val="0076494E"/>
    <w:rsid w:val="007738B2"/>
    <w:rsid w:val="00774496"/>
    <w:rsid w:val="00774CA6"/>
    <w:rsid w:val="007756FB"/>
    <w:rsid w:val="0078381A"/>
    <w:rsid w:val="00784637"/>
    <w:rsid w:val="00785F87"/>
    <w:rsid w:val="00790FE2"/>
    <w:rsid w:val="00792AE4"/>
    <w:rsid w:val="0079351C"/>
    <w:rsid w:val="00795B3B"/>
    <w:rsid w:val="007961CD"/>
    <w:rsid w:val="007A230F"/>
    <w:rsid w:val="007A28EB"/>
    <w:rsid w:val="007A3750"/>
    <w:rsid w:val="007A5561"/>
    <w:rsid w:val="007A5AE7"/>
    <w:rsid w:val="007A6B20"/>
    <w:rsid w:val="007A6DAC"/>
    <w:rsid w:val="007B17D8"/>
    <w:rsid w:val="007B26CA"/>
    <w:rsid w:val="007B342F"/>
    <w:rsid w:val="007B41B4"/>
    <w:rsid w:val="007B5B9C"/>
    <w:rsid w:val="007B6927"/>
    <w:rsid w:val="007C08CC"/>
    <w:rsid w:val="007C17D7"/>
    <w:rsid w:val="007C27E0"/>
    <w:rsid w:val="007C5BDE"/>
    <w:rsid w:val="007C7290"/>
    <w:rsid w:val="007D24F4"/>
    <w:rsid w:val="007D6131"/>
    <w:rsid w:val="007D62E2"/>
    <w:rsid w:val="007D738F"/>
    <w:rsid w:val="007E425C"/>
    <w:rsid w:val="007E6325"/>
    <w:rsid w:val="007E7AF1"/>
    <w:rsid w:val="007F281E"/>
    <w:rsid w:val="007F599B"/>
    <w:rsid w:val="007F6C8B"/>
    <w:rsid w:val="008004E3"/>
    <w:rsid w:val="008017E8"/>
    <w:rsid w:val="0080364A"/>
    <w:rsid w:val="00803F37"/>
    <w:rsid w:val="008105DE"/>
    <w:rsid w:val="0081367E"/>
    <w:rsid w:val="00813A06"/>
    <w:rsid w:val="00814F63"/>
    <w:rsid w:val="0081743A"/>
    <w:rsid w:val="008203B4"/>
    <w:rsid w:val="0082105B"/>
    <w:rsid w:val="008220A2"/>
    <w:rsid w:val="00822CC1"/>
    <w:rsid w:val="0082301E"/>
    <w:rsid w:val="0082478D"/>
    <w:rsid w:val="0082654E"/>
    <w:rsid w:val="00827512"/>
    <w:rsid w:val="00827BAC"/>
    <w:rsid w:val="00830283"/>
    <w:rsid w:val="00831E79"/>
    <w:rsid w:val="0083438F"/>
    <w:rsid w:val="00834B18"/>
    <w:rsid w:val="00837F94"/>
    <w:rsid w:val="008441C4"/>
    <w:rsid w:val="00845953"/>
    <w:rsid w:val="008471F8"/>
    <w:rsid w:val="00851622"/>
    <w:rsid w:val="00851C23"/>
    <w:rsid w:val="00854E39"/>
    <w:rsid w:val="00855E24"/>
    <w:rsid w:val="00856A47"/>
    <w:rsid w:val="0085794A"/>
    <w:rsid w:val="0086183C"/>
    <w:rsid w:val="00863DD7"/>
    <w:rsid w:val="00864BA4"/>
    <w:rsid w:val="008715FA"/>
    <w:rsid w:val="00875895"/>
    <w:rsid w:val="008762B3"/>
    <w:rsid w:val="00880387"/>
    <w:rsid w:val="00880CF3"/>
    <w:rsid w:val="00881FE4"/>
    <w:rsid w:val="0088407F"/>
    <w:rsid w:val="00884F51"/>
    <w:rsid w:val="00886A57"/>
    <w:rsid w:val="00886E49"/>
    <w:rsid w:val="00886ECA"/>
    <w:rsid w:val="008909C6"/>
    <w:rsid w:val="008923F1"/>
    <w:rsid w:val="00893A1B"/>
    <w:rsid w:val="008961E6"/>
    <w:rsid w:val="008970F4"/>
    <w:rsid w:val="008A0DC5"/>
    <w:rsid w:val="008A70C1"/>
    <w:rsid w:val="008B234A"/>
    <w:rsid w:val="008B2749"/>
    <w:rsid w:val="008B451C"/>
    <w:rsid w:val="008C28A7"/>
    <w:rsid w:val="008D06E4"/>
    <w:rsid w:val="008D1989"/>
    <w:rsid w:val="008D4CB3"/>
    <w:rsid w:val="008D4E00"/>
    <w:rsid w:val="008D58FE"/>
    <w:rsid w:val="008E05E2"/>
    <w:rsid w:val="008E0F2A"/>
    <w:rsid w:val="008E1F12"/>
    <w:rsid w:val="008E2D18"/>
    <w:rsid w:val="008E33EC"/>
    <w:rsid w:val="008E4246"/>
    <w:rsid w:val="008E7DC2"/>
    <w:rsid w:val="008F040F"/>
    <w:rsid w:val="008F0CCE"/>
    <w:rsid w:val="008F1B3C"/>
    <w:rsid w:val="008F5185"/>
    <w:rsid w:val="008F78BF"/>
    <w:rsid w:val="008F7DF2"/>
    <w:rsid w:val="00901320"/>
    <w:rsid w:val="00901ACB"/>
    <w:rsid w:val="00905F7B"/>
    <w:rsid w:val="00906784"/>
    <w:rsid w:val="00906DD8"/>
    <w:rsid w:val="00910384"/>
    <w:rsid w:val="00911610"/>
    <w:rsid w:val="0091278B"/>
    <w:rsid w:val="00913A8A"/>
    <w:rsid w:val="00913C1A"/>
    <w:rsid w:val="00915144"/>
    <w:rsid w:val="009166A9"/>
    <w:rsid w:val="0091792B"/>
    <w:rsid w:val="0092340B"/>
    <w:rsid w:val="009245FE"/>
    <w:rsid w:val="00925150"/>
    <w:rsid w:val="00925BC2"/>
    <w:rsid w:val="00925F42"/>
    <w:rsid w:val="009276AA"/>
    <w:rsid w:val="009327FD"/>
    <w:rsid w:val="009332FA"/>
    <w:rsid w:val="00934026"/>
    <w:rsid w:val="00937E4E"/>
    <w:rsid w:val="0094385F"/>
    <w:rsid w:val="00945401"/>
    <w:rsid w:val="00946FA5"/>
    <w:rsid w:val="00947FB3"/>
    <w:rsid w:val="00950320"/>
    <w:rsid w:val="009518E6"/>
    <w:rsid w:val="009525A0"/>
    <w:rsid w:val="00952DDD"/>
    <w:rsid w:val="00954AE0"/>
    <w:rsid w:val="00954D03"/>
    <w:rsid w:val="009553B5"/>
    <w:rsid w:val="0095551A"/>
    <w:rsid w:val="00956C90"/>
    <w:rsid w:val="00956F17"/>
    <w:rsid w:val="0095714B"/>
    <w:rsid w:val="00957F74"/>
    <w:rsid w:val="0096081E"/>
    <w:rsid w:val="009628B0"/>
    <w:rsid w:val="00963204"/>
    <w:rsid w:val="00964AE8"/>
    <w:rsid w:val="00966AA9"/>
    <w:rsid w:val="009674B6"/>
    <w:rsid w:val="0097153F"/>
    <w:rsid w:val="00972E0E"/>
    <w:rsid w:val="00973339"/>
    <w:rsid w:val="009744CF"/>
    <w:rsid w:val="00976EF6"/>
    <w:rsid w:val="00977898"/>
    <w:rsid w:val="00977C98"/>
    <w:rsid w:val="00977DD4"/>
    <w:rsid w:val="00981B9B"/>
    <w:rsid w:val="00990ED9"/>
    <w:rsid w:val="009911C7"/>
    <w:rsid w:val="009920E0"/>
    <w:rsid w:val="00994A1A"/>
    <w:rsid w:val="00996307"/>
    <w:rsid w:val="009967DF"/>
    <w:rsid w:val="009A0ECA"/>
    <w:rsid w:val="009A1F3D"/>
    <w:rsid w:val="009A5034"/>
    <w:rsid w:val="009A549F"/>
    <w:rsid w:val="009A791C"/>
    <w:rsid w:val="009B3027"/>
    <w:rsid w:val="009B3F10"/>
    <w:rsid w:val="009C3DFD"/>
    <w:rsid w:val="009D3186"/>
    <w:rsid w:val="009D57FB"/>
    <w:rsid w:val="009D5827"/>
    <w:rsid w:val="009D6330"/>
    <w:rsid w:val="009F107E"/>
    <w:rsid w:val="009F1159"/>
    <w:rsid w:val="009F2EC3"/>
    <w:rsid w:val="009F30F5"/>
    <w:rsid w:val="009F3CE6"/>
    <w:rsid w:val="009F4626"/>
    <w:rsid w:val="009F59A3"/>
    <w:rsid w:val="009F60F1"/>
    <w:rsid w:val="009F6D6E"/>
    <w:rsid w:val="009F79BF"/>
    <w:rsid w:val="00A00266"/>
    <w:rsid w:val="00A01719"/>
    <w:rsid w:val="00A03163"/>
    <w:rsid w:val="00A050DF"/>
    <w:rsid w:val="00A1123B"/>
    <w:rsid w:val="00A112E0"/>
    <w:rsid w:val="00A112ED"/>
    <w:rsid w:val="00A119B1"/>
    <w:rsid w:val="00A12A7F"/>
    <w:rsid w:val="00A14624"/>
    <w:rsid w:val="00A15191"/>
    <w:rsid w:val="00A17519"/>
    <w:rsid w:val="00A2302A"/>
    <w:rsid w:val="00A2668A"/>
    <w:rsid w:val="00A274A7"/>
    <w:rsid w:val="00A31820"/>
    <w:rsid w:val="00A3208E"/>
    <w:rsid w:val="00A33D97"/>
    <w:rsid w:val="00A36353"/>
    <w:rsid w:val="00A421FA"/>
    <w:rsid w:val="00A44C40"/>
    <w:rsid w:val="00A5270F"/>
    <w:rsid w:val="00A54408"/>
    <w:rsid w:val="00A60324"/>
    <w:rsid w:val="00A643E2"/>
    <w:rsid w:val="00A64E0D"/>
    <w:rsid w:val="00A65E39"/>
    <w:rsid w:val="00A67DCC"/>
    <w:rsid w:val="00A70A89"/>
    <w:rsid w:val="00A719A9"/>
    <w:rsid w:val="00A7372C"/>
    <w:rsid w:val="00A8168B"/>
    <w:rsid w:val="00A866B7"/>
    <w:rsid w:val="00A86DF6"/>
    <w:rsid w:val="00A871AB"/>
    <w:rsid w:val="00A871C3"/>
    <w:rsid w:val="00A95C1E"/>
    <w:rsid w:val="00A971B4"/>
    <w:rsid w:val="00AA0540"/>
    <w:rsid w:val="00AA06B8"/>
    <w:rsid w:val="00AA0BFA"/>
    <w:rsid w:val="00AA1306"/>
    <w:rsid w:val="00AA24CF"/>
    <w:rsid w:val="00AA27CB"/>
    <w:rsid w:val="00AA2FB9"/>
    <w:rsid w:val="00AA6345"/>
    <w:rsid w:val="00AA6CCC"/>
    <w:rsid w:val="00AB01EB"/>
    <w:rsid w:val="00AB062A"/>
    <w:rsid w:val="00AB2544"/>
    <w:rsid w:val="00AB25B1"/>
    <w:rsid w:val="00AB4549"/>
    <w:rsid w:val="00AB57C7"/>
    <w:rsid w:val="00AB6789"/>
    <w:rsid w:val="00AC10EE"/>
    <w:rsid w:val="00AC2D30"/>
    <w:rsid w:val="00AC3A50"/>
    <w:rsid w:val="00AD0074"/>
    <w:rsid w:val="00AD10DA"/>
    <w:rsid w:val="00AD1C9F"/>
    <w:rsid w:val="00AD1EAE"/>
    <w:rsid w:val="00AD457D"/>
    <w:rsid w:val="00AD45E2"/>
    <w:rsid w:val="00AD5974"/>
    <w:rsid w:val="00AD769C"/>
    <w:rsid w:val="00AD7DC9"/>
    <w:rsid w:val="00AE27B2"/>
    <w:rsid w:val="00AE3F15"/>
    <w:rsid w:val="00AE4E30"/>
    <w:rsid w:val="00AE6FC8"/>
    <w:rsid w:val="00AF202D"/>
    <w:rsid w:val="00AF4308"/>
    <w:rsid w:val="00AF5CBA"/>
    <w:rsid w:val="00B003FF"/>
    <w:rsid w:val="00B00DC0"/>
    <w:rsid w:val="00B01232"/>
    <w:rsid w:val="00B014B5"/>
    <w:rsid w:val="00B06465"/>
    <w:rsid w:val="00B10012"/>
    <w:rsid w:val="00B102E6"/>
    <w:rsid w:val="00B11710"/>
    <w:rsid w:val="00B15AC2"/>
    <w:rsid w:val="00B17E3D"/>
    <w:rsid w:val="00B21540"/>
    <w:rsid w:val="00B258E1"/>
    <w:rsid w:val="00B30032"/>
    <w:rsid w:val="00B303D2"/>
    <w:rsid w:val="00B31059"/>
    <w:rsid w:val="00B31952"/>
    <w:rsid w:val="00B319B9"/>
    <w:rsid w:val="00B31B07"/>
    <w:rsid w:val="00B31F5A"/>
    <w:rsid w:val="00B32A50"/>
    <w:rsid w:val="00B32A57"/>
    <w:rsid w:val="00B347FF"/>
    <w:rsid w:val="00B37458"/>
    <w:rsid w:val="00B4045D"/>
    <w:rsid w:val="00B41BA5"/>
    <w:rsid w:val="00B42F15"/>
    <w:rsid w:val="00B47C90"/>
    <w:rsid w:val="00B50153"/>
    <w:rsid w:val="00B5141F"/>
    <w:rsid w:val="00B51F10"/>
    <w:rsid w:val="00B52EEC"/>
    <w:rsid w:val="00B60287"/>
    <w:rsid w:val="00B61681"/>
    <w:rsid w:val="00B61B3E"/>
    <w:rsid w:val="00B66F81"/>
    <w:rsid w:val="00B701BB"/>
    <w:rsid w:val="00B71218"/>
    <w:rsid w:val="00B76453"/>
    <w:rsid w:val="00B77EC5"/>
    <w:rsid w:val="00B80745"/>
    <w:rsid w:val="00B83B96"/>
    <w:rsid w:val="00B83D96"/>
    <w:rsid w:val="00B86095"/>
    <w:rsid w:val="00B86A28"/>
    <w:rsid w:val="00B86DA6"/>
    <w:rsid w:val="00B93680"/>
    <w:rsid w:val="00B94BFC"/>
    <w:rsid w:val="00B95E25"/>
    <w:rsid w:val="00BA079A"/>
    <w:rsid w:val="00BA1299"/>
    <w:rsid w:val="00BA34A3"/>
    <w:rsid w:val="00BA7295"/>
    <w:rsid w:val="00BA79D6"/>
    <w:rsid w:val="00BB060F"/>
    <w:rsid w:val="00BB26C7"/>
    <w:rsid w:val="00BB2B35"/>
    <w:rsid w:val="00BB389E"/>
    <w:rsid w:val="00BB4655"/>
    <w:rsid w:val="00BC24BC"/>
    <w:rsid w:val="00BC32A1"/>
    <w:rsid w:val="00BC4218"/>
    <w:rsid w:val="00BC5876"/>
    <w:rsid w:val="00BC5A5C"/>
    <w:rsid w:val="00BC6C72"/>
    <w:rsid w:val="00BD2ABC"/>
    <w:rsid w:val="00BD568B"/>
    <w:rsid w:val="00BE6B32"/>
    <w:rsid w:val="00BF2451"/>
    <w:rsid w:val="00BF2B67"/>
    <w:rsid w:val="00BF4D40"/>
    <w:rsid w:val="00BF7E8F"/>
    <w:rsid w:val="00C01672"/>
    <w:rsid w:val="00C0264C"/>
    <w:rsid w:val="00C03A87"/>
    <w:rsid w:val="00C03C7B"/>
    <w:rsid w:val="00C07B46"/>
    <w:rsid w:val="00C119BF"/>
    <w:rsid w:val="00C14259"/>
    <w:rsid w:val="00C1653F"/>
    <w:rsid w:val="00C20A48"/>
    <w:rsid w:val="00C21036"/>
    <w:rsid w:val="00C21E38"/>
    <w:rsid w:val="00C2458E"/>
    <w:rsid w:val="00C247C7"/>
    <w:rsid w:val="00C248C3"/>
    <w:rsid w:val="00C24946"/>
    <w:rsid w:val="00C25107"/>
    <w:rsid w:val="00C35EBB"/>
    <w:rsid w:val="00C36BFE"/>
    <w:rsid w:val="00C372FF"/>
    <w:rsid w:val="00C41059"/>
    <w:rsid w:val="00C4361B"/>
    <w:rsid w:val="00C453A0"/>
    <w:rsid w:val="00C4577B"/>
    <w:rsid w:val="00C45B94"/>
    <w:rsid w:val="00C47067"/>
    <w:rsid w:val="00C543EB"/>
    <w:rsid w:val="00C54C37"/>
    <w:rsid w:val="00C54F41"/>
    <w:rsid w:val="00C57691"/>
    <w:rsid w:val="00C60CA1"/>
    <w:rsid w:val="00C70D26"/>
    <w:rsid w:val="00C733FB"/>
    <w:rsid w:val="00C74583"/>
    <w:rsid w:val="00C74935"/>
    <w:rsid w:val="00C80266"/>
    <w:rsid w:val="00C826F0"/>
    <w:rsid w:val="00C837B1"/>
    <w:rsid w:val="00C84851"/>
    <w:rsid w:val="00C8599E"/>
    <w:rsid w:val="00C86AC2"/>
    <w:rsid w:val="00C87E1E"/>
    <w:rsid w:val="00C92FA7"/>
    <w:rsid w:val="00C93D4E"/>
    <w:rsid w:val="00C95215"/>
    <w:rsid w:val="00CA0B60"/>
    <w:rsid w:val="00CA0EFC"/>
    <w:rsid w:val="00CA23A1"/>
    <w:rsid w:val="00CA3FFA"/>
    <w:rsid w:val="00CA5D24"/>
    <w:rsid w:val="00CA6027"/>
    <w:rsid w:val="00CB3C74"/>
    <w:rsid w:val="00CB4BBD"/>
    <w:rsid w:val="00CC1F8B"/>
    <w:rsid w:val="00CC2DFB"/>
    <w:rsid w:val="00CC6C3B"/>
    <w:rsid w:val="00CD136A"/>
    <w:rsid w:val="00CD1A98"/>
    <w:rsid w:val="00CD3B2E"/>
    <w:rsid w:val="00CE23F8"/>
    <w:rsid w:val="00CE34C4"/>
    <w:rsid w:val="00CF0646"/>
    <w:rsid w:val="00CF1EE8"/>
    <w:rsid w:val="00CF24A3"/>
    <w:rsid w:val="00CF49E6"/>
    <w:rsid w:val="00CF675A"/>
    <w:rsid w:val="00CF67FB"/>
    <w:rsid w:val="00CF7A29"/>
    <w:rsid w:val="00CF7A66"/>
    <w:rsid w:val="00D02168"/>
    <w:rsid w:val="00D0228D"/>
    <w:rsid w:val="00D065CD"/>
    <w:rsid w:val="00D06610"/>
    <w:rsid w:val="00D11204"/>
    <w:rsid w:val="00D121CD"/>
    <w:rsid w:val="00D14FA6"/>
    <w:rsid w:val="00D15196"/>
    <w:rsid w:val="00D206CA"/>
    <w:rsid w:val="00D22A95"/>
    <w:rsid w:val="00D24DB6"/>
    <w:rsid w:val="00D2637D"/>
    <w:rsid w:val="00D26D28"/>
    <w:rsid w:val="00D3032B"/>
    <w:rsid w:val="00D322EE"/>
    <w:rsid w:val="00D33103"/>
    <w:rsid w:val="00D33476"/>
    <w:rsid w:val="00D338CE"/>
    <w:rsid w:val="00D36D69"/>
    <w:rsid w:val="00D375F8"/>
    <w:rsid w:val="00D46934"/>
    <w:rsid w:val="00D47457"/>
    <w:rsid w:val="00D5158A"/>
    <w:rsid w:val="00D55D45"/>
    <w:rsid w:val="00D617C3"/>
    <w:rsid w:val="00D62E82"/>
    <w:rsid w:val="00D62F75"/>
    <w:rsid w:val="00D71F63"/>
    <w:rsid w:val="00D722A3"/>
    <w:rsid w:val="00D74CB9"/>
    <w:rsid w:val="00D768C1"/>
    <w:rsid w:val="00D80861"/>
    <w:rsid w:val="00D80B33"/>
    <w:rsid w:val="00D8257C"/>
    <w:rsid w:val="00D85252"/>
    <w:rsid w:val="00D874C6"/>
    <w:rsid w:val="00D90902"/>
    <w:rsid w:val="00D91BD3"/>
    <w:rsid w:val="00DA206A"/>
    <w:rsid w:val="00DA236D"/>
    <w:rsid w:val="00DA3CD8"/>
    <w:rsid w:val="00DA4E30"/>
    <w:rsid w:val="00DB2728"/>
    <w:rsid w:val="00DB2F0D"/>
    <w:rsid w:val="00DB3D37"/>
    <w:rsid w:val="00DB3DB4"/>
    <w:rsid w:val="00DB7A16"/>
    <w:rsid w:val="00DC0D59"/>
    <w:rsid w:val="00DC0F0D"/>
    <w:rsid w:val="00DC4987"/>
    <w:rsid w:val="00DC4CB6"/>
    <w:rsid w:val="00DC5524"/>
    <w:rsid w:val="00DD0FE9"/>
    <w:rsid w:val="00DD6798"/>
    <w:rsid w:val="00DD6A07"/>
    <w:rsid w:val="00DD6A59"/>
    <w:rsid w:val="00DD7DD5"/>
    <w:rsid w:val="00DE0521"/>
    <w:rsid w:val="00DE0625"/>
    <w:rsid w:val="00DE2E56"/>
    <w:rsid w:val="00DE2ECC"/>
    <w:rsid w:val="00DE3D90"/>
    <w:rsid w:val="00DE43F0"/>
    <w:rsid w:val="00DE773A"/>
    <w:rsid w:val="00DF214D"/>
    <w:rsid w:val="00DF2D9F"/>
    <w:rsid w:val="00DF2E85"/>
    <w:rsid w:val="00DF4ADB"/>
    <w:rsid w:val="00DF626B"/>
    <w:rsid w:val="00E066A7"/>
    <w:rsid w:val="00E11D6B"/>
    <w:rsid w:val="00E158EC"/>
    <w:rsid w:val="00E15A58"/>
    <w:rsid w:val="00E15B52"/>
    <w:rsid w:val="00E2064E"/>
    <w:rsid w:val="00E20C1A"/>
    <w:rsid w:val="00E23302"/>
    <w:rsid w:val="00E23B93"/>
    <w:rsid w:val="00E266D7"/>
    <w:rsid w:val="00E278F7"/>
    <w:rsid w:val="00E3002F"/>
    <w:rsid w:val="00E316DA"/>
    <w:rsid w:val="00E31C53"/>
    <w:rsid w:val="00E33008"/>
    <w:rsid w:val="00E33039"/>
    <w:rsid w:val="00E33CE0"/>
    <w:rsid w:val="00E341B5"/>
    <w:rsid w:val="00E41624"/>
    <w:rsid w:val="00E44A3C"/>
    <w:rsid w:val="00E51604"/>
    <w:rsid w:val="00E516D0"/>
    <w:rsid w:val="00E51879"/>
    <w:rsid w:val="00E5532E"/>
    <w:rsid w:val="00E55A14"/>
    <w:rsid w:val="00E56650"/>
    <w:rsid w:val="00E60D8F"/>
    <w:rsid w:val="00E627AD"/>
    <w:rsid w:val="00E62C49"/>
    <w:rsid w:val="00E63872"/>
    <w:rsid w:val="00E6688C"/>
    <w:rsid w:val="00E67414"/>
    <w:rsid w:val="00E706CA"/>
    <w:rsid w:val="00E70910"/>
    <w:rsid w:val="00E742B4"/>
    <w:rsid w:val="00E74D8B"/>
    <w:rsid w:val="00E76A80"/>
    <w:rsid w:val="00E80500"/>
    <w:rsid w:val="00E814DC"/>
    <w:rsid w:val="00E82589"/>
    <w:rsid w:val="00E94902"/>
    <w:rsid w:val="00EA0699"/>
    <w:rsid w:val="00EA1287"/>
    <w:rsid w:val="00EA3B8F"/>
    <w:rsid w:val="00EA545A"/>
    <w:rsid w:val="00EA5FA1"/>
    <w:rsid w:val="00EA7488"/>
    <w:rsid w:val="00EA7F8E"/>
    <w:rsid w:val="00EB1818"/>
    <w:rsid w:val="00EB3A73"/>
    <w:rsid w:val="00EB56E4"/>
    <w:rsid w:val="00EC0C95"/>
    <w:rsid w:val="00EC2DA1"/>
    <w:rsid w:val="00EC3155"/>
    <w:rsid w:val="00EC41FC"/>
    <w:rsid w:val="00EC433B"/>
    <w:rsid w:val="00EC49BB"/>
    <w:rsid w:val="00EC5D32"/>
    <w:rsid w:val="00EC7CDB"/>
    <w:rsid w:val="00EE12D0"/>
    <w:rsid w:val="00EE189E"/>
    <w:rsid w:val="00EE439C"/>
    <w:rsid w:val="00EE4472"/>
    <w:rsid w:val="00EE7575"/>
    <w:rsid w:val="00EF06E7"/>
    <w:rsid w:val="00EF0B31"/>
    <w:rsid w:val="00EF26C4"/>
    <w:rsid w:val="00EF30CC"/>
    <w:rsid w:val="00EF64F1"/>
    <w:rsid w:val="00F00FBE"/>
    <w:rsid w:val="00F02531"/>
    <w:rsid w:val="00F02BE8"/>
    <w:rsid w:val="00F0480D"/>
    <w:rsid w:val="00F06673"/>
    <w:rsid w:val="00F0773C"/>
    <w:rsid w:val="00F114FB"/>
    <w:rsid w:val="00F12373"/>
    <w:rsid w:val="00F1733F"/>
    <w:rsid w:val="00F2425A"/>
    <w:rsid w:val="00F324B9"/>
    <w:rsid w:val="00F42203"/>
    <w:rsid w:val="00F43911"/>
    <w:rsid w:val="00F44E52"/>
    <w:rsid w:val="00F50E37"/>
    <w:rsid w:val="00F54C74"/>
    <w:rsid w:val="00F56B17"/>
    <w:rsid w:val="00F62C17"/>
    <w:rsid w:val="00F643EC"/>
    <w:rsid w:val="00F64CE6"/>
    <w:rsid w:val="00F65706"/>
    <w:rsid w:val="00F65A41"/>
    <w:rsid w:val="00F67A98"/>
    <w:rsid w:val="00F73AEB"/>
    <w:rsid w:val="00F73D7C"/>
    <w:rsid w:val="00F74912"/>
    <w:rsid w:val="00F74B9D"/>
    <w:rsid w:val="00F779A3"/>
    <w:rsid w:val="00F803C4"/>
    <w:rsid w:val="00F811A1"/>
    <w:rsid w:val="00F85A03"/>
    <w:rsid w:val="00F86842"/>
    <w:rsid w:val="00F876D8"/>
    <w:rsid w:val="00F90B5F"/>
    <w:rsid w:val="00F9499D"/>
    <w:rsid w:val="00F94E59"/>
    <w:rsid w:val="00F9585D"/>
    <w:rsid w:val="00F95EFC"/>
    <w:rsid w:val="00F97F4A"/>
    <w:rsid w:val="00FA1AAC"/>
    <w:rsid w:val="00FA1ADB"/>
    <w:rsid w:val="00FA4363"/>
    <w:rsid w:val="00FA5F01"/>
    <w:rsid w:val="00FA6191"/>
    <w:rsid w:val="00FA6E40"/>
    <w:rsid w:val="00FA728C"/>
    <w:rsid w:val="00FB003B"/>
    <w:rsid w:val="00FB2E46"/>
    <w:rsid w:val="00FB6438"/>
    <w:rsid w:val="00FB7F54"/>
    <w:rsid w:val="00FC237E"/>
    <w:rsid w:val="00FC735C"/>
    <w:rsid w:val="00FD0B0A"/>
    <w:rsid w:val="00FD13B6"/>
    <w:rsid w:val="00FD3A3E"/>
    <w:rsid w:val="00FD3CD8"/>
    <w:rsid w:val="00FD6F89"/>
    <w:rsid w:val="00FE11F0"/>
    <w:rsid w:val="00FE2743"/>
    <w:rsid w:val="00FE396F"/>
    <w:rsid w:val="00FE6664"/>
    <w:rsid w:val="00FE779F"/>
    <w:rsid w:val="00FF2D35"/>
    <w:rsid w:val="00FF4BC3"/>
    <w:rsid w:val="00FF593A"/>
    <w:rsid w:val="00FF5BE4"/>
    <w:rsid w:val="00FF67C4"/>
    <w:rsid w:val="00FF6D6A"/>
    <w:rsid w:val="00FF6FF2"/>
    <w:rsid w:val="00FF735C"/>
    <w:rsid w:val="00FF746E"/>
    <w:rsid w:val="00FF79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916BF"/>
  <w15:chartTrackingRefBased/>
  <w15:docId w15:val="{E42D5743-ECCB-4707-9708-6A3A9DE8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5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1B4F"/>
    <w:pPr>
      <w:tabs>
        <w:tab w:val="center" w:pos="4153"/>
        <w:tab w:val="right" w:pos="8306"/>
      </w:tabs>
    </w:pPr>
  </w:style>
  <w:style w:type="character" w:customStyle="1" w:styleId="HeaderChar">
    <w:name w:val="Header Char"/>
    <w:link w:val="Header"/>
    <w:rsid w:val="004F1B4F"/>
    <w:rPr>
      <w:rFonts w:eastAsia="Times New Roman" w:cs="Times New Roman"/>
      <w:sz w:val="24"/>
      <w:szCs w:val="24"/>
      <w:lang w:eastAsia="lv-LV"/>
    </w:rPr>
  </w:style>
  <w:style w:type="character" w:styleId="PageNumber">
    <w:name w:val="page number"/>
    <w:basedOn w:val="DefaultParagraphFont"/>
    <w:rsid w:val="004F1B4F"/>
  </w:style>
  <w:style w:type="paragraph" w:customStyle="1" w:styleId="naisf">
    <w:name w:val="naisf"/>
    <w:basedOn w:val="Normal"/>
    <w:rsid w:val="004F1B4F"/>
    <w:pPr>
      <w:spacing w:before="75" w:after="75"/>
      <w:ind w:firstLine="375"/>
      <w:jc w:val="both"/>
    </w:pPr>
  </w:style>
  <w:style w:type="paragraph" w:customStyle="1" w:styleId="naisnod">
    <w:name w:val="naisnod"/>
    <w:basedOn w:val="Normal"/>
    <w:rsid w:val="004F1B4F"/>
    <w:pPr>
      <w:spacing w:before="150" w:after="150"/>
      <w:jc w:val="center"/>
    </w:pPr>
    <w:rPr>
      <w:b/>
      <w:bCs/>
    </w:rPr>
  </w:style>
  <w:style w:type="paragraph" w:customStyle="1" w:styleId="naislab">
    <w:name w:val="naislab"/>
    <w:basedOn w:val="Normal"/>
    <w:rsid w:val="004F1B4F"/>
    <w:pPr>
      <w:spacing w:before="75" w:after="75"/>
      <w:jc w:val="right"/>
    </w:pPr>
  </w:style>
  <w:style w:type="paragraph" w:customStyle="1" w:styleId="naiskr">
    <w:name w:val="naiskr"/>
    <w:basedOn w:val="Normal"/>
    <w:rsid w:val="004F1B4F"/>
    <w:pPr>
      <w:spacing w:before="75" w:after="75"/>
    </w:pPr>
  </w:style>
  <w:style w:type="paragraph" w:customStyle="1" w:styleId="naisc">
    <w:name w:val="naisc"/>
    <w:basedOn w:val="Normal"/>
    <w:uiPriority w:val="99"/>
    <w:rsid w:val="004F1B4F"/>
    <w:pPr>
      <w:spacing w:before="75" w:after="75"/>
      <w:jc w:val="center"/>
    </w:pPr>
  </w:style>
  <w:style w:type="character" w:customStyle="1" w:styleId="apple-style-span">
    <w:name w:val="apple-style-span"/>
    <w:basedOn w:val="DefaultParagraphFont"/>
    <w:rsid w:val="004F1B4F"/>
  </w:style>
  <w:style w:type="paragraph" w:styleId="NormalWeb">
    <w:name w:val="Normal (Web)"/>
    <w:basedOn w:val="Normal"/>
    <w:uiPriority w:val="99"/>
    <w:rsid w:val="004F1B4F"/>
    <w:pPr>
      <w:spacing w:before="100" w:beforeAutospacing="1" w:after="100" w:afterAutospacing="1"/>
    </w:pPr>
  </w:style>
  <w:style w:type="paragraph" w:styleId="BalloonText">
    <w:name w:val="Balloon Text"/>
    <w:basedOn w:val="Normal"/>
    <w:link w:val="BalloonTextChar"/>
    <w:uiPriority w:val="99"/>
    <w:semiHidden/>
    <w:unhideWhenUsed/>
    <w:rsid w:val="004F1B4F"/>
    <w:rPr>
      <w:rFonts w:ascii="Tahoma" w:hAnsi="Tahoma" w:cs="Tahoma"/>
      <w:sz w:val="16"/>
      <w:szCs w:val="16"/>
    </w:rPr>
  </w:style>
  <w:style w:type="character" w:customStyle="1" w:styleId="BalloonTextChar">
    <w:name w:val="Balloon Text Char"/>
    <w:link w:val="BalloonText"/>
    <w:uiPriority w:val="99"/>
    <w:semiHidden/>
    <w:rsid w:val="004F1B4F"/>
    <w:rPr>
      <w:rFonts w:ascii="Tahoma" w:eastAsia="Times New Roman" w:hAnsi="Tahoma" w:cs="Tahoma"/>
      <w:sz w:val="16"/>
      <w:szCs w:val="16"/>
      <w:lang w:eastAsia="lv-LV"/>
    </w:rPr>
  </w:style>
  <w:style w:type="paragraph" w:styleId="Footer">
    <w:name w:val="footer"/>
    <w:basedOn w:val="Normal"/>
    <w:link w:val="FooterChar"/>
    <w:uiPriority w:val="99"/>
    <w:unhideWhenUsed/>
    <w:rsid w:val="00994A1A"/>
    <w:pPr>
      <w:tabs>
        <w:tab w:val="center" w:pos="4153"/>
        <w:tab w:val="right" w:pos="8306"/>
      </w:tabs>
    </w:pPr>
  </w:style>
  <w:style w:type="character" w:customStyle="1" w:styleId="FooterChar">
    <w:name w:val="Footer Char"/>
    <w:link w:val="Footer"/>
    <w:uiPriority w:val="99"/>
    <w:rsid w:val="00994A1A"/>
    <w:rPr>
      <w:rFonts w:eastAsia="Times New Roman" w:cs="Times New Roman"/>
      <w:sz w:val="24"/>
      <w:szCs w:val="24"/>
      <w:lang w:eastAsia="lv-LV"/>
    </w:rPr>
  </w:style>
  <w:style w:type="character" w:styleId="Hyperlink">
    <w:name w:val="Hyperlink"/>
    <w:rsid w:val="007756FB"/>
    <w:rPr>
      <w:color w:val="0000FF"/>
      <w:u w:val="single"/>
    </w:rPr>
  </w:style>
  <w:style w:type="paragraph" w:styleId="ListParagraph">
    <w:name w:val="List Paragraph"/>
    <w:basedOn w:val="Normal"/>
    <w:uiPriority w:val="34"/>
    <w:qFormat/>
    <w:rsid w:val="007756FB"/>
    <w:pPr>
      <w:ind w:left="720"/>
      <w:contextualSpacing/>
    </w:pPr>
  </w:style>
  <w:style w:type="character" w:styleId="CommentReference">
    <w:name w:val="annotation reference"/>
    <w:uiPriority w:val="99"/>
    <w:semiHidden/>
    <w:unhideWhenUsed/>
    <w:rsid w:val="00075879"/>
    <w:rPr>
      <w:sz w:val="16"/>
      <w:szCs w:val="16"/>
    </w:rPr>
  </w:style>
  <w:style w:type="paragraph" w:styleId="CommentText">
    <w:name w:val="annotation text"/>
    <w:basedOn w:val="Normal"/>
    <w:link w:val="CommentTextChar"/>
    <w:uiPriority w:val="99"/>
    <w:semiHidden/>
    <w:unhideWhenUsed/>
    <w:rsid w:val="00075879"/>
    <w:rPr>
      <w:sz w:val="20"/>
      <w:szCs w:val="20"/>
    </w:rPr>
  </w:style>
  <w:style w:type="character" w:customStyle="1" w:styleId="CommentTextChar">
    <w:name w:val="Comment Text Char"/>
    <w:link w:val="CommentText"/>
    <w:uiPriority w:val="99"/>
    <w:semiHidden/>
    <w:rsid w:val="0007587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B4146"/>
    <w:rPr>
      <w:b/>
      <w:bCs/>
    </w:rPr>
  </w:style>
  <w:style w:type="character" w:customStyle="1" w:styleId="CommentSubjectChar">
    <w:name w:val="Comment Subject Char"/>
    <w:link w:val="CommentSubject"/>
    <w:uiPriority w:val="99"/>
    <w:semiHidden/>
    <w:rsid w:val="001B4146"/>
    <w:rPr>
      <w:rFonts w:eastAsia="Times New Roman" w:cs="Times New Roman"/>
      <w:b/>
      <w:bCs/>
      <w:sz w:val="20"/>
      <w:szCs w:val="20"/>
      <w:lang w:eastAsia="lv-LV"/>
    </w:rPr>
  </w:style>
  <w:style w:type="paragraph" w:styleId="FootnoteText">
    <w:name w:val="footnote text"/>
    <w:basedOn w:val="Normal"/>
    <w:link w:val="FootnoteTextChar"/>
    <w:uiPriority w:val="99"/>
    <w:unhideWhenUsed/>
    <w:rsid w:val="007444DF"/>
    <w:rPr>
      <w:rFonts w:eastAsia="Calibri"/>
      <w:sz w:val="20"/>
      <w:szCs w:val="20"/>
      <w:lang w:eastAsia="en-US"/>
    </w:rPr>
  </w:style>
  <w:style w:type="character" w:customStyle="1" w:styleId="FootnoteTextChar">
    <w:name w:val="Footnote Text Char"/>
    <w:link w:val="FootnoteText"/>
    <w:uiPriority w:val="99"/>
    <w:rsid w:val="007444DF"/>
    <w:rPr>
      <w:rFonts w:eastAsia="Calibri" w:cs="Times New Roman"/>
      <w:sz w:val="20"/>
      <w:szCs w:val="20"/>
    </w:rPr>
  </w:style>
  <w:style w:type="character" w:styleId="FootnoteReference">
    <w:name w:val="footnote reference"/>
    <w:unhideWhenUsed/>
    <w:rsid w:val="007444DF"/>
    <w:rPr>
      <w:vertAlign w:val="superscript"/>
    </w:rPr>
  </w:style>
  <w:style w:type="character" w:styleId="Emphasis">
    <w:name w:val="Emphasis"/>
    <w:uiPriority w:val="20"/>
    <w:qFormat/>
    <w:rsid w:val="007444DF"/>
    <w:rPr>
      <w:i/>
      <w:iCs/>
    </w:rPr>
  </w:style>
  <w:style w:type="character" w:customStyle="1" w:styleId="BodyText1">
    <w:name w:val="Body Text1"/>
    <w:rsid w:val="006F421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style>
  <w:style w:type="paragraph" w:styleId="Revision">
    <w:name w:val="Revision"/>
    <w:hidden/>
    <w:uiPriority w:val="99"/>
    <w:semiHidden/>
    <w:rsid w:val="00E814DC"/>
    <w:rPr>
      <w:rFonts w:eastAsia="Times New Roman"/>
      <w:sz w:val="24"/>
      <w:szCs w:val="24"/>
    </w:rPr>
  </w:style>
  <w:style w:type="character" w:customStyle="1" w:styleId="apple-converted-space">
    <w:name w:val="apple-converted-space"/>
    <w:rsid w:val="00B66F81"/>
  </w:style>
  <w:style w:type="paragraph" w:customStyle="1" w:styleId="considrant">
    <w:name w:val="considrant"/>
    <w:basedOn w:val="Normal"/>
    <w:uiPriority w:val="99"/>
    <w:rsid w:val="00256793"/>
    <w:pPr>
      <w:spacing w:before="120" w:after="120"/>
      <w:jc w:val="both"/>
    </w:pPr>
    <w:rPr>
      <w:rFonts w:eastAsia="Calibri"/>
    </w:rPr>
  </w:style>
  <w:style w:type="paragraph" w:customStyle="1" w:styleId="tv213">
    <w:name w:val="tv213"/>
    <w:basedOn w:val="Normal"/>
    <w:rsid w:val="00493B21"/>
    <w:pPr>
      <w:spacing w:before="100" w:beforeAutospacing="1" w:after="100" w:afterAutospacing="1"/>
    </w:pPr>
  </w:style>
  <w:style w:type="table" w:styleId="TableGridLight">
    <w:name w:val="Grid Table Light"/>
    <w:basedOn w:val="TableNormal"/>
    <w:uiPriority w:val="40"/>
    <w:rsid w:val="00FF5B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13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49698">
      <w:bodyDiv w:val="1"/>
      <w:marLeft w:val="0"/>
      <w:marRight w:val="0"/>
      <w:marTop w:val="0"/>
      <w:marBottom w:val="0"/>
      <w:divBdr>
        <w:top w:val="none" w:sz="0" w:space="0" w:color="auto"/>
        <w:left w:val="none" w:sz="0" w:space="0" w:color="auto"/>
        <w:bottom w:val="none" w:sz="0" w:space="0" w:color="auto"/>
        <w:right w:val="none" w:sz="0" w:space="0" w:color="auto"/>
      </w:divBdr>
    </w:div>
    <w:div w:id="277102717">
      <w:bodyDiv w:val="1"/>
      <w:marLeft w:val="0"/>
      <w:marRight w:val="0"/>
      <w:marTop w:val="0"/>
      <w:marBottom w:val="0"/>
      <w:divBdr>
        <w:top w:val="none" w:sz="0" w:space="0" w:color="auto"/>
        <w:left w:val="none" w:sz="0" w:space="0" w:color="auto"/>
        <w:bottom w:val="none" w:sz="0" w:space="0" w:color="auto"/>
        <w:right w:val="none" w:sz="0" w:space="0" w:color="auto"/>
      </w:divBdr>
    </w:div>
    <w:div w:id="301735299">
      <w:bodyDiv w:val="1"/>
      <w:marLeft w:val="0"/>
      <w:marRight w:val="0"/>
      <w:marTop w:val="0"/>
      <w:marBottom w:val="0"/>
      <w:divBdr>
        <w:top w:val="none" w:sz="0" w:space="0" w:color="auto"/>
        <w:left w:val="none" w:sz="0" w:space="0" w:color="auto"/>
        <w:bottom w:val="none" w:sz="0" w:space="0" w:color="auto"/>
        <w:right w:val="none" w:sz="0" w:space="0" w:color="auto"/>
      </w:divBdr>
      <w:divsChild>
        <w:div w:id="1999531793">
          <w:marLeft w:val="0"/>
          <w:marRight w:val="0"/>
          <w:marTop w:val="0"/>
          <w:marBottom w:val="0"/>
          <w:divBdr>
            <w:top w:val="none" w:sz="0" w:space="0" w:color="auto"/>
            <w:left w:val="none" w:sz="0" w:space="0" w:color="auto"/>
            <w:bottom w:val="none" w:sz="0" w:space="0" w:color="auto"/>
            <w:right w:val="none" w:sz="0" w:space="0" w:color="auto"/>
          </w:divBdr>
          <w:divsChild>
            <w:div w:id="496073459">
              <w:marLeft w:val="3225"/>
              <w:marRight w:val="0"/>
              <w:marTop w:val="0"/>
              <w:marBottom w:val="0"/>
              <w:divBdr>
                <w:top w:val="none" w:sz="0" w:space="0" w:color="auto"/>
                <w:left w:val="none" w:sz="0" w:space="0" w:color="auto"/>
                <w:bottom w:val="none" w:sz="0" w:space="0" w:color="auto"/>
                <w:right w:val="none" w:sz="0" w:space="0" w:color="auto"/>
              </w:divBdr>
              <w:divsChild>
                <w:div w:id="1620994343">
                  <w:marLeft w:val="90"/>
                  <w:marRight w:val="0"/>
                  <w:marTop w:val="0"/>
                  <w:marBottom w:val="0"/>
                  <w:divBdr>
                    <w:top w:val="single" w:sz="6" w:space="0" w:color="EEEEEE"/>
                    <w:left w:val="none" w:sz="0" w:space="0" w:color="auto"/>
                    <w:bottom w:val="none" w:sz="0" w:space="0" w:color="auto"/>
                    <w:right w:val="none" w:sz="0" w:space="0" w:color="auto"/>
                  </w:divBdr>
                  <w:divsChild>
                    <w:div w:id="1620599564">
                      <w:marLeft w:val="0"/>
                      <w:marRight w:val="0"/>
                      <w:marTop w:val="0"/>
                      <w:marBottom w:val="0"/>
                      <w:divBdr>
                        <w:top w:val="none" w:sz="0" w:space="0" w:color="auto"/>
                        <w:left w:val="none" w:sz="0" w:space="0" w:color="auto"/>
                        <w:bottom w:val="none" w:sz="0" w:space="0" w:color="auto"/>
                        <w:right w:val="none" w:sz="0" w:space="0" w:color="auto"/>
                      </w:divBdr>
                      <w:divsChild>
                        <w:div w:id="18280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55007">
      <w:bodyDiv w:val="1"/>
      <w:marLeft w:val="0"/>
      <w:marRight w:val="0"/>
      <w:marTop w:val="0"/>
      <w:marBottom w:val="0"/>
      <w:divBdr>
        <w:top w:val="none" w:sz="0" w:space="0" w:color="auto"/>
        <w:left w:val="none" w:sz="0" w:space="0" w:color="auto"/>
        <w:bottom w:val="none" w:sz="0" w:space="0" w:color="auto"/>
        <w:right w:val="none" w:sz="0" w:space="0" w:color="auto"/>
      </w:divBdr>
    </w:div>
    <w:div w:id="542981941">
      <w:bodyDiv w:val="1"/>
      <w:marLeft w:val="0"/>
      <w:marRight w:val="0"/>
      <w:marTop w:val="0"/>
      <w:marBottom w:val="0"/>
      <w:divBdr>
        <w:top w:val="none" w:sz="0" w:space="0" w:color="auto"/>
        <w:left w:val="none" w:sz="0" w:space="0" w:color="auto"/>
        <w:bottom w:val="none" w:sz="0" w:space="0" w:color="auto"/>
        <w:right w:val="none" w:sz="0" w:space="0" w:color="auto"/>
      </w:divBdr>
      <w:divsChild>
        <w:div w:id="566453266">
          <w:marLeft w:val="0"/>
          <w:marRight w:val="0"/>
          <w:marTop w:val="0"/>
          <w:marBottom w:val="0"/>
          <w:divBdr>
            <w:top w:val="none" w:sz="0" w:space="0" w:color="auto"/>
            <w:left w:val="none" w:sz="0" w:space="0" w:color="auto"/>
            <w:bottom w:val="none" w:sz="0" w:space="0" w:color="auto"/>
            <w:right w:val="none" w:sz="0" w:space="0" w:color="auto"/>
          </w:divBdr>
          <w:divsChild>
            <w:div w:id="1693531608">
              <w:marLeft w:val="0"/>
              <w:marRight w:val="0"/>
              <w:marTop w:val="0"/>
              <w:marBottom w:val="0"/>
              <w:divBdr>
                <w:top w:val="none" w:sz="0" w:space="0" w:color="auto"/>
                <w:left w:val="none" w:sz="0" w:space="0" w:color="auto"/>
                <w:bottom w:val="none" w:sz="0" w:space="0" w:color="auto"/>
                <w:right w:val="none" w:sz="0" w:space="0" w:color="auto"/>
              </w:divBdr>
              <w:divsChild>
                <w:div w:id="1578051529">
                  <w:marLeft w:val="0"/>
                  <w:marRight w:val="0"/>
                  <w:marTop w:val="0"/>
                  <w:marBottom w:val="0"/>
                  <w:divBdr>
                    <w:top w:val="none" w:sz="0" w:space="0" w:color="auto"/>
                    <w:left w:val="none" w:sz="0" w:space="0" w:color="auto"/>
                    <w:bottom w:val="none" w:sz="0" w:space="0" w:color="auto"/>
                    <w:right w:val="none" w:sz="0" w:space="0" w:color="auto"/>
                  </w:divBdr>
                  <w:divsChild>
                    <w:div w:id="539778717">
                      <w:marLeft w:val="0"/>
                      <w:marRight w:val="0"/>
                      <w:marTop w:val="0"/>
                      <w:marBottom w:val="0"/>
                      <w:divBdr>
                        <w:top w:val="none" w:sz="0" w:space="0" w:color="auto"/>
                        <w:left w:val="none" w:sz="0" w:space="0" w:color="auto"/>
                        <w:bottom w:val="none" w:sz="0" w:space="0" w:color="auto"/>
                        <w:right w:val="none" w:sz="0" w:space="0" w:color="auto"/>
                      </w:divBdr>
                      <w:divsChild>
                        <w:div w:id="679086599">
                          <w:marLeft w:val="0"/>
                          <w:marRight w:val="0"/>
                          <w:marTop w:val="0"/>
                          <w:marBottom w:val="0"/>
                          <w:divBdr>
                            <w:top w:val="none" w:sz="0" w:space="0" w:color="auto"/>
                            <w:left w:val="none" w:sz="0" w:space="0" w:color="auto"/>
                            <w:bottom w:val="none" w:sz="0" w:space="0" w:color="auto"/>
                            <w:right w:val="none" w:sz="0" w:space="0" w:color="auto"/>
                          </w:divBdr>
                          <w:divsChild>
                            <w:div w:id="16563763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157">
      <w:bodyDiv w:val="1"/>
      <w:marLeft w:val="0"/>
      <w:marRight w:val="0"/>
      <w:marTop w:val="0"/>
      <w:marBottom w:val="0"/>
      <w:divBdr>
        <w:top w:val="none" w:sz="0" w:space="0" w:color="auto"/>
        <w:left w:val="none" w:sz="0" w:space="0" w:color="auto"/>
        <w:bottom w:val="none" w:sz="0" w:space="0" w:color="auto"/>
        <w:right w:val="none" w:sz="0" w:space="0" w:color="auto"/>
      </w:divBdr>
    </w:div>
    <w:div w:id="584148781">
      <w:bodyDiv w:val="1"/>
      <w:marLeft w:val="0"/>
      <w:marRight w:val="0"/>
      <w:marTop w:val="0"/>
      <w:marBottom w:val="0"/>
      <w:divBdr>
        <w:top w:val="none" w:sz="0" w:space="0" w:color="auto"/>
        <w:left w:val="none" w:sz="0" w:space="0" w:color="auto"/>
        <w:bottom w:val="none" w:sz="0" w:space="0" w:color="auto"/>
        <w:right w:val="none" w:sz="0" w:space="0" w:color="auto"/>
      </w:divBdr>
    </w:div>
    <w:div w:id="625626401">
      <w:bodyDiv w:val="1"/>
      <w:marLeft w:val="0"/>
      <w:marRight w:val="0"/>
      <w:marTop w:val="0"/>
      <w:marBottom w:val="0"/>
      <w:divBdr>
        <w:top w:val="none" w:sz="0" w:space="0" w:color="auto"/>
        <w:left w:val="none" w:sz="0" w:space="0" w:color="auto"/>
        <w:bottom w:val="none" w:sz="0" w:space="0" w:color="auto"/>
        <w:right w:val="none" w:sz="0" w:space="0" w:color="auto"/>
      </w:divBdr>
      <w:divsChild>
        <w:div w:id="473066624">
          <w:marLeft w:val="0"/>
          <w:marRight w:val="0"/>
          <w:marTop w:val="0"/>
          <w:marBottom w:val="0"/>
          <w:divBdr>
            <w:top w:val="none" w:sz="0" w:space="0" w:color="auto"/>
            <w:left w:val="none" w:sz="0" w:space="0" w:color="auto"/>
            <w:bottom w:val="none" w:sz="0" w:space="0" w:color="auto"/>
            <w:right w:val="none" w:sz="0" w:space="0" w:color="auto"/>
          </w:divBdr>
          <w:divsChild>
            <w:div w:id="576282641">
              <w:marLeft w:val="0"/>
              <w:marRight w:val="0"/>
              <w:marTop w:val="0"/>
              <w:marBottom w:val="0"/>
              <w:divBdr>
                <w:top w:val="none" w:sz="0" w:space="0" w:color="auto"/>
                <w:left w:val="none" w:sz="0" w:space="0" w:color="auto"/>
                <w:bottom w:val="none" w:sz="0" w:space="0" w:color="auto"/>
                <w:right w:val="none" w:sz="0" w:space="0" w:color="auto"/>
              </w:divBdr>
              <w:divsChild>
                <w:div w:id="43022532">
                  <w:marLeft w:val="0"/>
                  <w:marRight w:val="0"/>
                  <w:marTop w:val="0"/>
                  <w:marBottom w:val="0"/>
                  <w:divBdr>
                    <w:top w:val="none" w:sz="0" w:space="0" w:color="auto"/>
                    <w:left w:val="none" w:sz="0" w:space="0" w:color="auto"/>
                    <w:bottom w:val="none" w:sz="0" w:space="0" w:color="auto"/>
                    <w:right w:val="none" w:sz="0" w:space="0" w:color="auto"/>
                  </w:divBdr>
                  <w:divsChild>
                    <w:div w:id="813451005">
                      <w:marLeft w:val="0"/>
                      <w:marRight w:val="0"/>
                      <w:marTop w:val="0"/>
                      <w:marBottom w:val="0"/>
                      <w:divBdr>
                        <w:top w:val="none" w:sz="0" w:space="0" w:color="auto"/>
                        <w:left w:val="none" w:sz="0" w:space="0" w:color="auto"/>
                        <w:bottom w:val="none" w:sz="0" w:space="0" w:color="auto"/>
                        <w:right w:val="none" w:sz="0" w:space="0" w:color="auto"/>
                      </w:divBdr>
                      <w:divsChild>
                        <w:div w:id="1356882407">
                          <w:marLeft w:val="0"/>
                          <w:marRight w:val="0"/>
                          <w:marTop w:val="0"/>
                          <w:marBottom w:val="0"/>
                          <w:divBdr>
                            <w:top w:val="none" w:sz="0" w:space="0" w:color="auto"/>
                            <w:left w:val="none" w:sz="0" w:space="0" w:color="auto"/>
                            <w:bottom w:val="none" w:sz="0" w:space="0" w:color="auto"/>
                            <w:right w:val="none" w:sz="0" w:space="0" w:color="auto"/>
                          </w:divBdr>
                          <w:divsChild>
                            <w:div w:id="204054176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25686">
      <w:bodyDiv w:val="1"/>
      <w:marLeft w:val="0"/>
      <w:marRight w:val="0"/>
      <w:marTop w:val="0"/>
      <w:marBottom w:val="0"/>
      <w:divBdr>
        <w:top w:val="none" w:sz="0" w:space="0" w:color="auto"/>
        <w:left w:val="none" w:sz="0" w:space="0" w:color="auto"/>
        <w:bottom w:val="none" w:sz="0" w:space="0" w:color="auto"/>
        <w:right w:val="none" w:sz="0" w:space="0" w:color="auto"/>
      </w:divBdr>
    </w:div>
    <w:div w:id="884681965">
      <w:bodyDiv w:val="1"/>
      <w:marLeft w:val="0"/>
      <w:marRight w:val="0"/>
      <w:marTop w:val="0"/>
      <w:marBottom w:val="0"/>
      <w:divBdr>
        <w:top w:val="none" w:sz="0" w:space="0" w:color="auto"/>
        <w:left w:val="none" w:sz="0" w:space="0" w:color="auto"/>
        <w:bottom w:val="none" w:sz="0" w:space="0" w:color="auto"/>
        <w:right w:val="none" w:sz="0" w:space="0" w:color="auto"/>
      </w:divBdr>
      <w:divsChild>
        <w:div w:id="1647393771">
          <w:marLeft w:val="0"/>
          <w:marRight w:val="0"/>
          <w:marTop w:val="0"/>
          <w:marBottom w:val="0"/>
          <w:divBdr>
            <w:top w:val="none" w:sz="0" w:space="0" w:color="auto"/>
            <w:left w:val="none" w:sz="0" w:space="0" w:color="auto"/>
            <w:bottom w:val="none" w:sz="0" w:space="0" w:color="auto"/>
            <w:right w:val="none" w:sz="0" w:space="0" w:color="auto"/>
          </w:divBdr>
          <w:divsChild>
            <w:div w:id="17543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9388">
      <w:bodyDiv w:val="1"/>
      <w:marLeft w:val="0"/>
      <w:marRight w:val="0"/>
      <w:marTop w:val="0"/>
      <w:marBottom w:val="0"/>
      <w:divBdr>
        <w:top w:val="none" w:sz="0" w:space="0" w:color="auto"/>
        <w:left w:val="none" w:sz="0" w:space="0" w:color="auto"/>
        <w:bottom w:val="none" w:sz="0" w:space="0" w:color="auto"/>
        <w:right w:val="none" w:sz="0" w:space="0" w:color="auto"/>
      </w:divBdr>
      <w:divsChild>
        <w:div w:id="1582789078">
          <w:marLeft w:val="0"/>
          <w:marRight w:val="0"/>
          <w:marTop w:val="0"/>
          <w:marBottom w:val="0"/>
          <w:divBdr>
            <w:top w:val="none" w:sz="0" w:space="0" w:color="auto"/>
            <w:left w:val="none" w:sz="0" w:space="0" w:color="auto"/>
            <w:bottom w:val="none" w:sz="0" w:space="0" w:color="auto"/>
            <w:right w:val="none" w:sz="0" w:space="0" w:color="auto"/>
          </w:divBdr>
          <w:divsChild>
            <w:div w:id="1664621479">
              <w:marLeft w:val="0"/>
              <w:marRight w:val="0"/>
              <w:marTop w:val="0"/>
              <w:marBottom w:val="0"/>
              <w:divBdr>
                <w:top w:val="none" w:sz="0" w:space="0" w:color="auto"/>
                <w:left w:val="none" w:sz="0" w:space="0" w:color="auto"/>
                <w:bottom w:val="none" w:sz="0" w:space="0" w:color="auto"/>
                <w:right w:val="none" w:sz="0" w:space="0" w:color="auto"/>
              </w:divBdr>
              <w:divsChild>
                <w:div w:id="1899122696">
                  <w:marLeft w:val="0"/>
                  <w:marRight w:val="0"/>
                  <w:marTop w:val="0"/>
                  <w:marBottom w:val="0"/>
                  <w:divBdr>
                    <w:top w:val="none" w:sz="0" w:space="0" w:color="auto"/>
                    <w:left w:val="none" w:sz="0" w:space="0" w:color="auto"/>
                    <w:bottom w:val="none" w:sz="0" w:space="0" w:color="auto"/>
                    <w:right w:val="none" w:sz="0" w:space="0" w:color="auto"/>
                  </w:divBdr>
                  <w:divsChild>
                    <w:div w:id="1073160727">
                      <w:marLeft w:val="0"/>
                      <w:marRight w:val="0"/>
                      <w:marTop w:val="0"/>
                      <w:marBottom w:val="0"/>
                      <w:divBdr>
                        <w:top w:val="none" w:sz="0" w:space="0" w:color="auto"/>
                        <w:left w:val="none" w:sz="0" w:space="0" w:color="auto"/>
                        <w:bottom w:val="none" w:sz="0" w:space="0" w:color="auto"/>
                        <w:right w:val="none" w:sz="0" w:space="0" w:color="auto"/>
                      </w:divBdr>
                      <w:divsChild>
                        <w:div w:id="1948348204">
                          <w:marLeft w:val="0"/>
                          <w:marRight w:val="0"/>
                          <w:marTop w:val="0"/>
                          <w:marBottom w:val="0"/>
                          <w:divBdr>
                            <w:top w:val="none" w:sz="0" w:space="0" w:color="auto"/>
                            <w:left w:val="none" w:sz="0" w:space="0" w:color="auto"/>
                            <w:bottom w:val="none" w:sz="0" w:space="0" w:color="auto"/>
                            <w:right w:val="none" w:sz="0" w:space="0" w:color="auto"/>
                          </w:divBdr>
                          <w:divsChild>
                            <w:div w:id="15204371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476412215">
      <w:bodyDiv w:val="1"/>
      <w:marLeft w:val="0"/>
      <w:marRight w:val="0"/>
      <w:marTop w:val="0"/>
      <w:marBottom w:val="0"/>
      <w:divBdr>
        <w:top w:val="none" w:sz="0" w:space="0" w:color="auto"/>
        <w:left w:val="none" w:sz="0" w:space="0" w:color="auto"/>
        <w:bottom w:val="none" w:sz="0" w:space="0" w:color="auto"/>
        <w:right w:val="none" w:sz="0" w:space="0" w:color="auto"/>
      </w:divBdr>
    </w:div>
    <w:div w:id="1489010132">
      <w:bodyDiv w:val="1"/>
      <w:marLeft w:val="0"/>
      <w:marRight w:val="0"/>
      <w:marTop w:val="0"/>
      <w:marBottom w:val="0"/>
      <w:divBdr>
        <w:top w:val="none" w:sz="0" w:space="0" w:color="auto"/>
        <w:left w:val="none" w:sz="0" w:space="0" w:color="auto"/>
        <w:bottom w:val="none" w:sz="0" w:space="0" w:color="auto"/>
        <w:right w:val="none" w:sz="0" w:space="0" w:color="auto"/>
      </w:divBdr>
      <w:divsChild>
        <w:div w:id="717701077">
          <w:marLeft w:val="0"/>
          <w:marRight w:val="0"/>
          <w:marTop w:val="480"/>
          <w:marBottom w:val="240"/>
          <w:divBdr>
            <w:top w:val="none" w:sz="0" w:space="0" w:color="auto"/>
            <w:left w:val="none" w:sz="0" w:space="0" w:color="auto"/>
            <w:bottom w:val="none" w:sz="0" w:space="0" w:color="auto"/>
            <w:right w:val="none" w:sz="0" w:space="0" w:color="auto"/>
          </w:divBdr>
        </w:div>
        <w:div w:id="2018843572">
          <w:marLeft w:val="0"/>
          <w:marRight w:val="0"/>
          <w:marTop w:val="0"/>
          <w:marBottom w:val="567"/>
          <w:divBdr>
            <w:top w:val="none" w:sz="0" w:space="0" w:color="auto"/>
            <w:left w:val="none" w:sz="0" w:space="0" w:color="auto"/>
            <w:bottom w:val="none" w:sz="0" w:space="0" w:color="auto"/>
            <w:right w:val="none" w:sz="0" w:space="0" w:color="auto"/>
          </w:divBdr>
        </w:div>
      </w:divsChild>
    </w:div>
    <w:div w:id="1667170408">
      <w:bodyDiv w:val="1"/>
      <w:marLeft w:val="0"/>
      <w:marRight w:val="0"/>
      <w:marTop w:val="0"/>
      <w:marBottom w:val="0"/>
      <w:divBdr>
        <w:top w:val="none" w:sz="0" w:space="0" w:color="auto"/>
        <w:left w:val="none" w:sz="0" w:space="0" w:color="auto"/>
        <w:bottom w:val="none" w:sz="0" w:space="0" w:color="auto"/>
        <w:right w:val="none" w:sz="0" w:space="0" w:color="auto"/>
      </w:divBdr>
    </w:div>
    <w:div w:id="1696810860">
      <w:bodyDiv w:val="1"/>
      <w:marLeft w:val="0"/>
      <w:marRight w:val="0"/>
      <w:marTop w:val="0"/>
      <w:marBottom w:val="0"/>
      <w:divBdr>
        <w:top w:val="none" w:sz="0" w:space="0" w:color="auto"/>
        <w:left w:val="none" w:sz="0" w:space="0" w:color="auto"/>
        <w:bottom w:val="none" w:sz="0" w:space="0" w:color="auto"/>
        <w:right w:val="none" w:sz="0" w:space="0" w:color="auto"/>
      </w:divBdr>
    </w:div>
    <w:div w:id="1910571795">
      <w:bodyDiv w:val="1"/>
      <w:marLeft w:val="0"/>
      <w:marRight w:val="0"/>
      <w:marTop w:val="0"/>
      <w:marBottom w:val="0"/>
      <w:divBdr>
        <w:top w:val="none" w:sz="0" w:space="0" w:color="auto"/>
        <w:left w:val="none" w:sz="0" w:space="0" w:color="auto"/>
        <w:bottom w:val="none" w:sz="0" w:space="0" w:color="auto"/>
        <w:right w:val="none" w:sz="0" w:space="0" w:color="auto"/>
      </w:divBdr>
    </w:div>
    <w:div w:id="2034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Rozitis@e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ACB1-5B65-4A8A-A205-268EFE73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10940</Words>
  <Characters>6237</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2017.gada 4.aprīļa noteikumos Nr.199 “Noteikumi par dabasgāzes apriti un akcīzes nodokļa piemērošanas kārtību”” sākotnējās ietekmes novērtējuma ziņojums (anotācija)</vt:lpstr>
    </vt:vector>
  </TitlesOfParts>
  <Manager>G.Pužule</Manager>
  <Company>Finanšu ministrija</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2017.gada 4.aprīļa noteikumos Nr.199 “Noteikumi par dabasgāzes apriti un akcīzes nodokļa piemērošanas kārtību”” sākotnējās ietekmes novērtējuma ziņojums (anotācija)</dc:title>
  <dc:subject>anotācija</dc:subject>
  <dc:creator>juris.lukss@fm.gov.lv</dc:creator>
  <cp:keywords/>
  <dc:description>Juris Luksss, e-pasts:
Juris.Lukss@fm.gov.lv
T:67083846, fakss: 67095421</dc:description>
  <cp:lastModifiedBy>Jānis Rozītis</cp:lastModifiedBy>
  <cp:revision>14</cp:revision>
  <cp:lastPrinted>2020-10-22T10:25:00Z</cp:lastPrinted>
  <dcterms:created xsi:type="dcterms:W3CDTF">2021-06-08T06:49:00Z</dcterms:created>
  <dcterms:modified xsi:type="dcterms:W3CDTF">2021-06-16T07:41:00Z</dcterms:modified>
</cp:coreProperties>
</file>