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CC876" w14:textId="6014A435" w:rsidR="006149C8" w:rsidRPr="006149C8" w:rsidRDefault="006149C8" w:rsidP="00835BF0">
      <w:pPr>
        <w:shd w:val="clear" w:color="auto" w:fill="FFFFFF"/>
        <w:contextualSpacing/>
        <w:jc w:val="center"/>
      </w:pPr>
      <w:r w:rsidRPr="006149C8">
        <w:rPr>
          <w:b/>
          <w:bCs/>
        </w:rPr>
        <w:t xml:space="preserve">Ministru kabineta noteikumu </w:t>
      </w:r>
      <w:r w:rsidR="001020AF">
        <w:rPr>
          <w:b/>
          <w:bCs/>
        </w:rPr>
        <w:t xml:space="preserve">projekta </w:t>
      </w:r>
      <w:bookmarkStart w:id="0" w:name="_Hlk74819497"/>
      <w:r w:rsidR="001020AF">
        <w:rPr>
          <w:b/>
          <w:bCs/>
        </w:rPr>
        <w:t>“</w:t>
      </w:r>
      <w:r w:rsidR="00CD7BE3" w:rsidRPr="00CD7BE3">
        <w:rPr>
          <w:b/>
          <w:bCs/>
        </w:rPr>
        <w:t>Grozījumi Ministru kabineta 2014. gada 2. septembra noteikumos Nr.530 “Dzelzceļa būvnoteikumi</w:t>
      </w:r>
      <w:r w:rsidR="001020AF">
        <w:rPr>
          <w:b/>
          <w:bCs/>
        </w:rPr>
        <w:t>””</w:t>
      </w:r>
      <w:r w:rsidR="00CD7BE3">
        <w:rPr>
          <w:b/>
          <w:bCs/>
        </w:rPr>
        <w:t xml:space="preserve">, </w:t>
      </w:r>
      <w:r w:rsidR="00235A51" w:rsidRPr="00235A51">
        <w:rPr>
          <w:b/>
          <w:bCs/>
        </w:rPr>
        <w:t>Ministru kabineta noteikumu projekta</w:t>
      </w:r>
      <w:r w:rsidR="00235A51">
        <w:rPr>
          <w:b/>
          <w:bCs/>
        </w:rPr>
        <w:t xml:space="preserve"> “</w:t>
      </w:r>
      <w:r w:rsidR="00262E5F" w:rsidRPr="00262E5F">
        <w:rPr>
          <w:b/>
          <w:bCs/>
        </w:rPr>
        <w:t>Grozījumi Ministru kabineta 2014. gada 16. septembra noteikumos Nr. 550 “Hidrotehnisko un meliorācijas būvju būvnoteikumi”</w:t>
      </w:r>
      <w:r w:rsidR="00262E5F">
        <w:rPr>
          <w:b/>
          <w:bCs/>
        </w:rPr>
        <w:t xml:space="preserve">”, </w:t>
      </w:r>
      <w:r w:rsidR="00262E5F" w:rsidRPr="00262E5F">
        <w:rPr>
          <w:b/>
          <w:bCs/>
        </w:rPr>
        <w:t>Ministru kabineta noteikumu projekta</w:t>
      </w:r>
      <w:r w:rsidR="00262E5F">
        <w:rPr>
          <w:b/>
          <w:bCs/>
        </w:rPr>
        <w:t xml:space="preserve"> “</w:t>
      </w:r>
      <w:r w:rsidR="002B71E6" w:rsidRPr="002B71E6">
        <w:rPr>
          <w:b/>
          <w:bCs/>
        </w:rPr>
        <w:t>Grozījumi Ministru kabineta 2015. gada 24. novembra noteikumos Nr. 661 “Ar radiācijas drošību saistīto būvju būvnoteikumi”</w:t>
      </w:r>
      <w:r w:rsidR="002B71E6">
        <w:rPr>
          <w:b/>
          <w:bCs/>
        </w:rPr>
        <w:t xml:space="preserve">” un </w:t>
      </w:r>
      <w:r w:rsidR="002B71E6" w:rsidRPr="002B71E6">
        <w:rPr>
          <w:b/>
          <w:bCs/>
        </w:rPr>
        <w:t>Ministru kabineta noteikumu projekta</w:t>
      </w:r>
      <w:r w:rsidR="002B71E6">
        <w:rPr>
          <w:b/>
          <w:bCs/>
        </w:rPr>
        <w:t xml:space="preserve"> “</w:t>
      </w:r>
      <w:bookmarkStart w:id="1" w:name="_Hlk15979207"/>
      <w:r w:rsidR="00835BF0" w:rsidRPr="00835BF0">
        <w:rPr>
          <w:b/>
          <w:bCs/>
        </w:rPr>
        <w:t>Grozījumi Ministru kabineta 2014. gada 14. oktobra noteikumos Nr. 631 “Latvijas Republikas iekšējo jūras ūdeņu, teritoriālās jūras un ekskluzīvās ekonomiskās zonas būvju būvnoteikumi”</w:t>
      </w:r>
      <w:bookmarkEnd w:id="1"/>
      <w:r w:rsidR="00835BF0">
        <w:rPr>
          <w:b/>
          <w:bCs/>
        </w:rPr>
        <w:t xml:space="preserve">” </w:t>
      </w:r>
      <w:bookmarkEnd w:id="0"/>
      <w:r w:rsidRPr="006149C8">
        <w:rPr>
          <w:b/>
          <w:bCs/>
        </w:rPr>
        <w:t>sākotnējās ietekmes novērtējuma</w:t>
      </w:r>
      <w:r w:rsidR="007321C7">
        <w:rPr>
          <w:b/>
          <w:bCs/>
        </w:rPr>
        <w:t xml:space="preserve"> </w:t>
      </w:r>
      <w:r w:rsidR="00C1090F">
        <w:rPr>
          <w:b/>
          <w:bCs/>
        </w:rPr>
        <w:t xml:space="preserve">apvienotais </w:t>
      </w:r>
      <w:r w:rsidRPr="006149C8">
        <w:rPr>
          <w:b/>
          <w:bCs/>
        </w:rPr>
        <w:t>ziņojums (anotācija)</w:t>
      </w:r>
    </w:p>
    <w:p w14:paraId="2BB3308F" w14:textId="77777777" w:rsidR="00456EC4" w:rsidRPr="006149C8" w:rsidRDefault="00456EC4"/>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28" w:type="dxa"/>
          <w:bottom w:w="28" w:type="dxa"/>
          <w:right w:w="28" w:type="dxa"/>
        </w:tblCellMar>
        <w:tblLook w:val="04A0" w:firstRow="1" w:lastRow="0" w:firstColumn="1" w:lastColumn="0" w:noHBand="0" w:noVBand="1"/>
      </w:tblPr>
      <w:tblGrid>
        <w:gridCol w:w="3288"/>
        <w:gridCol w:w="5773"/>
      </w:tblGrid>
      <w:tr w:rsidR="006149C8" w:rsidRPr="006149C8" w14:paraId="73F99834" w14:textId="77777777" w:rsidTr="00F62FDC">
        <w:trPr>
          <w:cantSplit/>
        </w:trPr>
        <w:tc>
          <w:tcPr>
            <w:tcW w:w="830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45AA1B0" w14:textId="77777777" w:rsidR="006149C8" w:rsidRPr="006149C8" w:rsidRDefault="006149C8" w:rsidP="00F62FDC">
            <w:pPr>
              <w:contextualSpacing/>
              <w:jc w:val="center"/>
              <w:rPr>
                <w:b/>
                <w:iCs/>
                <w:lang w:eastAsia="en-US"/>
              </w:rPr>
            </w:pPr>
            <w:r w:rsidRPr="006149C8">
              <w:rPr>
                <w:b/>
                <w:iCs/>
                <w:lang w:eastAsia="en-US"/>
              </w:rPr>
              <w:t>Tiesību akta projekta anotācijas kopsavilkums</w:t>
            </w:r>
          </w:p>
        </w:tc>
      </w:tr>
      <w:tr w:rsidR="006149C8" w:rsidRPr="006149C8" w14:paraId="6944327F" w14:textId="77777777" w:rsidTr="00F62FDC">
        <w:trPr>
          <w:cantSplit/>
        </w:trPr>
        <w:tc>
          <w:tcPr>
            <w:tcW w:w="3014" w:type="dxa"/>
            <w:tcBorders>
              <w:top w:val="single" w:sz="4" w:space="0" w:color="00000A"/>
              <w:left w:val="single" w:sz="4" w:space="0" w:color="00000A"/>
              <w:bottom w:val="single" w:sz="4" w:space="0" w:color="00000A"/>
              <w:right w:val="single" w:sz="4" w:space="0" w:color="00000A"/>
            </w:tcBorders>
            <w:shd w:val="clear" w:color="auto" w:fill="FFFFFF"/>
          </w:tcPr>
          <w:p w14:paraId="4950F6BB" w14:textId="77777777" w:rsidR="006149C8" w:rsidRPr="006149C8" w:rsidRDefault="006149C8" w:rsidP="00F62FDC">
            <w:pPr>
              <w:contextualSpacing/>
              <w:rPr>
                <w:iCs/>
                <w:lang w:eastAsia="en-US"/>
              </w:rPr>
            </w:pPr>
            <w:r w:rsidRPr="006149C8">
              <w:rPr>
                <w:iCs/>
                <w:lang w:eastAsia="en-US"/>
              </w:rPr>
              <w:t>Mērķis, risinājums un projekta spēkā stāšanās laiks (500 zīmes bez atstarpēm)</w:t>
            </w:r>
          </w:p>
        </w:tc>
        <w:tc>
          <w:tcPr>
            <w:tcW w:w="5291" w:type="dxa"/>
            <w:tcBorders>
              <w:top w:val="single" w:sz="4" w:space="0" w:color="00000A"/>
              <w:left w:val="single" w:sz="4" w:space="0" w:color="00000A"/>
              <w:bottom w:val="single" w:sz="4" w:space="0" w:color="00000A"/>
              <w:right w:val="single" w:sz="4" w:space="0" w:color="00000A"/>
            </w:tcBorders>
            <w:shd w:val="clear" w:color="auto" w:fill="FFFFFF"/>
          </w:tcPr>
          <w:p w14:paraId="343D36D6" w14:textId="4A834CD7" w:rsidR="001020AF" w:rsidRDefault="00C705F1" w:rsidP="009C59F2">
            <w:pPr>
              <w:contextualSpacing/>
              <w:jc w:val="both"/>
              <w:rPr>
                <w:lang w:eastAsia="en-US"/>
              </w:rPr>
            </w:pPr>
            <w:bookmarkStart w:id="2" w:name="_Hlk11660242"/>
            <w:r w:rsidRPr="00C705F1">
              <w:rPr>
                <w:lang w:eastAsia="en-US"/>
              </w:rPr>
              <w:t>Ministru kabineta noteikumu projekta “Grozījumi Ministru kabineta 2014.</w:t>
            </w:r>
            <w:r>
              <w:rPr>
                <w:lang w:eastAsia="en-US"/>
              </w:rPr>
              <w:t> </w:t>
            </w:r>
            <w:r w:rsidRPr="00C705F1">
              <w:rPr>
                <w:lang w:eastAsia="en-US"/>
              </w:rPr>
              <w:t>gada 2. septembra noteikumos Nr.530 “Dzelzceļa būvnoteikumi””, Ministru kabineta noteikumu projekta “Grozījumi Ministru kabineta 2014. gada 16. septembra noteikumos Nr. 550 “Hidrotehnisko un meliorācijas būvju būvnoteikumi””, Ministru kabineta noteikumu projekta “Grozījumi Ministru kabineta 2015. gada 24. novembra noteikumos Nr. 661 “Ar radiācijas drošību saistīto būvju būvnoteikumi”” un Ministru kabineta noteikumu projekta “Grozījumi Ministru kabineta 2014. gada 14. oktobra noteikumos Nr. 631 “Latvijas Republikas iekšējo jūras ūdeņu, teritoriālās jūras un ekskluzīvās ekonomiskās zonas būvju būvnoteikumi””</w:t>
            </w:r>
            <w:r>
              <w:rPr>
                <w:lang w:eastAsia="en-US"/>
              </w:rPr>
              <w:t xml:space="preserve"> (turpmāk – noteikumu projekti)</w:t>
            </w:r>
            <w:r w:rsidR="00B54238">
              <w:rPr>
                <w:lang w:eastAsia="en-US"/>
              </w:rPr>
              <w:t xml:space="preserve"> mērķis ir salāgot savstarpēji </w:t>
            </w:r>
            <w:r w:rsidR="004B5F00">
              <w:rPr>
                <w:lang w:eastAsia="en-US"/>
              </w:rPr>
              <w:t xml:space="preserve">speciālo būvnoteikumu </w:t>
            </w:r>
            <w:r w:rsidR="00B54238">
              <w:rPr>
                <w:lang w:eastAsia="en-US"/>
              </w:rPr>
              <w:t>prasības, lai</w:t>
            </w:r>
            <w:r w:rsidR="004B5F00">
              <w:rPr>
                <w:lang w:eastAsia="en-US"/>
              </w:rPr>
              <w:t xml:space="preserve"> nodrošinātu vien</w:t>
            </w:r>
            <w:r w:rsidR="008F5AC5">
              <w:rPr>
                <w:lang w:eastAsia="en-US"/>
              </w:rPr>
              <w:t>veidīgu</w:t>
            </w:r>
            <w:r w:rsidR="004B5F00">
              <w:rPr>
                <w:lang w:eastAsia="en-US"/>
              </w:rPr>
              <w:t xml:space="preserve"> tiesību normu piemērošanu</w:t>
            </w:r>
            <w:r w:rsidR="00161A57">
              <w:rPr>
                <w:lang w:eastAsia="en-US"/>
              </w:rPr>
              <w:t>, nemainot tos pēc būtības.</w:t>
            </w:r>
          </w:p>
          <w:p w14:paraId="421636E1" w14:textId="05FC52B5" w:rsidR="006149C8" w:rsidRPr="006149C8" w:rsidRDefault="006149C8" w:rsidP="00F62FDC">
            <w:pPr>
              <w:contextualSpacing/>
              <w:jc w:val="both"/>
            </w:pPr>
            <w:r w:rsidRPr="006149C8">
              <w:rPr>
                <w:lang w:eastAsia="en-US"/>
              </w:rPr>
              <w:t>Ministru kabineta noteikumi stājas spēkā</w:t>
            </w:r>
            <w:r w:rsidR="001020AF">
              <w:rPr>
                <w:lang w:eastAsia="en-US"/>
              </w:rPr>
              <w:t xml:space="preserve"> </w:t>
            </w:r>
            <w:r w:rsidR="00E02A1A">
              <w:rPr>
                <w:lang w:eastAsia="en-US"/>
              </w:rPr>
              <w:t>2021. gada 1. </w:t>
            </w:r>
            <w:r w:rsidR="00C717D1">
              <w:rPr>
                <w:lang w:eastAsia="en-US"/>
              </w:rPr>
              <w:t>novembrī</w:t>
            </w:r>
            <w:r w:rsidRPr="006149C8">
              <w:rPr>
                <w:lang w:eastAsia="en-US"/>
              </w:rPr>
              <w:t>.</w:t>
            </w:r>
            <w:bookmarkEnd w:id="2"/>
          </w:p>
        </w:tc>
      </w:tr>
    </w:tbl>
    <w:p w14:paraId="78522D64" w14:textId="77777777" w:rsidR="006149C8" w:rsidRPr="006149C8" w:rsidRDefault="006149C8"/>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firstRow="1" w:lastRow="0" w:firstColumn="1" w:lastColumn="0" w:noHBand="0" w:noVBand="1"/>
      </w:tblPr>
      <w:tblGrid>
        <w:gridCol w:w="562"/>
        <w:gridCol w:w="2681"/>
        <w:gridCol w:w="5818"/>
      </w:tblGrid>
      <w:tr w:rsidR="006149C8" w:rsidRPr="006149C8" w14:paraId="514A0166" w14:textId="77777777" w:rsidTr="00F62FDC">
        <w:tc>
          <w:tcPr>
            <w:tcW w:w="83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3A44DD1" w14:textId="77777777" w:rsidR="006149C8" w:rsidRPr="006149C8" w:rsidRDefault="006149C8" w:rsidP="00F62FDC">
            <w:pPr>
              <w:contextualSpacing/>
              <w:jc w:val="center"/>
              <w:rPr>
                <w:b/>
                <w:bCs/>
              </w:rPr>
            </w:pPr>
            <w:r w:rsidRPr="006149C8">
              <w:rPr>
                <w:b/>
                <w:bCs/>
              </w:rPr>
              <w:t>I. Tiesību akta projekta izstrādes nepieciešamība</w:t>
            </w:r>
          </w:p>
        </w:tc>
      </w:tr>
      <w:tr w:rsidR="006149C8" w:rsidRPr="006149C8" w14:paraId="749A188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1F2481EB" w14:textId="77777777" w:rsidR="006149C8" w:rsidRPr="006149C8" w:rsidRDefault="006149C8" w:rsidP="00F62FDC">
            <w:pPr>
              <w:contextualSpacing/>
              <w:jc w:val="center"/>
            </w:pPr>
            <w:r w:rsidRPr="006149C8">
              <w:t>1.</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5698E25F" w14:textId="77777777" w:rsidR="006149C8" w:rsidRPr="006149C8" w:rsidRDefault="006149C8" w:rsidP="00F62FDC">
            <w:pPr>
              <w:contextualSpacing/>
            </w:pPr>
            <w:r w:rsidRPr="006149C8">
              <w:t>Pamatojums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423133B9" w14:textId="6CC36B63" w:rsidR="006149C8" w:rsidRPr="006149C8" w:rsidRDefault="006149C8" w:rsidP="00FC5237">
            <w:pPr>
              <w:contextualSpacing/>
              <w:jc w:val="both"/>
            </w:pPr>
            <w:r w:rsidRPr="006149C8">
              <w:t>Ekonomikas ministrijas iniciatīva.</w:t>
            </w:r>
          </w:p>
        </w:tc>
      </w:tr>
      <w:tr w:rsidR="006149C8" w:rsidRPr="006149C8" w14:paraId="7F807BDD"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56AC929E" w14:textId="77777777" w:rsidR="006149C8" w:rsidRPr="006149C8" w:rsidRDefault="006149C8" w:rsidP="00F62FDC">
            <w:pPr>
              <w:contextualSpacing/>
              <w:jc w:val="center"/>
            </w:pPr>
            <w:r w:rsidRPr="006149C8">
              <w:t>2.</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358196A2" w14:textId="77777777" w:rsidR="006149C8" w:rsidRPr="006149C8" w:rsidRDefault="006149C8" w:rsidP="00F62FDC">
            <w:pPr>
              <w:contextualSpacing/>
            </w:pPr>
            <w:r w:rsidRPr="006149C8">
              <w:t>Pašreizējā situācija un problēmas, kuru risināšanai tiesību akta projekts izstrādāts, tiesiskā regulējuma mērķis un būtība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54D8EFC4" w14:textId="2D37ECD5" w:rsidR="007C243E" w:rsidRDefault="0035651A" w:rsidP="007C243E">
            <w:pPr>
              <w:ind w:firstLine="253"/>
              <w:contextualSpacing/>
              <w:jc w:val="both"/>
            </w:pPr>
            <w:r>
              <w:t>Ņ</w:t>
            </w:r>
            <w:r w:rsidR="00450790">
              <w:t xml:space="preserve">emot vērā </w:t>
            </w:r>
            <w:r w:rsidR="0038313E">
              <w:t xml:space="preserve">Ministru kabinetā apstiprinātos </w:t>
            </w:r>
            <w:r w:rsidR="0038313E">
              <w:t>Ministru kabineta 2021.</w:t>
            </w:r>
            <w:r w:rsidR="0088510F">
              <w:t> </w:t>
            </w:r>
            <w:r>
              <w:t>gada 20.</w:t>
            </w:r>
            <w:r w:rsidR="0088510F">
              <w:t> </w:t>
            </w:r>
            <w:r>
              <w:t>aprīļa</w:t>
            </w:r>
            <w:r w:rsidR="0038313E">
              <w:t xml:space="preserve"> noteikum</w:t>
            </w:r>
            <w:r w:rsidR="0038313E">
              <w:t>us</w:t>
            </w:r>
            <w:r w:rsidR="0038313E">
              <w:t xml:space="preserve"> Nr.</w:t>
            </w:r>
            <w:r w:rsidR="0088510F">
              <w:t> </w:t>
            </w:r>
            <w:r w:rsidR="0038313E">
              <w:t>245</w:t>
            </w:r>
            <w:r w:rsidR="0038313E">
              <w:t xml:space="preserve"> “</w:t>
            </w:r>
            <w:r w:rsidR="0038313E">
              <w:t>Grozījumi Ministru kabineta 2017.</w:t>
            </w:r>
            <w:r>
              <w:t> </w:t>
            </w:r>
            <w:r w:rsidR="0038313E">
              <w:t>gada 9.</w:t>
            </w:r>
            <w:r>
              <w:t> </w:t>
            </w:r>
            <w:r w:rsidR="0038313E">
              <w:t>maija noteikumos Nr.</w:t>
            </w:r>
            <w:r>
              <w:t> </w:t>
            </w:r>
            <w:r w:rsidR="0038313E">
              <w:t xml:space="preserve">253 </w:t>
            </w:r>
            <w:r w:rsidR="0038313E">
              <w:t>“</w:t>
            </w:r>
            <w:r w:rsidR="0038313E">
              <w:t>Atsevišķu inženierbūvju būvnoteikumi</w:t>
            </w:r>
            <w:r w:rsidR="0038313E">
              <w:t xml:space="preserve">””, kā arī saskaņošanā esošos Ministru kabineta noteikumus “Grozījumi </w:t>
            </w:r>
            <w:r w:rsidR="00E247B3" w:rsidRPr="00E247B3">
              <w:t>Ministru kabineta 2014. gada 14. oktobra noteikumos Nr. 633 “Autoceļu un ielu būvnoteikumi”</w:t>
            </w:r>
            <w:r w:rsidR="001C29AA">
              <w:t xml:space="preserve"> (VSS-</w:t>
            </w:r>
            <w:r w:rsidR="007D4E00">
              <w:t>1096)</w:t>
            </w:r>
            <w:r w:rsidR="00427B75">
              <w:t>, “</w:t>
            </w:r>
            <w:r w:rsidR="001C29AA" w:rsidRPr="001C29AA">
              <w:t>Grozījumi Ministru kabineta 2014. gada 2. septembra noteikumos Nr. 529 “Ēku būvnoteikumi”</w:t>
            </w:r>
            <w:r w:rsidR="000028B0">
              <w:t>”</w:t>
            </w:r>
            <w:r w:rsidR="006F62F6">
              <w:t xml:space="preserve"> (VSS-968), </w:t>
            </w:r>
            <w:r w:rsidR="000028B0">
              <w:t>“</w:t>
            </w:r>
            <w:r w:rsidR="000028B0" w:rsidRPr="000028B0">
              <w:t xml:space="preserve">Grozījumi Ministru kabineta </w:t>
            </w:r>
            <w:r w:rsidR="000028B0" w:rsidRPr="000028B0">
              <w:lastRenderedPageBreak/>
              <w:t>2014.</w:t>
            </w:r>
            <w:r w:rsidR="0088510F">
              <w:t> </w:t>
            </w:r>
            <w:r w:rsidR="000028B0" w:rsidRPr="000028B0">
              <w:t>gada 19.</w:t>
            </w:r>
            <w:r w:rsidR="0088510F">
              <w:t> </w:t>
            </w:r>
            <w:r w:rsidR="000028B0" w:rsidRPr="000028B0">
              <w:t>augusta noteikumos Nr.</w:t>
            </w:r>
            <w:r w:rsidR="0088510F">
              <w:t> </w:t>
            </w:r>
            <w:r w:rsidR="000028B0" w:rsidRPr="000028B0">
              <w:t xml:space="preserve">501 </w:t>
            </w:r>
            <w:r w:rsidR="0088510F">
              <w:t>“</w:t>
            </w:r>
            <w:r w:rsidR="000028B0" w:rsidRPr="000028B0">
              <w:t>Elektronisko sakaru tīklu ierīkošanas, būvniecības un uzraudzības kārtība"</w:t>
            </w:r>
            <w:r w:rsidR="000028B0">
              <w:t>” (VSS-</w:t>
            </w:r>
            <w:r w:rsidR="00723F24">
              <w:t>552), l</w:t>
            </w:r>
            <w:r w:rsidR="007C243E">
              <w:t>ai tiesību normu piemērotājam par vienām un tām pašām prasībām dažādām būvēm, kuras noteiktas speciālajos būvnoteikumos, būtu vienveidīgs regulējums</w:t>
            </w:r>
            <w:r w:rsidR="006602F8">
              <w:t xml:space="preserve"> nepieciešams veikt attiecīgus precizējumus šādos normatīvajos aktos:</w:t>
            </w:r>
          </w:p>
          <w:p w14:paraId="3AA1A03E" w14:textId="1C0CE542" w:rsidR="006602F8" w:rsidRDefault="00A30419" w:rsidP="007C243E">
            <w:pPr>
              <w:ind w:firstLine="253"/>
              <w:contextualSpacing/>
              <w:jc w:val="both"/>
            </w:pPr>
            <w:r>
              <w:t>1.</w:t>
            </w:r>
            <w:r w:rsidR="0088510F">
              <w:t> </w:t>
            </w:r>
            <w:r w:rsidRPr="00D20A83">
              <w:t>Ministru kabineta 2014.</w:t>
            </w:r>
            <w:r w:rsidR="0088510F">
              <w:t> </w:t>
            </w:r>
            <w:r w:rsidRPr="00D20A83">
              <w:t>gada 2.</w:t>
            </w:r>
            <w:r w:rsidR="0088510F">
              <w:t> </w:t>
            </w:r>
            <w:r w:rsidRPr="00D20A83">
              <w:t>septembra noteikumos Nr.530 “Dzelzceļa būvnoteikumi”</w:t>
            </w:r>
            <w:r>
              <w:t>;</w:t>
            </w:r>
          </w:p>
          <w:p w14:paraId="758092BE" w14:textId="44E2692E" w:rsidR="00A30419" w:rsidRDefault="00A30419" w:rsidP="007C243E">
            <w:pPr>
              <w:ind w:firstLine="253"/>
              <w:contextualSpacing/>
              <w:jc w:val="both"/>
            </w:pPr>
            <w:r>
              <w:t>2.</w:t>
            </w:r>
            <w:r w:rsidR="0088510F">
              <w:t> </w:t>
            </w:r>
            <w:r w:rsidRPr="00D20A83">
              <w:t>Ministru kabineta 2014.</w:t>
            </w:r>
            <w:r w:rsidR="0088510F">
              <w:t> </w:t>
            </w:r>
            <w:r w:rsidRPr="00D20A83">
              <w:t>gada 16.</w:t>
            </w:r>
            <w:r w:rsidR="0088510F">
              <w:t> </w:t>
            </w:r>
            <w:r w:rsidRPr="00D20A83">
              <w:t>septembra noteikumos Nr.</w:t>
            </w:r>
            <w:r w:rsidR="0088510F">
              <w:t> </w:t>
            </w:r>
            <w:r w:rsidRPr="00D20A83">
              <w:t>550 “Hidrotehnisko un meliorācijas būvju būvnoteikumi”</w:t>
            </w:r>
            <w:r w:rsidR="00723F24">
              <w:t>;</w:t>
            </w:r>
          </w:p>
          <w:p w14:paraId="462F21B0" w14:textId="1BAD8FF0" w:rsidR="00450790" w:rsidRDefault="00A30419" w:rsidP="00450790">
            <w:pPr>
              <w:ind w:firstLine="253"/>
              <w:contextualSpacing/>
              <w:jc w:val="both"/>
            </w:pPr>
            <w:r>
              <w:t>3.</w:t>
            </w:r>
            <w:r w:rsidR="0088510F">
              <w:t> </w:t>
            </w:r>
            <w:r w:rsidRPr="00D20A83">
              <w:t>Ministru kabineta 2015.</w:t>
            </w:r>
            <w:r w:rsidR="0088510F">
              <w:t> </w:t>
            </w:r>
            <w:r w:rsidRPr="00D20A83">
              <w:t>gada 24.</w:t>
            </w:r>
            <w:r w:rsidR="0088510F">
              <w:t> </w:t>
            </w:r>
            <w:r w:rsidRPr="00D20A83">
              <w:t>novembra noteikumos Nr.</w:t>
            </w:r>
            <w:r w:rsidR="0088510F">
              <w:t> </w:t>
            </w:r>
            <w:r w:rsidRPr="00D20A83">
              <w:t>661 “Ar radiācijas drošību saistīto būvju būvnoteikumi”</w:t>
            </w:r>
            <w:r w:rsidR="00723F24">
              <w:t>;</w:t>
            </w:r>
          </w:p>
          <w:p w14:paraId="11427C0C" w14:textId="1905FFDD" w:rsidR="00450790" w:rsidRDefault="00A30419" w:rsidP="003C7115">
            <w:pPr>
              <w:ind w:firstLine="253"/>
              <w:contextualSpacing/>
              <w:jc w:val="both"/>
            </w:pPr>
            <w:r>
              <w:t>4.</w:t>
            </w:r>
            <w:r w:rsidR="0088510F">
              <w:t> </w:t>
            </w:r>
            <w:r w:rsidRPr="00D20A83">
              <w:t>Ministru kabineta 2014.</w:t>
            </w:r>
            <w:r w:rsidR="0088510F">
              <w:t> </w:t>
            </w:r>
            <w:r w:rsidRPr="00D20A83">
              <w:t>gada 14.</w:t>
            </w:r>
            <w:r w:rsidR="0088510F">
              <w:t> </w:t>
            </w:r>
            <w:r w:rsidRPr="00D20A83">
              <w:t>oktobra noteikumos Nr.</w:t>
            </w:r>
            <w:r w:rsidR="0088510F">
              <w:t> </w:t>
            </w:r>
            <w:r w:rsidRPr="00D20A83">
              <w:t>631 “Latvijas Republikas iekšējo jūras ūdeņu, teritoriālās jūras un ekskluzīvās ekonomiskās zonas būvju būvnoteikumi”</w:t>
            </w:r>
            <w:r w:rsidR="00723F24">
              <w:t>.</w:t>
            </w:r>
          </w:p>
          <w:p w14:paraId="3F0CEB44" w14:textId="77777777" w:rsidR="00450790" w:rsidRDefault="00450790" w:rsidP="003C7115">
            <w:pPr>
              <w:ind w:firstLine="253"/>
              <w:contextualSpacing/>
              <w:jc w:val="both"/>
            </w:pPr>
          </w:p>
          <w:p w14:paraId="1B393A92" w14:textId="41967AB7" w:rsidR="007809C3" w:rsidRDefault="00F04C5B" w:rsidP="007809C3">
            <w:pPr>
              <w:ind w:firstLine="253"/>
              <w:contextualSpacing/>
              <w:jc w:val="both"/>
            </w:pPr>
            <w:r w:rsidRPr="00F04C5B">
              <w:t>[</w:t>
            </w:r>
            <w:r w:rsidR="00A30419">
              <w:t>1</w:t>
            </w:r>
            <w:r w:rsidRPr="00F04C5B">
              <w:t>] </w:t>
            </w:r>
            <w:r w:rsidR="000C53BF" w:rsidRPr="000C53BF">
              <w:t>Noteikumu projekt</w:t>
            </w:r>
            <w:r w:rsidR="00A30419">
              <w:t>os</w:t>
            </w:r>
            <w:r w:rsidR="000C53BF" w:rsidRPr="000C53BF">
              <w:t xml:space="preserve"> ir paredzēts, ka </w:t>
            </w:r>
            <w:proofErr w:type="spellStart"/>
            <w:r w:rsidR="000C53BF" w:rsidRPr="000C53BF">
              <w:t>būvspeciālistam</w:t>
            </w:r>
            <w:proofErr w:type="spellEnd"/>
            <w:r w:rsidR="000C53BF" w:rsidRPr="000C53BF">
              <w:t xml:space="preserve">, ievadot informāciju par sevi būs jānorāda ne tikai sertifikāta numurs, bet arī darbības sfēra. Šobrīd, ja </w:t>
            </w:r>
            <w:proofErr w:type="spellStart"/>
            <w:r w:rsidR="000C53BF" w:rsidRPr="000C53BF">
              <w:t>būvspeciālistam</w:t>
            </w:r>
            <w:proofErr w:type="spellEnd"/>
            <w:r w:rsidR="000C53BF" w:rsidRPr="000C53BF">
              <w:t xml:space="preserve"> bija kompetence vienas jomas vairākās sfērās, tad šāda informācija netika norādīta </w:t>
            </w:r>
            <w:r w:rsidR="00207728">
              <w:t>būvniecības informācijas sistēmā</w:t>
            </w:r>
            <w:r w:rsidR="000C53BF" w:rsidRPr="000C53BF">
              <w:t xml:space="preserve">. Viens no </w:t>
            </w:r>
            <w:r w:rsidR="00EF0511">
              <w:t>institūcijas, kura pilda būvvaldes funkcijas,</w:t>
            </w:r>
            <w:r w:rsidR="000C53BF" w:rsidRPr="000C53BF">
              <w:t xml:space="preserve"> uzdevumiem ir konstatēt, vai </w:t>
            </w:r>
            <w:proofErr w:type="spellStart"/>
            <w:r w:rsidR="000C53BF" w:rsidRPr="000C53BF">
              <w:t>būvspeciālistam</w:t>
            </w:r>
            <w:proofErr w:type="spellEnd"/>
            <w:r w:rsidR="000C53BF" w:rsidRPr="000C53BF">
              <w:t xml:space="preserve"> ir kompetence sniegt būvniecības pakalpojumu atbilstošā sfērā. Būvniecības jomas ir projektēšana, inženierizpēte, būvdarbu vadīšana, būvuzraudzība un būvekspertīze. Būvspeciālista darbības sfēras ir noteiktas Ministru kabineta 2018.</w:t>
            </w:r>
            <w:r w:rsidR="0088510F">
              <w:t> </w:t>
            </w:r>
            <w:r w:rsidR="000C53BF" w:rsidRPr="000C53BF">
              <w:t>gada 20.</w:t>
            </w:r>
            <w:r w:rsidR="0088510F">
              <w:t> </w:t>
            </w:r>
            <w:r w:rsidR="000C53BF" w:rsidRPr="000C53BF">
              <w:t>marta noteikumu Nr.</w:t>
            </w:r>
            <w:r w:rsidR="0088510F">
              <w:t> </w:t>
            </w:r>
            <w:r w:rsidR="000C53BF" w:rsidRPr="000C53BF">
              <w:t>169 “Būvspeciālistu kompetences novērtēšanas un patstāvīgās prakses uzraudzības noteikumi” 1.pielikumā.</w:t>
            </w:r>
          </w:p>
          <w:p w14:paraId="360BB18E" w14:textId="79A76E6C" w:rsidR="00E64C59" w:rsidRDefault="00E64C59" w:rsidP="009C59F2">
            <w:pPr>
              <w:ind w:firstLine="253"/>
              <w:contextualSpacing/>
              <w:jc w:val="both"/>
            </w:pPr>
          </w:p>
          <w:p w14:paraId="7B23B99A" w14:textId="6AB9D163" w:rsidR="00E64C59" w:rsidRDefault="00E64C59" w:rsidP="00E64C59">
            <w:pPr>
              <w:ind w:firstLine="253"/>
              <w:contextualSpacing/>
              <w:jc w:val="both"/>
            </w:pPr>
            <w:r>
              <w:t>[</w:t>
            </w:r>
            <w:r w:rsidR="005E26EF">
              <w:t>2</w:t>
            </w:r>
            <w:r>
              <w:t xml:space="preserve">] </w:t>
            </w:r>
            <w:r w:rsidR="0088510F" w:rsidRPr="0088510F">
              <w:t xml:space="preserve">Noteikumu projektos </w:t>
            </w:r>
            <w:r w:rsidR="0088510F">
              <w:t>p</w:t>
            </w:r>
            <w:r w:rsidRPr="00E64C59">
              <w:t>recizēts regulējums par</w:t>
            </w:r>
            <w:r w:rsidR="00DD0D0A">
              <w:t xml:space="preserve"> </w:t>
            </w:r>
            <w:r w:rsidRPr="00E64C59">
              <w:t xml:space="preserve">būvatļaujā ietveramajiem projektēšanas un būvdarbu uzsākšanas nosacījumiem. </w:t>
            </w:r>
          </w:p>
          <w:p w14:paraId="13573225" w14:textId="65B2A9A1" w:rsidR="0021636A" w:rsidRPr="00E64C59" w:rsidRDefault="0021636A" w:rsidP="00E64C59">
            <w:pPr>
              <w:ind w:firstLine="253"/>
              <w:contextualSpacing/>
              <w:jc w:val="both"/>
            </w:pPr>
            <w:r>
              <w:t xml:space="preserve">Redakcionāli precizēti </w:t>
            </w:r>
            <w:r w:rsidR="00312E63" w:rsidRPr="00312E63">
              <w:t>būvatļauj</w:t>
            </w:r>
            <w:r w:rsidR="00312E63">
              <w:t>as</w:t>
            </w:r>
            <w:r w:rsidR="00312E63" w:rsidRPr="00312E63">
              <w:t xml:space="preserve"> projektēšanas </w:t>
            </w:r>
            <w:r w:rsidR="00312E63">
              <w:t xml:space="preserve">nosacījumi, </w:t>
            </w:r>
            <w:r w:rsidR="001B6BAB">
              <w:t>nosakot</w:t>
            </w:r>
            <w:r>
              <w:t xml:space="preserve">, ka ir </w:t>
            </w:r>
            <w:r w:rsidR="001B6BAB">
              <w:t xml:space="preserve">jāsaņem </w:t>
            </w:r>
            <w:r>
              <w:t>saskaņo</w:t>
            </w:r>
            <w:r w:rsidR="001B6BAB">
              <w:t>jums</w:t>
            </w:r>
            <w:r>
              <w:t xml:space="preserve"> </w:t>
            </w:r>
            <w:r w:rsidR="001B6BAB">
              <w:t>no</w:t>
            </w:r>
            <w:r w:rsidR="008873FC">
              <w:t xml:space="preserve"> valsts vai pašvaldību,</w:t>
            </w:r>
            <w:r w:rsidR="001B6BAB">
              <w:t xml:space="preserve"> tehnisko noteikumu izdevēja par </w:t>
            </w:r>
            <w:r>
              <w:t>tehnisk</w:t>
            </w:r>
            <w:r w:rsidR="001B6BAB">
              <w:t>o</w:t>
            </w:r>
            <w:r>
              <w:t xml:space="preserve"> risinājum</w:t>
            </w:r>
            <w:r w:rsidR="001B6BAB">
              <w:t>u. Saskaņojuma saņemšana jau sevī ietver</w:t>
            </w:r>
            <w:r>
              <w:t xml:space="preserve"> </w:t>
            </w:r>
            <w:r w:rsidR="001B6BAB" w:rsidRPr="0021636A">
              <w:t xml:space="preserve">tehnisko vai īpašo noteikumu </w:t>
            </w:r>
            <w:r w:rsidR="001B6BAB">
              <w:t>saņemšanu</w:t>
            </w:r>
            <w:r>
              <w:t>.</w:t>
            </w:r>
            <w:r w:rsidR="001B6BAB">
              <w:t xml:space="preserve"> </w:t>
            </w:r>
            <w:r w:rsidR="00CC6E81">
              <w:t>I</w:t>
            </w:r>
            <w:r w:rsidR="00CC6E81" w:rsidRPr="00CC6E81">
              <w:t>nstitūcij</w:t>
            </w:r>
            <w:r w:rsidR="00CC6E81">
              <w:t>ai</w:t>
            </w:r>
            <w:r w:rsidR="00CC6E81" w:rsidRPr="00CC6E81">
              <w:t>, kura pilda būvvaldes funkcijas</w:t>
            </w:r>
            <w:r w:rsidR="00CC6E81">
              <w:t>, jāpārbauda tehniskā risinājuma saskaņojuma esamība nevis tehnisko noteikumu saņemšana.</w:t>
            </w:r>
          </w:p>
          <w:p w14:paraId="24944B79" w14:textId="2A2D3376" w:rsidR="00E64C59" w:rsidRPr="00E64C59" w:rsidRDefault="00E64C59" w:rsidP="00E64C59">
            <w:pPr>
              <w:ind w:firstLine="253"/>
              <w:contextualSpacing/>
              <w:jc w:val="both"/>
            </w:pPr>
            <w:r w:rsidRPr="00E64C59">
              <w:t xml:space="preserve">Precizēts </w:t>
            </w:r>
            <w:r w:rsidR="008873FC">
              <w:t>noteikumu</w:t>
            </w:r>
            <w:r w:rsidR="009E7344">
              <w:t xml:space="preserve"> projektos</w:t>
            </w:r>
            <w:r w:rsidRPr="00E64C59">
              <w:t>, ka institūcijā, kura pilda būvvaldes funkcijas, iesniedzamās būvprojekta daļas un citas prasības būvprojekta detalizācijai atbilstoši vietējās pašvaldības apbūves noteikumiem ir jāievēro Būvniecības likuma 15.panta piektajā daļā noteiktais, proti, vietējās pašvaldības teritorijas apbūves noteikumos var noteikt papildu nosacījumus attiecībā uz būvprojekta detalizāciju, ja tie nepieciešami, lai būve iekļautos ainavā vai pilsētvidē. Tādejādi pašvaldības teritorijas apbūves noteikumos var noteikt tikai papildu nosacījumus, kurus izvirza kā projektēšanas nosacījumus, attiecībā uz būvprojekta detalizāciju, lai būve iekļautos ainavā vai pilsētvidē (nepārsniedzot Būvniecības likuma tvērumu) nevis uz jebkura veida papildu detalizācijas nepieciešamību.</w:t>
            </w:r>
          </w:p>
          <w:p w14:paraId="6820249D" w14:textId="7ECA8D8D" w:rsidR="00E64C59" w:rsidRPr="00E64C59" w:rsidRDefault="00E64C59" w:rsidP="00E64C59">
            <w:pPr>
              <w:ind w:firstLine="253"/>
              <w:contextualSpacing/>
              <w:jc w:val="both"/>
            </w:pPr>
            <w:r w:rsidRPr="00E64C59">
              <w:t>No</w:t>
            </w:r>
            <w:r w:rsidRPr="00E64C59">
              <w:rPr>
                <w:bCs/>
              </w:rPr>
              <w:t xml:space="preserve">teikumu </w:t>
            </w:r>
            <w:r w:rsidR="00B90009">
              <w:rPr>
                <w:bCs/>
              </w:rPr>
              <w:t>projektos</w:t>
            </w:r>
            <w:r w:rsidRPr="00E64C59">
              <w:t xml:space="preserve"> projektēšanas nosacījumos ietver normatīvajos aktos noteiktajos gadījumos citus dokumentus, atļaujas vai saskaņojumus, kas ļauj </w:t>
            </w:r>
            <w:r w:rsidRPr="00E64C59">
              <w:rPr>
                <w:iCs/>
              </w:rPr>
              <w:t>institūcijai, kura pilda būvvaldes funkcijas, izvirzītas prasības, kas izriet no citu jomu normatīvajiem aktiem. Vienlaikus t</w:t>
            </w:r>
            <w:r w:rsidRPr="00E64C59">
              <w:t xml:space="preserve">ādas prasības kā vides pieejamība, kā arī citas prasības atbilstoši teritorijas plānojumam, </w:t>
            </w:r>
            <w:proofErr w:type="spellStart"/>
            <w:r w:rsidRPr="00E64C59">
              <w:t>lokālplānojumam</w:t>
            </w:r>
            <w:proofErr w:type="spellEnd"/>
            <w:r w:rsidRPr="00E64C59">
              <w:t xml:space="preserve"> vai detālplānojumam (ja tāds ir izstrādāts) ir jāievēro, izstrādājot būvniecības ieceri, neatkarīgi vai tas tiek norādīts vai netiek noradīts būvatļaujas projektēšanas nosacījumos, tādēļ svītroti attiecīgi apakšpunkti.</w:t>
            </w:r>
          </w:p>
          <w:p w14:paraId="45F8BB14" w14:textId="722DC089" w:rsidR="00F04C5B" w:rsidRDefault="00F04C5B" w:rsidP="0008065C">
            <w:pPr>
              <w:ind w:firstLine="253"/>
              <w:contextualSpacing/>
              <w:jc w:val="both"/>
            </w:pPr>
          </w:p>
          <w:p w14:paraId="61ED5D71" w14:textId="2D42149A" w:rsidR="001C26CB" w:rsidRDefault="005941CC" w:rsidP="00226F8F">
            <w:pPr>
              <w:ind w:firstLine="253"/>
              <w:contextualSpacing/>
              <w:jc w:val="both"/>
            </w:pPr>
            <w:r>
              <w:t>[3</w:t>
            </w:r>
            <w:r w:rsidR="00F04C5B" w:rsidRPr="00F04C5B">
              <w:t>] </w:t>
            </w:r>
            <w:r w:rsidR="00226F8F" w:rsidRPr="00226F8F">
              <w:t>Noteikumu projekt</w:t>
            </w:r>
            <w:r w:rsidR="00E01F10">
              <w:t>os</w:t>
            </w:r>
            <w:r w:rsidR="00226F8F" w:rsidRPr="00226F8F">
              <w:t xml:space="preserve"> tiek precizēti punkti, kā tiek pagarināta būvatļauja, ja tiek pārsniegts būvatļaujā norādītais maksimālais būvdarbu veikšanas ilgums, kas atbilstoši </w:t>
            </w:r>
            <w:r w:rsidR="0042592D">
              <w:t>Ministru kabineta 2014.gada 19.augusta noteikumiem Nr.</w:t>
            </w:r>
            <w:r w:rsidR="003A6274">
              <w:t>500 “</w:t>
            </w:r>
            <w:r w:rsidR="00226F8F" w:rsidRPr="00226F8F">
              <w:t>Vispārīgie būvnoteikumi</w:t>
            </w:r>
            <w:r w:rsidR="003A6274">
              <w:t>”</w:t>
            </w:r>
            <w:r w:rsidR="00226F8F" w:rsidRPr="00226F8F">
              <w:t xml:space="preserve"> ir 5 vai 8 gadi. Spēkā esošais regulējums paredzēja, ja </w:t>
            </w:r>
            <w:r w:rsidR="00E01F10">
              <w:t>būve</w:t>
            </w:r>
            <w:r w:rsidR="00226F8F" w:rsidRPr="00226F8F">
              <w:t xml:space="preserve">, kurai veikts ietekmes uz vidi novērtējums atbilstoši likumam “Par ietekmes uz vidi novērtējumu”, nav nodota ekspluatācijā noteiktajā termiņā, būvniecības ierosinātājam likumā “Par ietekmes uz vidi novērtējumu” noteiktajā kārtībā jāveic sākotnējais ietekmes uz vidi izvērtējums, ja ir mainījušies faktiskie un tiesiskie apstākļi, uz kuru pamata tika sākta būvniecība. Kā arī noteica, ja ir mainījušies faktiskie vai tiesiskie apstākļi, institūcija, kura pilda būvvaldes funkcijas, var pieņemt lēmumu par pašvaldības teritorijas plānojumam neatbilstošas </w:t>
            </w:r>
            <w:r w:rsidR="006F5022">
              <w:t>būves</w:t>
            </w:r>
            <w:r w:rsidR="00226F8F" w:rsidRPr="00226F8F">
              <w:t xml:space="preserve"> nojaukšanu. </w:t>
            </w:r>
          </w:p>
          <w:p w14:paraId="69CDDB2F" w14:textId="50914A5B" w:rsidR="00853760" w:rsidRDefault="00102A22" w:rsidP="00226F8F">
            <w:pPr>
              <w:ind w:firstLine="253"/>
              <w:contextualSpacing/>
              <w:jc w:val="both"/>
            </w:pPr>
            <w:r>
              <w:t xml:space="preserve">Savukārt, </w:t>
            </w:r>
            <w:r w:rsidR="00853760" w:rsidRPr="00853760">
              <w:t>Ministru kabineta 2014.</w:t>
            </w:r>
            <w:r w:rsidR="00447466">
              <w:t> </w:t>
            </w:r>
            <w:r w:rsidR="00853760" w:rsidRPr="00853760">
              <w:t>gada 2.</w:t>
            </w:r>
            <w:r w:rsidR="00447466">
              <w:t> </w:t>
            </w:r>
            <w:r w:rsidR="00853760" w:rsidRPr="00853760">
              <w:t>septembra noteikum</w:t>
            </w:r>
            <w:r w:rsidR="00E075D2">
              <w:t>i</w:t>
            </w:r>
            <w:r w:rsidR="00853760" w:rsidRPr="00853760">
              <w:t xml:space="preserve"> Nr.</w:t>
            </w:r>
            <w:r w:rsidR="00447466">
              <w:t> </w:t>
            </w:r>
            <w:r w:rsidR="00853760" w:rsidRPr="00853760">
              <w:t>530 “Dzelzceļa būvnoteikumi”</w:t>
            </w:r>
            <w:r w:rsidR="000F0216">
              <w:t xml:space="preserve"> tiek papildināt</w:t>
            </w:r>
            <w:r w:rsidR="00E075D2">
              <w:t>i</w:t>
            </w:r>
            <w:r w:rsidR="000F0216">
              <w:t xml:space="preserve"> ar</w:t>
            </w:r>
            <w:r w:rsidR="00637FEC">
              <w:t xml:space="preserve"> nosacījumi</w:t>
            </w:r>
            <w:r w:rsidR="000F0216">
              <w:t>em</w:t>
            </w:r>
            <w:r w:rsidR="00637FEC">
              <w:t xml:space="preserve"> būvatļaujas pagarināšanai</w:t>
            </w:r>
            <w:r w:rsidR="000F0216">
              <w:t>, jo līdz šim tādu nebija.</w:t>
            </w:r>
          </w:p>
          <w:p w14:paraId="6040328A" w14:textId="04715310" w:rsidR="00F04C5B" w:rsidRDefault="00226F8F" w:rsidP="0008065C">
            <w:pPr>
              <w:ind w:firstLine="253"/>
              <w:contextualSpacing/>
              <w:jc w:val="both"/>
            </w:pPr>
            <w:r w:rsidRPr="00226F8F">
              <w:t>Turpmāk visos gadījumos tiks piemērota vienota būvatļaujas pagarināšanas kārtība</w:t>
            </w:r>
            <w:r w:rsidR="004000B3">
              <w:t xml:space="preserve">, </w:t>
            </w:r>
            <w:r w:rsidR="00C70671">
              <w:t xml:space="preserve">kāda </w:t>
            </w:r>
            <w:r w:rsidR="004000B3">
              <w:t xml:space="preserve">tā </w:t>
            </w:r>
            <w:r w:rsidR="00C70671">
              <w:t>noteikta būvēm</w:t>
            </w:r>
            <w:r w:rsidR="00114F42">
              <w:t>,</w:t>
            </w:r>
            <w:r w:rsidR="004000B3">
              <w:t xml:space="preserve"> kuru</w:t>
            </w:r>
            <w:r w:rsidR="00114F42">
              <w:t xml:space="preserve"> </w:t>
            </w:r>
            <w:r w:rsidR="004000B3" w:rsidRPr="00226F8F">
              <w:t>maksimālais būvdarbu veikšanas ilgums</w:t>
            </w:r>
            <w:r w:rsidR="004000B3">
              <w:t xml:space="preserve"> ir 8 gadi,</w:t>
            </w:r>
            <w:r w:rsidR="004000B3" w:rsidRPr="004000B3">
              <w:t xml:space="preserve"> </w:t>
            </w:r>
            <w:r w:rsidR="00114F42">
              <w:t xml:space="preserve">proti, </w:t>
            </w:r>
            <w:r w:rsidR="00A8547C" w:rsidRPr="00A8547C">
              <w:t xml:space="preserve">būvatļauju pagarina uz būvniecības ierosinātāja pieprasīto laiku, ja </w:t>
            </w:r>
            <w:r w:rsidR="00A8547C">
              <w:t>ins</w:t>
            </w:r>
            <w:r w:rsidR="00667149">
              <w:t>titūcijā, kura pilda būvvaldes funkcijas,</w:t>
            </w:r>
            <w:r w:rsidR="00A8547C" w:rsidRPr="00A8547C">
              <w:t xml:space="preserve"> iesniegts </w:t>
            </w:r>
            <w:r w:rsidR="00667149">
              <w:t>būves</w:t>
            </w:r>
            <w:r w:rsidR="00A8547C" w:rsidRPr="00A8547C">
              <w:t xml:space="preserve"> novietnes un izbūvēto ārējo inženiertīklu izpildmērījuma plāns, kā arī uz pieprasīto pagarinājuma termiņu izsniegtas būvdarbu veicēja civiltiesiskās atbildības apdrošināšanas polises kopija</w:t>
            </w:r>
            <w:r w:rsidR="00EA0E9A">
              <w:t xml:space="preserve">, bet ēkas </w:t>
            </w:r>
            <w:r w:rsidR="00A26263">
              <w:t xml:space="preserve">būvniecības gadījumā </w:t>
            </w:r>
            <w:r w:rsidR="004A2BC6">
              <w:t xml:space="preserve">- </w:t>
            </w:r>
            <w:r w:rsidR="00A26263">
              <w:t xml:space="preserve">arī </w:t>
            </w:r>
            <w:r w:rsidR="00A26263" w:rsidRPr="00A26263">
              <w:t>aktuāl</w:t>
            </w:r>
            <w:r w:rsidR="00A26263">
              <w:t>u</w:t>
            </w:r>
            <w:r w:rsidR="00A26263" w:rsidRPr="00A26263">
              <w:t xml:space="preserve"> ēkas kadastrālās uzmērīšanas liet</w:t>
            </w:r>
            <w:r w:rsidR="004A2BC6">
              <w:t>a</w:t>
            </w:r>
            <w:r w:rsidR="00A26263">
              <w:t>.</w:t>
            </w:r>
          </w:p>
          <w:p w14:paraId="62618C96" w14:textId="535B44B6" w:rsidR="005A2F3C" w:rsidRDefault="005A2F3C" w:rsidP="0008065C">
            <w:pPr>
              <w:ind w:firstLine="253"/>
              <w:contextualSpacing/>
              <w:jc w:val="both"/>
            </w:pPr>
          </w:p>
          <w:p w14:paraId="32DD532F" w14:textId="0534D56F" w:rsidR="00E71DAC" w:rsidRDefault="00E93A0F" w:rsidP="003C7115">
            <w:pPr>
              <w:ind w:firstLine="253"/>
              <w:contextualSpacing/>
              <w:jc w:val="both"/>
            </w:pPr>
            <w:r>
              <w:t>[</w:t>
            </w:r>
            <w:r w:rsidR="005941CC">
              <w:t>4</w:t>
            </w:r>
            <w:r>
              <w:t>] </w:t>
            </w:r>
            <w:r w:rsidR="000E7ADE">
              <w:t xml:space="preserve"> </w:t>
            </w:r>
            <w:r w:rsidR="006115C8">
              <w:t>Līdz 2020.</w:t>
            </w:r>
            <w:r w:rsidR="007B763F">
              <w:t> </w:t>
            </w:r>
            <w:r w:rsidR="006115C8">
              <w:t>gada 1.</w:t>
            </w:r>
            <w:r w:rsidR="007B763F">
              <w:t> </w:t>
            </w:r>
            <w:r w:rsidR="006115C8">
              <w:t>janvārim uzsāktie būvniecības procesi</w:t>
            </w:r>
            <w:r w:rsidR="00490C95">
              <w:t>,</w:t>
            </w:r>
            <w:r w:rsidR="006115C8">
              <w:t xml:space="preserve"> </w:t>
            </w:r>
            <w:r w:rsidR="00490C95">
              <w:t>ievērojot</w:t>
            </w:r>
            <w:r w:rsidR="006115C8">
              <w:t xml:space="preserve"> </w:t>
            </w:r>
            <w:r w:rsidR="006115C8" w:rsidRPr="006115C8">
              <w:t>Būvniecības likuma pārejas noteikumu 22. – 24. punkt</w:t>
            </w:r>
            <w:r w:rsidR="00490C95">
              <w:t>u,</w:t>
            </w:r>
            <w:r w:rsidR="006115C8" w:rsidRPr="006115C8">
              <w:t xml:space="preserve"> </w:t>
            </w:r>
            <w:r w:rsidR="006115C8">
              <w:t xml:space="preserve">ir tiesības turpināt </w:t>
            </w:r>
            <w:proofErr w:type="spellStart"/>
            <w:r w:rsidR="006115C8" w:rsidRPr="006115C8">
              <w:t>rakstveidā</w:t>
            </w:r>
            <w:proofErr w:type="spellEnd"/>
            <w:r w:rsidR="006115C8">
              <w:t xml:space="preserve">, </w:t>
            </w:r>
            <w:r w:rsidR="006115C8" w:rsidRPr="006115C8">
              <w:t>neizmantojot būvniecības informācijas sistēmu</w:t>
            </w:r>
            <w:r w:rsidR="006115C8">
              <w:t>.</w:t>
            </w:r>
            <w:r w:rsidR="00490C95">
              <w:t xml:space="preserve"> </w:t>
            </w:r>
            <w:r w:rsidR="006115C8">
              <w:t>Līdz ar to</w:t>
            </w:r>
            <w:r w:rsidR="000E7ADE">
              <w:t xml:space="preserve"> </w:t>
            </w:r>
            <w:r w:rsidR="00E71DAC">
              <w:t>l</w:t>
            </w:r>
            <w:r w:rsidR="000E7ADE">
              <w:t>īdz</w:t>
            </w:r>
            <w:r w:rsidR="00E71DAC">
              <w:t xml:space="preserve">šinējie punkti, kas noteica </w:t>
            </w:r>
            <w:r w:rsidR="00E71DAC" w:rsidRPr="00E71DAC">
              <w:t>būvniecības proces</w:t>
            </w:r>
            <w:r w:rsidR="00E71DAC">
              <w:t>u</w:t>
            </w:r>
            <w:r w:rsidR="00E71DAC" w:rsidRPr="00E71DAC">
              <w:t xml:space="preserve"> ārpus būvniecības informācijas sistēmas</w:t>
            </w:r>
            <w:r w:rsidR="00E71DAC">
              <w:t xml:space="preserve">, ir precizēti un iekļauti </w:t>
            </w:r>
            <w:r w:rsidR="009064DE">
              <w:t xml:space="preserve">noteikumu </w:t>
            </w:r>
            <w:r w:rsidR="00E71DAC">
              <w:t xml:space="preserve">pārejas regulējumā. Tādejādi nodrošinot, ka pamatteksts satur </w:t>
            </w:r>
            <w:r w:rsidR="00E71DAC" w:rsidRPr="00E71DAC">
              <w:t>regulējum</w:t>
            </w:r>
            <w:r w:rsidR="00E71DAC">
              <w:t>u, kas</w:t>
            </w:r>
            <w:r w:rsidR="00E71DAC" w:rsidRPr="00E71DAC">
              <w:t xml:space="preserve"> </w:t>
            </w:r>
            <w:r w:rsidR="00E71DAC">
              <w:t>nosaka</w:t>
            </w:r>
            <w:r w:rsidR="00E71DAC" w:rsidRPr="00E71DAC">
              <w:t xml:space="preserve"> būvniecības proces</w:t>
            </w:r>
            <w:r w:rsidR="00E71DAC">
              <w:t>u</w:t>
            </w:r>
            <w:r w:rsidR="003149BB">
              <w:t>, kas piemērojams</w:t>
            </w:r>
            <w:r w:rsidR="00E71DAC" w:rsidRPr="00E71DAC">
              <w:t xml:space="preserve"> būvniecības informācijas sistēmā</w:t>
            </w:r>
            <w:r w:rsidR="003149BB">
              <w:t xml:space="preserve">, bet </w:t>
            </w:r>
            <w:r w:rsidR="009064DE" w:rsidRPr="009064DE">
              <w:t>noslēguma jautājumos saglabājot tikai būvniecības procesam nepieciešamo</w:t>
            </w:r>
            <w:r w:rsidR="009C6921">
              <w:t>s</w:t>
            </w:r>
            <w:r w:rsidR="009064DE" w:rsidRPr="009064DE">
              <w:t xml:space="preserve"> dokumentus, to saturu un apjomu, lai nodrošinātu pirms 2020.gada 1.janvāra uzsākto būvniecības procesa turpināšanu vai pabeigšanu </w:t>
            </w:r>
            <w:proofErr w:type="spellStart"/>
            <w:r w:rsidR="009064DE" w:rsidRPr="009064DE">
              <w:t>rakstveidā</w:t>
            </w:r>
            <w:proofErr w:type="spellEnd"/>
            <w:r w:rsidR="009064DE" w:rsidRPr="009064DE">
              <w:t>, neizmantojot būvniecības informācijas sistēmu</w:t>
            </w:r>
            <w:r w:rsidR="00E71DAC">
              <w:t>.</w:t>
            </w:r>
          </w:p>
          <w:p w14:paraId="3BCC0D75" w14:textId="1478B03E" w:rsidR="006149C8" w:rsidRPr="006149C8" w:rsidRDefault="006149C8" w:rsidP="003C7115">
            <w:pPr>
              <w:ind w:firstLine="253"/>
              <w:contextualSpacing/>
              <w:jc w:val="both"/>
            </w:pPr>
            <w:r w:rsidRPr="006149C8">
              <w:t xml:space="preserve">Šajā daļā grozījumi pēc būtības nemaina iesaistīto personu esošos pienākumus un tiesības, kā arī netiek </w:t>
            </w:r>
            <w:r w:rsidR="00DC6D5F">
              <w:t>palielināts</w:t>
            </w:r>
            <w:r w:rsidRPr="006149C8">
              <w:t xml:space="preserve"> administratīvais slogs.</w:t>
            </w:r>
          </w:p>
          <w:p w14:paraId="6107BB5F" w14:textId="77777777" w:rsidR="00277A6C" w:rsidRDefault="00277A6C" w:rsidP="003C7115">
            <w:pPr>
              <w:ind w:firstLine="253"/>
              <w:contextualSpacing/>
              <w:jc w:val="both"/>
            </w:pPr>
          </w:p>
          <w:p w14:paraId="72F66777" w14:textId="7FF56927" w:rsidR="00830B4C" w:rsidRDefault="009347C0" w:rsidP="009347C0">
            <w:pPr>
              <w:ind w:firstLine="253"/>
              <w:contextualSpacing/>
              <w:jc w:val="both"/>
              <w:rPr>
                <w:iCs/>
              </w:rPr>
            </w:pPr>
            <w:r>
              <w:rPr>
                <w:iCs/>
              </w:rPr>
              <w:t>[</w:t>
            </w:r>
            <w:r w:rsidR="007B39F7">
              <w:rPr>
                <w:iCs/>
              </w:rPr>
              <w:t>10</w:t>
            </w:r>
            <w:r>
              <w:rPr>
                <w:iCs/>
              </w:rPr>
              <w:t>] Noteikumu projekt</w:t>
            </w:r>
            <w:r w:rsidR="00830B4C">
              <w:rPr>
                <w:iCs/>
              </w:rPr>
              <w:t>ie</w:t>
            </w:r>
            <w:r>
              <w:rPr>
                <w:iCs/>
              </w:rPr>
              <w:t xml:space="preserve">m ir noteikts spēkā stāšanās laiks – </w:t>
            </w:r>
            <w:r w:rsidRPr="009347C0">
              <w:rPr>
                <w:iCs/>
              </w:rPr>
              <w:t>2021. gada 1. </w:t>
            </w:r>
            <w:r w:rsidR="00F329EC">
              <w:rPr>
                <w:iCs/>
              </w:rPr>
              <w:t>novembris</w:t>
            </w:r>
            <w:r>
              <w:rPr>
                <w:iCs/>
              </w:rPr>
              <w:t xml:space="preserve">, </w:t>
            </w:r>
            <w:r w:rsidR="00830B4C">
              <w:rPr>
                <w:iCs/>
              </w:rPr>
              <w:t>kas ir vienots ar citiem speciālajiem būvnoteikumiem</w:t>
            </w:r>
            <w:r w:rsidR="0078190D">
              <w:rPr>
                <w:iCs/>
              </w:rPr>
              <w:t xml:space="preserve">, </w:t>
            </w:r>
            <w:r w:rsidR="00C25D2E">
              <w:rPr>
                <w:iCs/>
              </w:rPr>
              <w:t>lai</w:t>
            </w:r>
            <w:r w:rsidR="0078190D">
              <w:rPr>
                <w:iCs/>
              </w:rPr>
              <w:t xml:space="preserve"> </w:t>
            </w:r>
            <w:r w:rsidR="0078190D" w:rsidRPr="009347C0">
              <w:rPr>
                <w:iCs/>
              </w:rPr>
              <w:t>nodrošinātu noteikumu projekt</w:t>
            </w:r>
            <w:r w:rsidR="0078190D">
              <w:rPr>
                <w:iCs/>
              </w:rPr>
              <w:t>u vienveidīgu piemērošanu</w:t>
            </w:r>
            <w:r w:rsidR="00C25D2E">
              <w:rPr>
                <w:iCs/>
              </w:rPr>
              <w:t xml:space="preserve">, kā arī </w:t>
            </w:r>
            <w:r w:rsidR="00207728">
              <w:rPr>
                <w:iCs/>
              </w:rPr>
              <w:t>nepieciešanos pielāgošanas darbus būvniecības informācijas sistēmā.</w:t>
            </w:r>
          </w:p>
          <w:p w14:paraId="719BC278" w14:textId="4C308D40" w:rsidR="009347C0" w:rsidRPr="006149C8" w:rsidRDefault="009347C0" w:rsidP="0078190D">
            <w:pPr>
              <w:ind w:firstLine="253"/>
              <w:contextualSpacing/>
              <w:jc w:val="both"/>
            </w:pPr>
          </w:p>
        </w:tc>
      </w:tr>
      <w:tr w:rsidR="006149C8" w:rsidRPr="006149C8" w14:paraId="2E46FCE5"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7F1CBA4D" w14:textId="77777777" w:rsidR="006149C8" w:rsidRPr="006149C8" w:rsidRDefault="006149C8" w:rsidP="00F62FDC">
            <w:pPr>
              <w:contextualSpacing/>
              <w:jc w:val="center"/>
            </w:pPr>
            <w:r w:rsidRPr="006149C8">
              <w:lastRenderedPageBreak/>
              <w:t>3.</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0C242745" w14:textId="77777777" w:rsidR="006149C8" w:rsidRPr="006149C8" w:rsidRDefault="006149C8" w:rsidP="00F62FDC">
            <w:pPr>
              <w:contextualSpacing/>
            </w:pPr>
            <w:r w:rsidRPr="006149C8">
              <w:t>Projekta izstrādē iesaistītās institūcijas un publiskas personas kapitālsabiedrības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620328F4" w14:textId="5FAD8994" w:rsidR="006149C8" w:rsidRPr="006149C8" w:rsidRDefault="000E7573" w:rsidP="004F2184">
            <w:pPr>
              <w:contextualSpacing/>
              <w:jc w:val="both"/>
            </w:pPr>
            <w:r>
              <w:t xml:space="preserve">Ekonomikas ministrija, </w:t>
            </w:r>
            <w:r w:rsidR="009D3CD1" w:rsidRPr="009D3CD1">
              <w:t>Būvniecības valsts kontroles birojs kā būvniecības informācijas sistēmas (BIS) pārzinis</w:t>
            </w:r>
            <w:r w:rsidR="009347C0">
              <w:t>.</w:t>
            </w:r>
          </w:p>
        </w:tc>
      </w:tr>
      <w:tr w:rsidR="006149C8" w:rsidRPr="006149C8" w14:paraId="2204B269"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7460B860" w14:textId="77777777" w:rsidR="006149C8" w:rsidRPr="006149C8" w:rsidRDefault="006149C8" w:rsidP="00F62FDC">
            <w:pPr>
              <w:contextualSpacing/>
              <w:jc w:val="center"/>
            </w:pPr>
            <w:r w:rsidRPr="006149C8">
              <w:t>4.</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3D8E3D40" w14:textId="77777777" w:rsidR="006149C8" w:rsidRPr="006149C8" w:rsidRDefault="006149C8" w:rsidP="00F62FDC">
            <w:pPr>
              <w:contextualSpacing/>
            </w:pPr>
            <w:r w:rsidRPr="006149C8">
              <w:t>Cita informācija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14D09C31" w14:textId="77777777" w:rsidR="006149C8" w:rsidRPr="006149C8" w:rsidRDefault="004F2184" w:rsidP="00F62FDC">
            <w:pPr>
              <w:contextualSpacing/>
            </w:pPr>
            <w:r>
              <w:t>Nav</w:t>
            </w:r>
          </w:p>
        </w:tc>
      </w:tr>
    </w:tbl>
    <w:p w14:paraId="293D18DF" w14:textId="77777777" w:rsidR="006149C8" w:rsidRPr="006149C8" w:rsidRDefault="006149C8"/>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firstRow="1" w:lastRow="0" w:firstColumn="1" w:lastColumn="0" w:noHBand="0" w:noVBand="1"/>
      </w:tblPr>
      <w:tblGrid>
        <w:gridCol w:w="562"/>
        <w:gridCol w:w="2681"/>
        <w:gridCol w:w="5818"/>
      </w:tblGrid>
      <w:tr w:rsidR="006149C8" w:rsidRPr="006149C8" w14:paraId="3C98EACF" w14:textId="77777777" w:rsidTr="00F62FDC">
        <w:tc>
          <w:tcPr>
            <w:tcW w:w="83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7EFFBBB" w14:textId="77777777" w:rsidR="006149C8" w:rsidRPr="006149C8" w:rsidRDefault="006149C8" w:rsidP="00F62FDC">
            <w:pPr>
              <w:contextualSpacing/>
              <w:jc w:val="center"/>
              <w:rPr>
                <w:b/>
                <w:bCs/>
              </w:rPr>
            </w:pPr>
            <w:r w:rsidRPr="006149C8">
              <w:rPr>
                <w:b/>
                <w:bCs/>
              </w:rPr>
              <w:t>II. Tiesību akta projekta ietekme uz sabiedrību, tautsaimniecības attīstību un administratīvo slogu</w:t>
            </w:r>
          </w:p>
        </w:tc>
      </w:tr>
      <w:tr w:rsidR="006149C8" w:rsidRPr="006149C8" w14:paraId="0C67373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5174D1AD" w14:textId="77777777" w:rsidR="006149C8" w:rsidRPr="006149C8" w:rsidRDefault="006149C8" w:rsidP="00F62FDC">
            <w:pPr>
              <w:contextualSpacing/>
              <w:jc w:val="center"/>
            </w:pPr>
            <w:r w:rsidRPr="006149C8">
              <w:t>1.</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099CC8D2" w14:textId="77777777" w:rsidR="006149C8" w:rsidRPr="006149C8" w:rsidRDefault="006149C8" w:rsidP="00F62FDC">
            <w:pPr>
              <w:contextualSpacing/>
            </w:pPr>
            <w:r w:rsidRPr="006149C8">
              <w:t xml:space="preserve">Sabiedrības </w:t>
            </w:r>
            <w:proofErr w:type="spellStart"/>
            <w:r w:rsidRPr="006149C8">
              <w:t>mērķgrupas</w:t>
            </w:r>
            <w:proofErr w:type="spellEnd"/>
            <w:r w:rsidRPr="006149C8">
              <w:t>, kuras tiesiskais regulējums ietekmē vai varētu ietekmēt</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5ED0D423" w14:textId="4F86875F" w:rsidR="006149C8" w:rsidRPr="006149C8" w:rsidRDefault="00105E72" w:rsidP="0093745A">
            <w:pPr>
              <w:contextualSpacing/>
              <w:jc w:val="both"/>
            </w:pPr>
            <w:r w:rsidRPr="00105E72">
              <w:t>Plānotais tiesiskais regulējums ietekmēs visus būvniecības procesa dalībniekus, institūcijas, kuras pilda būvvaldes funkcijas.</w:t>
            </w:r>
          </w:p>
        </w:tc>
      </w:tr>
      <w:tr w:rsidR="006149C8" w:rsidRPr="006149C8" w14:paraId="1D6E1FDD"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6EBE9737" w14:textId="77777777" w:rsidR="006149C8" w:rsidRPr="006149C8" w:rsidRDefault="006149C8" w:rsidP="00F62FDC">
            <w:pPr>
              <w:contextualSpacing/>
              <w:jc w:val="center"/>
            </w:pPr>
            <w:r w:rsidRPr="006149C8">
              <w:t>2.</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20BC0F72" w14:textId="77777777" w:rsidR="006149C8" w:rsidRPr="006149C8" w:rsidRDefault="006149C8" w:rsidP="00F62FDC">
            <w:pPr>
              <w:contextualSpacing/>
            </w:pPr>
            <w:r w:rsidRPr="006149C8">
              <w:t>Tiesiskā regulējuma ietekme uz tautsaimniecību un administratīvo slogu</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69A942A2" w14:textId="59E8B577" w:rsidR="00F0387D" w:rsidRPr="00A613A6" w:rsidRDefault="00105E72" w:rsidP="009405B0">
            <w:pPr>
              <w:contextualSpacing/>
              <w:jc w:val="both"/>
            </w:pPr>
            <w:r w:rsidRPr="00105E72">
              <w:t xml:space="preserve">Kopumā administratīvais slogs </w:t>
            </w:r>
            <w:r>
              <w:t>nemainīsies.</w:t>
            </w:r>
          </w:p>
        </w:tc>
      </w:tr>
      <w:tr w:rsidR="006149C8" w:rsidRPr="006149C8" w14:paraId="03EF5CA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24C9210D" w14:textId="77777777" w:rsidR="006149C8" w:rsidRPr="006149C8" w:rsidRDefault="006149C8" w:rsidP="00F62FDC">
            <w:pPr>
              <w:contextualSpacing/>
              <w:jc w:val="center"/>
            </w:pPr>
            <w:r w:rsidRPr="006149C8">
              <w:t>3.</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5305B94D" w14:textId="77777777" w:rsidR="006149C8" w:rsidRPr="006149C8" w:rsidRDefault="006149C8" w:rsidP="00F62FDC">
            <w:pPr>
              <w:contextualSpacing/>
            </w:pPr>
            <w:r w:rsidRPr="006149C8">
              <w:t>Administratīvo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1DA2A70D" w14:textId="6BB28530" w:rsidR="00F03DF5" w:rsidRPr="006149C8" w:rsidRDefault="00FD35B0" w:rsidP="00F03DF5">
            <w:pPr>
              <w:contextualSpacing/>
              <w:jc w:val="both"/>
            </w:pPr>
            <w:r>
              <w:t>T</w:t>
            </w:r>
            <w:r w:rsidR="00105E72" w:rsidRPr="00105E72">
              <w:t>ā k</w:t>
            </w:r>
            <w:r>
              <w:t>ā</w:t>
            </w:r>
            <w:r w:rsidR="00105E72" w:rsidRPr="00105E72">
              <w:t xml:space="preserve"> nav </w:t>
            </w:r>
            <w:r w:rsidR="00F03DF5" w:rsidRPr="00F03DF5">
              <w:t xml:space="preserve">nosakāms </w:t>
            </w:r>
            <w:proofErr w:type="spellStart"/>
            <w:r w:rsidR="00F03DF5" w:rsidRPr="00F03DF5">
              <w:t>mērķgrupas</w:t>
            </w:r>
            <w:proofErr w:type="spellEnd"/>
            <w:r w:rsidR="00F03DF5" w:rsidRPr="00F03DF5">
              <w:t xml:space="preserve"> lielums</w:t>
            </w:r>
            <w:r w:rsidR="00F03DF5" w:rsidRPr="00105E72">
              <w:t xml:space="preserve"> </w:t>
            </w:r>
            <w:r w:rsidR="00F03DF5">
              <w:t xml:space="preserve">un </w:t>
            </w:r>
            <w:r w:rsidR="00105E72" w:rsidRPr="00105E72">
              <w:t>izdalāms viens tipisks gadījums, k</w:t>
            </w:r>
            <w:r w:rsidR="00A75B7F">
              <w:t xml:space="preserve">as </w:t>
            </w:r>
            <w:r w:rsidR="00105E72" w:rsidRPr="00105E72">
              <w:t xml:space="preserve">varētu attiekties uz visiem </w:t>
            </w:r>
            <w:r w:rsidR="00105E72">
              <w:t>būvniecības ierosinātājiem</w:t>
            </w:r>
            <w:r w:rsidR="00F03DF5">
              <w:t>,</w:t>
            </w:r>
            <w:r w:rsidR="00E56DC9">
              <w:t xml:space="preserve"> </w:t>
            </w:r>
            <w:r>
              <w:t xml:space="preserve">tad </w:t>
            </w:r>
            <w:r w:rsidR="00105E72" w:rsidRPr="00105E72">
              <w:t>attiecīgās izmaksas nav iespējams novērtēt.</w:t>
            </w:r>
          </w:p>
        </w:tc>
      </w:tr>
      <w:tr w:rsidR="006149C8" w:rsidRPr="006149C8" w14:paraId="1E61D5C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10C2AF6A" w14:textId="77777777" w:rsidR="006149C8" w:rsidRPr="006149C8" w:rsidRDefault="006149C8" w:rsidP="00F62FDC">
            <w:pPr>
              <w:contextualSpacing/>
              <w:jc w:val="center"/>
            </w:pPr>
            <w:r w:rsidRPr="006149C8">
              <w:t>4.</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17D03E31" w14:textId="77777777" w:rsidR="006149C8" w:rsidRPr="006149C8" w:rsidRDefault="006149C8" w:rsidP="00F62FDC">
            <w:pPr>
              <w:contextualSpacing/>
            </w:pPr>
            <w:r w:rsidRPr="006149C8">
              <w:t>Atbilstības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2AEE989F" w14:textId="551B5E84" w:rsidR="006149C8" w:rsidRPr="006149C8" w:rsidRDefault="000210F7" w:rsidP="0093745A">
            <w:pPr>
              <w:contextualSpacing/>
              <w:jc w:val="both"/>
            </w:pPr>
            <w:r>
              <w:t xml:space="preserve">Tā </w:t>
            </w:r>
            <w:r w:rsidR="0093745A" w:rsidRPr="00105E72">
              <w:t>k</w:t>
            </w:r>
            <w:r>
              <w:t>ā</w:t>
            </w:r>
            <w:r w:rsidR="0093745A" w:rsidRPr="00105E72">
              <w:t xml:space="preserve"> nav </w:t>
            </w:r>
            <w:r w:rsidR="00F03DF5" w:rsidRPr="00F03DF5">
              <w:t xml:space="preserve">nosakāms </w:t>
            </w:r>
            <w:proofErr w:type="spellStart"/>
            <w:r w:rsidR="00F03DF5" w:rsidRPr="00F03DF5">
              <w:t>mērķgrupas</w:t>
            </w:r>
            <w:proofErr w:type="spellEnd"/>
            <w:r w:rsidR="00F03DF5" w:rsidRPr="00F03DF5">
              <w:t xml:space="preserve"> lielums un </w:t>
            </w:r>
            <w:r w:rsidR="0093745A" w:rsidRPr="00105E72">
              <w:t>izdalāms viens tipisks gadījums, k</w:t>
            </w:r>
            <w:r w:rsidR="00EF361A">
              <w:t xml:space="preserve">as </w:t>
            </w:r>
            <w:r w:rsidR="0093745A" w:rsidRPr="00105E72">
              <w:t xml:space="preserve">varētu attiekties uz visiem </w:t>
            </w:r>
            <w:r w:rsidR="0093745A">
              <w:t>būvniecības ierosinātājiem</w:t>
            </w:r>
            <w:r w:rsidR="0093745A" w:rsidRPr="00105E72">
              <w:t>, attiecīgās izmaksas nav iespējams novērtēt.</w:t>
            </w:r>
          </w:p>
        </w:tc>
      </w:tr>
      <w:tr w:rsidR="006149C8" w:rsidRPr="006149C8" w14:paraId="4B503491"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2A5391E8" w14:textId="77777777" w:rsidR="006149C8" w:rsidRPr="006149C8" w:rsidRDefault="006149C8" w:rsidP="00F62FDC">
            <w:pPr>
              <w:contextualSpacing/>
              <w:jc w:val="center"/>
            </w:pPr>
            <w:r w:rsidRPr="006149C8">
              <w:t>5.</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63113DDB" w14:textId="77777777" w:rsidR="006149C8" w:rsidRPr="006149C8" w:rsidRDefault="006149C8" w:rsidP="00F62FDC">
            <w:pPr>
              <w:contextualSpacing/>
            </w:pPr>
            <w:r w:rsidRPr="006149C8">
              <w:t>Cita informācija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277EECD3" w14:textId="77777777" w:rsidR="006149C8" w:rsidRPr="006149C8" w:rsidRDefault="00105E72" w:rsidP="0093745A">
            <w:pPr>
              <w:contextualSpacing/>
              <w:jc w:val="both"/>
            </w:pPr>
            <w:r>
              <w:t>Nav</w:t>
            </w:r>
          </w:p>
        </w:tc>
      </w:tr>
    </w:tbl>
    <w:p w14:paraId="5EFD7750" w14:textId="7B2B5280" w:rsidR="006149C8" w:rsidRDefault="006149C8"/>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62"/>
        <w:gridCol w:w="954"/>
        <w:gridCol w:w="1134"/>
        <w:gridCol w:w="850"/>
        <w:gridCol w:w="993"/>
        <w:gridCol w:w="850"/>
        <w:gridCol w:w="1123"/>
        <w:gridCol w:w="995"/>
      </w:tblGrid>
      <w:tr w:rsidR="00B5184C" w:rsidRPr="00B5184C" w14:paraId="4665C9E9" w14:textId="77777777" w:rsidTr="00582287">
        <w:trPr>
          <w:cantSplit/>
        </w:trPr>
        <w:tc>
          <w:tcPr>
            <w:tcW w:w="9061" w:type="dxa"/>
            <w:gridSpan w:val="8"/>
            <w:tcBorders>
              <w:top w:val="single" w:sz="4" w:space="0" w:color="auto"/>
              <w:left w:val="single" w:sz="4" w:space="0" w:color="auto"/>
              <w:bottom w:val="single" w:sz="4" w:space="0" w:color="auto"/>
              <w:right w:val="single" w:sz="4" w:space="0" w:color="auto"/>
            </w:tcBorders>
            <w:vAlign w:val="center"/>
            <w:hideMark/>
          </w:tcPr>
          <w:p w14:paraId="1661F0F6" w14:textId="77777777" w:rsidR="00B5184C" w:rsidRPr="00B5184C" w:rsidRDefault="00B5184C" w:rsidP="00B5184C">
            <w:pPr>
              <w:jc w:val="center"/>
              <w:rPr>
                <w:b/>
                <w:bCs/>
                <w:lang w:eastAsia="en-US"/>
              </w:rPr>
            </w:pPr>
            <w:r w:rsidRPr="00B5184C">
              <w:rPr>
                <w:b/>
                <w:bCs/>
                <w:lang w:eastAsia="en-US"/>
              </w:rPr>
              <w:t>III. Tiesību akta projekta ietekme uz valsts budžetu un pašvaldību budžetiem</w:t>
            </w:r>
          </w:p>
        </w:tc>
      </w:tr>
      <w:tr w:rsidR="00B5184C" w:rsidRPr="00B5184C" w14:paraId="730372C3" w14:textId="77777777" w:rsidTr="00582287">
        <w:trPr>
          <w:cantSplit/>
        </w:trPr>
        <w:tc>
          <w:tcPr>
            <w:tcW w:w="21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FFC07E" w14:textId="77777777" w:rsidR="00B5184C" w:rsidRPr="00B5184C" w:rsidRDefault="00B5184C" w:rsidP="00B5184C">
            <w:pPr>
              <w:jc w:val="center"/>
              <w:rPr>
                <w:bCs/>
                <w:lang w:eastAsia="en-US"/>
              </w:rPr>
            </w:pPr>
            <w:r w:rsidRPr="00B5184C">
              <w:rPr>
                <w:bCs/>
                <w:lang w:eastAsia="en-US"/>
              </w:rPr>
              <w:t>Rādītāji</w:t>
            </w:r>
          </w:p>
        </w:tc>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887B3C" w14:textId="56FB30EF" w:rsidR="00B5184C" w:rsidRPr="00B5184C" w:rsidRDefault="00B5184C" w:rsidP="009E23BB">
            <w:pPr>
              <w:jc w:val="center"/>
              <w:rPr>
                <w:bCs/>
                <w:lang w:eastAsia="en-US"/>
              </w:rPr>
            </w:pPr>
            <w:r>
              <w:rPr>
                <w:bCs/>
                <w:lang w:eastAsia="en-US"/>
              </w:rPr>
              <w:t>20</w:t>
            </w:r>
            <w:r w:rsidR="009D3CD1">
              <w:rPr>
                <w:bCs/>
                <w:lang w:eastAsia="en-US"/>
              </w:rPr>
              <w:t>2</w:t>
            </w:r>
            <w:r w:rsidR="009E23BB">
              <w:rPr>
                <w:bCs/>
                <w:lang w:eastAsia="en-US"/>
              </w:rPr>
              <w:t>1</w:t>
            </w:r>
            <w:r>
              <w:rPr>
                <w:bCs/>
                <w:lang w:eastAsia="en-US"/>
              </w:rPr>
              <w:t>.</w:t>
            </w:r>
            <w:r w:rsidRPr="00B5184C">
              <w:rPr>
                <w:bCs/>
                <w:lang w:eastAsia="en-US"/>
              </w:rPr>
              <w:t>gads</w:t>
            </w:r>
          </w:p>
        </w:tc>
        <w:tc>
          <w:tcPr>
            <w:tcW w:w="481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5ECA85A" w14:textId="77777777" w:rsidR="00B5184C" w:rsidRPr="00B5184C" w:rsidRDefault="00B5184C" w:rsidP="00B5184C">
            <w:pPr>
              <w:jc w:val="center"/>
              <w:rPr>
                <w:lang w:eastAsia="en-US"/>
              </w:rPr>
            </w:pPr>
            <w:r w:rsidRPr="00B5184C">
              <w:rPr>
                <w:lang w:eastAsia="en-US"/>
              </w:rPr>
              <w:t>Turpmākie trīs gadi (</w:t>
            </w:r>
            <w:r w:rsidRPr="00B5184C">
              <w:rPr>
                <w:i/>
                <w:iCs/>
                <w:lang w:eastAsia="en-US"/>
              </w:rPr>
              <w:t>euro</w:t>
            </w:r>
            <w:r w:rsidRPr="00B5184C">
              <w:rPr>
                <w:lang w:eastAsia="en-US"/>
              </w:rPr>
              <w:t>)</w:t>
            </w:r>
          </w:p>
        </w:tc>
      </w:tr>
      <w:tr w:rsidR="00B5184C" w:rsidRPr="00B5184C" w14:paraId="3D063D54" w14:textId="77777777" w:rsidTr="00582287">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66569C85" w14:textId="77777777" w:rsidR="00B5184C" w:rsidRPr="00B5184C" w:rsidRDefault="00B5184C" w:rsidP="00B5184C">
            <w:pPr>
              <w:rPr>
                <w:bCs/>
                <w:lang w:eastAsia="en-US"/>
              </w:rPr>
            </w:pPr>
          </w:p>
        </w:tc>
        <w:tc>
          <w:tcPr>
            <w:tcW w:w="2088" w:type="dxa"/>
            <w:gridSpan w:val="2"/>
            <w:vMerge/>
            <w:tcBorders>
              <w:top w:val="single" w:sz="4" w:space="0" w:color="auto"/>
              <w:left w:val="single" w:sz="4" w:space="0" w:color="auto"/>
              <w:bottom w:val="single" w:sz="4" w:space="0" w:color="auto"/>
              <w:right w:val="single" w:sz="4" w:space="0" w:color="auto"/>
            </w:tcBorders>
            <w:vAlign w:val="center"/>
            <w:hideMark/>
          </w:tcPr>
          <w:p w14:paraId="23BF99EC" w14:textId="77777777" w:rsidR="00B5184C" w:rsidRPr="00B5184C" w:rsidRDefault="00B5184C" w:rsidP="00B5184C">
            <w:pPr>
              <w:rPr>
                <w:bCs/>
                <w:lang w:eastAsia="en-U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80B307" w14:textId="7D91156A" w:rsidR="00B5184C" w:rsidRPr="00B5184C" w:rsidRDefault="00B5184C" w:rsidP="00B5184C">
            <w:pPr>
              <w:jc w:val="center"/>
              <w:rPr>
                <w:bCs/>
                <w:lang w:eastAsia="en-US"/>
              </w:rPr>
            </w:pPr>
            <w:r>
              <w:rPr>
                <w:bCs/>
                <w:lang w:eastAsia="en-US"/>
              </w:rPr>
              <w:t>202</w:t>
            </w:r>
            <w:r w:rsidR="009E23BB">
              <w:rPr>
                <w:bCs/>
                <w:lang w:eastAsia="en-US"/>
              </w:rPr>
              <w:t>2</w:t>
            </w:r>
            <w:r>
              <w:rPr>
                <w:bCs/>
                <w:lang w:eastAsia="en-US"/>
              </w:rPr>
              <w:t>.</w:t>
            </w: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60C12D" w14:textId="41EF867C" w:rsidR="00B5184C" w:rsidRPr="00B5184C" w:rsidRDefault="00B5184C" w:rsidP="00B5184C">
            <w:pPr>
              <w:jc w:val="center"/>
              <w:rPr>
                <w:bCs/>
                <w:lang w:eastAsia="en-US"/>
              </w:rPr>
            </w:pPr>
            <w:r>
              <w:rPr>
                <w:bCs/>
                <w:lang w:eastAsia="en-US"/>
              </w:rPr>
              <w:t>202</w:t>
            </w:r>
            <w:r w:rsidR="009E23BB">
              <w:rPr>
                <w:bCs/>
                <w:lang w:eastAsia="en-US"/>
              </w:rPr>
              <w:t>3</w:t>
            </w:r>
            <w:r>
              <w:rPr>
                <w:bCs/>
                <w:lang w:eastAsia="en-US"/>
              </w:rPr>
              <w: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FA694" w14:textId="1D070A02" w:rsidR="00B5184C" w:rsidRPr="00B5184C" w:rsidRDefault="00B5184C" w:rsidP="00B5184C">
            <w:pPr>
              <w:jc w:val="center"/>
              <w:rPr>
                <w:bCs/>
                <w:lang w:eastAsia="en-US"/>
              </w:rPr>
            </w:pPr>
            <w:r>
              <w:rPr>
                <w:bCs/>
                <w:lang w:eastAsia="en-US"/>
              </w:rPr>
              <w:t>202</w:t>
            </w:r>
            <w:r w:rsidR="009E23BB">
              <w:rPr>
                <w:bCs/>
                <w:lang w:eastAsia="en-US"/>
              </w:rPr>
              <w:t>4</w:t>
            </w:r>
            <w:r>
              <w:rPr>
                <w:bCs/>
                <w:lang w:eastAsia="en-US"/>
              </w:rPr>
              <w:t>.</w:t>
            </w:r>
          </w:p>
        </w:tc>
      </w:tr>
      <w:tr w:rsidR="00B5184C" w:rsidRPr="00B5184C" w14:paraId="2E0DA92A" w14:textId="77777777" w:rsidTr="00582287">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336B96E2" w14:textId="77777777" w:rsidR="00B5184C" w:rsidRPr="00B5184C" w:rsidRDefault="00B5184C" w:rsidP="00B5184C">
            <w:pPr>
              <w:rPr>
                <w:bCs/>
                <w:lang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82E00" w14:textId="77777777" w:rsidR="00B5184C" w:rsidRPr="00B5184C" w:rsidRDefault="00B5184C" w:rsidP="00B5184C">
            <w:pPr>
              <w:jc w:val="center"/>
              <w:rPr>
                <w:lang w:eastAsia="en-US"/>
              </w:rPr>
            </w:pPr>
            <w:r w:rsidRPr="00B5184C">
              <w:rPr>
                <w:lang w:eastAsia="en-US"/>
              </w:rPr>
              <w:t>saskaņā ar valsts budžetu kārtējam gadam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97DEF" w14:textId="77777777" w:rsidR="00B5184C" w:rsidRPr="00B5184C" w:rsidRDefault="00B5184C" w:rsidP="00B5184C">
            <w:pPr>
              <w:jc w:val="center"/>
              <w:rPr>
                <w:lang w:eastAsia="en-US"/>
              </w:rPr>
            </w:pPr>
            <w:r w:rsidRPr="00B5184C">
              <w:rPr>
                <w:lang w:eastAsia="en-US"/>
              </w:rPr>
              <w:t>izmaiņas kārtējā gadā, salīdzinot ar valsts budžetu kārtējam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0FBB0" w14:textId="77777777" w:rsidR="00B5184C" w:rsidRPr="00B5184C" w:rsidRDefault="00B5184C" w:rsidP="00B5184C">
            <w:pPr>
              <w:jc w:val="center"/>
              <w:rPr>
                <w:lang w:eastAsia="en-US"/>
              </w:rPr>
            </w:pPr>
            <w:r w:rsidRPr="00B5184C">
              <w:rPr>
                <w:lang w:eastAsia="en-US"/>
              </w:rPr>
              <w:t>saskaņā ar vidēja termiņa budžeta ietvaru</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045BD0" w14:textId="3217A2BA" w:rsidR="00B5184C" w:rsidRPr="00B5184C" w:rsidRDefault="00B5184C" w:rsidP="00B5184C">
            <w:pPr>
              <w:jc w:val="center"/>
              <w:rPr>
                <w:lang w:eastAsia="en-US"/>
              </w:rPr>
            </w:pPr>
            <w:r w:rsidRPr="00B5184C">
              <w:rPr>
                <w:lang w:eastAsia="en-US"/>
              </w:rPr>
              <w:t xml:space="preserve">izmaiņas, salīdzinot ar vidēja termiņa budžeta ietvaru </w:t>
            </w:r>
            <w:r>
              <w:rPr>
                <w:lang w:eastAsia="en-US"/>
              </w:rPr>
              <w:t>202</w:t>
            </w:r>
            <w:r w:rsidR="009E23BB">
              <w:rPr>
                <w:lang w:eastAsia="en-US"/>
              </w:rPr>
              <w:t>2</w:t>
            </w:r>
            <w:r>
              <w:rPr>
                <w:lang w:eastAsia="en-US"/>
              </w:rPr>
              <w:t>.</w:t>
            </w:r>
            <w:r w:rsidRPr="00B5184C">
              <w:rPr>
                <w:lang w:eastAsia="en-US"/>
              </w:rPr>
              <w:t xml:space="preserve">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32256" w14:textId="77777777" w:rsidR="00B5184C" w:rsidRPr="00B5184C" w:rsidRDefault="00B5184C" w:rsidP="00B5184C">
            <w:pPr>
              <w:jc w:val="center"/>
              <w:rPr>
                <w:lang w:eastAsia="en-US"/>
              </w:rPr>
            </w:pPr>
            <w:r w:rsidRPr="00B5184C">
              <w:rPr>
                <w:lang w:eastAsia="en-US"/>
              </w:rPr>
              <w:t>saskaņā ar vidēja termiņa budžeta ietvaru</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92D1C" w14:textId="4FCA95A8" w:rsidR="00B5184C" w:rsidRPr="00B5184C" w:rsidRDefault="00B5184C" w:rsidP="00B5184C">
            <w:pPr>
              <w:jc w:val="center"/>
              <w:rPr>
                <w:lang w:eastAsia="en-US"/>
              </w:rPr>
            </w:pPr>
            <w:r w:rsidRPr="00B5184C">
              <w:rPr>
                <w:lang w:eastAsia="en-US"/>
              </w:rPr>
              <w:t xml:space="preserve">izmaiņas, salīdzinot ar vidēja termiņa budžeta ietvaru </w:t>
            </w:r>
            <w:r>
              <w:rPr>
                <w:lang w:eastAsia="en-US"/>
              </w:rPr>
              <w:t>202</w:t>
            </w:r>
            <w:r w:rsidR="009E23BB">
              <w:rPr>
                <w:lang w:eastAsia="en-US"/>
              </w:rPr>
              <w:t>3</w:t>
            </w:r>
            <w:r>
              <w:rPr>
                <w:lang w:eastAsia="en-US"/>
              </w:rPr>
              <w:t>.</w:t>
            </w:r>
            <w:r w:rsidRPr="00B5184C">
              <w:rPr>
                <w:lang w:eastAsia="en-US"/>
              </w:rPr>
              <w:t xml:space="preserve"> gadam</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46C5A" w14:textId="29DC30F0" w:rsidR="00B5184C" w:rsidRPr="00B5184C" w:rsidRDefault="00B5184C" w:rsidP="00B5184C">
            <w:pPr>
              <w:jc w:val="center"/>
              <w:rPr>
                <w:lang w:eastAsia="en-US"/>
              </w:rPr>
            </w:pPr>
            <w:r w:rsidRPr="00B5184C">
              <w:rPr>
                <w:lang w:eastAsia="en-US"/>
              </w:rPr>
              <w:t xml:space="preserve">izmaiņas, salīdzinot ar vidēja termiņa budžeta ietvaru </w:t>
            </w:r>
            <w:r w:rsidRPr="00B5184C">
              <w:rPr>
                <w:lang w:eastAsia="en-US"/>
              </w:rPr>
              <w:br/>
            </w:r>
            <w:r>
              <w:rPr>
                <w:lang w:eastAsia="en-US"/>
              </w:rPr>
              <w:t>202</w:t>
            </w:r>
            <w:r w:rsidR="009E23BB">
              <w:rPr>
                <w:lang w:eastAsia="en-US"/>
              </w:rPr>
              <w:t>3</w:t>
            </w:r>
            <w:r>
              <w:rPr>
                <w:lang w:eastAsia="en-US"/>
              </w:rPr>
              <w:t>.</w:t>
            </w:r>
            <w:r w:rsidRPr="00B5184C">
              <w:rPr>
                <w:lang w:eastAsia="en-US"/>
              </w:rPr>
              <w:t xml:space="preserve"> gadam</w:t>
            </w:r>
          </w:p>
        </w:tc>
      </w:tr>
      <w:tr w:rsidR="00B5184C" w:rsidRPr="00B5184C" w14:paraId="449B98B8" w14:textId="77777777" w:rsidTr="00582287">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F7C62" w14:textId="77777777" w:rsidR="00B5184C" w:rsidRPr="00B5184C" w:rsidRDefault="00B5184C" w:rsidP="00B5184C">
            <w:pPr>
              <w:jc w:val="center"/>
              <w:rPr>
                <w:lang w:eastAsia="en-US"/>
              </w:rPr>
            </w:pPr>
            <w:r w:rsidRPr="00B5184C">
              <w:rPr>
                <w:lang w:eastAsia="en-US"/>
              </w:rPr>
              <w:t>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3AA6C" w14:textId="77777777" w:rsidR="00B5184C" w:rsidRPr="00B5184C" w:rsidRDefault="00B5184C" w:rsidP="00B5184C">
            <w:pPr>
              <w:jc w:val="center"/>
              <w:rPr>
                <w:lang w:eastAsia="en-US"/>
              </w:rPr>
            </w:pPr>
            <w:r w:rsidRPr="00B5184C">
              <w:rPr>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DBD82" w14:textId="77777777" w:rsidR="00B5184C" w:rsidRPr="00B5184C" w:rsidRDefault="00B5184C" w:rsidP="00B5184C">
            <w:pPr>
              <w:jc w:val="center"/>
              <w:rPr>
                <w:lang w:eastAsia="en-US"/>
              </w:rPr>
            </w:pPr>
            <w:r w:rsidRPr="00B5184C">
              <w:rPr>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C20FB" w14:textId="77777777" w:rsidR="00B5184C" w:rsidRPr="00B5184C" w:rsidRDefault="00B5184C" w:rsidP="00B5184C">
            <w:pPr>
              <w:jc w:val="center"/>
              <w:rPr>
                <w:lang w:eastAsia="en-US"/>
              </w:rPr>
            </w:pPr>
            <w:r w:rsidRPr="00B5184C">
              <w:rPr>
                <w:lang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A27A8" w14:textId="77777777" w:rsidR="00B5184C" w:rsidRPr="00B5184C" w:rsidRDefault="00B5184C" w:rsidP="00B5184C">
            <w:pPr>
              <w:jc w:val="center"/>
              <w:rPr>
                <w:lang w:eastAsia="en-US"/>
              </w:rPr>
            </w:pPr>
            <w:r w:rsidRPr="00B5184C">
              <w:rPr>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03638" w14:textId="77777777" w:rsidR="00B5184C" w:rsidRPr="00B5184C" w:rsidRDefault="00B5184C" w:rsidP="00B5184C">
            <w:pPr>
              <w:jc w:val="center"/>
              <w:rPr>
                <w:lang w:eastAsia="en-US"/>
              </w:rPr>
            </w:pPr>
            <w:r w:rsidRPr="00B5184C">
              <w:rPr>
                <w:lang w:eastAsia="en-US"/>
              </w:rPr>
              <w:t>6</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CC230" w14:textId="77777777" w:rsidR="00B5184C" w:rsidRPr="00B5184C" w:rsidRDefault="00B5184C" w:rsidP="00B5184C">
            <w:pPr>
              <w:jc w:val="center"/>
              <w:rPr>
                <w:lang w:eastAsia="en-US"/>
              </w:rPr>
            </w:pPr>
            <w:r w:rsidRPr="00B5184C">
              <w:rPr>
                <w:lang w:eastAsia="en-US"/>
              </w:rPr>
              <w:t>7</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255A0" w14:textId="77777777" w:rsidR="00B5184C" w:rsidRPr="00B5184C" w:rsidRDefault="00B5184C" w:rsidP="00B5184C">
            <w:pPr>
              <w:jc w:val="center"/>
              <w:rPr>
                <w:lang w:eastAsia="en-US"/>
              </w:rPr>
            </w:pPr>
            <w:r w:rsidRPr="00B5184C">
              <w:rPr>
                <w:lang w:eastAsia="en-US"/>
              </w:rPr>
              <w:t>8</w:t>
            </w:r>
          </w:p>
        </w:tc>
      </w:tr>
      <w:tr w:rsidR="00B5184C" w:rsidRPr="00B5184C" w14:paraId="5300DAA1" w14:textId="77777777" w:rsidTr="00582287">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hideMark/>
          </w:tcPr>
          <w:p w14:paraId="203E95A9" w14:textId="77777777" w:rsidR="00B5184C" w:rsidRPr="00B5184C" w:rsidRDefault="00B5184C" w:rsidP="00B5184C">
            <w:pPr>
              <w:rPr>
                <w:lang w:eastAsia="en-US"/>
              </w:rPr>
            </w:pPr>
            <w:r w:rsidRPr="00B5184C">
              <w:rPr>
                <w:lang w:eastAsia="en-US"/>
              </w:rPr>
              <w:t>1. Budžeta ieņēmumi</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04937" w14:textId="3D2ECDA6"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58E22" w14:textId="47941C5E"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A8F4F" w14:textId="18110B6E"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8A531" w14:textId="60F04729"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5F3F5" w14:textId="7CE6E5AE"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CEFD1" w14:textId="410632BB"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921C1" w14:textId="25D506C7" w:rsidR="00B5184C" w:rsidRPr="00B5184C" w:rsidRDefault="00B5184C" w:rsidP="00B5184C">
            <w:pPr>
              <w:rPr>
                <w:rFonts w:eastAsia="Calibri"/>
              </w:rPr>
            </w:pPr>
            <w:r>
              <w:rPr>
                <w:rFonts w:eastAsia="Calibri"/>
              </w:rPr>
              <w:t>0</w:t>
            </w:r>
          </w:p>
        </w:tc>
      </w:tr>
      <w:tr w:rsidR="00B5184C" w:rsidRPr="00B5184C" w14:paraId="580ACC0C"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2D03372" w14:textId="77777777" w:rsidR="00B5184C" w:rsidRPr="00B5184C" w:rsidRDefault="00B5184C" w:rsidP="00B5184C">
            <w:pPr>
              <w:rPr>
                <w:lang w:eastAsia="en-US"/>
              </w:rPr>
            </w:pPr>
            <w:r w:rsidRPr="00B5184C">
              <w:rPr>
                <w:lang w:eastAsia="en-US"/>
              </w:rPr>
              <w:t>1.1. valsts pamatbudžets, tai skaitā ieņēmumi no maksas pakalpojumiem un citi pašu ieņēmumi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685277E6" w14:textId="7871C7C5"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EAA71" w14:textId="4009DBB5"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6D7C82" w14:textId="553E946E"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4E3755" w14:textId="5CD12C75"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AD82E3" w14:textId="5FA35EF1"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A82EB20" w14:textId="197E269C"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B82E7FE" w14:textId="179BE718" w:rsidR="00B5184C" w:rsidRPr="00B5184C" w:rsidRDefault="00B5184C" w:rsidP="00B5184C">
            <w:pPr>
              <w:rPr>
                <w:rFonts w:eastAsia="Calibri"/>
              </w:rPr>
            </w:pPr>
            <w:r>
              <w:rPr>
                <w:rFonts w:eastAsia="Calibri"/>
              </w:rPr>
              <w:t>0</w:t>
            </w:r>
          </w:p>
        </w:tc>
      </w:tr>
      <w:tr w:rsidR="00B5184C" w:rsidRPr="00B5184C" w14:paraId="274EA50D"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3142BADB" w14:textId="77777777" w:rsidR="00B5184C" w:rsidRPr="00B5184C" w:rsidRDefault="00B5184C" w:rsidP="00B5184C">
            <w:pPr>
              <w:rPr>
                <w:lang w:eastAsia="en-US"/>
              </w:rPr>
            </w:pPr>
            <w:r w:rsidRPr="00B5184C">
              <w:rPr>
                <w:lang w:eastAsia="en-US"/>
              </w:rPr>
              <w:t>1.2. valsts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68073CDF" w14:textId="52FD54F1"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724A1" w14:textId="5BB0777E"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052ABA" w14:textId="1BE503BA"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44ED52" w14:textId="3BCCC013"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515521" w14:textId="38F17A03"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3BB3E0" w14:textId="22E28827"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D704689" w14:textId="678E0972" w:rsidR="00B5184C" w:rsidRPr="00B5184C" w:rsidRDefault="00B5184C" w:rsidP="00B5184C">
            <w:pPr>
              <w:rPr>
                <w:rFonts w:eastAsia="Calibri"/>
              </w:rPr>
            </w:pPr>
            <w:r>
              <w:rPr>
                <w:rFonts w:eastAsia="Calibri"/>
              </w:rPr>
              <w:t>0</w:t>
            </w:r>
          </w:p>
        </w:tc>
      </w:tr>
      <w:tr w:rsidR="00B5184C" w:rsidRPr="00B5184C" w14:paraId="6A3DB0C7"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0F1EBD2C" w14:textId="77777777" w:rsidR="00B5184C" w:rsidRPr="00B5184C" w:rsidRDefault="00B5184C" w:rsidP="00B5184C">
            <w:pPr>
              <w:rPr>
                <w:lang w:eastAsia="en-US"/>
              </w:rPr>
            </w:pPr>
            <w:r w:rsidRPr="00B5184C">
              <w:rPr>
                <w:lang w:eastAsia="en-US"/>
              </w:rPr>
              <w:t>1.3.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294BF7AF" w14:textId="4F0D4CFB"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69BEFA" w14:textId="4C4F089B"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D064D3" w14:textId="0F0A10D5"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B8AAA1" w14:textId="10346BC9"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7689E6" w14:textId="4617BE88"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952B3A" w14:textId="17F5504F"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0A80E6A" w14:textId="3916A591" w:rsidR="00B5184C" w:rsidRPr="00B5184C" w:rsidRDefault="00B5184C" w:rsidP="00B5184C">
            <w:pPr>
              <w:rPr>
                <w:rFonts w:eastAsia="Calibri"/>
              </w:rPr>
            </w:pPr>
            <w:r>
              <w:rPr>
                <w:rFonts w:eastAsia="Calibri"/>
              </w:rPr>
              <w:t>0</w:t>
            </w:r>
          </w:p>
        </w:tc>
      </w:tr>
      <w:tr w:rsidR="00B5184C" w:rsidRPr="00B5184C" w14:paraId="18539E9D"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BB3ABF1" w14:textId="77777777" w:rsidR="00B5184C" w:rsidRPr="00B5184C" w:rsidRDefault="00B5184C" w:rsidP="00B5184C">
            <w:pPr>
              <w:rPr>
                <w:lang w:eastAsia="en-US"/>
              </w:rPr>
            </w:pPr>
            <w:r w:rsidRPr="00B5184C">
              <w:rPr>
                <w:lang w:eastAsia="en-US"/>
              </w:rPr>
              <w:t>2. Budžeta izdevumi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16D81ABD" w14:textId="34DA6E5D"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86847F" w14:textId="6AE08E72" w:rsidR="00B5184C" w:rsidRPr="00B5184C" w:rsidRDefault="00D54500"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95F30C" w14:textId="4078054D"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99F763" w14:textId="76C88ABB" w:rsidR="00B5184C" w:rsidRPr="00B5184C" w:rsidRDefault="009E23BB"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B47DB0" w14:textId="04CF7673"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4691FF" w14:textId="25FFBE1F"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F5B9AF0" w14:textId="5F2D6268" w:rsidR="00B5184C" w:rsidRPr="00B5184C" w:rsidRDefault="00B5184C" w:rsidP="00B5184C">
            <w:pPr>
              <w:rPr>
                <w:rFonts w:eastAsia="Calibri"/>
              </w:rPr>
            </w:pPr>
            <w:r>
              <w:rPr>
                <w:rFonts w:eastAsia="Calibri"/>
              </w:rPr>
              <w:t>0</w:t>
            </w:r>
          </w:p>
        </w:tc>
      </w:tr>
      <w:tr w:rsidR="00B5184C" w:rsidRPr="00B5184C" w14:paraId="6D17880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AF8B411" w14:textId="77777777" w:rsidR="00B5184C" w:rsidRPr="00B5184C" w:rsidRDefault="00B5184C" w:rsidP="00B5184C">
            <w:pPr>
              <w:rPr>
                <w:lang w:eastAsia="en-US"/>
              </w:rPr>
            </w:pPr>
            <w:r w:rsidRPr="00B5184C">
              <w:rPr>
                <w:lang w:eastAsia="en-US"/>
              </w:rPr>
              <w:t>2.1. valsts pamatbudžets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1220D183" w14:textId="6B2523FE"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124032" w14:textId="0C36D91F" w:rsidR="00B5184C" w:rsidRPr="00B5184C" w:rsidRDefault="00D54500"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357B15" w14:textId="37761761"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BFA1F4" w14:textId="56872038" w:rsidR="00B5184C" w:rsidRPr="00B5184C" w:rsidRDefault="009E23BB"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B4F8DD" w14:textId="6585182C"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4BC0D5A" w14:textId="3DFD40AD"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4D591215" w14:textId="37A70DE1" w:rsidR="00B5184C" w:rsidRPr="00B5184C" w:rsidRDefault="00B5184C" w:rsidP="00B5184C">
            <w:pPr>
              <w:rPr>
                <w:rFonts w:eastAsia="Calibri"/>
              </w:rPr>
            </w:pPr>
            <w:r>
              <w:rPr>
                <w:rFonts w:eastAsia="Calibri"/>
              </w:rPr>
              <w:t>0</w:t>
            </w:r>
          </w:p>
        </w:tc>
      </w:tr>
      <w:tr w:rsidR="00B5184C" w:rsidRPr="00B5184C" w14:paraId="4823342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3ACAF4B9" w14:textId="77777777" w:rsidR="00B5184C" w:rsidRPr="00B5184C" w:rsidRDefault="00B5184C" w:rsidP="00B5184C">
            <w:pPr>
              <w:rPr>
                <w:lang w:eastAsia="en-US"/>
              </w:rPr>
            </w:pPr>
            <w:r w:rsidRPr="00B5184C">
              <w:rPr>
                <w:lang w:eastAsia="en-US"/>
              </w:rPr>
              <w:t>2.2. valsts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171B383F" w14:textId="1ECC5332"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996F7" w14:textId="1FA07291"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313F8C" w14:textId="6957F080"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5FB214" w14:textId="6DB257CE"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3F8966" w14:textId="6DDF7CF5"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A86E99E" w14:textId="31C9BE69"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4BD2AE3" w14:textId="239AA248" w:rsidR="00B5184C" w:rsidRPr="00B5184C" w:rsidRDefault="00B5184C" w:rsidP="00B5184C">
            <w:pPr>
              <w:rPr>
                <w:rFonts w:eastAsia="Calibri"/>
              </w:rPr>
            </w:pPr>
            <w:r>
              <w:rPr>
                <w:rFonts w:eastAsia="Calibri"/>
              </w:rPr>
              <w:t>0</w:t>
            </w:r>
          </w:p>
        </w:tc>
      </w:tr>
      <w:tr w:rsidR="00B5184C" w:rsidRPr="00B5184C" w14:paraId="5CD414BE"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0994DFBD" w14:textId="77777777" w:rsidR="00B5184C" w:rsidRPr="00B5184C" w:rsidRDefault="00B5184C" w:rsidP="00B5184C">
            <w:pPr>
              <w:rPr>
                <w:lang w:eastAsia="en-US"/>
              </w:rPr>
            </w:pPr>
            <w:r w:rsidRPr="00B5184C">
              <w:rPr>
                <w:lang w:eastAsia="en-US"/>
              </w:rPr>
              <w:t>2.3.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2F581D25" w14:textId="7E50595A"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62D2DB" w14:textId="6B80D08C"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0012A" w14:textId="47CD78A1"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79676D" w14:textId="30999660"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8178CC" w14:textId="0F2AAB35"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403E66C" w14:textId="72F6CAEC"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4ABC5E7" w14:textId="00D3A232" w:rsidR="00B5184C" w:rsidRPr="00B5184C" w:rsidRDefault="00B5184C" w:rsidP="00B5184C">
            <w:pPr>
              <w:rPr>
                <w:rFonts w:eastAsia="Calibri"/>
              </w:rPr>
            </w:pPr>
            <w:r>
              <w:rPr>
                <w:rFonts w:eastAsia="Calibri"/>
              </w:rPr>
              <w:t>0</w:t>
            </w:r>
          </w:p>
        </w:tc>
      </w:tr>
      <w:tr w:rsidR="00B5184C" w:rsidRPr="00B5184C" w14:paraId="12EA5973"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4F2CB775" w14:textId="77777777" w:rsidR="00B5184C" w:rsidRPr="00B5184C" w:rsidRDefault="00B5184C" w:rsidP="00B5184C">
            <w:pPr>
              <w:rPr>
                <w:lang w:eastAsia="en-US"/>
              </w:rPr>
            </w:pPr>
            <w:r w:rsidRPr="00B5184C">
              <w:rPr>
                <w:lang w:eastAsia="en-US"/>
              </w:rPr>
              <w:t>3. Finansiālā ietekme</w:t>
            </w:r>
          </w:p>
        </w:tc>
        <w:tc>
          <w:tcPr>
            <w:tcW w:w="954" w:type="dxa"/>
            <w:tcBorders>
              <w:top w:val="single" w:sz="4" w:space="0" w:color="auto"/>
              <w:left w:val="single" w:sz="4" w:space="0" w:color="auto"/>
              <w:bottom w:val="single" w:sz="4" w:space="0" w:color="auto"/>
              <w:right w:val="single" w:sz="4" w:space="0" w:color="auto"/>
            </w:tcBorders>
            <w:vAlign w:val="center"/>
            <w:hideMark/>
          </w:tcPr>
          <w:p w14:paraId="0186D5B4" w14:textId="5201FF5A"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117D5" w14:textId="00AE931F" w:rsidR="00B5184C" w:rsidRPr="00B5184C" w:rsidRDefault="00D54500"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BC1E20" w14:textId="7A47FA08"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DC6523" w14:textId="2F40FA02" w:rsidR="00B5184C" w:rsidRPr="00B5184C" w:rsidRDefault="009E23BB"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20D80E" w14:textId="363A1C6C"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0D5558" w14:textId="6E611E11"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48FFD04" w14:textId="1ECB7348" w:rsidR="00B5184C" w:rsidRPr="00B5184C" w:rsidRDefault="00B5184C" w:rsidP="00B5184C">
            <w:pPr>
              <w:rPr>
                <w:rFonts w:eastAsia="Calibri"/>
              </w:rPr>
            </w:pPr>
            <w:r>
              <w:rPr>
                <w:rFonts w:eastAsia="Calibri"/>
              </w:rPr>
              <w:t>0</w:t>
            </w:r>
          </w:p>
        </w:tc>
      </w:tr>
      <w:tr w:rsidR="00B5184C" w:rsidRPr="00B5184C" w14:paraId="24A50B88"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43763FD5" w14:textId="77777777" w:rsidR="00B5184C" w:rsidRPr="00B5184C" w:rsidRDefault="00B5184C" w:rsidP="00B5184C">
            <w:pPr>
              <w:rPr>
                <w:lang w:eastAsia="en-US"/>
              </w:rPr>
            </w:pPr>
            <w:r w:rsidRPr="00B5184C">
              <w:rPr>
                <w:lang w:eastAsia="en-US"/>
              </w:rPr>
              <w:t>3.1. valsts pamatbudžets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2A7BAAEB" w14:textId="7E12436E"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8B95C" w14:textId="19418850" w:rsidR="00B5184C" w:rsidRPr="00B5184C" w:rsidRDefault="00D54500"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CBDCE9" w14:textId="494F6BF8"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E68BFF" w14:textId="7C00FA63" w:rsidR="00B5184C" w:rsidRPr="00B5184C" w:rsidRDefault="009E23BB"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9575B3" w14:textId="6E9AE2D5"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DD1397C" w14:textId="46FCE8E2"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E971248" w14:textId="6F7F0854" w:rsidR="00B5184C" w:rsidRPr="00B5184C" w:rsidRDefault="00B5184C" w:rsidP="00B5184C">
            <w:pPr>
              <w:rPr>
                <w:rFonts w:eastAsia="Calibri"/>
              </w:rPr>
            </w:pPr>
            <w:r>
              <w:rPr>
                <w:rFonts w:eastAsia="Calibri"/>
              </w:rPr>
              <w:t>0</w:t>
            </w:r>
          </w:p>
        </w:tc>
      </w:tr>
      <w:tr w:rsidR="00B5184C" w:rsidRPr="00B5184C" w14:paraId="7AC93FC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AB81CCC" w14:textId="77777777" w:rsidR="00B5184C" w:rsidRPr="00B5184C" w:rsidRDefault="00B5184C" w:rsidP="00B5184C">
            <w:pPr>
              <w:rPr>
                <w:lang w:eastAsia="en-US"/>
              </w:rPr>
            </w:pPr>
            <w:r w:rsidRPr="00B5184C">
              <w:rPr>
                <w:lang w:eastAsia="en-US"/>
              </w:rPr>
              <w:t>3.2.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3435A762" w14:textId="776F83BC"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33C50" w14:textId="0C1DC201"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0D7725" w14:textId="6CA859D5"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A0951F" w14:textId="118B266F"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856F18" w14:textId="224E3316"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03EBB3" w14:textId="2D0AA6C3"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07605CB" w14:textId="0CAC6388" w:rsidR="00B5184C" w:rsidRPr="00B5184C" w:rsidRDefault="00B5184C" w:rsidP="00B5184C">
            <w:pPr>
              <w:rPr>
                <w:rFonts w:eastAsia="Calibri"/>
              </w:rPr>
            </w:pPr>
            <w:r>
              <w:rPr>
                <w:rFonts w:eastAsia="Calibri"/>
              </w:rPr>
              <w:t>0</w:t>
            </w:r>
          </w:p>
        </w:tc>
      </w:tr>
      <w:tr w:rsidR="00B5184C" w:rsidRPr="00B5184C" w14:paraId="4AF0237C"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15A1431D" w14:textId="77777777" w:rsidR="00B5184C" w:rsidRPr="00B5184C" w:rsidRDefault="00B5184C" w:rsidP="00B5184C">
            <w:pPr>
              <w:rPr>
                <w:lang w:eastAsia="en-US"/>
              </w:rPr>
            </w:pPr>
            <w:r w:rsidRPr="00B5184C">
              <w:rPr>
                <w:lang w:eastAsia="en-US"/>
              </w:rPr>
              <w:t>3.3.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66986675" w14:textId="4C72FFF8"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F75CF" w14:textId="72D2A355"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78834" w14:textId="15D0F6B5"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0EC10" w14:textId="0C9536ED"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5CEBFF" w14:textId="5368EC47"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0D6425F" w14:textId="7B3D32E3"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6BCFAD8" w14:textId="75D61929" w:rsidR="00B5184C" w:rsidRPr="00B5184C" w:rsidRDefault="00B5184C" w:rsidP="00B5184C">
            <w:pPr>
              <w:rPr>
                <w:rFonts w:eastAsia="Calibri"/>
              </w:rPr>
            </w:pPr>
            <w:r>
              <w:rPr>
                <w:rFonts w:eastAsia="Calibri"/>
              </w:rPr>
              <w:t>0</w:t>
            </w:r>
          </w:p>
        </w:tc>
      </w:tr>
      <w:tr w:rsidR="00B5184C" w:rsidRPr="00B5184C" w14:paraId="1FACC531"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798E1EFD" w14:textId="77777777" w:rsidR="00B5184C" w:rsidRPr="00B5184C" w:rsidRDefault="00B5184C" w:rsidP="00B5184C">
            <w:pPr>
              <w:rPr>
                <w:lang w:eastAsia="en-US"/>
              </w:rPr>
            </w:pPr>
            <w:r w:rsidRPr="00B5184C">
              <w:rPr>
                <w:lang w:eastAsia="en-US"/>
              </w:rPr>
              <w:t>4. Finanšu līdzekļi papildu izdevumu finansēšanai (kompensējošu izdevumu samazinājumu norāda ar "+" zīmi)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5C47D309" w14:textId="081493DE" w:rsidR="00B5184C" w:rsidRPr="00B5184C" w:rsidRDefault="004227ED" w:rsidP="00B5184C">
            <w:pPr>
              <w:rPr>
                <w:lang w:eastAsia="en-US"/>
              </w:rPr>
            </w:pPr>
            <w:r>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77D550" w14:textId="4EFD8ACC" w:rsidR="00B5184C" w:rsidRPr="00B5184C" w:rsidRDefault="00D54500"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3F3E1E" w14:textId="05F50143" w:rsidR="00B5184C" w:rsidRPr="00B5184C" w:rsidRDefault="004227ED" w:rsidP="00B5184C">
            <w:pPr>
              <w:rPr>
                <w:rFonts w:eastAsia="Calibri"/>
              </w:rPr>
            </w:pPr>
            <w:r>
              <w:rPr>
                <w:rFonts w:eastAsia="Calibri"/>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3EFFDA" w14:textId="2FA97E32" w:rsidR="00B5184C" w:rsidRPr="00B5184C" w:rsidRDefault="009E23BB"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EA513F" w14:textId="21C847E4" w:rsidR="00B5184C" w:rsidRPr="00B5184C" w:rsidRDefault="004227ED" w:rsidP="00B5184C">
            <w:pPr>
              <w:rPr>
                <w:rFonts w:eastAsia="Calibri"/>
              </w:rPr>
            </w:pPr>
            <w:r>
              <w:rPr>
                <w:rFonts w:eastAsia="Calibri"/>
              </w:rPr>
              <w:t>X</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E3BABE2" w14:textId="5EF1F893" w:rsidR="00B5184C" w:rsidRPr="00B5184C" w:rsidRDefault="004227ED"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23E00AE" w14:textId="5E4C7966" w:rsidR="00B5184C" w:rsidRPr="00B5184C" w:rsidRDefault="004227ED" w:rsidP="00B5184C">
            <w:pPr>
              <w:rPr>
                <w:rFonts w:eastAsia="Calibri"/>
              </w:rPr>
            </w:pPr>
            <w:r>
              <w:rPr>
                <w:rFonts w:eastAsia="Calibri"/>
              </w:rPr>
              <w:t>0</w:t>
            </w:r>
          </w:p>
        </w:tc>
      </w:tr>
      <w:tr w:rsidR="00B5184C" w:rsidRPr="00B5184C" w14:paraId="2FA71E5F"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4215A233" w14:textId="77777777" w:rsidR="00B5184C" w:rsidRPr="00B5184C" w:rsidRDefault="00B5184C" w:rsidP="00B5184C">
            <w:pPr>
              <w:rPr>
                <w:lang w:eastAsia="en-US"/>
              </w:rPr>
            </w:pPr>
            <w:r w:rsidRPr="00B5184C">
              <w:rPr>
                <w:lang w:eastAsia="en-US"/>
              </w:rPr>
              <w:t>5. Precizēta finansiālā ietekme</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52FC4E40" w14:textId="14C35771" w:rsidR="00B5184C" w:rsidRPr="00B5184C" w:rsidRDefault="004227ED" w:rsidP="00B5184C">
            <w:pPr>
              <w:rPr>
                <w:lang w:eastAsia="en-US"/>
              </w:rPr>
            </w:pPr>
            <w:r>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2D148" w14:textId="691B2F1E" w:rsidR="00B5184C" w:rsidRPr="00B5184C" w:rsidRDefault="004227ED" w:rsidP="00B5184C">
            <w:pPr>
              <w:rPr>
                <w:rFonts w:eastAsia="Calibri"/>
              </w:rPr>
            </w:pPr>
            <w:r>
              <w:rPr>
                <w:rFonts w:eastAsia="Calibri"/>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8337D70" w14:textId="4C84C7EF" w:rsidR="00B5184C" w:rsidRPr="00B5184C" w:rsidRDefault="004227ED" w:rsidP="00B5184C">
            <w:pPr>
              <w:rPr>
                <w:rFonts w:eastAsia="Calibri"/>
              </w:rPr>
            </w:pPr>
            <w:r>
              <w:rPr>
                <w:rFonts w:eastAsia="Calibri"/>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601A11" w14:textId="1AB7E1FF" w:rsidR="00B5184C" w:rsidRPr="00B5184C" w:rsidRDefault="004227ED" w:rsidP="00B5184C">
            <w:pPr>
              <w:rPr>
                <w:rFonts w:eastAsia="Calibri"/>
              </w:rPr>
            </w:pPr>
            <w:r>
              <w:rPr>
                <w:rFonts w:eastAsia="Calibri"/>
              </w:rPr>
              <w:t>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D4B29F" w14:textId="4901CF04" w:rsidR="00B5184C" w:rsidRPr="00B5184C" w:rsidRDefault="004227ED" w:rsidP="00B5184C">
            <w:pPr>
              <w:rPr>
                <w:rFonts w:eastAsia="Calibri"/>
              </w:rPr>
            </w:pPr>
            <w:r>
              <w:rPr>
                <w:rFonts w:eastAsia="Calibri"/>
              </w:rPr>
              <w:t>X</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D583A9" w14:textId="37EB6718" w:rsidR="00B5184C" w:rsidRPr="00B5184C" w:rsidRDefault="004227ED"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728B4A6" w14:textId="5BA5934F" w:rsidR="00B5184C" w:rsidRPr="00B5184C" w:rsidRDefault="004227ED" w:rsidP="00B5184C">
            <w:pPr>
              <w:rPr>
                <w:rFonts w:eastAsia="Calibri"/>
              </w:rPr>
            </w:pPr>
            <w:r>
              <w:rPr>
                <w:rFonts w:eastAsia="Calibri"/>
              </w:rPr>
              <w:t>0</w:t>
            </w:r>
          </w:p>
        </w:tc>
      </w:tr>
      <w:tr w:rsidR="00B5184C" w:rsidRPr="00B5184C" w14:paraId="2656ECB1"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3944E2BA" w14:textId="77777777" w:rsidR="00B5184C" w:rsidRPr="00B5184C" w:rsidRDefault="00B5184C" w:rsidP="00B5184C">
            <w:pPr>
              <w:rPr>
                <w:lang w:eastAsia="en-US"/>
              </w:rPr>
            </w:pPr>
            <w:r w:rsidRPr="00B5184C">
              <w:rPr>
                <w:lang w:eastAsia="en-US"/>
              </w:rPr>
              <w:t>5.1. valsts pamatbudžets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2BAC699" w14:textId="77777777" w:rsidR="00B5184C" w:rsidRPr="00B5184C" w:rsidRDefault="00B5184C" w:rsidP="00B5184C">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261AAEE" w14:textId="30D55230" w:rsidR="00B5184C" w:rsidRPr="00B5184C" w:rsidRDefault="004227ED" w:rsidP="00B5184C">
            <w:pPr>
              <w:rPr>
                <w:lang w:eastAsia="en-US"/>
              </w:rPr>
            </w:pPr>
            <w:r>
              <w:rPr>
                <w:lang w:eastAsia="en-US"/>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E75403" w14:textId="77777777" w:rsidR="00B5184C" w:rsidRPr="00B5184C" w:rsidRDefault="00B5184C" w:rsidP="00B5184C">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08ED220" w14:textId="275B431A" w:rsidR="00B5184C" w:rsidRPr="00B5184C" w:rsidRDefault="004227ED" w:rsidP="00B5184C">
            <w:pPr>
              <w:rPr>
                <w:rFonts w:eastAsia="Calibri"/>
              </w:rPr>
            </w:pPr>
            <w:r>
              <w:rPr>
                <w:rFonts w:eastAsia="Calibri"/>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200A11" w14:textId="77777777" w:rsidR="00B5184C" w:rsidRPr="00B5184C" w:rsidRDefault="00B5184C" w:rsidP="00B5184C">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122EEC25" w14:textId="6D736248" w:rsidR="00B5184C" w:rsidRPr="00B5184C" w:rsidRDefault="004227ED"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D26033C" w14:textId="7D845202" w:rsidR="00B5184C" w:rsidRPr="00B5184C" w:rsidRDefault="004227ED" w:rsidP="00B5184C">
            <w:pPr>
              <w:rPr>
                <w:rFonts w:eastAsia="Calibri"/>
              </w:rPr>
            </w:pPr>
            <w:r>
              <w:rPr>
                <w:rFonts w:eastAsia="Calibri"/>
              </w:rPr>
              <w:t>0</w:t>
            </w:r>
          </w:p>
        </w:tc>
      </w:tr>
      <w:tr w:rsidR="00B5184C" w:rsidRPr="00B5184C" w14:paraId="6E892CA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FC2F83F" w14:textId="77777777" w:rsidR="00B5184C" w:rsidRPr="00B5184C" w:rsidRDefault="00B5184C" w:rsidP="00B5184C">
            <w:pPr>
              <w:rPr>
                <w:lang w:eastAsia="en-US"/>
              </w:rPr>
            </w:pPr>
            <w:r w:rsidRPr="00B5184C">
              <w:rPr>
                <w:lang w:eastAsia="en-US"/>
              </w:rPr>
              <w:t>5.2. speciālais 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5BA80B3" w14:textId="77777777" w:rsidR="00B5184C" w:rsidRPr="00B5184C" w:rsidRDefault="00B5184C" w:rsidP="00B5184C">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E81795" w14:textId="6F000B57" w:rsidR="00B5184C" w:rsidRPr="00B5184C" w:rsidRDefault="004227ED" w:rsidP="00B5184C">
            <w:pPr>
              <w:rPr>
                <w:lang w:eastAsia="en-US"/>
              </w:rPr>
            </w:pPr>
            <w:r>
              <w:rPr>
                <w:lang w:eastAsia="en-US"/>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DDB70D" w14:textId="77777777" w:rsidR="00B5184C" w:rsidRPr="00B5184C" w:rsidRDefault="00B5184C" w:rsidP="00B5184C">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C43461" w14:textId="305B038E" w:rsidR="00B5184C" w:rsidRPr="00B5184C" w:rsidRDefault="004227ED" w:rsidP="00B5184C">
            <w:pPr>
              <w:rPr>
                <w:rFonts w:eastAsia="Calibri"/>
              </w:rPr>
            </w:pPr>
            <w:r>
              <w:rPr>
                <w:rFonts w:eastAsia="Calibri"/>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1A5217" w14:textId="77777777" w:rsidR="00B5184C" w:rsidRPr="00B5184C" w:rsidRDefault="00B5184C" w:rsidP="00B5184C">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02CC28EE" w14:textId="3617A17B" w:rsidR="00B5184C" w:rsidRPr="00B5184C" w:rsidRDefault="004227ED"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D4AED94" w14:textId="51EF8EE6" w:rsidR="00B5184C" w:rsidRPr="00B5184C" w:rsidRDefault="004227ED" w:rsidP="00B5184C">
            <w:pPr>
              <w:rPr>
                <w:rFonts w:eastAsia="Calibri"/>
              </w:rPr>
            </w:pPr>
            <w:r>
              <w:rPr>
                <w:rFonts w:eastAsia="Calibri"/>
              </w:rPr>
              <w:t>0</w:t>
            </w:r>
          </w:p>
        </w:tc>
      </w:tr>
      <w:tr w:rsidR="00B5184C" w:rsidRPr="00B5184C" w14:paraId="06AE719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1F838E3D" w14:textId="77777777" w:rsidR="00B5184C" w:rsidRPr="00B5184C" w:rsidRDefault="00B5184C" w:rsidP="00B5184C">
            <w:pPr>
              <w:rPr>
                <w:lang w:eastAsia="en-US"/>
              </w:rPr>
            </w:pPr>
            <w:r w:rsidRPr="00B5184C">
              <w:rPr>
                <w:lang w:eastAsia="en-US"/>
              </w:rPr>
              <w:t>5.3. pašvaldību 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14F48637" w14:textId="77777777" w:rsidR="00B5184C" w:rsidRPr="00B5184C" w:rsidRDefault="00B5184C" w:rsidP="00B5184C">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CDAD79" w14:textId="33AEE66E" w:rsidR="00B5184C" w:rsidRPr="00B5184C" w:rsidRDefault="004227ED" w:rsidP="00B5184C">
            <w:pPr>
              <w:rPr>
                <w:lang w:eastAsia="en-US"/>
              </w:rPr>
            </w:pPr>
            <w:r>
              <w:rPr>
                <w:lang w:eastAsia="en-US"/>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84A4FF" w14:textId="77777777" w:rsidR="00B5184C" w:rsidRPr="00B5184C" w:rsidRDefault="00B5184C" w:rsidP="00B5184C">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FBA7A4A" w14:textId="6BD38DC0" w:rsidR="00B5184C" w:rsidRPr="00B5184C" w:rsidRDefault="004227ED" w:rsidP="00B5184C">
            <w:pPr>
              <w:rPr>
                <w:rFonts w:eastAsia="Calibri"/>
              </w:rPr>
            </w:pPr>
            <w:r>
              <w:rPr>
                <w:rFonts w:eastAsia="Calibri"/>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F256CD" w14:textId="77777777" w:rsidR="00B5184C" w:rsidRPr="00B5184C" w:rsidRDefault="00B5184C" w:rsidP="00B5184C">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6EF8E24B" w14:textId="20B89876" w:rsidR="00B5184C" w:rsidRPr="00B5184C" w:rsidRDefault="004227ED"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D0E3FB2" w14:textId="264CE7B3" w:rsidR="00B5184C" w:rsidRPr="00B5184C" w:rsidRDefault="004227ED" w:rsidP="00B5184C">
            <w:pPr>
              <w:rPr>
                <w:rFonts w:eastAsia="Calibri"/>
              </w:rPr>
            </w:pPr>
            <w:r>
              <w:rPr>
                <w:rFonts w:eastAsia="Calibri"/>
              </w:rPr>
              <w:t>0</w:t>
            </w:r>
          </w:p>
        </w:tc>
      </w:tr>
      <w:tr w:rsidR="00B5184C" w:rsidRPr="00B5184C" w14:paraId="1F86E918"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D48BD91" w14:textId="77777777" w:rsidR="00B5184C" w:rsidRPr="00B5184C" w:rsidRDefault="00B5184C" w:rsidP="00B5184C">
            <w:pPr>
              <w:rPr>
                <w:lang w:eastAsia="en-US"/>
              </w:rPr>
            </w:pPr>
            <w:r w:rsidRPr="00B5184C">
              <w:rPr>
                <w:lang w:eastAsia="en-US"/>
              </w:rPr>
              <w:t>6. Detalizēts ieņēmumu un izdevumu aprēķins (ja nepieciešams, detalizētu ieņēmumu un izdevumu aprēķinu var pievienot anotācijas pielikumā)</w:t>
            </w:r>
          </w:p>
        </w:tc>
        <w:tc>
          <w:tcPr>
            <w:tcW w:w="6899"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A9D4C5A" w14:textId="32EBBD7B" w:rsidR="00B5184C" w:rsidRPr="00B5184C" w:rsidRDefault="006224C8">
            <w:pPr>
              <w:jc w:val="both"/>
              <w:rPr>
                <w:lang w:eastAsia="en-US"/>
              </w:rPr>
            </w:pPr>
            <w:r>
              <w:rPr>
                <w:iCs/>
                <w:lang w:eastAsia="en-US"/>
              </w:rPr>
              <w:t xml:space="preserve"> -</w:t>
            </w:r>
          </w:p>
        </w:tc>
      </w:tr>
      <w:tr w:rsidR="00B5184C" w:rsidRPr="00B5184C" w14:paraId="14A686B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15A913BD" w14:textId="77777777" w:rsidR="00B5184C" w:rsidRPr="00B5184C" w:rsidRDefault="00B5184C" w:rsidP="00B5184C">
            <w:pPr>
              <w:rPr>
                <w:lang w:eastAsia="en-US"/>
              </w:rPr>
            </w:pPr>
            <w:r w:rsidRPr="00B5184C">
              <w:rPr>
                <w:lang w:eastAsia="en-US"/>
              </w:rPr>
              <w:t>6.1. detalizēts ieņēmumu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hideMark/>
          </w:tcPr>
          <w:p w14:paraId="12670138" w14:textId="77777777" w:rsidR="00B5184C" w:rsidRPr="00B5184C" w:rsidRDefault="00B5184C" w:rsidP="00B5184C">
            <w:pPr>
              <w:rPr>
                <w:lang w:eastAsia="en-US"/>
              </w:rPr>
            </w:pPr>
          </w:p>
        </w:tc>
      </w:tr>
      <w:tr w:rsidR="00B5184C" w:rsidRPr="00B5184C" w14:paraId="7E06742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38B6F0D" w14:textId="77777777" w:rsidR="00B5184C" w:rsidRPr="00B5184C" w:rsidRDefault="00B5184C" w:rsidP="00B5184C">
            <w:pPr>
              <w:rPr>
                <w:lang w:eastAsia="en-US"/>
              </w:rPr>
            </w:pPr>
            <w:r w:rsidRPr="00B5184C">
              <w:rPr>
                <w:lang w:eastAsia="en-US"/>
              </w:rPr>
              <w:t>6.2. detalizēts izdevumu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hideMark/>
          </w:tcPr>
          <w:p w14:paraId="27302BA1" w14:textId="77777777" w:rsidR="00B5184C" w:rsidRPr="00B5184C" w:rsidRDefault="00B5184C" w:rsidP="00B5184C">
            <w:pPr>
              <w:rPr>
                <w:lang w:eastAsia="en-US"/>
              </w:rPr>
            </w:pPr>
          </w:p>
        </w:tc>
      </w:tr>
      <w:tr w:rsidR="00B5184C" w:rsidRPr="00B5184C" w14:paraId="607E356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8A33D55" w14:textId="77777777" w:rsidR="00B5184C" w:rsidRPr="00B5184C" w:rsidRDefault="00B5184C" w:rsidP="00B5184C">
            <w:pPr>
              <w:rPr>
                <w:lang w:eastAsia="en-US"/>
              </w:rPr>
            </w:pPr>
            <w:r w:rsidRPr="00B5184C">
              <w:rPr>
                <w:lang w:eastAsia="en-US"/>
              </w:rPr>
              <w:t>7. Amata vietu skaita izmaiņas</w:t>
            </w:r>
          </w:p>
        </w:tc>
        <w:tc>
          <w:tcPr>
            <w:tcW w:w="6899" w:type="dxa"/>
            <w:gridSpan w:val="7"/>
            <w:tcBorders>
              <w:top w:val="single" w:sz="4" w:space="0" w:color="auto"/>
              <w:left w:val="single" w:sz="4" w:space="0" w:color="auto"/>
              <w:bottom w:val="single" w:sz="4" w:space="0" w:color="auto"/>
              <w:right w:val="single" w:sz="4" w:space="0" w:color="auto"/>
            </w:tcBorders>
            <w:hideMark/>
          </w:tcPr>
          <w:p w14:paraId="0974CA36" w14:textId="114CF633" w:rsidR="00B5184C" w:rsidRPr="00B5184C" w:rsidRDefault="004227ED" w:rsidP="00B5184C">
            <w:pPr>
              <w:rPr>
                <w:lang w:eastAsia="en-US"/>
              </w:rPr>
            </w:pPr>
            <w:r>
              <w:rPr>
                <w:lang w:eastAsia="en-US"/>
              </w:rPr>
              <w:t>Projekts</w:t>
            </w:r>
            <w:r w:rsidRPr="004227ED">
              <w:t xml:space="preserve"> </w:t>
            </w:r>
            <w:r w:rsidRPr="004227ED">
              <w:rPr>
                <w:lang w:eastAsia="en-US"/>
              </w:rPr>
              <w:t>šo jomu neskar</w:t>
            </w:r>
            <w:r>
              <w:rPr>
                <w:lang w:eastAsia="en-US"/>
              </w:rPr>
              <w:t xml:space="preserve"> </w:t>
            </w:r>
          </w:p>
        </w:tc>
      </w:tr>
      <w:tr w:rsidR="00B5184C" w:rsidRPr="00B5184C" w14:paraId="04BDA394"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4D3D509" w14:textId="77777777" w:rsidR="00B5184C" w:rsidRPr="00B5184C" w:rsidRDefault="00B5184C" w:rsidP="00B5184C">
            <w:pPr>
              <w:rPr>
                <w:lang w:eastAsia="en-US"/>
              </w:rPr>
            </w:pPr>
            <w:r w:rsidRPr="00B5184C">
              <w:rPr>
                <w:lang w:eastAsia="en-US"/>
              </w:rPr>
              <w:t>8. Cita informācija</w:t>
            </w:r>
          </w:p>
        </w:tc>
        <w:tc>
          <w:tcPr>
            <w:tcW w:w="6899" w:type="dxa"/>
            <w:gridSpan w:val="7"/>
            <w:tcBorders>
              <w:top w:val="single" w:sz="4" w:space="0" w:color="auto"/>
              <w:left w:val="single" w:sz="4" w:space="0" w:color="auto"/>
              <w:bottom w:val="single" w:sz="4" w:space="0" w:color="auto"/>
              <w:right w:val="single" w:sz="4" w:space="0" w:color="auto"/>
            </w:tcBorders>
            <w:hideMark/>
          </w:tcPr>
          <w:p w14:paraId="2DA09695" w14:textId="63FCD25B" w:rsidR="00B5184C" w:rsidRPr="00B5184C" w:rsidRDefault="004227ED" w:rsidP="00B5184C">
            <w:pPr>
              <w:jc w:val="both"/>
              <w:rPr>
                <w:lang w:eastAsia="en-US"/>
              </w:rPr>
            </w:pPr>
            <w:r w:rsidRPr="004227ED">
              <w:rPr>
                <w:iCs/>
                <w:lang w:eastAsia="en-US"/>
              </w:rPr>
              <w:t xml:space="preserve">Būvniecības informācijas sistēmas pielāgošanai nepieciešamais finansējums </w:t>
            </w:r>
            <w:r w:rsidR="00FE1AC5">
              <w:rPr>
                <w:iCs/>
                <w:lang w:eastAsia="en-US"/>
              </w:rPr>
              <w:t>ietverts citos speciālajos būvnoteikumos.</w:t>
            </w:r>
          </w:p>
        </w:tc>
      </w:tr>
    </w:tbl>
    <w:p w14:paraId="6A996DF6" w14:textId="53720093" w:rsidR="00B5184C" w:rsidRDefault="00B5184C"/>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714FAB" w14:paraId="28276886" w14:textId="77777777" w:rsidTr="00714FAB">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B829C7" w14:textId="77777777" w:rsidR="00714FAB" w:rsidRDefault="00714FAB">
            <w:pPr>
              <w:spacing w:before="100" w:beforeAutospacing="1" w:after="100" w:afterAutospacing="1" w:line="293" w:lineRule="atLeast"/>
              <w:jc w:val="center"/>
              <w:rPr>
                <w:b/>
                <w:bCs/>
                <w:lang w:eastAsia="en-US"/>
              </w:rPr>
            </w:pPr>
            <w:r>
              <w:rPr>
                <w:b/>
                <w:bCs/>
                <w:lang w:eastAsia="en-US"/>
              </w:rPr>
              <w:t>IV. Tiesību akta projekta ietekme uz spēkā esošo tiesību normu sistēmu</w:t>
            </w:r>
          </w:p>
        </w:tc>
      </w:tr>
      <w:tr w:rsidR="00714FAB" w14:paraId="0C5569D5" w14:textId="77777777" w:rsidTr="00714FAB">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AE19D1F" w14:textId="77777777" w:rsidR="00714FAB" w:rsidRDefault="00714FAB">
            <w:pPr>
              <w:spacing w:line="256" w:lineRule="auto"/>
              <w:jc w:val="center"/>
              <w:rPr>
                <w:lang w:eastAsia="en-US"/>
              </w:rPr>
            </w:pPr>
            <w:r>
              <w:rPr>
                <w:lang w:eastAsia="en-US"/>
              </w:rPr>
              <w:t>Projekts šo jomu neskar</w:t>
            </w:r>
          </w:p>
        </w:tc>
      </w:tr>
    </w:tbl>
    <w:p w14:paraId="21F2FD59" w14:textId="01EE0911" w:rsidR="00673CC5" w:rsidRDefault="00673CC5">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6149C8" w:rsidRPr="006149C8" w14:paraId="2BCBC8D5" w14:textId="77777777" w:rsidTr="006149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CAFFFF" w14:textId="77777777" w:rsidR="006149C8" w:rsidRPr="006149C8" w:rsidRDefault="006149C8" w:rsidP="006149C8">
            <w:pPr>
              <w:spacing w:before="100" w:beforeAutospacing="1" w:after="100" w:afterAutospacing="1" w:line="293" w:lineRule="atLeast"/>
              <w:jc w:val="center"/>
              <w:rPr>
                <w:b/>
                <w:bCs/>
              </w:rPr>
            </w:pPr>
            <w:r w:rsidRPr="006149C8">
              <w:rPr>
                <w:b/>
                <w:bCs/>
              </w:rPr>
              <w:t>V. Tiesību akta projekta atbilstība Latvijas Republikas starptautiskajām saistībām</w:t>
            </w:r>
          </w:p>
        </w:tc>
      </w:tr>
      <w:tr w:rsidR="006149C8" w:rsidRPr="006149C8" w14:paraId="2AAF6C81" w14:textId="77777777" w:rsidTr="006149C8">
        <w:tc>
          <w:tcPr>
            <w:tcW w:w="5000" w:type="pct"/>
            <w:tcBorders>
              <w:top w:val="outset" w:sz="6" w:space="0" w:color="414142"/>
              <w:left w:val="outset" w:sz="6" w:space="0" w:color="414142"/>
              <w:bottom w:val="outset" w:sz="6" w:space="0" w:color="414142"/>
              <w:right w:val="outset" w:sz="6" w:space="0" w:color="414142"/>
            </w:tcBorders>
            <w:shd w:val="clear" w:color="auto" w:fill="FFFFFF"/>
          </w:tcPr>
          <w:p w14:paraId="43E45C22" w14:textId="77777777" w:rsidR="006149C8" w:rsidRPr="006149C8" w:rsidRDefault="006149C8" w:rsidP="00747C99">
            <w:pPr>
              <w:jc w:val="center"/>
            </w:pPr>
            <w:r w:rsidRPr="006149C8">
              <w:t>Projekts šo jomu neskar</w:t>
            </w:r>
          </w:p>
        </w:tc>
      </w:tr>
    </w:tbl>
    <w:p w14:paraId="26E256C6" w14:textId="77777777" w:rsidR="006149C8" w:rsidRPr="006149C8" w:rsidRDefault="006149C8">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6149C8" w:rsidRPr="00747C99" w14:paraId="1183314A" w14:textId="77777777" w:rsidTr="00747C99">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27AF76" w14:textId="77777777" w:rsidR="006149C8" w:rsidRPr="006149C8" w:rsidRDefault="006149C8" w:rsidP="006149C8">
            <w:pPr>
              <w:spacing w:before="100" w:beforeAutospacing="1" w:after="100" w:afterAutospacing="1" w:line="293" w:lineRule="atLeast"/>
              <w:jc w:val="center"/>
              <w:rPr>
                <w:b/>
                <w:bCs/>
              </w:rPr>
            </w:pPr>
            <w:r w:rsidRPr="006149C8">
              <w:rPr>
                <w:b/>
                <w:bCs/>
              </w:rPr>
              <w:t>VI. Sabiedrības līdzdalība un komunikācijas aktivitātes</w:t>
            </w:r>
          </w:p>
        </w:tc>
      </w:tr>
      <w:tr w:rsidR="006149C8" w:rsidRPr="00747C99" w14:paraId="6A98EA9B"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1069B2D" w14:textId="77777777" w:rsidR="006149C8" w:rsidRPr="006149C8" w:rsidRDefault="006149C8" w:rsidP="006149C8">
            <w:pPr>
              <w:spacing w:before="100" w:beforeAutospacing="1" w:after="100" w:afterAutospacing="1" w:line="293" w:lineRule="atLeast"/>
              <w:jc w:val="center"/>
            </w:pPr>
            <w:r w:rsidRPr="006149C8">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57C0F80" w14:textId="77777777" w:rsidR="006149C8" w:rsidRPr="006149C8" w:rsidRDefault="006149C8" w:rsidP="006149C8">
            <w:r w:rsidRPr="006149C8">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4C0886C" w14:textId="7727C18A" w:rsidR="00AE26C6" w:rsidRPr="00F03DF5" w:rsidRDefault="00AE26C6" w:rsidP="00AE26C6">
            <w:pPr>
              <w:jc w:val="both"/>
              <w:rPr>
                <w:bCs/>
                <w:iCs/>
              </w:rPr>
            </w:pPr>
            <w:r>
              <w:rPr>
                <w:bCs/>
                <w:iCs/>
              </w:rPr>
              <w:t>Noteikumu p</w:t>
            </w:r>
            <w:r w:rsidRPr="00F03DF5">
              <w:rPr>
                <w:bCs/>
                <w:iCs/>
              </w:rPr>
              <w:t xml:space="preserve">rojekts publicēts </w:t>
            </w:r>
            <w:r w:rsidR="003A41AE">
              <w:rPr>
                <w:bCs/>
                <w:iCs/>
              </w:rPr>
              <w:t xml:space="preserve">gan Ministru kabineta, gan </w:t>
            </w:r>
            <w:r w:rsidRPr="00F03DF5">
              <w:rPr>
                <w:bCs/>
                <w:iCs/>
              </w:rPr>
              <w:t>Ekonomikas ministrijas tīmekļvietnes sadaļā “Sabiedrības līdzdalība”</w:t>
            </w:r>
            <w:r>
              <w:rPr>
                <w:bCs/>
                <w:iCs/>
              </w:rPr>
              <w:t xml:space="preserve">, </w:t>
            </w:r>
            <w:r w:rsidRPr="00F03DF5">
              <w:rPr>
                <w:bCs/>
                <w:iCs/>
              </w:rPr>
              <w:t xml:space="preserve">aicinot sabiedrības pārstāvjiem </w:t>
            </w:r>
            <w:proofErr w:type="spellStart"/>
            <w:r w:rsidRPr="00F03DF5">
              <w:rPr>
                <w:bCs/>
                <w:iCs/>
              </w:rPr>
              <w:t>rakstveidā</w:t>
            </w:r>
            <w:proofErr w:type="spellEnd"/>
            <w:r w:rsidRPr="00F03DF5">
              <w:rPr>
                <w:bCs/>
                <w:iCs/>
              </w:rPr>
              <w:t xml:space="preserve"> sniegt viedokli par noteikumu projekt</w:t>
            </w:r>
            <w:r w:rsidR="008A3D54">
              <w:rPr>
                <w:bCs/>
                <w:iCs/>
              </w:rPr>
              <w:t>iem</w:t>
            </w:r>
            <w:r w:rsidRPr="00F03DF5">
              <w:rPr>
                <w:bCs/>
                <w:iCs/>
              </w:rPr>
              <w:t xml:space="preserve"> līdz 20</w:t>
            </w:r>
            <w:r>
              <w:rPr>
                <w:bCs/>
                <w:iCs/>
              </w:rPr>
              <w:t>2</w:t>
            </w:r>
            <w:r w:rsidR="006224C8">
              <w:rPr>
                <w:bCs/>
                <w:iCs/>
              </w:rPr>
              <w:t>1</w:t>
            </w:r>
            <w:r w:rsidRPr="00F03DF5">
              <w:rPr>
                <w:bCs/>
                <w:iCs/>
              </w:rPr>
              <w:t>.</w:t>
            </w:r>
            <w:r>
              <w:rPr>
                <w:bCs/>
                <w:iCs/>
              </w:rPr>
              <w:t> </w:t>
            </w:r>
            <w:r w:rsidRPr="00F03DF5">
              <w:rPr>
                <w:bCs/>
                <w:iCs/>
              </w:rPr>
              <w:t>gada</w:t>
            </w:r>
            <w:r>
              <w:rPr>
                <w:bCs/>
                <w:iCs/>
              </w:rPr>
              <w:t xml:space="preserve"> </w:t>
            </w:r>
            <w:r w:rsidR="00330BCF">
              <w:rPr>
                <w:bCs/>
                <w:iCs/>
              </w:rPr>
              <w:t>4</w:t>
            </w:r>
            <w:r w:rsidR="003A41AE">
              <w:rPr>
                <w:bCs/>
                <w:iCs/>
              </w:rPr>
              <w:t>.</w:t>
            </w:r>
            <w:r w:rsidR="002E273A">
              <w:rPr>
                <w:bCs/>
                <w:iCs/>
              </w:rPr>
              <w:t> </w:t>
            </w:r>
            <w:r w:rsidR="00330BCF">
              <w:rPr>
                <w:bCs/>
                <w:iCs/>
              </w:rPr>
              <w:t>jūlija</w:t>
            </w:r>
            <w:r w:rsidR="003A41AE">
              <w:rPr>
                <w:bCs/>
                <w:iCs/>
              </w:rPr>
              <w:t>m.</w:t>
            </w:r>
          </w:p>
          <w:p w14:paraId="236B689C" w14:textId="01322E31" w:rsidR="006149C8" w:rsidRPr="009347C0" w:rsidRDefault="009347C0" w:rsidP="004F2184">
            <w:pPr>
              <w:jc w:val="both"/>
              <w:rPr>
                <w:bCs/>
                <w:iCs/>
              </w:rPr>
            </w:pPr>
            <w:r>
              <w:rPr>
                <w:bCs/>
                <w:iCs/>
              </w:rPr>
              <w:t>P</w:t>
            </w:r>
            <w:r w:rsidR="00AE26C6" w:rsidRPr="00F03DF5">
              <w:rPr>
                <w:bCs/>
                <w:iCs/>
              </w:rPr>
              <w:t xml:space="preserve">lānotais regulējums </w:t>
            </w:r>
            <w:r w:rsidR="0050120F">
              <w:rPr>
                <w:bCs/>
                <w:iCs/>
              </w:rPr>
              <w:t>nepalie</w:t>
            </w:r>
            <w:r w:rsidR="00330BCF">
              <w:rPr>
                <w:bCs/>
                <w:iCs/>
              </w:rPr>
              <w:t>l</w:t>
            </w:r>
            <w:r w:rsidR="0050120F">
              <w:rPr>
                <w:bCs/>
                <w:iCs/>
              </w:rPr>
              <w:t>ina</w:t>
            </w:r>
            <w:r w:rsidR="00AE26C6" w:rsidRPr="00F03DF5">
              <w:rPr>
                <w:bCs/>
                <w:iCs/>
              </w:rPr>
              <w:t xml:space="preserve"> administratīvo slogu</w:t>
            </w:r>
            <w:r w:rsidR="0050120F">
              <w:rPr>
                <w:bCs/>
                <w:iCs/>
              </w:rPr>
              <w:t>.</w:t>
            </w:r>
          </w:p>
        </w:tc>
      </w:tr>
      <w:tr w:rsidR="006149C8" w:rsidRPr="00747C99" w14:paraId="4EB5B1F0"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76D3685" w14:textId="77777777" w:rsidR="006149C8" w:rsidRPr="006149C8" w:rsidRDefault="006149C8" w:rsidP="006149C8">
            <w:pPr>
              <w:spacing w:before="100" w:beforeAutospacing="1" w:after="100" w:afterAutospacing="1" w:line="293" w:lineRule="atLeast"/>
              <w:jc w:val="center"/>
            </w:pPr>
            <w:r w:rsidRPr="006149C8">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3D1499D" w14:textId="77777777" w:rsidR="006149C8" w:rsidRPr="006149C8" w:rsidRDefault="006149C8" w:rsidP="006149C8">
            <w:r w:rsidRPr="006149C8">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F01AF7B" w14:textId="15AB454D" w:rsidR="006149C8" w:rsidRPr="006149C8" w:rsidRDefault="009347C0" w:rsidP="009347C0">
            <w:pPr>
              <w:jc w:val="both"/>
            </w:pPr>
            <w:r w:rsidRPr="009347C0">
              <w:rPr>
                <w:bCs/>
                <w:iCs/>
              </w:rPr>
              <w:t>Par šo noteikumu projektu izstrādi ir informēta arī Latvijas Būvniecības padome.</w:t>
            </w:r>
          </w:p>
        </w:tc>
      </w:tr>
      <w:tr w:rsidR="006149C8" w:rsidRPr="00747C99" w14:paraId="732C874D"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B781D21" w14:textId="77777777" w:rsidR="006149C8" w:rsidRPr="006149C8" w:rsidRDefault="006149C8" w:rsidP="006149C8">
            <w:pPr>
              <w:spacing w:before="100" w:beforeAutospacing="1" w:after="100" w:afterAutospacing="1" w:line="293" w:lineRule="atLeast"/>
              <w:jc w:val="center"/>
            </w:pPr>
            <w:r w:rsidRPr="006149C8">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A0245C4" w14:textId="77777777" w:rsidR="006149C8" w:rsidRPr="006149C8" w:rsidRDefault="006149C8" w:rsidP="006149C8">
            <w:r w:rsidRPr="006149C8">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43B54B0" w14:textId="35741A31" w:rsidR="006149C8" w:rsidRPr="006149C8" w:rsidRDefault="00596687" w:rsidP="009D3CD1">
            <w:pPr>
              <w:jc w:val="both"/>
            </w:pPr>
            <w:r w:rsidRPr="00596687">
              <w:rPr>
                <w:bCs/>
                <w:iCs/>
              </w:rPr>
              <w:t>Tiks papildināts pēc sabiedrības pārstāvju viedokļu saņemšanas</w:t>
            </w:r>
            <w:r w:rsidR="009347C0">
              <w:rPr>
                <w:bCs/>
                <w:iCs/>
              </w:rPr>
              <w:t>.</w:t>
            </w:r>
          </w:p>
        </w:tc>
      </w:tr>
      <w:tr w:rsidR="006149C8" w:rsidRPr="00747C99" w14:paraId="08191BCC"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E4F8AFD" w14:textId="77777777" w:rsidR="006149C8" w:rsidRPr="006149C8" w:rsidRDefault="006149C8" w:rsidP="006149C8">
            <w:pPr>
              <w:spacing w:before="100" w:beforeAutospacing="1" w:after="100" w:afterAutospacing="1" w:line="293" w:lineRule="atLeast"/>
              <w:jc w:val="center"/>
            </w:pPr>
            <w:r w:rsidRPr="006149C8">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C93C2AF" w14:textId="77777777" w:rsidR="006149C8" w:rsidRPr="006149C8" w:rsidRDefault="006149C8" w:rsidP="006149C8">
            <w:r w:rsidRPr="006149C8">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A084F2" w14:textId="77777777" w:rsidR="006149C8" w:rsidRPr="006149C8" w:rsidRDefault="00747C99" w:rsidP="006149C8">
            <w:r w:rsidRPr="00747C99">
              <w:t>Nav</w:t>
            </w:r>
          </w:p>
        </w:tc>
      </w:tr>
    </w:tbl>
    <w:p w14:paraId="464C1988" w14:textId="77777777" w:rsidR="006149C8" w:rsidRPr="006149C8" w:rsidRDefault="006149C8" w:rsidP="006149C8">
      <w:r w:rsidRPr="006149C8">
        <w:rPr>
          <w:shd w:val="clear" w:color="auto" w:fill="FFFFFF"/>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6149C8" w:rsidRPr="006149C8" w14:paraId="6AD4C16E" w14:textId="77777777" w:rsidTr="006149C8">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C47A0" w14:textId="77777777" w:rsidR="006149C8" w:rsidRPr="006149C8" w:rsidRDefault="006149C8" w:rsidP="006149C8">
            <w:pPr>
              <w:spacing w:before="100" w:beforeAutospacing="1" w:after="100" w:afterAutospacing="1" w:line="293" w:lineRule="atLeast"/>
              <w:jc w:val="center"/>
              <w:rPr>
                <w:b/>
                <w:bCs/>
              </w:rPr>
            </w:pPr>
            <w:r w:rsidRPr="006149C8">
              <w:rPr>
                <w:b/>
                <w:bCs/>
              </w:rPr>
              <w:t>VII. Tiesību akta projekta izpildes nodrošināšana un tās ietekme uz institūcijām</w:t>
            </w:r>
          </w:p>
        </w:tc>
      </w:tr>
      <w:tr w:rsidR="006149C8" w:rsidRPr="006149C8" w14:paraId="40D80F0D" w14:textId="77777777" w:rsidTr="006149C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F0D7FFC" w14:textId="77777777" w:rsidR="006149C8" w:rsidRPr="006149C8" w:rsidRDefault="006149C8" w:rsidP="006149C8">
            <w:pPr>
              <w:spacing w:before="100" w:beforeAutospacing="1" w:after="100" w:afterAutospacing="1" w:line="293" w:lineRule="atLeast"/>
              <w:jc w:val="center"/>
            </w:pPr>
            <w:r w:rsidRPr="006149C8">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3F3DD75" w14:textId="77777777" w:rsidR="006149C8" w:rsidRPr="006149C8" w:rsidRDefault="006149C8" w:rsidP="006149C8">
            <w:r w:rsidRPr="006149C8">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D83B588" w14:textId="3093184E" w:rsidR="006149C8" w:rsidRPr="006149C8" w:rsidRDefault="001D0E95" w:rsidP="000E41F0">
            <w:pPr>
              <w:jc w:val="both"/>
            </w:pPr>
            <w:r>
              <w:t>I</w:t>
            </w:r>
            <w:r w:rsidR="00747C99" w:rsidRPr="00747C99">
              <w:t>nstitūcijas, k</w:t>
            </w:r>
            <w:r w:rsidR="003B778B">
              <w:t>ura</w:t>
            </w:r>
            <w:r w:rsidR="00467EB4">
              <w:t xml:space="preserve"> </w:t>
            </w:r>
            <w:r w:rsidR="00747C99" w:rsidRPr="00747C99">
              <w:t>pilda būvvaldes funkcijas</w:t>
            </w:r>
            <w:r w:rsidR="009D3CD1">
              <w:t>,</w:t>
            </w:r>
            <w:r w:rsidR="00747C99" w:rsidRPr="00747C99">
              <w:t xml:space="preserve"> Būvniecības valsts kontroles birojs kā </w:t>
            </w:r>
            <w:r w:rsidR="0069684F">
              <w:rPr>
                <w:color w:val="000000"/>
                <w:shd w:val="clear" w:color="auto" w:fill="FFFFFF"/>
              </w:rPr>
              <w:t>būvniecības informācijas sistēm</w:t>
            </w:r>
            <w:r w:rsidR="006A1FF0">
              <w:rPr>
                <w:color w:val="000000"/>
                <w:shd w:val="clear" w:color="auto" w:fill="FFFFFF"/>
              </w:rPr>
              <w:t>as</w:t>
            </w:r>
            <w:r w:rsidR="0069684F" w:rsidRPr="00747C99">
              <w:t xml:space="preserve"> </w:t>
            </w:r>
            <w:r w:rsidR="0069684F">
              <w:t>(</w:t>
            </w:r>
            <w:r w:rsidR="00747C99" w:rsidRPr="00747C99">
              <w:t>BIS</w:t>
            </w:r>
            <w:r w:rsidR="0069684F">
              <w:t>)</w:t>
            </w:r>
            <w:r w:rsidR="00747C99" w:rsidRPr="00747C99">
              <w:t xml:space="preserve"> pārzinis</w:t>
            </w:r>
            <w:r w:rsidR="004575AB">
              <w:rPr>
                <w:bCs/>
                <w:iCs/>
              </w:rPr>
              <w:t>.</w:t>
            </w:r>
          </w:p>
        </w:tc>
      </w:tr>
      <w:tr w:rsidR="006149C8" w:rsidRPr="006149C8" w14:paraId="0CD26129" w14:textId="77777777" w:rsidTr="006149C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BC64E40" w14:textId="77777777" w:rsidR="006149C8" w:rsidRPr="006149C8" w:rsidRDefault="006149C8" w:rsidP="006149C8">
            <w:pPr>
              <w:spacing w:before="100" w:beforeAutospacing="1" w:after="100" w:afterAutospacing="1" w:line="293" w:lineRule="atLeast"/>
              <w:jc w:val="center"/>
            </w:pPr>
            <w:r w:rsidRPr="006149C8">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B4AFA3" w14:textId="77777777" w:rsidR="006149C8" w:rsidRPr="006149C8" w:rsidRDefault="006149C8" w:rsidP="006149C8">
            <w:r w:rsidRPr="006149C8">
              <w:t>Projekta izpildes ietekme uz pārvaldes funkcijām un institucionālo struktūru.</w:t>
            </w:r>
            <w:r w:rsidRPr="006149C8">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246E028F" w14:textId="77777777" w:rsidR="004575AB" w:rsidRPr="004575AB" w:rsidRDefault="004575AB" w:rsidP="004575AB">
            <w:pPr>
              <w:jc w:val="both"/>
              <w:rPr>
                <w:bCs/>
              </w:rPr>
            </w:pPr>
            <w:r w:rsidRPr="004575AB">
              <w:rPr>
                <w:bCs/>
              </w:rPr>
              <w:t>Projekta izpilde neietekmē esošās pārvaldes funkcijas un institucionālo struktūru (cilvēkresursus), jo tā īstenošana tiks veikta esošā finansējuma ietvaros.</w:t>
            </w:r>
          </w:p>
          <w:p w14:paraId="4BC2D782" w14:textId="2B64E086" w:rsidR="006149C8" w:rsidRPr="006149C8" w:rsidRDefault="004575AB" w:rsidP="004575AB">
            <w:pPr>
              <w:jc w:val="both"/>
            </w:pPr>
            <w:r w:rsidRPr="004575AB">
              <w:rPr>
                <w:bCs/>
              </w:rPr>
              <w:t>Jaunas institūcijas netiks veidotas un nav nepieciešams likvidēt vai reorganizēt esošās institūcijas. Līdz ar to projekta izpilde neietekmēs institūciju cilvēkresursus.</w:t>
            </w:r>
          </w:p>
        </w:tc>
      </w:tr>
      <w:tr w:rsidR="006149C8" w:rsidRPr="006149C8" w14:paraId="3ED6F8F7" w14:textId="77777777" w:rsidTr="006149C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DE60794" w14:textId="77777777" w:rsidR="006149C8" w:rsidRPr="006149C8" w:rsidRDefault="006149C8" w:rsidP="006149C8">
            <w:pPr>
              <w:spacing w:before="100" w:beforeAutospacing="1" w:after="100" w:afterAutospacing="1" w:line="293" w:lineRule="atLeast"/>
              <w:jc w:val="center"/>
            </w:pPr>
            <w:r w:rsidRPr="006149C8">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CBDC6FA" w14:textId="77777777" w:rsidR="006149C8" w:rsidRPr="006149C8" w:rsidRDefault="006149C8" w:rsidP="006149C8">
            <w:r w:rsidRPr="006149C8">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17875BBC" w14:textId="77777777" w:rsidR="006149C8" w:rsidRPr="006149C8" w:rsidRDefault="00747C99" w:rsidP="006149C8">
            <w:r>
              <w:t>Nav</w:t>
            </w:r>
          </w:p>
        </w:tc>
      </w:tr>
    </w:tbl>
    <w:p w14:paraId="74007576" w14:textId="77777777" w:rsidR="006149C8" w:rsidRPr="006149C8" w:rsidRDefault="006149C8">
      <w:pPr>
        <w:rPr>
          <w:shd w:val="clear" w:color="auto" w:fill="FFFFFF"/>
        </w:rPr>
      </w:pPr>
    </w:p>
    <w:p w14:paraId="39115288" w14:textId="77777777" w:rsidR="00EF35B3" w:rsidRPr="00A676C3" w:rsidRDefault="00EF35B3" w:rsidP="00146587">
      <w:pPr>
        <w:tabs>
          <w:tab w:val="left" w:pos="7230"/>
        </w:tabs>
        <w:jc w:val="both"/>
      </w:pPr>
      <w:r w:rsidRPr="00A676C3">
        <w:t>Iesniedzējs:</w:t>
      </w:r>
    </w:p>
    <w:p w14:paraId="6897F595" w14:textId="545C0AA1" w:rsidR="00EF35B3" w:rsidRPr="00A676C3" w:rsidRDefault="00EF35B3" w:rsidP="00146587">
      <w:pPr>
        <w:tabs>
          <w:tab w:val="left" w:pos="7230"/>
        </w:tabs>
        <w:jc w:val="both"/>
      </w:pPr>
      <w:r w:rsidRPr="00A676C3">
        <w:t xml:space="preserve">Ekonomikas </w:t>
      </w:r>
      <w:r w:rsidR="00535BC3">
        <w:t>ministrs</w:t>
      </w:r>
      <w:r w:rsidRPr="00A676C3">
        <w:tab/>
      </w:r>
      <w:r w:rsidR="001D0E95">
        <w:t>J</w:t>
      </w:r>
      <w:r w:rsidRPr="00A676C3">
        <w:t>.</w:t>
      </w:r>
      <w:r w:rsidR="00146587">
        <w:t xml:space="preserve"> </w:t>
      </w:r>
      <w:proofErr w:type="spellStart"/>
      <w:r w:rsidR="001D0E95">
        <w:t>Vitenbergs</w:t>
      </w:r>
      <w:proofErr w:type="spellEnd"/>
    </w:p>
    <w:p w14:paraId="28B54E97" w14:textId="46DCF2F7" w:rsidR="00EF35B3" w:rsidRDefault="00EF35B3" w:rsidP="00146587">
      <w:pPr>
        <w:tabs>
          <w:tab w:val="left" w:pos="7230"/>
        </w:tabs>
      </w:pPr>
    </w:p>
    <w:p w14:paraId="4E94BB31" w14:textId="77777777" w:rsidR="00EF35B3" w:rsidRPr="00A676C3" w:rsidRDefault="00EF35B3" w:rsidP="00146587">
      <w:pPr>
        <w:tabs>
          <w:tab w:val="left" w:pos="7230"/>
        </w:tabs>
      </w:pPr>
      <w:r w:rsidRPr="00A676C3">
        <w:t>Vīza:</w:t>
      </w:r>
    </w:p>
    <w:p w14:paraId="3ADE1374" w14:textId="2B30A113" w:rsidR="00EF35B3" w:rsidRPr="00A676C3" w:rsidRDefault="00EF35B3" w:rsidP="00146587">
      <w:pPr>
        <w:tabs>
          <w:tab w:val="left" w:pos="7230"/>
        </w:tabs>
        <w:jc w:val="both"/>
      </w:pPr>
      <w:r w:rsidRPr="00A676C3">
        <w:t>Valsts sekretārs</w:t>
      </w:r>
      <w:r w:rsidRPr="00A676C3">
        <w:tab/>
      </w:r>
      <w:r w:rsidR="00F1341A">
        <w:t>E. Valantis</w:t>
      </w:r>
    </w:p>
    <w:p w14:paraId="749D1C02" w14:textId="475D1007" w:rsidR="00EF35B3" w:rsidRDefault="00EF35B3" w:rsidP="00146587">
      <w:pPr>
        <w:contextualSpacing/>
        <w:rPr>
          <w:sz w:val="20"/>
          <w:szCs w:val="20"/>
        </w:rPr>
      </w:pPr>
    </w:p>
    <w:p w14:paraId="583CC465" w14:textId="2E47357A" w:rsidR="000E0039" w:rsidRDefault="000E0039" w:rsidP="00146587">
      <w:pPr>
        <w:contextualSpacing/>
        <w:rPr>
          <w:sz w:val="20"/>
          <w:szCs w:val="20"/>
        </w:rPr>
      </w:pPr>
    </w:p>
    <w:p w14:paraId="7CDB5A8A" w14:textId="77777777" w:rsidR="000E0039" w:rsidRPr="005D342C" w:rsidRDefault="000E0039" w:rsidP="00146587">
      <w:pPr>
        <w:contextualSpacing/>
        <w:rPr>
          <w:sz w:val="20"/>
          <w:szCs w:val="20"/>
        </w:rPr>
      </w:pPr>
    </w:p>
    <w:p w14:paraId="3154B4B7" w14:textId="17BC92FB" w:rsidR="00F1341A" w:rsidRDefault="00F1341A" w:rsidP="00146587">
      <w:pPr>
        <w:contextualSpacing/>
        <w:rPr>
          <w:sz w:val="20"/>
          <w:szCs w:val="20"/>
        </w:rPr>
      </w:pPr>
      <w:r>
        <w:rPr>
          <w:sz w:val="20"/>
          <w:szCs w:val="20"/>
        </w:rPr>
        <w:t>Avota, 67013262</w:t>
      </w:r>
    </w:p>
    <w:p w14:paraId="385F74F6" w14:textId="6FFCFB3C" w:rsidR="00F1341A" w:rsidRDefault="00F1341A" w:rsidP="00146587">
      <w:pPr>
        <w:contextualSpacing/>
        <w:rPr>
          <w:sz w:val="20"/>
          <w:szCs w:val="20"/>
        </w:rPr>
      </w:pPr>
      <w:r>
        <w:rPr>
          <w:sz w:val="20"/>
          <w:szCs w:val="20"/>
        </w:rPr>
        <w:t>Evija.Avota@em.gov.lv</w:t>
      </w:r>
    </w:p>
    <w:sectPr w:rsidR="00F1341A" w:rsidSect="00582287">
      <w:headerReference w:type="default" r:id="rId11"/>
      <w:footerReference w:type="default" r:id="rId12"/>
      <w:footerReference w:type="first" r:id="rId13"/>
      <w:pgSz w:w="11906" w:h="16838" w:code="9"/>
      <w:pgMar w:top="1418"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BC3A8" w14:textId="77777777" w:rsidR="007D6BBB" w:rsidRDefault="007D6BBB" w:rsidP="0008440D">
      <w:r>
        <w:separator/>
      </w:r>
    </w:p>
  </w:endnote>
  <w:endnote w:type="continuationSeparator" w:id="0">
    <w:p w14:paraId="5E270B5F" w14:textId="77777777" w:rsidR="007D6BBB" w:rsidRDefault="007D6BBB" w:rsidP="0008440D">
      <w:r>
        <w:continuationSeparator/>
      </w:r>
    </w:p>
  </w:endnote>
  <w:endnote w:type="continuationNotice" w:id="1">
    <w:p w14:paraId="72180008" w14:textId="77777777" w:rsidR="007D6BBB" w:rsidRDefault="007D6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B36C" w14:textId="07426A75" w:rsidR="00C717D1" w:rsidRPr="008D7140" w:rsidRDefault="00C717D1" w:rsidP="00157C11">
    <w:pPr>
      <w:pStyle w:val="Footer"/>
      <w:jc w:val="both"/>
    </w:pPr>
    <w:r w:rsidRPr="008D7140">
      <w:rPr>
        <w:rFonts w:eastAsia="Calibri"/>
        <w:sz w:val="22"/>
        <w:szCs w:val="22"/>
        <w:lang w:eastAsia="en-US"/>
      </w:rPr>
      <w:fldChar w:fldCharType="begin"/>
    </w:r>
    <w:r w:rsidRPr="008D7140">
      <w:rPr>
        <w:rFonts w:eastAsia="Calibri"/>
        <w:sz w:val="22"/>
        <w:szCs w:val="22"/>
        <w:lang w:eastAsia="en-US"/>
      </w:rPr>
      <w:instrText xml:space="preserve"> FILENAME   \* MERGEFORMAT </w:instrText>
    </w:r>
    <w:r w:rsidRPr="008D7140">
      <w:rPr>
        <w:rFonts w:eastAsia="Calibri"/>
        <w:sz w:val="22"/>
        <w:szCs w:val="22"/>
        <w:lang w:eastAsia="en-US"/>
      </w:rPr>
      <w:fldChar w:fldCharType="separate"/>
    </w:r>
    <w:r w:rsidR="00157C11">
      <w:rPr>
        <w:rFonts w:eastAsia="Calibri"/>
        <w:noProof/>
        <w:sz w:val="22"/>
        <w:szCs w:val="22"/>
        <w:lang w:eastAsia="en-US"/>
      </w:rPr>
      <w:t>EMAnot_170621_groz530_groz550_groz661_groz631.docx</w:t>
    </w:r>
    <w:r w:rsidRPr="008D7140">
      <w:rPr>
        <w:rFonts w:eastAsia="Calibri"/>
        <w:sz w:val="22"/>
        <w:szCs w:val="22"/>
        <w:lang w:eastAsia="en-US"/>
      </w:rPr>
      <w:fldChar w:fldCharType="end"/>
    </w:r>
    <w:r w:rsidRPr="008D7140">
      <w:rPr>
        <w:rFonts w:eastAsia="Calibri"/>
        <w:sz w:val="22"/>
        <w:szCs w:val="22"/>
        <w:lang w:eastAsia="en-US"/>
      </w:rPr>
      <w:t xml:space="preserve">; Ministru kabineta noteikumu projekta </w:t>
    </w:r>
    <w:r w:rsidR="00157C11" w:rsidRPr="00157C11">
      <w:rPr>
        <w:rFonts w:eastAsia="Calibri"/>
        <w:sz w:val="22"/>
        <w:szCs w:val="22"/>
        <w:lang w:eastAsia="en-US"/>
      </w:rPr>
      <w:t xml:space="preserve">“Grozījumi Ministru kabineta 2014. gada 2. septembra noteikumos Nr.530 “Dzelzceļa būvnoteikumi””, Ministru kabineta noteikumu projekta “Grozījumi Ministru kabineta 2014. gada 16. septembra noteikumos Nr. 550 “Hidrotehnisko un meliorācijas būvju būvnoteikumi””, Ministru kabineta noteikumu projekta “Grozījumi Ministru kabineta 2015. gada 24. novembra noteikumos Nr. 661 “Ar radiācijas drošību saistīto būvju būvnoteikumi”” un Ministru kabineta noteikumu projekta “Grozījumi Ministru kabineta 2014. gada 14. oktobra noteikumos Nr. 631 “Latvijas Republikas iekšējo jūras ūdeņu, teritoriālās jūras un ekskluzīvās ekonomiskās zonas būvju būvnoteikumi”” </w:t>
    </w:r>
    <w:r w:rsidRPr="008D7140">
      <w:rPr>
        <w:rFonts w:eastAsia="Calibri"/>
        <w:sz w:val="22"/>
        <w:szCs w:val="22"/>
        <w:lang w:eastAsia="en-US"/>
      </w:rPr>
      <w:t xml:space="preserve">sākotnējās ietekmes novērtējuma </w:t>
    </w:r>
    <w:r w:rsidR="00157C11">
      <w:rPr>
        <w:rFonts w:eastAsia="Calibri"/>
        <w:sz w:val="22"/>
        <w:szCs w:val="22"/>
        <w:lang w:eastAsia="en-US"/>
      </w:rPr>
      <w:t xml:space="preserve">apvienotais </w:t>
    </w:r>
    <w:r w:rsidRPr="008D7140">
      <w:rPr>
        <w:rFonts w:eastAsia="Calibri"/>
        <w:sz w:val="22"/>
        <w:szCs w:val="22"/>
        <w:lang w:eastAsia="en-US"/>
      </w:rPr>
      <w:t>ziņojums (anotācija)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2C64E" w14:textId="76B02B99" w:rsidR="00C717D1" w:rsidRDefault="00C717D1" w:rsidP="00157C11">
    <w:pPr>
      <w:pStyle w:val="Footer"/>
      <w:jc w:val="both"/>
    </w:pPr>
    <w:r w:rsidRPr="008D7140">
      <w:rPr>
        <w:rFonts w:eastAsia="Calibri"/>
        <w:sz w:val="22"/>
        <w:szCs w:val="22"/>
        <w:lang w:eastAsia="en-US"/>
      </w:rPr>
      <w:fldChar w:fldCharType="begin"/>
    </w:r>
    <w:r w:rsidRPr="008D7140">
      <w:rPr>
        <w:rFonts w:eastAsia="Calibri"/>
        <w:sz w:val="22"/>
        <w:szCs w:val="22"/>
        <w:lang w:eastAsia="en-US"/>
      </w:rPr>
      <w:instrText xml:space="preserve"> FILENAME   \* MERGEFORMAT </w:instrText>
    </w:r>
    <w:r w:rsidRPr="008D7140">
      <w:rPr>
        <w:rFonts w:eastAsia="Calibri"/>
        <w:sz w:val="22"/>
        <w:szCs w:val="22"/>
        <w:lang w:eastAsia="en-US"/>
      </w:rPr>
      <w:fldChar w:fldCharType="separate"/>
    </w:r>
    <w:r w:rsidR="00157C11">
      <w:rPr>
        <w:rFonts w:eastAsia="Calibri"/>
        <w:noProof/>
        <w:sz w:val="22"/>
        <w:szCs w:val="22"/>
        <w:lang w:eastAsia="en-US"/>
      </w:rPr>
      <w:t>EMAnot_170621_groz530_groz550_groz661_groz631.docx</w:t>
    </w:r>
    <w:r w:rsidRPr="008D7140">
      <w:rPr>
        <w:rFonts w:eastAsia="Calibri"/>
        <w:sz w:val="22"/>
        <w:szCs w:val="22"/>
        <w:lang w:eastAsia="en-US"/>
      </w:rPr>
      <w:fldChar w:fldCharType="end"/>
    </w:r>
    <w:r w:rsidRPr="008D7140">
      <w:rPr>
        <w:rFonts w:eastAsia="Calibri"/>
        <w:sz w:val="22"/>
        <w:szCs w:val="22"/>
        <w:lang w:eastAsia="en-US"/>
      </w:rPr>
      <w:t xml:space="preserve">; Ministru kabineta noteikumu projekta </w:t>
    </w:r>
    <w:r w:rsidR="00157C11" w:rsidRPr="00157C11">
      <w:rPr>
        <w:rFonts w:eastAsia="Calibri"/>
        <w:sz w:val="22"/>
        <w:szCs w:val="22"/>
        <w:lang w:eastAsia="en-US"/>
      </w:rPr>
      <w:t xml:space="preserve">“Grozījumi Ministru kabineta 2014. gada 2. septembra noteikumos Nr.530 “Dzelzceļa būvnoteikumi””, Ministru kabineta noteikumu projekta “Grozījumi Ministru kabineta 2014. gada 16. septembra noteikumos Nr. 550 “Hidrotehnisko un meliorācijas būvju būvnoteikumi””, Ministru kabineta noteikumu projekta “Grozījumi Ministru kabineta 2015. gada 24. novembra noteikumos Nr. 661 “Ar radiācijas drošību saistīto būvju būvnoteikumi”” un Ministru kabineta noteikumu projekta “Grozījumi Ministru kabineta 2014. gada 14. oktobra noteikumos Nr. 631 “Latvijas Republikas iekšējo jūras ūdeņu, teritoriālās jūras un ekskluzīvās ekonomiskās zonas būvju būvnoteikumi”” </w:t>
    </w:r>
    <w:r w:rsidRPr="008D7140">
      <w:rPr>
        <w:rFonts w:eastAsia="Calibri"/>
        <w:sz w:val="22"/>
        <w:szCs w:val="22"/>
        <w:lang w:eastAsia="en-US"/>
      </w:rPr>
      <w:t xml:space="preserve">sākotnējās ietekmes novērtējuma </w:t>
    </w:r>
    <w:r w:rsidR="00157C11">
      <w:rPr>
        <w:rFonts w:eastAsia="Calibri"/>
        <w:sz w:val="22"/>
        <w:szCs w:val="22"/>
        <w:lang w:eastAsia="en-US"/>
      </w:rPr>
      <w:t xml:space="preserve">apvienotais </w:t>
    </w:r>
    <w:r w:rsidRPr="008D7140">
      <w:rPr>
        <w:rFonts w:eastAsia="Calibri"/>
        <w:sz w:val="22"/>
        <w:szCs w:val="22"/>
        <w:lang w:eastAsia="en-US"/>
      </w:rPr>
      <w:t>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16DEC" w14:textId="77777777" w:rsidR="007D6BBB" w:rsidRDefault="007D6BBB" w:rsidP="0008440D">
      <w:r>
        <w:separator/>
      </w:r>
    </w:p>
  </w:footnote>
  <w:footnote w:type="continuationSeparator" w:id="0">
    <w:p w14:paraId="7C0BE047" w14:textId="77777777" w:rsidR="007D6BBB" w:rsidRDefault="007D6BBB" w:rsidP="0008440D">
      <w:r>
        <w:continuationSeparator/>
      </w:r>
    </w:p>
  </w:footnote>
  <w:footnote w:type="continuationNotice" w:id="1">
    <w:p w14:paraId="3CDC7FE0" w14:textId="77777777" w:rsidR="007D6BBB" w:rsidRDefault="007D6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674977"/>
      <w:docPartObj>
        <w:docPartGallery w:val="Page Numbers (Top of Page)"/>
        <w:docPartUnique/>
      </w:docPartObj>
    </w:sdtPr>
    <w:sdtEndPr>
      <w:rPr>
        <w:noProof/>
        <w:sz w:val="20"/>
        <w:szCs w:val="20"/>
      </w:rPr>
    </w:sdtEndPr>
    <w:sdtContent>
      <w:p w14:paraId="1A65C252" w14:textId="59DD5BEF" w:rsidR="00C717D1" w:rsidRPr="00DD16CD" w:rsidRDefault="00C717D1">
        <w:pPr>
          <w:pStyle w:val="Header"/>
          <w:jc w:val="center"/>
          <w:rPr>
            <w:sz w:val="20"/>
            <w:szCs w:val="20"/>
          </w:rPr>
        </w:pPr>
        <w:r w:rsidRPr="00DD16CD">
          <w:rPr>
            <w:sz w:val="20"/>
            <w:szCs w:val="20"/>
          </w:rPr>
          <w:fldChar w:fldCharType="begin"/>
        </w:r>
        <w:r w:rsidRPr="00DD16CD">
          <w:rPr>
            <w:sz w:val="20"/>
            <w:szCs w:val="20"/>
          </w:rPr>
          <w:instrText xml:space="preserve"> PAGE   \* MERGEFORMAT </w:instrText>
        </w:r>
        <w:r w:rsidRPr="00DD16CD">
          <w:rPr>
            <w:sz w:val="20"/>
            <w:szCs w:val="20"/>
          </w:rPr>
          <w:fldChar w:fldCharType="separate"/>
        </w:r>
        <w:r w:rsidR="009E23BB">
          <w:rPr>
            <w:noProof/>
            <w:sz w:val="20"/>
            <w:szCs w:val="20"/>
          </w:rPr>
          <w:t>9</w:t>
        </w:r>
        <w:r w:rsidRPr="00DD16CD">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D287F"/>
    <w:multiLevelType w:val="hybridMultilevel"/>
    <w:tmpl w:val="972E5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796356"/>
    <w:multiLevelType w:val="multilevel"/>
    <w:tmpl w:val="5E44A9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E162F7C"/>
    <w:multiLevelType w:val="hybridMultilevel"/>
    <w:tmpl w:val="CB6ED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C8"/>
    <w:rsid w:val="000028B0"/>
    <w:rsid w:val="00005C2C"/>
    <w:rsid w:val="0001701C"/>
    <w:rsid w:val="00020544"/>
    <w:rsid w:val="000210F7"/>
    <w:rsid w:val="00037A30"/>
    <w:rsid w:val="00062FE9"/>
    <w:rsid w:val="00076CAC"/>
    <w:rsid w:val="0008065C"/>
    <w:rsid w:val="000833DA"/>
    <w:rsid w:val="0008440D"/>
    <w:rsid w:val="000B312B"/>
    <w:rsid w:val="000C2A2F"/>
    <w:rsid w:val="000C435D"/>
    <w:rsid w:val="000C53BF"/>
    <w:rsid w:val="000D53F9"/>
    <w:rsid w:val="000E0039"/>
    <w:rsid w:val="000E41F0"/>
    <w:rsid w:val="000E7573"/>
    <w:rsid w:val="000E7ADE"/>
    <w:rsid w:val="000F0216"/>
    <w:rsid w:val="000F5C36"/>
    <w:rsid w:val="001020AF"/>
    <w:rsid w:val="00102A22"/>
    <w:rsid w:val="00105E72"/>
    <w:rsid w:val="00114F42"/>
    <w:rsid w:val="0011733A"/>
    <w:rsid w:val="00131D9E"/>
    <w:rsid w:val="00136655"/>
    <w:rsid w:val="00146587"/>
    <w:rsid w:val="001475E9"/>
    <w:rsid w:val="00150BD9"/>
    <w:rsid w:val="00157C11"/>
    <w:rsid w:val="00161A57"/>
    <w:rsid w:val="00164EA7"/>
    <w:rsid w:val="0017237C"/>
    <w:rsid w:val="00180468"/>
    <w:rsid w:val="00180539"/>
    <w:rsid w:val="00183E71"/>
    <w:rsid w:val="001932CD"/>
    <w:rsid w:val="001A37E1"/>
    <w:rsid w:val="001A42B5"/>
    <w:rsid w:val="001B1DB8"/>
    <w:rsid w:val="001B6BAB"/>
    <w:rsid w:val="001C26CB"/>
    <w:rsid w:val="001C29AA"/>
    <w:rsid w:val="001C5FDF"/>
    <w:rsid w:val="001D0E95"/>
    <w:rsid w:val="001E1571"/>
    <w:rsid w:val="00207728"/>
    <w:rsid w:val="00210B39"/>
    <w:rsid w:val="00213992"/>
    <w:rsid w:val="0021636A"/>
    <w:rsid w:val="00220CFC"/>
    <w:rsid w:val="00226F8F"/>
    <w:rsid w:val="00235A51"/>
    <w:rsid w:val="00245684"/>
    <w:rsid w:val="0025575D"/>
    <w:rsid w:val="00262E5F"/>
    <w:rsid w:val="00275CA8"/>
    <w:rsid w:val="00277A6C"/>
    <w:rsid w:val="00280BE4"/>
    <w:rsid w:val="00280D98"/>
    <w:rsid w:val="00281A28"/>
    <w:rsid w:val="002834E3"/>
    <w:rsid w:val="00284C95"/>
    <w:rsid w:val="002A46FD"/>
    <w:rsid w:val="002B71E6"/>
    <w:rsid w:val="002C7177"/>
    <w:rsid w:val="002D059E"/>
    <w:rsid w:val="002D6191"/>
    <w:rsid w:val="002D6C71"/>
    <w:rsid w:val="002D7C34"/>
    <w:rsid w:val="002E273A"/>
    <w:rsid w:val="002F30A6"/>
    <w:rsid w:val="00305D56"/>
    <w:rsid w:val="003062B6"/>
    <w:rsid w:val="00312E63"/>
    <w:rsid w:val="003149B8"/>
    <w:rsid w:val="003149BB"/>
    <w:rsid w:val="00315C63"/>
    <w:rsid w:val="00316B90"/>
    <w:rsid w:val="003206C7"/>
    <w:rsid w:val="00324777"/>
    <w:rsid w:val="003248EC"/>
    <w:rsid w:val="00325AB4"/>
    <w:rsid w:val="00330BCF"/>
    <w:rsid w:val="003358F9"/>
    <w:rsid w:val="00354D97"/>
    <w:rsid w:val="0035651A"/>
    <w:rsid w:val="003636FD"/>
    <w:rsid w:val="00364FE4"/>
    <w:rsid w:val="00382ADC"/>
    <w:rsid w:val="0038313E"/>
    <w:rsid w:val="003833A2"/>
    <w:rsid w:val="00391ACA"/>
    <w:rsid w:val="003A41AE"/>
    <w:rsid w:val="003A6274"/>
    <w:rsid w:val="003B0E26"/>
    <w:rsid w:val="003B3136"/>
    <w:rsid w:val="003B3DA1"/>
    <w:rsid w:val="003B6DD5"/>
    <w:rsid w:val="003B778B"/>
    <w:rsid w:val="003C01C5"/>
    <w:rsid w:val="003C70F6"/>
    <w:rsid w:val="003C7115"/>
    <w:rsid w:val="003E107C"/>
    <w:rsid w:val="003E6386"/>
    <w:rsid w:val="004000B3"/>
    <w:rsid w:val="0040780D"/>
    <w:rsid w:val="0041133A"/>
    <w:rsid w:val="004114AD"/>
    <w:rsid w:val="00420669"/>
    <w:rsid w:val="004224F2"/>
    <w:rsid w:val="004227ED"/>
    <w:rsid w:val="0042592D"/>
    <w:rsid w:val="00427B75"/>
    <w:rsid w:val="004361A7"/>
    <w:rsid w:val="00447466"/>
    <w:rsid w:val="00450790"/>
    <w:rsid w:val="00455FBF"/>
    <w:rsid w:val="00455FFA"/>
    <w:rsid w:val="00456EC4"/>
    <w:rsid w:val="004575AB"/>
    <w:rsid w:val="00465219"/>
    <w:rsid w:val="004670F3"/>
    <w:rsid w:val="00467EB4"/>
    <w:rsid w:val="00470252"/>
    <w:rsid w:val="0047516B"/>
    <w:rsid w:val="00490C95"/>
    <w:rsid w:val="00491093"/>
    <w:rsid w:val="0049163B"/>
    <w:rsid w:val="00493DC0"/>
    <w:rsid w:val="004A2091"/>
    <w:rsid w:val="004A2BC6"/>
    <w:rsid w:val="004B39AD"/>
    <w:rsid w:val="004B5F00"/>
    <w:rsid w:val="004C59D8"/>
    <w:rsid w:val="004D0FD2"/>
    <w:rsid w:val="004D38EE"/>
    <w:rsid w:val="004E33C9"/>
    <w:rsid w:val="004E55A2"/>
    <w:rsid w:val="004E5E5B"/>
    <w:rsid w:val="004F2184"/>
    <w:rsid w:val="004F3215"/>
    <w:rsid w:val="004F640F"/>
    <w:rsid w:val="0050120F"/>
    <w:rsid w:val="005140CA"/>
    <w:rsid w:val="00515069"/>
    <w:rsid w:val="0052144B"/>
    <w:rsid w:val="0052547A"/>
    <w:rsid w:val="005315C2"/>
    <w:rsid w:val="0053206A"/>
    <w:rsid w:val="00535BC3"/>
    <w:rsid w:val="00543A38"/>
    <w:rsid w:val="005510B1"/>
    <w:rsid w:val="0056630C"/>
    <w:rsid w:val="0056704A"/>
    <w:rsid w:val="00582287"/>
    <w:rsid w:val="005941CC"/>
    <w:rsid w:val="00596687"/>
    <w:rsid w:val="005A2F3C"/>
    <w:rsid w:val="005A7A86"/>
    <w:rsid w:val="005C05F4"/>
    <w:rsid w:val="005D23CC"/>
    <w:rsid w:val="005D2F78"/>
    <w:rsid w:val="005E21FB"/>
    <w:rsid w:val="005E26EF"/>
    <w:rsid w:val="005E4A61"/>
    <w:rsid w:val="006115C8"/>
    <w:rsid w:val="00611812"/>
    <w:rsid w:val="006149C8"/>
    <w:rsid w:val="00615165"/>
    <w:rsid w:val="006224C8"/>
    <w:rsid w:val="00637FEC"/>
    <w:rsid w:val="00644209"/>
    <w:rsid w:val="006602F8"/>
    <w:rsid w:val="00667149"/>
    <w:rsid w:val="00673CC5"/>
    <w:rsid w:val="00676C6A"/>
    <w:rsid w:val="006845E9"/>
    <w:rsid w:val="00685398"/>
    <w:rsid w:val="00686C83"/>
    <w:rsid w:val="0069684F"/>
    <w:rsid w:val="0069788F"/>
    <w:rsid w:val="006A1D20"/>
    <w:rsid w:val="006A1FF0"/>
    <w:rsid w:val="006A4651"/>
    <w:rsid w:val="006A5FDF"/>
    <w:rsid w:val="006B47DE"/>
    <w:rsid w:val="006B600C"/>
    <w:rsid w:val="006B708A"/>
    <w:rsid w:val="006C1BC5"/>
    <w:rsid w:val="006D0644"/>
    <w:rsid w:val="006D1C02"/>
    <w:rsid w:val="006E4BBE"/>
    <w:rsid w:val="006E5DF4"/>
    <w:rsid w:val="006F5022"/>
    <w:rsid w:val="006F62F6"/>
    <w:rsid w:val="006F757C"/>
    <w:rsid w:val="007044CC"/>
    <w:rsid w:val="00706A19"/>
    <w:rsid w:val="00714FAB"/>
    <w:rsid w:val="0071792C"/>
    <w:rsid w:val="00723F24"/>
    <w:rsid w:val="00724ACC"/>
    <w:rsid w:val="007265E1"/>
    <w:rsid w:val="00731FAB"/>
    <w:rsid w:val="007321C7"/>
    <w:rsid w:val="007354E2"/>
    <w:rsid w:val="0073667C"/>
    <w:rsid w:val="00747C99"/>
    <w:rsid w:val="00751748"/>
    <w:rsid w:val="00760290"/>
    <w:rsid w:val="00763F16"/>
    <w:rsid w:val="00772F8F"/>
    <w:rsid w:val="0077626F"/>
    <w:rsid w:val="0077634C"/>
    <w:rsid w:val="007809C3"/>
    <w:rsid w:val="0078190D"/>
    <w:rsid w:val="0078462D"/>
    <w:rsid w:val="00784F1F"/>
    <w:rsid w:val="00787580"/>
    <w:rsid w:val="007914B7"/>
    <w:rsid w:val="00792632"/>
    <w:rsid w:val="00792F6C"/>
    <w:rsid w:val="00794081"/>
    <w:rsid w:val="00797671"/>
    <w:rsid w:val="00797E00"/>
    <w:rsid w:val="007B163C"/>
    <w:rsid w:val="007B39F7"/>
    <w:rsid w:val="007B763F"/>
    <w:rsid w:val="007C0CFB"/>
    <w:rsid w:val="007C243E"/>
    <w:rsid w:val="007D4E00"/>
    <w:rsid w:val="007D6BBB"/>
    <w:rsid w:val="007E4900"/>
    <w:rsid w:val="007E77FC"/>
    <w:rsid w:val="007F3577"/>
    <w:rsid w:val="00801EC0"/>
    <w:rsid w:val="0081515A"/>
    <w:rsid w:val="00815174"/>
    <w:rsid w:val="008204B2"/>
    <w:rsid w:val="00821873"/>
    <w:rsid w:val="008243A7"/>
    <w:rsid w:val="00830B4C"/>
    <w:rsid w:val="00835BF0"/>
    <w:rsid w:val="0084091A"/>
    <w:rsid w:val="0084765A"/>
    <w:rsid w:val="00853760"/>
    <w:rsid w:val="00883B2B"/>
    <w:rsid w:val="0088510F"/>
    <w:rsid w:val="008873FC"/>
    <w:rsid w:val="00891C75"/>
    <w:rsid w:val="008A3D54"/>
    <w:rsid w:val="008A774F"/>
    <w:rsid w:val="008B1FBC"/>
    <w:rsid w:val="008C5F00"/>
    <w:rsid w:val="008D2450"/>
    <w:rsid w:val="008D7140"/>
    <w:rsid w:val="008E3120"/>
    <w:rsid w:val="008F053E"/>
    <w:rsid w:val="008F5AC5"/>
    <w:rsid w:val="009034C5"/>
    <w:rsid w:val="00904B7C"/>
    <w:rsid w:val="009064DE"/>
    <w:rsid w:val="0091427D"/>
    <w:rsid w:val="009218DF"/>
    <w:rsid w:val="00930B0E"/>
    <w:rsid w:val="0093138B"/>
    <w:rsid w:val="009347C0"/>
    <w:rsid w:val="00935E02"/>
    <w:rsid w:val="0093745A"/>
    <w:rsid w:val="009405B0"/>
    <w:rsid w:val="009455CE"/>
    <w:rsid w:val="00955FF3"/>
    <w:rsid w:val="009579AE"/>
    <w:rsid w:val="009601E0"/>
    <w:rsid w:val="009602D9"/>
    <w:rsid w:val="00975C1D"/>
    <w:rsid w:val="00983CC9"/>
    <w:rsid w:val="009A0A5D"/>
    <w:rsid w:val="009B2D9E"/>
    <w:rsid w:val="009B7C88"/>
    <w:rsid w:val="009B7E3A"/>
    <w:rsid w:val="009C59F2"/>
    <w:rsid w:val="009C5C0C"/>
    <w:rsid w:val="009C6921"/>
    <w:rsid w:val="009D2EF8"/>
    <w:rsid w:val="009D3CD1"/>
    <w:rsid w:val="009E0A5E"/>
    <w:rsid w:val="009E23BB"/>
    <w:rsid w:val="009E7344"/>
    <w:rsid w:val="009F21E1"/>
    <w:rsid w:val="009F500D"/>
    <w:rsid w:val="00A0277B"/>
    <w:rsid w:val="00A05D11"/>
    <w:rsid w:val="00A1532B"/>
    <w:rsid w:val="00A26263"/>
    <w:rsid w:val="00A30419"/>
    <w:rsid w:val="00A30819"/>
    <w:rsid w:val="00A31CF6"/>
    <w:rsid w:val="00A36864"/>
    <w:rsid w:val="00A50975"/>
    <w:rsid w:val="00A53307"/>
    <w:rsid w:val="00A54CA8"/>
    <w:rsid w:val="00A571EC"/>
    <w:rsid w:val="00A613A6"/>
    <w:rsid w:val="00A67B42"/>
    <w:rsid w:val="00A75B7F"/>
    <w:rsid w:val="00A76729"/>
    <w:rsid w:val="00A7782A"/>
    <w:rsid w:val="00A81E79"/>
    <w:rsid w:val="00A82869"/>
    <w:rsid w:val="00A8547C"/>
    <w:rsid w:val="00A91FB4"/>
    <w:rsid w:val="00AA1714"/>
    <w:rsid w:val="00AB08DB"/>
    <w:rsid w:val="00AB3F8A"/>
    <w:rsid w:val="00AB5A51"/>
    <w:rsid w:val="00AB731F"/>
    <w:rsid w:val="00AC712B"/>
    <w:rsid w:val="00AD018C"/>
    <w:rsid w:val="00AD7C24"/>
    <w:rsid w:val="00AE26C6"/>
    <w:rsid w:val="00AE55F8"/>
    <w:rsid w:val="00AF0B01"/>
    <w:rsid w:val="00AF13AB"/>
    <w:rsid w:val="00B07854"/>
    <w:rsid w:val="00B1095B"/>
    <w:rsid w:val="00B20CA9"/>
    <w:rsid w:val="00B273B9"/>
    <w:rsid w:val="00B30D98"/>
    <w:rsid w:val="00B40662"/>
    <w:rsid w:val="00B444B2"/>
    <w:rsid w:val="00B45314"/>
    <w:rsid w:val="00B5184C"/>
    <w:rsid w:val="00B54238"/>
    <w:rsid w:val="00B7181D"/>
    <w:rsid w:val="00B7392E"/>
    <w:rsid w:val="00B762B5"/>
    <w:rsid w:val="00B90009"/>
    <w:rsid w:val="00B91134"/>
    <w:rsid w:val="00BA43DD"/>
    <w:rsid w:val="00BB10B6"/>
    <w:rsid w:val="00BC5272"/>
    <w:rsid w:val="00BC6115"/>
    <w:rsid w:val="00BD0B4B"/>
    <w:rsid w:val="00BF139A"/>
    <w:rsid w:val="00BF46FC"/>
    <w:rsid w:val="00C1090F"/>
    <w:rsid w:val="00C110AA"/>
    <w:rsid w:val="00C1188E"/>
    <w:rsid w:val="00C17C08"/>
    <w:rsid w:val="00C243F4"/>
    <w:rsid w:val="00C25D2E"/>
    <w:rsid w:val="00C262C8"/>
    <w:rsid w:val="00C2694D"/>
    <w:rsid w:val="00C504F3"/>
    <w:rsid w:val="00C54355"/>
    <w:rsid w:val="00C54A4B"/>
    <w:rsid w:val="00C577E8"/>
    <w:rsid w:val="00C61E78"/>
    <w:rsid w:val="00C655C4"/>
    <w:rsid w:val="00C664C9"/>
    <w:rsid w:val="00C705F1"/>
    <w:rsid w:val="00C70671"/>
    <w:rsid w:val="00C70B32"/>
    <w:rsid w:val="00C717D1"/>
    <w:rsid w:val="00C73856"/>
    <w:rsid w:val="00C75430"/>
    <w:rsid w:val="00C77006"/>
    <w:rsid w:val="00C80B26"/>
    <w:rsid w:val="00C94C01"/>
    <w:rsid w:val="00C96427"/>
    <w:rsid w:val="00CA0A07"/>
    <w:rsid w:val="00CB0233"/>
    <w:rsid w:val="00CB0635"/>
    <w:rsid w:val="00CC17B6"/>
    <w:rsid w:val="00CC6E81"/>
    <w:rsid w:val="00CD6F71"/>
    <w:rsid w:val="00CD7BE3"/>
    <w:rsid w:val="00CE2477"/>
    <w:rsid w:val="00CE56BC"/>
    <w:rsid w:val="00CE67BE"/>
    <w:rsid w:val="00CE7427"/>
    <w:rsid w:val="00CF3A0D"/>
    <w:rsid w:val="00CF75A3"/>
    <w:rsid w:val="00D06019"/>
    <w:rsid w:val="00D11BA4"/>
    <w:rsid w:val="00D16787"/>
    <w:rsid w:val="00D20A83"/>
    <w:rsid w:val="00D3026B"/>
    <w:rsid w:val="00D41B5C"/>
    <w:rsid w:val="00D429AE"/>
    <w:rsid w:val="00D479AA"/>
    <w:rsid w:val="00D51EAF"/>
    <w:rsid w:val="00D54500"/>
    <w:rsid w:val="00D6510B"/>
    <w:rsid w:val="00D66F71"/>
    <w:rsid w:val="00D82CA6"/>
    <w:rsid w:val="00D9539C"/>
    <w:rsid w:val="00D96688"/>
    <w:rsid w:val="00DA7B8F"/>
    <w:rsid w:val="00DB18F1"/>
    <w:rsid w:val="00DB47DC"/>
    <w:rsid w:val="00DB4A62"/>
    <w:rsid w:val="00DC67DB"/>
    <w:rsid w:val="00DC6D5F"/>
    <w:rsid w:val="00DD0D0A"/>
    <w:rsid w:val="00DD16CD"/>
    <w:rsid w:val="00DD1E10"/>
    <w:rsid w:val="00DD6F5E"/>
    <w:rsid w:val="00DE04FF"/>
    <w:rsid w:val="00DE40E4"/>
    <w:rsid w:val="00DF3A87"/>
    <w:rsid w:val="00DF565C"/>
    <w:rsid w:val="00E00BC2"/>
    <w:rsid w:val="00E01F10"/>
    <w:rsid w:val="00E02A1A"/>
    <w:rsid w:val="00E042C2"/>
    <w:rsid w:val="00E075D2"/>
    <w:rsid w:val="00E15C00"/>
    <w:rsid w:val="00E247B3"/>
    <w:rsid w:val="00E25FA3"/>
    <w:rsid w:val="00E2600A"/>
    <w:rsid w:val="00E278CE"/>
    <w:rsid w:val="00E30126"/>
    <w:rsid w:val="00E56DC9"/>
    <w:rsid w:val="00E64C59"/>
    <w:rsid w:val="00E71DAC"/>
    <w:rsid w:val="00E8477C"/>
    <w:rsid w:val="00E93A0F"/>
    <w:rsid w:val="00E9791C"/>
    <w:rsid w:val="00EA0E9A"/>
    <w:rsid w:val="00EA24DB"/>
    <w:rsid w:val="00EB1DF9"/>
    <w:rsid w:val="00EB5129"/>
    <w:rsid w:val="00EB6678"/>
    <w:rsid w:val="00EB73FC"/>
    <w:rsid w:val="00ED1446"/>
    <w:rsid w:val="00EF0511"/>
    <w:rsid w:val="00EF35B3"/>
    <w:rsid w:val="00EF361A"/>
    <w:rsid w:val="00F02044"/>
    <w:rsid w:val="00F0387D"/>
    <w:rsid w:val="00F03DF5"/>
    <w:rsid w:val="00F04C5B"/>
    <w:rsid w:val="00F1341A"/>
    <w:rsid w:val="00F32498"/>
    <w:rsid w:val="00F329EC"/>
    <w:rsid w:val="00F3312A"/>
    <w:rsid w:val="00F3556B"/>
    <w:rsid w:val="00F36072"/>
    <w:rsid w:val="00F363B0"/>
    <w:rsid w:val="00F47EEB"/>
    <w:rsid w:val="00F62FDC"/>
    <w:rsid w:val="00F65360"/>
    <w:rsid w:val="00F6757A"/>
    <w:rsid w:val="00F76D4F"/>
    <w:rsid w:val="00F8229E"/>
    <w:rsid w:val="00F852D1"/>
    <w:rsid w:val="00F93788"/>
    <w:rsid w:val="00F974C7"/>
    <w:rsid w:val="00F9796E"/>
    <w:rsid w:val="00FA054E"/>
    <w:rsid w:val="00FA711C"/>
    <w:rsid w:val="00FA7E1C"/>
    <w:rsid w:val="00FC3F08"/>
    <w:rsid w:val="00FC5237"/>
    <w:rsid w:val="00FC6E23"/>
    <w:rsid w:val="00FD35B0"/>
    <w:rsid w:val="00FE1AC5"/>
    <w:rsid w:val="00FE3324"/>
    <w:rsid w:val="00FF1B76"/>
    <w:rsid w:val="00FF61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142AB"/>
  <w15:chartTrackingRefBased/>
  <w15:docId w15:val="{F19717CC-91B8-4C55-BB00-063014FC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6149C8"/>
    <w:rPr>
      <w:rFonts w:ascii="Times New Roman" w:eastAsia="Times New Roman" w:hAnsi="Times New Roman" w:cs="Times New Roman"/>
      <w:sz w:val="28"/>
      <w:szCs w:val="20"/>
    </w:rPr>
  </w:style>
  <w:style w:type="paragraph" w:styleId="Title">
    <w:name w:val="Title"/>
    <w:basedOn w:val="Normal"/>
    <w:link w:val="TitleChar"/>
    <w:qFormat/>
    <w:rsid w:val="006149C8"/>
    <w:pPr>
      <w:jc w:val="center"/>
    </w:pPr>
    <w:rPr>
      <w:sz w:val="28"/>
      <w:szCs w:val="20"/>
      <w:lang w:eastAsia="en-US"/>
    </w:rPr>
  </w:style>
  <w:style w:type="character" w:customStyle="1" w:styleId="TitleChar1">
    <w:name w:val="Title Char1"/>
    <w:basedOn w:val="DefaultParagraphFont"/>
    <w:uiPriority w:val="10"/>
    <w:rsid w:val="006149C8"/>
    <w:rPr>
      <w:rFonts w:asciiTheme="majorHAnsi" w:eastAsiaTheme="majorEastAsia" w:hAnsiTheme="majorHAnsi" w:cstheme="majorBidi"/>
      <w:spacing w:val="-10"/>
      <w:kern w:val="28"/>
      <w:sz w:val="56"/>
      <w:szCs w:val="56"/>
      <w:lang w:eastAsia="lv-LV"/>
    </w:rPr>
  </w:style>
  <w:style w:type="table" w:styleId="TableGrid">
    <w:name w:val="Table Grid"/>
    <w:basedOn w:val="TableNormal"/>
    <w:uiPriority w:val="59"/>
    <w:unhideWhenUsed/>
    <w:rsid w:val="006149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6149C8"/>
    <w:pPr>
      <w:spacing w:before="100" w:beforeAutospacing="1" w:after="100" w:afterAutospacing="1"/>
    </w:pPr>
  </w:style>
  <w:style w:type="character" w:styleId="Hyperlink">
    <w:name w:val="Hyperlink"/>
    <w:basedOn w:val="DefaultParagraphFont"/>
    <w:uiPriority w:val="99"/>
    <w:unhideWhenUsed/>
    <w:rsid w:val="006149C8"/>
    <w:rPr>
      <w:color w:val="0000FF"/>
      <w:u w:val="single"/>
    </w:rPr>
  </w:style>
  <w:style w:type="paragraph" w:styleId="ListParagraph">
    <w:name w:val="List Paragraph"/>
    <w:basedOn w:val="Normal"/>
    <w:uiPriority w:val="34"/>
    <w:qFormat/>
    <w:rsid w:val="00E56DC9"/>
    <w:pPr>
      <w:ind w:left="720"/>
      <w:contextualSpacing/>
    </w:pPr>
  </w:style>
  <w:style w:type="paragraph" w:styleId="Header">
    <w:name w:val="header"/>
    <w:basedOn w:val="Normal"/>
    <w:link w:val="HeaderChar"/>
    <w:uiPriority w:val="99"/>
    <w:unhideWhenUsed/>
    <w:rsid w:val="0008440D"/>
    <w:pPr>
      <w:tabs>
        <w:tab w:val="center" w:pos="4153"/>
        <w:tab w:val="right" w:pos="8306"/>
      </w:tabs>
    </w:pPr>
  </w:style>
  <w:style w:type="character" w:customStyle="1" w:styleId="HeaderChar">
    <w:name w:val="Header Char"/>
    <w:basedOn w:val="DefaultParagraphFont"/>
    <w:link w:val="Header"/>
    <w:uiPriority w:val="99"/>
    <w:rsid w:val="0008440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08440D"/>
    <w:pPr>
      <w:tabs>
        <w:tab w:val="center" w:pos="4153"/>
        <w:tab w:val="right" w:pos="8306"/>
      </w:tabs>
    </w:pPr>
  </w:style>
  <w:style w:type="character" w:customStyle="1" w:styleId="FooterChar">
    <w:name w:val="Footer Char"/>
    <w:basedOn w:val="DefaultParagraphFont"/>
    <w:link w:val="Footer"/>
    <w:uiPriority w:val="99"/>
    <w:rsid w:val="0008440D"/>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B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8A"/>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8B1FBC"/>
    <w:rPr>
      <w:sz w:val="16"/>
      <w:szCs w:val="16"/>
    </w:rPr>
  </w:style>
  <w:style w:type="paragraph" w:styleId="CommentText">
    <w:name w:val="annotation text"/>
    <w:basedOn w:val="Normal"/>
    <w:link w:val="CommentTextChar"/>
    <w:uiPriority w:val="99"/>
    <w:semiHidden/>
    <w:unhideWhenUsed/>
    <w:rsid w:val="008B1FBC"/>
    <w:rPr>
      <w:sz w:val="20"/>
      <w:szCs w:val="20"/>
    </w:rPr>
  </w:style>
  <w:style w:type="character" w:customStyle="1" w:styleId="CommentTextChar">
    <w:name w:val="Comment Text Char"/>
    <w:basedOn w:val="DefaultParagraphFont"/>
    <w:link w:val="CommentText"/>
    <w:uiPriority w:val="99"/>
    <w:semiHidden/>
    <w:rsid w:val="008B1FB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B1FBC"/>
    <w:rPr>
      <w:b/>
      <w:bCs/>
    </w:rPr>
  </w:style>
  <w:style w:type="character" w:customStyle="1" w:styleId="CommentSubjectChar">
    <w:name w:val="Comment Subject Char"/>
    <w:basedOn w:val="CommentTextChar"/>
    <w:link w:val="CommentSubject"/>
    <w:uiPriority w:val="99"/>
    <w:semiHidden/>
    <w:rsid w:val="008B1FBC"/>
    <w:rPr>
      <w:rFonts w:ascii="Times New Roman" w:eastAsia="Times New Roman" w:hAnsi="Times New Roman" w:cs="Times New Roman"/>
      <w:b/>
      <w:bCs/>
      <w:sz w:val="20"/>
      <w:szCs w:val="20"/>
      <w:lang w:eastAsia="lv-LV"/>
    </w:rPr>
  </w:style>
  <w:style w:type="character" w:styleId="UnresolvedMention">
    <w:name w:val="Unresolved Mention"/>
    <w:basedOn w:val="DefaultParagraphFont"/>
    <w:uiPriority w:val="99"/>
    <w:semiHidden/>
    <w:unhideWhenUsed/>
    <w:rsid w:val="0045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0177">
      <w:bodyDiv w:val="1"/>
      <w:marLeft w:val="0"/>
      <w:marRight w:val="0"/>
      <w:marTop w:val="0"/>
      <w:marBottom w:val="0"/>
      <w:divBdr>
        <w:top w:val="none" w:sz="0" w:space="0" w:color="auto"/>
        <w:left w:val="none" w:sz="0" w:space="0" w:color="auto"/>
        <w:bottom w:val="none" w:sz="0" w:space="0" w:color="auto"/>
        <w:right w:val="none" w:sz="0" w:space="0" w:color="auto"/>
      </w:divBdr>
    </w:div>
    <w:div w:id="171385710">
      <w:bodyDiv w:val="1"/>
      <w:marLeft w:val="0"/>
      <w:marRight w:val="0"/>
      <w:marTop w:val="0"/>
      <w:marBottom w:val="0"/>
      <w:divBdr>
        <w:top w:val="none" w:sz="0" w:space="0" w:color="auto"/>
        <w:left w:val="none" w:sz="0" w:space="0" w:color="auto"/>
        <w:bottom w:val="none" w:sz="0" w:space="0" w:color="auto"/>
        <w:right w:val="none" w:sz="0" w:space="0" w:color="auto"/>
      </w:divBdr>
    </w:div>
    <w:div w:id="598413244">
      <w:bodyDiv w:val="1"/>
      <w:marLeft w:val="0"/>
      <w:marRight w:val="0"/>
      <w:marTop w:val="0"/>
      <w:marBottom w:val="0"/>
      <w:divBdr>
        <w:top w:val="none" w:sz="0" w:space="0" w:color="auto"/>
        <w:left w:val="none" w:sz="0" w:space="0" w:color="auto"/>
        <w:bottom w:val="none" w:sz="0" w:space="0" w:color="auto"/>
        <w:right w:val="none" w:sz="0" w:space="0" w:color="auto"/>
      </w:divBdr>
    </w:div>
    <w:div w:id="1379015923">
      <w:bodyDiv w:val="1"/>
      <w:marLeft w:val="0"/>
      <w:marRight w:val="0"/>
      <w:marTop w:val="0"/>
      <w:marBottom w:val="0"/>
      <w:divBdr>
        <w:top w:val="none" w:sz="0" w:space="0" w:color="auto"/>
        <w:left w:val="none" w:sz="0" w:space="0" w:color="auto"/>
        <w:bottom w:val="none" w:sz="0" w:space="0" w:color="auto"/>
        <w:right w:val="none" w:sz="0" w:space="0" w:color="auto"/>
      </w:divBdr>
    </w:div>
    <w:div w:id="1570768046">
      <w:bodyDiv w:val="1"/>
      <w:marLeft w:val="0"/>
      <w:marRight w:val="0"/>
      <w:marTop w:val="0"/>
      <w:marBottom w:val="0"/>
      <w:divBdr>
        <w:top w:val="none" w:sz="0" w:space="0" w:color="auto"/>
        <w:left w:val="none" w:sz="0" w:space="0" w:color="auto"/>
        <w:bottom w:val="none" w:sz="0" w:space="0" w:color="auto"/>
        <w:right w:val="none" w:sz="0" w:space="0" w:color="auto"/>
      </w:divBdr>
    </w:div>
    <w:div w:id="1992903494">
      <w:bodyDiv w:val="1"/>
      <w:marLeft w:val="0"/>
      <w:marRight w:val="0"/>
      <w:marTop w:val="0"/>
      <w:marBottom w:val="0"/>
      <w:divBdr>
        <w:top w:val="none" w:sz="0" w:space="0" w:color="auto"/>
        <w:left w:val="none" w:sz="0" w:space="0" w:color="auto"/>
        <w:bottom w:val="none" w:sz="0" w:space="0" w:color="auto"/>
        <w:right w:val="none" w:sz="0" w:space="0" w:color="auto"/>
      </w:divBdr>
    </w:div>
    <w:div w:id="21069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5856F525BC6B4AAC9326C419DA09EB" ma:contentTypeVersion="8" ma:contentTypeDescription="Create a new document." ma:contentTypeScope="" ma:versionID="10aa1fc370c8642974fffaf00798d86a">
  <xsd:schema xmlns:xsd="http://www.w3.org/2001/XMLSchema" xmlns:xs="http://www.w3.org/2001/XMLSchema" xmlns:p="http://schemas.microsoft.com/office/2006/metadata/properties" xmlns:ns2="98d6c3d8-aeaf-4e5b-adb6-e1ad8a72b2c7" xmlns:ns3="e793aee2-0702-45ff-9c51-b29030239f5c" targetNamespace="http://schemas.microsoft.com/office/2006/metadata/properties" ma:root="true" ma:fieldsID="a0e018101489f07f429d95ce85b42112" ns2:_="" ns3:_="">
    <xsd:import namespace="98d6c3d8-aeaf-4e5b-adb6-e1ad8a72b2c7"/>
    <xsd:import namespace="e793aee2-0702-45ff-9c51-b29030239f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3D140-9E95-44F1-9783-B14E7A91771B}">
  <ds:schemaRefs>
    <ds:schemaRef ds:uri="http://schemas.microsoft.com/sharepoint/v3/contenttype/forms"/>
  </ds:schemaRefs>
</ds:datastoreItem>
</file>

<file path=customXml/itemProps2.xml><?xml version="1.0" encoding="utf-8"?>
<ds:datastoreItem xmlns:ds="http://schemas.openxmlformats.org/officeDocument/2006/customXml" ds:itemID="{70E7379B-B5EE-4A2E-9D21-E7B7E9505FBC}">
  <ds:schemaRefs>
    <ds:schemaRef ds:uri="http://schemas.openxmlformats.org/officeDocument/2006/bibliography"/>
  </ds:schemaRefs>
</ds:datastoreItem>
</file>

<file path=customXml/itemProps3.xml><?xml version="1.0" encoding="utf-8"?>
<ds:datastoreItem xmlns:ds="http://schemas.openxmlformats.org/officeDocument/2006/customXml" ds:itemID="{53AE7E66-DD05-4FB2-A5DF-9E6CE044CF75}">
  <ds:schemaRefs>
    <ds:schemaRef ds:uri="98d6c3d8-aeaf-4e5b-adb6-e1ad8a72b2c7"/>
    <ds:schemaRef ds:uri="http://purl.org/dc/terms/"/>
    <ds:schemaRef ds:uri="http://schemas.microsoft.com/office/2006/documentManagement/types"/>
    <ds:schemaRef ds:uri="http://purl.org/dc/dcmitype/"/>
    <ds:schemaRef ds:uri="e793aee2-0702-45ff-9c51-b29030239f5c"/>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6D27206-7758-482F-8CBF-E9A83141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c3d8-aeaf-4e5b-adb6-e1ad8a72b2c7"/>
    <ds:schemaRef ds:uri="e793aee2-0702-45ff-9c51-b2903023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8691</Words>
  <Characters>4955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Evija Avota</cp:lastModifiedBy>
  <cp:revision>103</cp:revision>
  <dcterms:created xsi:type="dcterms:W3CDTF">2021-06-17T07:29:00Z</dcterms:created>
  <dcterms:modified xsi:type="dcterms:W3CDTF">2021-06-17T09:37:00Z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