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41" w:rsidRPr="006A0CA3" w:rsidRDefault="00742F41" w:rsidP="002E6310">
      <w:pPr>
        <w:widowControl w:val="0"/>
        <w:spacing w:before="120" w:after="120"/>
        <w:jc w:val="center"/>
        <w:rPr>
          <w:rFonts w:eastAsia="Calibri"/>
          <w:b/>
          <w:sz w:val="36"/>
          <w:szCs w:val="36"/>
        </w:rPr>
      </w:pPr>
      <w:bookmarkStart w:id="0" w:name="_GoBack"/>
      <w:bookmarkEnd w:id="0"/>
    </w:p>
    <w:p w:rsidR="00057EC5" w:rsidRPr="006A0CA3" w:rsidRDefault="00057EC5" w:rsidP="002E6310">
      <w:pPr>
        <w:widowControl w:val="0"/>
        <w:spacing w:before="120" w:after="120"/>
        <w:jc w:val="center"/>
        <w:rPr>
          <w:rFonts w:eastAsia="Calibri"/>
          <w:b/>
          <w:sz w:val="36"/>
          <w:szCs w:val="36"/>
        </w:rPr>
      </w:pPr>
    </w:p>
    <w:p w:rsidR="00057EC5" w:rsidRPr="006A0CA3" w:rsidRDefault="006A75E3" w:rsidP="002E6310">
      <w:pPr>
        <w:widowControl w:val="0"/>
        <w:spacing w:before="120" w:after="120"/>
        <w:jc w:val="center"/>
        <w:rPr>
          <w:rFonts w:eastAsia="Calibri"/>
          <w:b/>
          <w:sz w:val="36"/>
          <w:szCs w:val="36"/>
        </w:rPr>
      </w:pPr>
      <w:r w:rsidRPr="00875D04">
        <w:rPr>
          <w:b/>
          <w:noProof/>
          <w:sz w:val="28"/>
          <w:szCs w:val="28"/>
          <w:lang w:eastAsia="lv-LV"/>
        </w:rPr>
        <w:drawing>
          <wp:inline distT="0" distB="0" distL="0" distR="0" wp14:anchorId="3875B525" wp14:editId="16B327A2">
            <wp:extent cx="1499235" cy="1647825"/>
            <wp:effectExtent l="0" t="0" r="5715" b="9525"/>
            <wp:docPr id="2" name="Picture 24" descr="C:\Users\SilinsJ\Pictures\New Picture (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ilinsJ\Pictures\New Picture (58).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235" cy="1647825"/>
                    </a:xfrm>
                    <a:prstGeom prst="rect">
                      <a:avLst/>
                    </a:prstGeom>
                    <a:noFill/>
                    <a:ln>
                      <a:noFill/>
                    </a:ln>
                  </pic:spPr>
                </pic:pic>
              </a:graphicData>
            </a:graphic>
          </wp:inline>
        </w:drawing>
      </w:r>
    </w:p>
    <w:p w:rsidR="00057EC5" w:rsidRPr="00E334D5" w:rsidRDefault="00057EC5" w:rsidP="002E6310">
      <w:pPr>
        <w:widowControl w:val="0"/>
        <w:spacing w:before="120" w:after="120"/>
        <w:jc w:val="center"/>
        <w:rPr>
          <w:rFonts w:eastAsia="Calibri"/>
          <w:b/>
          <w:sz w:val="36"/>
          <w:szCs w:val="36"/>
        </w:rPr>
      </w:pPr>
    </w:p>
    <w:p w:rsidR="00742F41" w:rsidRPr="00D46FB5" w:rsidRDefault="008958B4" w:rsidP="002E6310">
      <w:pPr>
        <w:widowControl w:val="0"/>
        <w:spacing w:before="120" w:after="120"/>
        <w:jc w:val="center"/>
        <w:rPr>
          <w:rFonts w:eastAsia="Calibri"/>
          <w:b/>
          <w:color w:val="215868"/>
          <w:sz w:val="36"/>
          <w:szCs w:val="36"/>
        </w:rPr>
      </w:pPr>
      <w:r w:rsidRPr="00D46FB5">
        <w:rPr>
          <w:rFonts w:eastAsia="Calibri"/>
          <w:b/>
          <w:color w:val="215868"/>
          <w:sz w:val="36"/>
          <w:szCs w:val="36"/>
        </w:rPr>
        <w:t>3.2.1</w:t>
      </w:r>
      <w:r w:rsidR="00742F41" w:rsidRPr="00D46FB5">
        <w:rPr>
          <w:rFonts w:eastAsia="Calibri"/>
          <w:b/>
          <w:color w:val="215868"/>
          <w:sz w:val="36"/>
          <w:szCs w:val="36"/>
        </w:rPr>
        <w:t xml:space="preserve">.specifiskā atbalsta mērķa </w:t>
      </w:r>
    </w:p>
    <w:p w:rsidR="00742F41" w:rsidRPr="00737207" w:rsidRDefault="003513B8" w:rsidP="002E6310">
      <w:pPr>
        <w:widowControl w:val="0"/>
        <w:spacing w:before="120" w:after="120"/>
        <w:jc w:val="center"/>
        <w:rPr>
          <w:rFonts w:eastAsia="Calibri"/>
          <w:b/>
          <w:color w:val="215868"/>
          <w:sz w:val="36"/>
          <w:szCs w:val="36"/>
        </w:rPr>
      </w:pPr>
      <w:r w:rsidRPr="00B64D66">
        <w:rPr>
          <w:rFonts w:eastAsia="Calibri"/>
          <w:b/>
          <w:color w:val="215868"/>
          <w:sz w:val="36"/>
          <w:szCs w:val="36"/>
        </w:rPr>
        <w:t>„Palielināt augstas pievienotās vērtības produktu un pakalpojumu eksporta proporciju”</w:t>
      </w:r>
    </w:p>
    <w:p w:rsidR="00A52F82" w:rsidRPr="00057FB2" w:rsidRDefault="002E0713" w:rsidP="002E6310">
      <w:pPr>
        <w:widowControl w:val="0"/>
        <w:spacing w:before="120" w:after="120"/>
        <w:jc w:val="center"/>
        <w:rPr>
          <w:rFonts w:eastAsia="Calibri"/>
          <w:b/>
          <w:color w:val="215868"/>
          <w:sz w:val="36"/>
          <w:szCs w:val="36"/>
        </w:rPr>
      </w:pPr>
      <w:r w:rsidRPr="00057FB2">
        <w:rPr>
          <w:rFonts w:eastAsia="Calibri"/>
          <w:b/>
          <w:color w:val="215868"/>
          <w:sz w:val="36"/>
          <w:szCs w:val="36"/>
        </w:rPr>
        <w:t>3.2.1.1.</w:t>
      </w:r>
      <w:r w:rsidR="00A52F82" w:rsidRPr="00057FB2">
        <w:rPr>
          <w:rFonts w:eastAsia="Calibri"/>
          <w:b/>
          <w:color w:val="215868"/>
          <w:sz w:val="36"/>
          <w:szCs w:val="36"/>
        </w:rPr>
        <w:t xml:space="preserve"> pasākuma</w:t>
      </w:r>
    </w:p>
    <w:p w:rsidR="003513B8" w:rsidRPr="00D930FF" w:rsidRDefault="00A52F82" w:rsidP="002E6310">
      <w:pPr>
        <w:widowControl w:val="0"/>
        <w:spacing w:before="120" w:after="120"/>
        <w:jc w:val="center"/>
        <w:rPr>
          <w:rFonts w:eastAsia="Calibri"/>
          <w:b/>
          <w:color w:val="215868"/>
          <w:sz w:val="36"/>
          <w:szCs w:val="36"/>
        </w:rPr>
      </w:pPr>
      <w:r w:rsidRPr="00AB3047">
        <w:rPr>
          <w:rFonts w:eastAsia="Calibri"/>
          <w:b/>
          <w:color w:val="215868"/>
          <w:sz w:val="36"/>
          <w:szCs w:val="36"/>
        </w:rPr>
        <w:t xml:space="preserve"> “Klasteru programma”</w:t>
      </w:r>
    </w:p>
    <w:p w:rsidR="00742F41" w:rsidRPr="00FA6557" w:rsidRDefault="00742F41" w:rsidP="002E6310">
      <w:pPr>
        <w:widowControl w:val="0"/>
        <w:spacing w:before="120" w:after="120"/>
        <w:jc w:val="center"/>
        <w:rPr>
          <w:rFonts w:eastAsia="Calibri"/>
          <w:b/>
          <w:color w:val="215868"/>
          <w:sz w:val="36"/>
          <w:szCs w:val="36"/>
        </w:rPr>
      </w:pPr>
    </w:p>
    <w:p w:rsidR="00742F41" w:rsidRPr="00E841FF" w:rsidRDefault="00742F41" w:rsidP="002E6310">
      <w:pPr>
        <w:widowControl w:val="0"/>
        <w:spacing w:before="120" w:after="120"/>
        <w:jc w:val="center"/>
        <w:rPr>
          <w:rFonts w:eastAsia="Calibri"/>
          <w:b/>
          <w:color w:val="215868"/>
          <w:sz w:val="36"/>
          <w:szCs w:val="36"/>
        </w:rPr>
      </w:pPr>
      <w:r w:rsidRPr="00E841FF">
        <w:rPr>
          <w:rFonts w:eastAsia="Calibri"/>
          <w:b/>
          <w:color w:val="215868"/>
          <w:sz w:val="36"/>
          <w:szCs w:val="36"/>
        </w:rPr>
        <w:t>SĀKOTNĒJAIS NOVĒRTĒJUMS</w:t>
      </w:r>
    </w:p>
    <w:p w:rsidR="00742F41" w:rsidRPr="00A71EDD" w:rsidRDefault="00742F41" w:rsidP="002E6310">
      <w:pPr>
        <w:widowControl w:val="0"/>
        <w:spacing w:before="120" w:after="120"/>
        <w:jc w:val="center"/>
        <w:rPr>
          <w:rFonts w:eastAsia="Calibri"/>
          <w:b/>
          <w:color w:val="215868"/>
          <w:sz w:val="36"/>
          <w:szCs w:val="36"/>
        </w:rPr>
      </w:pPr>
    </w:p>
    <w:p w:rsidR="00742F41" w:rsidRPr="00A71EDD" w:rsidRDefault="00742F41" w:rsidP="002E6310">
      <w:pPr>
        <w:widowControl w:val="0"/>
        <w:spacing w:before="120" w:after="120"/>
        <w:jc w:val="center"/>
        <w:rPr>
          <w:rFonts w:eastAsia="Calibri"/>
          <w:b/>
          <w:sz w:val="36"/>
          <w:szCs w:val="36"/>
        </w:rPr>
      </w:pPr>
    </w:p>
    <w:p w:rsidR="00742F41" w:rsidRPr="001A2BF8" w:rsidRDefault="00742F41" w:rsidP="002E6310">
      <w:pPr>
        <w:widowControl w:val="0"/>
        <w:spacing w:before="120" w:after="120"/>
        <w:jc w:val="center"/>
        <w:rPr>
          <w:rFonts w:eastAsia="Calibri"/>
          <w:b/>
          <w:sz w:val="36"/>
          <w:szCs w:val="36"/>
        </w:rPr>
      </w:pPr>
    </w:p>
    <w:p w:rsidR="00742F41" w:rsidRPr="00093ECF" w:rsidRDefault="00742F41" w:rsidP="002E6310">
      <w:pPr>
        <w:widowControl w:val="0"/>
        <w:spacing w:before="120" w:after="120"/>
        <w:jc w:val="center"/>
        <w:rPr>
          <w:rFonts w:eastAsia="Calibri"/>
          <w:b/>
          <w:sz w:val="36"/>
          <w:szCs w:val="36"/>
        </w:rPr>
      </w:pPr>
    </w:p>
    <w:p w:rsidR="008958B4" w:rsidRPr="00093ECF" w:rsidRDefault="008958B4" w:rsidP="002E6310">
      <w:pPr>
        <w:widowControl w:val="0"/>
        <w:spacing w:before="120" w:after="120"/>
        <w:jc w:val="center"/>
        <w:rPr>
          <w:rFonts w:eastAsia="Calibri"/>
          <w:b/>
          <w:sz w:val="36"/>
          <w:szCs w:val="36"/>
        </w:rPr>
      </w:pPr>
    </w:p>
    <w:p w:rsidR="008958B4" w:rsidRPr="00093ECF" w:rsidRDefault="008958B4" w:rsidP="002E6310">
      <w:pPr>
        <w:widowControl w:val="0"/>
        <w:spacing w:before="120" w:after="120"/>
        <w:jc w:val="center"/>
        <w:rPr>
          <w:rFonts w:eastAsia="Calibri"/>
          <w:b/>
          <w:sz w:val="36"/>
          <w:szCs w:val="36"/>
        </w:rPr>
      </w:pPr>
    </w:p>
    <w:p w:rsidR="008958B4" w:rsidRPr="004C6DF6" w:rsidRDefault="008958B4" w:rsidP="002E6310">
      <w:pPr>
        <w:widowControl w:val="0"/>
        <w:spacing w:before="120" w:after="120"/>
        <w:jc w:val="center"/>
        <w:rPr>
          <w:rFonts w:eastAsia="Calibri"/>
          <w:b/>
          <w:sz w:val="36"/>
          <w:szCs w:val="36"/>
        </w:rPr>
      </w:pPr>
    </w:p>
    <w:p w:rsidR="009C5D24" w:rsidRPr="00BF1DDB" w:rsidRDefault="00742F41" w:rsidP="002E6310">
      <w:pPr>
        <w:widowControl w:val="0"/>
        <w:spacing w:before="120" w:after="120"/>
        <w:jc w:val="center"/>
        <w:rPr>
          <w:rFonts w:eastAsia="Calibri"/>
          <w:color w:val="215868"/>
          <w:sz w:val="30"/>
          <w:szCs w:val="36"/>
        </w:rPr>
      </w:pPr>
      <w:r w:rsidRPr="00217318">
        <w:rPr>
          <w:rFonts w:eastAsia="Calibri"/>
          <w:color w:val="215868"/>
          <w:sz w:val="30"/>
          <w:szCs w:val="36"/>
        </w:rPr>
        <w:t>201</w:t>
      </w:r>
      <w:r w:rsidR="003513B8" w:rsidRPr="00E0406F">
        <w:rPr>
          <w:rFonts w:eastAsia="Calibri"/>
          <w:color w:val="215868"/>
          <w:sz w:val="30"/>
          <w:szCs w:val="36"/>
        </w:rPr>
        <w:t>5</w:t>
      </w:r>
      <w:r w:rsidRPr="008B3008">
        <w:rPr>
          <w:rFonts w:eastAsia="Calibri"/>
          <w:color w:val="215868"/>
          <w:sz w:val="30"/>
          <w:szCs w:val="36"/>
        </w:rPr>
        <w:t xml:space="preserve">.gada </w:t>
      </w:r>
      <w:r w:rsidR="00F44471">
        <w:rPr>
          <w:rFonts w:eastAsia="Calibri"/>
          <w:color w:val="215868"/>
          <w:sz w:val="30"/>
          <w:szCs w:val="36"/>
        </w:rPr>
        <w:t>decembris</w:t>
      </w:r>
      <w:r w:rsidR="009C5D24" w:rsidRPr="00BF1DDB">
        <w:rPr>
          <w:rFonts w:eastAsia="Calibri"/>
          <w:color w:val="215868"/>
          <w:sz w:val="30"/>
          <w:szCs w:val="36"/>
        </w:rPr>
        <w:br w:type="page"/>
      </w:r>
    </w:p>
    <w:p w:rsidR="009C5D24" w:rsidRPr="00BF1DDB" w:rsidRDefault="009C5D24" w:rsidP="002E6310">
      <w:pPr>
        <w:pStyle w:val="TOC1"/>
        <w:widowControl w:val="0"/>
        <w:jc w:val="center"/>
      </w:pPr>
      <w:r w:rsidRPr="00BF1DDB">
        <w:lastRenderedPageBreak/>
        <w:t>Saturs</w:t>
      </w:r>
    </w:p>
    <w:p w:rsidR="00A666DF" w:rsidRPr="007600C0" w:rsidRDefault="00A666DF" w:rsidP="007600C0">
      <w:pPr>
        <w:pStyle w:val="TOCHeading"/>
        <w:widowControl w:val="0"/>
        <w:rPr>
          <w:rFonts w:ascii="Times New Roman" w:hAnsi="Times New Roman"/>
          <w:color w:val="auto"/>
          <w:sz w:val="32"/>
          <w:lang w:val="lv-LV"/>
        </w:rPr>
      </w:pPr>
    </w:p>
    <w:p w:rsidR="00F42E06" w:rsidRPr="007600C0" w:rsidRDefault="00A666DF" w:rsidP="007600C0">
      <w:pPr>
        <w:pStyle w:val="TOC1"/>
        <w:widowControl w:val="0"/>
        <w:rPr>
          <w:rStyle w:val="Hyperlink"/>
          <w:noProof/>
          <w:color w:val="auto"/>
          <w:sz w:val="24"/>
        </w:rPr>
      </w:pPr>
      <w:r w:rsidRPr="007600C0">
        <w:fldChar w:fldCharType="begin"/>
      </w:r>
      <w:r w:rsidRPr="001A1BC7">
        <w:instrText xml:space="preserve"> TOC \o "1-3" \h \z \u </w:instrText>
      </w:r>
      <w:r w:rsidRPr="007600C0">
        <w:fldChar w:fldCharType="separate"/>
      </w:r>
      <w:hyperlink w:anchor="_Toc419295616" w:history="1">
        <w:r w:rsidR="00BB026D" w:rsidRPr="007600C0">
          <w:rPr>
            <w:rStyle w:val="Hyperlink"/>
            <w:noProof/>
            <w:color w:val="auto"/>
            <w:sz w:val="24"/>
          </w:rPr>
          <w:t>1. Esošās makroekonomiskās situācijas raksturojums</w:t>
        </w:r>
        <w:r w:rsidR="00BB026D" w:rsidRPr="007600C0">
          <w:rPr>
            <w:noProof/>
            <w:webHidden/>
            <w:sz w:val="24"/>
          </w:rPr>
          <w:tab/>
        </w:r>
        <w:r w:rsidR="00BB026D" w:rsidRPr="007600C0">
          <w:rPr>
            <w:noProof/>
            <w:webHidden/>
            <w:sz w:val="24"/>
          </w:rPr>
          <w:fldChar w:fldCharType="begin"/>
        </w:r>
        <w:r w:rsidR="00BB026D" w:rsidRPr="007600C0">
          <w:rPr>
            <w:noProof/>
            <w:webHidden/>
            <w:sz w:val="24"/>
          </w:rPr>
          <w:instrText xml:space="preserve"> PAGEREF _Toc419295616 \h </w:instrText>
        </w:r>
        <w:r w:rsidR="00BB026D" w:rsidRPr="007600C0">
          <w:rPr>
            <w:noProof/>
            <w:webHidden/>
            <w:sz w:val="24"/>
          </w:rPr>
        </w:r>
        <w:r w:rsidR="00BB026D" w:rsidRPr="007600C0">
          <w:rPr>
            <w:noProof/>
            <w:webHidden/>
            <w:sz w:val="24"/>
          </w:rPr>
          <w:fldChar w:fldCharType="separate"/>
        </w:r>
        <w:r w:rsidR="007600C0">
          <w:rPr>
            <w:noProof/>
            <w:webHidden/>
            <w:sz w:val="24"/>
          </w:rPr>
          <w:t>3</w:t>
        </w:r>
        <w:r w:rsidR="00BB026D" w:rsidRPr="007600C0">
          <w:rPr>
            <w:noProof/>
            <w:webHidden/>
            <w:sz w:val="24"/>
          </w:rPr>
          <w:fldChar w:fldCharType="end"/>
        </w:r>
      </w:hyperlink>
    </w:p>
    <w:p w:rsidR="00F42E06" w:rsidRPr="007600C0" w:rsidRDefault="009837B5" w:rsidP="007600C0">
      <w:pPr>
        <w:pStyle w:val="TOC2"/>
        <w:widowControl w:val="0"/>
        <w:rPr>
          <w:noProof/>
          <w:lang w:eastAsia="lv-LV"/>
        </w:rPr>
      </w:pPr>
      <w:hyperlink w:anchor="_Toc419295621" w:history="1">
        <w:r w:rsidR="00F42E06" w:rsidRPr="007600C0">
          <w:rPr>
            <w:rStyle w:val="Hyperlink"/>
            <w:rFonts w:ascii="Times New Roman" w:hAnsi="Times New Roman"/>
            <w:noProof/>
            <w:color w:val="auto"/>
          </w:rPr>
          <w:t>1.2. Citu valstu pieredze</w:t>
        </w:r>
        <w:r w:rsidR="00F42E06" w:rsidRPr="007600C0">
          <w:rPr>
            <w:noProof/>
            <w:webHidden/>
          </w:rPr>
          <w:tab/>
          <w:t>8</w:t>
        </w:r>
      </w:hyperlink>
    </w:p>
    <w:p w:rsidR="00F42E06" w:rsidRPr="007600C0" w:rsidRDefault="009837B5" w:rsidP="007600C0">
      <w:pPr>
        <w:pStyle w:val="TOC2"/>
        <w:widowControl w:val="0"/>
        <w:rPr>
          <w:noProof/>
          <w:lang w:eastAsia="lv-LV"/>
        </w:rPr>
      </w:pPr>
      <w:hyperlink w:anchor="_Toc419295622" w:history="1">
        <w:r w:rsidR="007A0354" w:rsidRPr="007600C0">
          <w:rPr>
            <w:rStyle w:val="Hyperlink"/>
            <w:rFonts w:ascii="Times New Roman" w:hAnsi="Times New Roman"/>
            <w:noProof/>
            <w:color w:val="auto"/>
          </w:rPr>
          <w:t>1.3</w:t>
        </w:r>
        <w:r w:rsidR="00F42E06" w:rsidRPr="007600C0">
          <w:rPr>
            <w:rStyle w:val="Hyperlink"/>
            <w:rFonts w:ascii="Times New Roman" w:hAnsi="Times New Roman"/>
            <w:noProof/>
            <w:color w:val="auto"/>
          </w:rPr>
          <w:t>.</w:t>
        </w:r>
        <w:r w:rsidR="007A0354" w:rsidRPr="007600C0">
          <w:rPr>
            <w:rStyle w:val="Hyperlink"/>
            <w:rFonts w:ascii="Times New Roman" w:hAnsi="Times New Roman"/>
            <w:noProof/>
            <w:color w:val="auto"/>
          </w:rPr>
          <w:t xml:space="preserve"> Sasaiste ar politikas plānošanas dokumentiem</w:t>
        </w:r>
        <w:r w:rsidR="00F42E06" w:rsidRPr="007600C0">
          <w:rPr>
            <w:noProof/>
            <w:webHidden/>
          </w:rPr>
          <w:tab/>
        </w:r>
        <w:r w:rsidR="007A0354" w:rsidRPr="007600C0">
          <w:rPr>
            <w:noProof/>
            <w:webHidden/>
          </w:rPr>
          <w:t>11</w:t>
        </w:r>
      </w:hyperlink>
    </w:p>
    <w:p w:rsidR="00BB026D" w:rsidRPr="007600C0" w:rsidRDefault="009837B5" w:rsidP="007600C0">
      <w:pPr>
        <w:pStyle w:val="TOC1"/>
        <w:widowControl w:val="0"/>
        <w:rPr>
          <w:rFonts w:ascii="Calibri" w:hAnsi="Calibri"/>
          <w:b w:val="0"/>
          <w:noProof/>
          <w:sz w:val="18"/>
          <w:szCs w:val="22"/>
          <w:lang w:eastAsia="lv-LV"/>
        </w:rPr>
      </w:pPr>
      <w:hyperlink w:anchor="_Toc419295617" w:history="1">
        <w:r w:rsidR="00BB026D" w:rsidRPr="007600C0">
          <w:rPr>
            <w:rStyle w:val="Hyperlink"/>
            <w:noProof/>
            <w:color w:val="auto"/>
            <w:sz w:val="24"/>
            <w:lang w:eastAsia="lv-LV"/>
          </w:rPr>
          <w:t xml:space="preserve">2. Pasākuma </w:t>
        </w:r>
        <w:r w:rsidR="00F42E06" w:rsidRPr="007600C0">
          <w:rPr>
            <w:rStyle w:val="Hyperlink"/>
            <w:noProof/>
            <w:color w:val="auto"/>
            <w:sz w:val="24"/>
            <w:lang w:eastAsia="lv-LV"/>
          </w:rPr>
          <w:t>sākotnējās ietekmes</w:t>
        </w:r>
        <w:r w:rsidR="00BB026D" w:rsidRPr="007600C0">
          <w:rPr>
            <w:rStyle w:val="Hyperlink"/>
            <w:noProof/>
            <w:color w:val="auto"/>
            <w:sz w:val="24"/>
            <w:lang w:eastAsia="lv-LV"/>
          </w:rPr>
          <w:t xml:space="preserve"> novērtējums</w:t>
        </w:r>
        <w:r w:rsidR="00BB026D" w:rsidRPr="007600C0">
          <w:rPr>
            <w:noProof/>
            <w:webHidden/>
            <w:sz w:val="24"/>
          </w:rPr>
          <w:tab/>
        </w:r>
        <w:r w:rsidR="007A0354" w:rsidRPr="007600C0">
          <w:rPr>
            <w:noProof/>
            <w:webHidden/>
            <w:sz w:val="24"/>
          </w:rPr>
          <w:t>13</w:t>
        </w:r>
      </w:hyperlink>
    </w:p>
    <w:p w:rsidR="00BB026D" w:rsidRPr="007600C0" w:rsidRDefault="009837B5" w:rsidP="007600C0">
      <w:pPr>
        <w:pStyle w:val="TOC1"/>
        <w:widowControl w:val="0"/>
        <w:rPr>
          <w:rFonts w:ascii="Calibri" w:hAnsi="Calibri"/>
          <w:b w:val="0"/>
          <w:noProof/>
          <w:sz w:val="18"/>
          <w:szCs w:val="22"/>
          <w:lang w:eastAsia="lv-LV"/>
        </w:rPr>
      </w:pPr>
      <w:hyperlink w:anchor="_Toc419295618" w:history="1">
        <w:r w:rsidR="00BB026D" w:rsidRPr="007600C0">
          <w:rPr>
            <w:rStyle w:val="Hyperlink"/>
            <w:noProof/>
            <w:color w:val="auto"/>
            <w:sz w:val="24"/>
            <w:lang w:eastAsia="lv-LV"/>
          </w:rPr>
          <w:t xml:space="preserve">3. Pasākuma </w:t>
        </w:r>
        <w:r w:rsidR="007A0354" w:rsidRPr="007600C0">
          <w:rPr>
            <w:rStyle w:val="Hyperlink"/>
            <w:noProof/>
            <w:color w:val="auto"/>
            <w:sz w:val="24"/>
            <w:lang w:eastAsia="lv-LV"/>
          </w:rPr>
          <w:t xml:space="preserve">ieviešanas risinājuma apraksts un </w:t>
        </w:r>
        <w:r w:rsidR="00BB026D" w:rsidRPr="007600C0">
          <w:rPr>
            <w:rStyle w:val="Hyperlink"/>
            <w:noProof/>
            <w:color w:val="auto"/>
            <w:sz w:val="24"/>
            <w:lang w:eastAsia="lv-LV"/>
          </w:rPr>
          <w:t xml:space="preserve"> novērtējums</w:t>
        </w:r>
        <w:r w:rsidR="00BB026D" w:rsidRPr="007600C0">
          <w:rPr>
            <w:noProof/>
            <w:webHidden/>
            <w:sz w:val="24"/>
          </w:rPr>
          <w:tab/>
        </w:r>
        <w:r w:rsidR="007A0354" w:rsidRPr="007600C0">
          <w:rPr>
            <w:noProof/>
            <w:webHidden/>
            <w:sz w:val="24"/>
          </w:rPr>
          <w:t>2</w:t>
        </w:r>
        <w:r w:rsidR="00A721BB" w:rsidRPr="007600C0">
          <w:rPr>
            <w:noProof/>
            <w:webHidden/>
            <w:sz w:val="24"/>
          </w:rPr>
          <w:t>2</w:t>
        </w:r>
      </w:hyperlink>
    </w:p>
    <w:p w:rsidR="007A0354" w:rsidRPr="007600C0" w:rsidRDefault="009837B5" w:rsidP="007600C0">
      <w:pPr>
        <w:pStyle w:val="TOC2"/>
        <w:widowControl w:val="0"/>
        <w:rPr>
          <w:noProof/>
          <w:u w:val="single"/>
        </w:rPr>
      </w:pPr>
      <w:hyperlink w:anchor="_Toc419295619" w:history="1">
        <w:r w:rsidR="007A0354" w:rsidRPr="007600C0">
          <w:rPr>
            <w:rStyle w:val="Hyperlink"/>
            <w:rFonts w:ascii="Times New Roman" w:hAnsi="Times New Roman"/>
            <w:noProof/>
            <w:color w:val="auto"/>
          </w:rPr>
          <w:t>3.1. Pasākuma ietekme uz makroekonomisko vidi</w:t>
        </w:r>
        <w:r w:rsidR="007A0354" w:rsidRPr="007600C0">
          <w:rPr>
            <w:noProof/>
            <w:webHidden/>
          </w:rPr>
          <w:tab/>
          <w:t>2</w:t>
        </w:r>
        <w:r w:rsidR="00A721BB" w:rsidRPr="007600C0">
          <w:rPr>
            <w:noProof/>
            <w:webHidden/>
          </w:rPr>
          <w:t>4</w:t>
        </w:r>
      </w:hyperlink>
    </w:p>
    <w:p w:rsidR="007A0354" w:rsidRPr="007600C0" w:rsidRDefault="009837B5" w:rsidP="007600C0">
      <w:pPr>
        <w:pStyle w:val="TOC2"/>
        <w:widowControl w:val="0"/>
        <w:rPr>
          <w:noProof/>
          <w:u w:val="single"/>
        </w:rPr>
      </w:pPr>
      <w:hyperlink w:anchor="_Toc419295619" w:history="1">
        <w:r w:rsidR="00BB026D" w:rsidRPr="007600C0">
          <w:rPr>
            <w:rStyle w:val="Hyperlink"/>
            <w:rFonts w:ascii="Times New Roman" w:hAnsi="Times New Roman"/>
            <w:noProof/>
            <w:color w:val="auto"/>
          </w:rPr>
          <w:t>3.</w:t>
        </w:r>
        <w:r w:rsidR="007A0354" w:rsidRPr="007600C0">
          <w:rPr>
            <w:rStyle w:val="Hyperlink"/>
            <w:rFonts w:ascii="Times New Roman" w:hAnsi="Times New Roman"/>
            <w:noProof/>
            <w:color w:val="auto"/>
          </w:rPr>
          <w:t>2</w:t>
        </w:r>
        <w:r w:rsidR="00BB026D" w:rsidRPr="007600C0">
          <w:rPr>
            <w:rStyle w:val="Hyperlink"/>
            <w:rFonts w:ascii="Times New Roman" w:hAnsi="Times New Roman"/>
            <w:noProof/>
            <w:color w:val="auto"/>
          </w:rPr>
          <w:t>. Pasākuma ietekme uz uzņēmējdarbības vidi</w:t>
        </w:r>
        <w:r w:rsidR="00BB026D" w:rsidRPr="007600C0">
          <w:rPr>
            <w:noProof/>
            <w:webHidden/>
          </w:rPr>
          <w:tab/>
        </w:r>
        <w:r w:rsidR="007A0354" w:rsidRPr="007600C0">
          <w:rPr>
            <w:noProof/>
            <w:webHidden/>
          </w:rPr>
          <w:t>2</w:t>
        </w:r>
        <w:r w:rsidR="00A721BB" w:rsidRPr="007600C0">
          <w:rPr>
            <w:noProof/>
            <w:webHidden/>
          </w:rPr>
          <w:t>4</w:t>
        </w:r>
      </w:hyperlink>
    </w:p>
    <w:p w:rsidR="00BB026D" w:rsidRPr="007600C0" w:rsidRDefault="009837B5" w:rsidP="007600C0">
      <w:pPr>
        <w:pStyle w:val="TOC2"/>
        <w:widowControl w:val="0"/>
        <w:rPr>
          <w:noProof/>
          <w:lang w:eastAsia="lv-LV"/>
        </w:rPr>
      </w:pPr>
      <w:hyperlink w:anchor="_Toc419295620" w:history="1">
        <w:r w:rsidR="00BB026D" w:rsidRPr="007600C0">
          <w:rPr>
            <w:rStyle w:val="Hyperlink"/>
            <w:rFonts w:ascii="Times New Roman" w:hAnsi="Times New Roman"/>
            <w:noProof/>
            <w:color w:val="auto"/>
          </w:rPr>
          <w:t>3.3. Pasākuma ietekme uz administratīvajām procedūrām un to izmaksām (gan attiecībā uz saimnieciskās darbības veicējiem, gan attiecībā uz fiziskām personām un nevalstiskā sektora organizācijām, gan attiecībā uz budžeta finansētām institūcijām)</w:t>
        </w:r>
        <w:r w:rsidR="00BB026D" w:rsidRPr="007600C0">
          <w:rPr>
            <w:noProof/>
            <w:webHidden/>
          </w:rPr>
          <w:tab/>
        </w:r>
        <w:r w:rsidR="007A0354" w:rsidRPr="007600C0">
          <w:rPr>
            <w:noProof/>
            <w:webHidden/>
          </w:rPr>
          <w:t>25</w:t>
        </w:r>
      </w:hyperlink>
    </w:p>
    <w:p w:rsidR="00BB026D" w:rsidRPr="007600C0" w:rsidRDefault="009837B5" w:rsidP="007600C0">
      <w:pPr>
        <w:pStyle w:val="TOC2"/>
        <w:widowControl w:val="0"/>
        <w:rPr>
          <w:noProof/>
          <w:lang w:eastAsia="lv-LV"/>
        </w:rPr>
      </w:pPr>
      <w:hyperlink w:anchor="_Toc419295621" w:history="1">
        <w:r w:rsidR="00BB026D" w:rsidRPr="007600C0">
          <w:rPr>
            <w:rStyle w:val="Hyperlink"/>
            <w:rFonts w:ascii="Times New Roman" w:hAnsi="Times New Roman"/>
            <w:noProof/>
            <w:color w:val="auto"/>
          </w:rPr>
          <w:t>3.4. Pasākuma ietekme uz sociālo vidi</w:t>
        </w:r>
        <w:r w:rsidR="00BB026D" w:rsidRPr="007600C0">
          <w:rPr>
            <w:noProof/>
            <w:webHidden/>
          </w:rPr>
          <w:tab/>
        </w:r>
        <w:r w:rsidR="007A0354" w:rsidRPr="007600C0">
          <w:rPr>
            <w:noProof/>
            <w:webHidden/>
          </w:rPr>
          <w:t>25</w:t>
        </w:r>
      </w:hyperlink>
    </w:p>
    <w:p w:rsidR="00BB026D" w:rsidRPr="007600C0" w:rsidRDefault="009837B5" w:rsidP="007600C0">
      <w:pPr>
        <w:pStyle w:val="TOC2"/>
        <w:widowControl w:val="0"/>
        <w:rPr>
          <w:noProof/>
          <w:lang w:eastAsia="lv-LV"/>
        </w:rPr>
      </w:pPr>
      <w:hyperlink w:anchor="_Toc419295622" w:history="1">
        <w:r w:rsidR="00BB026D" w:rsidRPr="007600C0">
          <w:rPr>
            <w:rStyle w:val="Hyperlink"/>
            <w:rFonts w:ascii="Times New Roman" w:hAnsi="Times New Roman"/>
            <w:noProof/>
            <w:color w:val="auto"/>
          </w:rPr>
          <w:t>3.5. Pasākumu ietekme uz vidi</w:t>
        </w:r>
        <w:r w:rsidR="00BB026D" w:rsidRPr="007600C0">
          <w:rPr>
            <w:noProof/>
            <w:webHidden/>
          </w:rPr>
          <w:tab/>
        </w:r>
        <w:r w:rsidR="007A0354" w:rsidRPr="007600C0">
          <w:rPr>
            <w:noProof/>
            <w:webHidden/>
          </w:rPr>
          <w:t>25</w:t>
        </w:r>
      </w:hyperlink>
    </w:p>
    <w:p w:rsidR="00BB026D" w:rsidRPr="007600C0" w:rsidRDefault="009837B5" w:rsidP="007600C0">
      <w:pPr>
        <w:pStyle w:val="TOC2"/>
        <w:widowControl w:val="0"/>
        <w:rPr>
          <w:noProof/>
          <w:lang w:eastAsia="lv-LV"/>
        </w:rPr>
      </w:pPr>
      <w:hyperlink w:anchor="_Toc419295623" w:history="1">
        <w:r w:rsidR="00BB026D" w:rsidRPr="007600C0">
          <w:rPr>
            <w:rStyle w:val="Hyperlink"/>
            <w:rFonts w:ascii="Times New Roman" w:hAnsi="Times New Roman"/>
            <w:noProof/>
            <w:color w:val="auto"/>
          </w:rPr>
          <w:t>3.6. Pasākumu ietekme uz valsts un pašvaldību budžetiem</w:t>
        </w:r>
        <w:r w:rsidR="00BB026D" w:rsidRPr="007600C0">
          <w:rPr>
            <w:noProof/>
            <w:webHidden/>
          </w:rPr>
          <w:tab/>
        </w:r>
        <w:r w:rsidR="007A0354" w:rsidRPr="007600C0">
          <w:rPr>
            <w:noProof/>
            <w:webHidden/>
          </w:rPr>
          <w:t>25</w:t>
        </w:r>
      </w:hyperlink>
    </w:p>
    <w:p w:rsidR="00BB026D" w:rsidRPr="007600C0" w:rsidRDefault="009837B5" w:rsidP="007600C0">
      <w:pPr>
        <w:pStyle w:val="TOC2"/>
        <w:widowControl w:val="0"/>
        <w:rPr>
          <w:noProof/>
          <w:lang w:eastAsia="lv-LV"/>
        </w:rPr>
      </w:pPr>
      <w:hyperlink w:anchor="_Toc419295624" w:history="1">
        <w:r w:rsidR="00BB026D" w:rsidRPr="007600C0">
          <w:rPr>
            <w:rStyle w:val="Hyperlink"/>
            <w:rFonts w:ascii="Times New Roman" w:hAnsi="Times New Roman"/>
            <w:noProof/>
            <w:color w:val="auto"/>
          </w:rPr>
          <w:t>3.7. Pasākumu ietekme uz spēkā esošo tiesību normu sistēmu un Latvijas starptautiskajām saistībām</w:t>
        </w:r>
        <w:r w:rsidR="00BB026D" w:rsidRPr="007600C0">
          <w:rPr>
            <w:noProof/>
            <w:webHidden/>
          </w:rPr>
          <w:tab/>
        </w:r>
        <w:r w:rsidR="007A0354" w:rsidRPr="007600C0">
          <w:rPr>
            <w:noProof/>
            <w:webHidden/>
          </w:rPr>
          <w:t>25</w:t>
        </w:r>
      </w:hyperlink>
    </w:p>
    <w:p w:rsidR="00BB026D" w:rsidRPr="007600C0" w:rsidRDefault="009837B5" w:rsidP="007600C0">
      <w:pPr>
        <w:pStyle w:val="TOC2"/>
        <w:widowControl w:val="0"/>
        <w:rPr>
          <w:noProof/>
          <w:lang w:eastAsia="lv-LV"/>
        </w:rPr>
      </w:pPr>
      <w:hyperlink w:anchor="_Toc419295625" w:history="1">
        <w:r w:rsidR="00BB026D" w:rsidRPr="007600C0">
          <w:rPr>
            <w:rStyle w:val="Hyperlink"/>
            <w:rFonts w:ascii="Times New Roman" w:hAnsi="Times New Roman"/>
            <w:noProof/>
            <w:color w:val="auto"/>
          </w:rPr>
          <w:t xml:space="preserve">3.8. Pasākumu ietekme uz </w:t>
        </w:r>
        <w:r w:rsidR="00BB026D" w:rsidRPr="007600C0">
          <w:rPr>
            <w:rStyle w:val="Hyperlink"/>
            <w:rFonts w:ascii="Times New Roman" w:hAnsi="Times New Roman"/>
            <w:noProof/>
            <w:color w:val="auto"/>
            <w:lang w:eastAsia="lv-LV"/>
          </w:rPr>
          <w:t>pārvaldes iestāžu funkcijām un cilvēkresursiem</w:t>
        </w:r>
        <w:r w:rsidR="00BB026D" w:rsidRPr="007600C0">
          <w:rPr>
            <w:noProof/>
            <w:webHidden/>
          </w:rPr>
          <w:tab/>
        </w:r>
        <w:r w:rsidR="007A0354" w:rsidRPr="007600C0">
          <w:rPr>
            <w:noProof/>
            <w:webHidden/>
          </w:rPr>
          <w:t>25</w:t>
        </w:r>
      </w:hyperlink>
    </w:p>
    <w:p w:rsidR="00BB026D" w:rsidRPr="007600C0" w:rsidRDefault="009837B5" w:rsidP="007600C0">
      <w:pPr>
        <w:pStyle w:val="TOC2"/>
        <w:widowControl w:val="0"/>
        <w:rPr>
          <w:noProof/>
          <w:lang w:eastAsia="lv-LV"/>
        </w:rPr>
      </w:pPr>
      <w:hyperlink w:anchor="_Toc419295626" w:history="1">
        <w:r w:rsidR="00BB026D" w:rsidRPr="007600C0">
          <w:rPr>
            <w:rStyle w:val="Hyperlink"/>
            <w:rFonts w:ascii="Times New Roman" w:hAnsi="Times New Roman"/>
            <w:noProof/>
            <w:color w:val="auto"/>
            <w:lang w:eastAsia="lv-LV"/>
          </w:rPr>
          <w:t xml:space="preserve">3.9. </w:t>
        </w:r>
        <w:r w:rsidR="00BB026D" w:rsidRPr="007600C0">
          <w:rPr>
            <w:rStyle w:val="Hyperlink"/>
            <w:rFonts w:ascii="Times New Roman" w:hAnsi="Times New Roman"/>
            <w:noProof/>
            <w:color w:val="auto"/>
          </w:rPr>
          <w:t xml:space="preserve">Pasākumu </w:t>
        </w:r>
        <w:r w:rsidR="00BB026D" w:rsidRPr="007600C0">
          <w:rPr>
            <w:rStyle w:val="Hyperlink"/>
            <w:rFonts w:ascii="Times New Roman" w:hAnsi="Times New Roman"/>
            <w:noProof/>
            <w:color w:val="auto"/>
            <w:lang w:eastAsia="lv-LV"/>
          </w:rPr>
          <w:t>ietekme uz valsts un pašvaldību informācijas sistēmām un ar to saistīto papildu finansējumu, kas nepieciešams izmaiņu nodrošināšanai informācijas sistēmās</w:t>
        </w:r>
        <w:r w:rsidR="00BB026D" w:rsidRPr="007600C0">
          <w:rPr>
            <w:noProof/>
            <w:webHidden/>
          </w:rPr>
          <w:tab/>
        </w:r>
        <w:r w:rsidR="007A0354" w:rsidRPr="007600C0">
          <w:rPr>
            <w:noProof/>
            <w:webHidden/>
          </w:rPr>
          <w:t>25</w:t>
        </w:r>
      </w:hyperlink>
    </w:p>
    <w:p w:rsidR="00BB026D" w:rsidRPr="007600C0" w:rsidRDefault="009837B5" w:rsidP="007600C0">
      <w:pPr>
        <w:pStyle w:val="TOC2"/>
        <w:widowControl w:val="0"/>
        <w:rPr>
          <w:noProof/>
          <w:lang w:eastAsia="lv-LV"/>
        </w:rPr>
      </w:pPr>
      <w:hyperlink w:anchor="_Toc419295627" w:history="1">
        <w:r w:rsidR="00BB026D" w:rsidRPr="007600C0">
          <w:rPr>
            <w:rStyle w:val="Hyperlink"/>
            <w:rFonts w:ascii="Times New Roman" w:hAnsi="Times New Roman"/>
            <w:noProof/>
            <w:color w:val="auto"/>
            <w:lang w:eastAsia="lv-LV"/>
          </w:rPr>
          <w:t xml:space="preserve">3.10. </w:t>
        </w:r>
        <w:r w:rsidR="00BB026D" w:rsidRPr="007600C0">
          <w:rPr>
            <w:rStyle w:val="Hyperlink"/>
            <w:rFonts w:ascii="Times New Roman" w:hAnsi="Times New Roman"/>
            <w:noProof/>
            <w:color w:val="auto"/>
          </w:rPr>
          <w:t xml:space="preserve">Pasākumu </w:t>
        </w:r>
        <w:r w:rsidR="00BB026D" w:rsidRPr="007600C0">
          <w:rPr>
            <w:rStyle w:val="Hyperlink"/>
            <w:rFonts w:ascii="Times New Roman" w:hAnsi="Times New Roman"/>
            <w:noProof/>
            <w:color w:val="auto"/>
            <w:lang w:eastAsia="lv-LV"/>
          </w:rPr>
          <w:t>ietekme uz veselību</w:t>
        </w:r>
        <w:r w:rsidR="00BB026D" w:rsidRPr="007600C0">
          <w:rPr>
            <w:noProof/>
            <w:webHidden/>
          </w:rPr>
          <w:tab/>
        </w:r>
        <w:r w:rsidR="007A0354" w:rsidRPr="007600C0">
          <w:rPr>
            <w:noProof/>
            <w:webHidden/>
          </w:rPr>
          <w:t>25</w:t>
        </w:r>
      </w:hyperlink>
    </w:p>
    <w:p w:rsidR="00BB026D" w:rsidRPr="007600C0" w:rsidRDefault="009837B5" w:rsidP="007600C0">
      <w:pPr>
        <w:pStyle w:val="TOC1"/>
        <w:widowControl w:val="0"/>
        <w:rPr>
          <w:rFonts w:ascii="Calibri" w:hAnsi="Calibri"/>
          <w:b w:val="0"/>
          <w:noProof/>
          <w:sz w:val="18"/>
          <w:szCs w:val="22"/>
          <w:lang w:eastAsia="lv-LV"/>
        </w:rPr>
      </w:pPr>
      <w:hyperlink w:anchor="_Toc419295628" w:history="1">
        <w:r w:rsidR="00BB026D" w:rsidRPr="007600C0">
          <w:rPr>
            <w:rStyle w:val="Hyperlink"/>
            <w:noProof/>
            <w:color w:val="auto"/>
            <w:sz w:val="24"/>
          </w:rPr>
          <w:t xml:space="preserve">4. </w:t>
        </w:r>
        <w:r w:rsidR="00BB026D" w:rsidRPr="007600C0">
          <w:rPr>
            <w:rStyle w:val="Hyperlink"/>
            <w:noProof/>
            <w:color w:val="auto"/>
            <w:sz w:val="24"/>
            <w:lang w:eastAsia="lv-LV"/>
          </w:rPr>
          <w:t>SAM atbilstība valsts atbalsta definīcijai un paredzamā negatīvā ietekme uz konkurenci un tirdzniecību</w:t>
        </w:r>
        <w:r w:rsidR="00BB026D" w:rsidRPr="007600C0">
          <w:rPr>
            <w:noProof/>
            <w:webHidden/>
            <w:sz w:val="24"/>
          </w:rPr>
          <w:tab/>
        </w:r>
        <w:r w:rsidR="00BB34DF" w:rsidRPr="007600C0">
          <w:rPr>
            <w:noProof/>
            <w:webHidden/>
            <w:sz w:val="24"/>
          </w:rPr>
          <w:t>2</w:t>
        </w:r>
        <w:r w:rsidR="00A721BB" w:rsidRPr="007600C0">
          <w:rPr>
            <w:noProof/>
            <w:webHidden/>
            <w:sz w:val="24"/>
          </w:rPr>
          <w:t>5</w:t>
        </w:r>
      </w:hyperlink>
    </w:p>
    <w:p w:rsidR="00BB026D" w:rsidRPr="007600C0" w:rsidRDefault="009837B5" w:rsidP="007600C0">
      <w:pPr>
        <w:pStyle w:val="TOC1"/>
        <w:widowControl w:val="0"/>
        <w:rPr>
          <w:rFonts w:ascii="Calibri" w:hAnsi="Calibri"/>
          <w:b w:val="0"/>
          <w:noProof/>
          <w:sz w:val="18"/>
          <w:szCs w:val="22"/>
          <w:lang w:eastAsia="lv-LV"/>
        </w:rPr>
      </w:pPr>
      <w:hyperlink w:anchor="_Toc419295629" w:history="1">
        <w:r w:rsidR="00BB026D" w:rsidRPr="007600C0">
          <w:rPr>
            <w:rStyle w:val="Hyperlink"/>
            <w:noProof/>
            <w:color w:val="auto"/>
            <w:sz w:val="24"/>
          </w:rPr>
          <w:t xml:space="preserve">5. </w:t>
        </w:r>
        <w:r w:rsidR="00BB026D" w:rsidRPr="007600C0">
          <w:rPr>
            <w:rStyle w:val="Hyperlink"/>
            <w:noProof/>
            <w:color w:val="auto"/>
            <w:sz w:val="24"/>
            <w:lang w:eastAsia="lv-LV"/>
          </w:rPr>
          <w:t>SAM ietekmes novērtēšanai nepieciešamo datu noteikšana iekļaušanai MK noteikumos par SAM īstenošanu</w:t>
        </w:r>
        <w:r w:rsidR="00BB026D" w:rsidRPr="007600C0">
          <w:rPr>
            <w:noProof/>
            <w:webHidden/>
            <w:sz w:val="24"/>
          </w:rPr>
          <w:tab/>
        </w:r>
        <w:r w:rsidR="00BB34DF" w:rsidRPr="007600C0">
          <w:rPr>
            <w:noProof/>
            <w:webHidden/>
            <w:sz w:val="24"/>
          </w:rPr>
          <w:t>26</w:t>
        </w:r>
      </w:hyperlink>
    </w:p>
    <w:p w:rsidR="00BB026D" w:rsidRPr="007600C0" w:rsidRDefault="009837B5" w:rsidP="007600C0">
      <w:pPr>
        <w:pStyle w:val="TOC1"/>
        <w:widowControl w:val="0"/>
        <w:tabs>
          <w:tab w:val="left" w:pos="660"/>
        </w:tabs>
        <w:rPr>
          <w:rFonts w:ascii="Calibri" w:hAnsi="Calibri"/>
          <w:b w:val="0"/>
          <w:noProof/>
          <w:sz w:val="18"/>
          <w:szCs w:val="22"/>
          <w:lang w:eastAsia="lv-LV"/>
        </w:rPr>
      </w:pPr>
      <w:hyperlink w:anchor="_Toc419295630" w:history="1">
        <w:r w:rsidR="00BB026D" w:rsidRPr="007600C0">
          <w:rPr>
            <w:rStyle w:val="Hyperlink"/>
            <w:noProof/>
            <w:color w:val="auto"/>
            <w:sz w:val="24"/>
            <w:lang w:eastAsia="lv-LV"/>
          </w:rPr>
          <w:t>6.</w:t>
        </w:r>
        <w:r w:rsidR="00BB026D" w:rsidRPr="007600C0">
          <w:rPr>
            <w:rFonts w:ascii="Calibri" w:hAnsi="Calibri"/>
            <w:b w:val="0"/>
            <w:noProof/>
            <w:sz w:val="18"/>
            <w:szCs w:val="22"/>
            <w:lang w:eastAsia="lv-LV"/>
          </w:rPr>
          <w:tab/>
        </w:r>
        <w:r w:rsidR="00BB026D" w:rsidRPr="007600C0">
          <w:rPr>
            <w:rStyle w:val="Hyperlink"/>
            <w:noProof/>
            <w:color w:val="auto"/>
            <w:sz w:val="24"/>
            <w:lang w:eastAsia="lv-LV"/>
          </w:rPr>
          <w:t>ES stratēģijas Baltijas jūras reģionam (ESSBJR) projektu finansēšanas iespējas SAM</w:t>
        </w:r>
        <w:r w:rsidR="00BB34DF" w:rsidRPr="007600C0">
          <w:rPr>
            <w:noProof/>
            <w:webHidden/>
            <w:sz w:val="24"/>
          </w:rPr>
          <w:tab/>
        </w:r>
        <w:r w:rsidR="00BB34DF" w:rsidRPr="007600C0">
          <w:rPr>
            <w:noProof/>
            <w:webHidden/>
            <w:sz w:val="24"/>
          </w:rPr>
          <w:tab/>
          <w:t>26</w:t>
        </w:r>
      </w:hyperlink>
    </w:p>
    <w:p w:rsidR="00A666DF" w:rsidRPr="006A0CA3" w:rsidRDefault="00A666DF" w:rsidP="007600C0">
      <w:pPr>
        <w:widowControl w:val="0"/>
        <w:tabs>
          <w:tab w:val="left" w:leader="dot" w:pos="8505"/>
        </w:tabs>
      </w:pPr>
      <w:r w:rsidRPr="007600C0">
        <w:rPr>
          <w:b/>
          <w:bCs/>
        </w:rPr>
        <w:fldChar w:fldCharType="end"/>
      </w:r>
    </w:p>
    <w:p w:rsidR="009C5D24" w:rsidRPr="00E334D5" w:rsidRDefault="009C5D24" w:rsidP="007600C0">
      <w:pPr>
        <w:pStyle w:val="Heading1"/>
        <w:widowControl w:val="0"/>
        <w:ind w:left="1440"/>
        <w:rPr>
          <w:rFonts w:ascii="Times New Roman" w:hAnsi="Times New Roman"/>
        </w:rPr>
      </w:pPr>
      <w:r w:rsidRPr="00E334D5">
        <w:rPr>
          <w:rFonts w:ascii="Times New Roman" w:hAnsi="Times New Roman"/>
        </w:rPr>
        <w:br w:type="page"/>
      </w:r>
    </w:p>
    <w:p w:rsidR="00892B1E" w:rsidRPr="00E334D5" w:rsidRDefault="00A666DF" w:rsidP="002E6310">
      <w:pPr>
        <w:pStyle w:val="Heading1"/>
        <w:widowControl w:val="0"/>
        <w:spacing w:before="0" w:after="0"/>
        <w:ind w:firstLine="720"/>
        <w:rPr>
          <w:rFonts w:ascii="Times New Roman" w:hAnsi="Times New Roman"/>
          <w:sz w:val="24"/>
          <w:szCs w:val="24"/>
        </w:rPr>
      </w:pPr>
      <w:bookmarkStart w:id="1" w:name="_Toc417375062"/>
      <w:bookmarkStart w:id="2" w:name="_Toc419295616"/>
      <w:bookmarkStart w:id="3" w:name="_Toc416861151"/>
      <w:r w:rsidRPr="00E334D5">
        <w:rPr>
          <w:rFonts w:ascii="Times New Roman" w:hAnsi="Times New Roman"/>
          <w:sz w:val="24"/>
          <w:szCs w:val="24"/>
        </w:rPr>
        <w:lastRenderedPageBreak/>
        <w:t xml:space="preserve">1. </w:t>
      </w:r>
      <w:r w:rsidR="00B7349E" w:rsidRPr="00E334D5">
        <w:rPr>
          <w:rFonts w:ascii="Times New Roman" w:hAnsi="Times New Roman"/>
          <w:sz w:val="24"/>
          <w:szCs w:val="24"/>
        </w:rPr>
        <w:t xml:space="preserve">Esošās </w:t>
      </w:r>
      <w:r w:rsidR="00892B1E" w:rsidRPr="00E334D5">
        <w:rPr>
          <w:rFonts w:ascii="Times New Roman" w:hAnsi="Times New Roman"/>
          <w:sz w:val="24"/>
          <w:szCs w:val="24"/>
        </w:rPr>
        <w:t>makroekonomiskās situācijas raksturojums</w:t>
      </w:r>
      <w:bookmarkEnd w:id="1"/>
      <w:bookmarkEnd w:id="2"/>
      <w:r w:rsidR="00892B1E" w:rsidRPr="00E334D5">
        <w:rPr>
          <w:rFonts w:ascii="Times New Roman" w:hAnsi="Times New Roman"/>
          <w:sz w:val="24"/>
          <w:szCs w:val="24"/>
        </w:rPr>
        <w:t xml:space="preserve"> </w:t>
      </w:r>
      <w:bookmarkStart w:id="4" w:name="_Toc416861152"/>
      <w:bookmarkEnd w:id="3"/>
    </w:p>
    <w:p w:rsidR="00B7349E" w:rsidRPr="00D46FB5" w:rsidRDefault="00B7349E" w:rsidP="002E6310">
      <w:pPr>
        <w:pStyle w:val="Heading1"/>
        <w:widowControl w:val="0"/>
        <w:spacing w:before="0" w:after="0"/>
        <w:ind w:left="360"/>
        <w:rPr>
          <w:rFonts w:ascii="Times New Roman" w:hAnsi="Times New Roman"/>
          <w:sz w:val="24"/>
          <w:szCs w:val="24"/>
        </w:rPr>
      </w:pPr>
      <w:r w:rsidRPr="00D46FB5">
        <w:rPr>
          <w:rFonts w:ascii="Times New Roman" w:hAnsi="Times New Roman"/>
          <w:sz w:val="24"/>
          <w:szCs w:val="24"/>
        </w:rPr>
        <w:t xml:space="preserve"> </w:t>
      </w:r>
      <w:bookmarkEnd w:id="4"/>
    </w:p>
    <w:p w:rsidR="00B7349E" w:rsidRPr="00D46FB5" w:rsidRDefault="00B7349E" w:rsidP="002E6310">
      <w:pPr>
        <w:widowControl w:val="0"/>
        <w:spacing w:before="120" w:after="120"/>
        <w:ind w:firstLine="720"/>
        <w:rPr>
          <w:rFonts w:eastAsia="Calibri"/>
          <w:szCs w:val="24"/>
        </w:rPr>
      </w:pPr>
      <w:r w:rsidRPr="00B64D66">
        <w:rPr>
          <w:rFonts w:eastAsia="Calibri"/>
          <w:szCs w:val="24"/>
        </w:rPr>
        <w:t xml:space="preserve">Šobrīd Latvijas tautsaimniecības produktivitātes līmenis ir viens no zemākajiem </w:t>
      </w:r>
      <w:r w:rsidR="00A85831" w:rsidRPr="00B64D66">
        <w:rPr>
          <w:rFonts w:eastAsia="Calibri"/>
          <w:szCs w:val="24"/>
        </w:rPr>
        <w:t xml:space="preserve">Eiropas Savienībā (turpmāk – </w:t>
      </w:r>
      <w:r w:rsidRPr="00737207">
        <w:rPr>
          <w:rFonts w:eastAsia="Calibri"/>
          <w:szCs w:val="24"/>
        </w:rPr>
        <w:t>ES</w:t>
      </w:r>
      <w:r w:rsidR="00A85831" w:rsidRPr="00737207">
        <w:rPr>
          <w:rFonts w:eastAsia="Calibri"/>
          <w:szCs w:val="24"/>
        </w:rPr>
        <w:t>)</w:t>
      </w:r>
      <w:r w:rsidRPr="00057FB2">
        <w:rPr>
          <w:rFonts w:eastAsia="Calibri"/>
          <w:szCs w:val="24"/>
        </w:rPr>
        <w:t>, Latvijas ekonomiskās priekšrocības ir zemo ienākumu nozarēs – eksporta struktūrā pārsv</w:t>
      </w:r>
      <w:r w:rsidRPr="00AB3047">
        <w:rPr>
          <w:rFonts w:eastAsia="Calibri"/>
          <w:szCs w:val="24"/>
        </w:rPr>
        <w:t>arā ir zemo vai vidēji zemo tehnoloģiju nozaru produkcija</w:t>
      </w:r>
      <w:r w:rsidR="004007A1" w:rsidRPr="00AB3047">
        <w:rPr>
          <w:rFonts w:eastAsia="Calibri"/>
          <w:szCs w:val="24"/>
        </w:rPr>
        <w:t xml:space="preserve">, kuru </w:t>
      </w:r>
      <w:r w:rsidRPr="00D930FF">
        <w:rPr>
          <w:rFonts w:eastAsia="Calibri"/>
          <w:szCs w:val="24"/>
        </w:rPr>
        <w:t>ienesīgums ir zems. Latvijas tautsaimniecības konkurētspējas priekšrocības ir lētais darbaspēks – darbaspēka izmaksas ir ievērojami zemākas nekā ES</w:t>
      </w:r>
      <w:r w:rsidR="00A67133" w:rsidRPr="00FA6557">
        <w:rPr>
          <w:rFonts w:eastAsia="Calibri"/>
          <w:szCs w:val="24"/>
        </w:rPr>
        <w:t>-</w:t>
      </w:r>
      <w:r w:rsidRPr="00E841FF">
        <w:rPr>
          <w:rFonts w:eastAsia="Calibri"/>
          <w:szCs w:val="24"/>
        </w:rPr>
        <w:t>15</w:t>
      </w:r>
      <w:r w:rsidR="00A67133" w:rsidRPr="006A0CA3">
        <w:rPr>
          <w:rFonts w:eastAsia="Calibri"/>
          <w:szCs w:val="24"/>
          <w:vertAlign w:val="superscript"/>
        </w:rPr>
        <w:footnoteReference w:id="1"/>
      </w:r>
      <w:r w:rsidRPr="006A0CA3">
        <w:rPr>
          <w:rFonts w:eastAsia="Calibri"/>
          <w:szCs w:val="24"/>
        </w:rPr>
        <w:t xml:space="preserve"> dalībvalstīs. Gan lētais darbaspēks, gan salīdzinoši augstā rentabilitāte nerada stimulus</w:t>
      </w:r>
      <w:r w:rsidR="004007A1" w:rsidRPr="00E334D5">
        <w:rPr>
          <w:rFonts w:eastAsia="Calibri"/>
          <w:szCs w:val="24"/>
        </w:rPr>
        <w:t xml:space="preserve"> ilgtspējīgai tautsaimniecības attīstībai –</w:t>
      </w:r>
      <w:r w:rsidRPr="00E334D5">
        <w:rPr>
          <w:rFonts w:eastAsia="Calibri"/>
          <w:szCs w:val="24"/>
        </w:rPr>
        <w:t xml:space="preserve"> uzņēmējdarbības modeļa maiņai un citu konkurētspējas priekšrocību radīšanai. Brīva darbaspēka kustības apstākļos ilgstoši uzturēt zemas darbaspēka izmaksas nebūs i</w:t>
      </w:r>
      <w:r w:rsidRPr="00D46FB5">
        <w:rPr>
          <w:rFonts w:eastAsia="Calibri"/>
          <w:szCs w:val="24"/>
        </w:rPr>
        <w:t>espējams, līdz ar to jārada stimuli jaunu konkurētspējas priekšrocību iegūšanai.</w:t>
      </w:r>
    </w:p>
    <w:p w:rsidR="00B7349E" w:rsidRPr="00A71EDD" w:rsidRDefault="00B7349E" w:rsidP="002E6310">
      <w:pPr>
        <w:widowControl w:val="0"/>
        <w:spacing w:before="120" w:after="120"/>
        <w:ind w:firstLine="720"/>
        <w:rPr>
          <w:rFonts w:eastAsia="Calibri"/>
          <w:szCs w:val="24"/>
        </w:rPr>
      </w:pPr>
      <w:r w:rsidRPr="00B64D66">
        <w:rPr>
          <w:rFonts w:eastAsia="Calibri"/>
          <w:szCs w:val="24"/>
        </w:rPr>
        <w:t>Viens no Latvijas konkurētspējas un ekonomisk</w:t>
      </w:r>
      <w:r w:rsidR="00C355A1" w:rsidRPr="00B64D66">
        <w:rPr>
          <w:rFonts w:eastAsia="Calibri"/>
          <w:szCs w:val="24"/>
        </w:rPr>
        <w:t>ās attīstības izaicinājumiem ir</w:t>
      </w:r>
      <w:r w:rsidRPr="00737207">
        <w:rPr>
          <w:rFonts w:eastAsia="Calibri"/>
          <w:szCs w:val="24"/>
        </w:rPr>
        <w:t xml:space="preserve"> zems tautsaimniecības ražīguma līmenis. Saskaņā ar EUROSTAT pieejamo informāciju darbaspēka produk</w:t>
      </w:r>
      <w:r w:rsidRPr="00057FB2">
        <w:rPr>
          <w:rFonts w:eastAsia="Calibri"/>
          <w:szCs w:val="24"/>
        </w:rPr>
        <w:t xml:space="preserve">tivitāte uz vienu nostrādāto stundu periodā no 2004. līdz 2013.gadam Latvijā ir pieaugusi par 65,8%. Vienlaikus 2014.gadā Latvija vēl joprojām ieņēma vienu no pēdējām vietām ES darbaspēka produktivitātē. ES dalībvalstu vidējais rādītājs ir 32 </w:t>
      </w:r>
      <w:r w:rsidR="001B7EAA" w:rsidRPr="00AB3047">
        <w:rPr>
          <w:rFonts w:eastAsia="Calibri"/>
          <w:szCs w:val="24"/>
        </w:rPr>
        <w:t>EUR</w:t>
      </w:r>
      <w:r w:rsidRPr="00AB3047">
        <w:rPr>
          <w:rFonts w:eastAsia="Calibri"/>
          <w:szCs w:val="24"/>
        </w:rPr>
        <w:t xml:space="preserve"> uz vienu </w:t>
      </w:r>
      <w:r w:rsidRPr="00D930FF">
        <w:rPr>
          <w:rFonts w:eastAsia="Calibri"/>
          <w:szCs w:val="24"/>
        </w:rPr>
        <w:t xml:space="preserve">nostrādāto stundu, kamēr Latvijā tas ir bijis 8,4 </w:t>
      </w:r>
      <w:r w:rsidR="001B7EAA" w:rsidRPr="00FA6557">
        <w:rPr>
          <w:rFonts w:eastAsia="Calibri"/>
          <w:szCs w:val="24"/>
        </w:rPr>
        <w:t>EUR</w:t>
      </w:r>
      <w:r w:rsidRPr="00E841FF">
        <w:rPr>
          <w:rFonts w:eastAsia="Calibri"/>
          <w:szCs w:val="24"/>
        </w:rPr>
        <w:t xml:space="preserve"> (</w:t>
      </w:r>
      <w:r w:rsidR="00F827A5" w:rsidRPr="00A71EDD">
        <w:rPr>
          <w:rFonts w:eastAsia="Calibri"/>
          <w:szCs w:val="24"/>
        </w:rPr>
        <w:t>1.1.att.</w:t>
      </w:r>
      <w:r w:rsidRPr="00A71EDD">
        <w:rPr>
          <w:rFonts w:eastAsia="Calibri"/>
          <w:szCs w:val="24"/>
        </w:rPr>
        <w:t>).</w:t>
      </w:r>
    </w:p>
    <w:p w:rsidR="00B7349E" w:rsidRPr="00A71EDD" w:rsidRDefault="00B7349E" w:rsidP="002E6310">
      <w:pPr>
        <w:widowControl w:val="0"/>
        <w:autoSpaceDE w:val="0"/>
        <w:autoSpaceDN w:val="0"/>
        <w:adjustRightInd w:val="0"/>
        <w:ind w:firstLine="426"/>
        <w:rPr>
          <w:iCs/>
          <w:color w:val="000000"/>
          <w:szCs w:val="24"/>
          <w:lang w:eastAsia="lv-LV"/>
        </w:rPr>
      </w:pPr>
    </w:p>
    <w:p w:rsidR="00D04924" w:rsidRPr="00093ECF" w:rsidRDefault="00F827A5" w:rsidP="002E6310">
      <w:pPr>
        <w:pStyle w:val="Caption"/>
        <w:keepNext/>
        <w:widowControl w:val="0"/>
        <w:ind w:right="424" w:firstLine="426"/>
        <w:jc w:val="right"/>
        <w:rPr>
          <w:b w:val="0"/>
        </w:rPr>
      </w:pPr>
      <w:r w:rsidRPr="001A2BF8">
        <w:t xml:space="preserve">1.1.attēls </w:t>
      </w:r>
      <w:r w:rsidRPr="00093ECF">
        <w:rPr>
          <w:b w:val="0"/>
        </w:rPr>
        <w:t xml:space="preserve">Darba spēka produktivitāte uz vienu </w:t>
      </w:r>
    </w:p>
    <w:p w:rsidR="00F827A5" w:rsidRPr="00E0406F" w:rsidRDefault="00F827A5" w:rsidP="002E6310">
      <w:pPr>
        <w:pStyle w:val="Caption"/>
        <w:keepNext/>
        <w:widowControl w:val="0"/>
        <w:ind w:right="424" w:firstLine="426"/>
        <w:jc w:val="right"/>
      </w:pPr>
      <w:r w:rsidRPr="00093ECF">
        <w:rPr>
          <w:b w:val="0"/>
        </w:rPr>
        <w:t>nostrādāto stundu ES dalībvalstīs 2013. gadā</w:t>
      </w:r>
      <w:r w:rsidRPr="00093ECF">
        <w:rPr>
          <w:rStyle w:val="FootnoteReference"/>
          <w:b w:val="0"/>
        </w:rPr>
        <w:footnoteReference w:id="2"/>
      </w:r>
      <w:r w:rsidRPr="004C6DF6">
        <w:rPr>
          <w:b w:val="0"/>
        </w:rPr>
        <w:t xml:space="preserve">, </w:t>
      </w:r>
      <w:r w:rsidR="001B7EAA" w:rsidRPr="00217318">
        <w:rPr>
          <w:b w:val="0"/>
          <w:i/>
        </w:rPr>
        <w:t>EUR</w:t>
      </w:r>
    </w:p>
    <w:p w:rsidR="00B7349E" w:rsidRPr="006A0CA3" w:rsidRDefault="006A75E3" w:rsidP="002E6310">
      <w:pPr>
        <w:widowControl w:val="0"/>
        <w:autoSpaceDE w:val="0"/>
        <w:autoSpaceDN w:val="0"/>
        <w:adjustRightInd w:val="0"/>
        <w:jc w:val="center"/>
        <w:rPr>
          <w:iCs/>
          <w:color w:val="000000"/>
          <w:szCs w:val="24"/>
          <w:lang w:eastAsia="lv-LV"/>
        </w:rPr>
      </w:pPr>
      <w:r w:rsidRPr="006A0CA3">
        <w:rPr>
          <w:iCs/>
          <w:noProof/>
          <w:color w:val="000000"/>
          <w:szCs w:val="24"/>
          <w:lang w:eastAsia="lv-LV"/>
        </w:rPr>
        <w:drawing>
          <wp:inline distT="0" distB="0" distL="0" distR="0" wp14:anchorId="786F0CE8" wp14:editId="574F0A9A">
            <wp:extent cx="5209540" cy="2755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9540" cy="2755900"/>
                    </a:xfrm>
                    <a:prstGeom prst="rect">
                      <a:avLst/>
                    </a:prstGeom>
                    <a:noFill/>
                  </pic:spPr>
                </pic:pic>
              </a:graphicData>
            </a:graphic>
          </wp:inline>
        </w:drawing>
      </w:r>
    </w:p>
    <w:p w:rsidR="00F827A5" w:rsidRPr="00E334D5" w:rsidRDefault="00F827A5" w:rsidP="002E6310">
      <w:pPr>
        <w:widowControl w:val="0"/>
        <w:spacing w:after="40"/>
        <w:ind w:firstLine="720"/>
        <w:rPr>
          <w:szCs w:val="24"/>
        </w:rPr>
      </w:pPr>
    </w:p>
    <w:p w:rsidR="00036A00" w:rsidRPr="006A0CA3" w:rsidRDefault="00B7349E" w:rsidP="002E6310">
      <w:pPr>
        <w:widowControl w:val="0"/>
        <w:spacing w:before="120" w:after="120"/>
        <w:ind w:firstLine="720"/>
        <w:rPr>
          <w:rFonts w:eastAsia="Calibri"/>
          <w:szCs w:val="24"/>
        </w:rPr>
      </w:pPr>
      <w:r w:rsidRPr="00D46FB5">
        <w:rPr>
          <w:rFonts w:eastAsia="Calibri"/>
          <w:szCs w:val="24"/>
        </w:rPr>
        <w:t>Latvijas tautsaimniecības ilgtspējīgai attīstībai nepieciešams veicināt ekonomikas strukturālās izmaiņas par labu preču un pakalpojumu ar augstāku pievienoto vērtību ražošanai, t.sk. rūpniecības lomas palielināšanai, rūpniecības un pakalpojumu modernizācijai un eksporta sarežģītības attīstībai. Tas ir būtisks priek</w:t>
      </w:r>
      <w:r w:rsidRPr="00B64D66">
        <w:rPr>
          <w:rFonts w:eastAsia="Calibri"/>
          <w:szCs w:val="24"/>
        </w:rPr>
        <w:t>šnosacījums Latvijas tautsaimniecības  konverģencei ar attīstītajām</w:t>
      </w:r>
      <w:r w:rsidR="00301670" w:rsidRPr="00B64D66">
        <w:rPr>
          <w:rFonts w:eastAsia="Calibri"/>
          <w:szCs w:val="24"/>
        </w:rPr>
        <w:t xml:space="preserve"> Eiropas Savienības (turpmāk –</w:t>
      </w:r>
      <w:r w:rsidRPr="00B64D66">
        <w:rPr>
          <w:rFonts w:eastAsia="Calibri"/>
          <w:szCs w:val="24"/>
        </w:rPr>
        <w:t xml:space="preserve"> ES</w:t>
      </w:r>
      <w:r w:rsidR="00301670" w:rsidRPr="00737207">
        <w:rPr>
          <w:rFonts w:eastAsia="Calibri"/>
          <w:szCs w:val="24"/>
        </w:rPr>
        <w:t>)</w:t>
      </w:r>
      <w:r w:rsidRPr="00737207">
        <w:rPr>
          <w:rFonts w:eastAsia="Calibri"/>
          <w:szCs w:val="24"/>
        </w:rPr>
        <w:t xml:space="preserve"> valstīm un iedzīvotāju labklājības pieaugumam, ko var panākt, palielinot Latvijas ekonomikas konkurētspēju, kas balstīta uz inovāciju</w:t>
      </w:r>
      <w:r w:rsidRPr="006A0CA3">
        <w:rPr>
          <w:rFonts w:eastAsia="Calibri"/>
          <w:szCs w:val="24"/>
          <w:vertAlign w:val="superscript"/>
        </w:rPr>
        <w:footnoteReference w:id="3"/>
      </w:r>
      <w:r w:rsidR="00735649" w:rsidRPr="006A0CA3">
        <w:rPr>
          <w:rFonts w:eastAsia="Calibri"/>
          <w:szCs w:val="24"/>
        </w:rPr>
        <w:t xml:space="preserve">. </w:t>
      </w:r>
    </w:p>
    <w:p w:rsidR="00144088" w:rsidRDefault="00144088" w:rsidP="002E6310">
      <w:pPr>
        <w:widowControl w:val="0"/>
        <w:spacing w:before="120" w:after="120"/>
        <w:ind w:firstLine="720"/>
        <w:rPr>
          <w:rFonts w:eastAsia="Calibri"/>
          <w:szCs w:val="24"/>
        </w:rPr>
      </w:pPr>
      <w:r w:rsidRPr="00E334D5">
        <w:rPr>
          <w:rFonts w:eastAsia="Calibri"/>
          <w:szCs w:val="24"/>
        </w:rPr>
        <w:lastRenderedPageBreak/>
        <w:t>Atbilstoši Ekonomikas ministrijas (turpmāk –</w:t>
      </w:r>
      <w:r w:rsidR="00D70E50" w:rsidRPr="00E334D5">
        <w:rPr>
          <w:rFonts w:eastAsia="Calibri"/>
          <w:szCs w:val="24"/>
        </w:rPr>
        <w:t xml:space="preserve"> </w:t>
      </w:r>
      <w:r w:rsidRPr="00E334D5">
        <w:rPr>
          <w:rFonts w:eastAsia="Calibri"/>
          <w:szCs w:val="24"/>
        </w:rPr>
        <w:t>EM) 2014.gada decembra sagatavotajam "Ziņojums par Latvijas tautsaimniecības attīstību", Latvijas eksporta izaugsmes tempi 2010.-2012. gados bija ļoti strauji. 2011. gadā Latvijas preču eksports faktiskajās cenās pieauga par 27,</w:t>
      </w:r>
      <w:r w:rsidRPr="00D46FB5">
        <w:rPr>
          <w:rFonts w:eastAsia="Calibri"/>
          <w:szCs w:val="24"/>
        </w:rPr>
        <w:t>8%, bet 2012. gadā – par 15,7% (salīdzināmās cenās – attiecīgi par 13,9% un 11,5%). Ievērojami samazinoties ārējam pieprasījumam, kopš 2013. gada preču eksporta tempi ir ievērojami zemāki, tomēr tie joprojām saglabājas pozitīvi. 2013. gadā preču eksports p</w:t>
      </w:r>
      <w:r w:rsidRPr="00B64D66">
        <w:rPr>
          <w:rFonts w:eastAsia="Calibri"/>
          <w:szCs w:val="24"/>
        </w:rPr>
        <w:t>ieauga par 1,5% faktiskajās cenās, bet salīdzināmajās cenās tas saglabājās iepriekšējā gada līmenī. 2014. gada janvārī-novembrī preču eksports, salīdzinot ar 2013. gada vienpadsmit mēnešiem, pieauga par 2,2 procentiem. Latvijas preču imports 2011. gadā fak</w:t>
      </w:r>
      <w:r w:rsidRPr="00737207">
        <w:rPr>
          <w:rFonts w:eastAsia="Calibri"/>
          <w:szCs w:val="24"/>
        </w:rPr>
        <w:t>tiskajās cenās pieauga nedaudz straujāk nekā eksports – par 30,6%, bet 2012. gadā – par 13,9% (salīdzināmajās cenās – attiecīgi par 23,2% un 5,6%). Tāpat kā eksports 2013. gadā Latvijas preču imports faktiskajās cenās pieauga vien par procentu, bet salīdzi</w:t>
      </w:r>
      <w:r w:rsidRPr="00057FB2">
        <w:rPr>
          <w:rFonts w:eastAsia="Calibri"/>
          <w:szCs w:val="24"/>
        </w:rPr>
        <w:t>nāmajās cenās – par 0,5%. Savukārt 2014. gada janvārī-novembrī preču imports faktiskajās cenās ir nedaudz samazinājies – par 1,3 procentiem.</w:t>
      </w:r>
    </w:p>
    <w:p w:rsidR="00665E6B" w:rsidRPr="00057FB2" w:rsidRDefault="00665E6B" w:rsidP="002E6310">
      <w:pPr>
        <w:widowControl w:val="0"/>
        <w:spacing w:before="120" w:after="120"/>
        <w:ind w:firstLine="720"/>
        <w:rPr>
          <w:rFonts w:eastAsia="Calibri"/>
          <w:szCs w:val="24"/>
        </w:rPr>
      </w:pPr>
      <w:r>
        <w:rPr>
          <w:rFonts w:eastAsia="Calibri"/>
          <w:szCs w:val="24"/>
        </w:rPr>
        <w:t>Pēc CSP datiem 2103.gadā MVK eksports bija 64%</w:t>
      </w:r>
      <w:r w:rsidR="0060149A">
        <w:rPr>
          <w:rFonts w:eastAsia="Calibri"/>
          <w:szCs w:val="24"/>
        </w:rPr>
        <w:t xml:space="preserve"> (jeb 6,4 miljardi EUR)</w:t>
      </w:r>
      <w:r>
        <w:rPr>
          <w:rFonts w:eastAsia="Calibri"/>
          <w:szCs w:val="24"/>
        </w:rPr>
        <w:t xml:space="preserve">  no komersantu kopējā eksporta</w:t>
      </w:r>
      <w:r w:rsidR="0060149A">
        <w:rPr>
          <w:rFonts w:eastAsia="Calibri"/>
          <w:szCs w:val="24"/>
        </w:rPr>
        <w:t>, kas apliecina nozīmīgo MVK lomu Latvijas tautsaimniecībā.</w:t>
      </w:r>
    </w:p>
    <w:p w:rsidR="00144088" w:rsidRPr="00AB3047" w:rsidRDefault="00144088" w:rsidP="002E6310">
      <w:pPr>
        <w:widowControl w:val="0"/>
        <w:ind w:firstLine="709"/>
        <w:rPr>
          <w:szCs w:val="24"/>
        </w:rPr>
      </w:pPr>
    </w:p>
    <w:p w:rsidR="00144088" w:rsidRPr="00D930FF" w:rsidRDefault="00144088" w:rsidP="002E6310">
      <w:pPr>
        <w:widowControl w:val="0"/>
        <w:ind w:right="1700" w:firstLine="709"/>
        <w:jc w:val="right"/>
        <w:rPr>
          <w:rFonts w:eastAsia="Arial Unicode MS" w:cs="Arial Unicode MS"/>
          <w:sz w:val="20"/>
        </w:rPr>
      </w:pPr>
      <w:r w:rsidRPr="00D930FF">
        <w:rPr>
          <w:rFonts w:eastAsia="Arial Unicode MS" w:cs="Arial Unicode MS"/>
          <w:b/>
          <w:sz w:val="20"/>
        </w:rPr>
        <w:t>1.</w:t>
      </w:r>
      <w:r w:rsidR="00391995">
        <w:rPr>
          <w:rFonts w:eastAsia="Arial Unicode MS" w:cs="Arial Unicode MS"/>
          <w:b/>
          <w:sz w:val="20"/>
        </w:rPr>
        <w:t>2</w:t>
      </w:r>
      <w:r w:rsidRPr="00D930FF">
        <w:rPr>
          <w:rFonts w:eastAsia="Arial Unicode MS" w:cs="Arial Unicode MS"/>
          <w:b/>
          <w:sz w:val="20"/>
        </w:rPr>
        <w:t>.attēls.</w:t>
      </w:r>
      <w:r w:rsidRPr="00D930FF">
        <w:rPr>
          <w:rFonts w:eastAsia="Arial Unicode MS" w:cs="Arial Unicode MS"/>
          <w:sz w:val="20"/>
        </w:rPr>
        <w:t xml:space="preserve"> Latvijas preču eksports, imports un</w:t>
      </w:r>
    </w:p>
    <w:p w:rsidR="00144088" w:rsidRPr="00FA6557" w:rsidRDefault="00144088" w:rsidP="002E6310">
      <w:pPr>
        <w:widowControl w:val="0"/>
        <w:ind w:right="1700" w:firstLine="709"/>
        <w:jc w:val="right"/>
        <w:rPr>
          <w:b/>
          <w:sz w:val="20"/>
        </w:rPr>
      </w:pPr>
      <w:r w:rsidRPr="00FA6557">
        <w:rPr>
          <w:rFonts w:eastAsia="Arial Unicode MS" w:cs="Arial Unicode MS"/>
          <w:sz w:val="20"/>
        </w:rPr>
        <w:t xml:space="preserve"> tirdzniecības deficīts (mljrd. eiro un procenti)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742"/>
      </w:tblGrid>
      <w:tr w:rsidR="00144088" w:rsidRPr="001A1BC7" w:rsidTr="00D80757">
        <w:trPr>
          <w:jc w:val="center"/>
        </w:trPr>
        <w:tc>
          <w:tcPr>
            <w:tcW w:w="5637" w:type="dxa"/>
            <w:tcBorders>
              <w:bottom w:val="nil"/>
            </w:tcBorders>
            <w:shd w:val="clear" w:color="auto" w:fill="auto"/>
          </w:tcPr>
          <w:p w:rsidR="00144088" w:rsidRPr="00E841FF" w:rsidRDefault="00144088" w:rsidP="002E6310">
            <w:pPr>
              <w:widowControl w:val="0"/>
              <w:spacing w:before="40" w:after="40"/>
              <w:jc w:val="center"/>
              <w:rPr>
                <w:b/>
                <w:bCs/>
                <w:sz w:val="18"/>
                <w:szCs w:val="18"/>
              </w:rPr>
            </w:pPr>
          </w:p>
        </w:tc>
      </w:tr>
      <w:tr w:rsidR="00144088" w:rsidRPr="001A1BC7" w:rsidTr="00D80757">
        <w:trPr>
          <w:jc w:val="center"/>
        </w:trPr>
        <w:tc>
          <w:tcPr>
            <w:tcW w:w="5637" w:type="dxa"/>
            <w:tcBorders>
              <w:top w:val="nil"/>
            </w:tcBorders>
            <w:shd w:val="clear" w:color="auto" w:fill="auto"/>
          </w:tcPr>
          <w:p w:rsidR="00144088" w:rsidRPr="006A0CA3" w:rsidRDefault="006A75E3" w:rsidP="002E6310">
            <w:pPr>
              <w:widowControl w:val="0"/>
              <w:spacing w:before="40" w:after="40"/>
              <w:jc w:val="center"/>
              <w:rPr>
                <w:rFonts w:ascii="Garamond" w:hAnsi="Garamond"/>
                <w:b/>
                <w:color w:val="000000"/>
                <w:sz w:val="18"/>
                <w:szCs w:val="18"/>
              </w:rPr>
            </w:pPr>
            <w:r w:rsidRPr="00875D04">
              <w:rPr>
                <w:rFonts w:ascii="Garamond" w:hAnsi="Garamond"/>
                <w:b/>
                <w:noProof/>
                <w:sz w:val="34"/>
                <w:lang w:eastAsia="lv-LV"/>
              </w:rPr>
              <w:drawing>
                <wp:inline distT="0" distB="0" distL="0" distR="0" wp14:anchorId="0E56AC8F" wp14:editId="2E26B208">
                  <wp:extent cx="3509010" cy="2158365"/>
                  <wp:effectExtent l="0" t="0" r="0" b="0"/>
                  <wp:docPr id="35"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144088" w:rsidRPr="001A1BC7" w:rsidRDefault="00144088" w:rsidP="002E6310">
      <w:pPr>
        <w:widowControl w:val="0"/>
        <w:ind w:firstLine="709"/>
        <w:rPr>
          <w:szCs w:val="24"/>
        </w:rPr>
      </w:pPr>
    </w:p>
    <w:p w:rsidR="00144088" w:rsidRPr="006A0CA3" w:rsidRDefault="00144088" w:rsidP="002E6310">
      <w:pPr>
        <w:widowControl w:val="0"/>
        <w:spacing w:before="120" w:after="120"/>
        <w:ind w:firstLine="720"/>
        <w:rPr>
          <w:rFonts w:eastAsia="Calibri"/>
          <w:szCs w:val="24"/>
        </w:rPr>
      </w:pPr>
      <w:r w:rsidRPr="001A1BC7">
        <w:rPr>
          <w:rFonts w:eastAsia="Calibri"/>
          <w:szCs w:val="24"/>
        </w:rPr>
        <w:t>Pēckrīzes periodā – 2010.-2011. gadā Latvijas eksporta uz ES valstīm attīstību noteica vienlīdz Latvijas uzņēmumu konkurētspējas pieaugums un stabils ārējais pieprasījums. 2012.-2013. gadā, pasliktinoties izaugsmei ES, ārējais pieprasījums ievērojami samazinājās, un eksporta attīstību galvenokārt noteica konkurētspējas pieaugums. Latvijas ražotāju konkurētspējas uzlabošanos pēc</w:t>
      </w:r>
      <w:r w:rsidR="006672E5" w:rsidRPr="001A1BC7">
        <w:rPr>
          <w:rFonts w:eastAsia="Calibri"/>
          <w:szCs w:val="24"/>
        </w:rPr>
        <w:t xml:space="preserve"> </w:t>
      </w:r>
      <w:r w:rsidRPr="001A1BC7">
        <w:rPr>
          <w:rFonts w:eastAsia="Calibri"/>
          <w:szCs w:val="24"/>
        </w:rPr>
        <w:t>krīzes pamatā noteica darbaspēka izmaksu samazināšanās. Eksporta analīze uz ES valstīm liecina, ka 2014. gadā preču eksporta pieaugumu pamatā noteica ārējais pieprasījums. Savukārt konkurētspējas loma eksporta pieaugumā pakāpeniski mazinās</w:t>
      </w:r>
      <w:r w:rsidRPr="006A0CA3">
        <w:rPr>
          <w:rFonts w:eastAsia="Calibri"/>
          <w:vertAlign w:val="superscript"/>
        </w:rPr>
        <w:footnoteReference w:id="4"/>
      </w:r>
      <w:r w:rsidR="00735649" w:rsidRPr="006A0CA3">
        <w:rPr>
          <w:rFonts w:eastAsia="Calibri"/>
          <w:szCs w:val="24"/>
        </w:rPr>
        <w:t>.</w:t>
      </w:r>
    </w:p>
    <w:p w:rsidR="00144088" w:rsidRDefault="00144088" w:rsidP="002E6310">
      <w:pPr>
        <w:widowControl w:val="0"/>
        <w:spacing w:before="120" w:after="120"/>
        <w:ind w:firstLine="720"/>
        <w:rPr>
          <w:rFonts w:eastAsia="Calibri"/>
          <w:szCs w:val="24"/>
        </w:rPr>
      </w:pPr>
      <w:r w:rsidRPr="00E334D5">
        <w:rPr>
          <w:rFonts w:eastAsia="Calibri"/>
          <w:szCs w:val="24"/>
        </w:rPr>
        <w:t>Pēdējo gadu laikā uzlabojas arī Latvijas preču eksporta diversifikācijas pakāpe. Straujas izaugsmes gados eksporta izaugsmē domi</w:t>
      </w:r>
      <w:r w:rsidRPr="00D46FB5">
        <w:rPr>
          <w:rFonts w:eastAsia="Calibri"/>
          <w:szCs w:val="24"/>
        </w:rPr>
        <w:t>nēja dažas lielākās eksporta preču grupas, tādas kā koksne un tās izstrādājumi un metāli. Krīzes laikā eksporta apjomi samazinājās visās preču grupās, tomēr straujāk saruka tieši lielāko eksporta grupu apjomi, kas noteica diversifikācijas rādītāja uzlaboša</w:t>
      </w:r>
      <w:r w:rsidRPr="00B64D66">
        <w:rPr>
          <w:rFonts w:eastAsia="Calibri"/>
          <w:szCs w:val="24"/>
        </w:rPr>
        <w:t xml:space="preserve">nos. Savukārt </w:t>
      </w:r>
      <w:r w:rsidR="006205D6" w:rsidRPr="00737207">
        <w:rPr>
          <w:rFonts w:eastAsia="Calibri"/>
          <w:szCs w:val="24"/>
        </w:rPr>
        <w:t xml:space="preserve">periodā </w:t>
      </w:r>
      <w:r w:rsidRPr="00737207">
        <w:rPr>
          <w:rFonts w:eastAsia="Calibri"/>
          <w:szCs w:val="24"/>
        </w:rPr>
        <w:t>pēc</w:t>
      </w:r>
      <w:r w:rsidR="006205D6" w:rsidRPr="00057FB2">
        <w:rPr>
          <w:rFonts w:eastAsia="Calibri"/>
          <w:szCs w:val="24"/>
        </w:rPr>
        <w:t xml:space="preserve"> </w:t>
      </w:r>
      <w:r w:rsidRPr="00057FB2">
        <w:rPr>
          <w:rFonts w:eastAsia="Calibri"/>
          <w:szCs w:val="24"/>
        </w:rPr>
        <w:t>krīzes, atsākoties izaugsmei, eksporta apjomu pieaugumi preču grupu griezumā ir līdzīgāki, kas norāda uz augstāku eksporta diversifikācijas pakāpi. Jāatzīmē, ka Latvijā pēdējos gados šis rādītājs atbilst ES-15 valstu vidējam l</w:t>
      </w:r>
      <w:r w:rsidR="00735649" w:rsidRPr="00AB3047">
        <w:rPr>
          <w:rFonts w:eastAsia="Calibri"/>
          <w:szCs w:val="24"/>
        </w:rPr>
        <w:t>īmenim.</w:t>
      </w:r>
    </w:p>
    <w:p w:rsidR="00B50B6F" w:rsidRDefault="00B50B6F" w:rsidP="002E6310">
      <w:pPr>
        <w:widowControl w:val="0"/>
        <w:spacing w:before="120" w:after="120"/>
        <w:ind w:firstLine="720"/>
        <w:rPr>
          <w:rFonts w:eastAsia="Calibri"/>
          <w:szCs w:val="24"/>
        </w:rPr>
      </w:pPr>
    </w:p>
    <w:p w:rsidR="00B50B6F" w:rsidRDefault="00B50B6F" w:rsidP="002E6310">
      <w:pPr>
        <w:widowControl w:val="0"/>
        <w:spacing w:before="120" w:after="120"/>
        <w:ind w:firstLine="720"/>
        <w:rPr>
          <w:rFonts w:eastAsia="Calibri"/>
          <w:szCs w:val="24"/>
        </w:rPr>
      </w:pPr>
    </w:p>
    <w:p w:rsidR="00B50B6F" w:rsidRDefault="00B50B6F" w:rsidP="002E6310">
      <w:pPr>
        <w:widowControl w:val="0"/>
        <w:spacing w:before="120" w:after="120"/>
        <w:ind w:firstLine="720"/>
        <w:rPr>
          <w:rFonts w:eastAsia="Calibri"/>
          <w:szCs w:val="24"/>
        </w:rPr>
      </w:pPr>
    </w:p>
    <w:p w:rsidR="00B50B6F" w:rsidRPr="00AB3047" w:rsidRDefault="00B50B6F" w:rsidP="002E6310">
      <w:pPr>
        <w:widowControl w:val="0"/>
        <w:spacing w:before="120" w:after="120"/>
        <w:ind w:firstLine="720"/>
        <w:rPr>
          <w:rFonts w:eastAsia="Calibri"/>
          <w:szCs w:val="24"/>
        </w:rPr>
      </w:pPr>
    </w:p>
    <w:p w:rsidR="00144088" w:rsidRPr="00D930FF" w:rsidRDefault="00144088" w:rsidP="002E6310">
      <w:pPr>
        <w:widowControl w:val="0"/>
        <w:ind w:firstLine="709"/>
        <w:jc w:val="right"/>
        <w:rPr>
          <w:rFonts w:eastAsia="Arial Unicode MS" w:cs="Arial Unicode MS"/>
          <w:b/>
          <w:sz w:val="22"/>
          <w:szCs w:val="18"/>
        </w:rPr>
      </w:pPr>
    </w:p>
    <w:p w:rsidR="00144088" w:rsidRPr="00FA6557" w:rsidRDefault="00144088" w:rsidP="002E6310">
      <w:pPr>
        <w:widowControl w:val="0"/>
        <w:ind w:right="566" w:firstLine="709"/>
        <w:jc w:val="right"/>
        <w:rPr>
          <w:rFonts w:eastAsia="Arial Unicode MS" w:cs="Arial Unicode MS"/>
          <w:sz w:val="20"/>
          <w:szCs w:val="18"/>
        </w:rPr>
      </w:pPr>
      <w:r w:rsidRPr="00FA6557">
        <w:rPr>
          <w:rFonts w:eastAsia="Arial Unicode MS" w:cs="Arial Unicode MS"/>
          <w:b/>
          <w:sz w:val="20"/>
          <w:szCs w:val="18"/>
        </w:rPr>
        <w:t>1.</w:t>
      </w:r>
      <w:r w:rsidR="00391995">
        <w:rPr>
          <w:rFonts w:eastAsia="Arial Unicode MS" w:cs="Arial Unicode MS"/>
          <w:b/>
          <w:sz w:val="20"/>
          <w:szCs w:val="18"/>
        </w:rPr>
        <w:t>3</w:t>
      </w:r>
      <w:r w:rsidRPr="00FA6557">
        <w:rPr>
          <w:rFonts w:eastAsia="Arial Unicode MS" w:cs="Arial Unicode MS"/>
          <w:b/>
          <w:sz w:val="20"/>
          <w:szCs w:val="18"/>
        </w:rPr>
        <w:t>.attēls.</w:t>
      </w:r>
      <w:r w:rsidRPr="00FA6557">
        <w:rPr>
          <w:rFonts w:eastAsia="Arial Unicode MS" w:cs="Arial Unicode MS"/>
          <w:sz w:val="20"/>
          <w:szCs w:val="18"/>
        </w:rPr>
        <w:t xml:space="preserve"> Eksporta izmaiņu sadalījums, izmantojot patstāvīgās tirgus </w:t>
      </w:r>
    </w:p>
    <w:p w:rsidR="00144088" w:rsidRPr="00E841FF" w:rsidRDefault="00144088" w:rsidP="002E6310">
      <w:pPr>
        <w:widowControl w:val="0"/>
        <w:ind w:right="566" w:firstLine="709"/>
        <w:jc w:val="right"/>
        <w:rPr>
          <w:sz w:val="22"/>
          <w:szCs w:val="24"/>
        </w:rPr>
      </w:pPr>
      <w:r w:rsidRPr="00E841FF">
        <w:rPr>
          <w:rFonts w:eastAsia="Arial Unicode MS" w:cs="Arial Unicode MS"/>
          <w:sz w:val="20"/>
          <w:szCs w:val="18"/>
        </w:rPr>
        <w:t>daļas analīzi (Latvijas eksporta uz ES valstīm izmaiņu struktūra, procentos)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086"/>
      </w:tblGrid>
      <w:tr w:rsidR="00144088" w:rsidRPr="001A1BC7" w:rsidTr="00D80757">
        <w:trPr>
          <w:jc w:val="center"/>
        </w:trPr>
        <w:tc>
          <w:tcPr>
            <w:tcW w:w="6006" w:type="dxa"/>
            <w:shd w:val="clear" w:color="auto" w:fill="auto"/>
          </w:tcPr>
          <w:p w:rsidR="00144088" w:rsidRPr="006A0CA3" w:rsidRDefault="006A75E3" w:rsidP="002E6310">
            <w:pPr>
              <w:widowControl w:val="0"/>
              <w:spacing w:before="40" w:after="40" w:line="276" w:lineRule="auto"/>
              <w:jc w:val="left"/>
              <w:rPr>
                <w:rFonts w:ascii="Garamond" w:eastAsia="Calibri" w:hAnsi="Garamond"/>
                <w:color w:val="000000"/>
                <w:sz w:val="18"/>
                <w:szCs w:val="18"/>
              </w:rPr>
            </w:pPr>
            <w:r w:rsidRPr="00875D04">
              <w:rPr>
                <w:rFonts w:ascii="Garamond" w:eastAsia="Calibri" w:hAnsi="Garamond"/>
                <w:noProof/>
                <w:color w:val="000000"/>
                <w:sz w:val="28"/>
                <w:szCs w:val="22"/>
                <w:lang w:eastAsia="lv-LV"/>
              </w:rPr>
              <w:drawing>
                <wp:inline distT="0" distB="0" distL="0" distR="0" wp14:anchorId="1D88ACB5" wp14:editId="1F566064">
                  <wp:extent cx="4997450" cy="2700655"/>
                  <wp:effectExtent l="0" t="0" r="0" b="0"/>
                  <wp:docPr id="36"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144088" w:rsidRPr="001A1BC7" w:rsidRDefault="00144088" w:rsidP="002E6310">
      <w:pPr>
        <w:widowControl w:val="0"/>
        <w:ind w:firstLine="709"/>
        <w:rPr>
          <w:szCs w:val="24"/>
        </w:rPr>
      </w:pPr>
    </w:p>
    <w:p w:rsidR="00144088" w:rsidRPr="006A0CA3" w:rsidRDefault="00144088" w:rsidP="002E6310">
      <w:pPr>
        <w:widowControl w:val="0"/>
        <w:spacing w:before="120" w:after="120"/>
        <w:ind w:firstLine="720"/>
        <w:rPr>
          <w:rFonts w:eastAsia="Calibri"/>
          <w:szCs w:val="24"/>
        </w:rPr>
      </w:pPr>
      <w:r w:rsidRPr="001A1BC7">
        <w:rPr>
          <w:rFonts w:eastAsia="Calibri"/>
          <w:szCs w:val="24"/>
        </w:rPr>
        <w:t>Kopējo Latvijas preču eksportu 2013. gadā labvēlīgi ietekmēja neliela tirdzniecības nosacījumu uzlabošanās, eksporta vienības vērtības indekss palielinājās par 1,6%, bet importa vērtība palielinājās par 0,5 procentiem. Savukārt 2014. gada vienpadsmit mēnešos, eksporta cenām sarūkot straujāk nekā importa cenām (attiecīgi par 1,3% un 0,3%), tirdzniecības nosacījumi ir nedaudz pasliktinājušies</w:t>
      </w:r>
      <w:r w:rsidRPr="006A0CA3">
        <w:rPr>
          <w:rFonts w:eastAsia="Calibri"/>
          <w:vertAlign w:val="superscript"/>
        </w:rPr>
        <w:footnoteReference w:id="5"/>
      </w:r>
      <w:r w:rsidRPr="006A0CA3">
        <w:rPr>
          <w:rFonts w:eastAsia="Calibri"/>
          <w:szCs w:val="24"/>
        </w:rPr>
        <w:t>.</w:t>
      </w:r>
    </w:p>
    <w:p w:rsidR="00144088" w:rsidRPr="00E334D5" w:rsidRDefault="00144088" w:rsidP="002E6310">
      <w:pPr>
        <w:widowControl w:val="0"/>
        <w:ind w:firstLine="709"/>
        <w:rPr>
          <w:szCs w:val="24"/>
        </w:rPr>
      </w:pPr>
    </w:p>
    <w:p w:rsidR="00ED13AC" w:rsidRPr="00D46FB5" w:rsidRDefault="00144088" w:rsidP="002E6310">
      <w:pPr>
        <w:widowControl w:val="0"/>
        <w:ind w:right="849" w:firstLine="709"/>
        <w:jc w:val="right"/>
        <w:rPr>
          <w:rFonts w:eastAsia="Arial Unicode MS"/>
          <w:sz w:val="20"/>
          <w:lang w:eastAsia="lv-LV"/>
        </w:rPr>
      </w:pPr>
      <w:r w:rsidRPr="00D46FB5">
        <w:rPr>
          <w:rFonts w:eastAsia="Arial Unicode MS"/>
          <w:b/>
          <w:sz w:val="20"/>
          <w:lang w:eastAsia="lv-LV"/>
        </w:rPr>
        <w:t>1.</w:t>
      </w:r>
      <w:r w:rsidR="00391995">
        <w:rPr>
          <w:rFonts w:eastAsia="Arial Unicode MS"/>
          <w:b/>
          <w:sz w:val="20"/>
          <w:lang w:eastAsia="lv-LV"/>
        </w:rPr>
        <w:t>4</w:t>
      </w:r>
      <w:r w:rsidRPr="00D46FB5">
        <w:rPr>
          <w:rFonts w:eastAsia="Arial Unicode MS"/>
          <w:b/>
          <w:sz w:val="20"/>
          <w:lang w:eastAsia="lv-LV"/>
        </w:rPr>
        <w:t>.attēls.</w:t>
      </w:r>
      <w:r w:rsidRPr="00D46FB5">
        <w:rPr>
          <w:rFonts w:eastAsia="Arial Unicode MS"/>
          <w:sz w:val="20"/>
          <w:lang w:eastAsia="lv-LV"/>
        </w:rPr>
        <w:t xml:space="preserve"> Latvijas preču eksporta diversifikācija</w:t>
      </w:r>
    </w:p>
    <w:p w:rsidR="00ED13AC" w:rsidRPr="00B64D66" w:rsidRDefault="00144088" w:rsidP="002E6310">
      <w:pPr>
        <w:widowControl w:val="0"/>
        <w:ind w:right="849" w:firstLine="709"/>
        <w:jc w:val="right"/>
        <w:rPr>
          <w:rFonts w:eastAsia="Arial Unicode MS"/>
          <w:sz w:val="20"/>
          <w:lang w:eastAsia="lv-LV"/>
        </w:rPr>
      </w:pPr>
      <w:r w:rsidRPr="00B64D66">
        <w:rPr>
          <w:rFonts w:eastAsia="Arial Unicode MS"/>
          <w:sz w:val="20"/>
          <w:lang w:eastAsia="lv-LV"/>
        </w:rPr>
        <w:t xml:space="preserve"> (indekss, aprēķināts, izmantojot KN 2 zīmju klasifikāciju, </w:t>
      </w:r>
    </w:p>
    <w:p w:rsidR="00144088" w:rsidRPr="00737207" w:rsidRDefault="00144088" w:rsidP="002E6310">
      <w:pPr>
        <w:widowControl w:val="0"/>
        <w:ind w:right="849" w:firstLine="709"/>
        <w:jc w:val="right"/>
        <w:rPr>
          <w:sz w:val="20"/>
        </w:rPr>
      </w:pPr>
      <w:r w:rsidRPr="00737207">
        <w:rPr>
          <w:rFonts w:eastAsia="Arial Unicode MS"/>
          <w:sz w:val="20"/>
          <w:lang w:eastAsia="lv-LV"/>
        </w:rPr>
        <w:t>zemāks rādītājs norāda uz augstāku diversifikācijas pakāpi)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299"/>
      </w:tblGrid>
      <w:tr w:rsidR="00144088" w:rsidRPr="001A1BC7" w:rsidTr="00D80757">
        <w:trPr>
          <w:jc w:val="center"/>
        </w:trPr>
        <w:tc>
          <w:tcPr>
            <w:tcW w:w="6951" w:type="dxa"/>
            <w:shd w:val="clear" w:color="auto" w:fill="auto"/>
          </w:tcPr>
          <w:p w:rsidR="00144088" w:rsidRPr="006A0CA3" w:rsidRDefault="006A75E3" w:rsidP="002E6310">
            <w:pPr>
              <w:widowControl w:val="0"/>
              <w:spacing w:before="40" w:after="40" w:line="276" w:lineRule="auto"/>
              <w:jc w:val="left"/>
              <w:rPr>
                <w:rFonts w:ascii="Garamond" w:hAnsi="Garamond"/>
                <w:color w:val="000000"/>
                <w:sz w:val="18"/>
                <w:szCs w:val="18"/>
                <w:lang w:eastAsia="lv-LV"/>
              </w:rPr>
            </w:pPr>
            <w:r w:rsidRPr="00875D04">
              <w:rPr>
                <w:rFonts w:ascii="Garamond" w:hAnsi="Garamond"/>
                <w:noProof/>
                <w:color w:val="000000"/>
                <w:sz w:val="16"/>
                <w:lang w:eastAsia="lv-LV"/>
              </w:rPr>
              <w:drawing>
                <wp:inline distT="0" distB="0" distL="0" distR="0" wp14:anchorId="4FBC9E7D" wp14:editId="12190A2A">
                  <wp:extent cx="4497705" cy="2179955"/>
                  <wp:effectExtent l="0" t="0" r="0" b="0"/>
                  <wp:docPr id="37"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144088" w:rsidRPr="001A1BC7" w:rsidTr="00D80757">
        <w:trPr>
          <w:jc w:val="center"/>
        </w:trPr>
        <w:tc>
          <w:tcPr>
            <w:tcW w:w="6951" w:type="dxa"/>
            <w:shd w:val="clear" w:color="auto" w:fill="auto"/>
          </w:tcPr>
          <w:p w:rsidR="00144088" w:rsidRPr="002E6310" w:rsidRDefault="00144088" w:rsidP="002E6310">
            <w:pPr>
              <w:widowControl w:val="0"/>
              <w:spacing w:before="40" w:after="40" w:line="276" w:lineRule="auto"/>
              <w:jc w:val="left"/>
              <w:rPr>
                <w:rFonts w:ascii="Candara" w:hAnsi="Candara"/>
                <w:color w:val="000000"/>
                <w:sz w:val="20"/>
                <w:lang w:eastAsia="lv-LV"/>
              </w:rPr>
            </w:pPr>
            <w:r w:rsidRPr="001A1BC7">
              <w:rPr>
                <w:rFonts w:ascii="Candara" w:hAnsi="Candara"/>
                <w:sz w:val="20"/>
                <w:lang w:eastAsia="lv-LV"/>
              </w:rPr>
              <w:t>n – Ekonomikas ministrijas novērtējums</w:t>
            </w:r>
          </w:p>
        </w:tc>
      </w:tr>
    </w:tbl>
    <w:p w:rsidR="00144088" w:rsidRPr="001A1BC7" w:rsidRDefault="00144088" w:rsidP="002E6310">
      <w:pPr>
        <w:widowControl w:val="0"/>
        <w:ind w:firstLine="709"/>
        <w:rPr>
          <w:szCs w:val="24"/>
        </w:rPr>
      </w:pPr>
    </w:p>
    <w:p w:rsidR="00144088" w:rsidRPr="001A1BC7" w:rsidRDefault="00144088" w:rsidP="002E6310">
      <w:pPr>
        <w:widowControl w:val="0"/>
        <w:ind w:firstLine="709"/>
        <w:rPr>
          <w:szCs w:val="24"/>
        </w:rPr>
      </w:pPr>
      <w:r w:rsidRPr="001A1BC7">
        <w:rPr>
          <w:szCs w:val="24"/>
        </w:rPr>
        <w:tab/>
      </w:r>
    </w:p>
    <w:p w:rsidR="00144088" w:rsidRPr="006A0CA3" w:rsidRDefault="00144088" w:rsidP="002E6310">
      <w:pPr>
        <w:widowControl w:val="0"/>
        <w:ind w:firstLine="709"/>
        <w:rPr>
          <w:szCs w:val="24"/>
          <w:lang w:eastAsia="lv-LV"/>
        </w:rPr>
      </w:pPr>
      <w:r w:rsidRPr="001A1BC7">
        <w:rPr>
          <w:rFonts w:eastAsia="Calibri"/>
          <w:szCs w:val="24"/>
        </w:rPr>
        <w:t xml:space="preserve">Neraugoties uz zemo kopējo pieprasījumu ārējos tirgos, saskaņā ar </w:t>
      </w:r>
      <w:r w:rsidR="006672E5" w:rsidRPr="001A1BC7">
        <w:rPr>
          <w:rFonts w:eastAsia="Calibri"/>
          <w:szCs w:val="24"/>
        </w:rPr>
        <w:t>Pasaules Tirdzniecības Organizācijas (turpmāk</w:t>
      </w:r>
      <w:r w:rsidR="006205D6" w:rsidRPr="001A1BC7">
        <w:rPr>
          <w:rFonts w:eastAsia="Calibri"/>
          <w:szCs w:val="24"/>
        </w:rPr>
        <w:t xml:space="preserve"> – </w:t>
      </w:r>
      <w:r w:rsidRPr="001A1BC7">
        <w:rPr>
          <w:rFonts w:eastAsia="Calibri"/>
          <w:szCs w:val="24"/>
        </w:rPr>
        <w:t>PTO</w:t>
      </w:r>
      <w:r w:rsidR="006672E5" w:rsidRPr="001A1BC7">
        <w:rPr>
          <w:rFonts w:eastAsia="Calibri"/>
          <w:szCs w:val="24"/>
        </w:rPr>
        <w:t>)</w:t>
      </w:r>
      <w:r w:rsidRPr="001A1BC7">
        <w:rPr>
          <w:rFonts w:eastAsia="Calibri"/>
          <w:szCs w:val="24"/>
        </w:rPr>
        <w:t xml:space="preserve"> operatīvajiem datiem Latvijas eksporta tirgus daļas pasaules importā turpināja augt. Vairāku eiro zonas valstu un Krievijas vājā izaugsme turpina atspoguļoties arī Latvijas eksportā. Tomēr pieprasījuma mazināšanos vairākās galvenajās tirdzniecības partnervalstīs, t.sk. Krievijā, Igaunijā, Somijā un Vācijā, Latvijas eksportētāji joprojām diezgan veiksmīgi kompensēja ar eksporta kāpumu un eksporta tirgus daļu pieaugumu citās Eiropas valstīs (piemēram, Lielbritānijā, Polijā, Lietuvā, Ungārijā un Zviedrijā), kā arī radot jaunus produktus un atrodot tiem citas noieta iespējas Āzijas (Ķīnā, Turcijā,  Izraēlā, Irānā, Pakistānā, Uzbekistānā u.c.), Āfrikas (Mozambikā, Ēģiptē un Lībijā) un Amerikas (ASV un Haiti) tirgos. Latvijas preču eksporta struktūrā pakāpeniski palielinājās tehnoloģiski intensīvāku un augstākas pievienotās vērtības preču eksporta īpatsvars (saskaņā ar Eurostat datiem 2011. gadā – 7.7% no kopējā eksporta; 2014. gada 1. pusgadā – 9.9% no kopējā eksporta). Ilgākā perspektīvā Latvijas eksporta izaugsmes saglabāšanā nozīmīga būs ne tikai konkurētspējas paaugstināšana, kas pašlaik pozitīvi ietekmē Latvijas eksporta tirgus daļu dinamiku, bet arī investīcijām ražošanas izlaides kāpināšanā, jaunu un inovatīvu produktu ražošanā, kā arī jaunu noieta tirgu atrašanā</w:t>
      </w:r>
      <w:r w:rsidRPr="006A0CA3">
        <w:rPr>
          <w:rStyle w:val="FootnoteReference"/>
          <w:szCs w:val="24"/>
          <w:lang w:eastAsia="lv-LV"/>
        </w:rPr>
        <w:footnoteReference w:id="6"/>
      </w:r>
      <w:r w:rsidRPr="006A0CA3">
        <w:rPr>
          <w:szCs w:val="24"/>
          <w:lang w:eastAsia="lv-LV"/>
        </w:rPr>
        <w:t>.</w:t>
      </w:r>
    </w:p>
    <w:p w:rsidR="00144088" w:rsidRPr="00E334D5" w:rsidRDefault="00144088" w:rsidP="002E6310">
      <w:pPr>
        <w:widowControl w:val="0"/>
        <w:spacing w:after="40"/>
        <w:ind w:firstLine="720"/>
        <w:rPr>
          <w:szCs w:val="24"/>
        </w:rPr>
      </w:pPr>
    </w:p>
    <w:p w:rsidR="00036A00" w:rsidRPr="00057FB2" w:rsidRDefault="00036A00" w:rsidP="002E6310">
      <w:pPr>
        <w:widowControl w:val="0"/>
        <w:ind w:firstLine="709"/>
        <w:rPr>
          <w:rFonts w:eastAsia="Calibri"/>
          <w:szCs w:val="24"/>
        </w:rPr>
      </w:pPr>
      <w:r w:rsidRPr="00D46FB5">
        <w:rPr>
          <w:rFonts w:eastAsia="Calibri"/>
          <w:szCs w:val="24"/>
        </w:rPr>
        <w:t>Tautsaimniecības attīstības scenārijā IKP līdz 2020.gadam varētu pieaugt par vairāk nekā 35%, salīdzinot ar 2013.gadu. Liels devums izaugsmē sagaidāms apstrādes rūpniecībai, kur pieauguma tempi būs straujāki nekā vidēji tautsaimniecībā. Sagaidāmie salīdzinoši straujie pieauguma tempi ir galvenokārt balstīti uz produktivitā</w:t>
      </w:r>
      <w:r w:rsidRPr="00B64D66">
        <w:rPr>
          <w:rFonts w:eastAsia="Calibri"/>
          <w:szCs w:val="24"/>
        </w:rPr>
        <w:t>tes kāpumu. Galvenokārt tas attiecas uz apstrādes rūpniecību, kas darbojas atvērtos preču un pakalpojumu tirgos, kur izšķiroša nozīme ir konkurētspējai. Gandrīz 2/3 no visa darbaspēka pieprasījuma pieauguma līdz 2020.gadam veidos trīs nozares – apstrādes r</w:t>
      </w:r>
      <w:r w:rsidRPr="00737207">
        <w:rPr>
          <w:rFonts w:eastAsia="Calibri"/>
          <w:szCs w:val="24"/>
        </w:rPr>
        <w:t>ūpniecība, tirdzniecība un komercpakalpojumi. Apstrādes rūpniecībā, strauji augot ražošanas apjomiem, palielināsies arī pieprasījums pēc darbaspēka. Tomēr, lai vidējā un ilgtermiņā nozare būtu konkurētspējīga, vairāk nekā 3/4 no kopējā nozares pieauguma ir</w:t>
      </w:r>
      <w:r w:rsidRPr="00057FB2">
        <w:rPr>
          <w:rFonts w:eastAsia="Calibri"/>
          <w:szCs w:val="24"/>
        </w:rPr>
        <w:t xml:space="preserve"> jānodrošina produktivitātes kāpumam.</w:t>
      </w:r>
    </w:p>
    <w:p w:rsidR="00036A00" w:rsidRPr="00AB3047" w:rsidRDefault="00036A00" w:rsidP="002E6310">
      <w:pPr>
        <w:widowControl w:val="0"/>
        <w:spacing w:after="40"/>
        <w:rPr>
          <w:rFonts w:eastAsia="Calibri"/>
          <w:szCs w:val="24"/>
        </w:rPr>
      </w:pPr>
    </w:p>
    <w:p w:rsidR="00036A00" w:rsidRPr="00E334D5" w:rsidRDefault="00036A00" w:rsidP="002E6310">
      <w:pPr>
        <w:widowControl w:val="0"/>
        <w:spacing w:after="40"/>
        <w:ind w:firstLine="720"/>
        <w:rPr>
          <w:rFonts w:eastAsia="Calibri"/>
          <w:szCs w:val="24"/>
        </w:rPr>
      </w:pPr>
      <w:r w:rsidRPr="00D930FF">
        <w:rPr>
          <w:rFonts w:eastAsia="Calibri"/>
          <w:szCs w:val="24"/>
        </w:rPr>
        <w:t>N</w:t>
      </w:r>
      <w:r w:rsidR="00E334D5">
        <w:rPr>
          <w:rFonts w:eastAsia="Calibri"/>
          <w:szCs w:val="24"/>
        </w:rPr>
        <w:t>acionālās Industriālās politikas (N</w:t>
      </w:r>
      <w:r w:rsidRPr="00E334D5">
        <w:rPr>
          <w:rFonts w:eastAsia="Calibri"/>
          <w:szCs w:val="24"/>
        </w:rPr>
        <w:t>IP</w:t>
      </w:r>
      <w:r w:rsidR="00E334D5">
        <w:rPr>
          <w:rFonts w:eastAsia="Calibri"/>
          <w:szCs w:val="24"/>
        </w:rPr>
        <w:t>)</w:t>
      </w:r>
      <w:r w:rsidRPr="00E334D5">
        <w:rPr>
          <w:rFonts w:eastAsia="Calibri"/>
          <w:szCs w:val="24"/>
        </w:rPr>
        <w:t xml:space="preserve"> pamatnostādnes 2013.-2020.gadam </w:t>
      </w:r>
      <w:r w:rsidR="00333829" w:rsidRPr="00E334D5">
        <w:rPr>
          <w:rFonts w:eastAsia="Calibri"/>
          <w:szCs w:val="24"/>
        </w:rPr>
        <w:t>(</w:t>
      </w:r>
      <w:r w:rsidRPr="00E334D5">
        <w:rPr>
          <w:rFonts w:eastAsia="Calibri"/>
          <w:szCs w:val="24"/>
        </w:rPr>
        <w:t>Ministru kabinetā apstiprinātas 2013.gada maijā</w:t>
      </w:r>
      <w:r w:rsidR="00333829" w:rsidRPr="00E334D5">
        <w:rPr>
          <w:rFonts w:eastAsia="Calibri"/>
          <w:szCs w:val="24"/>
        </w:rPr>
        <w:t>)</w:t>
      </w:r>
      <w:r w:rsidRPr="00E334D5">
        <w:rPr>
          <w:rFonts w:eastAsia="Calibri"/>
          <w:szCs w:val="24"/>
        </w:rPr>
        <w:t xml:space="preserve"> ietver ekonomikas attīstības analīzi un prognozes, izaugsmi ierobežojošo problēmu identifikāciju un nepieciešamos rīcības virzienus. NIP galvenie mērķi un uzstādījumi ir integrēti arī Nacionālajā attīstības plānā</w:t>
      </w:r>
      <w:r w:rsidR="00E334D5">
        <w:rPr>
          <w:rFonts w:eastAsia="Calibri"/>
          <w:szCs w:val="24"/>
        </w:rPr>
        <w:t xml:space="preserve"> 2014.-2020.gadam</w:t>
      </w:r>
      <w:r w:rsidRPr="00E334D5">
        <w:rPr>
          <w:rFonts w:eastAsia="Calibri"/>
          <w:szCs w:val="24"/>
        </w:rPr>
        <w:t>.</w:t>
      </w:r>
    </w:p>
    <w:p w:rsidR="00036A00" w:rsidRPr="006A0CA3" w:rsidRDefault="00036A00" w:rsidP="002E6310">
      <w:pPr>
        <w:widowControl w:val="0"/>
        <w:ind w:firstLine="720"/>
      </w:pPr>
      <w:r w:rsidRPr="00D46FB5">
        <w:rPr>
          <w:rFonts w:eastAsia="Calibri"/>
          <w:szCs w:val="24"/>
        </w:rPr>
        <w:t>Atjaunojoties ekonomikas izaugsmei pēc dziļās krīzes, Latvijas lielākās eksporta nozares, apstrādes rūpniecības pieauguma tempi bija krietni straujāki nekā kopējā tautsaimni</w:t>
      </w:r>
      <w:r w:rsidRPr="00B64D66">
        <w:rPr>
          <w:rFonts w:eastAsia="Calibri"/>
          <w:szCs w:val="24"/>
        </w:rPr>
        <w:t>ecības izaugsme. Tātad apstrādes rūpniecība pašreizējā situācijā ir galvenais tautsaimniecības izaugsmes virzītājs</w:t>
      </w:r>
      <w:r w:rsidRPr="006A0CA3">
        <w:rPr>
          <w:rStyle w:val="FootnoteReference"/>
        </w:rPr>
        <w:footnoteReference w:id="7"/>
      </w:r>
      <w:r w:rsidRPr="006A0CA3">
        <w:t>.</w:t>
      </w:r>
    </w:p>
    <w:p w:rsidR="00036A00" w:rsidRPr="006A0CA3" w:rsidRDefault="00036A00" w:rsidP="002E6310">
      <w:pPr>
        <w:widowControl w:val="0"/>
        <w:spacing w:after="40"/>
        <w:ind w:firstLine="720"/>
        <w:rPr>
          <w:rFonts w:eastAsia="Calibri"/>
          <w:szCs w:val="24"/>
        </w:rPr>
      </w:pPr>
      <w:r w:rsidRPr="00E334D5">
        <w:rPr>
          <w:rFonts w:eastAsia="Calibri"/>
          <w:szCs w:val="24"/>
        </w:rPr>
        <w:t>Apstrādes rūpniecība ir nozare, kas visciešāk saistīta ar citām tautsaimniecības nozarēm un tā ir viena no galvenajām tautsaimniecības prod</w:t>
      </w:r>
      <w:r w:rsidRPr="00D46FB5">
        <w:rPr>
          <w:rFonts w:eastAsia="Calibri"/>
          <w:szCs w:val="24"/>
        </w:rPr>
        <w:t>uktivitātes pieaugumu virzošajām nozarēm. Papildus tam apstrādes rūpniecība ir nozare, kas kā viena no pirmajām veicina pārplūdes efektus (</w:t>
      </w:r>
      <w:r w:rsidRPr="002E6310">
        <w:rPr>
          <w:rFonts w:eastAsia="Calibri"/>
          <w:i/>
          <w:szCs w:val="24"/>
        </w:rPr>
        <w:t>spillover effects</w:t>
      </w:r>
      <w:r w:rsidRPr="00E334D5">
        <w:rPr>
          <w:rFonts w:eastAsia="Calibri"/>
          <w:szCs w:val="24"/>
        </w:rPr>
        <w:t>) starptautiskā līmenī. To var attiecināt gan uz zināšanām un tehnoloģijām, gan uz ekonomikas kopēji</w:t>
      </w:r>
      <w:r w:rsidRPr="00D46FB5">
        <w:rPr>
          <w:rFonts w:eastAsia="Calibri"/>
          <w:szCs w:val="24"/>
        </w:rPr>
        <w:t>em cikliem. Šī nozare parāda, ka Latvijā ražo ne tikai zemas pievienotās vērtības produkciju, bet arī tehnoloģiski augstus vai inovatīvus produktus</w:t>
      </w:r>
      <w:r w:rsidRPr="006A0CA3">
        <w:rPr>
          <w:rFonts w:eastAsia="Calibri"/>
          <w:szCs w:val="24"/>
          <w:vertAlign w:val="superscript"/>
        </w:rPr>
        <w:footnoteReference w:id="8"/>
      </w:r>
      <w:r w:rsidRPr="006A0CA3">
        <w:rPr>
          <w:rFonts w:eastAsia="Calibri"/>
          <w:szCs w:val="24"/>
        </w:rPr>
        <w:t>.</w:t>
      </w:r>
    </w:p>
    <w:p w:rsidR="00036A00" w:rsidRPr="006A0CA3" w:rsidRDefault="00036A00" w:rsidP="002E6310">
      <w:pPr>
        <w:widowControl w:val="0"/>
        <w:spacing w:after="40"/>
        <w:ind w:firstLine="720"/>
      </w:pPr>
      <w:r w:rsidRPr="00E334D5">
        <w:rPr>
          <w:rFonts w:eastAsia="Calibri"/>
          <w:szCs w:val="24"/>
        </w:rPr>
        <w:t>Analizējot Latvijas tautsaimniecības nozaru struktūru, pēc ievērojama apjomu samazinājuma krīzes laikā, pa</w:t>
      </w:r>
      <w:r w:rsidRPr="00D46FB5">
        <w:rPr>
          <w:rFonts w:eastAsia="Calibri"/>
          <w:szCs w:val="24"/>
        </w:rPr>
        <w:t>teicoties konkurētspējas uzlabojumiem un eksporta iespējām, pirmās atguvās tirgojamās nozares</w:t>
      </w:r>
      <w:r w:rsidRPr="002E6310">
        <w:rPr>
          <w:rFonts w:eastAsia="Calibri"/>
          <w:szCs w:val="24"/>
          <w:vertAlign w:val="superscript"/>
        </w:rPr>
        <w:footnoteReference w:id="9"/>
      </w:r>
      <w:r w:rsidRPr="002E6310">
        <w:rPr>
          <w:rFonts w:eastAsia="Calibri"/>
          <w:szCs w:val="24"/>
          <w:vertAlign w:val="superscript"/>
        </w:rPr>
        <w:t>.</w:t>
      </w:r>
      <w:r w:rsidRPr="006A0CA3">
        <w:rPr>
          <w:rFonts w:eastAsia="Calibri"/>
          <w:szCs w:val="24"/>
        </w:rPr>
        <w:t xml:space="preserve"> Pēc krīzes gados apstrādes rūpniecība bija galvenais tautsaimniecības izaugsmes </w:t>
      </w:r>
      <w:r w:rsidRPr="006A0CA3">
        <w:rPr>
          <w:rFonts w:eastAsia="Calibri"/>
          <w:szCs w:val="24"/>
        </w:rPr>
        <w:lastRenderedPageBreak/>
        <w:t>virzītājs. No 2009.gada līdz 2012.gada beigām ražošanas apjomi apstrādes rūpniec</w:t>
      </w:r>
      <w:r w:rsidRPr="00E334D5">
        <w:rPr>
          <w:rFonts w:eastAsia="Calibri"/>
          <w:szCs w:val="24"/>
        </w:rPr>
        <w:t>ībā pieauga par 24%</w:t>
      </w:r>
      <w:r w:rsidRPr="002E6310">
        <w:rPr>
          <w:rFonts w:eastAsia="Calibri"/>
          <w:szCs w:val="24"/>
          <w:vertAlign w:val="superscript"/>
        </w:rPr>
        <w:footnoteReference w:id="10"/>
      </w:r>
      <w:r w:rsidRPr="006A0CA3">
        <w:rPr>
          <w:rFonts w:eastAsia="Calibri"/>
          <w:szCs w:val="24"/>
        </w:rPr>
        <w:t>. Apstrādes rūpniecībai bija nozīmīgs pienesums jaunu darbavietu radīšanā tautsaimniecībā – 2011. un 2012.gadā nozare nodrošināja gandrīz piektdaļu no visām jaunajām darbavietām</w:t>
      </w:r>
      <w:r w:rsidRPr="002E6310">
        <w:rPr>
          <w:rFonts w:eastAsia="Calibri"/>
          <w:szCs w:val="24"/>
          <w:vertAlign w:val="superscript"/>
        </w:rPr>
        <w:footnoteReference w:id="11"/>
      </w:r>
      <w:r w:rsidRPr="006A0CA3">
        <w:rPr>
          <w:rFonts w:eastAsia="Calibri"/>
          <w:szCs w:val="24"/>
        </w:rPr>
        <w:t>. Eksporta īpatsvars šīs nozares produkcijas realizācijā vidēji ir</w:t>
      </w:r>
      <w:r w:rsidRPr="006A0CA3">
        <w:t xml:space="preserve"> 62%</w:t>
      </w:r>
      <w:r w:rsidRPr="006A0CA3">
        <w:rPr>
          <w:vertAlign w:val="superscript"/>
        </w:rPr>
        <w:footnoteReference w:id="12"/>
      </w:r>
      <w:r w:rsidRPr="006A0CA3">
        <w:t>. Tomēr apstrādes rūpniecības īpatsvars Latvijas tautsaimniecības kopējā pievienotajā vērtībā salīdzinājumā ar Eiropas valstu vidējo rādītāju (20%) ir relatīvi zems, nozare 2014.gadā veidoja 12,2% pievienotās vērtības no kopējās tautsaimniecīb</w:t>
      </w:r>
      <w:r w:rsidRPr="00E334D5">
        <w:t>as struktūras. Nozares īpatsvars ir pakāpeniski samazinājies kopš 2011.gada, kad apstrādes rūpniecības nozare veidoja 13,1% no tautsaimniecības pievienotās vērtības</w:t>
      </w:r>
      <w:r w:rsidRPr="006A0CA3">
        <w:rPr>
          <w:vertAlign w:val="superscript"/>
        </w:rPr>
        <w:footnoteReference w:id="13"/>
      </w:r>
      <w:r w:rsidRPr="006A0CA3">
        <w:t>.</w:t>
      </w:r>
    </w:p>
    <w:p w:rsidR="00036A00" w:rsidRPr="00E334D5" w:rsidRDefault="00036A00" w:rsidP="002E6310">
      <w:pPr>
        <w:widowControl w:val="0"/>
        <w:spacing w:after="40"/>
        <w:ind w:firstLine="720"/>
        <w:rPr>
          <w:szCs w:val="24"/>
        </w:rPr>
      </w:pPr>
    </w:p>
    <w:p w:rsidR="00B7349E" w:rsidRPr="00093ECF" w:rsidRDefault="00B7349E" w:rsidP="002E6310">
      <w:pPr>
        <w:widowControl w:val="0"/>
        <w:ind w:firstLine="709"/>
      </w:pPr>
      <w:r w:rsidRPr="00D46FB5">
        <w:rPr>
          <w:b/>
        </w:rPr>
        <w:t>Eiropas Komisijas publicētajā ES valstu inovācijas rezultātu pārskatā</w:t>
      </w:r>
      <w:r w:rsidRPr="00D46FB5">
        <w:t xml:space="preserve"> </w:t>
      </w:r>
      <w:r w:rsidRPr="00D46FB5">
        <w:rPr>
          <w:i/>
        </w:rPr>
        <w:t>Innovation Union S</w:t>
      </w:r>
      <w:r w:rsidRPr="00B64D66">
        <w:rPr>
          <w:i/>
        </w:rPr>
        <w:t>coreboard</w:t>
      </w:r>
      <w:r w:rsidRPr="00B64D66">
        <w:t xml:space="preserve"> 201</w:t>
      </w:r>
      <w:r w:rsidR="00F1534A" w:rsidRPr="00737207">
        <w:t>5</w:t>
      </w:r>
      <w:r w:rsidRPr="00737207">
        <w:t xml:space="preserve"> (turpmāk – Pārskats), kas sagatavots par 201</w:t>
      </w:r>
      <w:r w:rsidR="00F1534A" w:rsidRPr="00057FB2">
        <w:t>4</w:t>
      </w:r>
      <w:r w:rsidRPr="00057FB2">
        <w:t xml:space="preserve">. gadu, un </w:t>
      </w:r>
      <w:r w:rsidRPr="006D5F32">
        <w:rPr>
          <w:b/>
        </w:rPr>
        <w:t>kurā kopumā tika apsekotas 2</w:t>
      </w:r>
      <w:r w:rsidR="00671488" w:rsidRPr="00AB3047">
        <w:rPr>
          <w:b/>
        </w:rPr>
        <w:t>8</w:t>
      </w:r>
      <w:r w:rsidRPr="00AB3047">
        <w:rPr>
          <w:b/>
        </w:rPr>
        <w:t xml:space="preserve"> ES dalībvalstis, Latvija ierindota 2</w:t>
      </w:r>
      <w:r w:rsidR="00671488" w:rsidRPr="00AB3047">
        <w:rPr>
          <w:b/>
        </w:rPr>
        <w:t>5</w:t>
      </w:r>
      <w:r w:rsidRPr="00AB3047">
        <w:rPr>
          <w:b/>
        </w:rPr>
        <w:t>. vietā</w:t>
      </w:r>
      <w:r w:rsidRPr="00AB3047">
        <w:t xml:space="preserve"> (Igaunija – 1</w:t>
      </w:r>
      <w:r w:rsidR="00671488" w:rsidRPr="00AB3047">
        <w:t>3</w:t>
      </w:r>
      <w:r w:rsidRPr="00AB3047">
        <w:t>, Lietuva – 2</w:t>
      </w:r>
      <w:r w:rsidR="00671488" w:rsidRPr="00AB3047">
        <w:t>5</w:t>
      </w:r>
      <w:r w:rsidRPr="00AB3047">
        <w:t>). Latvija kopā ar Bulgāriju un Rumāniju ir ierindotas pieticīgo inovatoru (Modest</w:t>
      </w:r>
      <w:r w:rsidRPr="00D930FF">
        <w:t xml:space="preserve"> innovators) grupā, jo šo valstu sniegums inovācijas jomā ir zemāks par 50% no vidējā ES līmeņa. Tajā pašā laikā Latvijai Pārskatā ietverto rādītāju vidējais pieaugums gada laikā veido 3,5%, kas ir trešais augstākais rādītājs un ir augstāks par vidēj</w:t>
      </w:r>
      <w:r w:rsidR="007845BB" w:rsidRPr="00FA6557">
        <w:t>o rādītāju</w:t>
      </w:r>
      <w:r w:rsidRPr="00E841FF">
        <w:t xml:space="preserve"> ES (1,6%), kā arī labākais pieticīgo inovatoru grupā. Latvija sniegumu ir uzlabojusi ekonomisko efektu un rezultātu rādītāja indikatoros, kas raksturo nodarbinātību zinātnes jomā un </w:t>
      </w:r>
      <w:r w:rsidRPr="00A71EDD">
        <w:rPr>
          <w:b/>
        </w:rPr>
        <w:t xml:space="preserve">vidēji augsto un augsto tehnoloģiju produktu eksporta </w:t>
      </w:r>
      <w:r w:rsidR="004A1B46" w:rsidRPr="00A71EDD">
        <w:rPr>
          <w:b/>
        </w:rPr>
        <w:t>īpatsvarā</w:t>
      </w:r>
      <w:r w:rsidRPr="00A71EDD">
        <w:t xml:space="preserve">. Savukārt </w:t>
      </w:r>
      <w:r w:rsidRPr="00A71EDD">
        <w:rPr>
          <w:b/>
        </w:rPr>
        <w:t>vislielākais kritums novērojams Pārskata rādītājā – Uzņēmumu investīcijas</w:t>
      </w:r>
      <w:r w:rsidRPr="001A2BF8">
        <w:t>, piemēram, uzņēmumu izdevumi pētniecībai un attīstībai un uzņēmumu izdevumi inovācijai, kas nav pētniecība un attīstība. Zemāks par ES vidējo ir arī indikators, kas raksturo ieņ</w:t>
      </w:r>
      <w:r w:rsidRPr="00093ECF">
        <w:t>ēmumus, kas gūti no licencēm un patentiem ārvalstīs.</w:t>
      </w:r>
    </w:p>
    <w:p w:rsidR="004A1B46" w:rsidRPr="00093ECF" w:rsidRDefault="004A1B46" w:rsidP="002E6310">
      <w:pPr>
        <w:widowControl w:val="0"/>
        <w:ind w:firstLine="567"/>
      </w:pPr>
    </w:p>
    <w:p w:rsidR="00B7349E" w:rsidRPr="00E0406F" w:rsidRDefault="00B7349E" w:rsidP="002E6310">
      <w:pPr>
        <w:widowControl w:val="0"/>
        <w:ind w:firstLine="567"/>
      </w:pPr>
      <w:r w:rsidRPr="00093ECF">
        <w:rPr>
          <w:b/>
        </w:rPr>
        <w:t>Latvijā ir skaitliski neliels augsto tehnoloģiju nozaru īpatsvars</w:t>
      </w:r>
      <w:r w:rsidRPr="00093ECF">
        <w:t>, ko apliecina arī augsto tehnoloģiju preču īpatsvars kopējā eksportā, kas 2013.gadā sastādīj</w:t>
      </w:r>
      <w:r w:rsidR="00F827A5" w:rsidRPr="004C6DF6">
        <w:t>a 8% (ES-28 vidēji 15,3% 2013.g</w:t>
      </w:r>
      <w:r w:rsidRPr="00217318">
        <w:t>adā (</w:t>
      </w:r>
      <w:r w:rsidR="00F827A5" w:rsidRPr="00217318">
        <w:t>1.</w:t>
      </w:r>
      <w:r w:rsidR="00432F46">
        <w:t>5</w:t>
      </w:r>
      <w:r w:rsidR="00F827A5" w:rsidRPr="00217318">
        <w:t>.att</w:t>
      </w:r>
      <w:r w:rsidRPr="00E0406F">
        <w:t>).</w:t>
      </w:r>
    </w:p>
    <w:p w:rsidR="00F827A5" w:rsidRPr="008B3008" w:rsidRDefault="00F827A5" w:rsidP="002E6310">
      <w:pPr>
        <w:pStyle w:val="Caption"/>
        <w:keepNext/>
        <w:widowControl w:val="0"/>
        <w:ind w:left="993"/>
        <w:jc w:val="left"/>
      </w:pPr>
    </w:p>
    <w:p w:rsidR="00D04924" w:rsidRPr="00C2690E" w:rsidRDefault="00F827A5" w:rsidP="002E6310">
      <w:pPr>
        <w:pStyle w:val="Caption"/>
        <w:keepNext/>
        <w:widowControl w:val="0"/>
        <w:ind w:left="993"/>
        <w:jc w:val="right"/>
        <w:rPr>
          <w:b w:val="0"/>
        </w:rPr>
      </w:pPr>
      <w:r w:rsidRPr="00F0079D">
        <w:t>1.</w:t>
      </w:r>
      <w:r w:rsidR="00391995">
        <w:t>5</w:t>
      </w:r>
      <w:r w:rsidRPr="00BF1DDB">
        <w:t xml:space="preserve">.attēls </w:t>
      </w:r>
      <w:r w:rsidRPr="00BF1DDB">
        <w:rPr>
          <w:b w:val="0"/>
        </w:rPr>
        <w:t xml:space="preserve">Ražošanas struktūra pēc pievienotās vērtības </w:t>
      </w:r>
    </w:p>
    <w:p w:rsidR="00F827A5" w:rsidRPr="00567F2D" w:rsidRDefault="00F827A5" w:rsidP="002E6310">
      <w:pPr>
        <w:pStyle w:val="Caption"/>
        <w:keepNext/>
        <w:widowControl w:val="0"/>
        <w:ind w:left="993"/>
        <w:jc w:val="right"/>
      </w:pPr>
      <w:r w:rsidRPr="00567F2D">
        <w:rPr>
          <w:b w:val="0"/>
        </w:rPr>
        <w:t>Latvijā, salīdzinot ar ziemeļvalstu rādītājiem, % (2013.gads)</w:t>
      </w:r>
    </w:p>
    <w:p w:rsidR="00B7349E" w:rsidRPr="006A0CA3" w:rsidRDefault="006A75E3" w:rsidP="002E6310">
      <w:pPr>
        <w:widowControl w:val="0"/>
        <w:jc w:val="center"/>
      </w:pPr>
      <w:r w:rsidRPr="006A75E3">
        <w:rPr>
          <w:noProof/>
          <w:lang w:eastAsia="lv-LV"/>
        </w:rPr>
        <w:drawing>
          <wp:inline distT="0" distB="0" distL="0" distR="0" wp14:anchorId="65A79E2F" wp14:editId="6A6C625D">
            <wp:extent cx="5752465" cy="1605280"/>
            <wp:effectExtent l="0" t="0" r="635" b="0"/>
            <wp:docPr id="38" name="Picture 17" descr="C:\Users\SilinsJ\Pictures\New Picture (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ilinsJ\Pictures\New Picture (62).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2465" cy="1605280"/>
                    </a:xfrm>
                    <a:prstGeom prst="rect">
                      <a:avLst/>
                    </a:prstGeom>
                    <a:noFill/>
                    <a:ln>
                      <a:noFill/>
                    </a:ln>
                  </pic:spPr>
                </pic:pic>
              </a:graphicData>
            </a:graphic>
          </wp:inline>
        </w:drawing>
      </w:r>
    </w:p>
    <w:p w:rsidR="00B7349E" w:rsidRPr="00E334D5" w:rsidRDefault="00B7349E" w:rsidP="002E6310">
      <w:pPr>
        <w:widowControl w:val="0"/>
        <w:ind w:firstLine="567"/>
      </w:pPr>
    </w:p>
    <w:p w:rsidR="00B7349E" w:rsidRPr="00E841FF" w:rsidRDefault="00B7349E" w:rsidP="002E6310">
      <w:pPr>
        <w:widowControl w:val="0"/>
        <w:spacing w:after="40"/>
        <w:ind w:firstLine="720"/>
        <w:rPr>
          <w:szCs w:val="24"/>
        </w:rPr>
      </w:pPr>
      <w:r w:rsidRPr="00D46FB5">
        <w:rPr>
          <w:szCs w:val="24"/>
        </w:rPr>
        <w:t xml:space="preserve">Latvijas mērķis attiecībā uz ieguldījumiem </w:t>
      </w:r>
      <w:r w:rsidR="00CF17E2" w:rsidRPr="00D46FB5">
        <w:rPr>
          <w:szCs w:val="24"/>
        </w:rPr>
        <w:t>pētniecībā un attīstībā (turpmāk –</w:t>
      </w:r>
      <w:r w:rsidRPr="00D46FB5">
        <w:rPr>
          <w:szCs w:val="24"/>
        </w:rPr>
        <w:t>R&amp;D</w:t>
      </w:r>
      <w:r w:rsidR="00CF17E2" w:rsidRPr="00D46FB5">
        <w:rPr>
          <w:szCs w:val="24"/>
        </w:rPr>
        <w:t>)</w:t>
      </w:r>
      <w:r w:rsidRPr="00D46FB5">
        <w:rPr>
          <w:szCs w:val="24"/>
        </w:rPr>
        <w:t xml:space="preserve"> 2020.gadā ir 1,5% no IKP. Saskaņā ar pēdējiem pie</w:t>
      </w:r>
      <w:r w:rsidRPr="00B64D66">
        <w:rPr>
          <w:szCs w:val="24"/>
        </w:rPr>
        <w:t xml:space="preserve">ejamajiem datiem par 2013.gadu Latvijas ieguldījumi R&amp;D sastādīja tikai 0,60% no IKP. </w:t>
      </w:r>
      <w:r w:rsidRPr="00737207">
        <w:rPr>
          <w:b/>
          <w:szCs w:val="24"/>
        </w:rPr>
        <w:t>Pēdējo gadu mērķa rādītāja vājais progress ir skaidrojams, pirmkārt, ar zemo privātā sektora devumu</w:t>
      </w:r>
      <w:r w:rsidRPr="00057FB2">
        <w:rPr>
          <w:szCs w:val="24"/>
        </w:rPr>
        <w:t>, kas ir krietni zemāks nekā pirmskrīzes periodā, un atjaunojoties izau</w:t>
      </w:r>
      <w:r w:rsidRPr="00AB3047">
        <w:rPr>
          <w:szCs w:val="24"/>
        </w:rPr>
        <w:t xml:space="preserve">gsmei praktiski nav palielinājies un, otrkārt, ar nepietiekamo publiskā finansējuma palielināšanos. </w:t>
      </w:r>
      <w:r w:rsidRPr="00D930FF">
        <w:rPr>
          <w:b/>
          <w:szCs w:val="24"/>
        </w:rPr>
        <w:t>Nepietiekamo komersantu ieguldījumu apjomu lielā mērā ietekmē tas, ka Latvijas uzņēmējdarbības struktūru, galvenokārt, veido MVU, kuriem nav kapacitātes inv</w:t>
      </w:r>
      <w:r w:rsidRPr="00FA6557">
        <w:rPr>
          <w:b/>
          <w:szCs w:val="24"/>
        </w:rPr>
        <w:t xml:space="preserve">estēt </w:t>
      </w:r>
      <w:r w:rsidRPr="00FA6557">
        <w:rPr>
          <w:b/>
          <w:szCs w:val="24"/>
        </w:rPr>
        <w:lastRenderedPageBreak/>
        <w:t>R&amp;D</w:t>
      </w:r>
      <w:r w:rsidRPr="00FA6557">
        <w:rPr>
          <w:szCs w:val="24"/>
        </w:rPr>
        <w:t xml:space="preserve">, un vāji attīstīts augsto tehnoloģiju sektors (augsto tehnoloģiju preču īpatsvars kopējā eksportā 2011.gadā sastādīja tikai 6,7%, 2012.gadā 6,3%). Savukārt publiskā finansējumā lielākā daļa ir saistīta ar ārvalstu finanšu instrumentu izmantošanu </w:t>
      </w:r>
      <w:r w:rsidRPr="00E841FF">
        <w:rPr>
          <w:szCs w:val="24"/>
        </w:rPr>
        <w:t xml:space="preserve">(pamatā ES fondu līdzekļu izmantošanu). </w:t>
      </w:r>
    </w:p>
    <w:p w:rsidR="00511DAC" w:rsidRDefault="00B7349E" w:rsidP="002E6310">
      <w:pPr>
        <w:widowControl w:val="0"/>
        <w:spacing w:after="40"/>
        <w:ind w:firstLine="720"/>
        <w:rPr>
          <w:szCs w:val="24"/>
        </w:rPr>
      </w:pPr>
      <w:r w:rsidRPr="00A71EDD">
        <w:rPr>
          <w:szCs w:val="24"/>
        </w:rPr>
        <w:t xml:space="preserve">Pētniecības un inovācijas kapacitātes stiprināšanai uzņēmumos </w:t>
      </w:r>
      <w:r w:rsidR="006672E5" w:rsidRPr="00A71EDD">
        <w:rPr>
          <w:szCs w:val="24"/>
        </w:rPr>
        <w:t>EM</w:t>
      </w:r>
      <w:r w:rsidRPr="00A71EDD">
        <w:rPr>
          <w:szCs w:val="24"/>
        </w:rPr>
        <w:t xml:space="preserve"> sadarbībā ar Latvijas Investīciju un attīstības aģentūru</w:t>
      </w:r>
      <w:r w:rsidR="00CF17E2" w:rsidRPr="00A71EDD">
        <w:rPr>
          <w:szCs w:val="24"/>
        </w:rPr>
        <w:t xml:space="preserve"> (turpmāk – LIAA)</w:t>
      </w:r>
      <w:r w:rsidRPr="00A71EDD">
        <w:rPr>
          <w:szCs w:val="24"/>
        </w:rPr>
        <w:t xml:space="preserve">, A/S </w:t>
      </w:r>
      <w:r w:rsidR="00CF17E2" w:rsidRPr="00A71EDD">
        <w:rPr>
          <w:szCs w:val="24"/>
        </w:rPr>
        <w:t>„</w:t>
      </w:r>
      <w:r w:rsidRPr="00A71EDD">
        <w:rPr>
          <w:szCs w:val="24"/>
        </w:rPr>
        <w:t>Attīstības finanšu institūciju</w:t>
      </w:r>
      <w:r w:rsidR="00BC17AA" w:rsidRPr="001A2BF8">
        <w:rPr>
          <w:szCs w:val="24"/>
        </w:rPr>
        <w:t xml:space="preserve"> ALTUM</w:t>
      </w:r>
      <w:r w:rsidR="00CF17E2" w:rsidRPr="001A2BF8">
        <w:rPr>
          <w:szCs w:val="24"/>
        </w:rPr>
        <w:t>”</w:t>
      </w:r>
      <w:r w:rsidRPr="00093ECF">
        <w:rPr>
          <w:szCs w:val="24"/>
        </w:rPr>
        <w:t xml:space="preserve"> un finanšu starpniekinstitūcijām īsteno virkni pasākumi ar mērķi palielināt uzņēmumu spēju attīstīt uz inovāciju balstītas konkurētspējas priekšrocības, novirzot papildu resursus gan uzņēmumu iekšējās pētniecības un inovācijas kapacitātes veidošanai, gan tehnoloģiju un zināšanu ieguvei ārpus uzņēmuma. Tāpat tiek sekmēta jaunu inovatīvu uzņēmumu ar strauju izaugsmes potenciālu veidošanās un finansējuma piesaiste to agrīnās attīstības fāzē.</w:t>
      </w:r>
      <w:r w:rsidR="00036A00" w:rsidRPr="00093ECF">
        <w:rPr>
          <w:szCs w:val="24"/>
        </w:rPr>
        <w:t xml:space="preserve"> </w:t>
      </w:r>
    </w:p>
    <w:p w:rsidR="00B22A7D" w:rsidRPr="00093ECF" w:rsidRDefault="00B22A7D" w:rsidP="002E6310">
      <w:pPr>
        <w:widowControl w:val="0"/>
        <w:spacing w:after="40"/>
        <w:ind w:firstLine="720"/>
        <w:rPr>
          <w:szCs w:val="24"/>
        </w:rPr>
      </w:pPr>
    </w:p>
    <w:p w:rsidR="0069713F" w:rsidRPr="00217318" w:rsidRDefault="004D2ADE" w:rsidP="002E6310">
      <w:pPr>
        <w:widowControl w:val="0"/>
        <w:spacing w:after="40"/>
        <w:ind w:firstLine="720"/>
        <w:rPr>
          <w:b/>
          <w:szCs w:val="24"/>
        </w:rPr>
      </w:pPr>
      <w:r w:rsidRPr="00217318">
        <w:rPr>
          <w:b/>
          <w:szCs w:val="24"/>
        </w:rPr>
        <w:t xml:space="preserve">1.2 </w:t>
      </w:r>
      <w:r w:rsidR="0069713F" w:rsidRPr="00217318">
        <w:rPr>
          <w:b/>
          <w:szCs w:val="24"/>
        </w:rPr>
        <w:t xml:space="preserve">Citu valstu pieredze </w:t>
      </w:r>
    </w:p>
    <w:p w:rsidR="00AB12AA" w:rsidRPr="00E0406F" w:rsidRDefault="00AB12AA" w:rsidP="002E6310">
      <w:pPr>
        <w:widowControl w:val="0"/>
        <w:spacing w:after="40"/>
        <w:ind w:firstLine="720"/>
        <w:rPr>
          <w:b/>
          <w:szCs w:val="24"/>
        </w:rPr>
      </w:pPr>
    </w:p>
    <w:p w:rsidR="00D7646B" w:rsidRPr="00567F2D" w:rsidRDefault="00AB12AA" w:rsidP="002E6310">
      <w:pPr>
        <w:keepNext/>
        <w:widowControl w:val="0"/>
        <w:spacing w:before="120" w:after="120"/>
        <w:ind w:right="-28" w:firstLine="720"/>
        <w:outlineLvl w:val="1"/>
        <w:rPr>
          <w:szCs w:val="24"/>
        </w:rPr>
      </w:pPr>
      <w:r w:rsidRPr="008B3008">
        <w:rPr>
          <w:szCs w:val="24"/>
        </w:rPr>
        <w:t>Pēc vairāk nekā desmit gadiem kopš pirmo klasteru pārvaldības organizāciju dibināšanas, lai attīstītu klasterus, politikas veidotāji un programmu īpašnieki ir viensprātis, ka klasteru atbalsta pirmajā vietā nav tikai atbalsts klasteru izveidei, bet gan atbalsts lielisku klasteru attīstībai, kas ir starptautiski konkurētspējīgi</w:t>
      </w:r>
      <w:r w:rsidRPr="00F0079D">
        <w:rPr>
          <w:szCs w:val="24"/>
        </w:rPr>
        <w:t xml:space="preserve"> un kuriem ir ietekme uz valsts ekonomiku. Programmas īpašnieku vairākums, kuri piedalījās N</w:t>
      </w:r>
      <w:r w:rsidR="00FC327D" w:rsidRPr="00F0079D">
        <w:rPr>
          <w:szCs w:val="24"/>
        </w:rPr>
        <w:t>ordic-German-</w:t>
      </w:r>
      <w:r w:rsidRPr="00BF1DDB">
        <w:rPr>
          <w:szCs w:val="24"/>
        </w:rPr>
        <w:t>P</w:t>
      </w:r>
      <w:r w:rsidR="00FC327D" w:rsidRPr="00BF1DDB">
        <w:rPr>
          <w:szCs w:val="24"/>
        </w:rPr>
        <w:t>olish</w:t>
      </w:r>
      <w:r w:rsidRPr="00C2690E">
        <w:rPr>
          <w:szCs w:val="24"/>
        </w:rPr>
        <w:t xml:space="preserve"> Excellence projektā apgalvoja, ka nozīmīgi ir koncentrēt savas programmas uz klastera izcilību, nevis klasteru skaitu. Tikai klasteri ar augstu attīstības potenciālu un aug</w:t>
      </w:r>
      <w:r w:rsidR="002F2BBF" w:rsidRPr="00567F2D">
        <w:rPr>
          <w:szCs w:val="24"/>
        </w:rPr>
        <w:t>stu veiktspēju būtu jāatbalsta.</w:t>
      </w:r>
    </w:p>
    <w:p w:rsidR="00D7646B" w:rsidRPr="006A0CA3" w:rsidRDefault="00D7646B" w:rsidP="002E6310">
      <w:pPr>
        <w:keepNext/>
        <w:widowControl w:val="0"/>
        <w:spacing w:before="120" w:after="120"/>
        <w:ind w:right="-28" w:firstLine="720"/>
        <w:outlineLvl w:val="1"/>
        <w:rPr>
          <w:rFonts w:eastAsia="Calibri"/>
          <w:szCs w:val="24"/>
        </w:rPr>
      </w:pPr>
      <w:r w:rsidRPr="00C753D1">
        <w:rPr>
          <w:szCs w:val="24"/>
        </w:rPr>
        <w:t xml:space="preserve">57% Eiropas klasteru organizācijām kritisks jautājums ir par </w:t>
      </w:r>
      <w:r w:rsidR="00F62745">
        <w:rPr>
          <w:szCs w:val="24"/>
        </w:rPr>
        <w:t>aktīvi iesaistītiem (</w:t>
      </w:r>
      <w:r w:rsidR="00F62745" w:rsidRPr="002E6310">
        <w:rPr>
          <w:i/>
          <w:szCs w:val="24"/>
        </w:rPr>
        <w:t>committed</w:t>
      </w:r>
      <w:r w:rsidR="00F62745">
        <w:rPr>
          <w:szCs w:val="24"/>
        </w:rPr>
        <w:t>) un neaktīviem (</w:t>
      </w:r>
      <w:r w:rsidR="002F2BBF" w:rsidRPr="002E6310">
        <w:rPr>
          <w:i/>
          <w:szCs w:val="24"/>
        </w:rPr>
        <w:t>non-committed</w:t>
      </w:r>
      <w:r w:rsidR="00F62745">
        <w:rPr>
          <w:szCs w:val="24"/>
        </w:rPr>
        <w:t>)</w:t>
      </w:r>
      <w:r w:rsidR="002F2BBF" w:rsidRPr="00F62745">
        <w:rPr>
          <w:szCs w:val="24"/>
        </w:rPr>
        <w:t xml:space="preserve"> klastera dalībniekiem. </w:t>
      </w:r>
      <w:r w:rsidRPr="00F62745">
        <w:rPr>
          <w:szCs w:val="24"/>
        </w:rPr>
        <w:t>Aktīva uzņēmumu un pētniecības iestāžu iesaistīšanās ir būtiskākais nosacījums veiksmīgai klastera aktivitāšu plānošanai un īstenošanai.  Klastera vadība var veiksmīgi īstenot klastera stratēģiskos mērķus tikai tad, ja tā dalībnieki finansiāli atbalsta (maksājot dalības maksu)</w:t>
      </w:r>
      <w:r w:rsidR="00F62745">
        <w:rPr>
          <w:szCs w:val="24"/>
        </w:rPr>
        <w:t xml:space="preserve"> un </w:t>
      </w:r>
      <w:r w:rsidRPr="00F62745">
        <w:rPr>
          <w:szCs w:val="24"/>
        </w:rPr>
        <w:t>regulāri aktīvi piedalās kla</w:t>
      </w:r>
      <w:r w:rsidR="00012378" w:rsidRPr="00F62745">
        <w:rPr>
          <w:szCs w:val="24"/>
        </w:rPr>
        <w:t>stera projektos un aktivitātēs. Būtiski ir nodrošināt līdzsvaru starp iesaistīto komersantu, izglītības un pētniecības iestāžu, pakalpojumu sniedzēju un valsts iestāžu skaitu un aktivitāti. 53% Eiropas klasteru šajā jomā ir izaicinājumi, jo vai nu tajos ir nepietiekams uzņēmumu skaits attiecībā pret pētniecības iestādēm, vai arī tajos ir pārstāvēts mazs skaits pētniecības iestāžu (vai arī tās nav pārstāvētas vispār).</w:t>
      </w:r>
      <w:r w:rsidR="00012378" w:rsidRPr="006A0CA3">
        <w:rPr>
          <w:rFonts w:eastAsia="Calibri"/>
          <w:vertAlign w:val="superscript"/>
        </w:rPr>
        <w:footnoteReference w:id="14"/>
      </w:r>
    </w:p>
    <w:p w:rsidR="00012378" w:rsidRPr="00E334D5" w:rsidRDefault="00012378" w:rsidP="002E6310">
      <w:pPr>
        <w:keepNext/>
        <w:widowControl w:val="0"/>
        <w:spacing w:before="120" w:after="120"/>
        <w:ind w:right="-28" w:firstLine="720"/>
        <w:outlineLvl w:val="1"/>
        <w:rPr>
          <w:szCs w:val="24"/>
        </w:rPr>
      </w:pPr>
      <w:r w:rsidRPr="00E334D5">
        <w:rPr>
          <w:szCs w:val="24"/>
        </w:rPr>
        <w:t>Tikai dažas klasteru organizācijas spēj piedāvāt izcilus veiksmes stāstus, kas būtu unikāli vai radītu būtiskas pārmaiņas klastera at</w:t>
      </w:r>
      <w:r w:rsidR="002F2BBF" w:rsidRPr="00E334D5">
        <w:rPr>
          <w:szCs w:val="24"/>
        </w:rPr>
        <w:t xml:space="preserve">tīstībā un veiktajās darbībās. </w:t>
      </w:r>
    </w:p>
    <w:p w:rsidR="00012378" w:rsidRPr="006A0CA3" w:rsidRDefault="00012378" w:rsidP="002E6310">
      <w:pPr>
        <w:keepNext/>
        <w:widowControl w:val="0"/>
        <w:spacing w:before="120" w:after="120"/>
        <w:ind w:right="-28" w:firstLine="720"/>
        <w:outlineLvl w:val="1"/>
        <w:rPr>
          <w:szCs w:val="24"/>
        </w:rPr>
      </w:pPr>
      <w:r w:rsidRPr="00D46FB5">
        <w:rPr>
          <w:szCs w:val="24"/>
        </w:rPr>
        <w:t>65% klasteru organizāciju nav pārliecības par finansējuma pietiekamību savas darbības nodrošināšanai nākotnē (vairāk kā divus gadus tālā nākotnē). Daudzas klasteru organizācijas tiek finansētas no publiskiem līdzekļiem, kas ir piešķirti uz noteiktu laiku, vai arī tās vēl nav spējušas pamatot pietiekamus ieguvumus sava</w:t>
      </w:r>
      <w:r w:rsidR="006E71B4" w:rsidRPr="00D46FB5">
        <w:rPr>
          <w:szCs w:val="24"/>
        </w:rPr>
        <w:t>i</w:t>
      </w:r>
      <w:r w:rsidRPr="00D46FB5">
        <w:rPr>
          <w:szCs w:val="24"/>
        </w:rPr>
        <w:t xml:space="preserve"> darbībai, lai mudinātu klastera dalībniekus finansēt klastera darbību ilgākā laika termiņā. Turklāt 77% klasteru organizāciju neveic pietiekamus ieguldījumus darbinieku apmācībā (mūžizglītībā). </w:t>
      </w:r>
      <w:r w:rsidRPr="006A0CA3">
        <w:rPr>
          <w:rStyle w:val="FootnoteReference"/>
          <w:szCs w:val="24"/>
        </w:rPr>
        <w:footnoteReference w:id="15"/>
      </w:r>
    </w:p>
    <w:p w:rsidR="00752935" w:rsidRPr="006A0CA3" w:rsidRDefault="00752935" w:rsidP="002E6310">
      <w:pPr>
        <w:widowControl w:val="0"/>
        <w:spacing w:after="40"/>
        <w:ind w:firstLine="720"/>
        <w:rPr>
          <w:szCs w:val="24"/>
        </w:rPr>
      </w:pPr>
      <w:r w:rsidRPr="00E334D5">
        <w:rPr>
          <w:szCs w:val="24"/>
        </w:rPr>
        <w:t>Centrāleiropā un Austrumeiropā klasteri nav labi integrēti nacionālajās un reģionālajās inovāciju sistēmās. Lai gan izglītības un zinātnes institūcijas piedalās klasteros, klasteri ar citiem inovācijas p</w:t>
      </w:r>
      <w:r w:rsidRPr="00D46FB5">
        <w:rPr>
          <w:szCs w:val="24"/>
        </w:rPr>
        <w:t xml:space="preserve">akalpojumu sniedzējiem, piemēram, biznesa inkubatoriem un tehnoloģiju pārneses centriem, sadarbojas ļoti ierobežotā apjomā. Kā arī 65% klasteru saviem dalībniekiem piedāvā ļoti ierobežotu pakalpojumu loku vai koncentrējas tikai uz dažām jomām. Minimālajam </w:t>
      </w:r>
      <w:r w:rsidRPr="00B64D66">
        <w:rPr>
          <w:szCs w:val="24"/>
        </w:rPr>
        <w:t>klastera sniegto pakalpojumu klāstam būtu jābūt vismaz kontaktbirž</w:t>
      </w:r>
      <w:r w:rsidR="00BE4E8E" w:rsidRPr="00B64D66">
        <w:rPr>
          <w:szCs w:val="24"/>
        </w:rPr>
        <w:t>u organizēšana</w:t>
      </w:r>
      <w:r w:rsidRPr="00737207">
        <w:rPr>
          <w:szCs w:val="24"/>
        </w:rPr>
        <w:t xml:space="preserve"> (</w:t>
      </w:r>
      <w:r w:rsidRPr="002E6310">
        <w:rPr>
          <w:i/>
          <w:szCs w:val="24"/>
        </w:rPr>
        <w:t>matchmaking</w:t>
      </w:r>
      <w:r w:rsidRPr="00F62745">
        <w:rPr>
          <w:szCs w:val="24"/>
        </w:rPr>
        <w:t xml:space="preserve">), P&amp;A un </w:t>
      </w:r>
      <w:r w:rsidRPr="00F62745">
        <w:rPr>
          <w:szCs w:val="24"/>
        </w:rPr>
        <w:lastRenderedPageBreak/>
        <w:t>inovācijas projektu ierosināšana, klastera popularizēšana un internacionalizācija, kā arī cilvēkresursu attīstība un atbalsts uzņēmējdarbībai.</w:t>
      </w:r>
      <w:r w:rsidRPr="006A0CA3">
        <w:rPr>
          <w:rStyle w:val="FootnoteReference"/>
          <w:szCs w:val="24"/>
        </w:rPr>
        <w:footnoteReference w:id="16"/>
      </w:r>
      <w:r w:rsidRPr="006A0CA3">
        <w:rPr>
          <w:szCs w:val="24"/>
        </w:rPr>
        <w:t xml:space="preserve"> </w:t>
      </w:r>
    </w:p>
    <w:p w:rsidR="00F62745" w:rsidRPr="00E334D5" w:rsidRDefault="00F62745" w:rsidP="002E6310">
      <w:pPr>
        <w:widowControl w:val="0"/>
        <w:spacing w:after="40"/>
        <w:rPr>
          <w:b/>
          <w:szCs w:val="24"/>
        </w:rPr>
      </w:pPr>
    </w:p>
    <w:p w:rsidR="00477E78" w:rsidRPr="00F62745" w:rsidRDefault="00477E78" w:rsidP="002E6310">
      <w:pPr>
        <w:widowControl w:val="0"/>
        <w:spacing w:after="40"/>
        <w:ind w:firstLine="720"/>
        <w:rPr>
          <w:b/>
          <w:szCs w:val="24"/>
        </w:rPr>
      </w:pPr>
      <w:r w:rsidRPr="00F62745">
        <w:rPr>
          <w:b/>
          <w:szCs w:val="24"/>
        </w:rPr>
        <w:t>Vācija</w:t>
      </w:r>
    </w:p>
    <w:p w:rsidR="00477E78" w:rsidRPr="00F62745" w:rsidRDefault="00477E78" w:rsidP="002E6310">
      <w:pPr>
        <w:widowControl w:val="0"/>
        <w:spacing w:after="120"/>
        <w:rPr>
          <w:rFonts w:ascii="Calibri" w:eastAsia="Calibri" w:hAnsi="Calibri" w:cs="Tahoma"/>
          <w:i/>
          <w:sz w:val="22"/>
          <w:szCs w:val="22"/>
        </w:rPr>
      </w:pPr>
      <w:r w:rsidRPr="00F62745">
        <w:rPr>
          <w:rFonts w:ascii="Calibri" w:eastAsia="Calibri" w:hAnsi="Calibri" w:cs="Tahoma"/>
          <w:i/>
          <w:sz w:val="22"/>
          <w:szCs w:val="22"/>
        </w:rPr>
        <w:t xml:space="preserve">INITIATIVE KOMPETENZNETZE DEUTSCHLAND (COMPETENCE NETWORKS GERMANY) </w:t>
      </w:r>
    </w:p>
    <w:p w:rsidR="00477E78" w:rsidRPr="00F62745" w:rsidRDefault="00477E78" w:rsidP="002E6310">
      <w:pPr>
        <w:keepNext/>
        <w:widowControl w:val="0"/>
        <w:spacing w:before="120" w:after="120"/>
        <w:ind w:right="-28" w:firstLine="720"/>
        <w:outlineLvl w:val="1"/>
        <w:rPr>
          <w:szCs w:val="24"/>
        </w:rPr>
      </w:pPr>
      <w:r w:rsidRPr="00F62745">
        <w:rPr>
          <w:szCs w:val="24"/>
        </w:rPr>
        <w:t xml:space="preserve">Programmas mērķis ir veicināt sadarbību un tīklošanos starp industriju un zinātnes sektoru, lai paaugstinātu Vācijas rūpniecības starptautisko konkurētspēju un inovācijas kapacitāti, kā arī palielināt klasteru starptautisko redzamību un tādējādi </w:t>
      </w:r>
      <w:r w:rsidR="00F62745">
        <w:rPr>
          <w:szCs w:val="24"/>
        </w:rPr>
        <w:t>veicināt</w:t>
      </w:r>
      <w:r w:rsidR="00F62745" w:rsidRPr="00F62745">
        <w:rPr>
          <w:szCs w:val="24"/>
        </w:rPr>
        <w:t xml:space="preserve"> </w:t>
      </w:r>
      <w:r w:rsidRPr="00F62745">
        <w:rPr>
          <w:szCs w:val="24"/>
        </w:rPr>
        <w:t>Vācij</w:t>
      </w:r>
      <w:r w:rsidR="00F62745">
        <w:rPr>
          <w:szCs w:val="24"/>
        </w:rPr>
        <w:t>as</w:t>
      </w:r>
      <w:r w:rsidRPr="00F62745">
        <w:rPr>
          <w:szCs w:val="24"/>
        </w:rPr>
        <w:t xml:space="preserve"> kā starptautisk</w:t>
      </w:r>
      <w:r w:rsidR="00F62745">
        <w:rPr>
          <w:szCs w:val="24"/>
        </w:rPr>
        <w:t>a</w:t>
      </w:r>
      <w:r w:rsidRPr="00F62745">
        <w:rPr>
          <w:szCs w:val="24"/>
        </w:rPr>
        <w:t xml:space="preserve"> inovācijas centr</w:t>
      </w:r>
      <w:r w:rsidR="00F62745">
        <w:rPr>
          <w:szCs w:val="24"/>
        </w:rPr>
        <w:t>a atpazīstamību</w:t>
      </w:r>
      <w:r w:rsidRPr="00F62745">
        <w:rPr>
          <w:szCs w:val="24"/>
        </w:rPr>
        <w:t xml:space="preserve">. </w:t>
      </w:r>
    </w:p>
    <w:p w:rsidR="00477E78" w:rsidRPr="00F62745" w:rsidRDefault="00477E78" w:rsidP="002E6310">
      <w:pPr>
        <w:keepNext/>
        <w:widowControl w:val="0"/>
        <w:spacing w:before="120" w:after="120"/>
        <w:ind w:right="-28" w:firstLine="720"/>
        <w:outlineLvl w:val="1"/>
        <w:rPr>
          <w:szCs w:val="24"/>
        </w:rPr>
      </w:pPr>
      <w:r w:rsidRPr="00F62745">
        <w:rPr>
          <w:szCs w:val="24"/>
        </w:rPr>
        <w:t>Vācijas programma ir īpaša ar to, ka netiek sniegts grant</w:t>
      </w:r>
      <w:r w:rsidR="00FC3E99" w:rsidRPr="00F62745">
        <w:rPr>
          <w:szCs w:val="24"/>
        </w:rPr>
        <w:t>s</w:t>
      </w:r>
      <w:r w:rsidRPr="00F62745">
        <w:rPr>
          <w:szCs w:val="24"/>
        </w:rPr>
        <w:t xml:space="preserve"> vai cita veida finansējums klasteriem vai klasteru vadības organizācijām, bet atbalstu sniedz programmas īstenošanas aģentūra, sniedzot dažādus pakalpojumus un tehnisko palīdzību. Pakalpojumu klāstā ietilpst, piemēram, darba grupas un individuāls atbalsts, darbnīcas (</w:t>
      </w:r>
      <w:r w:rsidRPr="002E6310">
        <w:rPr>
          <w:i/>
          <w:szCs w:val="24"/>
        </w:rPr>
        <w:t>workshops</w:t>
      </w:r>
      <w:r w:rsidRPr="00F62745">
        <w:rPr>
          <w:szCs w:val="24"/>
        </w:rPr>
        <w:t>) un konferences</w:t>
      </w:r>
      <w:r w:rsidR="00AD38F8" w:rsidRPr="00F62745">
        <w:rPr>
          <w:szCs w:val="24"/>
        </w:rPr>
        <w:t>, salīdzin</w:t>
      </w:r>
      <w:r w:rsidR="00BC6970" w:rsidRPr="00F62745">
        <w:rPr>
          <w:szCs w:val="24"/>
        </w:rPr>
        <w:t>ošā novērtēšana</w:t>
      </w:r>
      <w:r w:rsidR="00FC3E99" w:rsidRPr="00F62745">
        <w:rPr>
          <w:szCs w:val="24"/>
        </w:rPr>
        <w:t xml:space="preserve"> (</w:t>
      </w:r>
      <w:r w:rsidRPr="002E6310">
        <w:rPr>
          <w:i/>
          <w:szCs w:val="24"/>
        </w:rPr>
        <w:t>benchmarking</w:t>
      </w:r>
      <w:r w:rsidR="00FC3E99" w:rsidRPr="00F62745">
        <w:rPr>
          <w:szCs w:val="24"/>
        </w:rPr>
        <w:t>)</w:t>
      </w:r>
      <w:r w:rsidRPr="00F62745">
        <w:rPr>
          <w:szCs w:val="24"/>
        </w:rPr>
        <w:t xml:space="preserve">, mārketinga un sabiedrisko attiecību pakalpojumi un atbalsts internacionalizācijas aktivitātēm. Šie pakalpojumi programmas dalībniekiem tiek sniegti bez maksas. Lai kļūtu par programmas dalībnieku, klasteru organizācijas tiek vērtētas pēc tādiem kritērijiem kā klastera darbības vēsture, attīstības ātrums, skaidrs tematiskais fokuss, institucionalizācijas un internacionalizācijas pakāpe, klastera vadības organizācijas uzdevumi un aktivitātes, klastera biedru sastāvs un sadarbības pakāpe.  </w:t>
      </w:r>
    </w:p>
    <w:p w:rsidR="00477E78" w:rsidRPr="00B64D66" w:rsidRDefault="00477E78" w:rsidP="002E6310">
      <w:pPr>
        <w:widowControl w:val="0"/>
        <w:spacing w:after="120"/>
        <w:rPr>
          <w:szCs w:val="24"/>
        </w:rPr>
      </w:pPr>
    </w:p>
    <w:p w:rsidR="00477E78" w:rsidRPr="00737207" w:rsidRDefault="00477E78" w:rsidP="002E6310">
      <w:pPr>
        <w:widowControl w:val="0"/>
        <w:spacing w:after="120"/>
        <w:rPr>
          <w:b/>
          <w:szCs w:val="24"/>
        </w:rPr>
      </w:pPr>
      <w:r w:rsidRPr="00737207">
        <w:rPr>
          <w:b/>
          <w:szCs w:val="24"/>
        </w:rPr>
        <w:tab/>
        <w:t xml:space="preserve">Dānija </w:t>
      </w:r>
    </w:p>
    <w:p w:rsidR="00477E78" w:rsidRPr="006D5F32" w:rsidRDefault="00477E78" w:rsidP="002E6310">
      <w:pPr>
        <w:widowControl w:val="0"/>
        <w:spacing w:after="120"/>
        <w:rPr>
          <w:i/>
          <w:szCs w:val="24"/>
        </w:rPr>
      </w:pPr>
      <w:r w:rsidRPr="00057FB2">
        <w:rPr>
          <w:rFonts w:ascii="Calibri" w:eastAsia="Calibri" w:hAnsi="Calibri" w:cs="Tahoma"/>
          <w:i/>
          <w:sz w:val="22"/>
          <w:szCs w:val="22"/>
        </w:rPr>
        <w:t>INNOVATIONSNETVÆRK DANMARK (INNOVATION NETWORKS DENMARK)</w:t>
      </w:r>
    </w:p>
    <w:p w:rsidR="00477E78" w:rsidRPr="00AB3047" w:rsidRDefault="00477E78" w:rsidP="002E6310">
      <w:pPr>
        <w:keepNext/>
        <w:widowControl w:val="0"/>
        <w:spacing w:before="120" w:after="120"/>
        <w:ind w:right="-28" w:firstLine="720"/>
        <w:outlineLvl w:val="1"/>
        <w:rPr>
          <w:szCs w:val="24"/>
        </w:rPr>
      </w:pPr>
      <w:r w:rsidRPr="00AB3047">
        <w:rPr>
          <w:szCs w:val="24"/>
        </w:rPr>
        <w:t xml:space="preserve">Dānijā darbojas 22 inovācijas tīkli, kas palīdz uzņēmumiem atrast jaunus partnerus no pasaules klases zinātnieku, citu uzņēmumu un ekspertu vidus gan Dānijā, gan ārzemēs. </w:t>
      </w:r>
    </w:p>
    <w:p w:rsidR="00477E78" w:rsidRPr="00F62745" w:rsidRDefault="00477E78" w:rsidP="002E6310">
      <w:pPr>
        <w:keepNext/>
        <w:widowControl w:val="0"/>
        <w:spacing w:before="120" w:after="120"/>
        <w:ind w:right="-28" w:firstLine="720"/>
        <w:outlineLvl w:val="1"/>
        <w:rPr>
          <w:szCs w:val="24"/>
        </w:rPr>
      </w:pPr>
      <w:r w:rsidRPr="00AB3047">
        <w:rPr>
          <w:szCs w:val="24"/>
        </w:rPr>
        <w:t>Šie inovācijas tīkli piedāvā plašu pārskatu par jaunākajiem sasniegumiem zinātnē un inovācijas aktualitātēm to ekspertīzes jomās, kā arī tie informē par jaunākajām tendencēm tehnoloģijās, produktu inovācijās un jaunās inovācijas metodēs. Tāpat šie tīkli palīdz pētniekiem atrast jaunus partnerus s</w:t>
      </w:r>
      <w:r w:rsidRPr="00D930FF">
        <w:rPr>
          <w:szCs w:val="24"/>
        </w:rPr>
        <w:t>adarbībai zinātnes vai inovācijas projektos ar uzņēmumiem, citiem pētniekiem, tehnoloģisko pakalpojumu sniedzējiem un citiem partneriem Dānijā un ārpus tās. Šie tīkli var kalpot kā sākumposms uzņēmumiem internacionalizācijas procesos. Īstenotās aktivitātes ietver tādus pakalpojumus kā attīstības projektu ierosināšan</w:t>
      </w:r>
      <w:r w:rsidR="00F62745">
        <w:rPr>
          <w:szCs w:val="24"/>
        </w:rPr>
        <w:t>u</w:t>
      </w:r>
      <w:r w:rsidRPr="00F62745">
        <w:rPr>
          <w:szCs w:val="24"/>
        </w:rPr>
        <w:t>, konferenču, semināru un darbnīcu organizēšan</w:t>
      </w:r>
      <w:r w:rsidR="00F62745">
        <w:rPr>
          <w:szCs w:val="24"/>
        </w:rPr>
        <w:t>u</w:t>
      </w:r>
      <w:r w:rsidRPr="00F62745">
        <w:rPr>
          <w:szCs w:val="24"/>
        </w:rPr>
        <w:t xml:space="preserve"> tīkla dalībniekiem interesējošās jomās, finanšu līdzekļu piesaisti un pieteikumu sagatavošanu, ziņu lapu sagatavošanu, eksporta pasākum</w:t>
      </w:r>
      <w:r w:rsidR="00F62745">
        <w:rPr>
          <w:szCs w:val="24"/>
        </w:rPr>
        <w:t>us</w:t>
      </w:r>
      <w:r w:rsidRPr="00F62745">
        <w:rPr>
          <w:szCs w:val="24"/>
        </w:rPr>
        <w:t xml:space="preserve"> un Dānijas uzņēmumu studiju vizītes ārzemēs. Dānijas Zinātnes, tehnoloģiju un inovācijas ministrija līdzfinansē līdz 50% no inovācijas tīkla darbībām – sekretariāta darbību, kontaktbiržas, specifiskus sadarbības projektus pētniecībā un izglītībā, zināšanu izplatīšanu, utml. Vismaz 50% no darbības izmaksām inovācijas tīkliem jāpiesaista no uzņēmumiem, reģionāliem fondiem, u.c. avotiem. 2009.gadā gandrīz 4000 uzņēmumi piedalījās inovācijas tīklu aktivitātēs</w:t>
      </w:r>
      <w:r w:rsidR="00F62745">
        <w:rPr>
          <w:szCs w:val="24"/>
        </w:rPr>
        <w:t xml:space="preserve">, </w:t>
      </w:r>
      <w:r w:rsidRPr="00F62745">
        <w:rPr>
          <w:szCs w:val="24"/>
        </w:rPr>
        <w:t xml:space="preserve">vairāk kā 300 uzņēmumi ir attīstījuši jaunus produktus un 750 attīstījuši jaunas kompetences. Pēc uzņēmumu vērtējuma dalība inovācijas tīklos tiem ļāvusi palielināt apgrozījumu par 146 milj. </w:t>
      </w:r>
      <w:r w:rsidRPr="002E6310">
        <w:rPr>
          <w:i/>
          <w:szCs w:val="24"/>
        </w:rPr>
        <w:t>euro</w:t>
      </w:r>
      <w:r w:rsidRPr="00F62745">
        <w:rPr>
          <w:szCs w:val="24"/>
        </w:rPr>
        <w:t xml:space="preserve"> 2009.gadā. Inovācijas tīkli darbojas tādās jomās kā enerģija, vide, pārtika, IKT, mode un dizains, izklaide, jauni materiāli, farmācija un biotehnoloģija, transports, kā arī starpdisciplinārās jomās. Lai palielinātu tīklu izmēru un to efektivitāti, atbalstīto tīklu skaits tika samazināts no 36 2007.gadā līdz 23 2009.gadā (un šobrīd darbojas 22 tīkli).</w:t>
      </w:r>
    </w:p>
    <w:p w:rsidR="00477E78" w:rsidRPr="00B64D66" w:rsidRDefault="00477E78" w:rsidP="002E6310">
      <w:pPr>
        <w:widowControl w:val="0"/>
        <w:spacing w:after="40"/>
        <w:rPr>
          <w:rFonts w:ascii="Calibri" w:eastAsia="Calibri" w:hAnsi="Calibri" w:cs="Tahoma"/>
          <w:i/>
          <w:sz w:val="22"/>
          <w:szCs w:val="22"/>
        </w:rPr>
      </w:pPr>
    </w:p>
    <w:p w:rsidR="00F0432D" w:rsidRPr="00057FB2" w:rsidRDefault="001D6B5C" w:rsidP="002E6310">
      <w:pPr>
        <w:widowControl w:val="0"/>
        <w:spacing w:after="120"/>
        <w:rPr>
          <w:rFonts w:eastAsia="Calibri"/>
          <w:b/>
          <w:szCs w:val="24"/>
        </w:rPr>
      </w:pPr>
      <w:r w:rsidRPr="00737207">
        <w:rPr>
          <w:rFonts w:eastAsia="Calibri"/>
          <w:szCs w:val="24"/>
        </w:rPr>
        <w:tab/>
      </w:r>
      <w:r w:rsidRPr="00737207">
        <w:rPr>
          <w:rFonts w:eastAsia="Calibri"/>
          <w:b/>
          <w:szCs w:val="24"/>
        </w:rPr>
        <w:t xml:space="preserve">Lietuva </w:t>
      </w:r>
    </w:p>
    <w:p w:rsidR="001D6B5C" w:rsidRPr="00F62745" w:rsidRDefault="001D6B5C" w:rsidP="002E6310">
      <w:pPr>
        <w:widowControl w:val="0"/>
        <w:spacing w:after="120"/>
        <w:ind w:firstLine="720"/>
        <w:rPr>
          <w:szCs w:val="24"/>
        </w:rPr>
      </w:pPr>
      <w:r w:rsidRPr="00057FB2">
        <w:rPr>
          <w:szCs w:val="24"/>
        </w:rPr>
        <w:lastRenderedPageBreak/>
        <w:t xml:space="preserve">Lietuvā 2007.-2013.gada ES fondu plānošanas periodā Zinātnes, inovācijas un tehnoloģiju aģentūra īstenoja projektu “Biznesa un zinātnes partnerību internacionalizācijas veicināšana” (“Klaster.LT”), kuram piešķirtais finansējums bija 1.1 milj. </w:t>
      </w:r>
      <w:r w:rsidRPr="002E6310">
        <w:rPr>
          <w:i/>
          <w:szCs w:val="24"/>
        </w:rPr>
        <w:t>euro</w:t>
      </w:r>
      <w:r w:rsidRPr="00F62745">
        <w:rPr>
          <w:szCs w:val="24"/>
        </w:rPr>
        <w:t xml:space="preserve">. Projekta mērķis bija izveidot jaunus un attīstīt esošos klasterus, veicināt klasteru internacionalizāciju un atbalstīt MVK apvienošanos jaunos klasteros, popularizēt Lietuvas inovācijas un P&amp;A potenciālu globāli. Projekta dalībnieki </w:t>
      </w:r>
      <w:r w:rsidR="00F62745">
        <w:rPr>
          <w:szCs w:val="24"/>
        </w:rPr>
        <w:t>–</w:t>
      </w:r>
      <w:r w:rsidRPr="00F62745">
        <w:rPr>
          <w:szCs w:val="24"/>
        </w:rPr>
        <w:t xml:space="preserve"> </w:t>
      </w:r>
      <w:r w:rsidR="00F62745">
        <w:rPr>
          <w:szCs w:val="24"/>
        </w:rPr>
        <w:t>Zin</w:t>
      </w:r>
      <w:r w:rsidRPr="00F62745">
        <w:rPr>
          <w:szCs w:val="24"/>
        </w:rPr>
        <w:t>ātnes, inovācijas un tehnoloģiju aģentūra, Lietuvas Inovācijas centrs un Enterprise Lithuania sniedza konsultācijas par klasteru izveidošanu, attīstību, stratēģijas formulēšanu un inovācijām, juridiskiem jautājumiem, kā arī palīdz atrast sadarbības partnerus Lietuvā un ārvalstīs</w:t>
      </w:r>
      <w:r w:rsidR="00F62745">
        <w:rPr>
          <w:szCs w:val="24"/>
        </w:rPr>
        <w:t xml:space="preserve"> un </w:t>
      </w:r>
      <w:r w:rsidRPr="00F62745">
        <w:rPr>
          <w:szCs w:val="24"/>
        </w:rPr>
        <w:t xml:space="preserve">finansējuma avotus ideju īstenošanai. </w:t>
      </w:r>
    </w:p>
    <w:p w:rsidR="001D6B5C" w:rsidRPr="00B64D66" w:rsidRDefault="001D6B5C" w:rsidP="002E6310">
      <w:pPr>
        <w:keepNext/>
        <w:widowControl w:val="0"/>
        <w:spacing w:before="120" w:after="120"/>
        <w:ind w:right="-28" w:firstLine="720"/>
        <w:outlineLvl w:val="1"/>
        <w:rPr>
          <w:szCs w:val="24"/>
        </w:rPr>
      </w:pPr>
      <w:r w:rsidRPr="00B64D66">
        <w:rPr>
          <w:szCs w:val="24"/>
        </w:rPr>
        <w:t xml:space="preserve">Lietuvā darbojas 46 klasteru iniciatīvas, taču no tiem tikai ceturtā daļa ir veidojusies dabiskā ceļā, uzņēmumiem kopīgi attīstot jaunus produktus un pakalpojumus un iegūstot lielāku tirgus daļu. Daļa no Lietuvas klasteriem ir pašos darbības pirmsākumos vai arī tika izveidoti tikai ar mērķi iegūt ES fondu finansējumu. Lielākā daļa klasteru veidojas pakalpojumu sektorā, it īpaši tādās jomās kā veselības veicināšana, kultūra un informācijas pakalpojumi. Ražošanas sektorā visvairāk klasteru veidojumu ir ķīmiskās rūpniecības un pārtikas un dzērienu nozarēs. </w:t>
      </w:r>
    </w:p>
    <w:p w:rsidR="00905A14" w:rsidRPr="00737207" w:rsidRDefault="00905A14" w:rsidP="002E6310">
      <w:pPr>
        <w:widowControl w:val="0"/>
        <w:spacing w:after="120"/>
        <w:ind w:firstLine="720"/>
        <w:rPr>
          <w:rFonts w:eastAsia="Calibri"/>
          <w:szCs w:val="24"/>
        </w:rPr>
      </w:pPr>
    </w:p>
    <w:p w:rsidR="00905A14" w:rsidRPr="00057FB2" w:rsidRDefault="00905A14" w:rsidP="002E6310">
      <w:pPr>
        <w:widowControl w:val="0"/>
        <w:spacing w:after="40"/>
        <w:ind w:firstLine="720"/>
        <w:rPr>
          <w:b/>
          <w:szCs w:val="24"/>
        </w:rPr>
      </w:pPr>
      <w:r w:rsidRPr="00057FB2">
        <w:rPr>
          <w:b/>
          <w:szCs w:val="24"/>
        </w:rPr>
        <w:t>Eiropas klasteru izcilības iniciatīva</w:t>
      </w:r>
    </w:p>
    <w:p w:rsidR="00905A14" w:rsidRPr="00737207" w:rsidRDefault="00905A14" w:rsidP="002E6310">
      <w:pPr>
        <w:keepNext/>
        <w:widowControl w:val="0"/>
        <w:spacing w:before="120" w:after="120"/>
        <w:ind w:right="-28" w:firstLine="720"/>
        <w:outlineLvl w:val="1"/>
        <w:rPr>
          <w:szCs w:val="24"/>
        </w:rPr>
      </w:pPr>
      <w:r w:rsidRPr="00AB3047">
        <w:rPr>
          <w:szCs w:val="24"/>
        </w:rPr>
        <w:t xml:space="preserve">Kopš 2009. gada Eiropas Klasteru Izcilības iniciatīva (ECEI), ko uzsāka Eiropas Komisijas Uzņēmējdarbības un rūpniecības ģenerāldirektorāts, ir vērsta uz metodoloģiju un instrumentu attīstību, lai atbalstītu klasteru organizācijas un lai uzlabotu klasteru vadības spējas. Šajā kontekstā 13 projekta partneri no 9 valstīm </w:t>
      </w:r>
      <w:r w:rsidR="00B64D66">
        <w:rPr>
          <w:szCs w:val="24"/>
        </w:rPr>
        <w:t>–</w:t>
      </w:r>
      <w:r w:rsidR="00F44144" w:rsidRPr="00B64D66">
        <w:rPr>
          <w:szCs w:val="24"/>
        </w:rPr>
        <w:t xml:space="preserve"> </w:t>
      </w:r>
      <w:r w:rsidRPr="00B64D66">
        <w:rPr>
          <w:szCs w:val="24"/>
        </w:rPr>
        <w:t xml:space="preserve">visi ar pieredzi klasteru vadības un atbalsta jomā </w:t>
      </w:r>
      <w:r w:rsidR="00B64D66">
        <w:rPr>
          <w:szCs w:val="24"/>
        </w:rPr>
        <w:t>–</w:t>
      </w:r>
      <w:r w:rsidR="00F44144" w:rsidRPr="00B64D66">
        <w:rPr>
          <w:szCs w:val="24"/>
        </w:rPr>
        <w:t xml:space="preserve"> </w:t>
      </w:r>
      <w:r w:rsidRPr="00B64D66">
        <w:rPr>
          <w:szCs w:val="24"/>
        </w:rPr>
        <w:t>izveidoja vienotus klastera vadības kvalitātes kritērijus un rādītājus un izstrādāja kvalitātes noteikšanas sistēmu profesionālai klasteru vadībai ar mērķi, lai šo metodiku  pieņemtu un atzītu visā Eiropā. Klasteru marķēšana (</w:t>
      </w:r>
      <w:r w:rsidRPr="002E6310">
        <w:rPr>
          <w:i/>
          <w:szCs w:val="24"/>
        </w:rPr>
        <w:t>labelling</w:t>
      </w:r>
      <w:r w:rsidRPr="00B64D66">
        <w:rPr>
          <w:szCs w:val="24"/>
        </w:rPr>
        <w:t xml:space="preserve">) nav nekas jauns, jo, piemēram, dažu pēdējo gadu laikā daudzas dalībvalstis visā Eiropā ir sākušas veidot klasteru atbalsta programmas, kas bieži koncentrējas uz konkurētspējīgākajām klasteru iniciatīvām valsts iekšienē. Piemēram, Francijā, Vācijā, Ungārijā un Zviedrijā klasteri ir atlasīti turpmākai finansējuma vai atbalsta saņemšanai, ņemot vērā to vadošo pozīciju. Tikt izvēlētam šādas programmas ietvaros jau pats par sevi </w:t>
      </w:r>
      <w:r w:rsidR="00F44144" w:rsidRPr="00B64D66">
        <w:rPr>
          <w:szCs w:val="24"/>
        </w:rPr>
        <w:t xml:space="preserve">ir </w:t>
      </w:r>
      <w:r w:rsidRPr="00B64D66">
        <w:rPr>
          <w:szCs w:val="24"/>
        </w:rPr>
        <w:t>sava veida kvalitātes zīm</w:t>
      </w:r>
      <w:r w:rsidR="00F44144" w:rsidRPr="00B64D66">
        <w:rPr>
          <w:szCs w:val="24"/>
        </w:rPr>
        <w:t>e</w:t>
      </w:r>
      <w:r w:rsidRPr="00B64D66">
        <w:rPr>
          <w:szCs w:val="24"/>
        </w:rPr>
        <w:t>, jo tā izsaka atzinību citu klasteru vidū.</w:t>
      </w:r>
      <w:r w:rsidR="00F44144" w:rsidRPr="00B64D66">
        <w:rPr>
          <w:szCs w:val="24"/>
        </w:rPr>
        <w:t xml:space="preserve"> </w:t>
      </w:r>
      <w:r w:rsidRPr="00B64D66">
        <w:rPr>
          <w:szCs w:val="24"/>
        </w:rPr>
        <w:t xml:space="preserve">Tomēr piemērotie atlases mehānismi bieži seko valsts prioritātēm vai politiski orientētiem lēmumiem. </w:t>
      </w:r>
      <w:r w:rsidR="00B64D66">
        <w:rPr>
          <w:szCs w:val="24"/>
        </w:rPr>
        <w:t>“</w:t>
      </w:r>
      <w:r w:rsidRPr="00B64D66">
        <w:rPr>
          <w:szCs w:val="24"/>
        </w:rPr>
        <w:t>Klasteru vadības izcilības etiķete (kvalitātes etiķete)</w:t>
      </w:r>
      <w:r w:rsidR="00B64D66">
        <w:rPr>
          <w:szCs w:val="24"/>
        </w:rPr>
        <w:t>”</w:t>
      </w:r>
      <w:r w:rsidR="00F44144" w:rsidRPr="00B64D66">
        <w:rPr>
          <w:szCs w:val="24"/>
        </w:rPr>
        <w:t xml:space="preserve"> </w:t>
      </w:r>
      <w:r w:rsidRPr="00B64D66">
        <w:rPr>
          <w:szCs w:val="24"/>
        </w:rPr>
        <w:t xml:space="preserve">(eng. </w:t>
      </w:r>
      <w:r w:rsidR="00B64D66">
        <w:rPr>
          <w:szCs w:val="24"/>
        </w:rPr>
        <w:t>–</w:t>
      </w:r>
      <w:r w:rsidR="00F44144" w:rsidRPr="00B64D66">
        <w:rPr>
          <w:szCs w:val="24"/>
        </w:rPr>
        <w:t xml:space="preserve"> </w:t>
      </w:r>
      <w:r w:rsidR="00B64D66">
        <w:rPr>
          <w:szCs w:val="24"/>
        </w:rPr>
        <w:t>“</w:t>
      </w:r>
      <w:r w:rsidRPr="00B64D66">
        <w:rPr>
          <w:szCs w:val="24"/>
        </w:rPr>
        <w:t>Cluster Organisation Management Excellence Label (Quality Label)</w:t>
      </w:r>
      <w:r w:rsidR="00B64D66">
        <w:rPr>
          <w:szCs w:val="24"/>
        </w:rPr>
        <w:t>”</w:t>
      </w:r>
      <w:r w:rsidRPr="00B64D66">
        <w:rPr>
          <w:szCs w:val="24"/>
        </w:rPr>
        <w:t xml:space="preserve"> (turpmāk – “Cluster Exellence”), kas izstrādāta ECEI ietvaros</w:t>
      </w:r>
      <w:r w:rsidR="00F44144" w:rsidRPr="00B64D66">
        <w:rPr>
          <w:szCs w:val="24"/>
        </w:rPr>
        <w:t>,</w:t>
      </w:r>
      <w:r w:rsidRPr="00B64D66">
        <w:rPr>
          <w:szCs w:val="24"/>
        </w:rPr>
        <w:t xml:space="preserve"> </w:t>
      </w:r>
      <w:r w:rsidR="00F44144" w:rsidRPr="00B64D66">
        <w:rPr>
          <w:szCs w:val="24"/>
        </w:rPr>
        <w:t>mērķis</w:t>
      </w:r>
      <w:r w:rsidRPr="00B64D66">
        <w:rPr>
          <w:szCs w:val="24"/>
        </w:rPr>
        <w:t xml:space="preserve"> ir izveidot neatkarīgu, brīvprātīgu </w:t>
      </w:r>
      <w:r w:rsidR="00F44144" w:rsidRPr="00B64D66">
        <w:rPr>
          <w:szCs w:val="24"/>
        </w:rPr>
        <w:t>novērtējuma sistēmu</w:t>
      </w:r>
      <w:r w:rsidRPr="00737207">
        <w:rPr>
          <w:szCs w:val="24"/>
        </w:rPr>
        <w:t xml:space="preserve"> klastera vadības izcilībai, kas tiek pieņemt</w:t>
      </w:r>
      <w:r w:rsidR="00F44144" w:rsidRPr="00737207">
        <w:rPr>
          <w:szCs w:val="24"/>
        </w:rPr>
        <w:t>a</w:t>
      </w:r>
      <w:r w:rsidRPr="00737207">
        <w:rPr>
          <w:szCs w:val="24"/>
        </w:rPr>
        <w:t xml:space="preserve"> un atzīt</w:t>
      </w:r>
      <w:r w:rsidR="00F44144" w:rsidRPr="00737207">
        <w:rPr>
          <w:szCs w:val="24"/>
        </w:rPr>
        <w:t>a</w:t>
      </w:r>
      <w:r w:rsidRPr="00737207">
        <w:rPr>
          <w:szCs w:val="24"/>
        </w:rPr>
        <w:t xml:space="preserve"> visā Eiropā, vai pat ārpus tās. Šī kvalitātes etiķete  ir ne tikai vērsta uz atšķirību starp "labi" un "slikti", bet uz to, lai motivētu klasteru vadītājus piedalīties klasteru uzlabošanā, lai kļūtu labāki, salīdzinot ar citiem, un mācītos no labākajiem.</w:t>
      </w:r>
    </w:p>
    <w:p w:rsidR="00B20709" w:rsidRPr="00737207" w:rsidRDefault="00905A14" w:rsidP="002E6310">
      <w:pPr>
        <w:widowControl w:val="0"/>
        <w:spacing w:after="40"/>
        <w:ind w:firstLine="720"/>
        <w:rPr>
          <w:szCs w:val="24"/>
        </w:rPr>
      </w:pPr>
      <w:r w:rsidRPr="00057FB2">
        <w:rPr>
          <w:szCs w:val="24"/>
        </w:rPr>
        <w:t xml:space="preserve">“Cluster Excellence” ir vērsta uz klasteru organizāciju vadību. Dalība “Cluster Excellence” ir brīvprātīga un paredzēta klastera </w:t>
      </w:r>
      <w:r w:rsidR="00737207" w:rsidRPr="00AB3047">
        <w:rPr>
          <w:szCs w:val="24"/>
        </w:rPr>
        <w:t>koordinatoriem</w:t>
      </w:r>
      <w:r w:rsidRPr="00AB3047">
        <w:rPr>
          <w:szCs w:val="24"/>
        </w:rPr>
        <w:t>, kas vēlas neatkarīgas trešās iestādes vērtējumu par klastera pārvaldības izcilību atbilstoši saskaņotiem un pārredzamiem klasteru organizāciju vadīb</w:t>
      </w:r>
      <w:r w:rsidR="00737207">
        <w:rPr>
          <w:szCs w:val="24"/>
        </w:rPr>
        <w:t>a</w:t>
      </w:r>
      <w:r w:rsidRPr="00737207">
        <w:rPr>
          <w:szCs w:val="24"/>
        </w:rPr>
        <w:t xml:space="preserve">s izcilības rādītājiem. </w:t>
      </w:r>
      <w:r w:rsidR="00737207">
        <w:rPr>
          <w:szCs w:val="24"/>
        </w:rPr>
        <w:t>“</w:t>
      </w:r>
      <w:r w:rsidR="0044493C" w:rsidRPr="00737207">
        <w:rPr>
          <w:szCs w:val="24"/>
        </w:rPr>
        <w:t>Cluster Exellence</w:t>
      </w:r>
      <w:r w:rsidRPr="00737207">
        <w:rPr>
          <w:szCs w:val="24"/>
        </w:rPr>
        <w:t>” ļau</w:t>
      </w:r>
      <w:r w:rsidR="00737207">
        <w:rPr>
          <w:szCs w:val="24"/>
        </w:rPr>
        <w:t>j</w:t>
      </w:r>
      <w:r w:rsidRPr="00737207">
        <w:rPr>
          <w:szCs w:val="24"/>
        </w:rPr>
        <w:t xml:space="preserve"> klasteru vadītājiem</w:t>
      </w:r>
      <w:r w:rsidR="00737207">
        <w:rPr>
          <w:szCs w:val="24"/>
        </w:rPr>
        <w:t xml:space="preserve"> </w:t>
      </w:r>
      <w:r w:rsidRPr="00737207">
        <w:rPr>
          <w:szCs w:val="24"/>
        </w:rPr>
        <w:t>pierādīt klastera pārvaldības izcilību ieinteresētajām personām, piemēram, biedriem, politikas veidotājiem u.c.</w:t>
      </w:r>
    </w:p>
    <w:p w:rsidR="00905A14" w:rsidRPr="00057FB2" w:rsidRDefault="00905A14" w:rsidP="002E6310">
      <w:pPr>
        <w:widowControl w:val="0"/>
        <w:spacing w:after="40"/>
        <w:ind w:firstLine="720"/>
        <w:rPr>
          <w:szCs w:val="24"/>
        </w:rPr>
      </w:pPr>
      <w:r w:rsidRPr="00057FB2">
        <w:rPr>
          <w:szCs w:val="24"/>
        </w:rPr>
        <w:t>“Cluster Excellence” ir piemērojama plaša spektra klasteriem visā Eiropā un visā pasaulē. Tā uzskatāma par procesu, kas ļauj klasteriem ilgstošā procesā turpināt uzlabot klastera pārvaldību.</w:t>
      </w:r>
    </w:p>
    <w:p w:rsidR="00905A14" w:rsidRPr="00A71EDD" w:rsidRDefault="00905A14" w:rsidP="002E6310">
      <w:pPr>
        <w:keepNext/>
        <w:widowControl w:val="0"/>
        <w:spacing w:before="120" w:after="120"/>
        <w:ind w:right="-28" w:firstLine="720"/>
        <w:outlineLvl w:val="1"/>
        <w:rPr>
          <w:szCs w:val="24"/>
        </w:rPr>
      </w:pPr>
      <w:r w:rsidRPr="006D5F32">
        <w:rPr>
          <w:szCs w:val="24"/>
        </w:rPr>
        <w:t xml:space="preserve">Līdz </w:t>
      </w:r>
      <w:r w:rsidR="00BD7699" w:rsidRPr="00AB3047">
        <w:rPr>
          <w:szCs w:val="24"/>
        </w:rPr>
        <w:t>šim brīdim 7</w:t>
      </w:r>
      <w:r w:rsidRPr="00AB3047">
        <w:rPr>
          <w:szCs w:val="24"/>
        </w:rPr>
        <w:t>66 klasteri no 3</w:t>
      </w:r>
      <w:r w:rsidR="00BD7699" w:rsidRPr="00AB3047">
        <w:rPr>
          <w:szCs w:val="24"/>
        </w:rPr>
        <w:t>8</w:t>
      </w:r>
      <w:r w:rsidRPr="00D930FF">
        <w:rPr>
          <w:szCs w:val="24"/>
        </w:rPr>
        <w:t xml:space="preserve"> valstīm ir pieteikušies ES “Cluster Excellence” </w:t>
      </w:r>
      <w:r w:rsidR="00737207" w:rsidRPr="00FA6557">
        <w:rPr>
          <w:szCs w:val="24"/>
        </w:rPr>
        <w:t>programmā</w:t>
      </w:r>
      <w:r w:rsidRPr="00FA6557">
        <w:rPr>
          <w:szCs w:val="24"/>
        </w:rPr>
        <w:t xml:space="preserve"> un ieguvuš</w:t>
      </w:r>
      <w:r w:rsidR="00BC6970" w:rsidRPr="00E841FF">
        <w:rPr>
          <w:szCs w:val="24"/>
        </w:rPr>
        <w:t>i</w:t>
      </w:r>
      <w:r w:rsidRPr="00E841FF">
        <w:rPr>
          <w:szCs w:val="24"/>
        </w:rPr>
        <w:t xml:space="preserve"> bronzas klastera izcilības</w:t>
      </w:r>
      <w:r w:rsidR="00CD72CE" w:rsidRPr="00A71EDD">
        <w:rPr>
          <w:szCs w:val="24"/>
        </w:rPr>
        <w:t xml:space="preserve"> zīmola novērtējumu</w:t>
      </w:r>
      <w:r w:rsidRPr="00A71EDD">
        <w:rPr>
          <w:szCs w:val="24"/>
        </w:rPr>
        <w:t xml:space="preserve">, </w:t>
      </w:r>
      <w:r w:rsidR="00BD7699" w:rsidRPr="00A71EDD">
        <w:rPr>
          <w:szCs w:val="24"/>
        </w:rPr>
        <w:t>57 klasteri no 11</w:t>
      </w:r>
      <w:r w:rsidRPr="00A71EDD">
        <w:rPr>
          <w:szCs w:val="24"/>
        </w:rPr>
        <w:t xml:space="preserve"> </w:t>
      </w:r>
      <w:r w:rsidR="00BD7699" w:rsidRPr="00A71EDD">
        <w:rPr>
          <w:szCs w:val="24"/>
        </w:rPr>
        <w:t>valstīm</w:t>
      </w:r>
      <w:r w:rsidRPr="00A71EDD">
        <w:rPr>
          <w:szCs w:val="24"/>
        </w:rPr>
        <w:t xml:space="preserve"> ieguvuši zelta </w:t>
      </w:r>
      <w:r w:rsidR="00CD72CE" w:rsidRPr="00A71EDD">
        <w:rPr>
          <w:szCs w:val="24"/>
        </w:rPr>
        <w:t xml:space="preserve">izcilības zīmola </w:t>
      </w:r>
      <w:r w:rsidR="00737207" w:rsidRPr="00A71EDD">
        <w:rPr>
          <w:szCs w:val="24"/>
        </w:rPr>
        <w:t>novērtējumu</w:t>
      </w:r>
      <w:r w:rsidRPr="00A71EDD">
        <w:rPr>
          <w:szCs w:val="24"/>
        </w:rPr>
        <w:t>.</w:t>
      </w:r>
    </w:p>
    <w:p w:rsidR="00905A14" w:rsidRPr="00737207" w:rsidRDefault="00905A14" w:rsidP="002E6310">
      <w:pPr>
        <w:keepNext/>
        <w:widowControl w:val="0"/>
        <w:spacing w:before="120" w:after="120"/>
        <w:ind w:right="-28" w:firstLine="720"/>
        <w:outlineLvl w:val="1"/>
        <w:rPr>
          <w:szCs w:val="24"/>
        </w:rPr>
      </w:pPr>
      <w:r w:rsidRPr="00A71EDD">
        <w:rPr>
          <w:szCs w:val="24"/>
        </w:rPr>
        <w:t>No Latvijas šajā programmā ir iesaistīj</w:t>
      </w:r>
      <w:r w:rsidR="00CD72CE" w:rsidRPr="001A2BF8">
        <w:rPr>
          <w:szCs w:val="24"/>
        </w:rPr>
        <w:t xml:space="preserve">ušies divi klasteri, no kuriem viens ir saņēmis atbalstu </w:t>
      </w:r>
      <w:r w:rsidR="00737207">
        <w:rPr>
          <w:szCs w:val="24"/>
        </w:rPr>
        <w:lastRenderedPageBreak/>
        <w:t xml:space="preserve">2007.-2013.gada ES fondu plānošanas perioda </w:t>
      </w:r>
      <w:r w:rsidR="00CD72CE" w:rsidRPr="00737207">
        <w:rPr>
          <w:szCs w:val="24"/>
        </w:rPr>
        <w:t xml:space="preserve">Klasteru </w:t>
      </w:r>
      <w:r w:rsidR="00737207" w:rsidRPr="00737207">
        <w:rPr>
          <w:szCs w:val="24"/>
        </w:rPr>
        <w:t>programmas</w:t>
      </w:r>
      <w:r w:rsidR="00CD72CE" w:rsidRPr="00737207">
        <w:rPr>
          <w:szCs w:val="24"/>
        </w:rPr>
        <w:t xml:space="preserve"> ietvaros</w:t>
      </w:r>
      <w:r w:rsidRPr="00737207">
        <w:rPr>
          <w:szCs w:val="24"/>
        </w:rPr>
        <w:t xml:space="preserve"> </w:t>
      </w:r>
      <w:r w:rsidR="00737207">
        <w:rPr>
          <w:szCs w:val="24"/>
        </w:rPr>
        <w:t>–</w:t>
      </w:r>
      <w:r w:rsidRPr="00737207">
        <w:rPr>
          <w:szCs w:val="24"/>
        </w:rPr>
        <w:t xml:space="preserve"> Latvijas Informācijas tehnoloģiju klasteris</w:t>
      </w:r>
      <w:r w:rsidR="00BC6970" w:rsidRPr="00737207">
        <w:rPr>
          <w:szCs w:val="24"/>
        </w:rPr>
        <w:t xml:space="preserve">, kas </w:t>
      </w:r>
      <w:r w:rsidRPr="00737207">
        <w:rPr>
          <w:szCs w:val="24"/>
        </w:rPr>
        <w:t>ieguv</w:t>
      </w:r>
      <w:r w:rsidR="00BC6970" w:rsidRPr="00737207">
        <w:rPr>
          <w:szCs w:val="24"/>
        </w:rPr>
        <w:t>i</w:t>
      </w:r>
      <w:r w:rsidR="00CD72CE" w:rsidRPr="00737207">
        <w:rPr>
          <w:szCs w:val="24"/>
        </w:rPr>
        <w:t>s bronzas izcilības novērtējumu, un Latvijas loģistikas klasteris, kas arī ieguvis bronzas izcilības novērtējumu</w:t>
      </w:r>
      <w:r w:rsidR="002F2BBF" w:rsidRPr="00737207">
        <w:rPr>
          <w:szCs w:val="24"/>
        </w:rPr>
        <w:t>.</w:t>
      </w:r>
    </w:p>
    <w:p w:rsidR="007B3883" w:rsidRPr="00737207" w:rsidRDefault="00905A14" w:rsidP="002E6310">
      <w:pPr>
        <w:keepNext/>
        <w:widowControl w:val="0"/>
        <w:spacing w:before="120" w:after="120"/>
        <w:ind w:right="-28" w:firstLine="720"/>
        <w:outlineLvl w:val="1"/>
        <w:rPr>
          <w:szCs w:val="24"/>
        </w:rPr>
      </w:pPr>
      <w:r w:rsidRPr="00737207">
        <w:rPr>
          <w:szCs w:val="24"/>
        </w:rPr>
        <w:t>Klasteri</w:t>
      </w:r>
      <w:r w:rsidR="007B3883" w:rsidRPr="00737207">
        <w:rPr>
          <w:szCs w:val="24"/>
        </w:rPr>
        <w:t>,</w:t>
      </w:r>
      <w:r w:rsidRPr="00737207">
        <w:rPr>
          <w:szCs w:val="24"/>
        </w:rPr>
        <w:t xml:space="preserve"> kas iesaistās “Cluster Exellence” izrāda savu interesi tiekties uz izcilību. Piesakoties “Cluste</w:t>
      </w:r>
      <w:r w:rsidR="00737207">
        <w:rPr>
          <w:szCs w:val="24"/>
        </w:rPr>
        <w:t>r</w:t>
      </w:r>
      <w:r w:rsidRPr="00737207">
        <w:rPr>
          <w:szCs w:val="24"/>
        </w:rPr>
        <w:t xml:space="preserve"> Exellence”</w:t>
      </w:r>
      <w:r w:rsidR="00BD7699" w:rsidRPr="00737207">
        <w:rPr>
          <w:szCs w:val="24"/>
        </w:rPr>
        <w:t xml:space="preserve"> tiek veikta salīdzinošā novērtēšana (</w:t>
      </w:r>
      <w:r w:rsidR="00BD7699" w:rsidRPr="002E6310">
        <w:rPr>
          <w:i/>
          <w:szCs w:val="24"/>
        </w:rPr>
        <w:t>benchmarking</w:t>
      </w:r>
      <w:r w:rsidR="00BD7699" w:rsidRPr="00737207">
        <w:rPr>
          <w:szCs w:val="24"/>
        </w:rPr>
        <w:t>) un klasterim tiek piešķirta bronzas etiķete. Procesa ietvaros tie</w:t>
      </w:r>
      <w:r w:rsidR="001C525F" w:rsidRPr="00737207">
        <w:rPr>
          <w:szCs w:val="24"/>
        </w:rPr>
        <w:t>k</w:t>
      </w:r>
      <w:r w:rsidR="00BD7699" w:rsidRPr="00737207">
        <w:rPr>
          <w:szCs w:val="24"/>
        </w:rPr>
        <w:t xml:space="preserve"> vērtēts 31 kritērijs un klasteris tiek piel</w:t>
      </w:r>
      <w:r w:rsidR="001C525F" w:rsidRPr="00737207">
        <w:rPr>
          <w:szCs w:val="24"/>
        </w:rPr>
        <w:t>ī</w:t>
      </w:r>
      <w:r w:rsidR="00BD7699" w:rsidRPr="00737207">
        <w:rPr>
          <w:szCs w:val="24"/>
        </w:rPr>
        <w:t xml:space="preserve">dzināts labākajiem klasteriem Eiropā. </w:t>
      </w:r>
      <w:r w:rsidR="00737207" w:rsidRPr="00737207">
        <w:rPr>
          <w:szCs w:val="24"/>
        </w:rPr>
        <w:t>Izvērtēšanas</w:t>
      </w:r>
      <w:r w:rsidR="00BD7699" w:rsidRPr="00737207">
        <w:rPr>
          <w:szCs w:val="24"/>
        </w:rPr>
        <w:t xml:space="preserve"> beigās klasteris saņem </w:t>
      </w:r>
      <w:r w:rsidR="00737207" w:rsidRPr="00737207">
        <w:rPr>
          <w:szCs w:val="24"/>
        </w:rPr>
        <w:t>izvērtējumu</w:t>
      </w:r>
      <w:r w:rsidR="00BD7699" w:rsidRPr="00737207">
        <w:rPr>
          <w:szCs w:val="24"/>
        </w:rPr>
        <w:t xml:space="preserve"> (aptuveni 70</w:t>
      </w:r>
      <w:r w:rsidR="00303C15" w:rsidRPr="00737207">
        <w:rPr>
          <w:szCs w:val="24"/>
        </w:rPr>
        <w:t xml:space="preserve"> </w:t>
      </w:r>
      <w:r w:rsidR="00BD7699" w:rsidRPr="00737207">
        <w:rPr>
          <w:szCs w:val="24"/>
        </w:rPr>
        <w:t>lpp</w:t>
      </w:r>
      <w:r w:rsidR="00737207">
        <w:rPr>
          <w:szCs w:val="24"/>
        </w:rPr>
        <w:t>. apjomā</w:t>
      </w:r>
      <w:r w:rsidR="00BD7699" w:rsidRPr="00737207">
        <w:rPr>
          <w:szCs w:val="24"/>
        </w:rPr>
        <w:t>) par klastera struktūru, organizāciju, sniegtajiem pakalpojumiem, finansējumu un nepieciešamajiem uzlabojumiem.</w:t>
      </w:r>
    </w:p>
    <w:p w:rsidR="007C6995" w:rsidRDefault="007B3883" w:rsidP="002E6310">
      <w:pPr>
        <w:keepNext/>
        <w:widowControl w:val="0"/>
        <w:spacing w:before="120" w:after="120"/>
        <w:ind w:right="-28" w:firstLine="720"/>
        <w:outlineLvl w:val="1"/>
        <w:rPr>
          <w:szCs w:val="24"/>
        </w:rPr>
      </w:pPr>
      <w:r w:rsidRPr="00737207">
        <w:rPr>
          <w:szCs w:val="24"/>
        </w:rPr>
        <w:t>31</w:t>
      </w:r>
      <w:r w:rsidR="00B34F7C" w:rsidRPr="00737207">
        <w:rPr>
          <w:szCs w:val="24"/>
        </w:rPr>
        <w:t xml:space="preserve"> izvērtējuma</w:t>
      </w:r>
      <w:r w:rsidRPr="00737207">
        <w:rPr>
          <w:szCs w:val="24"/>
        </w:rPr>
        <w:t xml:space="preserve"> kritērijs ir sadalīts 5 kategorijās, k</w:t>
      </w:r>
      <w:r w:rsidR="001C525F" w:rsidRPr="00737207">
        <w:rPr>
          <w:szCs w:val="24"/>
        </w:rPr>
        <w:t>ur</w:t>
      </w:r>
      <w:r w:rsidR="00737207">
        <w:rPr>
          <w:szCs w:val="24"/>
        </w:rPr>
        <w:t>ās</w:t>
      </w:r>
      <w:r w:rsidRPr="00737207">
        <w:rPr>
          <w:szCs w:val="24"/>
        </w:rPr>
        <w:t xml:space="preserve"> tiek vērtēta: klastera struktūra (t.sk klastera dalībnieku skaits, ģeogrāfiskais izvietojums u.c</w:t>
      </w:r>
      <w:r w:rsidR="00A91181" w:rsidRPr="00737207">
        <w:rPr>
          <w:szCs w:val="24"/>
        </w:rPr>
        <w:t>.</w:t>
      </w:r>
      <w:r w:rsidRPr="00737207">
        <w:rPr>
          <w:szCs w:val="24"/>
        </w:rPr>
        <w:t>); tipoloģija, pārvaldība un sadarbība (t.sk. kontakts ar klastera</w:t>
      </w:r>
      <w:r w:rsidR="00A91181" w:rsidRPr="00737207">
        <w:rPr>
          <w:szCs w:val="24"/>
        </w:rPr>
        <w:t xml:space="preserve"> biedriem, klastera vadības personāla kvalifikācija u.c.); klastera finansējums (t.sk. klastera vadības finansējuma perspektīvas, finanšu resursi no privātā sektora); stratēģijas mērķi un pakalpojumi (t.sk. veiktspējas pārraudzība, komunikācija, darba grupas, klastera vadības</w:t>
      </w:r>
      <w:r w:rsidR="00A91181" w:rsidRPr="00057FB2">
        <w:rPr>
          <w:szCs w:val="24"/>
        </w:rPr>
        <w:t xml:space="preserve"> veiktspēja u.c.); sasniegumi un atpazīstamība (t.sk. </w:t>
      </w:r>
      <w:r w:rsidR="00B34F7C" w:rsidRPr="00057FB2">
        <w:rPr>
          <w:szCs w:val="24"/>
        </w:rPr>
        <w:t>veiksmes stāsti, sadarbības partneru apmierinātības novērtējums u.c.)</w:t>
      </w:r>
      <w:r w:rsidR="001C525F" w:rsidRPr="00057FB2">
        <w:rPr>
          <w:szCs w:val="24"/>
        </w:rPr>
        <w:t>.</w:t>
      </w:r>
    </w:p>
    <w:p w:rsidR="00B22A7D" w:rsidRPr="00BC124E" w:rsidRDefault="00B22A7D" w:rsidP="002E6310">
      <w:pPr>
        <w:keepNext/>
        <w:widowControl w:val="0"/>
        <w:spacing w:before="120" w:after="120"/>
        <w:ind w:right="-28" w:firstLine="720"/>
        <w:outlineLvl w:val="1"/>
        <w:rPr>
          <w:b/>
          <w:szCs w:val="24"/>
        </w:rPr>
      </w:pPr>
      <w:r w:rsidRPr="00BC124E">
        <w:rPr>
          <w:b/>
          <w:szCs w:val="24"/>
        </w:rPr>
        <w:t xml:space="preserve">Secinājumi no citu valstu pieredzes: </w:t>
      </w:r>
    </w:p>
    <w:p w:rsidR="00905A14" w:rsidRDefault="007C6995" w:rsidP="00BC124E">
      <w:pPr>
        <w:pStyle w:val="ListParagraph"/>
        <w:keepNext/>
        <w:widowControl w:val="0"/>
        <w:numPr>
          <w:ilvl w:val="0"/>
          <w:numId w:val="35"/>
        </w:numPr>
        <w:spacing w:before="120" w:after="120"/>
        <w:ind w:right="-28"/>
        <w:outlineLvl w:val="1"/>
        <w:rPr>
          <w:szCs w:val="24"/>
        </w:rPr>
      </w:pPr>
      <w:r w:rsidRPr="00B22A7D">
        <w:rPr>
          <w:szCs w:val="24"/>
        </w:rPr>
        <w:t xml:space="preserve">Ņemot </w:t>
      </w:r>
      <w:r w:rsidR="00737207" w:rsidRPr="00B22A7D">
        <w:rPr>
          <w:szCs w:val="24"/>
        </w:rPr>
        <w:t>vērā</w:t>
      </w:r>
      <w:r w:rsidRPr="00B22A7D">
        <w:rPr>
          <w:szCs w:val="24"/>
        </w:rPr>
        <w:t xml:space="preserve"> augstāk minēto, kā arī vēlmi iesaistīties vienot</w:t>
      </w:r>
      <w:r w:rsidR="00057FB2" w:rsidRPr="00B22A7D">
        <w:rPr>
          <w:szCs w:val="24"/>
        </w:rPr>
        <w:t>aj</w:t>
      </w:r>
      <w:r w:rsidRPr="00B22A7D">
        <w:rPr>
          <w:szCs w:val="24"/>
        </w:rPr>
        <w:t>ā ES klasteru</w:t>
      </w:r>
      <w:r w:rsidR="00E858D3" w:rsidRPr="00B22A7D">
        <w:rPr>
          <w:szCs w:val="24"/>
        </w:rPr>
        <w:t xml:space="preserve"> kvalitātes sistēmā,</w:t>
      </w:r>
      <w:r w:rsidR="006F4A88" w:rsidRPr="00B22A7D">
        <w:rPr>
          <w:szCs w:val="24"/>
        </w:rPr>
        <w:t xml:space="preserve"> Ekonomikas ministrija uzskata, ka</w:t>
      </w:r>
      <w:r w:rsidR="00E858D3" w:rsidRPr="00B22A7D">
        <w:rPr>
          <w:szCs w:val="24"/>
        </w:rPr>
        <w:t xml:space="preserve"> Latvijas klasteriem nepieciešams daudz aktīvāk piedalīties šajā Klasteru ekselences iniciatīv</w:t>
      </w:r>
      <w:r w:rsidR="00485510" w:rsidRPr="00B22A7D">
        <w:rPr>
          <w:szCs w:val="24"/>
        </w:rPr>
        <w:t xml:space="preserve">ā. Klastera sākotnējā novērtēšana gan ļauj saprast vājās puses klastera darbībā, gan sniedz ieteikumus darbības uzlabošanai. Tādēļ 2014.-2020.gada </w:t>
      </w:r>
      <w:r w:rsidR="00057FB2" w:rsidRPr="00B22A7D">
        <w:rPr>
          <w:szCs w:val="24"/>
        </w:rPr>
        <w:t xml:space="preserve">ES fondu </w:t>
      </w:r>
      <w:r w:rsidR="00485510" w:rsidRPr="00B22A7D">
        <w:rPr>
          <w:szCs w:val="24"/>
        </w:rPr>
        <w:t xml:space="preserve">plānošanas periodā ar publisko finansējumu atbalstītajiem klasteriem ir būtiski </w:t>
      </w:r>
      <w:r w:rsidR="00B22A7D">
        <w:rPr>
          <w:szCs w:val="24"/>
        </w:rPr>
        <w:t xml:space="preserve">dot iespēju </w:t>
      </w:r>
      <w:r w:rsidR="00485510" w:rsidRPr="00B22A7D">
        <w:rPr>
          <w:szCs w:val="24"/>
        </w:rPr>
        <w:t xml:space="preserve">projekta īstenošanas otrajā vai trešajā gadā </w:t>
      </w:r>
      <w:r w:rsidR="00C8088C" w:rsidRPr="00B22A7D">
        <w:rPr>
          <w:szCs w:val="24"/>
        </w:rPr>
        <w:t xml:space="preserve">veikt sākotnējo novērtējumu un izveidot darbības plānu novērtējuma ieteikumu ieviešanai. Šāda novērtējuma esamība varētu tikt izmantota arī kā priekšnosacījums klasteru turpmākai atbalstīšanai pēc 2018.gada. </w:t>
      </w:r>
    </w:p>
    <w:p w:rsidR="00B22A7D" w:rsidRDefault="00B22A7D" w:rsidP="00BC124E">
      <w:pPr>
        <w:pStyle w:val="ListParagraph"/>
        <w:keepNext/>
        <w:widowControl w:val="0"/>
        <w:numPr>
          <w:ilvl w:val="0"/>
          <w:numId w:val="35"/>
        </w:numPr>
        <w:spacing w:before="120" w:after="120"/>
        <w:ind w:right="-28"/>
        <w:outlineLvl w:val="1"/>
        <w:rPr>
          <w:szCs w:val="24"/>
        </w:rPr>
      </w:pPr>
      <w:r>
        <w:rPr>
          <w:szCs w:val="24"/>
        </w:rPr>
        <w:t xml:space="preserve">Klasteru attīstībai ir būtiski nodrošināt, ka klastera dalībnieki </w:t>
      </w:r>
      <w:r w:rsidRPr="00B22A7D">
        <w:rPr>
          <w:szCs w:val="24"/>
        </w:rPr>
        <w:t>regulāri aktīvi piedalās klastera projektos un aktivitātēs</w:t>
      </w:r>
      <w:r>
        <w:rPr>
          <w:szCs w:val="24"/>
        </w:rPr>
        <w:t xml:space="preserve">, kā arī finansiāli atbalsta klastera aktivitātes. Tādējādi klasteru stratēģijās jāparedz visu dalībnieku iesaiste klastera darbībā, nevis tikai dažu aktīvāko klasterī esošo uzņēmumu aktivitātes. </w:t>
      </w:r>
    </w:p>
    <w:p w:rsidR="00B22A7D" w:rsidRDefault="00266877" w:rsidP="00BC124E">
      <w:pPr>
        <w:pStyle w:val="ListParagraph"/>
        <w:keepNext/>
        <w:widowControl w:val="0"/>
        <w:numPr>
          <w:ilvl w:val="0"/>
          <w:numId w:val="35"/>
        </w:numPr>
        <w:spacing w:before="120" w:after="120"/>
        <w:ind w:right="-28"/>
        <w:outlineLvl w:val="1"/>
        <w:rPr>
          <w:szCs w:val="24"/>
        </w:rPr>
      </w:pPr>
      <w:r>
        <w:rPr>
          <w:szCs w:val="24"/>
        </w:rPr>
        <w:t xml:space="preserve">Svarīga ir sadarbība ar </w:t>
      </w:r>
      <w:r w:rsidRPr="00F62745">
        <w:rPr>
          <w:szCs w:val="24"/>
        </w:rPr>
        <w:t>pētniecības iestādēm</w:t>
      </w:r>
      <w:r>
        <w:rPr>
          <w:szCs w:val="24"/>
        </w:rPr>
        <w:t xml:space="preserve">, tādēļ to iesaistei jāpievērš īpaša uzmanība. Klastera dalībnieki caur klasteri var gūt būtisku informāciju </w:t>
      </w:r>
      <w:r w:rsidRPr="00266877">
        <w:rPr>
          <w:szCs w:val="24"/>
        </w:rPr>
        <w:t>par jaunākajām tendencēm tehnoloģijās, produktu inovācijās un jaunās inovācijas metodēs</w:t>
      </w:r>
      <w:r>
        <w:rPr>
          <w:szCs w:val="24"/>
        </w:rPr>
        <w:t xml:space="preserve">, jo dažādu iemeslu – finansiālu un laika resursu trūkuma dēļ – tiem citādi var būt ierobežota piekļuve šai informācijai. </w:t>
      </w:r>
    </w:p>
    <w:p w:rsidR="00266877" w:rsidRDefault="00266877" w:rsidP="00BC124E">
      <w:pPr>
        <w:pStyle w:val="ListParagraph"/>
        <w:keepNext/>
        <w:widowControl w:val="0"/>
        <w:numPr>
          <w:ilvl w:val="0"/>
          <w:numId w:val="35"/>
        </w:numPr>
        <w:spacing w:before="120" w:after="120"/>
        <w:ind w:right="-28"/>
        <w:outlineLvl w:val="1"/>
        <w:rPr>
          <w:szCs w:val="24"/>
        </w:rPr>
      </w:pPr>
      <w:r>
        <w:rPr>
          <w:szCs w:val="24"/>
        </w:rPr>
        <w:t xml:space="preserve">Klastera veiksmei nepieciešams, ka tas var īstenot dažādas aktivitātes un piedāvāt plašu pakalpojumu loku, tādēļ nepieciešams paredzēt lielāku elastību no atbildīgās iestādes un sadarbības iestādes puses klastera darbību plānošanā un izmaksu attiecināšanā, piemēram, biežāk pārskatot klastera plānoto darbību plānu un atbalstot izmaksas par pamatotām un ar klastera stratēģijas īstenošanu saistītām darbībām, kas nav tik tradicionālas kā mārketinga pasākumi un izstāžu apmeklēšanas organizēšana.   </w:t>
      </w:r>
    </w:p>
    <w:p w:rsidR="00B40C81" w:rsidRPr="00B40C81" w:rsidRDefault="00030774" w:rsidP="00BC124E">
      <w:pPr>
        <w:pStyle w:val="ListParagraph"/>
        <w:keepNext/>
        <w:widowControl w:val="0"/>
        <w:numPr>
          <w:ilvl w:val="0"/>
          <w:numId w:val="35"/>
        </w:numPr>
        <w:spacing w:before="120" w:after="120"/>
        <w:ind w:right="-28"/>
        <w:outlineLvl w:val="1"/>
        <w:rPr>
          <w:szCs w:val="24"/>
        </w:rPr>
      </w:pPr>
      <w:r>
        <w:rPr>
          <w:szCs w:val="24"/>
        </w:rPr>
        <w:t xml:space="preserve">Publiskais finansējums ir svarīgs klasteru attīstībai, taču valsts atbalsta apjoms atšķiras dažādās valstīs, un lielākoties tomēr tiek saglabāts salīdzinoši augsts (70% un vairāk). </w:t>
      </w:r>
    </w:p>
    <w:p w:rsidR="001D6B5C" w:rsidRPr="00AB3047" w:rsidRDefault="001D6B5C" w:rsidP="002E6310">
      <w:pPr>
        <w:widowControl w:val="0"/>
        <w:spacing w:after="120"/>
        <w:ind w:firstLine="720"/>
        <w:rPr>
          <w:rFonts w:eastAsia="Calibri"/>
          <w:szCs w:val="24"/>
        </w:rPr>
      </w:pPr>
    </w:p>
    <w:p w:rsidR="001D6B5C" w:rsidRPr="00D930FF" w:rsidRDefault="001D6B5C" w:rsidP="002E6310">
      <w:pPr>
        <w:widowControl w:val="0"/>
        <w:spacing w:after="120"/>
        <w:ind w:firstLine="720"/>
        <w:rPr>
          <w:rFonts w:eastAsia="Calibri"/>
          <w:b/>
          <w:szCs w:val="24"/>
        </w:rPr>
      </w:pPr>
      <w:bookmarkStart w:id="5" w:name="_Toc417324174"/>
      <w:bookmarkStart w:id="6" w:name="_Toc421100517"/>
      <w:r w:rsidRPr="00D930FF">
        <w:rPr>
          <w:rFonts w:eastAsia="Calibri"/>
          <w:szCs w:val="24"/>
        </w:rPr>
        <w:t xml:space="preserve">1.3. </w:t>
      </w:r>
      <w:r w:rsidRPr="00D930FF">
        <w:rPr>
          <w:rFonts w:eastAsia="Calibri"/>
          <w:b/>
          <w:szCs w:val="24"/>
        </w:rPr>
        <w:t>Sasaiste ar politikas plānošanas dokumentiem</w:t>
      </w:r>
      <w:bookmarkEnd w:id="5"/>
      <w:bookmarkEnd w:id="6"/>
    </w:p>
    <w:p w:rsidR="001D6B5C" w:rsidRPr="00A71EDD" w:rsidRDefault="001D6B5C" w:rsidP="002E6310">
      <w:pPr>
        <w:keepNext/>
        <w:widowControl w:val="0"/>
        <w:spacing w:before="120" w:after="120"/>
        <w:ind w:right="-28" w:firstLine="720"/>
        <w:outlineLvl w:val="1"/>
        <w:rPr>
          <w:szCs w:val="24"/>
        </w:rPr>
      </w:pPr>
      <w:r w:rsidRPr="00FA6557">
        <w:rPr>
          <w:szCs w:val="24"/>
        </w:rPr>
        <w:t xml:space="preserve">Latvijas tautsaimniecības struktūrpolitikas galvenie mērķi un virzieni līdz 2020.gadam ir noteikti vairākos politikas plānošanas dokumentos: Latvijas ilgtspējīgas attīstības stratēģijā „Latvija </w:t>
      </w:r>
      <w:r w:rsidRPr="00FA6557">
        <w:rPr>
          <w:szCs w:val="24"/>
        </w:rPr>
        <w:lastRenderedPageBreak/>
        <w:t>2030”, Latvijas Nacionālajā attīstības plānā 2014.-2020.gadam, Latvijas nacionālā reformu programmā „E</w:t>
      </w:r>
      <w:r w:rsidR="00323906" w:rsidRPr="00E841FF">
        <w:rPr>
          <w:szCs w:val="24"/>
        </w:rPr>
        <w:t>iropa</w:t>
      </w:r>
      <w:r w:rsidRPr="00E841FF">
        <w:rPr>
          <w:szCs w:val="24"/>
        </w:rPr>
        <w:t xml:space="preserve"> 2020” stratēģijas īstenošanai</w:t>
      </w:r>
      <w:r w:rsidR="004568AE" w:rsidRPr="00A71EDD">
        <w:rPr>
          <w:szCs w:val="24"/>
        </w:rPr>
        <w:t>, Latvijas preču un pakalpojumu eksporta veicināšanas un ārvalstu investīciju piesaistes pamatnostādnes 2013.–2019.gadam</w:t>
      </w:r>
      <w:r w:rsidR="000732F7" w:rsidRPr="00A71EDD">
        <w:rPr>
          <w:szCs w:val="24"/>
        </w:rPr>
        <w:t>, Zinātnes, tehnoloģiju attīstības un inovācijas pamatnostādnēs 2014.-2020.gadam</w:t>
      </w:r>
      <w:r w:rsidR="004568AE" w:rsidRPr="00A71EDD">
        <w:rPr>
          <w:szCs w:val="24"/>
        </w:rPr>
        <w:t xml:space="preserve"> </w:t>
      </w:r>
      <w:r w:rsidRPr="00A71EDD">
        <w:rPr>
          <w:szCs w:val="24"/>
        </w:rPr>
        <w:t>un Nacionālās industriālās politikas pamatnostādnēs 201</w:t>
      </w:r>
      <w:r w:rsidR="001C525F" w:rsidRPr="00A71EDD">
        <w:rPr>
          <w:szCs w:val="24"/>
        </w:rPr>
        <w:t>4</w:t>
      </w:r>
      <w:r w:rsidRPr="00A71EDD">
        <w:rPr>
          <w:szCs w:val="24"/>
        </w:rPr>
        <w:t>.-2020.gadam. Iepriekš minētajos politikas plānošanas dokumentos izvirzīto mērķu sekmīga sasniegšana saistīta ar noteiktām strukturālām izmaiņām tautsaimniecības resursu izvietojumā par labu:</w:t>
      </w:r>
    </w:p>
    <w:p w:rsidR="001D6B5C" w:rsidRPr="00E334D5" w:rsidRDefault="001D6B5C" w:rsidP="002E6310">
      <w:pPr>
        <w:widowControl w:val="0"/>
        <w:numPr>
          <w:ilvl w:val="0"/>
          <w:numId w:val="3"/>
        </w:numPr>
        <w:spacing w:after="120"/>
        <w:rPr>
          <w:rFonts w:eastAsia="Calibri"/>
          <w:szCs w:val="24"/>
        </w:rPr>
      </w:pPr>
      <w:r w:rsidRPr="00E334D5">
        <w:rPr>
          <w:rFonts w:eastAsia="Calibri"/>
          <w:szCs w:val="24"/>
        </w:rPr>
        <w:t>preču un pakalpojumu ar augstāku pievienoto vērtību ražošanai;</w:t>
      </w:r>
    </w:p>
    <w:p w:rsidR="001D6B5C" w:rsidRPr="00D46FB5" w:rsidRDefault="001D6B5C" w:rsidP="002E6310">
      <w:pPr>
        <w:widowControl w:val="0"/>
        <w:numPr>
          <w:ilvl w:val="0"/>
          <w:numId w:val="3"/>
        </w:numPr>
        <w:spacing w:after="120"/>
        <w:rPr>
          <w:rFonts w:eastAsia="Calibri"/>
          <w:szCs w:val="24"/>
        </w:rPr>
      </w:pPr>
      <w:r w:rsidRPr="00D46FB5">
        <w:rPr>
          <w:rFonts w:eastAsia="Calibri"/>
          <w:szCs w:val="24"/>
        </w:rPr>
        <w:t>uz eksportu vērstām nozarēm;</w:t>
      </w:r>
    </w:p>
    <w:p w:rsidR="001D6B5C" w:rsidRPr="00737207" w:rsidRDefault="001D6B5C" w:rsidP="002E6310">
      <w:pPr>
        <w:widowControl w:val="0"/>
        <w:numPr>
          <w:ilvl w:val="0"/>
          <w:numId w:val="3"/>
        </w:numPr>
        <w:spacing w:after="120"/>
        <w:rPr>
          <w:rFonts w:eastAsia="Calibri"/>
          <w:szCs w:val="24"/>
        </w:rPr>
      </w:pPr>
      <w:r w:rsidRPr="00B64D66">
        <w:rPr>
          <w:rFonts w:eastAsia="Calibri"/>
          <w:szCs w:val="24"/>
        </w:rPr>
        <w:t>lielākiem ieguldījumiem jaunās tehnoloģijās, inovācijā un IKT.</w:t>
      </w:r>
    </w:p>
    <w:p w:rsidR="00CD72CE" w:rsidRPr="00737207" w:rsidRDefault="00CD72CE" w:rsidP="002E6310">
      <w:pPr>
        <w:keepNext/>
        <w:widowControl w:val="0"/>
        <w:spacing w:before="120" w:after="120"/>
        <w:ind w:right="-28" w:firstLine="720"/>
        <w:outlineLvl w:val="1"/>
        <w:rPr>
          <w:szCs w:val="24"/>
        </w:rPr>
      </w:pPr>
      <w:r w:rsidRPr="00737207">
        <w:rPr>
          <w:szCs w:val="24"/>
        </w:rPr>
        <w:t>Minētās politikas īstenošana stiprinās ekonomiskās izaugsmes potenciālu, kas ļaus paātrināt rūpniecības izaugsmi, paaugstinot tautsaimniecības produktivitāti, un līdz ar to, nodrošinot stabilu izaugsmi kā vidējā termiņā, tā ilgtermiņā.</w:t>
      </w:r>
    </w:p>
    <w:p w:rsidR="001D6B5C" w:rsidRPr="00057FB2" w:rsidRDefault="001D6B5C" w:rsidP="002E6310">
      <w:pPr>
        <w:keepNext/>
        <w:widowControl w:val="0"/>
        <w:spacing w:before="120" w:after="120"/>
        <w:ind w:right="-28" w:firstLine="720"/>
        <w:outlineLvl w:val="1"/>
        <w:rPr>
          <w:szCs w:val="24"/>
        </w:rPr>
      </w:pPr>
      <w:r w:rsidRPr="00057FB2">
        <w:rPr>
          <w:szCs w:val="24"/>
        </w:rPr>
        <w:t>Latvijas Nacionālās industriālās politikas uzmanības centrā ir uz eksportu vērsto nozaru attīstība un tautsaimniecības struktūras maiņa par labu šīm nozarēm. Šai politikai jānodrošina uz ārējo pieprasījumu orientētu nozaru konkurētspējas un eksporta ienesīguma palielināšana, tādējādi veicinot valsts kopējo ienākumu pieaugumu. Latvijas apstrādes rūpniecības struktūrā izteikti dominē zemas un vidēji zemas pievienotās vērtības nozares. Tas nozīmē, ka Latvijas apstrādes rūpniecības ilgtspējīgai attīstībai ir nepieciešams diversificēt apstrādes rūpniecību un panākt straujāku vidēji augsto un augsto tehnoloģiju nozaru attīstību, kā arī sekmēt augstākas pievienotās vērtības produktu ražošanu tradicionālajās tautsaimniecības nozarēs.</w:t>
      </w:r>
    </w:p>
    <w:p w:rsidR="004568AE" w:rsidRPr="00FA6557" w:rsidRDefault="004568AE" w:rsidP="002E6310">
      <w:pPr>
        <w:keepNext/>
        <w:widowControl w:val="0"/>
        <w:spacing w:before="120" w:after="120"/>
        <w:ind w:right="-28" w:firstLine="720"/>
        <w:outlineLvl w:val="1"/>
        <w:rPr>
          <w:szCs w:val="24"/>
        </w:rPr>
      </w:pPr>
      <w:r w:rsidRPr="00AB3047">
        <w:rPr>
          <w:szCs w:val="24"/>
        </w:rPr>
        <w:t>Latvijas preču un pakalpojumu eksporta veicināšanas un ārvalstu investīciju piesaistes pamatnostādn</w:t>
      </w:r>
      <w:r w:rsidR="001C525F" w:rsidRPr="00AB3047">
        <w:rPr>
          <w:szCs w:val="24"/>
        </w:rPr>
        <w:t>ē</w:t>
      </w:r>
      <w:r w:rsidRPr="00D930FF">
        <w:rPr>
          <w:szCs w:val="24"/>
        </w:rPr>
        <w:t>s 2013.–2019.gadam noteikts, ka prioritāri eksporta atbalsta pakalpojumi ir jāorientē uz nozarēm, kuras Latvijas tautsaimniecībā veido lielāko ieguldījumu IKP un kurām ir lielākais īpatsva</w:t>
      </w:r>
      <w:r w:rsidRPr="00FA6557">
        <w:rPr>
          <w:szCs w:val="24"/>
        </w:rPr>
        <w:t xml:space="preserve">rs Latvijas preču un pakalpojumu kopējā eksportā: </w:t>
      </w:r>
    </w:p>
    <w:p w:rsidR="004568AE" w:rsidRPr="00E841FF" w:rsidRDefault="004568AE" w:rsidP="002E6310">
      <w:pPr>
        <w:widowControl w:val="0"/>
        <w:numPr>
          <w:ilvl w:val="0"/>
          <w:numId w:val="6"/>
        </w:numPr>
        <w:spacing w:after="40"/>
        <w:rPr>
          <w:rFonts w:eastAsia="Calibri"/>
          <w:szCs w:val="24"/>
        </w:rPr>
      </w:pPr>
      <w:r w:rsidRPr="00E841FF">
        <w:rPr>
          <w:rFonts w:eastAsia="Calibri"/>
          <w:bCs/>
          <w:szCs w:val="24"/>
        </w:rPr>
        <w:t xml:space="preserve">metālapstrāde un mašīnbūve; </w:t>
      </w:r>
    </w:p>
    <w:p w:rsidR="004568AE" w:rsidRPr="00A71EDD" w:rsidRDefault="004568AE" w:rsidP="002E6310">
      <w:pPr>
        <w:widowControl w:val="0"/>
        <w:numPr>
          <w:ilvl w:val="0"/>
          <w:numId w:val="6"/>
        </w:numPr>
        <w:spacing w:after="40"/>
        <w:rPr>
          <w:rFonts w:eastAsia="Calibri"/>
          <w:bCs/>
          <w:szCs w:val="24"/>
        </w:rPr>
      </w:pPr>
      <w:r w:rsidRPr="00A71EDD">
        <w:rPr>
          <w:rFonts w:eastAsia="Calibri"/>
          <w:bCs/>
          <w:szCs w:val="24"/>
        </w:rPr>
        <w:t>kokrūpniecība;</w:t>
      </w:r>
    </w:p>
    <w:p w:rsidR="004568AE" w:rsidRPr="00A71EDD" w:rsidRDefault="004568AE" w:rsidP="002E6310">
      <w:pPr>
        <w:widowControl w:val="0"/>
        <w:numPr>
          <w:ilvl w:val="0"/>
          <w:numId w:val="6"/>
        </w:numPr>
        <w:spacing w:after="40"/>
        <w:rPr>
          <w:rFonts w:eastAsia="Calibri"/>
          <w:bCs/>
          <w:szCs w:val="24"/>
        </w:rPr>
      </w:pPr>
      <w:r w:rsidRPr="00A71EDD">
        <w:rPr>
          <w:rFonts w:eastAsia="Calibri"/>
          <w:bCs/>
          <w:szCs w:val="24"/>
        </w:rPr>
        <w:t>pārtikas rūpniecība;</w:t>
      </w:r>
    </w:p>
    <w:p w:rsidR="004568AE" w:rsidRPr="001A2BF8" w:rsidRDefault="004568AE" w:rsidP="002E6310">
      <w:pPr>
        <w:widowControl w:val="0"/>
        <w:numPr>
          <w:ilvl w:val="0"/>
          <w:numId w:val="6"/>
        </w:numPr>
        <w:spacing w:after="40"/>
        <w:rPr>
          <w:rFonts w:eastAsia="Calibri"/>
          <w:bCs/>
          <w:szCs w:val="24"/>
        </w:rPr>
      </w:pPr>
      <w:r w:rsidRPr="001A2BF8">
        <w:rPr>
          <w:rFonts w:eastAsia="Calibri"/>
          <w:bCs/>
          <w:szCs w:val="24"/>
        </w:rPr>
        <w:t>ķīmiskā rūpniecība un tās saskarnozares;</w:t>
      </w:r>
    </w:p>
    <w:p w:rsidR="004568AE" w:rsidRPr="00093ECF" w:rsidRDefault="004568AE" w:rsidP="002E6310">
      <w:pPr>
        <w:widowControl w:val="0"/>
        <w:numPr>
          <w:ilvl w:val="0"/>
          <w:numId w:val="6"/>
        </w:numPr>
        <w:spacing w:after="40"/>
        <w:rPr>
          <w:rFonts w:eastAsia="Calibri"/>
          <w:bCs/>
          <w:szCs w:val="24"/>
        </w:rPr>
      </w:pPr>
      <w:r w:rsidRPr="00093ECF">
        <w:rPr>
          <w:rFonts w:eastAsia="Calibri"/>
          <w:bCs/>
          <w:szCs w:val="24"/>
        </w:rPr>
        <w:t>vieglā rūpniecība;</w:t>
      </w:r>
    </w:p>
    <w:p w:rsidR="004568AE" w:rsidRPr="00093ECF" w:rsidRDefault="004568AE" w:rsidP="002E6310">
      <w:pPr>
        <w:widowControl w:val="0"/>
        <w:numPr>
          <w:ilvl w:val="0"/>
          <w:numId w:val="6"/>
        </w:numPr>
        <w:spacing w:after="40"/>
        <w:rPr>
          <w:rFonts w:eastAsia="Calibri"/>
          <w:bCs/>
          <w:szCs w:val="24"/>
        </w:rPr>
      </w:pPr>
      <w:r w:rsidRPr="00093ECF">
        <w:rPr>
          <w:rFonts w:eastAsia="Calibri"/>
          <w:bCs/>
          <w:szCs w:val="24"/>
        </w:rPr>
        <w:t>poligrāfija;</w:t>
      </w:r>
    </w:p>
    <w:p w:rsidR="004568AE" w:rsidRPr="00093ECF" w:rsidRDefault="004568AE" w:rsidP="002E6310">
      <w:pPr>
        <w:widowControl w:val="0"/>
        <w:numPr>
          <w:ilvl w:val="0"/>
          <w:numId w:val="6"/>
        </w:numPr>
        <w:spacing w:after="40"/>
        <w:rPr>
          <w:rFonts w:eastAsia="Calibri"/>
          <w:bCs/>
          <w:szCs w:val="24"/>
        </w:rPr>
      </w:pPr>
      <w:r w:rsidRPr="00093ECF">
        <w:rPr>
          <w:rFonts w:eastAsia="Calibri"/>
          <w:bCs/>
          <w:szCs w:val="24"/>
        </w:rPr>
        <w:t>būvniecība, būvmateriālu ražošana;</w:t>
      </w:r>
    </w:p>
    <w:p w:rsidR="004568AE" w:rsidRPr="004C6DF6" w:rsidRDefault="004568AE" w:rsidP="002E6310">
      <w:pPr>
        <w:widowControl w:val="0"/>
        <w:numPr>
          <w:ilvl w:val="0"/>
          <w:numId w:val="6"/>
        </w:numPr>
        <w:spacing w:after="40"/>
        <w:rPr>
          <w:rFonts w:eastAsia="Calibri"/>
          <w:bCs/>
          <w:szCs w:val="24"/>
        </w:rPr>
      </w:pPr>
      <w:r w:rsidRPr="004C6DF6">
        <w:rPr>
          <w:rFonts w:eastAsia="Calibri"/>
          <w:bCs/>
          <w:szCs w:val="24"/>
        </w:rPr>
        <w:t>elektronika un optisko iekārtu ražošana;</w:t>
      </w:r>
    </w:p>
    <w:p w:rsidR="004568AE" w:rsidRPr="00217318" w:rsidRDefault="004568AE" w:rsidP="002E6310">
      <w:pPr>
        <w:widowControl w:val="0"/>
        <w:numPr>
          <w:ilvl w:val="0"/>
          <w:numId w:val="6"/>
        </w:numPr>
        <w:spacing w:after="40"/>
        <w:rPr>
          <w:rFonts w:eastAsia="Calibri"/>
          <w:bCs/>
          <w:szCs w:val="24"/>
        </w:rPr>
      </w:pPr>
      <w:r w:rsidRPr="00217318">
        <w:rPr>
          <w:rFonts w:eastAsia="Calibri"/>
          <w:bCs/>
          <w:szCs w:val="24"/>
        </w:rPr>
        <w:t>transports un loģistika;</w:t>
      </w:r>
    </w:p>
    <w:p w:rsidR="004568AE" w:rsidRPr="00E0406F" w:rsidRDefault="004568AE" w:rsidP="002E6310">
      <w:pPr>
        <w:widowControl w:val="0"/>
        <w:numPr>
          <w:ilvl w:val="0"/>
          <w:numId w:val="6"/>
        </w:numPr>
        <w:spacing w:after="40"/>
        <w:rPr>
          <w:rFonts w:eastAsia="Calibri"/>
          <w:bCs/>
          <w:szCs w:val="24"/>
        </w:rPr>
      </w:pPr>
      <w:r w:rsidRPr="00E0406F">
        <w:rPr>
          <w:rFonts w:eastAsia="Calibri"/>
          <w:bCs/>
          <w:szCs w:val="24"/>
        </w:rPr>
        <w:t>informācijas un komunikācijas tehnoloģijas;</w:t>
      </w:r>
    </w:p>
    <w:p w:rsidR="004568AE" w:rsidRPr="008B3008" w:rsidRDefault="004568AE" w:rsidP="002E6310">
      <w:pPr>
        <w:widowControl w:val="0"/>
        <w:numPr>
          <w:ilvl w:val="0"/>
          <w:numId w:val="6"/>
        </w:numPr>
        <w:spacing w:after="40"/>
        <w:rPr>
          <w:rFonts w:eastAsia="Calibri"/>
          <w:bCs/>
          <w:szCs w:val="24"/>
        </w:rPr>
      </w:pPr>
      <w:r w:rsidRPr="008B3008">
        <w:rPr>
          <w:rFonts w:eastAsia="Calibri"/>
          <w:bCs/>
          <w:szCs w:val="24"/>
        </w:rPr>
        <w:t>tūrisms.</w:t>
      </w:r>
    </w:p>
    <w:p w:rsidR="001C525F" w:rsidRPr="00F0079D" w:rsidRDefault="001C525F" w:rsidP="002E6310">
      <w:pPr>
        <w:widowControl w:val="0"/>
        <w:spacing w:after="40"/>
        <w:ind w:firstLine="709"/>
        <w:rPr>
          <w:szCs w:val="24"/>
          <w:lang w:eastAsia="zh-CN" w:bidi="lo-LA"/>
        </w:rPr>
      </w:pPr>
    </w:p>
    <w:p w:rsidR="004568AE" w:rsidRPr="00567F2D" w:rsidRDefault="004568AE" w:rsidP="002E6310">
      <w:pPr>
        <w:keepNext/>
        <w:widowControl w:val="0"/>
        <w:spacing w:before="120" w:after="120"/>
        <w:ind w:right="-28" w:firstLine="720"/>
        <w:outlineLvl w:val="1"/>
        <w:rPr>
          <w:szCs w:val="24"/>
        </w:rPr>
      </w:pPr>
      <w:r w:rsidRPr="00BF1DDB">
        <w:rPr>
          <w:szCs w:val="24"/>
        </w:rPr>
        <w:t>Vienlaikus, lai nodrošinātu augstāku eksportējamo preču un pakalpojumu pievienoto vērtību, ir jāorientējas ne ti</w:t>
      </w:r>
      <w:r w:rsidR="006415AE" w:rsidRPr="00C2690E">
        <w:rPr>
          <w:szCs w:val="24"/>
        </w:rPr>
        <w:t>kai</w:t>
      </w:r>
      <w:r w:rsidRPr="00C2690E">
        <w:rPr>
          <w:szCs w:val="24"/>
        </w:rPr>
        <w:t xml:space="preserve"> uz nozaru atbalstu, bet uz produktu/nišu atbalsta pi</w:t>
      </w:r>
      <w:r w:rsidRPr="00567F2D">
        <w:rPr>
          <w:szCs w:val="24"/>
        </w:rPr>
        <w:t>eeju, kas sevī ietver prioritāšu maiņu un lielāku eksporta veicināšanas aktivitāšu atbalstu par labu tiem produktiem, kas ir ar augstāku pievienoto vērtību.</w:t>
      </w:r>
    </w:p>
    <w:p w:rsidR="00C57670" w:rsidRPr="0003704A" w:rsidRDefault="000732F7" w:rsidP="002E6310">
      <w:pPr>
        <w:keepNext/>
        <w:widowControl w:val="0"/>
        <w:spacing w:before="120" w:after="120"/>
        <w:ind w:right="-28" w:firstLine="720"/>
        <w:outlineLvl w:val="1"/>
        <w:rPr>
          <w:szCs w:val="24"/>
        </w:rPr>
      </w:pPr>
      <w:r w:rsidRPr="00C753D1">
        <w:rPr>
          <w:szCs w:val="24"/>
        </w:rPr>
        <w:t>Zinātnes, tehnoloģiju attīstības un inovācijas pamatnostādnēs 2014.-2020.gadam ir ietverta Latvijas</w:t>
      </w:r>
      <w:r w:rsidRPr="00BB3C9B">
        <w:rPr>
          <w:szCs w:val="24"/>
        </w:rPr>
        <w:t xml:space="preserve"> viedās specializācijas stratēģija, kuras mērķis ir palielināt inovācijas kapacitāti, kā arī </w:t>
      </w:r>
      <w:r w:rsidRPr="00873AE0">
        <w:rPr>
          <w:szCs w:val="24"/>
        </w:rPr>
        <w:t xml:space="preserve">veidot inovācijas sistēmu, kas veicina un atbalsta tehnoloģisko progresu tautsaimniecībā un tā </w:t>
      </w:r>
      <w:r w:rsidRPr="00D356B3">
        <w:rPr>
          <w:szCs w:val="24"/>
        </w:rPr>
        <w:t xml:space="preserve">definē tautsaimniecības transformācijas virzienus, izaugsmes prioritātes un viedās specializācijas jomas. </w:t>
      </w:r>
      <w:r w:rsidRPr="00CD3B7B">
        <w:rPr>
          <w:szCs w:val="24"/>
        </w:rPr>
        <w:lastRenderedPageBreak/>
        <w:t>Viedās specializācijas stratēģijai ir trīs galvenie tautsaimniecības transformācijas virzieni</w:t>
      </w:r>
      <w:r w:rsidR="00FD5DA4" w:rsidRPr="00CD3B7B">
        <w:rPr>
          <w:szCs w:val="24"/>
        </w:rPr>
        <w:t>:</w:t>
      </w:r>
      <w:r w:rsidRPr="00DE3D61">
        <w:rPr>
          <w:szCs w:val="24"/>
        </w:rPr>
        <w:t xml:space="preserve"> 1) ražošanas un eksporta struktūras maiņa tradicionālajās tautsaimniecības, 2) izaugsme nozarēs, kurās eksistē vai ir iespējams radīt produktus un pakalpojumus ar augstu pievienoto vērtību un 3) nozaru ar nozīmīgu horizontālo ietekmi un ieguldījumu tautsaimniecības transformācijā prioritāra attīstība. Šiem darbības virzieniem ir pakārtotas sekojošas prioritātes: 1) augstas pie</w:t>
      </w:r>
      <w:r w:rsidRPr="00092FFA">
        <w:rPr>
          <w:szCs w:val="24"/>
        </w:rPr>
        <w:t xml:space="preserve">vienotās vērtības produkti, 2) produktīva inovāciju sistēma, 3) energoefektivitāte, 4) moderna IKT, 5) moderna izglītība, 6) zināšanu bāze un 7) policentriska attīstība. Viedās specializācijas stratēģijas darbības virzieni un prioritātes attiecas uz visām viedās specializācijas jomām un aktivitātēm šo jomu ietvaros. Savukārt kā </w:t>
      </w:r>
      <w:r w:rsidRPr="00DB7A63">
        <w:rPr>
          <w:szCs w:val="24"/>
        </w:rPr>
        <w:t>viedās specializācijas jomās noteiktas – 1) zināšanu ietilpīga bioekonomika, 2) biomedicīna, medicīnas tehnoloģijas, biofarmācija un biotehnoloģijas, 3) viedie materiāli, tehnoloģijas un inženiersistēmas, 4) viedā enerģētika, 5) IKT.</w:t>
      </w:r>
    </w:p>
    <w:p w:rsidR="00D10715" w:rsidRPr="00E20D70" w:rsidRDefault="00C763A8" w:rsidP="002E6310">
      <w:pPr>
        <w:keepNext/>
        <w:widowControl w:val="0"/>
        <w:spacing w:before="120" w:after="120"/>
        <w:ind w:right="-28" w:firstLine="720"/>
        <w:outlineLvl w:val="1"/>
        <w:rPr>
          <w:szCs w:val="24"/>
        </w:rPr>
      </w:pPr>
      <w:r w:rsidRPr="00641190">
        <w:rPr>
          <w:szCs w:val="24"/>
        </w:rPr>
        <w:t>Pēdējo gadu laikā klasteri ir kļuvuši par neatņemamu instrumentu viedās specializācijas stratēģijas īstenošanā. Tas pamatojams ar to, ka klasteriem ir raksturīga spēja</w:t>
      </w:r>
      <w:r w:rsidR="00735649" w:rsidRPr="00373B02">
        <w:rPr>
          <w:szCs w:val="24"/>
        </w:rPr>
        <w:t xml:space="preserve"> </w:t>
      </w:r>
      <w:r w:rsidRPr="00373B02">
        <w:rPr>
          <w:szCs w:val="24"/>
        </w:rPr>
        <w:t xml:space="preserve">atbalstīt sadarbību starp dažādiem dalībniekiem, kas iesaistīti inovāciju procesā, </w:t>
      </w:r>
      <w:r w:rsidR="00D10715" w:rsidRPr="00880219">
        <w:rPr>
          <w:szCs w:val="24"/>
        </w:rPr>
        <w:t>unikāla spēja</w:t>
      </w:r>
      <w:r w:rsidR="00735649" w:rsidRPr="00880219">
        <w:rPr>
          <w:szCs w:val="24"/>
        </w:rPr>
        <w:t xml:space="preserve"> </w:t>
      </w:r>
      <w:r w:rsidR="00D10715" w:rsidRPr="00E33057">
        <w:rPr>
          <w:szCs w:val="24"/>
        </w:rPr>
        <w:t>veicināt starpnozaru sadarbību un atvieglot tehnoloģisko hibridizāciju, kā arī klasteru lielo potenciālu veicināt internacionalizāciju. Tādējādi, klasteri ar savu da</w:t>
      </w:r>
      <w:r w:rsidR="00303C15" w:rsidRPr="00E20D70">
        <w:rPr>
          <w:szCs w:val="24"/>
        </w:rPr>
        <w:t xml:space="preserve">rbību pastarpināti īsteno </w:t>
      </w:r>
      <w:r w:rsidR="00D10715" w:rsidRPr="00E20D70">
        <w:rPr>
          <w:szCs w:val="24"/>
        </w:rPr>
        <w:t xml:space="preserve">viedās specializācijas stratēģijas mērķus. </w:t>
      </w:r>
    </w:p>
    <w:p w:rsidR="006F28A4" w:rsidRPr="0009016C" w:rsidRDefault="006F28A4" w:rsidP="002E6310">
      <w:pPr>
        <w:widowControl w:val="0"/>
        <w:ind w:firstLine="720"/>
        <w:rPr>
          <w:szCs w:val="24"/>
          <w:lang w:eastAsia="zh-TW"/>
        </w:rPr>
      </w:pPr>
    </w:p>
    <w:p w:rsidR="006F28A4" w:rsidRPr="0009016C" w:rsidRDefault="006F28A4" w:rsidP="002E6310">
      <w:pPr>
        <w:pStyle w:val="Heading1"/>
        <w:widowControl w:val="0"/>
        <w:jc w:val="left"/>
        <w:rPr>
          <w:rFonts w:ascii="Times New Roman" w:hAnsi="Times New Roman"/>
          <w:sz w:val="24"/>
          <w:szCs w:val="24"/>
        </w:rPr>
      </w:pPr>
      <w:bookmarkStart w:id="7" w:name="_Toc417375064"/>
      <w:bookmarkStart w:id="8" w:name="_Toc419295618"/>
      <w:r w:rsidRPr="0009016C">
        <w:rPr>
          <w:rFonts w:ascii="Times New Roman" w:hAnsi="Times New Roman"/>
          <w:sz w:val="24"/>
          <w:szCs w:val="24"/>
          <w:lang w:eastAsia="lv-LV"/>
        </w:rPr>
        <w:t>2. Pasākuma sākotnējās ietekmes novērtējums</w:t>
      </w:r>
      <w:bookmarkEnd w:id="7"/>
      <w:bookmarkEnd w:id="8"/>
    </w:p>
    <w:p w:rsidR="006F28A4" w:rsidRPr="002E6310" w:rsidRDefault="006F28A4" w:rsidP="002E6310">
      <w:pPr>
        <w:keepNext/>
        <w:widowControl w:val="0"/>
        <w:spacing w:before="120" w:after="120"/>
        <w:ind w:right="-28" w:firstLine="720"/>
        <w:outlineLvl w:val="1"/>
        <w:rPr>
          <w:szCs w:val="24"/>
        </w:rPr>
      </w:pPr>
      <w:r w:rsidRPr="0009016C">
        <w:rPr>
          <w:szCs w:val="24"/>
        </w:rPr>
        <w:t>2007.-2013.gada</w:t>
      </w:r>
      <w:r w:rsidR="006D5F32">
        <w:rPr>
          <w:szCs w:val="24"/>
        </w:rPr>
        <w:t xml:space="preserve"> ES fondu</w:t>
      </w:r>
      <w:r w:rsidRPr="006D5F32">
        <w:rPr>
          <w:szCs w:val="24"/>
        </w:rPr>
        <w:t xml:space="preserve"> plānošanas periodā tika īstenota darbības programmas „Uzņēmējdarbība un inovācijas”</w:t>
      </w:r>
      <w:r w:rsidR="006D5F32">
        <w:rPr>
          <w:szCs w:val="24"/>
        </w:rPr>
        <w:t xml:space="preserve"> papildinājuma</w:t>
      </w:r>
      <w:r w:rsidRPr="006D5F32">
        <w:rPr>
          <w:szCs w:val="24"/>
        </w:rPr>
        <w:t xml:space="preserve"> </w:t>
      </w:r>
      <w:hyperlink r:id="rId18" w:tgtFrame="_blank" w:history="1">
        <w:r w:rsidRPr="006A0CA3">
          <w:rPr>
            <w:szCs w:val="24"/>
          </w:rPr>
          <w:t>2.3.2.3. apakšaktivitāte „</w:t>
        </w:r>
      </w:hyperlink>
      <w:r w:rsidRPr="006A0CA3">
        <w:rPr>
          <w:szCs w:val="24"/>
        </w:rPr>
        <w:t xml:space="preserve">Klasteru </w:t>
      </w:r>
      <w:r w:rsidRPr="006D5F32">
        <w:rPr>
          <w:szCs w:val="24"/>
        </w:rPr>
        <w:t>programma”</w:t>
      </w:r>
      <w:r w:rsidR="006D5F32" w:rsidRPr="002E6310">
        <w:rPr>
          <w:szCs w:val="24"/>
        </w:rPr>
        <w:t xml:space="preserve"> (turpmāk – Klasteru programma).</w:t>
      </w:r>
    </w:p>
    <w:p w:rsidR="006F28A4" w:rsidRPr="0094419D" w:rsidRDefault="006F28A4" w:rsidP="002E6310">
      <w:pPr>
        <w:keepNext/>
        <w:widowControl w:val="0"/>
        <w:spacing w:before="120" w:after="120"/>
        <w:ind w:right="-28" w:firstLine="720"/>
        <w:outlineLvl w:val="1"/>
        <w:rPr>
          <w:szCs w:val="24"/>
        </w:rPr>
      </w:pPr>
      <w:r w:rsidRPr="00E334D5">
        <w:rPr>
          <w:szCs w:val="24"/>
        </w:rPr>
        <w:t>Klasteru programmā var piedalīties uzņēmumu reģistrā reģistrēti komersanti, izglītības</w:t>
      </w:r>
      <w:r w:rsidR="00674ACF">
        <w:rPr>
          <w:szCs w:val="24"/>
        </w:rPr>
        <w:t xml:space="preserve"> iestādes,</w:t>
      </w:r>
      <w:r w:rsidRPr="00E334D5">
        <w:rPr>
          <w:szCs w:val="24"/>
        </w:rPr>
        <w:t xml:space="preserve"> pētniecības</w:t>
      </w:r>
      <w:r w:rsidR="00674ACF">
        <w:rPr>
          <w:szCs w:val="24"/>
        </w:rPr>
        <w:t xml:space="preserve"> organizācijas un zinātniskās</w:t>
      </w:r>
      <w:r w:rsidRPr="00E334D5">
        <w:rPr>
          <w:szCs w:val="24"/>
        </w:rPr>
        <w:t xml:space="preserve"> institūcijas,</w:t>
      </w:r>
      <w:r w:rsidR="00674ACF">
        <w:rPr>
          <w:szCs w:val="24"/>
        </w:rPr>
        <w:t xml:space="preserve"> kā arī</w:t>
      </w:r>
      <w:r w:rsidRPr="00E334D5">
        <w:rPr>
          <w:szCs w:val="24"/>
        </w:rPr>
        <w:t xml:space="preserve"> citi sadarbības partneri</w:t>
      </w:r>
      <w:r w:rsidR="0094419D">
        <w:rPr>
          <w:szCs w:val="24"/>
        </w:rPr>
        <w:t xml:space="preserve"> (piemēram </w:t>
      </w:r>
      <w:r w:rsidR="00C77D65">
        <w:rPr>
          <w:szCs w:val="24"/>
        </w:rPr>
        <w:t xml:space="preserve">nevalstiskās organizācijas, </w:t>
      </w:r>
      <w:r w:rsidR="0094419D">
        <w:rPr>
          <w:szCs w:val="24"/>
        </w:rPr>
        <w:t>pašvaldības</w:t>
      </w:r>
      <w:r w:rsidR="00C77D65">
        <w:rPr>
          <w:szCs w:val="24"/>
        </w:rPr>
        <w:t xml:space="preserve"> un pašvaldību iestādes</w:t>
      </w:r>
      <w:r w:rsidR="0094419D">
        <w:rPr>
          <w:szCs w:val="24"/>
        </w:rPr>
        <w:t xml:space="preserve">, valsts </w:t>
      </w:r>
      <w:r w:rsidR="00C77D65">
        <w:rPr>
          <w:szCs w:val="24"/>
        </w:rPr>
        <w:t>iestādes,</w:t>
      </w:r>
      <w:r w:rsidR="0094419D">
        <w:rPr>
          <w:szCs w:val="24"/>
        </w:rPr>
        <w:t xml:space="preserve"> u.c.)</w:t>
      </w:r>
    </w:p>
    <w:p w:rsidR="006F28A4" w:rsidRPr="00D46FB5" w:rsidRDefault="006F28A4" w:rsidP="002E6310">
      <w:pPr>
        <w:widowControl w:val="0"/>
        <w:spacing w:before="120" w:after="120"/>
        <w:ind w:firstLine="720"/>
        <w:rPr>
          <w:rFonts w:eastAsia="Calibri"/>
          <w:szCs w:val="24"/>
        </w:rPr>
      </w:pPr>
      <w:r w:rsidRPr="00D46FB5">
        <w:rPr>
          <w:rFonts w:eastAsia="Calibri"/>
          <w:szCs w:val="24"/>
        </w:rPr>
        <w:t xml:space="preserve">Aktivitātes mērķis ir veicināt nozares savstarpēji nesaistītu komersantu, </w:t>
      </w:r>
      <w:r w:rsidR="00674ACF" w:rsidRPr="00674ACF">
        <w:rPr>
          <w:rFonts w:eastAsia="Calibri"/>
          <w:szCs w:val="24"/>
        </w:rPr>
        <w:t>izglītības iestā</w:t>
      </w:r>
      <w:r w:rsidR="00674ACF">
        <w:rPr>
          <w:rFonts w:eastAsia="Calibri"/>
          <w:szCs w:val="24"/>
        </w:rPr>
        <w:t>žu</w:t>
      </w:r>
      <w:r w:rsidR="00674ACF" w:rsidRPr="00674ACF">
        <w:rPr>
          <w:rFonts w:eastAsia="Calibri"/>
          <w:szCs w:val="24"/>
        </w:rPr>
        <w:t>, pētniecības institūcij</w:t>
      </w:r>
      <w:r w:rsidR="00674ACF">
        <w:rPr>
          <w:rFonts w:eastAsia="Calibri"/>
          <w:szCs w:val="24"/>
        </w:rPr>
        <w:t>u un</w:t>
      </w:r>
      <w:r w:rsidRPr="00D46FB5">
        <w:rPr>
          <w:rFonts w:eastAsia="Calibri"/>
          <w:szCs w:val="24"/>
        </w:rPr>
        <w:t xml:space="preserve"> citu institūciju sadarbību, tādējādi veicinot nozaru un komersantu konkurētspējas celšanu, eksporta apjomu palielināšanu, inovācijas un jaunu produktu veidošanos.</w:t>
      </w:r>
    </w:p>
    <w:p w:rsidR="006F28A4" w:rsidRPr="00D930FF" w:rsidRDefault="006F28A4" w:rsidP="002E6310">
      <w:pPr>
        <w:widowControl w:val="0"/>
        <w:spacing w:before="120" w:after="120"/>
        <w:ind w:firstLine="720"/>
        <w:rPr>
          <w:rFonts w:eastAsia="Calibri"/>
          <w:szCs w:val="24"/>
        </w:rPr>
      </w:pPr>
      <w:r w:rsidRPr="00B64D66">
        <w:rPr>
          <w:rFonts w:eastAsia="Calibri"/>
          <w:szCs w:val="24"/>
        </w:rPr>
        <w:t xml:space="preserve"> Par klasteru programmu 20</w:t>
      </w:r>
      <w:r w:rsidRPr="00737207">
        <w:rPr>
          <w:rFonts w:eastAsia="Calibri"/>
          <w:szCs w:val="24"/>
        </w:rPr>
        <w:t>07.-2013.gada ES fondu plānošanas periodā atbildīgā iestāde ir Ekonomikas ministrija un sadarbības iestāde ir</w:t>
      </w:r>
      <w:r w:rsidRPr="00057FB2">
        <w:rPr>
          <w:rFonts w:eastAsia="Calibri"/>
          <w:szCs w:val="22"/>
        </w:rPr>
        <w:t xml:space="preserve"> LIAA</w:t>
      </w:r>
      <w:r w:rsidRPr="006D5F32">
        <w:rPr>
          <w:rFonts w:eastAsia="Calibri"/>
          <w:szCs w:val="24"/>
        </w:rPr>
        <w:t xml:space="preserve">. </w:t>
      </w:r>
      <w:r w:rsidRPr="006D5F32">
        <w:rPr>
          <w:szCs w:val="24"/>
        </w:rPr>
        <w:t>Kopumā laika posmā no 02.04.2012. līdz 31.12.2014. klasteru programmā iesaistījušies</w:t>
      </w:r>
      <w:r w:rsidRPr="00AB3047">
        <w:rPr>
          <w:szCs w:val="24"/>
        </w:rPr>
        <w:t xml:space="preserve"> vairāk kā 350 uzņēmumu, </w:t>
      </w:r>
      <w:r w:rsidR="00945CA6">
        <w:rPr>
          <w:szCs w:val="24"/>
        </w:rPr>
        <w:t>izglītības iestāžu, pētniecības institūciju</w:t>
      </w:r>
      <w:r w:rsidRPr="00AB3047">
        <w:rPr>
          <w:szCs w:val="24"/>
        </w:rPr>
        <w:t>, nevalstisko organizāciju un pašvaldību.</w:t>
      </w:r>
    </w:p>
    <w:p w:rsidR="006F28A4" w:rsidRPr="006D5F32" w:rsidRDefault="006F28A4" w:rsidP="002E6310">
      <w:pPr>
        <w:keepNext/>
        <w:widowControl w:val="0"/>
        <w:spacing w:before="120" w:after="120"/>
        <w:ind w:right="-28" w:firstLine="720"/>
        <w:outlineLvl w:val="1"/>
        <w:rPr>
          <w:bCs/>
          <w:iCs/>
          <w:szCs w:val="24"/>
          <w:lang w:eastAsia="lv-LV"/>
        </w:rPr>
      </w:pPr>
      <w:r w:rsidRPr="00D930FF">
        <w:rPr>
          <w:szCs w:val="24"/>
        </w:rPr>
        <w:t xml:space="preserve">Klasteru programmas kopējais finansējums ir 4,6 milj. </w:t>
      </w:r>
      <w:r w:rsidRPr="002E6310">
        <w:rPr>
          <w:i/>
          <w:szCs w:val="24"/>
        </w:rPr>
        <w:t>euro</w:t>
      </w:r>
      <w:r w:rsidRPr="006D5F32">
        <w:rPr>
          <w:szCs w:val="24"/>
        </w:rPr>
        <w:t xml:space="preserve">. </w:t>
      </w:r>
      <w:r w:rsidRPr="006D5F32">
        <w:rPr>
          <w:bCs/>
          <w:iCs/>
          <w:szCs w:val="24"/>
          <w:lang w:eastAsia="lv-LV"/>
        </w:rPr>
        <w:t>2007.-2013.gada plānošanas periodā tiek atbalstīti 11 klasteru attīstības projekti, katram  klasterim laika posmā no 2012.</w:t>
      </w:r>
      <w:r w:rsidR="006D5F32">
        <w:rPr>
          <w:bCs/>
          <w:iCs/>
          <w:szCs w:val="24"/>
          <w:lang w:eastAsia="lv-LV"/>
        </w:rPr>
        <w:t xml:space="preserve"> līdz </w:t>
      </w:r>
      <w:r w:rsidRPr="006D5F32">
        <w:rPr>
          <w:bCs/>
          <w:iCs/>
          <w:szCs w:val="24"/>
          <w:lang w:eastAsia="lv-LV"/>
        </w:rPr>
        <w:t xml:space="preserve">2015.gada vidum tiek sniegts atbalsts 426 862 </w:t>
      </w:r>
      <w:r w:rsidRPr="002E6310">
        <w:rPr>
          <w:bCs/>
          <w:i/>
          <w:iCs/>
          <w:szCs w:val="24"/>
          <w:lang w:eastAsia="lv-LV"/>
        </w:rPr>
        <w:t>euro</w:t>
      </w:r>
      <w:r w:rsidRPr="006D5F32">
        <w:rPr>
          <w:bCs/>
          <w:iCs/>
          <w:szCs w:val="24"/>
          <w:lang w:eastAsia="lv-LV"/>
        </w:rPr>
        <w:t xml:space="preserve"> (300 000 LVL). </w:t>
      </w:r>
    </w:p>
    <w:p w:rsidR="006F28A4" w:rsidRPr="00AB3047" w:rsidRDefault="006F28A4" w:rsidP="002E6310">
      <w:pPr>
        <w:keepNext/>
        <w:widowControl w:val="0"/>
        <w:spacing w:before="120" w:after="120"/>
        <w:ind w:right="-28" w:firstLine="720"/>
        <w:outlineLvl w:val="1"/>
        <w:rPr>
          <w:bCs/>
          <w:iCs/>
          <w:szCs w:val="24"/>
          <w:lang w:eastAsia="lv-LV"/>
        </w:rPr>
      </w:pPr>
      <w:r w:rsidRPr="00AB3047">
        <w:rPr>
          <w:bCs/>
          <w:iCs/>
          <w:szCs w:val="24"/>
          <w:lang w:eastAsia="lv-LV"/>
        </w:rPr>
        <w:t xml:space="preserve">Klasteru programmas ietvaros tiek atbalstītas šādas darbības: ar klastera darbību saistīti pasākumi (tai skaitā starptautiskās sadarbības veicināšanas pasākumi; mārketinga pasākumi, tirgus izpēte un nozares attīstības pētījumi; apmācības klastera vadībā iesaistītajām personām, kas saistītas ar klastera darbības nodrošināšanu, sadarbība ar </w:t>
      </w:r>
      <w:r w:rsidR="00A74578" w:rsidRPr="00A74578">
        <w:rPr>
          <w:bCs/>
          <w:iCs/>
          <w:szCs w:val="24"/>
          <w:lang w:eastAsia="lv-LV"/>
        </w:rPr>
        <w:t>izglītības iestād</w:t>
      </w:r>
      <w:r w:rsidR="00A74578">
        <w:rPr>
          <w:bCs/>
          <w:iCs/>
          <w:szCs w:val="24"/>
          <w:lang w:eastAsia="lv-LV"/>
        </w:rPr>
        <w:t>ēm</w:t>
      </w:r>
      <w:r w:rsidR="00A74578" w:rsidRPr="00A74578">
        <w:rPr>
          <w:bCs/>
          <w:iCs/>
          <w:szCs w:val="24"/>
          <w:lang w:eastAsia="lv-LV"/>
        </w:rPr>
        <w:t xml:space="preserve">, pētniecības </w:t>
      </w:r>
      <w:r w:rsidR="00C77D65">
        <w:rPr>
          <w:bCs/>
          <w:iCs/>
          <w:szCs w:val="24"/>
          <w:lang w:eastAsia="lv-LV"/>
        </w:rPr>
        <w:t>organizācijām un zinātniskajām institūcijām</w:t>
      </w:r>
      <w:r w:rsidRPr="00AB3047">
        <w:rPr>
          <w:bCs/>
          <w:iCs/>
          <w:szCs w:val="24"/>
          <w:lang w:eastAsia="lv-LV"/>
        </w:rPr>
        <w:t>) un klastera pakalpojumu nodrošināšanai sadarbības partneriem (jaunu tehnoloģiju, produktu un pakalpojumu plānošanas un izstrādes pasākumi; mārketinga un komerciālās sadarbības sekmēšanas pasākumi; resursu efektivitātes un produktivitātes paaugstināšana nozares vai vērtības ķēdes ietvaros, u.c.).</w:t>
      </w:r>
    </w:p>
    <w:p w:rsidR="006F28A4" w:rsidRPr="006D5F32" w:rsidRDefault="006F28A4" w:rsidP="002E6310">
      <w:pPr>
        <w:keepNext/>
        <w:widowControl w:val="0"/>
        <w:spacing w:before="120" w:after="120"/>
        <w:ind w:right="-28" w:firstLine="720"/>
        <w:outlineLvl w:val="1"/>
        <w:rPr>
          <w:szCs w:val="24"/>
        </w:rPr>
      </w:pPr>
      <w:r w:rsidRPr="00AB3047">
        <w:rPr>
          <w:szCs w:val="24"/>
        </w:rPr>
        <w:t xml:space="preserve">2015.gada janvārī tika veikti grozījumi </w:t>
      </w:r>
      <w:r w:rsidR="006D5F32">
        <w:rPr>
          <w:szCs w:val="24"/>
        </w:rPr>
        <w:t>K</w:t>
      </w:r>
      <w:r w:rsidRPr="006D5F32">
        <w:rPr>
          <w:szCs w:val="24"/>
        </w:rPr>
        <w:t xml:space="preserve">lasteru programmas nosacījumos, ņemot vērā Krievijas sankcijas, kas skāra Latvijas preču un pakalpojumu eksportu. Aktivitātes īstenošanai tika piešķirts virssaistību finansējums 1 milj. </w:t>
      </w:r>
      <w:r w:rsidRPr="002E6310">
        <w:rPr>
          <w:i/>
          <w:szCs w:val="24"/>
        </w:rPr>
        <w:t>euro</w:t>
      </w:r>
      <w:r w:rsidRPr="006D5F32">
        <w:rPr>
          <w:szCs w:val="24"/>
        </w:rPr>
        <w:t xml:space="preserve"> apmērā. Reaģējot uz Krievijas sankcijām, pārtikas nozares klasterim tika atļauts palielināt projekta finansējumu par summu, kas nepārsniedz 300 000 </w:t>
      </w:r>
      <w:r w:rsidRPr="002E6310">
        <w:rPr>
          <w:i/>
          <w:szCs w:val="24"/>
        </w:rPr>
        <w:lastRenderedPageBreak/>
        <w:t>euro</w:t>
      </w:r>
      <w:r w:rsidRPr="006D5F32">
        <w:rPr>
          <w:szCs w:val="24"/>
        </w:rPr>
        <w:t xml:space="preserve">, savukārt pārējiem klasteriem – par 100 000 </w:t>
      </w:r>
      <w:r w:rsidRPr="002E6310">
        <w:rPr>
          <w:i/>
          <w:szCs w:val="24"/>
        </w:rPr>
        <w:t>euro</w:t>
      </w:r>
      <w:r w:rsidRPr="006D5F32">
        <w:rPr>
          <w:szCs w:val="24"/>
        </w:rPr>
        <w:t xml:space="preserve">. Tāpat vienam klastera sadarbības partnerim piešķiramā atbalsta apjoms (klastera sniegtie pakalpojumi) tika palielināts no 14 229 </w:t>
      </w:r>
      <w:r w:rsidRPr="002E6310">
        <w:rPr>
          <w:i/>
          <w:szCs w:val="24"/>
        </w:rPr>
        <w:t>euro</w:t>
      </w:r>
      <w:r w:rsidRPr="006D5F32">
        <w:rPr>
          <w:szCs w:val="24"/>
        </w:rPr>
        <w:t xml:space="preserve"> uz 25 000 </w:t>
      </w:r>
      <w:r w:rsidRPr="002E6310">
        <w:rPr>
          <w:i/>
          <w:szCs w:val="24"/>
        </w:rPr>
        <w:t>euro</w:t>
      </w:r>
      <w:r w:rsidRPr="006D5F32">
        <w:rPr>
          <w:szCs w:val="24"/>
        </w:rPr>
        <w:t>. Tāpat tika atļauts ar klastera darbību saistītiem pasākumiem izmantot līdz 70% no projekta īstenošanai piešķirtā publiskā finansējuma (līdzšinējo 50% vietā) un klastera pakalpojumu nodrošināšanai sadarbības partneriem – ne mazāk kā 30% no projekta publiskā finansējuma (līdzšinējo 50% vietā). Projektu maksimālais īstenošanas termiņš tika noteikts līdz 2015.gada 31.decembrim, ja tika veikti grozījumi līgumā par projekta īstenošanu, palielinot projekta īstenošanai piešķirtā finansējuma apjomu.</w:t>
      </w:r>
    </w:p>
    <w:p w:rsidR="006F28A4" w:rsidRPr="006D5F32" w:rsidRDefault="006F28A4" w:rsidP="002E6310">
      <w:pPr>
        <w:keepNext/>
        <w:widowControl w:val="0"/>
        <w:spacing w:before="120" w:after="120"/>
        <w:ind w:right="-28" w:firstLine="720"/>
        <w:outlineLvl w:val="1"/>
        <w:rPr>
          <w:szCs w:val="24"/>
        </w:rPr>
      </w:pPr>
      <w:r w:rsidRPr="006D5F32">
        <w:rPr>
          <w:szCs w:val="24"/>
        </w:rPr>
        <w:t xml:space="preserve">Programmas ietvaros tiek īstenoti 11 projekti par kopējo ERAF </w:t>
      </w:r>
      <w:r w:rsidR="006D5F32">
        <w:rPr>
          <w:szCs w:val="24"/>
        </w:rPr>
        <w:t xml:space="preserve">un virssaistību </w:t>
      </w:r>
      <w:r w:rsidRPr="006D5F32">
        <w:rPr>
          <w:szCs w:val="24"/>
        </w:rPr>
        <w:t xml:space="preserve">finansējuma summu </w:t>
      </w:r>
      <w:r w:rsidR="006F4A88" w:rsidRPr="006D5F32">
        <w:rPr>
          <w:szCs w:val="24"/>
        </w:rPr>
        <w:t>5 499 833,92</w:t>
      </w:r>
      <w:r w:rsidRPr="006D5F32">
        <w:rPr>
          <w:szCs w:val="24"/>
        </w:rPr>
        <w:t xml:space="preserve"> </w:t>
      </w:r>
      <w:r w:rsidRPr="002E6310">
        <w:rPr>
          <w:i/>
          <w:szCs w:val="24"/>
        </w:rPr>
        <w:t>euro</w:t>
      </w:r>
      <w:r w:rsidRPr="006D5F32">
        <w:rPr>
          <w:szCs w:val="24"/>
        </w:rPr>
        <w:t>. Līdz 201</w:t>
      </w:r>
      <w:r w:rsidR="006D5F32">
        <w:rPr>
          <w:szCs w:val="24"/>
        </w:rPr>
        <w:t>5</w:t>
      </w:r>
      <w:r w:rsidRPr="006D5F32">
        <w:rPr>
          <w:szCs w:val="24"/>
        </w:rPr>
        <w:t xml:space="preserve">.gada </w:t>
      </w:r>
      <w:r w:rsidR="006F4A88" w:rsidRPr="006D5F32">
        <w:rPr>
          <w:szCs w:val="24"/>
        </w:rPr>
        <w:t>17.augustam</w:t>
      </w:r>
      <w:r w:rsidRPr="006D5F32">
        <w:rPr>
          <w:szCs w:val="24"/>
        </w:rPr>
        <w:t xml:space="preserve"> LIAA ir veikusi maksājumus par </w:t>
      </w:r>
      <w:r w:rsidR="004B35F0" w:rsidRPr="006D5F32">
        <w:rPr>
          <w:szCs w:val="24"/>
        </w:rPr>
        <w:t>3 643 119,90</w:t>
      </w:r>
      <w:r w:rsidRPr="006D5F32">
        <w:rPr>
          <w:szCs w:val="24"/>
        </w:rPr>
        <w:t xml:space="preserve"> </w:t>
      </w:r>
      <w:r w:rsidRPr="002E6310">
        <w:rPr>
          <w:i/>
          <w:szCs w:val="24"/>
        </w:rPr>
        <w:t>euro</w:t>
      </w:r>
      <w:r w:rsidRPr="006D5F32">
        <w:rPr>
          <w:szCs w:val="24"/>
        </w:rPr>
        <w:t xml:space="preserve"> ERAF finansējuma (</w:t>
      </w:r>
      <w:r w:rsidR="006F4A88" w:rsidRPr="006D5F32">
        <w:rPr>
          <w:szCs w:val="24"/>
        </w:rPr>
        <w:t>66,24</w:t>
      </w:r>
      <w:r w:rsidRPr="006D5F32">
        <w:rPr>
          <w:szCs w:val="24"/>
        </w:rPr>
        <w:t>% no kopējā Programmai piešķirtā ERAF</w:t>
      </w:r>
      <w:r w:rsidR="006D5F32">
        <w:rPr>
          <w:szCs w:val="24"/>
        </w:rPr>
        <w:t xml:space="preserve"> un virssaistību</w:t>
      </w:r>
      <w:r w:rsidRPr="006D5F32">
        <w:rPr>
          <w:szCs w:val="24"/>
        </w:rPr>
        <w:t xml:space="preserve"> finansējuma). Projektu īstenotājus, līguma summas, saņemto finansējumu un tā apguvi var aplūkot tabulā Nr</w:t>
      </w:r>
      <w:r w:rsidR="002A4E8B">
        <w:rPr>
          <w:szCs w:val="24"/>
        </w:rPr>
        <w:t>.2</w:t>
      </w:r>
      <w:r w:rsidRPr="006D5F32">
        <w:rPr>
          <w:szCs w:val="24"/>
        </w:rPr>
        <w:t>.1.</w:t>
      </w:r>
    </w:p>
    <w:p w:rsidR="006F28A4" w:rsidRPr="006A0CA3" w:rsidRDefault="006F28A4" w:rsidP="002E6310">
      <w:pPr>
        <w:widowControl w:val="0"/>
        <w:jc w:val="right"/>
        <w:rPr>
          <w:rFonts w:eastAsia="Calibri"/>
          <w:bCs/>
          <w:szCs w:val="18"/>
        </w:rPr>
      </w:pPr>
      <w:r w:rsidRPr="006D5F32">
        <w:rPr>
          <w:rFonts w:eastAsia="Calibri"/>
          <w:bCs/>
          <w:color w:val="FF0000"/>
          <w:szCs w:val="18"/>
        </w:rPr>
        <w:t xml:space="preserve"> </w:t>
      </w:r>
      <w:r w:rsidRPr="002A4E8B">
        <w:rPr>
          <w:b/>
          <w:bCs/>
          <w:sz w:val="20"/>
        </w:rPr>
        <w:t>Tabula Nr.</w:t>
      </w:r>
      <w:r w:rsidR="002A4E8B" w:rsidRPr="002A4E8B">
        <w:rPr>
          <w:b/>
          <w:bCs/>
          <w:sz w:val="20"/>
        </w:rPr>
        <w:t>2.1.</w:t>
      </w:r>
    </w:p>
    <w:p w:rsidR="006F28A4" w:rsidRPr="00E334D5" w:rsidRDefault="006F28A4" w:rsidP="002E6310">
      <w:pPr>
        <w:widowControl w:val="0"/>
        <w:spacing w:after="120"/>
        <w:jc w:val="center"/>
        <w:rPr>
          <w:rFonts w:eastAsia="Calibri"/>
          <w:szCs w:val="22"/>
        </w:rPr>
      </w:pPr>
      <w:r w:rsidRPr="00E334D5">
        <w:rPr>
          <w:rFonts w:eastAsia="Calibri"/>
          <w:szCs w:val="22"/>
        </w:rPr>
        <w:t xml:space="preserve">Programmas projektu īstenotāji un to projektu </w:t>
      </w:r>
      <w:r w:rsidR="006D5F32">
        <w:rPr>
          <w:rFonts w:eastAsia="Calibri"/>
          <w:szCs w:val="22"/>
        </w:rPr>
        <w:t>finanšu</w:t>
      </w:r>
      <w:r w:rsidR="006D5F32" w:rsidRPr="00E334D5">
        <w:rPr>
          <w:rFonts w:eastAsia="Calibri"/>
          <w:szCs w:val="22"/>
        </w:rPr>
        <w:t xml:space="preserve"> </w:t>
      </w:r>
      <w:r w:rsidRPr="00E334D5">
        <w:rPr>
          <w:rFonts w:eastAsia="Calibri"/>
          <w:szCs w:val="22"/>
        </w:rPr>
        <w:t>apguve</w:t>
      </w:r>
    </w:p>
    <w:tbl>
      <w:tblPr>
        <w:tblW w:w="10455" w:type="dxa"/>
        <w:jc w:val="center"/>
        <w:tblLook w:val="04A0" w:firstRow="1" w:lastRow="0" w:firstColumn="1" w:lastColumn="0" w:noHBand="0" w:noVBand="1"/>
      </w:tblPr>
      <w:tblGrid>
        <w:gridCol w:w="3102"/>
        <w:gridCol w:w="1418"/>
        <w:gridCol w:w="1559"/>
        <w:gridCol w:w="1559"/>
        <w:gridCol w:w="1378"/>
        <w:gridCol w:w="1439"/>
      </w:tblGrid>
      <w:tr w:rsidR="00F66414" w:rsidRPr="001A1BC7" w:rsidTr="0084201B">
        <w:trPr>
          <w:trHeight w:val="744"/>
          <w:jc w:val="center"/>
        </w:trPr>
        <w:tc>
          <w:tcPr>
            <w:tcW w:w="3102" w:type="dxa"/>
            <w:tcBorders>
              <w:top w:val="single" w:sz="8" w:space="0" w:color="auto"/>
              <w:left w:val="single" w:sz="8" w:space="0" w:color="auto"/>
              <w:bottom w:val="nil"/>
              <w:right w:val="single" w:sz="8" w:space="0" w:color="auto"/>
            </w:tcBorders>
            <w:shd w:val="clear" w:color="000000" w:fill="D9D9D9"/>
            <w:noWrap/>
            <w:vAlign w:val="center"/>
            <w:hideMark/>
          </w:tcPr>
          <w:p w:rsidR="00F66414" w:rsidRPr="00D46FB5" w:rsidRDefault="00F66414" w:rsidP="002E6310">
            <w:pPr>
              <w:widowControl w:val="0"/>
              <w:jc w:val="center"/>
              <w:rPr>
                <w:rFonts w:eastAsia="Calibri"/>
                <w:b/>
                <w:bCs/>
                <w:color w:val="000000"/>
                <w:sz w:val="22"/>
                <w:szCs w:val="22"/>
              </w:rPr>
            </w:pPr>
            <w:r w:rsidRPr="00D46FB5">
              <w:rPr>
                <w:rFonts w:eastAsia="Calibri"/>
                <w:b/>
                <w:bCs/>
                <w:color w:val="000000"/>
                <w:sz w:val="22"/>
                <w:szCs w:val="22"/>
              </w:rPr>
              <w:t>Projekta īstenotājs</w:t>
            </w:r>
          </w:p>
        </w:tc>
        <w:tc>
          <w:tcPr>
            <w:tcW w:w="1418" w:type="dxa"/>
            <w:tcBorders>
              <w:top w:val="single" w:sz="8" w:space="0" w:color="auto"/>
              <w:left w:val="single" w:sz="8" w:space="0" w:color="auto"/>
              <w:bottom w:val="nil"/>
              <w:right w:val="single" w:sz="8" w:space="0" w:color="auto"/>
            </w:tcBorders>
            <w:shd w:val="clear" w:color="000000" w:fill="D9D9D9"/>
            <w:vAlign w:val="center"/>
            <w:hideMark/>
          </w:tcPr>
          <w:p w:rsidR="00F66414" w:rsidRPr="00B64D66" w:rsidRDefault="00AB3047" w:rsidP="002E6310">
            <w:pPr>
              <w:widowControl w:val="0"/>
              <w:jc w:val="center"/>
              <w:rPr>
                <w:rFonts w:eastAsia="Calibri"/>
                <w:b/>
                <w:bCs/>
                <w:color w:val="000000"/>
                <w:sz w:val="22"/>
                <w:szCs w:val="22"/>
              </w:rPr>
            </w:pPr>
            <w:r>
              <w:rPr>
                <w:rFonts w:eastAsia="Calibri"/>
                <w:b/>
                <w:bCs/>
                <w:color w:val="000000"/>
                <w:sz w:val="22"/>
                <w:szCs w:val="22"/>
              </w:rPr>
              <w:t xml:space="preserve">Publiskais finansējums </w:t>
            </w:r>
            <w:r w:rsidR="00F66414" w:rsidRPr="00B64D66">
              <w:rPr>
                <w:rFonts w:eastAsia="Calibri"/>
                <w:b/>
                <w:bCs/>
                <w:color w:val="000000"/>
                <w:sz w:val="22"/>
                <w:szCs w:val="22"/>
              </w:rPr>
              <w:t>(EUR)</w:t>
            </w:r>
          </w:p>
        </w:tc>
        <w:tc>
          <w:tcPr>
            <w:tcW w:w="1559" w:type="dxa"/>
            <w:tcBorders>
              <w:top w:val="single" w:sz="8" w:space="0" w:color="auto"/>
              <w:left w:val="nil"/>
              <w:bottom w:val="nil"/>
              <w:right w:val="single" w:sz="8" w:space="0" w:color="auto"/>
            </w:tcBorders>
            <w:shd w:val="clear" w:color="000000" w:fill="D9D9D9"/>
            <w:vAlign w:val="center"/>
            <w:hideMark/>
          </w:tcPr>
          <w:p w:rsidR="00F66414" w:rsidRPr="00737207" w:rsidRDefault="00F66414" w:rsidP="002E6310">
            <w:pPr>
              <w:widowControl w:val="0"/>
              <w:jc w:val="center"/>
              <w:rPr>
                <w:rFonts w:eastAsia="Calibri"/>
                <w:b/>
                <w:bCs/>
                <w:color w:val="000000"/>
                <w:sz w:val="22"/>
                <w:szCs w:val="22"/>
              </w:rPr>
            </w:pPr>
            <w:r w:rsidRPr="00737207">
              <w:rPr>
                <w:rFonts w:eastAsia="Calibri"/>
                <w:b/>
                <w:bCs/>
                <w:color w:val="000000"/>
                <w:sz w:val="22"/>
                <w:szCs w:val="22"/>
              </w:rPr>
              <w:t xml:space="preserve">Izmaksātais </w:t>
            </w:r>
            <w:r w:rsidR="00AB3047">
              <w:rPr>
                <w:rFonts w:eastAsia="Calibri"/>
                <w:b/>
                <w:bCs/>
                <w:color w:val="000000"/>
                <w:sz w:val="22"/>
                <w:szCs w:val="22"/>
              </w:rPr>
              <w:t xml:space="preserve">publiskais </w:t>
            </w:r>
            <w:r w:rsidRPr="00737207">
              <w:rPr>
                <w:rFonts w:eastAsia="Calibri"/>
                <w:b/>
                <w:bCs/>
                <w:color w:val="000000"/>
                <w:sz w:val="22"/>
                <w:szCs w:val="22"/>
              </w:rPr>
              <w:t>finansējums līdz 2013.gada beigām</w:t>
            </w:r>
          </w:p>
        </w:tc>
        <w:tc>
          <w:tcPr>
            <w:tcW w:w="1559" w:type="dxa"/>
            <w:tcBorders>
              <w:top w:val="single" w:sz="8" w:space="0" w:color="auto"/>
              <w:left w:val="nil"/>
              <w:bottom w:val="nil"/>
              <w:right w:val="single" w:sz="8" w:space="0" w:color="auto"/>
            </w:tcBorders>
            <w:shd w:val="clear" w:color="000000" w:fill="D9D9D9"/>
            <w:vAlign w:val="center"/>
            <w:hideMark/>
          </w:tcPr>
          <w:p w:rsidR="00F66414" w:rsidRPr="00057FB2" w:rsidRDefault="00F66414" w:rsidP="002E6310">
            <w:pPr>
              <w:widowControl w:val="0"/>
              <w:jc w:val="center"/>
              <w:rPr>
                <w:rFonts w:eastAsia="Calibri"/>
                <w:b/>
                <w:bCs/>
                <w:color w:val="000000"/>
                <w:sz w:val="22"/>
                <w:szCs w:val="22"/>
              </w:rPr>
            </w:pPr>
            <w:r w:rsidRPr="00057FB2">
              <w:rPr>
                <w:rFonts w:eastAsia="Calibri"/>
                <w:b/>
                <w:bCs/>
                <w:color w:val="000000"/>
                <w:sz w:val="22"/>
                <w:szCs w:val="22"/>
              </w:rPr>
              <w:t xml:space="preserve">Izmaksātais </w:t>
            </w:r>
            <w:r w:rsidR="00AB3047">
              <w:rPr>
                <w:rFonts w:eastAsia="Calibri"/>
                <w:b/>
                <w:bCs/>
                <w:color w:val="000000"/>
                <w:sz w:val="22"/>
                <w:szCs w:val="22"/>
              </w:rPr>
              <w:t xml:space="preserve">publiskais </w:t>
            </w:r>
            <w:r w:rsidRPr="00057FB2">
              <w:rPr>
                <w:rFonts w:eastAsia="Calibri"/>
                <w:b/>
                <w:bCs/>
                <w:color w:val="000000"/>
                <w:sz w:val="22"/>
                <w:szCs w:val="22"/>
              </w:rPr>
              <w:t>finansējums līdz 2014.gada beigām</w:t>
            </w:r>
          </w:p>
        </w:tc>
        <w:tc>
          <w:tcPr>
            <w:tcW w:w="1378" w:type="dxa"/>
            <w:tcBorders>
              <w:top w:val="single" w:sz="8" w:space="0" w:color="auto"/>
              <w:left w:val="nil"/>
              <w:bottom w:val="single" w:sz="8" w:space="0" w:color="auto"/>
              <w:right w:val="single" w:sz="8" w:space="0" w:color="auto"/>
            </w:tcBorders>
            <w:shd w:val="clear" w:color="000000" w:fill="D9D9D9"/>
          </w:tcPr>
          <w:p w:rsidR="00F66414" w:rsidRPr="00AB3047" w:rsidRDefault="0084201B" w:rsidP="002E6310">
            <w:pPr>
              <w:widowControl w:val="0"/>
              <w:jc w:val="center"/>
              <w:rPr>
                <w:rFonts w:eastAsia="Calibri"/>
                <w:b/>
                <w:bCs/>
                <w:color w:val="000000"/>
                <w:sz w:val="22"/>
                <w:szCs w:val="22"/>
              </w:rPr>
            </w:pPr>
            <w:r w:rsidRPr="00AB3047">
              <w:rPr>
                <w:rFonts w:eastAsia="Calibri"/>
                <w:b/>
                <w:bCs/>
                <w:color w:val="000000"/>
                <w:sz w:val="22"/>
                <w:szCs w:val="22"/>
              </w:rPr>
              <w:t xml:space="preserve">Izmaksātais </w:t>
            </w:r>
            <w:r w:rsidR="00AB3047">
              <w:rPr>
                <w:rFonts w:eastAsia="Calibri"/>
                <w:b/>
                <w:bCs/>
                <w:color w:val="000000"/>
                <w:sz w:val="22"/>
                <w:szCs w:val="22"/>
              </w:rPr>
              <w:t xml:space="preserve">publiskais </w:t>
            </w:r>
            <w:r w:rsidRPr="00AB3047">
              <w:rPr>
                <w:rFonts w:eastAsia="Calibri"/>
                <w:b/>
                <w:bCs/>
                <w:color w:val="000000"/>
                <w:sz w:val="22"/>
                <w:szCs w:val="22"/>
              </w:rPr>
              <w:t xml:space="preserve">finansējums uz </w:t>
            </w:r>
          </w:p>
          <w:p w:rsidR="0084201B" w:rsidRPr="00AB3047" w:rsidRDefault="0084201B" w:rsidP="002E6310">
            <w:pPr>
              <w:widowControl w:val="0"/>
              <w:jc w:val="center"/>
              <w:rPr>
                <w:rFonts w:eastAsia="Calibri"/>
                <w:b/>
                <w:bCs/>
                <w:color w:val="000000"/>
                <w:sz w:val="22"/>
                <w:szCs w:val="22"/>
              </w:rPr>
            </w:pPr>
            <w:r w:rsidRPr="00AB3047">
              <w:rPr>
                <w:rFonts w:eastAsia="Calibri"/>
                <w:b/>
                <w:bCs/>
                <w:color w:val="000000"/>
                <w:sz w:val="22"/>
                <w:szCs w:val="22"/>
              </w:rPr>
              <w:t>17.08.2015</w:t>
            </w:r>
          </w:p>
          <w:p w:rsidR="00CF4D65" w:rsidRPr="00AB3047" w:rsidRDefault="00CF4D65" w:rsidP="002E6310">
            <w:pPr>
              <w:widowControl w:val="0"/>
              <w:jc w:val="center"/>
              <w:rPr>
                <w:rFonts w:eastAsia="Calibri"/>
                <w:bCs/>
                <w:color w:val="000000"/>
                <w:sz w:val="22"/>
                <w:szCs w:val="22"/>
              </w:rPr>
            </w:pPr>
            <w:r w:rsidRPr="00AB3047">
              <w:rPr>
                <w:rFonts w:eastAsia="Calibri"/>
                <w:bCs/>
                <w:color w:val="000000"/>
                <w:sz w:val="22"/>
                <w:szCs w:val="22"/>
              </w:rPr>
              <w:t>(kopā)</w:t>
            </w:r>
          </w:p>
        </w:tc>
        <w:tc>
          <w:tcPr>
            <w:tcW w:w="1439"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F66414" w:rsidRPr="00AB3047" w:rsidRDefault="00F66414" w:rsidP="002E6310">
            <w:pPr>
              <w:widowControl w:val="0"/>
              <w:jc w:val="center"/>
              <w:rPr>
                <w:rFonts w:eastAsia="Calibri"/>
                <w:b/>
                <w:bCs/>
                <w:color w:val="000000"/>
                <w:sz w:val="22"/>
                <w:szCs w:val="22"/>
              </w:rPr>
            </w:pPr>
            <w:r w:rsidRPr="00AB3047">
              <w:rPr>
                <w:rFonts w:eastAsia="Calibri"/>
                <w:b/>
                <w:bCs/>
                <w:color w:val="000000"/>
                <w:sz w:val="22"/>
                <w:szCs w:val="22"/>
              </w:rPr>
              <w:t xml:space="preserve">Finansējuma apguve </w:t>
            </w:r>
          </w:p>
          <w:p w:rsidR="0018562B" w:rsidRPr="00AB3047" w:rsidRDefault="0018562B" w:rsidP="002E6310">
            <w:pPr>
              <w:widowControl w:val="0"/>
              <w:jc w:val="center"/>
              <w:rPr>
                <w:rFonts w:eastAsia="Calibri"/>
                <w:b/>
                <w:bCs/>
                <w:color w:val="000000"/>
                <w:sz w:val="22"/>
                <w:szCs w:val="22"/>
              </w:rPr>
            </w:pPr>
            <w:r w:rsidRPr="00AB3047">
              <w:rPr>
                <w:rFonts w:eastAsia="Calibri"/>
                <w:b/>
                <w:bCs/>
                <w:color w:val="000000"/>
                <w:sz w:val="22"/>
                <w:szCs w:val="22"/>
              </w:rPr>
              <w:t>%</w:t>
            </w:r>
          </w:p>
        </w:tc>
      </w:tr>
      <w:tr w:rsidR="00F66414" w:rsidRPr="001A1BC7" w:rsidTr="001F1214">
        <w:trPr>
          <w:trHeight w:val="637"/>
          <w:jc w:val="center"/>
        </w:trPr>
        <w:tc>
          <w:tcPr>
            <w:tcW w:w="310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Gaujas Nacionālā parka tūrisma klasteris</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461 059,02</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45</w:t>
            </w:r>
            <w:r w:rsidR="00AB3047">
              <w:rPr>
                <w:rFonts w:eastAsia="Calibri"/>
                <w:color w:val="000000"/>
                <w:sz w:val="22"/>
                <w:szCs w:val="22"/>
              </w:rPr>
              <w:t> </w:t>
            </w:r>
            <w:r w:rsidRPr="00AB3047">
              <w:rPr>
                <w:rFonts w:eastAsia="Calibri"/>
                <w:color w:val="000000"/>
                <w:sz w:val="22"/>
                <w:szCs w:val="22"/>
              </w:rPr>
              <w:t>773,07</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44</w:t>
            </w:r>
            <w:r w:rsidR="00AB3047">
              <w:rPr>
                <w:rFonts w:eastAsia="Calibri"/>
                <w:color w:val="000000"/>
                <w:sz w:val="22"/>
                <w:szCs w:val="22"/>
              </w:rPr>
              <w:t> </w:t>
            </w:r>
            <w:r w:rsidRPr="00AB3047">
              <w:rPr>
                <w:rFonts w:eastAsia="Calibri"/>
                <w:color w:val="000000"/>
                <w:sz w:val="22"/>
                <w:szCs w:val="22"/>
              </w:rPr>
              <w:t>534,37</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331 922,07</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993CB0" w:rsidP="002E6310">
            <w:pPr>
              <w:widowControl w:val="0"/>
              <w:jc w:val="center"/>
              <w:rPr>
                <w:rFonts w:eastAsia="Calibri"/>
                <w:color w:val="000000"/>
                <w:sz w:val="22"/>
                <w:szCs w:val="22"/>
              </w:rPr>
            </w:pPr>
            <w:r w:rsidRPr="00FA6557">
              <w:rPr>
                <w:rFonts w:eastAsia="Calibri"/>
                <w:color w:val="000000"/>
                <w:sz w:val="22"/>
                <w:szCs w:val="22"/>
              </w:rPr>
              <w:t>71,99</w:t>
            </w:r>
          </w:p>
        </w:tc>
      </w:tr>
      <w:tr w:rsidR="00F66414" w:rsidRPr="001A1BC7" w:rsidTr="001F1214">
        <w:trPr>
          <w:trHeight w:val="583"/>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Latvijas Informācijas tehnoloģiju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511 883,62</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27</w:t>
            </w:r>
            <w:r w:rsidR="00AB3047">
              <w:rPr>
                <w:rFonts w:eastAsia="Calibri"/>
                <w:color w:val="000000"/>
                <w:sz w:val="22"/>
                <w:szCs w:val="22"/>
              </w:rPr>
              <w:t> </w:t>
            </w:r>
            <w:r w:rsidRPr="00AB3047">
              <w:rPr>
                <w:rFonts w:eastAsia="Calibri"/>
                <w:color w:val="000000"/>
                <w:sz w:val="22"/>
                <w:szCs w:val="22"/>
              </w:rPr>
              <w:t>874,57</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105</w:t>
            </w:r>
            <w:r w:rsidR="00AB3047">
              <w:rPr>
                <w:rFonts w:eastAsia="Calibri"/>
                <w:color w:val="000000"/>
                <w:sz w:val="22"/>
                <w:szCs w:val="22"/>
              </w:rPr>
              <w:t> </w:t>
            </w:r>
            <w:r w:rsidRPr="00AB3047">
              <w:rPr>
                <w:rFonts w:eastAsia="Calibri"/>
                <w:color w:val="000000"/>
                <w:sz w:val="22"/>
                <w:szCs w:val="22"/>
              </w:rPr>
              <w:t>568,79</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383 949,39</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993CB0" w:rsidP="002E6310">
            <w:pPr>
              <w:widowControl w:val="0"/>
              <w:jc w:val="center"/>
              <w:rPr>
                <w:rFonts w:eastAsia="Calibri"/>
                <w:color w:val="000000"/>
                <w:sz w:val="22"/>
                <w:szCs w:val="22"/>
              </w:rPr>
            </w:pPr>
            <w:r w:rsidRPr="00FA6557">
              <w:rPr>
                <w:rFonts w:eastAsia="Calibri"/>
                <w:color w:val="000000"/>
                <w:sz w:val="22"/>
                <w:szCs w:val="22"/>
              </w:rPr>
              <w:t>75,00</w:t>
            </w:r>
          </w:p>
        </w:tc>
      </w:tr>
      <w:tr w:rsidR="00F66414" w:rsidRPr="001A1BC7" w:rsidTr="001F1214">
        <w:trPr>
          <w:trHeight w:val="655"/>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Latvijas Elektronikas un elektrotehnikas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520 038,32</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87</w:t>
            </w:r>
            <w:r w:rsidR="00AB3047">
              <w:rPr>
                <w:rFonts w:eastAsia="Calibri"/>
                <w:color w:val="000000"/>
                <w:sz w:val="22"/>
                <w:szCs w:val="22"/>
              </w:rPr>
              <w:t> </w:t>
            </w:r>
            <w:r w:rsidRPr="00AB3047">
              <w:rPr>
                <w:rFonts w:eastAsia="Calibri"/>
                <w:color w:val="000000"/>
                <w:sz w:val="22"/>
                <w:szCs w:val="22"/>
              </w:rPr>
              <w:t>494,64</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100</w:t>
            </w:r>
            <w:r w:rsidR="00AB3047">
              <w:rPr>
                <w:rFonts w:eastAsia="Calibri"/>
                <w:color w:val="000000"/>
                <w:sz w:val="22"/>
                <w:szCs w:val="22"/>
              </w:rPr>
              <w:t> </w:t>
            </w:r>
            <w:r w:rsidRPr="00AB3047">
              <w:rPr>
                <w:rFonts w:eastAsia="Calibri"/>
                <w:color w:val="000000"/>
                <w:sz w:val="22"/>
                <w:szCs w:val="22"/>
              </w:rPr>
              <w:t>267,73</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84201B" w:rsidP="002E6310">
            <w:pPr>
              <w:widowControl w:val="0"/>
              <w:jc w:val="center"/>
              <w:rPr>
                <w:rFonts w:eastAsia="Calibri"/>
                <w:color w:val="000000"/>
                <w:sz w:val="22"/>
                <w:szCs w:val="22"/>
              </w:rPr>
            </w:pPr>
            <w:r w:rsidRPr="00D930FF">
              <w:rPr>
                <w:rFonts w:eastAsia="Calibri"/>
                <w:color w:val="000000"/>
                <w:sz w:val="22"/>
                <w:szCs w:val="22"/>
              </w:rPr>
              <w:t>400 276,96</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993CB0" w:rsidP="002E6310">
            <w:pPr>
              <w:widowControl w:val="0"/>
              <w:jc w:val="center"/>
              <w:rPr>
                <w:rFonts w:eastAsia="Calibri"/>
                <w:color w:val="000000"/>
                <w:sz w:val="22"/>
                <w:szCs w:val="22"/>
              </w:rPr>
            </w:pPr>
            <w:r w:rsidRPr="00FA6557">
              <w:rPr>
                <w:rFonts w:eastAsia="Calibri"/>
                <w:color w:val="000000"/>
                <w:sz w:val="22"/>
                <w:szCs w:val="22"/>
              </w:rPr>
              <w:t>76,97</w:t>
            </w:r>
          </w:p>
        </w:tc>
      </w:tr>
      <w:tr w:rsidR="00F66414" w:rsidRPr="001A1BC7" w:rsidTr="001F1214">
        <w:trPr>
          <w:trHeight w:val="583"/>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Pārtikas produktu kvalitātes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696 253,98</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46</w:t>
            </w:r>
            <w:r w:rsidR="00AB3047">
              <w:rPr>
                <w:rFonts w:eastAsia="Calibri"/>
                <w:color w:val="000000"/>
                <w:sz w:val="22"/>
                <w:szCs w:val="22"/>
              </w:rPr>
              <w:t> </w:t>
            </w:r>
            <w:r w:rsidRPr="00AB3047">
              <w:rPr>
                <w:rFonts w:eastAsia="Calibri"/>
                <w:color w:val="000000"/>
                <w:sz w:val="22"/>
                <w:szCs w:val="22"/>
              </w:rPr>
              <w:t>032,82</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91</w:t>
            </w:r>
            <w:r w:rsidR="00AB3047">
              <w:rPr>
                <w:rFonts w:eastAsia="Calibri"/>
                <w:color w:val="000000"/>
                <w:sz w:val="22"/>
                <w:szCs w:val="22"/>
              </w:rPr>
              <w:t> </w:t>
            </w:r>
            <w:r w:rsidRPr="00AB3047">
              <w:rPr>
                <w:rFonts w:eastAsia="Calibri"/>
                <w:color w:val="000000"/>
                <w:sz w:val="22"/>
                <w:szCs w:val="22"/>
              </w:rPr>
              <w:t>934,15</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84201B" w:rsidP="002E6310">
            <w:pPr>
              <w:widowControl w:val="0"/>
              <w:jc w:val="center"/>
              <w:rPr>
                <w:rFonts w:eastAsia="Calibri"/>
                <w:color w:val="000000"/>
                <w:sz w:val="22"/>
                <w:szCs w:val="22"/>
              </w:rPr>
            </w:pPr>
            <w:r w:rsidRPr="00D930FF">
              <w:rPr>
                <w:rFonts w:eastAsia="Calibri"/>
                <w:color w:val="000000"/>
                <w:sz w:val="22"/>
                <w:szCs w:val="22"/>
              </w:rPr>
              <w:t>422 490,78</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BD3996" w:rsidP="002E6310">
            <w:pPr>
              <w:widowControl w:val="0"/>
              <w:jc w:val="center"/>
              <w:rPr>
                <w:rFonts w:eastAsia="Calibri"/>
                <w:color w:val="000000"/>
                <w:sz w:val="22"/>
                <w:szCs w:val="22"/>
              </w:rPr>
            </w:pPr>
            <w:r w:rsidRPr="00FA6557">
              <w:rPr>
                <w:rFonts w:eastAsia="Calibri"/>
                <w:color w:val="000000"/>
                <w:sz w:val="22"/>
                <w:szCs w:val="22"/>
              </w:rPr>
              <w:t>60,68</w:t>
            </w:r>
          </w:p>
        </w:tc>
      </w:tr>
      <w:tr w:rsidR="00F66414" w:rsidRPr="001A1BC7" w:rsidTr="001F1214">
        <w:trPr>
          <w:trHeight w:val="583"/>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Latvijas Koka būvniecības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486 221,25</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54</w:t>
            </w:r>
            <w:r w:rsidR="00AB3047">
              <w:rPr>
                <w:rFonts w:eastAsia="Calibri"/>
                <w:color w:val="000000"/>
                <w:sz w:val="22"/>
                <w:szCs w:val="22"/>
              </w:rPr>
              <w:t> </w:t>
            </w:r>
            <w:r w:rsidRPr="00AB3047">
              <w:rPr>
                <w:rFonts w:eastAsia="Calibri"/>
                <w:color w:val="000000"/>
                <w:sz w:val="22"/>
                <w:szCs w:val="22"/>
              </w:rPr>
              <w:t>239,12</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122</w:t>
            </w:r>
            <w:r w:rsidR="00AB3047">
              <w:rPr>
                <w:rFonts w:eastAsia="Calibri"/>
                <w:color w:val="000000"/>
                <w:sz w:val="22"/>
                <w:szCs w:val="22"/>
              </w:rPr>
              <w:t> </w:t>
            </w:r>
            <w:r w:rsidRPr="00AB3047">
              <w:rPr>
                <w:rFonts w:eastAsia="Calibri"/>
                <w:color w:val="000000"/>
                <w:sz w:val="22"/>
                <w:szCs w:val="22"/>
              </w:rPr>
              <w:t>254,43</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376 227,14</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BD3996" w:rsidP="002E6310">
            <w:pPr>
              <w:widowControl w:val="0"/>
              <w:jc w:val="center"/>
              <w:rPr>
                <w:rFonts w:eastAsia="Calibri"/>
                <w:color w:val="000000"/>
                <w:sz w:val="22"/>
                <w:szCs w:val="22"/>
              </w:rPr>
            </w:pPr>
            <w:r w:rsidRPr="00FA6557">
              <w:rPr>
                <w:rFonts w:eastAsia="Calibri"/>
                <w:color w:val="000000"/>
                <w:sz w:val="22"/>
                <w:szCs w:val="22"/>
              </w:rPr>
              <w:t>77,37</w:t>
            </w:r>
          </w:p>
        </w:tc>
      </w:tr>
      <w:tr w:rsidR="00F66414" w:rsidRPr="001A1BC7" w:rsidTr="001F1214">
        <w:trPr>
          <w:trHeight w:val="447"/>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Metālapstrādes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518 674,58</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67</w:t>
            </w:r>
            <w:r w:rsidR="00AB3047">
              <w:rPr>
                <w:rFonts w:eastAsia="Calibri"/>
                <w:color w:val="000000"/>
                <w:sz w:val="22"/>
                <w:szCs w:val="22"/>
              </w:rPr>
              <w:t> </w:t>
            </w:r>
            <w:r w:rsidRPr="00AB3047">
              <w:rPr>
                <w:rFonts w:eastAsia="Calibri"/>
                <w:color w:val="000000"/>
                <w:sz w:val="22"/>
                <w:szCs w:val="22"/>
              </w:rPr>
              <w:t>030,8</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141</w:t>
            </w:r>
            <w:r w:rsidR="00AB3047">
              <w:rPr>
                <w:rFonts w:eastAsia="Calibri"/>
                <w:color w:val="000000"/>
                <w:sz w:val="22"/>
                <w:szCs w:val="22"/>
              </w:rPr>
              <w:t> </w:t>
            </w:r>
            <w:r w:rsidRPr="00AB3047">
              <w:rPr>
                <w:rFonts w:eastAsia="Calibri"/>
                <w:color w:val="000000"/>
                <w:sz w:val="22"/>
                <w:szCs w:val="22"/>
              </w:rPr>
              <w:t>648,8</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330 768,94</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18562B" w:rsidP="002E6310">
            <w:pPr>
              <w:widowControl w:val="0"/>
              <w:jc w:val="center"/>
              <w:rPr>
                <w:rFonts w:eastAsia="Calibri"/>
                <w:color w:val="000000"/>
                <w:sz w:val="22"/>
                <w:szCs w:val="22"/>
              </w:rPr>
            </w:pPr>
            <w:r w:rsidRPr="00FA6557">
              <w:rPr>
                <w:rFonts w:eastAsia="Calibri"/>
                <w:color w:val="000000"/>
                <w:sz w:val="22"/>
                <w:szCs w:val="22"/>
              </w:rPr>
              <w:t>63,77</w:t>
            </w:r>
          </w:p>
        </w:tc>
      </w:tr>
      <w:tr w:rsidR="00F66414" w:rsidRPr="001A1BC7" w:rsidTr="001F1214">
        <w:trPr>
          <w:trHeight w:val="553"/>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A71EDD" w:rsidRDefault="00F66414" w:rsidP="002E6310">
            <w:pPr>
              <w:widowControl w:val="0"/>
              <w:jc w:val="center"/>
              <w:rPr>
                <w:rFonts w:eastAsia="Calibri"/>
                <w:color w:val="000000"/>
                <w:sz w:val="22"/>
                <w:szCs w:val="22"/>
              </w:rPr>
            </w:pPr>
            <w:r w:rsidRPr="001A1BC7">
              <w:rPr>
                <w:rFonts w:eastAsia="Calibri"/>
                <w:bCs/>
                <w:iCs/>
                <w:color w:val="000000"/>
                <w:sz w:val="22"/>
                <w:szCs w:val="22"/>
              </w:rPr>
              <w:t xml:space="preserve">Latvijas </w:t>
            </w:r>
            <w:r w:rsidR="00A71EDD">
              <w:rPr>
                <w:rFonts w:eastAsia="Calibri"/>
                <w:bCs/>
                <w:iCs/>
                <w:color w:val="000000"/>
                <w:sz w:val="22"/>
                <w:szCs w:val="22"/>
              </w:rPr>
              <w:t>Ilgtspējīga</w:t>
            </w:r>
            <w:r w:rsidR="00A71EDD" w:rsidRPr="00A71EDD">
              <w:rPr>
                <w:rFonts w:eastAsia="Calibri"/>
                <w:bCs/>
                <w:iCs/>
                <w:color w:val="000000"/>
                <w:sz w:val="22"/>
                <w:szCs w:val="22"/>
              </w:rPr>
              <w:t xml:space="preserve"> </w:t>
            </w:r>
            <w:r w:rsidRPr="00A71EDD">
              <w:rPr>
                <w:rFonts w:eastAsia="Calibri"/>
                <w:bCs/>
                <w:iCs/>
                <w:color w:val="000000"/>
                <w:sz w:val="22"/>
                <w:szCs w:val="22"/>
              </w:rPr>
              <w:t>tūrisma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A71EDD" w:rsidRDefault="00736F21" w:rsidP="002E6310">
            <w:pPr>
              <w:widowControl w:val="0"/>
              <w:jc w:val="center"/>
              <w:rPr>
                <w:rFonts w:eastAsia="Calibri"/>
                <w:color w:val="000000"/>
                <w:sz w:val="22"/>
                <w:szCs w:val="22"/>
              </w:rPr>
            </w:pPr>
            <w:r w:rsidRPr="00A71EDD">
              <w:rPr>
                <w:rFonts w:eastAsia="Calibri"/>
                <w:color w:val="000000"/>
                <w:sz w:val="22"/>
                <w:szCs w:val="22"/>
              </w:rPr>
              <w:t>409 340,31</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2BF8">
              <w:rPr>
                <w:rFonts w:eastAsia="Calibri"/>
                <w:color w:val="000000"/>
                <w:sz w:val="22"/>
                <w:szCs w:val="22"/>
              </w:rPr>
              <w:t>168</w:t>
            </w:r>
            <w:r w:rsidR="00AB3047">
              <w:rPr>
                <w:rFonts w:eastAsia="Calibri"/>
                <w:color w:val="000000"/>
                <w:sz w:val="22"/>
                <w:szCs w:val="22"/>
              </w:rPr>
              <w:t> </w:t>
            </w:r>
            <w:r w:rsidRPr="00AB3047">
              <w:rPr>
                <w:rFonts w:eastAsia="Calibri"/>
                <w:color w:val="000000"/>
                <w:sz w:val="22"/>
                <w:szCs w:val="22"/>
              </w:rPr>
              <w:t>681,46</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116</w:t>
            </w:r>
            <w:r w:rsidR="00AB3047">
              <w:rPr>
                <w:rFonts w:eastAsia="Calibri"/>
                <w:color w:val="000000"/>
                <w:sz w:val="22"/>
                <w:szCs w:val="22"/>
              </w:rPr>
              <w:t> </w:t>
            </w:r>
            <w:r w:rsidRPr="00AB3047">
              <w:rPr>
                <w:rFonts w:eastAsia="Calibri"/>
                <w:color w:val="000000"/>
                <w:sz w:val="22"/>
                <w:szCs w:val="22"/>
              </w:rPr>
              <w:t>226,74</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361 583,34</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BD76EE" w:rsidP="002E6310">
            <w:pPr>
              <w:widowControl w:val="0"/>
              <w:jc w:val="center"/>
              <w:rPr>
                <w:rFonts w:eastAsia="Calibri"/>
                <w:color w:val="000000"/>
                <w:sz w:val="22"/>
                <w:szCs w:val="22"/>
              </w:rPr>
            </w:pPr>
            <w:r w:rsidRPr="00FA6557">
              <w:rPr>
                <w:rFonts w:eastAsia="Calibri"/>
                <w:color w:val="000000"/>
                <w:sz w:val="22"/>
                <w:szCs w:val="22"/>
              </w:rPr>
              <w:t>88,33</w:t>
            </w:r>
          </w:p>
        </w:tc>
      </w:tr>
      <w:tr w:rsidR="00F66414" w:rsidRPr="001A1BC7" w:rsidTr="001F1214">
        <w:trPr>
          <w:trHeight w:val="560"/>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Latvijas Ķīmijas un farmācijas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522 265,30</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80</w:t>
            </w:r>
            <w:r w:rsidR="00AB3047">
              <w:rPr>
                <w:rFonts w:eastAsia="Calibri"/>
                <w:color w:val="000000"/>
                <w:sz w:val="22"/>
                <w:szCs w:val="22"/>
              </w:rPr>
              <w:t> </w:t>
            </w:r>
            <w:r w:rsidRPr="00AB3047">
              <w:rPr>
                <w:rFonts w:eastAsia="Calibri"/>
                <w:color w:val="000000"/>
                <w:sz w:val="22"/>
                <w:szCs w:val="22"/>
              </w:rPr>
              <w:t>861,37</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120</w:t>
            </w:r>
            <w:r w:rsidR="00AB3047">
              <w:rPr>
                <w:rFonts w:eastAsia="Calibri"/>
                <w:color w:val="000000"/>
                <w:sz w:val="22"/>
                <w:szCs w:val="22"/>
              </w:rPr>
              <w:t> </w:t>
            </w:r>
            <w:r w:rsidRPr="00AB3047">
              <w:rPr>
                <w:rFonts w:eastAsia="Calibri"/>
                <w:color w:val="000000"/>
                <w:sz w:val="22"/>
                <w:szCs w:val="22"/>
              </w:rPr>
              <w:t>460,45</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297 830,87</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18562B" w:rsidP="002E6310">
            <w:pPr>
              <w:widowControl w:val="0"/>
              <w:jc w:val="center"/>
              <w:rPr>
                <w:rFonts w:eastAsia="Calibri"/>
                <w:color w:val="000000"/>
                <w:sz w:val="22"/>
                <w:szCs w:val="22"/>
              </w:rPr>
            </w:pPr>
            <w:r w:rsidRPr="00FA6557">
              <w:rPr>
                <w:rFonts w:eastAsia="Calibri"/>
                <w:color w:val="000000"/>
                <w:sz w:val="22"/>
                <w:szCs w:val="22"/>
              </w:rPr>
              <w:t>57,03</w:t>
            </w:r>
          </w:p>
        </w:tc>
      </w:tr>
      <w:tr w:rsidR="00F66414" w:rsidRPr="001A1BC7" w:rsidTr="001F1214">
        <w:trPr>
          <w:trHeight w:val="583"/>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Industriālās energoefektivitātes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424 744,86</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17</w:t>
            </w:r>
            <w:r w:rsidR="00AB3047">
              <w:rPr>
                <w:rFonts w:eastAsia="Calibri"/>
                <w:color w:val="000000"/>
                <w:sz w:val="22"/>
                <w:szCs w:val="22"/>
              </w:rPr>
              <w:t> </w:t>
            </w:r>
            <w:r w:rsidRPr="00AB3047">
              <w:rPr>
                <w:rFonts w:eastAsia="Calibri"/>
                <w:color w:val="000000"/>
                <w:sz w:val="22"/>
                <w:szCs w:val="22"/>
              </w:rPr>
              <w:t>107,74</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115</w:t>
            </w:r>
            <w:r w:rsidR="00AB3047">
              <w:rPr>
                <w:rFonts w:eastAsia="Calibri"/>
                <w:color w:val="000000"/>
                <w:sz w:val="22"/>
                <w:szCs w:val="22"/>
              </w:rPr>
              <w:t> </w:t>
            </w:r>
            <w:r w:rsidRPr="00AB3047">
              <w:rPr>
                <w:rFonts w:eastAsia="Calibri"/>
                <w:color w:val="000000"/>
                <w:sz w:val="22"/>
                <w:szCs w:val="22"/>
              </w:rPr>
              <w:t>034,82</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263 110,01</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43259C" w:rsidP="002E6310">
            <w:pPr>
              <w:widowControl w:val="0"/>
              <w:jc w:val="center"/>
              <w:rPr>
                <w:rFonts w:eastAsia="Calibri"/>
                <w:color w:val="000000"/>
                <w:sz w:val="22"/>
                <w:szCs w:val="22"/>
              </w:rPr>
            </w:pPr>
            <w:r w:rsidRPr="00FA6557">
              <w:rPr>
                <w:rFonts w:eastAsia="Calibri"/>
                <w:color w:val="000000"/>
                <w:sz w:val="22"/>
                <w:szCs w:val="22"/>
              </w:rPr>
              <w:t>61,</w:t>
            </w:r>
            <w:r w:rsidR="0018562B" w:rsidRPr="00FA6557">
              <w:rPr>
                <w:rFonts w:eastAsia="Calibri"/>
                <w:color w:val="000000"/>
                <w:sz w:val="22"/>
                <w:szCs w:val="22"/>
              </w:rPr>
              <w:t>95</w:t>
            </w:r>
          </w:p>
        </w:tc>
      </w:tr>
      <w:tr w:rsidR="00F66414" w:rsidRPr="001A1BC7" w:rsidTr="001F1214">
        <w:trPr>
          <w:trHeight w:val="380"/>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Tīro tehnoloģiju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522 611,08</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72</w:t>
            </w:r>
            <w:r w:rsidR="00AB3047">
              <w:rPr>
                <w:rFonts w:eastAsia="Calibri"/>
                <w:color w:val="000000"/>
                <w:sz w:val="22"/>
                <w:szCs w:val="22"/>
              </w:rPr>
              <w:t> </w:t>
            </w:r>
            <w:r w:rsidRPr="00AB3047">
              <w:rPr>
                <w:rFonts w:eastAsia="Calibri"/>
                <w:color w:val="000000"/>
                <w:sz w:val="22"/>
                <w:szCs w:val="22"/>
              </w:rPr>
              <w:t>809,72</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83</w:t>
            </w:r>
            <w:r w:rsidR="00AB3047">
              <w:rPr>
                <w:rFonts w:eastAsia="Calibri"/>
                <w:color w:val="000000"/>
                <w:sz w:val="22"/>
                <w:szCs w:val="22"/>
              </w:rPr>
              <w:t> </w:t>
            </w:r>
            <w:r w:rsidRPr="00AB3047">
              <w:rPr>
                <w:rFonts w:eastAsia="Calibri"/>
                <w:color w:val="000000"/>
                <w:sz w:val="22"/>
                <w:szCs w:val="22"/>
              </w:rPr>
              <w:t>697,42</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343 719,78</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18562B" w:rsidP="002E6310">
            <w:pPr>
              <w:widowControl w:val="0"/>
              <w:jc w:val="center"/>
              <w:rPr>
                <w:rFonts w:eastAsia="Calibri"/>
                <w:color w:val="000000"/>
                <w:sz w:val="22"/>
                <w:szCs w:val="22"/>
              </w:rPr>
            </w:pPr>
            <w:r w:rsidRPr="00FA6557">
              <w:rPr>
                <w:rFonts w:eastAsia="Calibri"/>
                <w:color w:val="000000"/>
                <w:sz w:val="22"/>
                <w:szCs w:val="22"/>
              </w:rPr>
              <w:t>65,77</w:t>
            </w:r>
          </w:p>
        </w:tc>
      </w:tr>
      <w:tr w:rsidR="00F66414" w:rsidRPr="001A1BC7" w:rsidTr="001F1214">
        <w:trPr>
          <w:trHeight w:val="598"/>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Kosmosa tehnoloģiju un pakalpojumu nozares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426 741,60</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43</w:t>
            </w:r>
            <w:r w:rsidR="00AB3047">
              <w:rPr>
                <w:rFonts w:eastAsia="Calibri"/>
                <w:color w:val="000000"/>
                <w:sz w:val="22"/>
                <w:szCs w:val="22"/>
              </w:rPr>
              <w:t> </w:t>
            </w:r>
            <w:r w:rsidRPr="00AB3047">
              <w:rPr>
                <w:rFonts w:eastAsia="Calibri"/>
                <w:color w:val="000000"/>
                <w:sz w:val="22"/>
                <w:szCs w:val="22"/>
              </w:rPr>
              <w:t>451,15</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6A0CA3" w:rsidRDefault="00F66414" w:rsidP="002E6310">
            <w:pPr>
              <w:widowControl w:val="0"/>
              <w:jc w:val="center"/>
              <w:rPr>
                <w:rFonts w:eastAsia="Calibri"/>
                <w:color w:val="000000"/>
                <w:sz w:val="22"/>
                <w:szCs w:val="22"/>
              </w:rPr>
            </w:pPr>
            <w:r w:rsidRPr="00D930FF">
              <w:rPr>
                <w:rFonts w:eastAsia="Calibri"/>
                <w:color w:val="000000"/>
                <w:sz w:val="22"/>
                <w:szCs w:val="22"/>
              </w:rPr>
              <w:t>0</w:t>
            </w:r>
            <w:r w:rsidR="00050300" w:rsidRPr="006A0CA3">
              <w:rPr>
                <w:rStyle w:val="FootnoteReference"/>
                <w:rFonts w:eastAsia="Calibri"/>
                <w:color w:val="000000"/>
                <w:sz w:val="22"/>
                <w:szCs w:val="22"/>
              </w:rPr>
              <w:footnoteReference w:id="17"/>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E334D5" w:rsidRDefault="00CF4D65" w:rsidP="002E6310">
            <w:pPr>
              <w:widowControl w:val="0"/>
              <w:jc w:val="center"/>
              <w:rPr>
                <w:rFonts w:eastAsia="Calibri"/>
                <w:color w:val="000000"/>
                <w:sz w:val="22"/>
                <w:szCs w:val="22"/>
              </w:rPr>
            </w:pPr>
            <w:r w:rsidRPr="00E334D5">
              <w:rPr>
                <w:rFonts w:eastAsia="Calibri"/>
                <w:color w:val="000000"/>
                <w:sz w:val="22"/>
                <w:szCs w:val="22"/>
              </w:rPr>
              <w:t>131 240,62</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D46FB5" w:rsidRDefault="0043259C" w:rsidP="002E6310">
            <w:pPr>
              <w:widowControl w:val="0"/>
              <w:jc w:val="center"/>
              <w:rPr>
                <w:rFonts w:eastAsia="Calibri"/>
                <w:color w:val="000000"/>
                <w:sz w:val="22"/>
                <w:szCs w:val="22"/>
              </w:rPr>
            </w:pPr>
            <w:r w:rsidRPr="00D46FB5">
              <w:rPr>
                <w:rFonts w:eastAsia="Calibri"/>
                <w:color w:val="000000"/>
                <w:sz w:val="22"/>
                <w:szCs w:val="22"/>
              </w:rPr>
              <w:t>30,75</w:t>
            </w:r>
          </w:p>
        </w:tc>
      </w:tr>
      <w:tr w:rsidR="00F66414" w:rsidRPr="001A1BC7" w:rsidTr="001F1214">
        <w:trPr>
          <w:trHeight w:val="598"/>
          <w:jc w:val="center"/>
        </w:trPr>
        <w:tc>
          <w:tcPr>
            <w:tcW w:w="3102" w:type="dxa"/>
            <w:tcBorders>
              <w:top w:val="single" w:sz="4" w:space="0" w:color="auto"/>
              <w:left w:val="single" w:sz="4" w:space="0" w:color="auto"/>
              <w:bottom w:val="single" w:sz="4" w:space="0" w:color="auto"/>
              <w:right w:val="single" w:sz="4" w:space="0" w:color="auto"/>
            </w:tcBorders>
            <w:shd w:val="clear" w:color="auto" w:fill="auto"/>
            <w:vAlign w:val="bottom"/>
          </w:tcPr>
          <w:p w:rsidR="00F66414" w:rsidRPr="001A1BC7" w:rsidRDefault="00F66414" w:rsidP="002E6310">
            <w:pPr>
              <w:widowControl w:val="0"/>
              <w:jc w:val="center"/>
              <w:rPr>
                <w:rFonts w:eastAsia="Calibri"/>
                <w:b/>
                <w:bCs/>
                <w:iCs/>
                <w:color w:val="000000"/>
                <w:sz w:val="22"/>
                <w:szCs w:val="22"/>
              </w:rPr>
            </w:pPr>
            <w:r w:rsidRPr="001A1BC7">
              <w:rPr>
                <w:rFonts w:eastAsia="Calibri"/>
                <w:b/>
                <w:bCs/>
                <w:iCs/>
                <w:color w:val="000000"/>
                <w:sz w:val="22"/>
                <w:szCs w:val="22"/>
              </w:rPr>
              <w:lastRenderedPageBreak/>
              <w:t>KOPĀ:</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66414" w:rsidRPr="001A1BC7" w:rsidRDefault="006F4A88" w:rsidP="002E6310">
            <w:pPr>
              <w:widowControl w:val="0"/>
              <w:jc w:val="center"/>
              <w:rPr>
                <w:rFonts w:eastAsia="Calibri"/>
                <w:b/>
                <w:color w:val="000000"/>
                <w:sz w:val="22"/>
                <w:szCs w:val="22"/>
              </w:rPr>
            </w:pPr>
            <w:r w:rsidRPr="001A1BC7">
              <w:rPr>
                <w:rFonts w:eastAsia="Calibri"/>
                <w:b/>
                <w:color w:val="000000"/>
                <w:sz w:val="22"/>
                <w:szCs w:val="22"/>
              </w:rPr>
              <w:t>5 499 833,92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66414" w:rsidRPr="001A1BC7" w:rsidRDefault="00F66414" w:rsidP="002E6310">
            <w:pPr>
              <w:widowControl w:val="0"/>
              <w:jc w:val="center"/>
              <w:rPr>
                <w:rFonts w:eastAsia="Calibri"/>
                <w:b/>
                <w:color w:val="000000"/>
                <w:sz w:val="22"/>
                <w:szCs w:val="22"/>
              </w:rPr>
            </w:pPr>
            <w:r w:rsidRPr="001A1BC7">
              <w:rPr>
                <w:rFonts w:eastAsia="Calibri"/>
                <w:b/>
                <w:color w:val="000000"/>
                <w:sz w:val="22"/>
                <w:szCs w:val="22"/>
              </w:rPr>
              <w:t>711 356,46</w:t>
            </w:r>
          </w:p>
        </w:tc>
        <w:tc>
          <w:tcPr>
            <w:tcW w:w="1559" w:type="dxa"/>
            <w:tcBorders>
              <w:top w:val="single" w:sz="4" w:space="0" w:color="auto"/>
              <w:left w:val="nil"/>
              <w:bottom w:val="single" w:sz="4" w:space="0" w:color="auto"/>
              <w:right w:val="single" w:sz="8" w:space="0" w:color="auto"/>
            </w:tcBorders>
            <w:shd w:val="clear" w:color="auto" w:fill="auto"/>
            <w:noWrap/>
            <w:vAlign w:val="bottom"/>
          </w:tcPr>
          <w:p w:rsidR="00F66414" w:rsidRPr="001A1BC7" w:rsidRDefault="00F66414" w:rsidP="002E6310">
            <w:pPr>
              <w:widowControl w:val="0"/>
              <w:jc w:val="center"/>
              <w:rPr>
                <w:rFonts w:eastAsia="Calibri"/>
                <w:b/>
                <w:color w:val="000000"/>
                <w:sz w:val="22"/>
                <w:szCs w:val="22"/>
              </w:rPr>
            </w:pPr>
            <w:r w:rsidRPr="001A1BC7">
              <w:rPr>
                <w:rFonts w:eastAsia="Calibri"/>
                <w:b/>
                <w:color w:val="000000"/>
                <w:sz w:val="22"/>
                <w:szCs w:val="22"/>
              </w:rPr>
              <w:t>1 041 627,70</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1A1BC7" w:rsidRDefault="0043259C" w:rsidP="002E6310">
            <w:pPr>
              <w:widowControl w:val="0"/>
              <w:jc w:val="center"/>
              <w:rPr>
                <w:rFonts w:eastAsia="Calibri"/>
                <w:b/>
                <w:color w:val="000000"/>
                <w:sz w:val="22"/>
                <w:szCs w:val="22"/>
              </w:rPr>
            </w:pPr>
            <w:r w:rsidRPr="001A1BC7">
              <w:rPr>
                <w:rFonts w:eastAsia="Calibri"/>
                <w:b/>
                <w:color w:val="000000"/>
                <w:sz w:val="22"/>
                <w:szCs w:val="22"/>
              </w:rPr>
              <w:t>3 643 119,90</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tcPr>
          <w:p w:rsidR="00F66414" w:rsidRPr="001A1BC7" w:rsidRDefault="006F4A88" w:rsidP="002E6310">
            <w:pPr>
              <w:widowControl w:val="0"/>
              <w:jc w:val="center"/>
              <w:rPr>
                <w:rFonts w:eastAsia="Calibri"/>
                <w:b/>
                <w:color w:val="000000"/>
                <w:sz w:val="22"/>
                <w:szCs w:val="22"/>
              </w:rPr>
            </w:pPr>
            <w:r w:rsidRPr="001A1BC7">
              <w:rPr>
                <w:rFonts w:eastAsia="Calibri"/>
                <w:b/>
                <w:color w:val="000000"/>
                <w:sz w:val="22"/>
                <w:szCs w:val="22"/>
              </w:rPr>
              <w:t>66,24</w:t>
            </w:r>
          </w:p>
        </w:tc>
      </w:tr>
    </w:tbl>
    <w:p w:rsidR="006F28A4" w:rsidRPr="001A1BC7" w:rsidRDefault="006F28A4" w:rsidP="002E6310">
      <w:pPr>
        <w:widowControl w:val="0"/>
        <w:ind w:firstLine="284"/>
        <w:rPr>
          <w:rFonts w:eastAsia="Calibri"/>
          <w:color w:val="FF0000"/>
          <w:szCs w:val="22"/>
        </w:rPr>
      </w:pPr>
    </w:p>
    <w:p w:rsidR="006F28A4" w:rsidRPr="00D930FF" w:rsidRDefault="006F28A4" w:rsidP="002E6310">
      <w:pPr>
        <w:keepNext/>
        <w:widowControl w:val="0"/>
        <w:spacing w:before="120" w:after="120"/>
        <w:ind w:right="-28" w:firstLine="720"/>
        <w:outlineLvl w:val="1"/>
        <w:rPr>
          <w:szCs w:val="24"/>
        </w:rPr>
      </w:pPr>
      <w:r w:rsidRPr="001A1BC7">
        <w:rPr>
          <w:szCs w:val="24"/>
        </w:rPr>
        <w:t>Aplūkojot tabulu Nr.1 var secināt, ka līdz 201</w:t>
      </w:r>
      <w:r w:rsidR="001F2ADF" w:rsidRPr="001A1BC7">
        <w:rPr>
          <w:szCs w:val="24"/>
        </w:rPr>
        <w:t>5</w:t>
      </w:r>
      <w:r w:rsidRPr="001A1BC7">
        <w:rPr>
          <w:szCs w:val="24"/>
        </w:rPr>
        <w:t>.gada</w:t>
      </w:r>
      <w:r w:rsidR="001F2ADF" w:rsidRPr="001A1BC7">
        <w:rPr>
          <w:szCs w:val="24"/>
        </w:rPr>
        <w:t xml:space="preserve"> 17.augustam</w:t>
      </w:r>
      <w:r w:rsidRPr="001A1BC7">
        <w:rPr>
          <w:szCs w:val="24"/>
        </w:rPr>
        <w:t xml:space="preserve"> Programmas ietvaros klasteriem ir izmaksāts </w:t>
      </w:r>
      <w:r w:rsidR="006F4A88" w:rsidRPr="001A1BC7">
        <w:rPr>
          <w:szCs w:val="24"/>
        </w:rPr>
        <w:t>66,24</w:t>
      </w:r>
      <w:r w:rsidRPr="001A1BC7">
        <w:rPr>
          <w:szCs w:val="24"/>
        </w:rPr>
        <w:t>%</w:t>
      </w:r>
      <w:r w:rsidR="001F2ADF" w:rsidRPr="001A1BC7">
        <w:rPr>
          <w:szCs w:val="24"/>
        </w:rPr>
        <w:t xml:space="preserve"> no</w:t>
      </w:r>
      <w:r w:rsidRPr="001A1BC7">
        <w:rPr>
          <w:szCs w:val="24"/>
        </w:rPr>
        <w:t xml:space="preserve"> projektu līgumos noteiktā </w:t>
      </w:r>
      <w:r w:rsidR="00D930FF">
        <w:rPr>
          <w:szCs w:val="24"/>
        </w:rPr>
        <w:t xml:space="preserve">publiskā </w:t>
      </w:r>
      <w:r w:rsidRPr="00D930FF">
        <w:rPr>
          <w:szCs w:val="24"/>
        </w:rPr>
        <w:t>finansējuma. 2014.gads salīdzinājumā ar 2013.gadu ir bijis krietni apjomīgāks pēc saņemtā finansējuma apjoma. Tas lielākoties ir saistīts ar to, ka projekta sākumā nepieciešama</w:t>
      </w:r>
      <w:r w:rsidR="00D930FF">
        <w:rPr>
          <w:szCs w:val="24"/>
        </w:rPr>
        <w:t>i</w:t>
      </w:r>
      <w:r w:rsidRPr="00D930FF">
        <w:rPr>
          <w:szCs w:val="24"/>
        </w:rPr>
        <w:t>s finansējums bija mazāks</w:t>
      </w:r>
      <w:r w:rsidR="00D930FF">
        <w:rPr>
          <w:szCs w:val="24"/>
        </w:rPr>
        <w:t>, jo klasteri uzsāka savu darbību, veidoja sadarbību, plānoja aktivitātes un reālu aktivitāšu īstenošanu uzsāka vēlāk</w:t>
      </w:r>
      <w:r w:rsidRPr="00D930FF">
        <w:rPr>
          <w:szCs w:val="24"/>
        </w:rPr>
        <w:t xml:space="preserve">. Lai arī līdz 2014.gada beigām izmaksātais finansējums bija salīdzinoši </w:t>
      </w:r>
      <w:r w:rsidR="00D930FF">
        <w:rPr>
          <w:szCs w:val="24"/>
        </w:rPr>
        <w:t>neliels</w:t>
      </w:r>
      <w:r w:rsidRPr="00D930FF">
        <w:rPr>
          <w:szCs w:val="24"/>
        </w:rPr>
        <w:t xml:space="preserve">, jānorāda, ka klasteriem visvairāk plānotās </w:t>
      </w:r>
      <w:r w:rsidR="00D930FF" w:rsidRPr="00D930FF">
        <w:rPr>
          <w:szCs w:val="24"/>
        </w:rPr>
        <w:t>aktivitātes</w:t>
      </w:r>
      <w:r w:rsidR="001F2ADF" w:rsidRPr="00D930FF">
        <w:rPr>
          <w:szCs w:val="24"/>
        </w:rPr>
        <w:t xml:space="preserve"> ir tieši līdz 2015.gada beigām, </w:t>
      </w:r>
      <w:r w:rsidR="00D930FF">
        <w:rPr>
          <w:szCs w:val="24"/>
        </w:rPr>
        <w:t>ko arī pierāda straujā</w:t>
      </w:r>
      <w:r w:rsidR="001F2ADF" w:rsidRPr="00D930FF">
        <w:rPr>
          <w:szCs w:val="24"/>
        </w:rPr>
        <w:t xml:space="preserve"> finansējuma apguve tieši 2015.gadā.</w:t>
      </w:r>
      <w:r w:rsidR="00D94159" w:rsidRPr="00D930FF">
        <w:rPr>
          <w:szCs w:val="24"/>
        </w:rPr>
        <w:t xml:space="preserve"> Vienlaikus norādām, ka faktiskais izlietotais finansējums ir lielāks, taču tas vēl nav izmaksāts, jo LIAA veic klasteru </w:t>
      </w:r>
      <w:r w:rsidR="00D930FF">
        <w:rPr>
          <w:szCs w:val="24"/>
        </w:rPr>
        <w:t>starpposma pārskatos</w:t>
      </w:r>
      <w:r w:rsidR="00D930FF" w:rsidRPr="00D930FF">
        <w:rPr>
          <w:szCs w:val="24"/>
        </w:rPr>
        <w:t xml:space="preserve"> </w:t>
      </w:r>
      <w:r w:rsidR="00D94159" w:rsidRPr="00D930FF">
        <w:rPr>
          <w:szCs w:val="24"/>
        </w:rPr>
        <w:t>norādīto attiecināmo izmaksu pārbaudi, kas pēc klasteru atskaišu iesniegšanas vidēji aizņem 3</w:t>
      </w:r>
      <w:r w:rsidR="00B40C81">
        <w:rPr>
          <w:szCs w:val="24"/>
        </w:rPr>
        <w:t>-6</w:t>
      </w:r>
      <w:r w:rsidR="00D94159" w:rsidRPr="00D930FF">
        <w:rPr>
          <w:szCs w:val="24"/>
        </w:rPr>
        <w:t xml:space="preserve"> mēnešus. </w:t>
      </w:r>
    </w:p>
    <w:p w:rsidR="00870B16" w:rsidRPr="00D930FF" w:rsidRDefault="00D930FF" w:rsidP="002E6310">
      <w:pPr>
        <w:keepNext/>
        <w:widowControl w:val="0"/>
        <w:spacing w:before="120" w:after="120"/>
        <w:ind w:right="-28" w:firstLine="720"/>
        <w:outlineLvl w:val="1"/>
        <w:rPr>
          <w:szCs w:val="24"/>
        </w:rPr>
      </w:pPr>
      <w:r>
        <w:rPr>
          <w:szCs w:val="24"/>
        </w:rPr>
        <w:t>D</w:t>
      </w:r>
      <w:r w:rsidRPr="00D930FF">
        <w:rPr>
          <w:szCs w:val="24"/>
        </w:rPr>
        <w:t>arbības programmas “Uzņēmējdarb</w:t>
      </w:r>
      <w:r>
        <w:rPr>
          <w:szCs w:val="24"/>
        </w:rPr>
        <w:t>ība un inovācijas” papildinājumā</w:t>
      </w:r>
      <w:r w:rsidR="00FA6557">
        <w:rPr>
          <w:szCs w:val="24"/>
        </w:rPr>
        <w:t xml:space="preserve"> </w:t>
      </w:r>
      <w:r w:rsidR="00FA6557" w:rsidRPr="00FA6557">
        <w:rPr>
          <w:szCs w:val="24"/>
        </w:rPr>
        <w:t>2.3.2.pasākuma</w:t>
      </w:r>
      <w:r w:rsidR="00FA6557">
        <w:rPr>
          <w:szCs w:val="24"/>
        </w:rPr>
        <w:t>m “</w:t>
      </w:r>
      <w:r w:rsidR="00FA6557" w:rsidRPr="00FA6557">
        <w:rPr>
          <w:szCs w:val="24"/>
        </w:rPr>
        <w:t>Uzņēmējdarbības infrastruktūra un aprīkojuma uzlabošana</w:t>
      </w:r>
      <w:r w:rsidR="00FA6557">
        <w:rPr>
          <w:szCs w:val="24"/>
        </w:rPr>
        <w:t>”</w:t>
      </w:r>
      <w:r w:rsidRPr="00D930FF">
        <w:rPr>
          <w:szCs w:val="24"/>
        </w:rPr>
        <w:t xml:space="preserve"> </w:t>
      </w:r>
      <w:r w:rsidR="0042074B" w:rsidRPr="00D930FF">
        <w:rPr>
          <w:szCs w:val="24"/>
        </w:rPr>
        <w:t xml:space="preserve">kā iznākuma rādītājs noteikts izveidoto biznesa inkubatoru, klasteru skaits – 2009.gadā šim rādītājam jābūt 9, savukārt 2013.gadā </w:t>
      </w:r>
      <w:r w:rsidR="00FA6557">
        <w:rPr>
          <w:szCs w:val="24"/>
        </w:rPr>
        <w:t>–</w:t>
      </w:r>
      <w:r w:rsidR="006B525F" w:rsidRPr="00D930FF">
        <w:rPr>
          <w:szCs w:val="24"/>
        </w:rPr>
        <w:t xml:space="preserve"> </w:t>
      </w:r>
      <w:r w:rsidR="0042074B" w:rsidRPr="00D930FF">
        <w:rPr>
          <w:szCs w:val="24"/>
        </w:rPr>
        <w:t>18. Iznākuma rādītājs uzskatāms par sasniegtu</w:t>
      </w:r>
      <w:r w:rsidR="00E841FF">
        <w:rPr>
          <w:szCs w:val="24"/>
        </w:rPr>
        <w:t>,</w:t>
      </w:r>
      <w:r w:rsidR="0042074B" w:rsidRPr="00D930FF">
        <w:rPr>
          <w:szCs w:val="24"/>
        </w:rPr>
        <w:t xml:space="preserve"> jo </w:t>
      </w:r>
      <w:r w:rsidR="00E841FF">
        <w:rPr>
          <w:szCs w:val="24"/>
        </w:rPr>
        <w:t>pasākuma</w:t>
      </w:r>
      <w:r w:rsidR="00E841FF" w:rsidRPr="00D930FF">
        <w:rPr>
          <w:szCs w:val="24"/>
        </w:rPr>
        <w:t xml:space="preserve"> </w:t>
      </w:r>
      <w:r w:rsidR="0042074B" w:rsidRPr="00D930FF">
        <w:rPr>
          <w:szCs w:val="24"/>
        </w:rPr>
        <w:t xml:space="preserve">ietvaros </w:t>
      </w:r>
      <w:r w:rsidR="00E841FF">
        <w:rPr>
          <w:szCs w:val="24"/>
        </w:rPr>
        <w:t xml:space="preserve">tika </w:t>
      </w:r>
      <w:r w:rsidR="0042074B" w:rsidRPr="00D930FF">
        <w:rPr>
          <w:szCs w:val="24"/>
        </w:rPr>
        <w:t>atbalstīti 11 klasteri (papildus ir atbalstīti 10 biznesa inkubatori Biznesa i</w:t>
      </w:r>
      <w:r w:rsidR="00870B16" w:rsidRPr="00D930FF">
        <w:rPr>
          <w:szCs w:val="24"/>
        </w:rPr>
        <w:t>nkubatoru programmas ietvaros).</w:t>
      </w:r>
    </w:p>
    <w:p w:rsidR="006F28A4" w:rsidRPr="00FA6557" w:rsidRDefault="006F28A4" w:rsidP="002E6310">
      <w:pPr>
        <w:keepNext/>
        <w:widowControl w:val="0"/>
        <w:spacing w:before="120" w:after="120"/>
        <w:ind w:right="-28" w:firstLine="720"/>
        <w:outlineLvl w:val="1"/>
        <w:rPr>
          <w:szCs w:val="24"/>
        </w:rPr>
      </w:pPr>
      <w:r w:rsidRPr="00FA6557">
        <w:rPr>
          <w:szCs w:val="24"/>
        </w:rPr>
        <w:t>Veicot ietekmes rādītāju analīzi par bāzes gadu izvēlēts 2011.gads, jo no 2012.gada otrās puses klasteri jau sāka saņemt atbalstu. Galvenie ietekmes rādītāji, kas atspoguļo klasteru izaugsmi</w:t>
      </w:r>
      <w:r w:rsidR="00A71EDD">
        <w:rPr>
          <w:szCs w:val="24"/>
        </w:rPr>
        <w:t>,</w:t>
      </w:r>
      <w:r w:rsidRPr="00FA6557">
        <w:rPr>
          <w:szCs w:val="24"/>
        </w:rPr>
        <w:t xml:space="preserve"> ir</w:t>
      </w:r>
      <w:r w:rsidR="006145AA" w:rsidRPr="00FA6557">
        <w:rPr>
          <w:szCs w:val="24"/>
        </w:rPr>
        <w:t xml:space="preserve"> eksporta apjoms, apgrozījums,</w:t>
      </w:r>
      <w:r w:rsidRPr="00FA6557">
        <w:rPr>
          <w:szCs w:val="24"/>
        </w:rPr>
        <w:t xml:space="preserve"> darbinieku skaits</w:t>
      </w:r>
      <w:r w:rsidR="006145AA" w:rsidRPr="00FA6557">
        <w:rPr>
          <w:szCs w:val="24"/>
        </w:rPr>
        <w:t>, ieguldījumi pētniecībā un attīstībā un produktivitāte</w:t>
      </w:r>
      <w:r w:rsidRPr="00FA6557">
        <w:rPr>
          <w:szCs w:val="24"/>
        </w:rPr>
        <w:t>.</w:t>
      </w:r>
    </w:p>
    <w:p w:rsidR="00B50B6F" w:rsidRDefault="006F28A4">
      <w:pPr>
        <w:keepNext/>
        <w:widowControl w:val="0"/>
        <w:spacing w:before="120" w:after="120"/>
        <w:ind w:right="-28" w:firstLine="720"/>
        <w:outlineLvl w:val="1"/>
        <w:rPr>
          <w:szCs w:val="24"/>
        </w:rPr>
        <w:sectPr w:rsidR="00B50B6F" w:rsidSect="00915662">
          <w:headerReference w:type="default" r:id="rId19"/>
          <w:footerReference w:type="default" r:id="rId20"/>
          <w:footerReference w:type="first" r:id="rId21"/>
          <w:pgSz w:w="11906" w:h="16838"/>
          <w:pgMar w:top="1134" w:right="1134" w:bottom="1134" w:left="1134" w:header="709" w:footer="709" w:gutter="0"/>
          <w:cols w:space="708"/>
          <w:titlePg/>
          <w:docGrid w:linePitch="360"/>
        </w:sectPr>
      </w:pPr>
      <w:r w:rsidRPr="00E841FF">
        <w:rPr>
          <w:szCs w:val="24"/>
        </w:rPr>
        <w:t xml:space="preserve">Pamatojoties uz LIAA sniegtajiem datiem no 2012.gada līdz 2014.gada beigām Programmas īstenotajos projektos iesaistīti 329 komersanti. </w:t>
      </w:r>
      <w:r w:rsidR="00A71EDD">
        <w:rPr>
          <w:szCs w:val="24"/>
        </w:rPr>
        <w:t xml:space="preserve">Saskaņā ar </w:t>
      </w:r>
      <w:r w:rsidRPr="00E841FF">
        <w:rPr>
          <w:szCs w:val="24"/>
        </w:rPr>
        <w:t>VID datiem 2014.gadā šie komersanti kopumā nodarbināja 21 667 darbiniekus. Tas ir par 2 536 darbiniekiem vairāk nekā šie paši komersanti nodarbināja 2011.gadā.  Tādējādi nodrošināto darba vietu skaits pieaudzis par 13%. Vidēji katrā komersantā nodarbināti 66 darbinieki.</w:t>
      </w:r>
    </w:p>
    <w:p w:rsidR="006F28A4" w:rsidRDefault="006F28A4" w:rsidP="002E6310">
      <w:pPr>
        <w:keepNext/>
        <w:widowControl w:val="0"/>
        <w:spacing w:before="120" w:after="120"/>
        <w:ind w:right="-28" w:firstLine="720"/>
        <w:outlineLvl w:val="1"/>
        <w:rPr>
          <w:szCs w:val="24"/>
        </w:rPr>
      </w:pPr>
    </w:p>
    <w:p w:rsidR="006F28A4" w:rsidRPr="002A4E8B" w:rsidRDefault="006F28A4" w:rsidP="002E6310">
      <w:pPr>
        <w:widowControl w:val="0"/>
        <w:jc w:val="right"/>
        <w:rPr>
          <w:b/>
          <w:bCs/>
          <w:sz w:val="20"/>
        </w:rPr>
      </w:pPr>
      <w:r w:rsidRPr="002A4E8B">
        <w:rPr>
          <w:b/>
          <w:bCs/>
          <w:sz w:val="20"/>
        </w:rPr>
        <w:t>Tabula Nr.</w:t>
      </w:r>
      <w:r w:rsidR="002A4E8B" w:rsidRPr="002A4E8B">
        <w:rPr>
          <w:b/>
          <w:bCs/>
          <w:sz w:val="20"/>
        </w:rPr>
        <w:t>2.</w:t>
      </w:r>
      <w:r w:rsidRPr="002A4E8B">
        <w:rPr>
          <w:b/>
          <w:bCs/>
          <w:sz w:val="20"/>
        </w:rPr>
        <w:t>2</w:t>
      </w:r>
      <w:r w:rsidR="002A4E8B" w:rsidRPr="002A4E8B">
        <w:rPr>
          <w:b/>
          <w:bCs/>
          <w:sz w:val="20"/>
        </w:rPr>
        <w:t>.</w:t>
      </w:r>
    </w:p>
    <w:p w:rsidR="006F28A4" w:rsidRPr="001A2BF8" w:rsidRDefault="006F28A4" w:rsidP="002E6310">
      <w:pPr>
        <w:widowControl w:val="0"/>
        <w:jc w:val="center"/>
        <w:rPr>
          <w:rFonts w:eastAsia="Calibri"/>
          <w:bCs/>
          <w:szCs w:val="18"/>
        </w:rPr>
      </w:pPr>
      <w:r w:rsidRPr="001A2BF8">
        <w:rPr>
          <w:rFonts w:eastAsia="Calibri"/>
          <w:bCs/>
          <w:szCs w:val="18"/>
        </w:rPr>
        <w:t>Eksporta apjoma izmaiņas klasteros 2014.gadā salīdzinājumā ar 2011.gadu</w:t>
      </w:r>
      <w:r w:rsidR="0009016C">
        <w:rPr>
          <w:rFonts w:eastAsia="Calibri"/>
          <w:bCs/>
          <w:szCs w:val="18"/>
        </w:rPr>
        <w:t xml:space="preserve"> </w:t>
      </w:r>
    </w:p>
    <w:p w:rsidR="0009016C" w:rsidRDefault="0009016C" w:rsidP="002E6310">
      <w:pPr>
        <w:widowControl w:val="0"/>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85"/>
        <w:gridCol w:w="1984"/>
        <w:gridCol w:w="1666"/>
      </w:tblGrid>
      <w:tr w:rsidR="001A1BC7" w:rsidRPr="0037193A" w:rsidTr="00391995">
        <w:trPr>
          <w:trHeight w:val="300"/>
        </w:trPr>
        <w:tc>
          <w:tcPr>
            <w:tcW w:w="2693" w:type="dxa"/>
            <w:shd w:val="clear" w:color="auto" w:fill="auto"/>
            <w:noWrap/>
            <w:hideMark/>
          </w:tcPr>
          <w:p w:rsidR="001A1BC7" w:rsidRPr="00093ECF" w:rsidRDefault="001A1BC7" w:rsidP="002E6310">
            <w:pPr>
              <w:widowControl w:val="0"/>
              <w:jc w:val="center"/>
              <w:rPr>
                <w:rFonts w:eastAsia="Calibri"/>
                <w:b/>
                <w:bCs/>
                <w:iCs/>
                <w:szCs w:val="18"/>
              </w:rPr>
            </w:pPr>
            <w:r w:rsidRPr="00093ECF">
              <w:rPr>
                <w:rFonts w:eastAsia="Calibri"/>
                <w:b/>
                <w:bCs/>
                <w:iCs/>
                <w:szCs w:val="18"/>
              </w:rPr>
              <w:t>Projekta īstenotājs</w:t>
            </w:r>
          </w:p>
        </w:tc>
        <w:tc>
          <w:tcPr>
            <w:tcW w:w="1985" w:type="dxa"/>
            <w:shd w:val="clear" w:color="auto" w:fill="auto"/>
            <w:noWrap/>
            <w:hideMark/>
          </w:tcPr>
          <w:p w:rsidR="001A1BC7" w:rsidRPr="00093ECF" w:rsidRDefault="001A1BC7" w:rsidP="002E6310">
            <w:pPr>
              <w:widowControl w:val="0"/>
              <w:jc w:val="center"/>
              <w:rPr>
                <w:rFonts w:eastAsia="Calibri"/>
                <w:b/>
                <w:bCs/>
                <w:iCs/>
                <w:szCs w:val="18"/>
              </w:rPr>
            </w:pPr>
            <w:r w:rsidRPr="00093ECF">
              <w:rPr>
                <w:rFonts w:eastAsia="Calibri"/>
                <w:b/>
                <w:bCs/>
                <w:iCs/>
                <w:szCs w:val="18"/>
              </w:rPr>
              <w:t>Eksporta apjoma izmaiņas 2011=100</w:t>
            </w:r>
          </w:p>
        </w:tc>
        <w:tc>
          <w:tcPr>
            <w:tcW w:w="1984" w:type="dxa"/>
          </w:tcPr>
          <w:p w:rsidR="001A1BC7" w:rsidRPr="00217318" w:rsidRDefault="001A1BC7" w:rsidP="002E6310">
            <w:pPr>
              <w:widowControl w:val="0"/>
              <w:jc w:val="center"/>
              <w:rPr>
                <w:rFonts w:eastAsia="Calibri"/>
                <w:b/>
                <w:bCs/>
                <w:iCs/>
                <w:szCs w:val="18"/>
              </w:rPr>
            </w:pPr>
            <w:r w:rsidRPr="004C6DF6">
              <w:rPr>
                <w:rFonts w:eastAsia="Calibri"/>
                <w:b/>
                <w:bCs/>
                <w:iCs/>
                <w:szCs w:val="18"/>
              </w:rPr>
              <w:t>Eksporta apjoms 2014.gadā</w:t>
            </w:r>
          </w:p>
        </w:tc>
        <w:tc>
          <w:tcPr>
            <w:tcW w:w="1666" w:type="dxa"/>
          </w:tcPr>
          <w:p w:rsidR="001A1BC7" w:rsidRPr="00E0406F" w:rsidRDefault="001A1BC7" w:rsidP="002E6310">
            <w:pPr>
              <w:widowControl w:val="0"/>
              <w:jc w:val="center"/>
              <w:rPr>
                <w:rFonts w:eastAsia="Calibri"/>
                <w:b/>
                <w:bCs/>
                <w:iCs/>
                <w:szCs w:val="18"/>
              </w:rPr>
            </w:pPr>
            <w:r w:rsidRPr="00E0406F">
              <w:rPr>
                <w:rFonts w:eastAsia="Calibri"/>
                <w:b/>
                <w:bCs/>
                <w:iCs/>
                <w:szCs w:val="18"/>
              </w:rPr>
              <w:t>Klastera stratēģijā prognozētais</w:t>
            </w:r>
          </w:p>
          <w:p w:rsidR="001A1BC7" w:rsidRPr="008B3008" w:rsidRDefault="001A1BC7" w:rsidP="002E6310">
            <w:pPr>
              <w:widowControl w:val="0"/>
              <w:jc w:val="center"/>
              <w:rPr>
                <w:rFonts w:eastAsia="Calibri"/>
                <w:b/>
                <w:bCs/>
                <w:iCs/>
                <w:szCs w:val="18"/>
              </w:rPr>
            </w:pPr>
            <w:r w:rsidRPr="008B3008">
              <w:rPr>
                <w:rFonts w:eastAsia="Calibri"/>
                <w:b/>
                <w:bCs/>
                <w:iCs/>
                <w:szCs w:val="18"/>
              </w:rPr>
              <w:t>eksporta apjoma pieaugums</w:t>
            </w:r>
          </w:p>
          <w:p w:rsidR="001A1BC7" w:rsidRPr="00F0079D" w:rsidRDefault="001A1BC7" w:rsidP="002E6310">
            <w:pPr>
              <w:widowControl w:val="0"/>
              <w:jc w:val="center"/>
              <w:rPr>
                <w:rFonts w:eastAsia="Calibri"/>
                <w:bCs/>
                <w:iCs/>
                <w:szCs w:val="18"/>
              </w:rPr>
            </w:pPr>
            <w:r w:rsidRPr="00F0079D">
              <w:rPr>
                <w:rFonts w:eastAsia="Calibri"/>
                <w:bCs/>
                <w:iCs/>
                <w:sz w:val="22"/>
                <w:szCs w:val="18"/>
              </w:rPr>
              <w:t>2014/2011</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Pārtikas produktu kvalitātes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33%</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93 827 553,01</w:t>
            </w:r>
          </w:p>
          <w:p w:rsidR="001A1BC7" w:rsidRPr="0037193A" w:rsidRDefault="001A1BC7" w:rsidP="002E6310">
            <w:pPr>
              <w:widowControl w:val="0"/>
              <w:jc w:val="center"/>
              <w:rPr>
                <w:rFonts w:eastAsia="Calibri"/>
                <w:bCs/>
                <w:iCs/>
                <w:szCs w:val="18"/>
              </w:rPr>
            </w:pP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4,57%</w:t>
            </w:r>
          </w:p>
        </w:tc>
      </w:tr>
      <w:tr w:rsidR="001A1BC7" w:rsidRPr="0037193A" w:rsidTr="00391995">
        <w:trPr>
          <w:trHeight w:val="300"/>
        </w:trPr>
        <w:tc>
          <w:tcPr>
            <w:tcW w:w="2693" w:type="dxa"/>
            <w:shd w:val="clear" w:color="auto" w:fill="auto"/>
            <w:noWrap/>
            <w:hideMark/>
          </w:tcPr>
          <w:p w:rsidR="001A1BC7" w:rsidRPr="00A71EDD" w:rsidRDefault="001A1BC7" w:rsidP="002E6310">
            <w:pPr>
              <w:widowControl w:val="0"/>
              <w:jc w:val="center"/>
              <w:rPr>
                <w:rFonts w:eastAsia="Calibri"/>
                <w:bCs/>
                <w:iCs/>
                <w:szCs w:val="18"/>
              </w:rPr>
            </w:pPr>
            <w:r w:rsidRPr="0037193A">
              <w:rPr>
                <w:rFonts w:eastAsia="Calibri"/>
                <w:bCs/>
                <w:iCs/>
                <w:szCs w:val="18"/>
              </w:rPr>
              <w:t>Gaujas Nacionālā parka tūrisma klasteris</w:t>
            </w:r>
          </w:p>
        </w:tc>
        <w:tc>
          <w:tcPr>
            <w:tcW w:w="1985" w:type="dxa"/>
            <w:shd w:val="clear" w:color="auto" w:fill="auto"/>
            <w:noWrap/>
            <w:hideMark/>
          </w:tcPr>
          <w:p w:rsidR="001A1BC7" w:rsidRPr="00A71EDD" w:rsidRDefault="001A1BC7" w:rsidP="002E6310">
            <w:pPr>
              <w:widowControl w:val="0"/>
              <w:jc w:val="center"/>
              <w:rPr>
                <w:rFonts w:eastAsia="Calibri"/>
                <w:bCs/>
                <w:iCs/>
                <w:szCs w:val="18"/>
              </w:rPr>
            </w:pPr>
            <w:r w:rsidRPr="00A71EDD">
              <w:rPr>
                <w:rFonts w:eastAsia="Calibri"/>
                <w:bCs/>
                <w:iCs/>
                <w:szCs w:val="18"/>
              </w:rPr>
              <w:t>109%</w:t>
            </w:r>
          </w:p>
        </w:tc>
        <w:tc>
          <w:tcPr>
            <w:tcW w:w="1984" w:type="dxa"/>
          </w:tcPr>
          <w:p w:rsidR="001A1BC7" w:rsidRPr="001A2BF8" w:rsidRDefault="001A1BC7" w:rsidP="002E6310">
            <w:pPr>
              <w:widowControl w:val="0"/>
              <w:jc w:val="center"/>
              <w:rPr>
                <w:rFonts w:eastAsia="Calibri"/>
                <w:bCs/>
                <w:iCs/>
                <w:szCs w:val="18"/>
              </w:rPr>
            </w:pPr>
            <w:r w:rsidRPr="001A2BF8">
              <w:rPr>
                <w:rFonts w:eastAsia="Calibri"/>
                <w:bCs/>
                <w:iCs/>
                <w:szCs w:val="18"/>
              </w:rPr>
              <w:t>506 613,12</w:t>
            </w:r>
          </w:p>
        </w:tc>
        <w:tc>
          <w:tcPr>
            <w:tcW w:w="1666" w:type="dxa"/>
          </w:tcPr>
          <w:p w:rsidR="001A1BC7" w:rsidRPr="00093ECF" w:rsidRDefault="001A1BC7" w:rsidP="002E6310">
            <w:pPr>
              <w:widowControl w:val="0"/>
              <w:jc w:val="center"/>
              <w:rPr>
                <w:rFonts w:eastAsia="Calibri"/>
                <w:bCs/>
                <w:iCs/>
                <w:szCs w:val="18"/>
              </w:rPr>
            </w:pPr>
            <w:r w:rsidRPr="00093ECF">
              <w:rPr>
                <w:rFonts w:eastAsia="Calibri"/>
                <w:bCs/>
                <w:iCs/>
                <w:szCs w:val="18"/>
              </w:rPr>
              <w:t>14,08%</w:t>
            </w:r>
          </w:p>
        </w:tc>
      </w:tr>
      <w:tr w:rsidR="001A1BC7" w:rsidRPr="0037193A" w:rsidTr="00391995">
        <w:trPr>
          <w:trHeight w:val="300"/>
        </w:trPr>
        <w:tc>
          <w:tcPr>
            <w:tcW w:w="2693" w:type="dxa"/>
            <w:shd w:val="clear" w:color="auto" w:fill="auto"/>
            <w:noWrap/>
            <w:hideMark/>
          </w:tcPr>
          <w:p w:rsidR="001A1BC7" w:rsidRPr="00A71EDD" w:rsidRDefault="001A1BC7" w:rsidP="002E6310">
            <w:pPr>
              <w:widowControl w:val="0"/>
              <w:jc w:val="center"/>
              <w:rPr>
                <w:rFonts w:eastAsia="Calibri"/>
                <w:bCs/>
                <w:iCs/>
                <w:szCs w:val="18"/>
              </w:rPr>
            </w:pPr>
            <w:r w:rsidRPr="0037193A">
              <w:rPr>
                <w:rFonts w:eastAsia="Calibri"/>
                <w:bCs/>
                <w:iCs/>
                <w:szCs w:val="18"/>
              </w:rPr>
              <w:t>Latvijas Informācijas tehnoloģiju klasteris</w:t>
            </w:r>
            <w:r>
              <w:rPr>
                <w:rFonts w:eastAsia="Calibri"/>
                <w:bCs/>
                <w:iCs/>
                <w:szCs w:val="18"/>
              </w:rPr>
              <w:t>*</w:t>
            </w:r>
          </w:p>
        </w:tc>
        <w:tc>
          <w:tcPr>
            <w:tcW w:w="1985" w:type="dxa"/>
            <w:shd w:val="clear" w:color="auto" w:fill="auto"/>
            <w:noWrap/>
            <w:hideMark/>
          </w:tcPr>
          <w:p w:rsidR="001A1BC7" w:rsidRPr="00A71EDD" w:rsidRDefault="001A1BC7" w:rsidP="002E6310">
            <w:pPr>
              <w:widowControl w:val="0"/>
              <w:jc w:val="center"/>
              <w:rPr>
                <w:rFonts w:eastAsia="Calibri"/>
                <w:bCs/>
                <w:iCs/>
                <w:szCs w:val="18"/>
              </w:rPr>
            </w:pPr>
            <w:r w:rsidRPr="00A71EDD">
              <w:rPr>
                <w:rFonts w:eastAsia="Calibri"/>
                <w:bCs/>
                <w:iCs/>
                <w:szCs w:val="18"/>
              </w:rPr>
              <w:t>635%</w:t>
            </w:r>
          </w:p>
        </w:tc>
        <w:tc>
          <w:tcPr>
            <w:tcW w:w="1984" w:type="dxa"/>
          </w:tcPr>
          <w:p w:rsidR="001A1BC7" w:rsidRPr="001A2BF8" w:rsidRDefault="001A1BC7" w:rsidP="002E6310">
            <w:pPr>
              <w:widowControl w:val="0"/>
              <w:jc w:val="center"/>
              <w:rPr>
                <w:rFonts w:eastAsia="Calibri"/>
                <w:bCs/>
                <w:iCs/>
                <w:szCs w:val="18"/>
              </w:rPr>
            </w:pPr>
            <w:r w:rsidRPr="001A2BF8">
              <w:rPr>
                <w:rFonts w:eastAsia="Calibri"/>
                <w:bCs/>
                <w:iCs/>
                <w:szCs w:val="18"/>
              </w:rPr>
              <w:t>749 886,83</w:t>
            </w:r>
          </w:p>
          <w:p w:rsidR="001A1BC7" w:rsidRPr="00093ECF" w:rsidRDefault="001A1BC7" w:rsidP="002E6310">
            <w:pPr>
              <w:widowControl w:val="0"/>
              <w:jc w:val="center"/>
              <w:rPr>
                <w:rFonts w:eastAsia="Calibri"/>
                <w:bCs/>
                <w:iCs/>
                <w:szCs w:val="18"/>
              </w:rPr>
            </w:pPr>
          </w:p>
        </w:tc>
        <w:tc>
          <w:tcPr>
            <w:tcW w:w="1666" w:type="dxa"/>
          </w:tcPr>
          <w:p w:rsidR="001A1BC7" w:rsidRPr="00093ECF" w:rsidRDefault="001A1BC7" w:rsidP="002E6310">
            <w:pPr>
              <w:widowControl w:val="0"/>
              <w:jc w:val="center"/>
              <w:rPr>
                <w:rFonts w:eastAsia="Calibri"/>
                <w:bCs/>
                <w:iCs/>
                <w:szCs w:val="18"/>
              </w:rPr>
            </w:pPr>
            <w:r w:rsidRPr="00093ECF">
              <w:rPr>
                <w:rFonts w:eastAsia="Calibri"/>
                <w:bCs/>
                <w:iCs/>
                <w:szCs w:val="18"/>
              </w:rPr>
              <w:t>5,07%</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Latvijas Elektronikas un elektrotehnikas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16%</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31 271 984,58</w:t>
            </w:r>
          </w:p>
          <w:p w:rsidR="001A1BC7" w:rsidRPr="0037193A" w:rsidRDefault="001A1BC7" w:rsidP="002E6310">
            <w:pPr>
              <w:widowControl w:val="0"/>
              <w:jc w:val="center"/>
              <w:rPr>
                <w:rFonts w:eastAsia="Calibri"/>
                <w:bCs/>
                <w:iCs/>
                <w:szCs w:val="18"/>
              </w:rPr>
            </w:pP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w:t>
            </w:r>
          </w:p>
          <w:p w:rsidR="001A1BC7" w:rsidRPr="0037193A" w:rsidRDefault="001A1BC7" w:rsidP="002E6310">
            <w:pPr>
              <w:widowControl w:val="0"/>
              <w:jc w:val="center"/>
              <w:rPr>
                <w:rFonts w:eastAsia="Calibri"/>
                <w:bCs/>
                <w:iCs/>
                <w:szCs w:val="18"/>
              </w:rPr>
            </w:pPr>
            <w:r w:rsidRPr="0037193A">
              <w:rPr>
                <w:rFonts w:eastAsia="Calibri"/>
                <w:bCs/>
                <w:iCs/>
                <w:sz w:val="22"/>
                <w:szCs w:val="18"/>
              </w:rPr>
              <w:t>(prognozes stratēģijā netika norādītas)</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Latvijas Koka būvniecības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50%</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20 270 764,70</w:t>
            </w: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34,21%</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Metālapstrādes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20%</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78 642 671,70</w:t>
            </w: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62,38%</w:t>
            </w:r>
          </w:p>
        </w:tc>
      </w:tr>
      <w:tr w:rsidR="001A1BC7" w:rsidRPr="0037193A" w:rsidTr="00391995">
        <w:trPr>
          <w:trHeight w:val="300"/>
        </w:trPr>
        <w:tc>
          <w:tcPr>
            <w:tcW w:w="2693" w:type="dxa"/>
            <w:shd w:val="clear" w:color="auto" w:fill="auto"/>
            <w:noWrap/>
            <w:hideMark/>
          </w:tcPr>
          <w:p w:rsidR="001A1BC7" w:rsidRPr="00A71EDD" w:rsidRDefault="001A1BC7" w:rsidP="002E6310">
            <w:pPr>
              <w:widowControl w:val="0"/>
              <w:jc w:val="center"/>
              <w:rPr>
                <w:rFonts w:eastAsia="Calibri"/>
                <w:bCs/>
                <w:iCs/>
                <w:szCs w:val="18"/>
              </w:rPr>
            </w:pPr>
            <w:r w:rsidRPr="0037193A">
              <w:rPr>
                <w:rFonts w:eastAsia="Calibri"/>
                <w:bCs/>
                <w:iCs/>
                <w:szCs w:val="18"/>
              </w:rPr>
              <w:t xml:space="preserve">Latvijas </w:t>
            </w:r>
            <w:r w:rsidRPr="0037193A">
              <w:rPr>
                <w:rFonts w:eastAsia="Calibri"/>
                <w:bCs/>
                <w:iCs/>
                <w:color w:val="000000"/>
                <w:szCs w:val="24"/>
              </w:rPr>
              <w:t>Ilg</w:t>
            </w:r>
            <w:r w:rsidRPr="0037193A">
              <w:rPr>
                <w:rFonts w:eastAsia="Calibri"/>
                <w:bCs/>
                <w:iCs/>
                <w:szCs w:val="24"/>
              </w:rPr>
              <w:t>tspējīga</w:t>
            </w:r>
            <w:r w:rsidRPr="0037193A">
              <w:rPr>
                <w:rFonts w:eastAsia="Calibri"/>
                <w:bCs/>
                <w:iCs/>
                <w:szCs w:val="18"/>
              </w:rPr>
              <w:t xml:space="preserve"> </w:t>
            </w:r>
            <w:r w:rsidRPr="00A71EDD">
              <w:rPr>
                <w:rFonts w:eastAsia="Calibri"/>
                <w:bCs/>
                <w:iCs/>
                <w:szCs w:val="18"/>
              </w:rPr>
              <w:t>tūrisma klasteris</w:t>
            </w:r>
          </w:p>
        </w:tc>
        <w:tc>
          <w:tcPr>
            <w:tcW w:w="1985" w:type="dxa"/>
            <w:shd w:val="clear" w:color="auto" w:fill="auto"/>
            <w:noWrap/>
            <w:hideMark/>
          </w:tcPr>
          <w:p w:rsidR="001A1BC7" w:rsidRPr="00A71EDD" w:rsidRDefault="001A1BC7" w:rsidP="002E6310">
            <w:pPr>
              <w:widowControl w:val="0"/>
              <w:jc w:val="center"/>
              <w:rPr>
                <w:rFonts w:eastAsia="Calibri"/>
                <w:bCs/>
                <w:iCs/>
                <w:szCs w:val="18"/>
              </w:rPr>
            </w:pPr>
            <w:r w:rsidRPr="00A71EDD">
              <w:rPr>
                <w:rFonts w:eastAsia="Calibri"/>
                <w:bCs/>
                <w:iCs/>
                <w:szCs w:val="18"/>
              </w:rPr>
              <w:t>-98%</w:t>
            </w:r>
          </w:p>
        </w:tc>
        <w:tc>
          <w:tcPr>
            <w:tcW w:w="1984" w:type="dxa"/>
          </w:tcPr>
          <w:p w:rsidR="001A1BC7" w:rsidRPr="001A2BF8" w:rsidRDefault="001A1BC7" w:rsidP="002E6310">
            <w:pPr>
              <w:widowControl w:val="0"/>
              <w:jc w:val="center"/>
              <w:rPr>
                <w:rFonts w:eastAsia="Calibri"/>
                <w:bCs/>
                <w:iCs/>
                <w:szCs w:val="18"/>
              </w:rPr>
            </w:pPr>
            <w:r w:rsidRPr="001A2BF8">
              <w:rPr>
                <w:rFonts w:eastAsia="Calibri"/>
                <w:bCs/>
                <w:iCs/>
                <w:szCs w:val="18"/>
              </w:rPr>
              <w:t>1 673,60</w:t>
            </w:r>
          </w:p>
        </w:tc>
        <w:tc>
          <w:tcPr>
            <w:tcW w:w="1666" w:type="dxa"/>
          </w:tcPr>
          <w:p w:rsidR="001A1BC7" w:rsidRPr="00093ECF" w:rsidRDefault="001A1BC7" w:rsidP="002E6310">
            <w:pPr>
              <w:widowControl w:val="0"/>
              <w:jc w:val="center"/>
              <w:rPr>
                <w:rFonts w:eastAsia="Calibri"/>
                <w:bCs/>
                <w:iCs/>
                <w:szCs w:val="18"/>
              </w:rPr>
            </w:pPr>
            <w:r w:rsidRPr="00093ECF">
              <w:rPr>
                <w:rFonts w:eastAsia="Calibri"/>
                <w:bCs/>
                <w:iCs/>
                <w:szCs w:val="18"/>
              </w:rPr>
              <w:t>15,63%</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Latvijas Ķīmijas un farmācijas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1%</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149 328 852,35</w:t>
            </w: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39,22%</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Industriālās energoefektivitātes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43%</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96 267 676,39</w:t>
            </w:r>
          </w:p>
          <w:p w:rsidR="001A1BC7" w:rsidRPr="0037193A" w:rsidRDefault="001A1BC7" w:rsidP="002E6310">
            <w:pPr>
              <w:widowControl w:val="0"/>
              <w:jc w:val="center"/>
              <w:rPr>
                <w:rFonts w:eastAsia="Calibri"/>
                <w:bCs/>
                <w:iCs/>
                <w:szCs w:val="18"/>
              </w:rPr>
            </w:pP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9,47%</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Tīro tehnoloģiju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14%</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29 916 131,56</w:t>
            </w: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11,78%</w:t>
            </w:r>
          </w:p>
        </w:tc>
      </w:tr>
      <w:tr w:rsidR="001A1BC7" w:rsidRPr="0037193A" w:rsidTr="00391995">
        <w:trPr>
          <w:trHeight w:val="962"/>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Kosmosa tehnoloģiju un pakalpojumu nozares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42%</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96 976 378,03</w:t>
            </w:r>
          </w:p>
          <w:p w:rsidR="001A1BC7" w:rsidRPr="0037193A" w:rsidRDefault="001A1BC7" w:rsidP="002E6310">
            <w:pPr>
              <w:widowControl w:val="0"/>
              <w:jc w:val="center"/>
              <w:rPr>
                <w:rFonts w:eastAsia="Calibri"/>
                <w:bCs/>
                <w:iCs/>
                <w:szCs w:val="18"/>
              </w:rPr>
            </w:pP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46,99%</w:t>
            </w:r>
          </w:p>
        </w:tc>
      </w:tr>
    </w:tbl>
    <w:p w:rsidR="001A1BC7" w:rsidRDefault="001A1BC7" w:rsidP="002E6310">
      <w:pPr>
        <w:widowControl w:val="0"/>
      </w:pPr>
    </w:p>
    <w:p w:rsidR="001A1BC7" w:rsidRPr="00A71EDD" w:rsidRDefault="001A1BC7" w:rsidP="002E6310">
      <w:pPr>
        <w:keepNext/>
        <w:widowControl w:val="0"/>
        <w:spacing w:before="120" w:after="120"/>
        <w:ind w:right="-28"/>
        <w:outlineLvl w:val="1"/>
        <w:rPr>
          <w:szCs w:val="24"/>
        </w:rPr>
      </w:pPr>
      <w:r w:rsidRPr="00093ECF">
        <w:rPr>
          <w:szCs w:val="24"/>
        </w:rPr>
        <w:t>Aplūkojot tabulu Nr.2</w:t>
      </w:r>
      <w:r w:rsidR="002A4E8B">
        <w:rPr>
          <w:szCs w:val="24"/>
        </w:rPr>
        <w:t>.2.</w:t>
      </w:r>
      <w:r w:rsidRPr="00093ECF">
        <w:rPr>
          <w:szCs w:val="24"/>
        </w:rPr>
        <w:t xml:space="preserve"> redzams, ka gandrīz visiem Programmā iesaistītajiem klasteriem ir ievērojams eksporta apjoma pieaugums.</w:t>
      </w:r>
      <w:r w:rsidRPr="001A1BC7">
        <w:rPr>
          <w:szCs w:val="24"/>
        </w:rPr>
        <w:t xml:space="preserve"> </w:t>
      </w:r>
      <w:r w:rsidRPr="00093ECF">
        <w:rPr>
          <w:szCs w:val="24"/>
        </w:rPr>
        <w:t>Vislielākais eksporta apjoma pieaugums (635%) ir Latvijas Informācijas tehnoloģiju klasterim. Izpētot sīkāk katra klastera biedra eksporta apjoma pieaugumu</w:t>
      </w:r>
      <w:r>
        <w:rPr>
          <w:szCs w:val="24"/>
        </w:rPr>
        <w:t>,</w:t>
      </w:r>
      <w:r w:rsidRPr="00A71EDD">
        <w:rPr>
          <w:szCs w:val="24"/>
        </w:rPr>
        <w:t xml:space="preserve"> redzams, ka ievērojams pieaugums ir pateicoties diviem klastera biedriem</w:t>
      </w:r>
      <w:r w:rsidR="00B40C81">
        <w:rPr>
          <w:szCs w:val="24"/>
        </w:rPr>
        <w:t xml:space="preserve">. </w:t>
      </w:r>
      <w:r w:rsidRPr="00A71EDD">
        <w:rPr>
          <w:szCs w:val="24"/>
        </w:rPr>
        <w:t>Taču citos klasteros eksporta apjoma pieaugums ir vērojams kā kopēja pozitīva attīstības tendence, kas ļauj secināt, ka iesaistīšanās Programmā komersantiem ir devusi pozitīvu efektu. Salīdzinot faktiskos eksporta apjoma pieauguma datus ar klasteru stratēģijās prognozētajiem datiem</w:t>
      </w:r>
      <w:r>
        <w:rPr>
          <w:szCs w:val="24"/>
        </w:rPr>
        <w:t>,</w:t>
      </w:r>
      <w:r w:rsidRPr="00A71EDD">
        <w:rPr>
          <w:szCs w:val="24"/>
        </w:rPr>
        <w:t xml:space="preserve"> redzams, ka vairums klaster</w:t>
      </w:r>
      <w:r>
        <w:rPr>
          <w:szCs w:val="24"/>
        </w:rPr>
        <w:t>u</w:t>
      </w:r>
      <w:r w:rsidRPr="00A71EDD">
        <w:rPr>
          <w:szCs w:val="24"/>
        </w:rPr>
        <w:t xml:space="preserve"> ir sasnieguši un pat pārsnieguši plānoto eksporta apjomu pieaugumu. Vis</w:t>
      </w:r>
      <w:r>
        <w:rPr>
          <w:szCs w:val="24"/>
        </w:rPr>
        <w:t>s</w:t>
      </w:r>
      <w:r w:rsidRPr="00A71EDD">
        <w:rPr>
          <w:szCs w:val="24"/>
        </w:rPr>
        <w:t>liktāk attiecīb</w:t>
      </w:r>
      <w:r w:rsidR="00B40C81">
        <w:rPr>
          <w:szCs w:val="24"/>
        </w:rPr>
        <w:t>ā</w:t>
      </w:r>
      <w:r w:rsidRPr="00A71EDD">
        <w:rPr>
          <w:szCs w:val="24"/>
        </w:rPr>
        <w:t xml:space="preserve"> pret pašu prognozētajiem eksporta apjomu pieaugumiem </w:t>
      </w:r>
      <w:r>
        <w:rPr>
          <w:szCs w:val="24"/>
        </w:rPr>
        <w:t>veicies</w:t>
      </w:r>
      <w:r w:rsidRPr="00A71EDD">
        <w:rPr>
          <w:szCs w:val="24"/>
        </w:rPr>
        <w:t xml:space="preserve"> Latvijas Ķīmijas un farmācijas klasterim un Metālapstrādes klasterim. Kopumā uzskatāms, ka mērķis </w:t>
      </w:r>
      <w:r>
        <w:rPr>
          <w:szCs w:val="24"/>
        </w:rPr>
        <w:t xml:space="preserve">– </w:t>
      </w:r>
      <w:r w:rsidRPr="00A71EDD">
        <w:rPr>
          <w:szCs w:val="24"/>
        </w:rPr>
        <w:t>palielināt eksporta apjomus klasteros</w:t>
      </w:r>
      <w:r>
        <w:rPr>
          <w:szCs w:val="24"/>
        </w:rPr>
        <w:t xml:space="preserve"> –</w:t>
      </w:r>
      <w:r w:rsidRPr="00A71EDD">
        <w:rPr>
          <w:szCs w:val="24"/>
        </w:rPr>
        <w:t xml:space="preserve"> ir sasniegts.</w:t>
      </w:r>
    </w:p>
    <w:p w:rsidR="001A1BC7" w:rsidRPr="00A71EDD" w:rsidRDefault="001A1BC7" w:rsidP="002E6310">
      <w:pPr>
        <w:keepNext/>
        <w:widowControl w:val="0"/>
        <w:spacing w:before="120" w:after="120"/>
        <w:ind w:right="-28" w:firstLine="720"/>
        <w:outlineLvl w:val="1"/>
        <w:rPr>
          <w:szCs w:val="24"/>
        </w:rPr>
      </w:pPr>
      <w:r w:rsidRPr="00A71EDD">
        <w:rPr>
          <w:szCs w:val="24"/>
        </w:rPr>
        <w:t xml:space="preserve">Programmas ietvaros 20 komersanti, kas līdz šim neko neeksportēja, ir uzsākuši eksportēt savu </w:t>
      </w:r>
      <w:r w:rsidRPr="00A71EDD">
        <w:rPr>
          <w:szCs w:val="24"/>
        </w:rPr>
        <w:lastRenderedPageBreak/>
        <w:t>produkciju uz ārvalstīm. Visos klasteros kopumā ir 231 eksportējošs uzņēmums.</w:t>
      </w:r>
    </w:p>
    <w:p w:rsidR="001A1BC7" w:rsidRDefault="001A1BC7" w:rsidP="002E6310">
      <w:pPr>
        <w:keepNext/>
        <w:widowControl w:val="0"/>
        <w:spacing w:before="120" w:after="120"/>
        <w:ind w:right="-28" w:firstLine="720"/>
        <w:outlineLvl w:val="1"/>
        <w:rPr>
          <w:szCs w:val="24"/>
        </w:rPr>
      </w:pPr>
      <w:r w:rsidRPr="00A71EDD">
        <w:rPr>
          <w:szCs w:val="24"/>
        </w:rPr>
        <w:t>Vienīgais klasteris ar eksporta apjoma</w:t>
      </w:r>
      <w:r w:rsidRPr="001A2BF8">
        <w:rPr>
          <w:szCs w:val="24"/>
        </w:rPr>
        <w:t xml:space="preserve"> kritumu ir Latvijas </w:t>
      </w:r>
      <w:r w:rsidRPr="00A71EDD">
        <w:rPr>
          <w:szCs w:val="24"/>
        </w:rPr>
        <w:t xml:space="preserve">Ilgtspējīga tūrisma klasteris. Šeit jānorāda, ka klasterī ir apvienojušies tūrisma aģenti un operatori, kas neveic eksportu </w:t>
      </w:r>
      <w:r>
        <w:rPr>
          <w:szCs w:val="24"/>
        </w:rPr>
        <w:t xml:space="preserve">tā </w:t>
      </w:r>
      <w:r w:rsidRPr="00A71EDD">
        <w:rPr>
          <w:szCs w:val="24"/>
        </w:rPr>
        <w:t xml:space="preserve">klasiskajā izpratnē, bet gan apkalpo ārvalstu tūristus Latvijā (tā saucamais pakalpojumu eksports). Tā kā pakalpojums tiek sniegts Latvijā, tas neparādās PVN deklarācijā pie eksportētajām precēm. Līdzīga situācija arī ir </w:t>
      </w:r>
      <w:r w:rsidRPr="001A2BF8">
        <w:rPr>
          <w:szCs w:val="24"/>
        </w:rPr>
        <w:t>ar Gaujas Nacionālā parka tūrisma klasteri. Pamatojoties uz iepriekš minēto, vērtējot tūrisma nozares klasterus</w:t>
      </w:r>
      <w:r w:rsidRPr="0067692D">
        <w:rPr>
          <w:szCs w:val="24"/>
        </w:rPr>
        <w:t>, nepieciešams vērtēt arī piesaistīto ārvalstu tūristu skaitu</w:t>
      </w:r>
      <w:r w:rsidR="00B40C81">
        <w:rPr>
          <w:szCs w:val="24"/>
        </w:rPr>
        <w:t xml:space="preserve"> un ieņēmumus no tiem</w:t>
      </w:r>
      <w:r w:rsidRPr="0067692D">
        <w:rPr>
          <w:szCs w:val="24"/>
        </w:rPr>
        <w:t>.</w:t>
      </w:r>
      <w:r>
        <w:rPr>
          <w:szCs w:val="24"/>
        </w:rPr>
        <w:t xml:space="preserve"> </w:t>
      </w:r>
    </w:p>
    <w:p w:rsidR="001A1BC7" w:rsidRDefault="001A1BC7" w:rsidP="002E6310">
      <w:pPr>
        <w:keepNext/>
        <w:widowControl w:val="0"/>
        <w:spacing w:before="120" w:after="120"/>
        <w:ind w:right="-28" w:firstLine="720"/>
        <w:outlineLvl w:val="1"/>
        <w:rPr>
          <w:szCs w:val="24"/>
        </w:rPr>
      </w:pPr>
      <w:r>
        <w:rPr>
          <w:szCs w:val="24"/>
        </w:rPr>
        <w:t xml:space="preserve">* Līdzīgas problēmas ir arī ar IKT nozares eksporta uzskaiti VID datos.  </w:t>
      </w:r>
    </w:p>
    <w:p w:rsidR="006F28A4" w:rsidRPr="0067692D" w:rsidRDefault="006F28A4" w:rsidP="002E6310">
      <w:pPr>
        <w:keepNext/>
        <w:widowControl w:val="0"/>
        <w:spacing w:before="120" w:after="120"/>
        <w:ind w:right="-28" w:firstLine="720"/>
        <w:outlineLvl w:val="1"/>
        <w:rPr>
          <w:szCs w:val="24"/>
        </w:rPr>
      </w:pPr>
    </w:p>
    <w:p w:rsidR="006F28A4" w:rsidRPr="002A4E8B" w:rsidRDefault="006F28A4" w:rsidP="002A4E8B">
      <w:pPr>
        <w:widowControl w:val="0"/>
        <w:jc w:val="right"/>
        <w:rPr>
          <w:b/>
          <w:bCs/>
          <w:sz w:val="20"/>
        </w:rPr>
      </w:pPr>
      <w:r w:rsidRPr="002A4E8B">
        <w:rPr>
          <w:b/>
          <w:bCs/>
          <w:sz w:val="20"/>
        </w:rPr>
        <w:t>Tabula Nr</w:t>
      </w:r>
      <w:r w:rsidR="002A4E8B">
        <w:rPr>
          <w:b/>
          <w:bCs/>
          <w:sz w:val="20"/>
        </w:rPr>
        <w:t>.2</w:t>
      </w:r>
      <w:r w:rsidRPr="002A4E8B">
        <w:rPr>
          <w:b/>
          <w:bCs/>
          <w:sz w:val="20"/>
        </w:rPr>
        <w:t>.3</w:t>
      </w:r>
      <w:r w:rsidR="002A4E8B">
        <w:rPr>
          <w:b/>
          <w:bCs/>
          <w:sz w:val="20"/>
        </w:rPr>
        <w:t>.</w:t>
      </w:r>
    </w:p>
    <w:p w:rsidR="006F28A4" w:rsidRPr="00093ECF" w:rsidRDefault="006F28A4" w:rsidP="002E6310">
      <w:pPr>
        <w:keepNext/>
        <w:widowControl w:val="0"/>
        <w:spacing w:before="120" w:after="120"/>
        <w:ind w:left="284" w:right="-28" w:firstLine="720"/>
        <w:outlineLvl w:val="1"/>
        <w:rPr>
          <w:bCs/>
          <w:iCs/>
          <w:szCs w:val="24"/>
          <w:lang w:eastAsia="lv-LV"/>
        </w:rPr>
      </w:pPr>
      <w:r w:rsidRPr="00093ECF">
        <w:rPr>
          <w:bCs/>
          <w:iCs/>
          <w:szCs w:val="24"/>
          <w:lang w:eastAsia="lv-LV"/>
        </w:rPr>
        <w:t>Apgrozījuma izmaiņas klasteros 2014.gadā salīdzinājumā ar 2011.gadu.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2054"/>
        <w:gridCol w:w="2127"/>
      </w:tblGrid>
      <w:tr w:rsidR="000947CE" w:rsidRPr="001A1BC7" w:rsidTr="00714195">
        <w:trPr>
          <w:trHeight w:val="300"/>
        </w:trPr>
        <w:tc>
          <w:tcPr>
            <w:tcW w:w="4059" w:type="dxa"/>
            <w:shd w:val="clear" w:color="auto" w:fill="auto"/>
            <w:noWrap/>
            <w:hideMark/>
          </w:tcPr>
          <w:p w:rsidR="000947CE" w:rsidRPr="00093ECF" w:rsidRDefault="000947CE" w:rsidP="002E6310">
            <w:pPr>
              <w:keepNext/>
              <w:widowControl w:val="0"/>
              <w:spacing w:before="120" w:after="120"/>
              <w:ind w:left="284" w:right="-28" w:firstLine="720"/>
              <w:jc w:val="center"/>
              <w:outlineLvl w:val="1"/>
              <w:rPr>
                <w:b/>
                <w:bCs/>
                <w:iCs/>
                <w:szCs w:val="24"/>
                <w:lang w:eastAsia="lv-LV"/>
              </w:rPr>
            </w:pPr>
            <w:r w:rsidRPr="00093ECF">
              <w:rPr>
                <w:b/>
                <w:bCs/>
                <w:iCs/>
                <w:szCs w:val="24"/>
                <w:lang w:eastAsia="lv-LV"/>
              </w:rPr>
              <w:t>Projekta īstenotājs</w:t>
            </w:r>
          </w:p>
        </w:tc>
        <w:tc>
          <w:tcPr>
            <w:tcW w:w="2054" w:type="dxa"/>
            <w:shd w:val="clear" w:color="auto" w:fill="auto"/>
            <w:noWrap/>
            <w:hideMark/>
          </w:tcPr>
          <w:p w:rsidR="000947CE" w:rsidRPr="004C6DF6" w:rsidRDefault="000947CE" w:rsidP="002E6310">
            <w:pPr>
              <w:keepNext/>
              <w:widowControl w:val="0"/>
              <w:spacing w:before="120" w:after="120"/>
              <w:ind w:left="284" w:right="-28"/>
              <w:jc w:val="center"/>
              <w:outlineLvl w:val="1"/>
              <w:rPr>
                <w:b/>
                <w:bCs/>
                <w:iCs/>
                <w:szCs w:val="24"/>
                <w:lang w:eastAsia="lv-LV"/>
              </w:rPr>
            </w:pPr>
            <w:r w:rsidRPr="004C6DF6">
              <w:rPr>
                <w:b/>
                <w:bCs/>
                <w:iCs/>
                <w:szCs w:val="24"/>
                <w:lang w:eastAsia="lv-LV"/>
              </w:rPr>
              <w:t>Apgrozījuma izmaiņas 2011=100</w:t>
            </w:r>
          </w:p>
        </w:tc>
        <w:tc>
          <w:tcPr>
            <w:tcW w:w="2127" w:type="dxa"/>
          </w:tcPr>
          <w:p w:rsidR="000947CE" w:rsidRPr="00217318" w:rsidRDefault="000947CE" w:rsidP="002E6310">
            <w:pPr>
              <w:keepNext/>
              <w:widowControl w:val="0"/>
              <w:spacing w:before="120" w:after="120"/>
              <w:ind w:left="284" w:right="-28"/>
              <w:jc w:val="center"/>
              <w:outlineLvl w:val="1"/>
              <w:rPr>
                <w:b/>
                <w:bCs/>
                <w:iCs/>
                <w:szCs w:val="24"/>
                <w:lang w:eastAsia="lv-LV"/>
              </w:rPr>
            </w:pPr>
            <w:r w:rsidRPr="00217318">
              <w:rPr>
                <w:b/>
                <w:bCs/>
                <w:iCs/>
                <w:szCs w:val="24"/>
                <w:lang w:eastAsia="lv-LV"/>
              </w:rPr>
              <w:t>Apgrozījums 2014.gadā (tūkst. EUR)</w:t>
            </w:r>
          </w:p>
          <w:p w:rsidR="000947CE" w:rsidRPr="008B3008" w:rsidRDefault="000947CE" w:rsidP="002E6310">
            <w:pPr>
              <w:keepNext/>
              <w:widowControl w:val="0"/>
              <w:spacing w:before="120" w:after="120"/>
              <w:ind w:left="284" w:right="-28"/>
              <w:jc w:val="center"/>
              <w:outlineLvl w:val="1"/>
              <w:rPr>
                <w:bCs/>
                <w:iCs/>
                <w:szCs w:val="24"/>
                <w:lang w:eastAsia="lv-LV"/>
              </w:rPr>
            </w:pPr>
            <w:r w:rsidRPr="00E0406F">
              <w:rPr>
                <w:bCs/>
                <w:iCs/>
                <w:sz w:val="16"/>
                <w:szCs w:val="24"/>
                <w:lang w:eastAsia="lv-LV"/>
              </w:rPr>
              <w:t>Avots: Peļņas vai zaudējumu aprēķins (UGP) (VID)</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Pārtikas produktu kvalitātes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67%</w:t>
            </w:r>
          </w:p>
        </w:tc>
        <w:tc>
          <w:tcPr>
            <w:tcW w:w="2127" w:type="dxa"/>
          </w:tcPr>
          <w:p w:rsidR="000947CE" w:rsidRPr="001A1BC7"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281 537,19</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Gaujas Nacionālā parka tūrisma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16%</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89 043,20</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Latvijas Informācijas tehnoloģiju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58%</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137 068,00</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Latvijas Elektronikas un elektrotehnikas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10%</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58 817,88</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Latvijas Koka būvniecības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47%</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99 488,43</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Metālapstrādes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14%</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426 426,22</w:t>
            </w:r>
          </w:p>
        </w:tc>
      </w:tr>
      <w:tr w:rsidR="000947CE" w:rsidRPr="001A1BC7" w:rsidTr="00714195">
        <w:trPr>
          <w:trHeight w:val="300"/>
        </w:trPr>
        <w:tc>
          <w:tcPr>
            <w:tcW w:w="4059" w:type="dxa"/>
            <w:shd w:val="clear" w:color="auto" w:fill="auto"/>
            <w:noWrap/>
            <w:hideMark/>
          </w:tcPr>
          <w:p w:rsidR="000947CE" w:rsidRPr="00A71EDD"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 xml:space="preserve">Latvijas </w:t>
            </w:r>
            <w:r w:rsidR="00A71EDD" w:rsidRPr="00A71EDD">
              <w:rPr>
                <w:bCs/>
                <w:iCs/>
                <w:szCs w:val="24"/>
                <w:lang w:eastAsia="lv-LV"/>
              </w:rPr>
              <w:t xml:space="preserve">Ilgtspējīga </w:t>
            </w:r>
            <w:r w:rsidRPr="00A71EDD">
              <w:rPr>
                <w:bCs/>
                <w:iCs/>
                <w:szCs w:val="24"/>
                <w:lang w:eastAsia="lv-LV"/>
              </w:rPr>
              <w:t>tūrisma klasteris</w:t>
            </w:r>
          </w:p>
        </w:tc>
        <w:tc>
          <w:tcPr>
            <w:tcW w:w="2054" w:type="dxa"/>
            <w:shd w:val="clear" w:color="auto" w:fill="auto"/>
            <w:noWrap/>
            <w:hideMark/>
          </w:tcPr>
          <w:p w:rsidR="000947CE" w:rsidRPr="00A71EDD" w:rsidRDefault="000947CE" w:rsidP="002E6310">
            <w:pPr>
              <w:keepNext/>
              <w:widowControl w:val="0"/>
              <w:spacing w:before="120" w:after="120"/>
              <w:ind w:left="284" w:right="-28" w:firstLine="720"/>
              <w:jc w:val="center"/>
              <w:outlineLvl w:val="1"/>
              <w:rPr>
                <w:bCs/>
                <w:iCs/>
                <w:szCs w:val="24"/>
                <w:lang w:eastAsia="lv-LV"/>
              </w:rPr>
            </w:pPr>
            <w:r w:rsidRPr="00A71EDD">
              <w:rPr>
                <w:bCs/>
                <w:iCs/>
                <w:szCs w:val="24"/>
                <w:lang w:eastAsia="lv-LV"/>
              </w:rPr>
              <w:t>6%</w:t>
            </w:r>
          </w:p>
        </w:tc>
        <w:tc>
          <w:tcPr>
            <w:tcW w:w="2127" w:type="dxa"/>
          </w:tcPr>
          <w:p w:rsidR="000947CE" w:rsidRPr="001A2BF8" w:rsidRDefault="003D2094" w:rsidP="002E6310">
            <w:pPr>
              <w:keepNext/>
              <w:widowControl w:val="0"/>
              <w:spacing w:before="120" w:after="120"/>
              <w:ind w:right="-28"/>
              <w:jc w:val="center"/>
              <w:outlineLvl w:val="1"/>
              <w:rPr>
                <w:bCs/>
                <w:iCs/>
                <w:szCs w:val="24"/>
                <w:lang w:eastAsia="lv-LV"/>
              </w:rPr>
            </w:pPr>
            <w:r w:rsidRPr="001A2BF8">
              <w:rPr>
                <w:bCs/>
                <w:iCs/>
                <w:szCs w:val="24"/>
                <w:lang w:eastAsia="lv-LV"/>
              </w:rPr>
              <w:t>109 616,29</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Latvijas Ķīmijas un farmācijas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9%</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178 688,41</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Industriālās energoefektivitātes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36%</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168 441,66</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Tīro tehnoloģiju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-6%</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79 790,59</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Kosmosa tehnoloģiju un pakalpojumu nozares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33%</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104 314,23</w:t>
            </w:r>
          </w:p>
        </w:tc>
      </w:tr>
    </w:tbl>
    <w:p w:rsidR="00CC0C69" w:rsidRDefault="00CC0C69" w:rsidP="002E6310">
      <w:pPr>
        <w:keepNext/>
        <w:widowControl w:val="0"/>
        <w:spacing w:before="120" w:after="120"/>
        <w:ind w:right="-28" w:firstLine="720"/>
        <w:outlineLvl w:val="1"/>
        <w:rPr>
          <w:szCs w:val="24"/>
        </w:rPr>
      </w:pPr>
    </w:p>
    <w:p w:rsidR="00A22AB9" w:rsidRDefault="006F28A4" w:rsidP="00A22AB9">
      <w:pPr>
        <w:keepNext/>
        <w:widowControl w:val="0"/>
        <w:spacing w:before="120" w:after="120"/>
        <w:ind w:right="-28" w:firstLine="720"/>
        <w:outlineLvl w:val="1"/>
        <w:rPr>
          <w:szCs w:val="24"/>
        </w:rPr>
      </w:pPr>
      <w:r w:rsidRPr="001A1BC7">
        <w:rPr>
          <w:szCs w:val="24"/>
        </w:rPr>
        <w:t xml:space="preserve">Augstāk esošajā tabulā redzams, ka gandrīz visi klasteri 3 gadu laikā kopš programmas </w:t>
      </w:r>
      <w:r w:rsidRPr="001A1BC7">
        <w:rPr>
          <w:szCs w:val="24"/>
        </w:rPr>
        <w:lastRenderedPageBreak/>
        <w:t>sākuma ir palielinājuši savu apgrozījumu. Visievēr</w:t>
      </w:r>
      <w:r w:rsidR="00C570B6" w:rsidRPr="001A1BC7">
        <w:rPr>
          <w:szCs w:val="24"/>
        </w:rPr>
        <w:t>o</w:t>
      </w:r>
      <w:r w:rsidRPr="001A1BC7">
        <w:rPr>
          <w:szCs w:val="24"/>
        </w:rPr>
        <w:t>jamākais apgrozījuma pieaugums ir Pārtikas produktu kvalitātes klasterim</w:t>
      </w:r>
      <w:r w:rsidR="00952AF1" w:rsidRPr="001A1BC7">
        <w:rPr>
          <w:szCs w:val="24"/>
        </w:rPr>
        <w:t>, kur</w:t>
      </w:r>
      <w:r w:rsidR="003D2094" w:rsidRPr="001A1BC7">
        <w:rPr>
          <w:szCs w:val="24"/>
        </w:rPr>
        <w:t xml:space="preserve"> pēc VID sniegtajiem</w:t>
      </w:r>
      <w:r w:rsidR="00952AF1" w:rsidRPr="001A1BC7">
        <w:rPr>
          <w:szCs w:val="24"/>
        </w:rPr>
        <w:t xml:space="preserve"> </w:t>
      </w:r>
      <w:r w:rsidRPr="001A1BC7">
        <w:rPr>
          <w:szCs w:val="24"/>
        </w:rPr>
        <w:t>uzņēmumu individuāl</w:t>
      </w:r>
      <w:r w:rsidR="003D2094" w:rsidRPr="001A1BC7">
        <w:rPr>
          <w:szCs w:val="24"/>
        </w:rPr>
        <w:t>ajiem</w:t>
      </w:r>
      <w:r w:rsidRPr="001A1BC7">
        <w:rPr>
          <w:szCs w:val="24"/>
        </w:rPr>
        <w:t xml:space="preserve"> apgrozījum</w:t>
      </w:r>
      <w:r w:rsidR="00952AF1" w:rsidRPr="001A1BC7">
        <w:rPr>
          <w:szCs w:val="24"/>
        </w:rPr>
        <w:t>a</w:t>
      </w:r>
      <w:r w:rsidRPr="001A1BC7">
        <w:rPr>
          <w:szCs w:val="24"/>
        </w:rPr>
        <w:t xml:space="preserve"> </w:t>
      </w:r>
      <w:r w:rsidR="00952AF1" w:rsidRPr="001A1BC7">
        <w:rPr>
          <w:szCs w:val="24"/>
        </w:rPr>
        <w:t>dati</w:t>
      </w:r>
      <w:r w:rsidR="003D2094" w:rsidRPr="001A1BC7">
        <w:rPr>
          <w:szCs w:val="24"/>
        </w:rPr>
        <w:t>em redzams</w:t>
      </w:r>
      <w:r w:rsidR="00952AF1" w:rsidRPr="001A1BC7">
        <w:rPr>
          <w:szCs w:val="24"/>
        </w:rPr>
        <w:t>,</w:t>
      </w:r>
      <w:r w:rsidRPr="001A1BC7">
        <w:rPr>
          <w:szCs w:val="24"/>
        </w:rPr>
        <w:t xml:space="preserve"> ka ievērojams pieaugums ir visu komersantu kopējas pozitīvās attīstības tendences dēļ, nevis kāda viena komersanta veiksmes stāst</w:t>
      </w:r>
      <w:r w:rsidR="00952AF1" w:rsidRPr="001A1BC7">
        <w:rPr>
          <w:szCs w:val="24"/>
        </w:rPr>
        <w:t>a rezultātā</w:t>
      </w:r>
      <w:r w:rsidRPr="001A1BC7">
        <w:rPr>
          <w:szCs w:val="24"/>
        </w:rPr>
        <w:t>.</w:t>
      </w:r>
      <w:r w:rsidR="00C570B6" w:rsidRPr="001A1BC7">
        <w:rPr>
          <w:szCs w:val="24"/>
        </w:rPr>
        <w:t xml:space="preserve"> Līdzīga tende</w:t>
      </w:r>
      <w:r w:rsidR="00604991" w:rsidRPr="001A1BC7">
        <w:rPr>
          <w:szCs w:val="24"/>
        </w:rPr>
        <w:t>n</w:t>
      </w:r>
      <w:r w:rsidR="00C570B6" w:rsidRPr="001A1BC7">
        <w:rPr>
          <w:szCs w:val="24"/>
        </w:rPr>
        <w:t>ce nov</w:t>
      </w:r>
      <w:r w:rsidR="00604991" w:rsidRPr="001A1BC7">
        <w:rPr>
          <w:szCs w:val="24"/>
        </w:rPr>
        <w:t>ērojama visos klasteros, tie ir auguši un attīstījušies</w:t>
      </w:r>
      <w:r w:rsidR="00217318">
        <w:rPr>
          <w:szCs w:val="24"/>
        </w:rPr>
        <w:t>,</w:t>
      </w:r>
      <w:r w:rsidR="00604991" w:rsidRPr="00217318">
        <w:rPr>
          <w:szCs w:val="24"/>
        </w:rPr>
        <w:t xml:space="preserve"> palielinot gandrīz katra indiv</w:t>
      </w:r>
      <w:r w:rsidR="00217318">
        <w:rPr>
          <w:szCs w:val="24"/>
        </w:rPr>
        <w:t>id</w:t>
      </w:r>
      <w:r w:rsidR="00604991" w:rsidRPr="00217318">
        <w:rPr>
          <w:szCs w:val="24"/>
        </w:rPr>
        <w:t>uāl</w:t>
      </w:r>
      <w:r w:rsidR="001B1F32" w:rsidRPr="00217318">
        <w:rPr>
          <w:szCs w:val="24"/>
        </w:rPr>
        <w:t>ā</w:t>
      </w:r>
      <w:r w:rsidR="00604991" w:rsidRPr="00217318">
        <w:rPr>
          <w:szCs w:val="24"/>
        </w:rPr>
        <w:t xml:space="preserve"> biedra apgrozījumu. Vidējais apgrozījuma pieaugums visos klasteros kopumā ir 26%, kas vērtējams kā ļoti labs rādītājs.</w:t>
      </w:r>
    </w:p>
    <w:p w:rsidR="008A55B1" w:rsidRDefault="008A55B1" w:rsidP="008A55B1">
      <w:pPr>
        <w:keepNext/>
        <w:widowControl w:val="0"/>
        <w:spacing w:before="120" w:after="120"/>
        <w:ind w:right="-28" w:firstLine="720"/>
        <w:outlineLvl w:val="1"/>
        <w:rPr>
          <w:bCs/>
          <w:iCs/>
          <w:szCs w:val="24"/>
        </w:rPr>
      </w:pPr>
      <w:r>
        <w:rPr>
          <w:szCs w:val="24"/>
        </w:rPr>
        <w:t xml:space="preserve">Ņemot vērā klasteru programmā atbalstītās aktivitātes </w:t>
      </w:r>
      <w:r w:rsidR="00C77D65">
        <w:rPr>
          <w:szCs w:val="24"/>
        </w:rPr>
        <w:t>–</w:t>
      </w:r>
      <w:r>
        <w:rPr>
          <w:szCs w:val="24"/>
        </w:rPr>
        <w:t xml:space="preserve"> </w:t>
      </w:r>
      <w:r w:rsidRPr="008A55B1">
        <w:rPr>
          <w:bCs/>
          <w:iCs/>
          <w:szCs w:val="24"/>
        </w:rPr>
        <w:t>starptautiskās sadarbības veicināšanas pasākumi</w:t>
      </w:r>
      <w:r w:rsidR="00C77D65">
        <w:rPr>
          <w:bCs/>
          <w:iCs/>
          <w:szCs w:val="24"/>
        </w:rPr>
        <w:t>,</w:t>
      </w:r>
      <w:r w:rsidRPr="008A55B1">
        <w:rPr>
          <w:bCs/>
          <w:iCs/>
          <w:szCs w:val="24"/>
        </w:rPr>
        <w:t xml:space="preserve"> mārketinga pasākumi, tirgus izpēte</w:t>
      </w:r>
      <w:r w:rsidR="00C77D65">
        <w:rPr>
          <w:bCs/>
          <w:iCs/>
          <w:szCs w:val="24"/>
        </w:rPr>
        <w:t>,</w:t>
      </w:r>
      <w:r w:rsidRPr="008A55B1">
        <w:rPr>
          <w:bCs/>
          <w:iCs/>
          <w:szCs w:val="24"/>
        </w:rPr>
        <w:t xml:space="preserve"> jaunu tehnoloģiju, produktu un pakalpojumu plānošanas un izstrādes pasākumi</w:t>
      </w:r>
      <w:r w:rsidR="00C77D65">
        <w:rPr>
          <w:bCs/>
          <w:iCs/>
          <w:szCs w:val="24"/>
        </w:rPr>
        <w:t>,</w:t>
      </w:r>
      <w:r w:rsidRPr="008A55B1">
        <w:rPr>
          <w:bCs/>
          <w:iCs/>
          <w:szCs w:val="24"/>
        </w:rPr>
        <w:t xml:space="preserve"> mārketinga un komerciālās sadarbības sekmēšanas pasākumi</w:t>
      </w:r>
      <w:r w:rsidR="00C77D65">
        <w:rPr>
          <w:bCs/>
          <w:iCs/>
          <w:szCs w:val="24"/>
        </w:rPr>
        <w:t>,</w:t>
      </w:r>
      <w:r w:rsidRPr="008A55B1">
        <w:rPr>
          <w:bCs/>
          <w:iCs/>
          <w:szCs w:val="24"/>
        </w:rPr>
        <w:t xml:space="preserve"> resursu efektivitātes un produktivitātes paaugstināšana nozares vai vērtības ķēdes ietvaros, u.c.</w:t>
      </w:r>
      <w:r w:rsidR="000B648B">
        <w:rPr>
          <w:bCs/>
          <w:iCs/>
          <w:szCs w:val="24"/>
        </w:rPr>
        <w:t xml:space="preserve"> –</w:t>
      </w:r>
      <w:r>
        <w:rPr>
          <w:bCs/>
          <w:iCs/>
          <w:szCs w:val="24"/>
        </w:rPr>
        <w:t xml:space="preserve"> ir pamats uzskatīt, ka ir netieši veicināta augstāk minēto rādītāju (eksporta un apgrozījuma) izaugsme.  Klasteru programmas ietvaros tika izveidoti jauni produkti, kuru</w:t>
      </w:r>
      <w:r w:rsidR="000B648B">
        <w:rPr>
          <w:bCs/>
          <w:iCs/>
          <w:szCs w:val="24"/>
        </w:rPr>
        <w:t>s</w:t>
      </w:r>
      <w:r>
        <w:rPr>
          <w:bCs/>
          <w:iCs/>
          <w:szCs w:val="24"/>
        </w:rPr>
        <w:t xml:space="preserve"> komercializējot pieaug komersantu apgrozījums. Tāpat starptautisk</w:t>
      </w:r>
      <w:r w:rsidR="000B648B">
        <w:rPr>
          <w:bCs/>
          <w:iCs/>
          <w:szCs w:val="24"/>
        </w:rPr>
        <w:t>ās</w:t>
      </w:r>
      <w:r>
        <w:rPr>
          <w:bCs/>
          <w:iCs/>
          <w:szCs w:val="24"/>
        </w:rPr>
        <w:t xml:space="preserve"> sadarbīb</w:t>
      </w:r>
      <w:r w:rsidR="000B648B">
        <w:rPr>
          <w:bCs/>
          <w:iCs/>
          <w:szCs w:val="24"/>
        </w:rPr>
        <w:t>as</w:t>
      </w:r>
      <w:r>
        <w:rPr>
          <w:bCs/>
          <w:iCs/>
          <w:szCs w:val="24"/>
        </w:rPr>
        <w:t xml:space="preserve"> veicināšanas pasākumos klasteru komersanti ir atraduši jaunus sadarbības partnerus ārvalstu tirgos un tādējādi palielinājuši savu eksporta apjomu.</w:t>
      </w:r>
    </w:p>
    <w:p w:rsidR="008A55B1" w:rsidRPr="008A55B1" w:rsidRDefault="008A55B1" w:rsidP="008A55B1">
      <w:pPr>
        <w:keepNext/>
        <w:widowControl w:val="0"/>
        <w:spacing w:before="120" w:after="120"/>
        <w:ind w:right="-28" w:firstLine="720"/>
        <w:outlineLvl w:val="1"/>
        <w:rPr>
          <w:bCs/>
          <w:iCs/>
          <w:szCs w:val="24"/>
        </w:rPr>
      </w:pPr>
      <w:r>
        <w:rPr>
          <w:bCs/>
          <w:iCs/>
          <w:szCs w:val="24"/>
        </w:rPr>
        <w:t xml:space="preserve">Visas atbalstītas aktivitātes </w:t>
      </w:r>
      <w:r w:rsidR="000B648B">
        <w:rPr>
          <w:bCs/>
          <w:iCs/>
          <w:szCs w:val="24"/>
        </w:rPr>
        <w:t>sniedz</w:t>
      </w:r>
      <w:r>
        <w:rPr>
          <w:bCs/>
          <w:iCs/>
          <w:szCs w:val="24"/>
        </w:rPr>
        <w:t xml:space="preserve"> ieguldījum</w:t>
      </w:r>
      <w:r w:rsidR="000B648B">
        <w:rPr>
          <w:bCs/>
          <w:iCs/>
          <w:szCs w:val="24"/>
        </w:rPr>
        <w:t>u</w:t>
      </w:r>
      <w:r>
        <w:rPr>
          <w:bCs/>
          <w:iCs/>
          <w:szCs w:val="24"/>
        </w:rPr>
        <w:t xml:space="preserve"> uzņēmum</w:t>
      </w:r>
      <w:r w:rsidR="000B648B">
        <w:rPr>
          <w:bCs/>
          <w:iCs/>
          <w:szCs w:val="24"/>
        </w:rPr>
        <w:t>u</w:t>
      </w:r>
      <w:r>
        <w:rPr>
          <w:bCs/>
          <w:iCs/>
          <w:szCs w:val="24"/>
        </w:rPr>
        <w:t xml:space="preserve"> </w:t>
      </w:r>
      <w:r w:rsidR="000B648B">
        <w:rPr>
          <w:bCs/>
          <w:iCs/>
          <w:szCs w:val="24"/>
        </w:rPr>
        <w:t>attīstībā</w:t>
      </w:r>
      <w:r>
        <w:rPr>
          <w:bCs/>
          <w:iCs/>
          <w:szCs w:val="24"/>
        </w:rPr>
        <w:t>, taču rada netiešu ietekmi uz komersantu finanšu rādītājiem, jo</w:t>
      </w:r>
      <w:r w:rsidR="009238AA">
        <w:rPr>
          <w:bCs/>
          <w:iCs/>
          <w:szCs w:val="24"/>
        </w:rPr>
        <w:t xml:space="preserve"> bez </w:t>
      </w:r>
      <w:r w:rsidR="000B648B">
        <w:rPr>
          <w:bCs/>
          <w:iCs/>
          <w:szCs w:val="24"/>
        </w:rPr>
        <w:t xml:space="preserve">ES fondu </w:t>
      </w:r>
      <w:r w:rsidR="009238AA">
        <w:rPr>
          <w:bCs/>
          <w:iCs/>
          <w:szCs w:val="24"/>
        </w:rPr>
        <w:t xml:space="preserve">atbalsta </w:t>
      </w:r>
      <w:r w:rsidR="000B648B">
        <w:rPr>
          <w:bCs/>
          <w:iCs/>
          <w:szCs w:val="24"/>
        </w:rPr>
        <w:t>ir</w:t>
      </w:r>
      <w:r w:rsidR="009238AA">
        <w:rPr>
          <w:bCs/>
          <w:iCs/>
          <w:szCs w:val="24"/>
        </w:rPr>
        <w:t xml:space="preserve"> nepieciešamas arī komersanta investīcijas un darbs rezultātu sasniegšanā, kā arī jāizpildās virknei citu nosacījumu</w:t>
      </w:r>
      <w:r w:rsidR="000B648B">
        <w:rPr>
          <w:bCs/>
          <w:iCs/>
          <w:szCs w:val="24"/>
        </w:rPr>
        <w:t>.</w:t>
      </w:r>
    </w:p>
    <w:p w:rsidR="00604991" w:rsidRPr="00217318" w:rsidRDefault="000F4926" w:rsidP="002E6310">
      <w:pPr>
        <w:keepNext/>
        <w:widowControl w:val="0"/>
        <w:spacing w:before="120" w:after="120"/>
        <w:ind w:right="-28" w:firstLine="720"/>
        <w:outlineLvl w:val="1"/>
        <w:rPr>
          <w:szCs w:val="24"/>
        </w:rPr>
      </w:pPr>
      <w:r w:rsidRPr="00217318">
        <w:rPr>
          <w:szCs w:val="24"/>
        </w:rPr>
        <w:t>Ņemto vērā, ka LIAA neveic standartizētu un automatizētu datu uzskaiti un analīzi par projekta īstenotājiem un labuma guvējiem (komersantiem)</w:t>
      </w:r>
      <w:r w:rsidR="00217318">
        <w:rPr>
          <w:szCs w:val="24"/>
        </w:rPr>
        <w:t>,</w:t>
      </w:r>
      <w:r w:rsidRPr="00217318">
        <w:rPr>
          <w:szCs w:val="24"/>
        </w:rPr>
        <w:t xml:space="preserve"> par īstenotajiem projektiem</w:t>
      </w:r>
      <w:r w:rsidR="00217318" w:rsidRPr="00217318">
        <w:rPr>
          <w:szCs w:val="24"/>
        </w:rPr>
        <w:t xml:space="preserve"> ir pieejama ierobežota informācija</w:t>
      </w:r>
      <w:r w:rsidRPr="00217318">
        <w:rPr>
          <w:szCs w:val="24"/>
        </w:rPr>
        <w:t xml:space="preserve">, </w:t>
      </w:r>
      <w:r w:rsidR="00217318">
        <w:rPr>
          <w:szCs w:val="24"/>
        </w:rPr>
        <w:t>kas būtu izmantojama salīdzinošās analīzes veikšanai. L</w:t>
      </w:r>
      <w:r w:rsidRPr="00217318">
        <w:rPr>
          <w:szCs w:val="24"/>
        </w:rPr>
        <w:t xml:space="preserve">īdz ar to ir ierobežotas iespējas veikt atsevišķu dažādu rādītāju savstarpējās mijiedarbības un korelāciju analīzi vai vispār nav iespējams veikt atsevišķu aspektu analīzi. </w:t>
      </w:r>
      <w:r w:rsidR="00E0406F">
        <w:rPr>
          <w:szCs w:val="24"/>
        </w:rPr>
        <w:t>Klasteru organizācijas katru gadu tiekas ar LIAA un EM, lai prezentētu savu nākamā gada darbības plānu un šo i</w:t>
      </w:r>
      <w:r w:rsidR="00514217" w:rsidRPr="00217318">
        <w:rPr>
          <w:szCs w:val="24"/>
        </w:rPr>
        <w:t xml:space="preserve">kgadējo tikšanos laikā </w:t>
      </w:r>
      <w:r w:rsidR="00047517" w:rsidRPr="00217318">
        <w:rPr>
          <w:szCs w:val="24"/>
        </w:rPr>
        <w:t>klasteri</w:t>
      </w:r>
      <w:r w:rsidR="00514217" w:rsidRPr="00217318">
        <w:rPr>
          <w:szCs w:val="24"/>
        </w:rPr>
        <w:t xml:space="preserve"> </w:t>
      </w:r>
      <w:r w:rsidR="00047517" w:rsidRPr="00217318">
        <w:rPr>
          <w:szCs w:val="24"/>
        </w:rPr>
        <w:t>sniedz</w:t>
      </w:r>
      <w:r w:rsidR="00514217" w:rsidRPr="00217318">
        <w:rPr>
          <w:szCs w:val="24"/>
        </w:rPr>
        <w:t xml:space="preserve"> atskait</w:t>
      </w:r>
      <w:r w:rsidR="00047517" w:rsidRPr="00217318">
        <w:rPr>
          <w:szCs w:val="24"/>
        </w:rPr>
        <w:t>i</w:t>
      </w:r>
      <w:r w:rsidR="00514217" w:rsidRPr="00217318">
        <w:rPr>
          <w:szCs w:val="24"/>
        </w:rPr>
        <w:t xml:space="preserve"> par iepriekšējā gadā veiktajām aktivitātēm un par plānotajām aktivitātēm </w:t>
      </w:r>
      <w:r w:rsidR="00047517" w:rsidRPr="00217318">
        <w:rPr>
          <w:szCs w:val="24"/>
        </w:rPr>
        <w:t xml:space="preserve">nākamajā </w:t>
      </w:r>
      <w:r w:rsidR="00514217" w:rsidRPr="00217318">
        <w:rPr>
          <w:szCs w:val="24"/>
        </w:rPr>
        <w:t>gadā. Šādā veidā gan atbildīg</w:t>
      </w:r>
      <w:r w:rsidR="001B1F32" w:rsidRPr="00217318">
        <w:rPr>
          <w:szCs w:val="24"/>
        </w:rPr>
        <w:t>ā</w:t>
      </w:r>
      <w:r w:rsidR="00514217" w:rsidRPr="00217318">
        <w:rPr>
          <w:szCs w:val="24"/>
        </w:rPr>
        <w:t xml:space="preserve"> </w:t>
      </w:r>
      <w:r w:rsidR="00E0406F">
        <w:rPr>
          <w:szCs w:val="24"/>
        </w:rPr>
        <w:t>iestāde</w:t>
      </w:r>
      <w:r w:rsidR="00514217" w:rsidRPr="00217318">
        <w:rPr>
          <w:szCs w:val="24"/>
        </w:rPr>
        <w:t xml:space="preserve">, gan sadarbības </w:t>
      </w:r>
      <w:r w:rsidR="00E0406F">
        <w:rPr>
          <w:szCs w:val="24"/>
        </w:rPr>
        <w:t>iestāde</w:t>
      </w:r>
      <w:r w:rsidR="00E0406F" w:rsidRPr="00217318">
        <w:rPr>
          <w:szCs w:val="24"/>
        </w:rPr>
        <w:t xml:space="preserve"> </w:t>
      </w:r>
      <w:r w:rsidR="00514217" w:rsidRPr="00217318">
        <w:rPr>
          <w:szCs w:val="24"/>
        </w:rPr>
        <w:t xml:space="preserve">var sekot līdzi tam, vai klasteri </w:t>
      </w:r>
      <w:r w:rsidR="00047517" w:rsidRPr="00217318">
        <w:rPr>
          <w:szCs w:val="24"/>
        </w:rPr>
        <w:t>sasniedz projektā noteiktos mērķus</w:t>
      </w:r>
      <w:r w:rsidR="00514217" w:rsidRPr="00217318">
        <w:rPr>
          <w:szCs w:val="24"/>
        </w:rPr>
        <w:t xml:space="preserve">, t.sk vai tiek radīti jauni produkti, vai notiek aktīva sadarbība starp klastera biedriem un vai tie iesaistās kopējos projektos. </w:t>
      </w:r>
    </w:p>
    <w:p w:rsidR="004B35F0" w:rsidRPr="00E0406F" w:rsidRDefault="004B35F0" w:rsidP="002E6310">
      <w:pPr>
        <w:keepNext/>
        <w:widowControl w:val="0"/>
        <w:spacing w:before="120" w:after="120"/>
        <w:ind w:right="-28" w:firstLine="720"/>
        <w:outlineLvl w:val="1"/>
        <w:rPr>
          <w:szCs w:val="24"/>
        </w:rPr>
      </w:pPr>
      <w:r w:rsidRPr="00E0406F">
        <w:rPr>
          <w:szCs w:val="24"/>
        </w:rPr>
        <w:t>Vērtējot klaster</w:t>
      </w:r>
      <w:r w:rsidR="00867EFD" w:rsidRPr="00E0406F">
        <w:rPr>
          <w:szCs w:val="24"/>
        </w:rPr>
        <w:t>u</w:t>
      </w:r>
      <w:r w:rsidR="009738BE" w:rsidRPr="00E0406F">
        <w:rPr>
          <w:szCs w:val="24"/>
        </w:rPr>
        <w:t xml:space="preserve"> </w:t>
      </w:r>
      <w:r w:rsidR="008B3008" w:rsidRPr="00E0406F">
        <w:rPr>
          <w:szCs w:val="24"/>
        </w:rPr>
        <w:t>stratēģijas</w:t>
      </w:r>
      <w:r w:rsidR="009738BE" w:rsidRPr="00E0406F">
        <w:rPr>
          <w:szCs w:val="24"/>
        </w:rPr>
        <w:t xml:space="preserve"> un ikgadējo sanāksmju laikā</w:t>
      </w:r>
      <w:r w:rsidRPr="00E0406F">
        <w:rPr>
          <w:szCs w:val="24"/>
        </w:rPr>
        <w:t xml:space="preserve"> sniegto informāciju</w:t>
      </w:r>
      <w:r w:rsidR="008B3008">
        <w:rPr>
          <w:szCs w:val="24"/>
        </w:rPr>
        <w:t>,</w:t>
      </w:r>
      <w:r w:rsidRPr="00E0406F">
        <w:rPr>
          <w:szCs w:val="24"/>
        </w:rPr>
        <w:t xml:space="preserve"> var secin</w:t>
      </w:r>
      <w:r w:rsidR="00867EFD" w:rsidRPr="00E0406F">
        <w:rPr>
          <w:szCs w:val="24"/>
        </w:rPr>
        <w:t xml:space="preserve">āt, ka sniegtais finansējums visvairāk tiek izmantots </w:t>
      </w:r>
      <w:r w:rsidR="008B3008" w:rsidRPr="00E0406F">
        <w:rPr>
          <w:szCs w:val="24"/>
        </w:rPr>
        <w:t>ārvalstu</w:t>
      </w:r>
      <w:r w:rsidR="00867EFD" w:rsidRPr="00E0406F">
        <w:rPr>
          <w:szCs w:val="24"/>
        </w:rPr>
        <w:t xml:space="preserve"> vizītēm</w:t>
      </w:r>
      <w:r w:rsidR="00870B16" w:rsidRPr="00E0406F">
        <w:rPr>
          <w:szCs w:val="24"/>
        </w:rPr>
        <w:t xml:space="preserve"> un izstādēm, nozaru pētījumiem, kā arī mārketinga aktivitātēm</w:t>
      </w:r>
      <w:r w:rsidR="00867EFD" w:rsidRPr="00E0406F">
        <w:rPr>
          <w:szCs w:val="24"/>
        </w:rPr>
        <w:t>. Tādējādi EM uzskata, ka būtu svarīgi saglabāt atbalstu šīm aktivitātēm</w:t>
      </w:r>
      <w:r w:rsidR="008B3008">
        <w:rPr>
          <w:szCs w:val="24"/>
        </w:rPr>
        <w:t>, taču jāņem vērā, ka nepieciešams nodrošināt atbalsta demarkāciju starp dažādām atbalsta programmām, tādēļ</w:t>
      </w:r>
      <w:r w:rsidR="00F0079D">
        <w:rPr>
          <w:szCs w:val="24"/>
        </w:rPr>
        <w:t xml:space="preserve"> turpmāk</w:t>
      </w:r>
      <w:r w:rsidR="008B3008">
        <w:rPr>
          <w:szCs w:val="24"/>
        </w:rPr>
        <w:t xml:space="preserve"> atbalsts dalībai ārvalstu izstādēs jāsniedz</w:t>
      </w:r>
      <w:r w:rsidR="00A57F2A">
        <w:rPr>
          <w:szCs w:val="24"/>
        </w:rPr>
        <w:t xml:space="preserve">, izmantojot atbalstu </w:t>
      </w:r>
      <w:r w:rsidR="00A57F2A" w:rsidRPr="00A57F2A">
        <w:rPr>
          <w:szCs w:val="24"/>
        </w:rPr>
        <w:t xml:space="preserve"> 3.2.1.specifiskā atbalsta mērķa „Palielināt augstas pievienotās vērtības produktu un pakalpojumu eksporta proporciju” 3.2.1.2.pasākuma „Starptautiskās konkurētspējas veicināšanas”</w:t>
      </w:r>
      <w:r w:rsidR="00A57F2A">
        <w:rPr>
          <w:szCs w:val="24"/>
        </w:rPr>
        <w:t xml:space="preserve"> ietvaros</w:t>
      </w:r>
      <w:r w:rsidR="00867EFD" w:rsidRPr="00E0406F">
        <w:rPr>
          <w:szCs w:val="24"/>
        </w:rPr>
        <w:t>.</w:t>
      </w:r>
      <w:r w:rsidR="009738BE" w:rsidRPr="00E0406F">
        <w:rPr>
          <w:szCs w:val="24"/>
        </w:rPr>
        <w:t xml:space="preserve"> Daži no klasteriem arī aktīvi iesaistās jauniešu intereses radīšanai par konkrēto nozari</w:t>
      </w:r>
      <w:r w:rsidR="008B3008">
        <w:rPr>
          <w:szCs w:val="24"/>
        </w:rPr>
        <w:t>,</w:t>
      </w:r>
      <w:r w:rsidR="009738BE" w:rsidRPr="00E0406F">
        <w:rPr>
          <w:szCs w:val="24"/>
        </w:rPr>
        <w:t xml:space="preserve"> organizējot konkursus, seminārus u.t.t., </w:t>
      </w:r>
      <w:r w:rsidR="008B3008" w:rsidRPr="00E0406F">
        <w:rPr>
          <w:szCs w:val="24"/>
        </w:rPr>
        <w:t>tādējādi</w:t>
      </w:r>
      <w:r w:rsidR="009738BE" w:rsidRPr="00E0406F">
        <w:rPr>
          <w:szCs w:val="24"/>
        </w:rPr>
        <w:t xml:space="preserve"> veicinot viņu profesijas izvēli par labu nozarei.</w:t>
      </w:r>
    </w:p>
    <w:p w:rsidR="00870B16" w:rsidRPr="008B3008" w:rsidRDefault="00870B16" w:rsidP="002E6310">
      <w:pPr>
        <w:keepNext/>
        <w:widowControl w:val="0"/>
        <w:spacing w:before="120" w:after="120"/>
        <w:ind w:right="-28" w:firstLine="720"/>
        <w:outlineLvl w:val="1"/>
        <w:rPr>
          <w:szCs w:val="24"/>
        </w:rPr>
      </w:pPr>
      <w:r w:rsidRPr="008B3008">
        <w:rPr>
          <w:szCs w:val="24"/>
        </w:rPr>
        <w:t xml:space="preserve">Ikgadējo sanāksmju laikā visi klasteri norādīja uz programmas pārlieku komplicēto izmaksu uzskaitīšanas veidu un sadarbības iestādei </w:t>
      </w:r>
      <w:r w:rsidR="000A6C26" w:rsidRPr="008B3008">
        <w:rPr>
          <w:szCs w:val="24"/>
        </w:rPr>
        <w:t>nepieciešamo ilgo laiku atskaišu izskatīšanai un izmaksu apstiprināšanai, tādējādi kavējot naudas plūsmu klasteriem. Administratīvais slogs ir galvenā problēma programmas ietvaros, ko atzīmēja klasteri</w:t>
      </w:r>
      <w:r w:rsidR="00F0079D">
        <w:rPr>
          <w:szCs w:val="24"/>
        </w:rPr>
        <w:t>,</w:t>
      </w:r>
      <w:r w:rsidR="000A6C26" w:rsidRPr="008B3008">
        <w:rPr>
          <w:szCs w:val="24"/>
        </w:rPr>
        <w:t xml:space="preserve"> t.sk. ceturkšņa atskaišu </w:t>
      </w:r>
      <w:r w:rsidR="00F0079D" w:rsidRPr="008B3008">
        <w:rPr>
          <w:szCs w:val="24"/>
        </w:rPr>
        <w:t>sagatavošana</w:t>
      </w:r>
      <w:r w:rsidR="000A6C26" w:rsidRPr="008B3008">
        <w:rPr>
          <w:szCs w:val="24"/>
        </w:rPr>
        <w:t xml:space="preserve">, </w:t>
      </w:r>
      <w:r w:rsidR="000A6C26" w:rsidRPr="002E6310">
        <w:rPr>
          <w:i/>
          <w:szCs w:val="24"/>
        </w:rPr>
        <w:t>de minimis</w:t>
      </w:r>
      <w:r w:rsidR="000A6C26" w:rsidRPr="008B3008">
        <w:rPr>
          <w:szCs w:val="24"/>
        </w:rPr>
        <w:t xml:space="preserve"> atbalsta piešķiršanas kārtība, ikgadēja klastera dalībnieku apliecinājumu </w:t>
      </w:r>
      <w:r w:rsidR="00BF1DDB">
        <w:rPr>
          <w:szCs w:val="24"/>
        </w:rPr>
        <w:t>iegūšana</w:t>
      </w:r>
      <w:r w:rsidR="000A6C26" w:rsidRPr="008B3008">
        <w:rPr>
          <w:szCs w:val="24"/>
        </w:rPr>
        <w:t>. EM kā atbildīgā</w:t>
      </w:r>
      <w:r w:rsidR="0061191A">
        <w:rPr>
          <w:szCs w:val="24"/>
        </w:rPr>
        <w:t xml:space="preserve"> </w:t>
      </w:r>
      <w:r w:rsidR="0061191A" w:rsidRPr="008B3008">
        <w:rPr>
          <w:szCs w:val="24"/>
        </w:rPr>
        <w:t>iestāde uzskata, ka jaunās programmas ietvaros būtu nepieciešams būtiski mazināt šo administratīvo slogu klasteriem.</w:t>
      </w:r>
    </w:p>
    <w:p w:rsidR="00E94780" w:rsidRPr="00F0079D" w:rsidRDefault="00E94780" w:rsidP="002E6310">
      <w:pPr>
        <w:keepNext/>
        <w:widowControl w:val="0"/>
        <w:spacing w:before="120" w:after="120"/>
        <w:ind w:left="284" w:right="-28" w:firstLine="720"/>
        <w:outlineLvl w:val="1"/>
        <w:rPr>
          <w:b/>
          <w:bCs/>
          <w:iCs/>
          <w:szCs w:val="24"/>
          <w:lang w:eastAsia="lv-LV"/>
        </w:rPr>
      </w:pPr>
    </w:p>
    <w:p w:rsidR="004E2D7F" w:rsidRPr="00BF1DDB" w:rsidRDefault="004E2D7F" w:rsidP="002E6310">
      <w:pPr>
        <w:keepNext/>
        <w:widowControl w:val="0"/>
        <w:spacing w:before="120" w:after="120"/>
        <w:ind w:left="284" w:right="-28" w:firstLine="720"/>
        <w:outlineLvl w:val="1"/>
        <w:rPr>
          <w:b/>
          <w:bCs/>
          <w:iCs/>
          <w:szCs w:val="24"/>
          <w:lang w:eastAsia="lv-LV"/>
        </w:rPr>
      </w:pPr>
      <w:r w:rsidRPr="00BF1DDB">
        <w:rPr>
          <w:b/>
          <w:bCs/>
          <w:iCs/>
          <w:szCs w:val="24"/>
          <w:lang w:eastAsia="lv-LV"/>
        </w:rPr>
        <w:t>Klasteru paveiktais Programmas ietvaros</w:t>
      </w:r>
    </w:p>
    <w:p w:rsidR="004E2D7F" w:rsidRPr="00C2690E" w:rsidRDefault="004E2D7F" w:rsidP="002E6310">
      <w:pPr>
        <w:keepNext/>
        <w:widowControl w:val="0"/>
        <w:spacing w:before="120" w:after="120"/>
        <w:ind w:right="-28" w:firstLine="720"/>
        <w:outlineLvl w:val="1"/>
        <w:rPr>
          <w:szCs w:val="24"/>
        </w:rPr>
      </w:pPr>
      <w:r w:rsidRPr="00C2690E">
        <w:rPr>
          <w:szCs w:val="24"/>
        </w:rPr>
        <w:t xml:space="preserve">Programmas īstenošanas laikā klasteri ir iesaistījušies daudz un dažādās aktivitātes, kā arī </w:t>
      </w:r>
      <w:r w:rsidRPr="00C2690E">
        <w:rPr>
          <w:szCs w:val="24"/>
        </w:rPr>
        <w:lastRenderedPageBreak/>
        <w:t>radījuši jaunus labās prakses piemērus.</w:t>
      </w:r>
    </w:p>
    <w:p w:rsidR="004E2D7F" w:rsidRPr="00C753D1" w:rsidRDefault="004E2D7F" w:rsidP="002E6310">
      <w:pPr>
        <w:keepNext/>
        <w:widowControl w:val="0"/>
        <w:spacing w:before="120" w:after="120"/>
        <w:ind w:left="284" w:right="-28" w:firstLine="720"/>
        <w:outlineLvl w:val="1"/>
        <w:rPr>
          <w:bCs/>
          <w:iCs/>
          <w:szCs w:val="24"/>
          <w:lang w:eastAsia="lv-LV"/>
        </w:rPr>
      </w:pPr>
      <w:r w:rsidRPr="00567F2D">
        <w:rPr>
          <w:b/>
          <w:bCs/>
          <w:iCs/>
          <w:szCs w:val="24"/>
          <w:lang w:eastAsia="lv-LV"/>
        </w:rPr>
        <w:t>Gaujas nacionālā parka tūrisma klastera</w:t>
      </w:r>
      <w:r w:rsidRPr="00C753D1">
        <w:rPr>
          <w:bCs/>
          <w:iCs/>
          <w:szCs w:val="24"/>
          <w:lang w:eastAsia="lv-LV"/>
        </w:rPr>
        <w:t xml:space="preserve"> paveiktais:</w:t>
      </w:r>
    </w:p>
    <w:p w:rsidR="004E2D7F" w:rsidRPr="00BB3C9B" w:rsidRDefault="004E2D7F" w:rsidP="002E6310">
      <w:pPr>
        <w:keepNext/>
        <w:widowControl w:val="0"/>
        <w:numPr>
          <w:ilvl w:val="0"/>
          <w:numId w:val="33"/>
        </w:numPr>
        <w:spacing w:before="120" w:after="120"/>
        <w:ind w:right="-28"/>
        <w:outlineLvl w:val="1"/>
        <w:rPr>
          <w:szCs w:val="24"/>
        </w:rPr>
      </w:pPr>
      <w:r w:rsidRPr="00BB3C9B">
        <w:rPr>
          <w:szCs w:val="24"/>
        </w:rPr>
        <w:t>Izveidots pilnīgi jauns klasteris, kas ietvēra sevī daudz mazo komersantu konkrētā reģionā (GNP teritorijā);</w:t>
      </w:r>
    </w:p>
    <w:p w:rsidR="004E2D7F" w:rsidRPr="00873AE0" w:rsidRDefault="004E2D7F" w:rsidP="002E6310">
      <w:pPr>
        <w:keepNext/>
        <w:widowControl w:val="0"/>
        <w:numPr>
          <w:ilvl w:val="0"/>
          <w:numId w:val="33"/>
        </w:numPr>
        <w:spacing w:before="120" w:after="120"/>
        <w:ind w:right="-28"/>
        <w:outlineLvl w:val="1"/>
        <w:rPr>
          <w:szCs w:val="24"/>
        </w:rPr>
      </w:pPr>
      <w:r w:rsidRPr="00873AE0">
        <w:rPr>
          <w:szCs w:val="24"/>
        </w:rPr>
        <w:t>Izstrādāts zīmols "EnterGauja", kura mērķis ir popularizēt Gaujas Nacionālo parku kā tūrisma objektu;</w:t>
      </w:r>
    </w:p>
    <w:p w:rsidR="004E2D7F" w:rsidRPr="00D356B3" w:rsidRDefault="004E2D7F" w:rsidP="002E6310">
      <w:pPr>
        <w:keepNext/>
        <w:widowControl w:val="0"/>
        <w:numPr>
          <w:ilvl w:val="0"/>
          <w:numId w:val="33"/>
        </w:numPr>
        <w:spacing w:before="120" w:after="120"/>
        <w:ind w:right="-28"/>
        <w:outlineLvl w:val="1"/>
        <w:rPr>
          <w:szCs w:val="24"/>
        </w:rPr>
      </w:pPr>
      <w:r w:rsidRPr="00D356B3">
        <w:rPr>
          <w:szCs w:val="24"/>
        </w:rPr>
        <w:t>Izveidots apakšzīmols "EnterManors", kas popularizē pilis un muižas GNP reģionā;</w:t>
      </w:r>
    </w:p>
    <w:p w:rsidR="004E2D7F" w:rsidRPr="002546E1" w:rsidRDefault="004E2D7F" w:rsidP="002E6310">
      <w:pPr>
        <w:keepNext/>
        <w:widowControl w:val="0"/>
        <w:numPr>
          <w:ilvl w:val="0"/>
          <w:numId w:val="33"/>
        </w:numPr>
        <w:spacing w:before="120" w:after="120"/>
        <w:ind w:right="-28"/>
        <w:outlineLvl w:val="1"/>
        <w:rPr>
          <w:szCs w:val="24"/>
        </w:rPr>
      </w:pPr>
      <w:r w:rsidRPr="00CD3B7B">
        <w:rPr>
          <w:szCs w:val="24"/>
        </w:rPr>
        <w:t xml:space="preserve">Izveidots jauns elektronisks pakalpojums </w:t>
      </w:r>
      <w:r w:rsidR="002546E1">
        <w:rPr>
          <w:szCs w:val="24"/>
        </w:rPr>
        <w:t>– “</w:t>
      </w:r>
      <w:r w:rsidRPr="002546E1">
        <w:rPr>
          <w:szCs w:val="24"/>
        </w:rPr>
        <w:t>SKI Vidzeme</w:t>
      </w:r>
      <w:r w:rsidR="002546E1">
        <w:rPr>
          <w:szCs w:val="24"/>
        </w:rPr>
        <w:t>”</w:t>
      </w:r>
      <w:r w:rsidRPr="002546E1">
        <w:rPr>
          <w:szCs w:val="24"/>
        </w:rPr>
        <w:t xml:space="preserve">, kā ietvaros izveidota elektronisko karšu sistēma, kas dod iespēju klientam apmeklēt visus </w:t>
      </w:r>
      <w:r w:rsidR="00567F2D" w:rsidRPr="002546E1">
        <w:rPr>
          <w:szCs w:val="24"/>
        </w:rPr>
        <w:t>Vidzemes</w:t>
      </w:r>
      <w:r w:rsidRPr="002546E1">
        <w:rPr>
          <w:szCs w:val="24"/>
        </w:rPr>
        <w:t xml:space="preserve"> slēpošanas kalnu</w:t>
      </w:r>
      <w:r w:rsidR="00567F2D">
        <w:rPr>
          <w:szCs w:val="24"/>
        </w:rPr>
        <w:t>s</w:t>
      </w:r>
      <w:r w:rsidRPr="002546E1">
        <w:rPr>
          <w:szCs w:val="24"/>
        </w:rPr>
        <w:t>, izmantojot vienu elektronisko norēķinu karti;</w:t>
      </w:r>
    </w:p>
    <w:p w:rsidR="004E2D7F" w:rsidRPr="00567F2D" w:rsidRDefault="004E2D7F" w:rsidP="002E6310">
      <w:pPr>
        <w:keepNext/>
        <w:widowControl w:val="0"/>
        <w:numPr>
          <w:ilvl w:val="0"/>
          <w:numId w:val="33"/>
        </w:numPr>
        <w:spacing w:before="120" w:after="120"/>
        <w:ind w:right="-28"/>
        <w:outlineLvl w:val="1"/>
        <w:rPr>
          <w:szCs w:val="24"/>
        </w:rPr>
      </w:pPr>
      <w:r w:rsidRPr="00567F2D">
        <w:rPr>
          <w:szCs w:val="24"/>
        </w:rPr>
        <w:t>Izveidota veiksmīga sadarbība ar reģionālajiem tūrisma klasteriem Somijā un Zviedrijā;</w:t>
      </w:r>
    </w:p>
    <w:p w:rsidR="004E2D7F" w:rsidRPr="00C753D1" w:rsidRDefault="004E2D7F" w:rsidP="002E6310">
      <w:pPr>
        <w:keepNext/>
        <w:widowControl w:val="0"/>
        <w:numPr>
          <w:ilvl w:val="0"/>
          <w:numId w:val="33"/>
        </w:numPr>
        <w:spacing w:before="120" w:after="120"/>
        <w:ind w:right="-28"/>
        <w:outlineLvl w:val="1"/>
        <w:rPr>
          <w:szCs w:val="24"/>
        </w:rPr>
      </w:pPr>
      <w:r w:rsidRPr="00C753D1">
        <w:rPr>
          <w:szCs w:val="24"/>
        </w:rPr>
        <w:t>Klasteris ir labi atpazīstams Latvijā, izveidota cieša sadarbība ar pašvaldībām.</w:t>
      </w:r>
    </w:p>
    <w:p w:rsidR="004E2D7F" w:rsidRPr="00BB3C9B" w:rsidRDefault="004E2D7F" w:rsidP="002E6310">
      <w:pPr>
        <w:keepNext/>
        <w:widowControl w:val="0"/>
        <w:spacing w:before="120" w:after="120"/>
        <w:ind w:left="284" w:right="-28" w:firstLine="720"/>
        <w:outlineLvl w:val="1"/>
        <w:rPr>
          <w:bCs/>
          <w:iCs/>
          <w:szCs w:val="24"/>
          <w:lang w:eastAsia="lv-LV"/>
        </w:rPr>
      </w:pPr>
      <w:r w:rsidRPr="00BB3C9B">
        <w:rPr>
          <w:b/>
          <w:bCs/>
          <w:iCs/>
          <w:szCs w:val="24"/>
          <w:lang w:eastAsia="lv-LV"/>
        </w:rPr>
        <w:t>Latvijas Informācijas tehnoloģiju klastera</w:t>
      </w:r>
      <w:r w:rsidRPr="00BB3C9B">
        <w:rPr>
          <w:bCs/>
          <w:iCs/>
          <w:szCs w:val="24"/>
          <w:lang w:eastAsia="lv-LV"/>
        </w:rPr>
        <w:t xml:space="preserve"> paveiktais:</w:t>
      </w:r>
    </w:p>
    <w:p w:rsidR="00FD54E5" w:rsidRPr="00873AE0" w:rsidRDefault="00FD54E5" w:rsidP="002E6310">
      <w:pPr>
        <w:keepNext/>
        <w:widowControl w:val="0"/>
        <w:numPr>
          <w:ilvl w:val="0"/>
          <w:numId w:val="33"/>
        </w:numPr>
        <w:spacing w:before="120" w:after="120"/>
        <w:ind w:right="-28"/>
        <w:outlineLvl w:val="1"/>
        <w:rPr>
          <w:szCs w:val="24"/>
        </w:rPr>
      </w:pPr>
      <w:r w:rsidRPr="00873AE0">
        <w:rPr>
          <w:szCs w:val="24"/>
        </w:rPr>
        <w:t>Aktivitātes klastera atpazīstamības veicināšanai sabiedrībā, publicitātes palielināšana;</w:t>
      </w:r>
    </w:p>
    <w:p w:rsidR="00FD54E5" w:rsidRPr="00D356B3" w:rsidRDefault="00FD54E5" w:rsidP="002E6310">
      <w:pPr>
        <w:keepNext/>
        <w:widowControl w:val="0"/>
        <w:numPr>
          <w:ilvl w:val="0"/>
          <w:numId w:val="33"/>
        </w:numPr>
        <w:spacing w:before="120" w:after="120"/>
        <w:ind w:right="-28"/>
        <w:outlineLvl w:val="1"/>
        <w:rPr>
          <w:szCs w:val="24"/>
        </w:rPr>
      </w:pPr>
      <w:r w:rsidRPr="00D356B3">
        <w:rPr>
          <w:szCs w:val="24"/>
        </w:rPr>
        <w:t>Eksporta aģentu tīklu veidošana, kuras rezultātā partneri ir saņēmuši vērtīgas tirgus izpētes, konsultācijas un palīdzību eksporta tirgos, ir pārdošanas rezultāti un nodibinātas filiāles;</w:t>
      </w:r>
    </w:p>
    <w:p w:rsidR="00FD54E5" w:rsidRPr="00CD3B7B" w:rsidRDefault="00FD54E5" w:rsidP="002E6310">
      <w:pPr>
        <w:keepNext/>
        <w:widowControl w:val="0"/>
        <w:numPr>
          <w:ilvl w:val="0"/>
          <w:numId w:val="33"/>
        </w:numPr>
        <w:spacing w:before="120" w:after="120"/>
        <w:ind w:right="-28"/>
        <w:outlineLvl w:val="1"/>
        <w:rPr>
          <w:szCs w:val="24"/>
        </w:rPr>
      </w:pPr>
      <w:r w:rsidRPr="00CD3B7B">
        <w:rPr>
          <w:szCs w:val="24"/>
        </w:rPr>
        <w:t>Atbalsta aktivitātes Rīgas IT Demo Centra kā būtiskas Latvijas IT sasniegumu demonstrēšanas platformas attīstībai;</w:t>
      </w:r>
    </w:p>
    <w:p w:rsidR="004E2D7F" w:rsidRPr="00DE3D61" w:rsidRDefault="00FD54E5" w:rsidP="002E6310">
      <w:pPr>
        <w:keepNext/>
        <w:widowControl w:val="0"/>
        <w:numPr>
          <w:ilvl w:val="0"/>
          <w:numId w:val="33"/>
        </w:numPr>
        <w:spacing w:before="120" w:after="120"/>
        <w:ind w:right="-28"/>
        <w:outlineLvl w:val="1"/>
        <w:rPr>
          <w:szCs w:val="24"/>
        </w:rPr>
      </w:pPr>
      <w:r w:rsidRPr="00DE3D61">
        <w:rPr>
          <w:szCs w:val="24"/>
        </w:rPr>
        <w:t>Konferenču, semināru, diskusiju, tīklošanās pasākumu rīkošana.</w:t>
      </w:r>
    </w:p>
    <w:p w:rsidR="00FD54E5" w:rsidRPr="00DB7A63" w:rsidRDefault="00FD54E5" w:rsidP="002E6310">
      <w:pPr>
        <w:keepNext/>
        <w:widowControl w:val="0"/>
        <w:spacing w:before="120" w:after="120"/>
        <w:ind w:left="284" w:right="-28" w:firstLine="720"/>
        <w:outlineLvl w:val="1"/>
        <w:rPr>
          <w:bCs/>
          <w:iCs/>
          <w:szCs w:val="24"/>
          <w:lang w:eastAsia="lv-LV"/>
        </w:rPr>
      </w:pPr>
      <w:r w:rsidRPr="00092FFA">
        <w:rPr>
          <w:b/>
          <w:bCs/>
          <w:iCs/>
          <w:szCs w:val="24"/>
          <w:lang w:eastAsia="lv-LV"/>
        </w:rPr>
        <w:t xml:space="preserve">Latvijas Elektrotehnikas un elektronikas klastera </w:t>
      </w:r>
      <w:r w:rsidRPr="00DB7A63">
        <w:rPr>
          <w:bCs/>
          <w:iCs/>
          <w:szCs w:val="24"/>
          <w:lang w:eastAsia="lv-LV"/>
        </w:rPr>
        <w:t>paveiktais:</w:t>
      </w:r>
    </w:p>
    <w:p w:rsidR="00FD54E5" w:rsidRPr="0003704A" w:rsidRDefault="00FD54E5" w:rsidP="002E6310">
      <w:pPr>
        <w:keepNext/>
        <w:widowControl w:val="0"/>
        <w:numPr>
          <w:ilvl w:val="0"/>
          <w:numId w:val="33"/>
        </w:numPr>
        <w:spacing w:before="120" w:after="120"/>
        <w:ind w:right="-28"/>
        <w:outlineLvl w:val="1"/>
        <w:rPr>
          <w:szCs w:val="24"/>
        </w:rPr>
      </w:pPr>
      <w:r w:rsidRPr="0003704A">
        <w:rPr>
          <w:szCs w:val="24"/>
        </w:rPr>
        <w:t xml:space="preserve">Veicināta uzņēmumu sadarbība un savstarpējā komunikācija, lai apmeklētu kopīgus sadarbības partnerus un nozarei aktuālās izstādes, kā arī piesaistot eksporta un mārketinga speciālistu klastera partneru vajadzību apzināšanai. Šis ir nozīmīgs resurss, kas rosinājis un stiprinājis nozares uzņēmumu sadarbību un informācijas apriti vienam par otru. </w:t>
      </w:r>
    </w:p>
    <w:p w:rsidR="00FD54E5" w:rsidRPr="00641190" w:rsidRDefault="00FD54E5" w:rsidP="002E6310">
      <w:pPr>
        <w:keepNext/>
        <w:widowControl w:val="0"/>
        <w:numPr>
          <w:ilvl w:val="0"/>
          <w:numId w:val="33"/>
        </w:numPr>
        <w:spacing w:before="120" w:after="120"/>
        <w:ind w:right="-28"/>
        <w:outlineLvl w:val="1"/>
        <w:rPr>
          <w:szCs w:val="24"/>
        </w:rPr>
      </w:pPr>
      <w:r w:rsidRPr="00641190">
        <w:rPr>
          <w:szCs w:val="24"/>
        </w:rPr>
        <w:t>Ļoti noderīga ir bijusi iespēja iegādāties tirgus pētījumus – uzņēmumi ir atzinīgi novērtējuši šo iespēju, kas citās programmās nav pieejama.</w:t>
      </w:r>
    </w:p>
    <w:p w:rsidR="00FD54E5" w:rsidRPr="00880219" w:rsidRDefault="00FD54E5" w:rsidP="002E6310">
      <w:pPr>
        <w:keepNext/>
        <w:widowControl w:val="0"/>
        <w:numPr>
          <w:ilvl w:val="0"/>
          <w:numId w:val="33"/>
        </w:numPr>
        <w:spacing w:before="120" w:after="120"/>
        <w:ind w:right="-28"/>
        <w:outlineLvl w:val="1"/>
        <w:rPr>
          <w:szCs w:val="24"/>
        </w:rPr>
      </w:pPr>
      <w:r w:rsidRPr="00373B02">
        <w:rPr>
          <w:szCs w:val="24"/>
        </w:rPr>
        <w:t>Projekta rezultātā ir izdevies būtiski sekmēt un atbalstīt jauniešu tehnisko jaunradi, kam ir būtiska nozīme tādā nozarei jau ilgāku laiku aktuālā jautājumā</w:t>
      </w:r>
      <w:r w:rsidRPr="00880219">
        <w:rPr>
          <w:szCs w:val="24"/>
        </w:rPr>
        <w:t xml:space="preserve"> kā topošo speciālistu piesaiste.</w:t>
      </w:r>
    </w:p>
    <w:p w:rsidR="00FD54E5" w:rsidRPr="00E33057" w:rsidRDefault="00FD54E5" w:rsidP="002E6310">
      <w:pPr>
        <w:keepNext/>
        <w:widowControl w:val="0"/>
        <w:spacing w:before="120" w:after="120"/>
        <w:ind w:left="284" w:right="-28" w:firstLine="720"/>
        <w:outlineLvl w:val="1"/>
        <w:rPr>
          <w:bCs/>
          <w:iCs/>
          <w:szCs w:val="24"/>
          <w:lang w:eastAsia="lv-LV"/>
        </w:rPr>
      </w:pPr>
      <w:r w:rsidRPr="00E33057">
        <w:rPr>
          <w:b/>
          <w:bCs/>
          <w:iCs/>
          <w:szCs w:val="24"/>
          <w:lang w:eastAsia="lv-LV"/>
        </w:rPr>
        <w:t xml:space="preserve">Pārtikas produktu kvalitātes klastera </w:t>
      </w:r>
      <w:r w:rsidRPr="00E33057">
        <w:rPr>
          <w:bCs/>
          <w:iCs/>
          <w:szCs w:val="24"/>
          <w:lang w:eastAsia="lv-LV"/>
        </w:rPr>
        <w:t>paveiktais:</w:t>
      </w:r>
    </w:p>
    <w:p w:rsidR="00FD54E5" w:rsidRPr="00C753D1" w:rsidRDefault="00FD54E5" w:rsidP="002E6310">
      <w:pPr>
        <w:keepNext/>
        <w:widowControl w:val="0"/>
        <w:numPr>
          <w:ilvl w:val="0"/>
          <w:numId w:val="33"/>
        </w:numPr>
        <w:spacing w:before="120" w:after="120"/>
        <w:ind w:right="-28"/>
        <w:outlineLvl w:val="1"/>
        <w:rPr>
          <w:szCs w:val="24"/>
        </w:rPr>
      </w:pPr>
      <w:r w:rsidRPr="00E20D70">
        <w:rPr>
          <w:szCs w:val="24"/>
        </w:rPr>
        <w:t xml:space="preserve">Ir izdevies pārtikas ražotājiem daļēji kompensēt Krievijas krīzes radītos eksporta apjomu zaudējumus, veiksmīgi izmantojot </w:t>
      </w:r>
      <w:r w:rsidR="00C753D1">
        <w:rPr>
          <w:szCs w:val="24"/>
        </w:rPr>
        <w:t>klas</w:t>
      </w:r>
      <w:r w:rsidR="00C753D1" w:rsidRPr="00C753D1">
        <w:rPr>
          <w:szCs w:val="24"/>
        </w:rPr>
        <w:t xml:space="preserve">tera </w:t>
      </w:r>
      <w:r w:rsidRPr="00C753D1">
        <w:rPr>
          <w:szCs w:val="24"/>
        </w:rPr>
        <w:t xml:space="preserve">eksporta tirgu apgūšanas aktivitāti. Uzņēmumi ar aktivitāti ir apmierināti un aktīvi izmanto šo iespēju. Pateicoties </w:t>
      </w:r>
      <w:r w:rsidR="00C753D1">
        <w:rPr>
          <w:szCs w:val="24"/>
        </w:rPr>
        <w:t>klastera</w:t>
      </w:r>
      <w:r w:rsidR="00C753D1" w:rsidRPr="00C753D1">
        <w:rPr>
          <w:szCs w:val="24"/>
        </w:rPr>
        <w:t xml:space="preserve"> </w:t>
      </w:r>
      <w:r w:rsidRPr="00C753D1">
        <w:rPr>
          <w:szCs w:val="24"/>
        </w:rPr>
        <w:t>aktivitātēm</w:t>
      </w:r>
      <w:r w:rsidR="00C753D1">
        <w:rPr>
          <w:szCs w:val="24"/>
        </w:rPr>
        <w:t>,</w:t>
      </w:r>
      <w:r w:rsidRPr="00C753D1">
        <w:rPr>
          <w:szCs w:val="24"/>
        </w:rPr>
        <w:t xml:space="preserve"> jau ir noslēgti vairāki produkcijas piegādes līgumi. Tādējādi Krievijas tirgi tiek aizstāti ar Eiropas tirgiem un, iespējams, nākotnē arī ar Āzijas tirgiem.</w:t>
      </w:r>
    </w:p>
    <w:p w:rsidR="00FD54E5" w:rsidRPr="00873AE0" w:rsidRDefault="00FD54E5" w:rsidP="002E6310">
      <w:pPr>
        <w:keepNext/>
        <w:widowControl w:val="0"/>
        <w:numPr>
          <w:ilvl w:val="0"/>
          <w:numId w:val="33"/>
        </w:numPr>
        <w:spacing w:before="120" w:after="120"/>
        <w:ind w:right="-28"/>
        <w:outlineLvl w:val="1"/>
        <w:rPr>
          <w:szCs w:val="24"/>
        </w:rPr>
      </w:pPr>
      <w:r w:rsidRPr="00BB3C9B">
        <w:rPr>
          <w:szCs w:val="24"/>
        </w:rPr>
        <w:t xml:space="preserve">Latvijā, pateicoties </w:t>
      </w:r>
      <w:r w:rsidR="00A61910" w:rsidRPr="00BB3C9B">
        <w:rPr>
          <w:szCs w:val="24"/>
        </w:rPr>
        <w:t>kla</w:t>
      </w:r>
      <w:r w:rsidRPr="00873AE0">
        <w:rPr>
          <w:szCs w:val="24"/>
        </w:rPr>
        <w:t>stera aktivitātēm,  ir izdevies ieviest Pārtikas kvalitātes sistēmu (Bordo karotīti), kas nodrošina kvalitatīvākas pārtikas pieejamību patērētājiem.</w:t>
      </w:r>
    </w:p>
    <w:p w:rsidR="00FD54E5" w:rsidRPr="00C753D1" w:rsidRDefault="00FD54E5" w:rsidP="002E6310">
      <w:pPr>
        <w:keepNext/>
        <w:widowControl w:val="0"/>
        <w:numPr>
          <w:ilvl w:val="0"/>
          <w:numId w:val="33"/>
        </w:numPr>
        <w:spacing w:before="120" w:after="120"/>
        <w:ind w:right="-28"/>
        <w:outlineLvl w:val="1"/>
        <w:rPr>
          <w:szCs w:val="24"/>
        </w:rPr>
      </w:pPr>
      <w:r w:rsidRPr="00D356B3">
        <w:rPr>
          <w:szCs w:val="24"/>
        </w:rPr>
        <w:t>Ir veikti zinātniskie pētījumi, kas ļāva kl</w:t>
      </w:r>
      <w:r w:rsidR="00C753D1">
        <w:rPr>
          <w:szCs w:val="24"/>
        </w:rPr>
        <w:t>a</w:t>
      </w:r>
      <w:r w:rsidRPr="00C753D1">
        <w:rPr>
          <w:szCs w:val="24"/>
        </w:rPr>
        <w:t>stera dalībniekiem attīstīt jaunus produktus</w:t>
      </w:r>
      <w:r w:rsidR="00C753D1">
        <w:rPr>
          <w:szCs w:val="24"/>
        </w:rPr>
        <w:t xml:space="preserve"> </w:t>
      </w:r>
      <w:r w:rsidR="00C753D1">
        <w:rPr>
          <w:szCs w:val="24"/>
        </w:rPr>
        <w:lastRenderedPageBreak/>
        <w:t>un</w:t>
      </w:r>
      <w:r w:rsidRPr="00C753D1">
        <w:rPr>
          <w:szCs w:val="24"/>
        </w:rPr>
        <w:t xml:space="preserve"> uzlabot esošos, ko uzņēmumi atzinīgi novērtēja.</w:t>
      </w:r>
    </w:p>
    <w:p w:rsidR="00BC197F" w:rsidRPr="00BB3C9B" w:rsidRDefault="00BC197F" w:rsidP="002E6310">
      <w:pPr>
        <w:keepNext/>
        <w:widowControl w:val="0"/>
        <w:spacing w:before="120" w:after="120"/>
        <w:ind w:left="284" w:right="-28" w:firstLine="720"/>
        <w:outlineLvl w:val="1"/>
        <w:rPr>
          <w:bCs/>
          <w:iCs/>
          <w:szCs w:val="24"/>
          <w:lang w:eastAsia="lv-LV"/>
        </w:rPr>
      </w:pPr>
      <w:r w:rsidRPr="00BB3C9B">
        <w:rPr>
          <w:b/>
          <w:bCs/>
          <w:iCs/>
          <w:szCs w:val="24"/>
          <w:lang w:eastAsia="lv-LV"/>
        </w:rPr>
        <w:t xml:space="preserve">Latvijas Koka būvniecības klastera </w:t>
      </w:r>
      <w:r w:rsidRPr="00BB3C9B">
        <w:rPr>
          <w:bCs/>
          <w:iCs/>
          <w:szCs w:val="24"/>
          <w:lang w:eastAsia="lv-LV"/>
        </w:rPr>
        <w:t>paveiktais:</w:t>
      </w:r>
    </w:p>
    <w:p w:rsidR="00BC197F" w:rsidRPr="00BB3C9B" w:rsidRDefault="00BC197F" w:rsidP="002E6310">
      <w:pPr>
        <w:keepNext/>
        <w:widowControl w:val="0"/>
        <w:numPr>
          <w:ilvl w:val="0"/>
          <w:numId w:val="33"/>
        </w:numPr>
        <w:spacing w:before="120" w:after="120"/>
        <w:ind w:right="-28"/>
        <w:outlineLvl w:val="1"/>
        <w:rPr>
          <w:szCs w:val="24"/>
        </w:rPr>
      </w:pPr>
      <w:r w:rsidRPr="00BB3C9B">
        <w:rPr>
          <w:szCs w:val="24"/>
        </w:rPr>
        <w:t xml:space="preserve">Sadarbība ar zinātniski pētnieciskajām organizācijām </w:t>
      </w:r>
      <w:r w:rsidR="00BB3C9B">
        <w:rPr>
          <w:szCs w:val="24"/>
        </w:rPr>
        <w:t>–</w:t>
      </w:r>
      <w:r w:rsidRPr="00BB3C9B">
        <w:rPr>
          <w:szCs w:val="24"/>
        </w:rPr>
        <w:t xml:space="preserve"> siltinātās brusas ražošanas līnijas izveide, </w:t>
      </w:r>
      <w:r w:rsidR="00BB3C9B" w:rsidRPr="00BB3C9B">
        <w:rPr>
          <w:szCs w:val="24"/>
        </w:rPr>
        <w:t>sagatavota</w:t>
      </w:r>
      <w:r w:rsidRPr="00BB3C9B">
        <w:rPr>
          <w:szCs w:val="24"/>
        </w:rPr>
        <w:t xml:space="preserve"> prototipa māja. Inovācija tik klasiskā un konservatīvā nozarē kā koka būvniecība ir reta parādība.</w:t>
      </w:r>
    </w:p>
    <w:p w:rsidR="00BC197F" w:rsidRPr="00BB3C9B" w:rsidRDefault="00BC197F" w:rsidP="002E6310">
      <w:pPr>
        <w:keepNext/>
        <w:widowControl w:val="0"/>
        <w:numPr>
          <w:ilvl w:val="0"/>
          <w:numId w:val="33"/>
        </w:numPr>
        <w:spacing w:before="120" w:after="120"/>
        <w:ind w:right="-28"/>
        <w:outlineLvl w:val="1"/>
        <w:rPr>
          <w:szCs w:val="24"/>
        </w:rPr>
      </w:pPr>
      <w:r w:rsidRPr="00BB3C9B">
        <w:rPr>
          <w:szCs w:val="24"/>
        </w:rPr>
        <w:t xml:space="preserve">Apstiprināts projekts </w:t>
      </w:r>
      <w:r w:rsidR="00BB3C9B">
        <w:rPr>
          <w:szCs w:val="24"/>
        </w:rPr>
        <w:t>“</w:t>
      </w:r>
      <w:r w:rsidRPr="00BB3C9B">
        <w:rPr>
          <w:szCs w:val="24"/>
        </w:rPr>
        <w:t>Horizon 2020</w:t>
      </w:r>
      <w:r w:rsidR="00BB3C9B">
        <w:rPr>
          <w:szCs w:val="24"/>
        </w:rPr>
        <w:t>”</w:t>
      </w:r>
      <w:r w:rsidRPr="00BB3C9B">
        <w:rPr>
          <w:szCs w:val="24"/>
        </w:rPr>
        <w:t xml:space="preserve"> programmā</w:t>
      </w:r>
      <w:r w:rsidR="00873AE0">
        <w:rPr>
          <w:szCs w:val="24"/>
        </w:rPr>
        <w:t>, kas ļaus k</w:t>
      </w:r>
      <w:r w:rsidRPr="00BB3C9B">
        <w:rPr>
          <w:szCs w:val="24"/>
        </w:rPr>
        <w:t xml:space="preserve">lasterim </w:t>
      </w:r>
      <w:r w:rsidR="00873AE0">
        <w:rPr>
          <w:szCs w:val="24"/>
        </w:rPr>
        <w:t>gūt nozīmīgu</w:t>
      </w:r>
      <w:r w:rsidRPr="00BB3C9B">
        <w:rPr>
          <w:szCs w:val="24"/>
        </w:rPr>
        <w:t xml:space="preserve"> pieredz</w:t>
      </w:r>
      <w:r w:rsidR="00873AE0">
        <w:rPr>
          <w:szCs w:val="24"/>
        </w:rPr>
        <w:t>i</w:t>
      </w:r>
      <w:r w:rsidR="00D356B3">
        <w:rPr>
          <w:szCs w:val="24"/>
        </w:rPr>
        <w:t>,</w:t>
      </w:r>
      <w:r w:rsidR="00873AE0">
        <w:rPr>
          <w:szCs w:val="24"/>
        </w:rPr>
        <w:t xml:space="preserve"> </w:t>
      </w:r>
      <w:r w:rsidRPr="00BB3C9B">
        <w:rPr>
          <w:szCs w:val="24"/>
        </w:rPr>
        <w:t>sadarbīb</w:t>
      </w:r>
      <w:r w:rsidR="00873AE0">
        <w:rPr>
          <w:szCs w:val="24"/>
        </w:rPr>
        <w:t>ā</w:t>
      </w:r>
      <w:r w:rsidRPr="00BB3C9B">
        <w:rPr>
          <w:szCs w:val="24"/>
        </w:rPr>
        <w:t xml:space="preserve"> ar Eiropas uzņēmumiem un </w:t>
      </w:r>
      <w:r w:rsidR="00D356B3">
        <w:rPr>
          <w:szCs w:val="24"/>
        </w:rPr>
        <w:t>u</w:t>
      </w:r>
      <w:r w:rsidRPr="00BB3C9B">
        <w:rPr>
          <w:szCs w:val="24"/>
        </w:rPr>
        <w:t>niversitātēm izstrādājot produktu, kas nodrošinās Padomju laikā būvēto ēk</w:t>
      </w:r>
      <w:r w:rsidR="00D356B3">
        <w:rPr>
          <w:szCs w:val="24"/>
        </w:rPr>
        <w:t>u</w:t>
      </w:r>
      <w:r w:rsidRPr="00BB3C9B">
        <w:rPr>
          <w:szCs w:val="24"/>
        </w:rPr>
        <w:t xml:space="preserve"> siltināšanu ar koka paneļiem.</w:t>
      </w:r>
    </w:p>
    <w:p w:rsidR="00BC197F" w:rsidRPr="00873AE0" w:rsidRDefault="00BC197F" w:rsidP="002E6310">
      <w:pPr>
        <w:keepNext/>
        <w:widowControl w:val="0"/>
        <w:numPr>
          <w:ilvl w:val="0"/>
          <w:numId w:val="33"/>
        </w:numPr>
        <w:spacing w:before="120" w:after="120"/>
        <w:ind w:right="-28"/>
        <w:outlineLvl w:val="1"/>
        <w:rPr>
          <w:szCs w:val="24"/>
        </w:rPr>
      </w:pPr>
      <w:r w:rsidRPr="00873AE0">
        <w:rPr>
          <w:szCs w:val="24"/>
        </w:rPr>
        <w:t>Kopējais ražošanas</w:t>
      </w:r>
      <w:r w:rsidR="00D356B3">
        <w:rPr>
          <w:szCs w:val="24"/>
        </w:rPr>
        <w:t xml:space="preserve"> un </w:t>
      </w:r>
      <w:r w:rsidRPr="00873AE0">
        <w:rPr>
          <w:szCs w:val="24"/>
        </w:rPr>
        <w:t>eksporta</w:t>
      </w:r>
      <w:r w:rsidR="00D356B3">
        <w:rPr>
          <w:szCs w:val="24"/>
        </w:rPr>
        <w:t xml:space="preserve"> apjoma</w:t>
      </w:r>
      <w:r w:rsidRPr="00873AE0">
        <w:rPr>
          <w:szCs w:val="24"/>
        </w:rPr>
        <w:t xml:space="preserve"> pieaugums. </w:t>
      </w:r>
      <w:r w:rsidR="00CD3B7B">
        <w:rPr>
          <w:szCs w:val="24"/>
        </w:rPr>
        <w:t>Kopš</w:t>
      </w:r>
      <w:r w:rsidR="00CD3B7B" w:rsidRPr="00873AE0">
        <w:rPr>
          <w:szCs w:val="24"/>
        </w:rPr>
        <w:t xml:space="preserve"> </w:t>
      </w:r>
      <w:r w:rsidRPr="00873AE0">
        <w:rPr>
          <w:szCs w:val="24"/>
        </w:rPr>
        <w:t>klastera projekta sākum</w:t>
      </w:r>
      <w:r w:rsidR="00CD3B7B">
        <w:rPr>
          <w:szCs w:val="24"/>
        </w:rPr>
        <w:t xml:space="preserve">a uzņēmumu darbības rezultātu </w:t>
      </w:r>
      <w:r w:rsidRPr="00873AE0">
        <w:rPr>
          <w:szCs w:val="24"/>
        </w:rPr>
        <w:t xml:space="preserve">pieaugums ir </w:t>
      </w:r>
      <w:r w:rsidR="00CD3B7B">
        <w:rPr>
          <w:szCs w:val="24"/>
        </w:rPr>
        <w:t xml:space="preserve">bijis </w:t>
      </w:r>
      <w:r w:rsidRPr="00873AE0">
        <w:rPr>
          <w:szCs w:val="24"/>
        </w:rPr>
        <w:t>straujākais visā Baltijā.</w:t>
      </w:r>
    </w:p>
    <w:p w:rsidR="00BC197F" w:rsidRPr="00D356B3" w:rsidRDefault="00BC197F" w:rsidP="002E6310">
      <w:pPr>
        <w:keepNext/>
        <w:widowControl w:val="0"/>
        <w:spacing w:before="120" w:after="120"/>
        <w:ind w:left="284" w:right="-28" w:firstLine="720"/>
        <w:outlineLvl w:val="1"/>
        <w:rPr>
          <w:bCs/>
          <w:iCs/>
          <w:szCs w:val="24"/>
          <w:lang w:eastAsia="lv-LV"/>
        </w:rPr>
      </w:pPr>
      <w:r w:rsidRPr="00D356B3">
        <w:rPr>
          <w:b/>
          <w:bCs/>
          <w:iCs/>
          <w:szCs w:val="24"/>
          <w:lang w:eastAsia="lv-LV"/>
        </w:rPr>
        <w:t xml:space="preserve">Metālapstrādes klastera </w:t>
      </w:r>
      <w:r w:rsidRPr="00D356B3">
        <w:rPr>
          <w:bCs/>
          <w:iCs/>
          <w:szCs w:val="24"/>
          <w:lang w:eastAsia="lv-LV"/>
        </w:rPr>
        <w:t>paveiktais:</w:t>
      </w:r>
    </w:p>
    <w:p w:rsidR="00BC197F" w:rsidRPr="00CD3B7B" w:rsidRDefault="00BC197F" w:rsidP="002E6310">
      <w:pPr>
        <w:keepNext/>
        <w:widowControl w:val="0"/>
        <w:numPr>
          <w:ilvl w:val="0"/>
          <w:numId w:val="33"/>
        </w:numPr>
        <w:spacing w:before="120" w:after="120"/>
        <w:ind w:right="-28"/>
        <w:outlineLvl w:val="1"/>
        <w:rPr>
          <w:szCs w:val="24"/>
        </w:rPr>
      </w:pPr>
      <w:r w:rsidRPr="00CD3B7B">
        <w:rPr>
          <w:szCs w:val="24"/>
        </w:rPr>
        <w:t>Projekta ietvaros ir paveikts apjomīgs darbs eksporta veicināšanas jomā. Noorganizēti kopīgi klastera stendi un īstenotas mārketinga aktivitātes vairāk nekā 20 starptautiskajās izstādēs, kā arī noorganizētas</w:t>
      </w:r>
      <w:r w:rsidR="00DE3D61">
        <w:rPr>
          <w:szCs w:val="24"/>
        </w:rPr>
        <w:t xml:space="preserve"> vizītes</w:t>
      </w:r>
      <w:r w:rsidRPr="00CD3B7B">
        <w:rPr>
          <w:szCs w:val="24"/>
        </w:rPr>
        <w:t xml:space="preserve"> pie sadarbības partneriem un organizācijām citās valstīs. Mārketinga aktivitātes ir aptvērušas Somiju, Zviedriju, Norvēģiju, Vāciju, Lietuvu, Igauniju un Krieviju. </w:t>
      </w:r>
    </w:p>
    <w:p w:rsidR="00BC197F" w:rsidRPr="00DE3D61" w:rsidRDefault="00BC197F" w:rsidP="002E6310">
      <w:pPr>
        <w:keepNext/>
        <w:widowControl w:val="0"/>
        <w:numPr>
          <w:ilvl w:val="0"/>
          <w:numId w:val="33"/>
        </w:numPr>
        <w:spacing w:before="120" w:after="120"/>
        <w:ind w:right="-28"/>
        <w:outlineLvl w:val="1"/>
        <w:rPr>
          <w:szCs w:val="24"/>
        </w:rPr>
      </w:pPr>
      <w:r w:rsidRPr="00DE3D61">
        <w:rPr>
          <w:szCs w:val="24"/>
        </w:rPr>
        <w:t>Projektā ir īstenota virkne aktivitā</w:t>
      </w:r>
      <w:r w:rsidR="00092FFA">
        <w:rPr>
          <w:szCs w:val="24"/>
        </w:rPr>
        <w:t>šu</w:t>
      </w:r>
      <w:r w:rsidRPr="00DE3D61">
        <w:rPr>
          <w:szCs w:val="24"/>
        </w:rPr>
        <w:t xml:space="preserve"> ar mērķi piesaistīt jauniešus mācībām, studijām un karjeras attīstībai klastera uzņēmumiem būtiskās jomās. Ir izstrādāti informatīvie materiāli, video filma, īstenoti jaunatnes piesaistes pasākumi izstādē Skola, RTU Karjeras dienās, Jelgavas Metāla svētkos. Ir uzsākts TehnoBusa projekts, pārņemot Vācijas pieredzi un atraktīvā veidā iepazīstinot jaunatni ar iespējām, ko piedāvā nozare.</w:t>
      </w:r>
    </w:p>
    <w:p w:rsidR="00BC197F" w:rsidRPr="00092FFA" w:rsidRDefault="00BC197F" w:rsidP="002E6310">
      <w:pPr>
        <w:keepNext/>
        <w:widowControl w:val="0"/>
        <w:numPr>
          <w:ilvl w:val="0"/>
          <w:numId w:val="33"/>
        </w:numPr>
        <w:spacing w:before="120" w:after="120"/>
        <w:ind w:right="-28"/>
        <w:outlineLvl w:val="1"/>
        <w:rPr>
          <w:szCs w:val="24"/>
        </w:rPr>
      </w:pPr>
      <w:r w:rsidRPr="00092FFA">
        <w:rPr>
          <w:szCs w:val="24"/>
        </w:rPr>
        <w:t>Ir uzsākts un tiks tālāk attīstīts Studentu konstruktoru birojs, kas piedāvā platformu sadarbības attīstībai starp studentiem un uzņēmumiem inženiertehnisko izstrāžu, tehnisko rasējumu un dokumentācijas, kā arī jaunu produktu izstrādes jomā.</w:t>
      </w:r>
    </w:p>
    <w:p w:rsidR="00BC197F" w:rsidRPr="0003704A" w:rsidRDefault="00BC197F" w:rsidP="002E6310">
      <w:pPr>
        <w:keepNext/>
        <w:widowControl w:val="0"/>
        <w:numPr>
          <w:ilvl w:val="0"/>
          <w:numId w:val="33"/>
        </w:numPr>
        <w:spacing w:before="120" w:after="120"/>
        <w:ind w:right="-28"/>
        <w:outlineLvl w:val="1"/>
        <w:rPr>
          <w:szCs w:val="24"/>
        </w:rPr>
      </w:pPr>
      <w:r w:rsidRPr="00DB7A63">
        <w:rPr>
          <w:szCs w:val="24"/>
        </w:rPr>
        <w:t>Projekta ietvaros tika īstenotas labas prakses identifikācijas un apmaiņas aktiv</w:t>
      </w:r>
      <w:r w:rsidRPr="0003704A">
        <w:rPr>
          <w:szCs w:val="24"/>
        </w:rPr>
        <w:t>itātes</w:t>
      </w:r>
      <w:r w:rsidR="0003704A">
        <w:rPr>
          <w:szCs w:val="24"/>
        </w:rPr>
        <w:t>,</w:t>
      </w:r>
      <w:r w:rsidRPr="0003704A">
        <w:rPr>
          <w:szCs w:val="24"/>
        </w:rPr>
        <w:t xml:space="preserve"> fokusējoties uz tādām jomām kā darba drošība un energoefektivitāte. Pateicoties projektam</w:t>
      </w:r>
      <w:r w:rsidR="0003704A">
        <w:rPr>
          <w:szCs w:val="24"/>
        </w:rPr>
        <w:t>.</w:t>
      </w:r>
      <w:r w:rsidRPr="0003704A">
        <w:rPr>
          <w:szCs w:val="24"/>
        </w:rPr>
        <w:t xml:space="preserve"> bija iespējams piesaistīt Eiropas līmeņa ekspertus ar praktisko pieredzi rūpniecisko energoauditu īstenošanā un industriālajā energoefektivitātē, kādi Latvijā nav pieejami.</w:t>
      </w:r>
    </w:p>
    <w:p w:rsidR="00FD54E5" w:rsidRPr="00641190" w:rsidRDefault="00BC197F" w:rsidP="002E6310">
      <w:pPr>
        <w:keepNext/>
        <w:widowControl w:val="0"/>
        <w:numPr>
          <w:ilvl w:val="0"/>
          <w:numId w:val="33"/>
        </w:numPr>
        <w:spacing w:before="120" w:after="120"/>
        <w:ind w:right="-28"/>
        <w:outlineLvl w:val="1"/>
        <w:rPr>
          <w:szCs w:val="24"/>
        </w:rPr>
      </w:pPr>
      <w:r w:rsidRPr="00641190">
        <w:rPr>
          <w:szCs w:val="24"/>
        </w:rPr>
        <w:t>Projekta ietvaros tika noorganizēts liels skaits tikšanos, kā arī citu pasākumu, kur uzņēmumu pārstāvjiem bija iespējas formālā un neformālā gaisotnē tikties, iepazīties un apspriest sadarbības iespējas. Projekta ir devis ieguldījumu savstarpējās uzticēšanās un sadarbības veicināšanai, t.sk. attīstot tam nepieciešamo IT platformu un nodrošinot ar informāciju.</w:t>
      </w:r>
    </w:p>
    <w:p w:rsidR="00BC197F" w:rsidRPr="00A71EDD" w:rsidRDefault="00BC197F" w:rsidP="002E6310">
      <w:pPr>
        <w:keepNext/>
        <w:widowControl w:val="0"/>
        <w:spacing w:before="120" w:after="120"/>
        <w:ind w:left="284" w:right="-28" w:firstLine="720"/>
        <w:outlineLvl w:val="1"/>
        <w:rPr>
          <w:bCs/>
          <w:iCs/>
          <w:szCs w:val="24"/>
          <w:lang w:eastAsia="lv-LV"/>
        </w:rPr>
      </w:pPr>
      <w:r w:rsidRPr="00641190">
        <w:rPr>
          <w:b/>
          <w:bCs/>
          <w:iCs/>
          <w:szCs w:val="24"/>
          <w:lang w:eastAsia="lv-LV"/>
        </w:rPr>
        <w:t xml:space="preserve">Latvijas </w:t>
      </w:r>
      <w:r w:rsidR="00A71EDD">
        <w:rPr>
          <w:b/>
          <w:bCs/>
          <w:iCs/>
          <w:szCs w:val="24"/>
          <w:lang w:eastAsia="lv-LV"/>
        </w:rPr>
        <w:t>I</w:t>
      </w:r>
      <w:r w:rsidRPr="00A71EDD">
        <w:rPr>
          <w:b/>
          <w:bCs/>
          <w:iCs/>
          <w:szCs w:val="24"/>
          <w:lang w:eastAsia="lv-LV"/>
        </w:rPr>
        <w:t xml:space="preserve">lgtspējīga tūrisma klastera </w:t>
      </w:r>
      <w:r w:rsidRPr="00A71EDD">
        <w:rPr>
          <w:bCs/>
          <w:iCs/>
          <w:szCs w:val="24"/>
          <w:lang w:eastAsia="lv-LV"/>
        </w:rPr>
        <w:t>paveiktais:</w:t>
      </w:r>
    </w:p>
    <w:p w:rsidR="00923E91" w:rsidRPr="00093ECF" w:rsidRDefault="00683E2A" w:rsidP="002E6310">
      <w:pPr>
        <w:keepNext/>
        <w:widowControl w:val="0"/>
        <w:numPr>
          <w:ilvl w:val="0"/>
          <w:numId w:val="33"/>
        </w:numPr>
        <w:spacing w:before="120" w:after="120"/>
        <w:ind w:right="-28"/>
        <w:outlineLvl w:val="1"/>
        <w:rPr>
          <w:szCs w:val="24"/>
        </w:rPr>
      </w:pPr>
      <w:r w:rsidRPr="001A2BF8">
        <w:rPr>
          <w:szCs w:val="24"/>
        </w:rPr>
        <w:t>I</w:t>
      </w:r>
      <w:r w:rsidR="00BC197F" w:rsidRPr="00093ECF">
        <w:rPr>
          <w:szCs w:val="24"/>
        </w:rPr>
        <w:t>evērojami aktivizēta grupu ceļojumu organizētāju sadarbība ar Baltkrieviju: no</w:t>
      </w:r>
      <w:r w:rsidRPr="0067692D">
        <w:rPr>
          <w:szCs w:val="24"/>
        </w:rPr>
        <w:t xml:space="preserve"> </w:t>
      </w:r>
      <w:r w:rsidR="00BC197F" w:rsidRPr="00093ECF">
        <w:rPr>
          <w:szCs w:val="24"/>
        </w:rPr>
        <w:t xml:space="preserve">107 tur akreditētām tūrisma aģentūrām </w:t>
      </w:r>
      <w:r w:rsidR="00641190">
        <w:rPr>
          <w:szCs w:val="24"/>
        </w:rPr>
        <w:t>un</w:t>
      </w:r>
      <w:r w:rsidR="00641190" w:rsidRPr="00093ECF">
        <w:rPr>
          <w:szCs w:val="24"/>
        </w:rPr>
        <w:t xml:space="preserve"> </w:t>
      </w:r>
      <w:r w:rsidR="00BC197F" w:rsidRPr="00093ECF">
        <w:rPr>
          <w:szCs w:val="24"/>
        </w:rPr>
        <w:t xml:space="preserve">operatoriem ar 52 </w:t>
      </w:r>
      <w:r w:rsidR="00641190">
        <w:rPr>
          <w:szCs w:val="24"/>
        </w:rPr>
        <w:t>uzņēmumiem</w:t>
      </w:r>
      <w:r w:rsidR="00641190" w:rsidRPr="00093ECF">
        <w:rPr>
          <w:szCs w:val="24"/>
        </w:rPr>
        <w:t xml:space="preserve"> </w:t>
      </w:r>
      <w:r w:rsidR="00BC197F" w:rsidRPr="00093ECF">
        <w:rPr>
          <w:szCs w:val="24"/>
        </w:rPr>
        <w:t>ir noslēgti sadarbības</w:t>
      </w:r>
      <w:r w:rsidRPr="00093ECF">
        <w:rPr>
          <w:szCs w:val="24"/>
        </w:rPr>
        <w:t xml:space="preserve"> </w:t>
      </w:r>
      <w:r w:rsidR="00BC197F" w:rsidRPr="00093ECF">
        <w:rPr>
          <w:szCs w:val="24"/>
        </w:rPr>
        <w:t>līgum</w:t>
      </w:r>
      <w:r w:rsidR="00641190">
        <w:rPr>
          <w:szCs w:val="24"/>
        </w:rPr>
        <w:t>i</w:t>
      </w:r>
      <w:r w:rsidR="00BC197F" w:rsidRPr="00093ECF">
        <w:rPr>
          <w:szCs w:val="24"/>
        </w:rPr>
        <w:t xml:space="preserve">, t.sk. </w:t>
      </w:r>
      <w:r w:rsidR="00641190">
        <w:rPr>
          <w:szCs w:val="24"/>
        </w:rPr>
        <w:t xml:space="preserve">ar </w:t>
      </w:r>
      <w:r w:rsidR="00BC197F" w:rsidRPr="00093ECF">
        <w:rPr>
          <w:szCs w:val="24"/>
        </w:rPr>
        <w:t>3 vadošajiem</w:t>
      </w:r>
      <w:r w:rsidR="00641190">
        <w:rPr>
          <w:szCs w:val="24"/>
        </w:rPr>
        <w:t xml:space="preserve"> uzņēmumiem</w:t>
      </w:r>
      <w:r w:rsidR="00BC197F" w:rsidRPr="00093ECF">
        <w:rPr>
          <w:szCs w:val="24"/>
        </w:rPr>
        <w:t xml:space="preserve">. </w:t>
      </w:r>
      <w:r w:rsidRPr="00093ECF">
        <w:rPr>
          <w:szCs w:val="24"/>
        </w:rPr>
        <w:t>P</w:t>
      </w:r>
      <w:r w:rsidR="00BC197F" w:rsidRPr="00093ECF">
        <w:rPr>
          <w:szCs w:val="24"/>
        </w:rPr>
        <w:t>ēc Aģentūras BNS datiem šogad pirmajā ceturksnī, salīdzinot</w:t>
      </w:r>
      <w:r w:rsidRPr="00093ECF">
        <w:rPr>
          <w:szCs w:val="24"/>
        </w:rPr>
        <w:t xml:space="preserve"> </w:t>
      </w:r>
      <w:r w:rsidR="00BC197F" w:rsidRPr="00093ECF">
        <w:rPr>
          <w:szCs w:val="24"/>
        </w:rPr>
        <w:t>ar 2014.gada pirmo ceturksni, tūristu skaits no Baltkrievijas pieaudzis par 8%;</w:t>
      </w:r>
    </w:p>
    <w:p w:rsidR="00BC197F" w:rsidRPr="00A57F2A" w:rsidRDefault="00923E91" w:rsidP="002E6310">
      <w:pPr>
        <w:keepNext/>
        <w:widowControl w:val="0"/>
        <w:numPr>
          <w:ilvl w:val="0"/>
          <w:numId w:val="33"/>
        </w:numPr>
        <w:spacing w:before="120" w:after="120"/>
        <w:ind w:right="-28"/>
        <w:outlineLvl w:val="1"/>
        <w:rPr>
          <w:szCs w:val="24"/>
        </w:rPr>
      </w:pPr>
      <w:r w:rsidRPr="004C6DF6">
        <w:rPr>
          <w:szCs w:val="24"/>
        </w:rPr>
        <w:t>K</w:t>
      </w:r>
      <w:r w:rsidR="00BC197F" w:rsidRPr="004C6DF6">
        <w:rPr>
          <w:szCs w:val="24"/>
        </w:rPr>
        <w:t>onferenču pakalpojumu snied</w:t>
      </w:r>
      <w:r w:rsidR="00BC197F" w:rsidRPr="00217318">
        <w:rPr>
          <w:szCs w:val="24"/>
        </w:rPr>
        <w:t>zēji kvalificējušies un sekmīgi piedalījušies</w:t>
      </w:r>
      <w:r w:rsidRPr="00217318">
        <w:rPr>
          <w:szCs w:val="24"/>
        </w:rPr>
        <w:t xml:space="preserve"> </w:t>
      </w:r>
      <w:r w:rsidR="00BC197F" w:rsidRPr="00E0406F">
        <w:rPr>
          <w:szCs w:val="24"/>
        </w:rPr>
        <w:t>konferenču pakalpojumu iepirkumos, piemēram, iegūtas tiesības nodrošināt pakalpojumus</w:t>
      </w:r>
      <w:r w:rsidRPr="00E0406F">
        <w:rPr>
          <w:szCs w:val="24"/>
        </w:rPr>
        <w:t xml:space="preserve"> </w:t>
      </w:r>
      <w:r w:rsidR="00BC197F" w:rsidRPr="008B3008">
        <w:rPr>
          <w:szCs w:val="24"/>
        </w:rPr>
        <w:t>43 ES prezidentūras konferencēm no 2015. gada februāra līdz jūnijam, iegūtas tiesības</w:t>
      </w:r>
      <w:r w:rsidRPr="008B3008">
        <w:rPr>
          <w:szCs w:val="24"/>
        </w:rPr>
        <w:t xml:space="preserve"> </w:t>
      </w:r>
      <w:r w:rsidR="00BC197F" w:rsidRPr="008B3008">
        <w:rPr>
          <w:szCs w:val="24"/>
        </w:rPr>
        <w:lastRenderedPageBreak/>
        <w:t>apkalpot starptautiskas konferences un Forumus, piemēram, ADEE stomatologu</w:t>
      </w:r>
      <w:r w:rsidRPr="008B3008">
        <w:rPr>
          <w:szCs w:val="24"/>
        </w:rPr>
        <w:t xml:space="preserve"> </w:t>
      </w:r>
      <w:r w:rsidR="00BC197F" w:rsidRPr="00A57F2A">
        <w:rPr>
          <w:szCs w:val="24"/>
        </w:rPr>
        <w:t>konference, Micropole konference, Skandināvu banku darbinieku neformālās sanāksmes,</w:t>
      </w:r>
    </w:p>
    <w:p w:rsidR="00BC197F" w:rsidRPr="00D356B3" w:rsidRDefault="00683E2A" w:rsidP="002E6310">
      <w:pPr>
        <w:keepNext/>
        <w:widowControl w:val="0"/>
        <w:numPr>
          <w:ilvl w:val="0"/>
          <w:numId w:val="33"/>
        </w:numPr>
        <w:spacing w:before="120" w:after="120"/>
        <w:ind w:right="-28"/>
        <w:outlineLvl w:val="1"/>
        <w:rPr>
          <w:szCs w:val="24"/>
        </w:rPr>
      </w:pPr>
      <w:r w:rsidRPr="00F0079D">
        <w:rPr>
          <w:szCs w:val="24"/>
        </w:rPr>
        <w:t>Izveidota konferenču pārvaldības sistēma</w:t>
      </w:r>
      <w:r w:rsidR="00373B02">
        <w:rPr>
          <w:szCs w:val="24"/>
        </w:rPr>
        <w:t>,</w:t>
      </w:r>
      <w:r w:rsidRPr="00F0079D">
        <w:rPr>
          <w:szCs w:val="24"/>
        </w:rPr>
        <w:t xml:space="preserve"> n</w:t>
      </w:r>
      <w:r w:rsidR="00BC197F" w:rsidRPr="00BF1DDB">
        <w:rPr>
          <w:szCs w:val="24"/>
        </w:rPr>
        <w:t xml:space="preserve">odrošinot organizatoriem ērtu </w:t>
      </w:r>
      <w:r w:rsidRPr="00C2690E">
        <w:rPr>
          <w:szCs w:val="24"/>
        </w:rPr>
        <w:t xml:space="preserve">piekļuvi reģistrācijas procesam. </w:t>
      </w:r>
      <w:r w:rsidR="00373B02" w:rsidRPr="00C2690E">
        <w:rPr>
          <w:szCs w:val="24"/>
        </w:rPr>
        <w:t>Ietaupī</w:t>
      </w:r>
      <w:r w:rsidR="00373B02">
        <w:rPr>
          <w:szCs w:val="24"/>
        </w:rPr>
        <w:t>ti</w:t>
      </w:r>
      <w:r w:rsidR="00373B02" w:rsidRPr="00C2690E">
        <w:rPr>
          <w:szCs w:val="24"/>
        </w:rPr>
        <w:t xml:space="preserve"> </w:t>
      </w:r>
      <w:r w:rsidR="00BC197F" w:rsidRPr="00C2690E">
        <w:rPr>
          <w:szCs w:val="24"/>
        </w:rPr>
        <w:t>darbaspēka resur</w:t>
      </w:r>
      <w:r w:rsidR="00BC197F" w:rsidRPr="00567F2D">
        <w:rPr>
          <w:szCs w:val="24"/>
        </w:rPr>
        <w:t>s</w:t>
      </w:r>
      <w:r w:rsidR="00373B02">
        <w:rPr>
          <w:szCs w:val="24"/>
        </w:rPr>
        <w:t>i,</w:t>
      </w:r>
      <w:r w:rsidR="00BC197F" w:rsidRPr="00567F2D">
        <w:rPr>
          <w:szCs w:val="24"/>
        </w:rPr>
        <w:t xml:space="preserve"> organizējot lielformāta konferences</w:t>
      </w:r>
      <w:r w:rsidR="00373B02">
        <w:rPr>
          <w:szCs w:val="24"/>
        </w:rPr>
        <w:t xml:space="preserve"> –</w:t>
      </w:r>
      <w:r w:rsidRPr="00567F2D">
        <w:rPr>
          <w:szCs w:val="24"/>
        </w:rPr>
        <w:t xml:space="preserve"> </w:t>
      </w:r>
      <w:r w:rsidR="00BC197F" w:rsidRPr="00C753D1">
        <w:rPr>
          <w:szCs w:val="24"/>
        </w:rPr>
        <w:t xml:space="preserve">piemēram, Riga Dev Day </w:t>
      </w:r>
      <w:r w:rsidR="00373B02">
        <w:rPr>
          <w:szCs w:val="24"/>
        </w:rPr>
        <w:t xml:space="preserve">konferences organizēšanai </w:t>
      </w:r>
      <w:r w:rsidR="00BC197F" w:rsidRPr="00C753D1">
        <w:rPr>
          <w:szCs w:val="24"/>
        </w:rPr>
        <w:t>2015.gada janvārī 400 personām, pateicoties izstrādātajai</w:t>
      </w:r>
      <w:r w:rsidRPr="00C753D1">
        <w:rPr>
          <w:szCs w:val="24"/>
        </w:rPr>
        <w:t xml:space="preserve"> </w:t>
      </w:r>
      <w:r w:rsidR="00BC197F" w:rsidRPr="00BB3C9B">
        <w:rPr>
          <w:szCs w:val="24"/>
        </w:rPr>
        <w:t>ko</w:t>
      </w:r>
      <w:r w:rsidRPr="00BB3C9B">
        <w:rPr>
          <w:szCs w:val="24"/>
        </w:rPr>
        <w:t>nferenču pārvaldības sistēmai</w:t>
      </w:r>
      <w:r w:rsidR="00373B02">
        <w:rPr>
          <w:szCs w:val="24"/>
        </w:rPr>
        <w:t>,</w:t>
      </w:r>
      <w:r w:rsidRPr="00BB3C9B">
        <w:rPr>
          <w:szCs w:val="24"/>
        </w:rPr>
        <w:t xml:space="preserve"> o</w:t>
      </w:r>
      <w:r w:rsidR="00BC197F" w:rsidRPr="00873AE0">
        <w:rPr>
          <w:szCs w:val="24"/>
        </w:rPr>
        <w:t>rganizēšanas procesā</w:t>
      </w:r>
      <w:r w:rsidRPr="00873AE0">
        <w:rPr>
          <w:szCs w:val="24"/>
        </w:rPr>
        <w:t xml:space="preserve"> bija</w:t>
      </w:r>
      <w:r w:rsidR="00BC197F" w:rsidRPr="00D356B3">
        <w:rPr>
          <w:szCs w:val="24"/>
        </w:rPr>
        <w:t xml:space="preserve"> nepieciešama tikai viena persona.</w:t>
      </w:r>
    </w:p>
    <w:p w:rsidR="00683E2A" w:rsidRPr="00CD3B7B" w:rsidRDefault="00683E2A" w:rsidP="002E6310">
      <w:pPr>
        <w:keepNext/>
        <w:widowControl w:val="0"/>
        <w:spacing w:before="120" w:after="120"/>
        <w:ind w:left="284" w:right="-28" w:firstLine="720"/>
        <w:outlineLvl w:val="1"/>
        <w:rPr>
          <w:bCs/>
          <w:iCs/>
          <w:szCs w:val="24"/>
          <w:lang w:eastAsia="lv-LV"/>
        </w:rPr>
      </w:pPr>
      <w:r w:rsidRPr="00CD3B7B">
        <w:rPr>
          <w:b/>
          <w:bCs/>
          <w:iCs/>
          <w:szCs w:val="24"/>
          <w:lang w:eastAsia="lv-LV"/>
        </w:rPr>
        <w:t>Latvijas Ķīmijas un farmācijas klastera</w:t>
      </w:r>
      <w:r w:rsidRPr="00CD3B7B">
        <w:rPr>
          <w:bCs/>
          <w:iCs/>
          <w:szCs w:val="24"/>
          <w:lang w:eastAsia="lv-LV"/>
        </w:rPr>
        <w:t xml:space="preserve"> paveiktais:</w:t>
      </w:r>
    </w:p>
    <w:p w:rsidR="00683E2A" w:rsidRPr="00DE3D61" w:rsidRDefault="00683E2A" w:rsidP="002E6310">
      <w:pPr>
        <w:keepNext/>
        <w:widowControl w:val="0"/>
        <w:numPr>
          <w:ilvl w:val="0"/>
          <w:numId w:val="33"/>
        </w:numPr>
        <w:spacing w:before="120" w:after="120"/>
        <w:ind w:right="-28"/>
        <w:outlineLvl w:val="1"/>
        <w:rPr>
          <w:szCs w:val="24"/>
        </w:rPr>
      </w:pPr>
      <w:r w:rsidRPr="00DE3D61">
        <w:rPr>
          <w:szCs w:val="24"/>
        </w:rPr>
        <w:t xml:space="preserve">Sadarbībā ar uzņēmumiem projekta ietvaros ir izstrādāta nozares attīstības </w:t>
      </w:r>
      <w:r w:rsidR="00880219" w:rsidRPr="00DE3D61">
        <w:rPr>
          <w:szCs w:val="24"/>
        </w:rPr>
        <w:t>stratēģija</w:t>
      </w:r>
      <w:r w:rsidRPr="00DE3D61">
        <w:rPr>
          <w:szCs w:val="24"/>
        </w:rPr>
        <w:t xml:space="preserve"> (nodefinēta nozares specifika un nepieciešamais valsts atbalsts </w:t>
      </w:r>
      <w:r w:rsidR="00880219" w:rsidRPr="00DE3D61">
        <w:rPr>
          <w:szCs w:val="24"/>
        </w:rPr>
        <w:t>konkurētspējas</w:t>
      </w:r>
      <w:r w:rsidRPr="00DE3D61">
        <w:rPr>
          <w:szCs w:val="24"/>
        </w:rPr>
        <w:t xml:space="preserve"> stiprināšanai);</w:t>
      </w:r>
    </w:p>
    <w:p w:rsidR="00683E2A" w:rsidRPr="00092FFA" w:rsidRDefault="00683E2A" w:rsidP="002E6310">
      <w:pPr>
        <w:keepNext/>
        <w:widowControl w:val="0"/>
        <w:numPr>
          <w:ilvl w:val="0"/>
          <w:numId w:val="33"/>
        </w:numPr>
        <w:spacing w:before="120" w:after="120"/>
        <w:ind w:right="-28"/>
        <w:outlineLvl w:val="1"/>
        <w:rPr>
          <w:szCs w:val="24"/>
        </w:rPr>
      </w:pPr>
      <w:r w:rsidRPr="00092FFA">
        <w:rPr>
          <w:szCs w:val="24"/>
        </w:rPr>
        <w:t>Sadarbībā ar uzņēmumiem tiek izstrādāta nozares mācību centra koncepcija;</w:t>
      </w:r>
    </w:p>
    <w:p w:rsidR="00683E2A" w:rsidRPr="0003704A" w:rsidRDefault="00683E2A" w:rsidP="002E6310">
      <w:pPr>
        <w:keepNext/>
        <w:widowControl w:val="0"/>
        <w:numPr>
          <w:ilvl w:val="0"/>
          <w:numId w:val="33"/>
        </w:numPr>
        <w:spacing w:before="120" w:after="120"/>
        <w:ind w:right="-28"/>
        <w:outlineLvl w:val="1"/>
        <w:rPr>
          <w:szCs w:val="24"/>
        </w:rPr>
      </w:pPr>
      <w:r w:rsidRPr="00DB7A63">
        <w:rPr>
          <w:szCs w:val="24"/>
        </w:rPr>
        <w:t>Tika veikti vairāki pētījumi uztura bagātinātāju jom</w:t>
      </w:r>
      <w:r w:rsidR="00880219">
        <w:rPr>
          <w:szCs w:val="24"/>
        </w:rPr>
        <w:t>ā</w:t>
      </w:r>
      <w:r w:rsidRPr="00DB7A63">
        <w:rPr>
          <w:szCs w:val="24"/>
        </w:rPr>
        <w:t xml:space="preserve"> un izveidota</w:t>
      </w:r>
      <w:r w:rsidR="00050300" w:rsidRPr="00DB7A63">
        <w:rPr>
          <w:szCs w:val="24"/>
        </w:rPr>
        <w:t xml:space="preserve">s jaunas formulas, </w:t>
      </w:r>
      <w:r w:rsidR="00880219">
        <w:rPr>
          <w:szCs w:val="24"/>
        </w:rPr>
        <w:t>ir vai</w:t>
      </w:r>
      <w:r w:rsidR="00050300" w:rsidRPr="00DB7A63">
        <w:rPr>
          <w:szCs w:val="24"/>
        </w:rPr>
        <w:t xml:space="preserve"> </w:t>
      </w:r>
      <w:r w:rsidRPr="0003704A">
        <w:rPr>
          <w:szCs w:val="24"/>
        </w:rPr>
        <w:t xml:space="preserve">tiek izstrādāti komercializējamie produkti – hromatogrāfijas kolonnu portāls, izejvielu iepirkumu portāls;     </w:t>
      </w:r>
    </w:p>
    <w:p w:rsidR="00683E2A" w:rsidRPr="00641190" w:rsidRDefault="00683E2A" w:rsidP="002E6310">
      <w:pPr>
        <w:keepNext/>
        <w:widowControl w:val="0"/>
        <w:numPr>
          <w:ilvl w:val="0"/>
          <w:numId w:val="33"/>
        </w:numPr>
        <w:spacing w:before="120" w:after="120"/>
        <w:ind w:right="-28"/>
        <w:outlineLvl w:val="1"/>
        <w:rPr>
          <w:szCs w:val="24"/>
        </w:rPr>
      </w:pPr>
      <w:r w:rsidRPr="00641190">
        <w:rPr>
          <w:szCs w:val="24"/>
        </w:rPr>
        <w:t xml:space="preserve">Ar programmas palīdzību tiek veikta nozares </w:t>
      </w:r>
      <w:r w:rsidR="00880219" w:rsidRPr="00641190">
        <w:rPr>
          <w:szCs w:val="24"/>
        </w:rPr>
        <w:t>populariz</w:t>
      </w:r>
      <w:r w:rsidR="00880219">
        <w:rPr>
          <w:szCs w:val="24"/>
        </w:rPr>
        <w:t>ēšana</w:t>
      </w:r>
      <w:r w:rsidR="00880219" w:rsidRPr="00641190">
        <w:rPr>
          <w:szCs w:val="24"/>
        </w:rPr>
        <w:t xml:space="preserve"> </w:t>
      </w:r>
      <w:r w:rsidRPr="00641190">
        <w:rPr>
          <w:szCs w:val="24"/>
        </w:rPr>
        <w:t>jauniešu vidū ar mērķi piesaistīt jauniešus nozarei un risināt cilvēkresursu problēmas.</w:t>
      </w:r>
    </w:p>
    <w:p w:rsidR="00683E2A" w:rsidRPr="00373B02" w:rsidRDefault="00683E2A" w:rsidP="002E6310">
      <w:pPr>
        <w:keepNext/>
        <w:widowControl w:val="0"/>
        <w:spacing w:before="120" w:after="120"/>
        <w:ind w:left="284" w:right="-28" w:firstLine="720"/>
        <w:outlineLvl w:val="1"/>
        <w:rPr>
          <w:bCs/>
          <w:iCs/>
          <w:szCs w:val="24"/>
          <w:lang w:eastAsia="lv-LV"/>
        </w:rPr>
      </w:pPr>
      <w:r w:rsidRPr="00373B02">
        <w:rPr>
          <w:b/>
          <w:bCs/>
          <w:iCs/>
          <w:szCs w:val="24"/>
          <w:lang w:eastAsia="lv-LV"/>
        </w:rPr>
        <w:t xml:space="preserve">Industriālās energoefektivitātes klastera </w:t>
      </w:r>
      <w:r w:rsidRPr="00373B02">
        <w:rPr>
          <w:bCs/>
          <w:iCs/>
          <w:szCs w:val="24"/>
          <w:lang w:eastAsia="lv-LV"/>
        </w:rPr>
        <w:t>paveiktais:</w:t>
      </w:r>
    </w:p>
    <w:p w:rsidR="00683E2A" w:rsidRPr="00880219" w:rsidRDefault="00683E2A" w:rsidP="002E6310">
      <w:pPr>
        <w:keepNext/>
        <w:widowControl w:val="0"/>
        <w:numPr>
          <w:ilvl w:val="0"/>
          <w:numId w:val="33"/>
        </w:numPr>
        <w:spacing w:before="120" w:after="120"/>
        <w:ind w:right="-28"/>
        <w:outlineLvl w:val="1"/>
        <w:rPr>
          <w:szCs w:val="24"/>
        </w:rPr>
      </w:pPr>
      <w:r w:rsidRPr="00880219">
        <w:rPr>
          <w:szCs w:val="24"/>
        </w:rPr>
        <w:t>Klaster</w:t>
      </w:r>
      <w:r w:rsidR="00880219">
        <w:rPr>
          <w:szCs w:val="24"/>
        </w:rPr>
        <w:t>is</w:t>
      </w:r>
      <w:r w:rsidRPr="00880219">
        <w:rPr>
          <w:szCs w:val="24"/>
        </w:rPr>
        <w:t xml:space="preserve"> izstrādā</w:t>
      </w:r>
      <w:r w:rsidR="00880219">
        <w:rPr>
          <w:szCs w:val="24"/>
        </w:rPr>
        <w:t>jis</w:t>
      </w:r>
      <w:r w:rsidRPr="00880219">
        <w:rPr>
          <w:szCs w:val="24"/>
        </w:rPr>
        <w:t xml:space="preserve"> pētījumu "Enerģijas patēriņa analīze un risinājumi". Šobrīd uz šī pētījuma pamata tiek veikta tirgus izpēte, lai sagatavotu  dokumentus Eiropas Komisijai par atbalsta programmu energoefektīviem risinājumiem apstrādes ražošanas uzņēmumiem;</w:t>
      </w:r>
    </w:p>
    <w:p w:rsidR="00683E2A" w:rsidRPr="00E33057" w:rsidRDefault="00683E2A" w:rsidP="002E6310">
      <w:pPr>
        <w:keepNext/>
        <w:widowControl w:val="0"/>
        <w:numPr>
          <w:ilvl w:val="0"/>
          <w:numId w:val="33"/>
        </w:numPr>
        <w:spacing w:before="120" w:after="120"/>
        <w:ind w:right="-28"/>
        <w:outlineLvl w:val="1"/>
        <w:rPr>
          <w:szCs w:val="24"/>
        </w:rPr>
      </w:pPr>
      <w:r w:rsidRPr="00E33057">
        <w:rPr>
          <w:szCs w:val="24"/>
        </w:rPr>
        <w:t>Rakstveida metodiku pārstrādāšana uz IT risinājumiem, mobilajām aplikācijām;</w:t>
      </w:r>
    </w:p>
    <w:p w:rsidR="00683E2A" w:rsidRPr="0009016C" w:rsidRDefault="00683E2A" w:rsidP="002E6310">
      <w:pPr>
        <w:keepNext/>
        <w:widowControl w:val="0"/>
        <w:numPr>
          <w:ilvl w:val="0"/>
          <w:numId w:val="33"/>
        </w:numPr>
        <w:spacing w:before="120" w:after="120"/>
        <w:ind w:right="-28"/>
        <w:outlineLvl w:val="1"/>
        <w:rPr>
          <w:szCs w:val="24"/>
        </w:rPr>
      </w:pPr>
      <w:r w:rsidRPr="00E20D70">
        <w:rPr>
          <w:szCs w:val="24"/>
        </w:rPr>
        <w:t>Klastera partneru kompetences celšana, j</w:t>
      </w:r>
      <w:r w:rsidR="00735649" w:rsidRPr="00E20D70">
        <w:rPr>
          <w:szCs w:val="24"/>
        </w:rPr>
        <w:t>aunu biznesa virzienu attīstība.</w:t>
      </w:r>
    </w:p>
    <w:p w:rsidR="00683E2A" w:rsidRPr="0009016C" w:rsidRDefault="00683E2A" w:rsidP="002E6310">
      <w:pPr>
        <w:keepNext/>
        <w:widowControl w:val="0"/>
        <w:spacing w:before="120" w:after="120"/>
        <w:ind w:left="284" w:right="-28" w:firstLine="720"/>
        <w:outlineLvl w:val="1"/>
        <w:rPr>
          <w:bCs/>
          <w:iCs/>
          <w:szCs w:val="24"/>
          <w:lang w:eastAsia="lv-LV"/>
        </w:rPr>
      </w:pPr>
      <w:r w:rsidRPr="0009016C">
        <w:rPr>
          <w:b/>
          <w:bCs/>
          <w:iCs/>
          <w:szCs w:val="24"/>
          <w:lang w:eastAsia="lv-LV"/>
        </w:rPr>
        <w:t xml:space="preserve">Tīro tehnoloģiju klastera </w:t>
      </w:r>
      <w:r w:rsidRPr="0009016C">
        <w:rPr>
          <w:bCs/>
          <w:iCs/>
          <w:szCs w:val="24"/>
          <w:lang w:eastAsia="lv-LV"/>
        </w:rPr>
        <w:t>paveiktais:</w:t>
      </w:r>
    </w:p>
    <w:p w:rsidR="00EF3413" w:rsidRPr="00880219" w:rsidRDefault="00EF3413" w:rsidP="002E6310">
      <w:pPr>
        <w:keepNext/>
        <w:widowControl w:val="0"/>
        <w:numPr>
          <w:ilvl w:val="0"/>
          <w:numId w:val="33"/>
        </w:numPr>
        <w:spacing w:before="120" w:after="120"/>
        <w:ind w:right="-28"/>
        <w:outlineLvl w:val="1"/>
        <w:rPr>
          <w:szCs w:val="24"/>
        </w:rPr>
      </w:pPr>
      <w:r w:rsidRPr="001A1BC7">
        <w:rPr>
          <w:szCs w:val="24"/>
        </w:rPr>
        <w:t>Jaunas partnerības ar citām līdzīgām organizācijām (Somija, Zviedrija, Norvēģija, Dānija, ASV, Meksika, Krievija, Kazahstāna, Kirgiz</w:t>
      </w:r>
      <w:r w:rsidR="00880219">
        <w:rPr>
          <w:szCs w:val="24"/>
        </w:rPr>
        <w:t>s</w:t>
      </w:r>
      <w:r w:rsidRPr="00880219">
        <w:rPr>
          <w:szCs w:val="24"/>
        </w:rPr>
        <w:t>tāna, Tadžikistāna)</w:t>
      </w:r>
      <w:r w:rsidR="00880219">
        <w:rPr>
          <w:szCs w:val="24"/>
        </w:rPr>
        <w:t>.</w:t>
      </w:r>
    </w:p>
    <w:p w:rsidR="00EF3413" w:rsidRPr="00880219" w:rsidRDefault="00EF3413" w:rsidP="002E6310">
      <w:pPr>
        <w:keepNext/>
        <w:widowControl w:val="0"/>
        <w:numPr>
          <w:ilvl w:val="0"/>
          <w:numId w:val="33"/>
        </w:numPr>
        <w:spacing w:before="120" w:after="120"/>
        <w:ind w:right="-28"/>
        <w:outlineLvl w:val="1"/>
        <w:rPr>
          <w:szCs w:val="24"/>
        </w:rPr>
      </w:pPr>
      <w:r w:rsidRPr="00880219">
        <w:rPr>
          <w:szCs w:val="24"/>
        </w:rPr>
        <w:t>Jauni starptautiskās sadarbības projekti un iniciatīvas: Coolsweep (waste to energy), Green Bridge Forum (sadarbība starp ES un Centr</w:t>
      </w:r>
      <w:r w:rsidR="00880219">
        <w:rPr>
          <w:szCs w:val="24"/>
        </w:rPr>
        <w:t>ā</w:t>
      </w:r>
      <w:r w:rsidRPr="00880219">
        <w:rPr>
          <w:szCs w:val="24"/>
        </w:rPr>
        <w:t>lāziju vides jautājumu jomā), EU-LAC foundation (ES un Latīņamerikas valstu sadarbības platforma). Papildus ir sagatavoti vairāki projektu pieteikum</w:t>
      </w:r>
      <w:r w:rsidR="00880219">
        <w:rPr>
          <w:szCs w:val="24"/>
        </w:rPr>
        <w:t>i</w:t>
      </w:r>
      <w:r w:rsidRPr="00880219">
        <w:rPr>
          <w:szCs w:val="24"/>
        </w:rPr>
        <w:t xml:space="preserve"> papildus finansējuma piesaiste</w:t>
      </w:r>
      <w:r w:rsidR="00880219">
        <w:rPr>
          <w:szCs w:val="24"/>
        </w:rPr>
        <w:t>i</w:t>
      </w:r>
      <w:r w:rsidRPr="00880219">
        <w:rPr>
          <w:szCs w:val="24"/>
        </w:rPr>
        <w:t xml:space="preserve"> no citiem finanšu instrumentiem: Interreg, Nordic Mobility, </w:t>
      </w:r>
      <w:r w:rsidR="00E33057">
        <w:rPr>
          <w:szCs w:val="24"/>
        </w:rPr>
        <w:t>Latvijas Vides aizsardzības fonds (</w:t>
      </w:r>
      <w:r w:rsidRPr="00880219">
        <w:rPr>
          <w:szCs w:val="24"/>
        </w:rPr>
        <w:t>LVAF</w:t>
      </w:r>
      <w:r w:rsidR="00E33057">
        <w:rPr>
          <w:szCs w:val="24"/>
        </w:rPr>
        <w:t>)</w:t>
      </w:r>
      <w:r w:rsidRPr="00880219">
        <w:rPr>
          <w:szCs w:val="24"/>
        </w:rPr>
        <w:t>, SIF, ERAF (pētniecības programmas)</w:t>
      </w:r>
      <w:r w:rsidR="00880219">
        <w:rPr>
          <w:szCs w:val="24"/>
        </w:rPr>
        <w:t>.</w:t>
      </w:r>
    </w:p>
    <w:p w:rsidR="00EF3413" w:rsidRPr="00E33057" w:rsidRDefault="00EF3413" w:rsidP="002E6310">
      <w:pPr>
        <w:keepNext/>
        <w:widowControl w:val="0"/>
        <w:numPr>
          <w:ilvl w:val="0"/>
          <w:numId w:val="33"/>
        </w:numPr>
        <w:spacing w:before="120" w:after="120"/>
        <w:ind w:right="-28"/>
        <w:outlineLvl w:val="1"/>
        <w:rPr>
          <w:szCs w:val="24"/>
        </w:rPr>
      </w:pPr>
      <w:r w:rsidRPr="00880219">
        <w:rPr>
          <w:szCs w:val="24"/>
        </w:rPr>
        <w:t xml:space="preserve">Partneru eksporta </w:t>
      </w:r>
      <w:r w:rsidR="00880219" w:rsidRPr="00880219">
        <w:rPr>
          <w:szCs w:val="24"/>
        </w:rPr>
        <w:t>aktivitā</w:t>
      </w:r>
      <w:r w:rsidR="00880219">
        <w:rPr>
          <w:szCs w:val="24"/>
        </w:rPr>
        <w:t>šu</w:t>
      </w:r>
      <w:r w:rsidRPr="00880219">
        <w:rPr>
          <w:szCs w:val="24"/>
        </w:rPr>
        <w:t xml:space="preserve"> veicināšanai ir veikti </w:t>
      </w:r>
      <w:r w:rsidR="00E33057" w:rsidRPr="00880219">
        <w:rPr>
          <w:szCs w:val="24"/>
        </w:rPr>
        <w:t>pētījumi</w:t>
      </w:r>
      <w:r w:rsidRPr="00880219">
        <w:rPr>
          <w:szCs w:val="24"/>
        </w:rPr>
        <w:t xml:space="preserve"> tirgus potenciāla novērtēšanai un izvēlētais Centrālāzijas reģions ir pierādījis šādas izpētes nozīmīgumu, jo reģions patiešām demonstrē strauju izaugsmi un pieprasījumu pēc vides tehnoloģijām un risinājumiem. Partneru kapacitātes stiprināšanai partnerībā tika</w:t>
      </w:r>
      <w:r w:rsidRPr="00E33057">
        <w:rPr>
          <w:szCs w:val="24"/>
        </w:rPr>
        <w:t xml:space="preserve"> organizētas tirdzniecības misijas uz NVS reģionu, uz ASV un uz Eiropu. Rezultātā šobrīd daudzi partneri aktīvi strādā Kazahstanā, Krievijā, Uzbekistānā pie jaunu klientu piesaistes, bieži savas aktivitātes īstenojot ciešā sadarbībā ar citiem Eiropas uzņēmumiem. Klastera biedri partnerībā ir piedalījušies vairākās izstādēs </w:t>
      </w:r>
      <w:r w:rsidR="00E33057">
        <w:rPr>
          <w:szCs w:val="24"/>
        </w:rPr>
        <w:t xml:space="preserve">kā </w:t>
      </w:r>
      <w:r w:rsidRPr="00E33057">
        <w:rPr>
          <w:szCs w:val="24"/>
        </w:rPr>
        <w:t>dalībniek</w:t>
      </w:r>
      <w:r w:rsidR="00E33057">
        <w:rPr>
          <w:szCs w:val="24"/>
        </w:rPr>
        <w:t>i</w:t>
      </w:r>
      <w:r w:rsidRPr="00E33057">
        <w:rPr>
          <w:szCs w:val="24"/>
        </w:rPr>
        <w:t xml:space="preserve"> ar kopēju stendu un piedāvājumu (Ecwatech 2013 Maskava, SU Arnasi 2015 Astana), gan apmeklētāja statusā tehnoloģiju jaunumu iepazīšanai un jaunu kontaktu izveidei </w:t>
      </w:r>
      <w:r w:rsidRPr="00E33057">
        <w:rPr>
          <w:szCs w:val="24"/>
        </w:rPr>
        <w:lastRenderedPageBreak/>
        <w:t xml:space="preserve">(ISWA 2012, Itālija; Oil and Gas 2012 Aktau Kazahstāna; Aquatech 2013 Amsterdama, Nīderlande; IFAT 2014 Minhene, Vācija; VA-massan, Zviedrija; Famart 2015, Boloņa, Itālija; Pama 2015, Indija). </w:t>
      </w:r>
    </w:p>
    <w:p w:rsidR="00EF3413" w:rsidRPr="00E33057" w:rsidRDefault="00EF3413" w:rsidP="002E6310">
      <w:pPr>
        <w:keepNext/>
        <w:widowControl w:val="0"/>
        <w:numPr>
          <w:ilvl w:val="0"/>
          <w:numId w:val="33"/>
        </w:numPr>
        <w:spacing w:before="120" w:after="120"/>
        <w:ind w:right="-28"/>
        <w:outlineLvl w:val="1"/>
        <w:rPr>
          <w:szCs w:val="24"/>
        </w:rPr>
      </w:pPr>
      <w:r w:rsidRPr="00E33057">
        <w:rPr>
          <w:szCs w:val="24"/>
        </w:rPr>
        <w:t>Projekta ietvaros ir izdevies pilnveidot un nostiprināt partnerību starp nozaru uzņēmumiem, kas ir nozīmīgi globālās konkurētspējas celšanai, to skaitā īstenojot apakšnozaru uzņēmēju savstarpējo sadarbību, piemēram</w:t>
      </w:r>
      <w:r w:rsidR="00E33057">
        <w:rPr>
          <w:szCs w:val="24"/>
        </w:rPr>
        <w:t xml:space="preserve">, </w:t>
      </w:r>
      <w:r w:rsidRPr="00E33057">
        <w:rPr>
          <w:szCs w:val="24"/>
        </w:rPr>
        <w:t>piesaistot papildus finansējumu no LVAF</w:t>
      </w:r>
      <w:r w:rsidR="00E33057">
        <w:rPr>
          <w:szCs w:val="24"/>
        </w:rPr>
        <w:t>,</w:t>
      </w:r>
      <w:r w:rsidRPr="00E33057">
        <w:rPr>
          <w:szCs w:val="24"/>
        </w:rPr>
        <w:t xml:space="preserve"> veikts pētījums par notekūdeņu dūņu izmantošanu un piemērotajām tehnoloģijām, kas veicināja sadarbību klastera uzņēmumu starpā un ar uzņēmumiem un organizācijām Igaunijā un Polijā.</w:t>
      </w:r>
    </w:p>
    <w:p w:rsidR="00EF3413" w:rsidRPr="00E20D70" w:rsidRDefault="00EF3413" w:rsidP="002E6310">
      <w:pPr>
        <w:keepNext/>
        <w:widowControl w:val="0"/>
        <w:spacing w:before="120" w:after="120"/>
        <w:ind w:left="284" w:right="-28" w:firstLine="720"/>
        <w:outlineLvl w:val="1"/>
        <w:rPr>
          <w:bCs/>
          <w:iCs/>
          <w:szCs w:val="24"/>
          <w:lang w:eastAsia="lv-LV"/>
        </w:rPr>
      </w:pPr>
      <w:r w:rsidRPr="00E20D70">
        <w:rPr>
          <w:b/>
          <w:bCs/>
          <w:iCs/>
          <w:szCs w:val="24"/>
          <w:lang w:eastAsia="lv-LV"/>
        </w:rPr>
        <w:t xml:space="preserve">Kosmosa tehnoloģiju un pakalpojumu nozares klastera </w:t>
      </w:r>
      <w:r w:rsidRPr="00E20D70">
        <w:rPr>
          <w:bCs/>
          <w:iCs/>
          <w:szCs w:val="24"/>
          <w:lang w:eastAsia="lv-LV"/>
        </w:rPr>
        <w:t>paveiktais:</w:t>
      </w:r>
    </w:p>
    <w:p w:rsidR="00EF3413" w:rsidRPr="0009016C" w:rsidRDefault="00EF3413" w:rsidP="002E6310">
      <w:pPr>
        <w:keepNext/>
        <w:widowControl w:val="0"/>
        <w:numPr>
          <w:ilvl w:val="0"/>
          <w:numId w:val="33"/>
        </w:numPr>
        <w:spacing w:before="120" w:after="120"/>
        <w:ind w:right="-28"/>
        <w:outlineLvl w:val="1"/>
        <w:rPr>
          <w:szCs w:val="24"/>
        </w:rPr>
      </w:pPr>
      <w:r w:rsidRPr="0009016C">
        <w:rPr>
          <w:szCs w:val="24"/>
        </w:rPr>
        <w:t>Translatvijas elektronisks rīks mērniecībā – īstenots projekts par Informācijas sistēmas „GeoTopo” programmatūras izstrādi elektronizēta sabiedriskā pakalpojuma izveides plānošanai;</w:t>
      </w:r>
    </w:p>
    <w:p w:rsidR="00EF3413" w:rsidRPr="00E20D70" w:rsidRDefault="00EF3413" w:rsidP="002E6310">
      <w:pPr>
        <w:keepNext/>
        <w:widowControl w:val="0"/>
        <w:numPr>
          <w:ilvl w:val="0"/>
          <w:numId w:val="33"/>
        </w:numPr>
        <w:spacing w:before="120" w:after="120"/>
        <w:ind w:right="-28"/>
        <w:outlineLvl w:val="1"/>
        <w:rPr>
          <w:szCs w:val="24"/>
        </w:rPr>
      </w:pPr>
      <w:r w:rsidRPr="0009016C">
        <w:rPr>
          <w:szCs w:val="24"/>
        </w:rPr>
        <w:t xml:space="preserve">Noorganizēta pirmā starptautiskā konference Latvijā par ekonomisko sadarbību kosmosa tehnoloģiju jomā </w:t>
      </w:r>
      <w:r w:rsidR="00E20D70">
        <w:rPr>
          <w:szCs w:val="24"/>
        </w:rPr>
        <w:t>–</w:t>
      </w:r>
      <w:r w:rsidRPr="00E20D70">
        <w:rPr>
          <w:szCs w:val="24"/>
        </w:rPr>
        <w:t xml:space="preserve"> </w:t>
      </w:r>
      <w:r w:rsidR="00E20D70">
        <w:rPr>
          <w:szCs w:val="24"/>
        </w:rPr>
        <w:t>“</w:t>
      </w:r>
      <w:r w:rsidRPr="00E20D70">
        <w:rPr>
          <w:szCs w:val="24"/>
        </w:rPr>
        <w:t xml:space="preserve">International Conference on Collaboration in Space Technologies” jeb ICCST, kuras ietvaros uzsākta sadarbība ar Āfrikas savienību. </w:t>
      </w:r>
    </w:p>
    <w:p w:rsidR="00EF3413" w:rsidRPr="0009016C" w:rsidRDefault="00EF3413" w:rsidP="002E6310">
      <w:pPr>
        <w:keepNext/>
        <w:widowControl w:val="0"/>
        <w:numPr>
          <w:ilvl w:val="0"/>
          <w:numId w:val="33"/>
        </w:numPr>
        <w:spacing w:before="120" w:after="120"/>
        <w:ind w:right="-28"/>
        <w:outlineLvl w:val="1"/>
        <w:rPr>
          <w:szCs w:val="24"/>
        </w:rPr>
      </w:pPr>
      <w:r w:rsidRPr="0009016C">
        <w:rPr>
          <w:szCs w:val="24"/>
        </w:rPr>
        <w:t>Klastera koordinators kopā ar sadarbības partneriem ir panācis, ka Latvijas valdība atbalstīja Latvijas turpmāko dalību Eiropas Kosmosa aģentūrā (EKA) Eiropas Sadarbības valsts (ESV) statusā, kas nozīmē, ka sadarbības partneriem būs iespēja piedalīties 2. PECS uzsaukumā;</w:t>
      </w:r>
    </w:p>
    <w:p w:rsidR="00EF3413" w:rsidRPr="0009016C" w:rsidRDefault="00EF3413" w:rsidP="002E6310">
      <w:pPr>
        <w:keepNext/>
        <w:widowControl w:val="0"/>
        <w:numPr>
          <w:ilvl w:val="0"/>
          <w:numId w:val="33"/>
        </w:numPr>
        <w:spacing w:before="120" w:after="120"/>
        <w:ind w:right="-28"/>
        <w:outlineLvl w:val="1"/>
        <w:rPr>
          <w:szCs w:val="24"/>
        </w:rPr>
      </w:pPr>
      <w:r w:rsidRPr="0009016C">
        <w:rPr>
          <w:szCs w:val="24"/>
        </w:rPr>
        <w:t>izveidota ciešāka sadarbība ar Eiropas Kosmosa aģentūru un Latvijas kosmosa industrijas popularizēšana ārpus ES robežām;</w:t>
      </w:r>
    </w:p>
    <w:p w:rsidR="00EF3413" w:rsidRPr="00E753B0" w:rsidRDefault="00EF3413" w:rsidP="002E6310">
      <w:pPr>
        <w:keepNext/>
        <w:widowControl w:val="0"/>
        <w:numPr>
          <w:ilvl w:val="0"/>
          <w:numId w:val="33"/>
        </w:numPr>
        <w:spacing w:before="120" w:after="120"/>
        <w:ind w:right="-28"/>
        <w:outlineLvl w:val="1"/>
        <w:rPr>
          <w:szCs w:val="24"/>
        </w:rPr>
      </w:pPr>
      <w:r w:rsidRPr="0009016C">
        <w:rPr>
          <w:szCs w:val="24"/>
        </w:rPr>
        <w:t>Latvijas jauniešu izglīt</w:t>
      </w:r>
      <w:r w:rsidRPr="001A1BC7">
        <w:rPr>
          <w:szCs w:val="24"/>
        </w:rPr>
        <w:t>ošana, erudīcijas veicināšana par kosmosa industriju un sniegt</w:t>
      </w:r>
      <w:r w:rsidR="00E753B0">
        <w:rPr>
          <w:szCs w:val="24"/>
        </w:rPr>
        <w:t>a</w:t>
      </w:r>
      <w:r w:rsidRPr="00E753B0">
        <w:rPr>
          <w:szCs w:val="24"/>
        </w:rPr>
        <w:t xml:space="preserve"> iespēj</w:t>
      </w:r>
      <w:r w:rsidR="00E753B0">
        <w:rPr>
          <w:szCs w:val="24"/>
        </w:rPr>
        <w:t>a</w:t>
      </w:r>
      <w:r w:rsidRPr="00E753B0">
        <w:rPr>
          <w:szCs w:val="24"/>
        </w:rPr>
        <w:t xml:space="preserve"> aizbraukt uz Amerikas Savienotajām valstīm </w:t>
      </w:r>
      <w:r w:rsidR="00E753B0">
        <w:rPr>
          <w:szCs w:val="24"/>
        </w:rPr>
        <w:t xml:space="preserve">uz </w:t>
      </w:r>
      <w:r w:rsidRPr="00E753B0">
        <w:rPr>
          <w:szCs w:val="24"/>
        </w:rPr>
        <w:t>starptautisk</w:t>
      </w:r>
      <w:r w:rsidR="00E753B0">
        <w:rPr>
          <w:szCs w:val="24"/>
        </w:rPr>
        <w:t>u</w:t>
      </w:r>
      <w:r w:rsidRPr="00E753B0">
        <w:rPr>
          <w:szCs w:val="24"/>
        </w:rPr>
        <w:t xml:space="preserve"> kosmosa nometni, kuras laikā intensīvi apgūtas kosmosa nozares tehnoloģijas.</w:t>
      </w:r>
    </w:p>
    <w:p w:rsidR="004E2D7F" w:rsidRPr="00E753B0" w:rsidRDefault="007146F3" w:rsidP="002E6310">
      <w:pPr>
        <w:keepNext/>
        <w:widowControl w:val="0"/>
        <w:spacing w:before="120" w:after="120"/>
        <w:ind w:right="-28" w:firstLine="720"/>
        <w:outlineLvl w:val="1"/>
        <w:rPr>
          <w:szCs w:val="24"/>
        </w:rPr>
      </w:pPr>
      <w:r w:rsidRPr="00E753B0">
        <w:rPr>
          <w:szCs w:val="24"/>
        </w:rPr>
        <w:t xml:space="preserve">Kopumā uzskatāms, ka Programmas mērķi </w:t>
      </w:r>
      <w:r w:rsidR="00E753B0">
        <w:rPr>
          <w:szCs w:val="24"/>
        </w:rPr>
        <w:t>–</w:t>
      </w:r>
      <w:r w:rsidRPr="00E753B0">
        <w:rPr>
          <w:szCs w:val="24"/>
        </w:rPr>
        <w:t xml:space="preserve"> veicināt nozaru un komersantu konkurētspējas celšanu, eksporta apjomu palielināšanu, inovācijas un jaunu produktu veidošanos ir sasniegti.</w:t>
      </w:r>
    </w:p>
    <w:p w:rsidR="00735649" w:rsidRPr="0009016C" w:rsidRDefault="00735649" w:rsidP="002E6310">
      <w:pPr>
        <w:widowControl w:val="0"/>
        <w:rPr>
          <w:rFonts w:eastAsia="MS Gothic"/>
          <w:b/>
          <w:bCs/>
          <w:color w:val="FF0000"/>
          <w:szCs w:val="24"/>
        </w:rPr>
      </w:pPr>
    </w:p>
    <w:p w:rsidR="006F28A4" w:rsidRPr="0009016C" w:rsidRDefault="006F28A4" w:rsidP="002E6310">
      <w:pPr>
        <w:widowControl w:val="0"/>
        <w:rPr>
          <w:b/>
        </w:rPr>
      </w:pPr>
      <w:r w:rsidRPr="0009016C">
        <w:rPr>
          <w:b/>
        </w:rPr>
        <w:t>Galvenie secinājumi</w:t>
      </w:r>
      <w:r w:rsidR="006D14AE">
        <w:rPr>
          <w:b/>
        </w:rPr>
        <w:t xml:space="preserve"> par Klasteru programmas ieviešanu 2007.-2013.gada ES fondu plānošanas periodā</w:t>
      </w:r>
      <w:r w:rsidRPr="0009016C">
        <w:rPr>
          <w:b/>
        </w:rPr>
        <w:t>:</w:t>
      </w:r>
    </w:p>
    <w:p w:rsidR="00FB2A2F" w:rsidRPr="0009016C" w:rsidRDefault="00FB2A2F" w:rsidP="002E6310">
      <w:pPr>
        <w:keepNext/>
        <w:widowControl w:val="0"/>
        <w:numPr>
          <w:ilvl w:val="0"/>
          <w:numId w:val="33"/>
        </w:numPr>
        <w:spacing w:before="120" w:after="120"/>
        <w:ind w:right="-28"/>
        <w:outlineLvl w:val="1"/>
        <w:rPr>
          <w:szCs w:val="24"/>
        </w:rPr>
      </w:pPr>
      <w:r w:rsidRPr="0009016C">
        <w:rPr>
          <w:szCs w:val="24"/>
        </w:rPr>
        <w:t>Kopumā atbalstīti 11 klasteri, kuros iesaistīti 329 komersanti, un kas kopā 2014.gadā nodarbinājuši 21 667 darbiniekus;</w:t>
      </w:r>
    </w:p>
    <w:p w:rsidR="000C1A6E" w:rsidRPr="001A1BC7" w:rsidRDefault="000C1A6E" w:rsidP="002E6310">
      <w:pPr>
        <w:keepNext/>
        <w:widowControl w:val="0"/>
        <w:numPr>
          <w:ilvl w:val="0"/>
          <w:numId w:val="33"/>
        </w:numPr>
        <w:spacing w:before="120" w:after="120"/>
        <w:ind w:right="-28"/>
        <w:outlineLvl w:val="1"/>
        <w:rPr>
          <w:szCs w:val="24"/>
        </w:rPr>
      </w:pPr>
      <w:r w:rsidRPr="001A1BC7">
        <w:rPr>
          <w:szCs w:val="24"/>
        </w:rPr>
        <w:t>Klasteru biedri visaktīvāk iesaistījušies starptautiskās sadarbības, eksporta tirgus apguves un mārketinga aktivitātēs;</w:t>
      </w:r>
    </w:p>
    <w:p w:rsidR="00FB2A2F" w:rsidRPr="001A1BC7" w:rsidRDefault="007146F3" w:rsidP="002E6310">
      <w:pPr>
        <w:keepNext/>
        <w:widowControl w:val="0"/>
        <w:numPr>
          <w:ilvl w:val="0"/>
          <w:numId w:val="33"/>
        </w:numPr>
        <w:spacing w:before="120" w:after="120"/>
        <w:ind w:right="-28"/>
        <w:outlineLvl w:val="1"/>
        <w:rPr>
          <w:szCs w:val="24"/>
        </w:rPr>
      </w:pPr>
      <w:r w:rsidRPr="001A1BC7">
        <w:rPr>
          <w:szCs w:val="24"/>
        </w:rPr>
        <w:t>Klasteri visvairāk finansējumu ir izmantojuši tieši klastera darbības nodrošināšanai</w:t>
      </w:r>
      <w:r w:rsidR="006D14AE">
        <w:rPr>
          <w:szCs w:val="24"/>
        </w:rPr>
        <w:t xml:space="preserve"> un pasākumu koordinēšanai</w:t>
      </w:r>
      <w:r w:rsidRPr="001A1BC7">
        <w:rPr>
          <w:szCs w:val="24"/>
        </w:rPr>
        <w:t xml:space="preserve">, tāpēc </w:t>
      </w:r>
      <w:r w:rsidR="006D14AE">
        <w:rPr>
          <w:szCs w:val="24"/>
        </w:rPr>
        <w:t>nepieciešams atcelt izmaksu ierobežojumus klastera darbības un klastera pakalpojumu nodrošināšanai, ļaujot klasteriem atrast to darbībai piemērotāku klastera aktivitāšu kombināciju</w:t>
      </w:r>
      <w:r w:rsidR="000458BA" w:rsidRPr="001A1BC7">
        <w:rPr>
          <w:szCs w:val="24"/>
        </w:rPr>
        <w:t>;</w:t>
      </w:r>
    </w:p>
    <w:p w:rsidR="000458BA" w:rsidRPr="001A1BC7" w:rsidRDefault="000458BA" w:rsidP="002E6310">
      <w:pPr>
        <w:keepNext/>
        <w:widowControl w:val="0"/>
        <w:numPr>
          <w:ilvl w:val="0"/>
          <w:numId w:val="33"/>
        </w:numPr>
        <w:spacing w:before="120" w:after="120"/>
        <w:ind w:right="-28"/>
        <w:outlineLvl w:val="1"/>
        <w:rPr>
          <w:szCs w:val="24"/>
        </w:rPr>
      </w:pPr>
      <w:r w:rsidRPr="001A1BC7">
        <w:rPr>
          <w:szCs w:val="24"/>
        </w:rPr>
        <w:t>Ikgadējās tikšanās ar klasteriem ir palīdzējušas sekot katra klastera aktivitātēm un mērķu sasniegšanai, kā arī analizēt programmas trūkumus</w:t>
      </w:r>
      <w:r w:rsidR="006D14AE">
        <w:rPr>
          <w:szCs w:val="24"/>
        </w:rPr>
        <w:t>;</w:t>
      </w:r>
    </w:p>
    <w:p w:rsidR="000C1A6E" w:rsidRPr="001A1BC7" w:rsidRDefault="000C1A6E" w:rsidP="002E6310">
      <w:pPr>
        <w:keepNext/>
        <w:widowControl w:val="0"/>
        <w:numPr>
          <w:ilvl w:val="0"/>
          <w:numId w:val="33"/>
        </w:numPr>
        <w:spacing w:before="120" w:after="120"/>
        <w:ind w:right="-28"/>
        <w:outlineLvl w:val="1"/>
        <w:rPr>
          <w:szCs w:val="24"/>
        </w:rPr>
      </w:pPr>
      <w:r w:rsidRPr="001A1BC7">
        <w:rPr>
          <w:szCs w:val="24"/>
        </w:rPr>
        <w:t>Nav vienotas datu uzskaites un analīzes formas, kas traucē pilnvērtīgi izvērtēt Programmas ietekmi;</w:t>
      </w:r>
    </w:p>
    <w:p w:rsidR="00A01A63" w:rsidRPr="001A1BC7" w:rsidRDefault="00A01A63" w:rsidP="002E6310">
      <w:pPr>
        <w:keepNext/>
        <w:widowControl w:val="0"/>
        <w:numPr>
          <w:ilvl w:val="0"/>
          <w:numId w:val="33"/>
        </w:numPr>
        <w:spacing w:before="120" w:after="120"/>
        <w:ind w:right="-28"/>
        <w:outlineLvl w:val="1"/>
        <w:rPr>
          <w:szCs w:val="24"/>
        </w:rPr>
      </w:pPr>
      <w:r w:rsidRPr="001A1BC7">
        <w:rPr>
          <w:szCs w:val="24"/>
        </w:rPr>
        <w:t>Pārāk augsts administrat</w:t>
      </w:r>
      <w:r w:rsidR="000458BA" w:rsidRPr="001A1BC7">
        <w:rPr>
          <w:szCs w:val="24"/>
        </w:rPr>
        <w:t>īvais slogs programmas ad</w:t>
      </w:r>
      <w:r w:rsidRPr="001A1BC7">
        <w:rPr>
          <w:szCs w:val="24"/>
        </w:rPr>
        <w:t>ministrē</w:t>
      </w:r>
      <w:r w:rsidR="000458BA" w:rsidRPr="001A1BC7">
        <w:rPr>
          <w:szCs w:val="24"/>
        </w:rPr>
        <w:t>šanai,</w:t>
      </w:r>
      <w:r w:rsidRPr="001A1BC7">
        <w:rPr>
          <w:szCs w:val="24"/>
        </w:rPr>
        <w:t xml:space="preserve"> </w:t>
      </w:r>
      <w:r w:rsidR="006D14AE">
        <w:rPr>
          <w:szCs w:val="24"/>
        </w:rPr>
        <w:t xml:space="preserve">ko </w:t>
      </w:r>
      <w:r w:rsidRPr="001A1BC7">
        <w:rPr>
          <w:szCs w:val="24"/>
        </w:rPr>
        <w:t xml:space="preserve">nepieciešams </w:t>
      </w:r>
      <w:r w:rsidRPr="001A1BC7">
        <w:rPr>
          <w:szCs w:val="24"/>
        </w:rPr>
        <w:lastRenderedPageBreak/>
        <w:t>mazināt</w:t>
      </w:r>
      <w:r w:rsidR="006D14AE">
        <w:rPr>
          <w:szCs w:val="24"/>
        </w:rPr>
        <w:t xml:space="preserve"> gan projekta ieviešanā, gan maksājumu pieprasījumu pārbaudes procesā</w:t>
      </w:r>
      <w:r w:rsidRPr="001A1BC7">
        <w:rPr>
          <w:szCs w:val="24"/>
        </w:rPr>
        <w:t>;</w:t>
      </w:r>
    </w:p>
    <w:p w:rsidR="000C1A6E" w:rsidRPr="001A1BC7" w:rsidRDefault="000C1A6E" w:rsidP="002E6310">
      <w:pPr>
        <w:keepNext/>
        <w:widowControl w:val="0"/>
        <w:numPr>
          <w:ilvl w:val="0"/>
          <w:numId w:val="33"/>
        </w:numPr>
        <w:spacing w:before="120" w:after="120"/>
        <w:ind w:right="-28"/>
        <w:outlineLvl w:val="1"/>
        <w:rPr>
          <w:szCs w:val="24"/>
        </w:rPr>
      </w:pPr>
      <w:r w:rsidRPr="001A1BC7">
        <w:rPr>
          <w:szCs w:val="24"/>
        </w:rPr>
        <w:t>Lai veicināt</w:t>
      </w:r>
      <w:r w:rsidR="00A01A63" w:rsidRPr="001A1BC7">
        <w:rPr>
          <w:szCs w:val="24"/>
        </w:rPr>
        <w:t>u</w:t>
      </w:r>
      <w:r w:rsidRPr="001A1BC7">
        <w:rPr>
          <w:szCs w:val="24"/>
        </w:rPr>
        <w:t xml:space="preserve"> klasteru attīstību un ilg</w:t>
      </w:r>
      <w:r w:rsidR="00A01A63" w:rsidRPr="001A1BC7">
        <w:rPr>
          <w:szCs w:val="24"/>
        </w:rPr>
        <w:t>tspēju</w:t>
      </w:r>
      <w:r w:rsidR="006D14AE">
        <w:rPr>
          <w:szCs w:val="24"/>
        </w:rPr>
        <w:t>,</w:t>
      </w:r>
      <w:r w:rsidR="00A01A63" w:rsidRPr="001A1BC7">
        <w:rPr>
          <w:szCs w:val="24"/>
        </w:rPr>
        <w:t xml:space="preserve"> klasteriem nepieciešams iesaistītes Eiropas Klasteru ekselences iniciatīvā</w:t>
      </w:r>
      <w:r w:rsidR="006D14AE">
        <w:rPr>
          <w:szCs w:val="24"/>
        </w:rPr>
        <w:t xml:space="preserve"> un veikt klasteru kvalitātes novērtējumu</w:t>
      </w:r>
      <w:r w:rsidR="00A01A63" w:rsidRPr="001A1BC7">
        <w:rPr>
          <w:szCs w:val="24"/>
        </w:rPr>
        <w:t>, kas ļaus arī atbildīgajai iestādei efektīvāk izvērtēt klastera darbību</w:t>
      </w:r>
      <w:r w:rsidR="006D14AE">
        <w:rPr>
          <w:szCs w:val="24"/>
        </w:rPr>
        <w:t xml:space="preserve"> nākotnē</w:t>
      </w:r>
      <w:r w:rsidR="00A01A63" w:rsidRPr="001A1BC7">
        <w:rPr>
          <w:szCs w:val="24"/>
        </w:rPr>
        <w:t>;</w:t>
      </w:r>
    </w:p>
    <w:p w:rsidR="006F28A4" w:rsidRPr="001A1BC7" w:rsidRDefault="000458BA" w:rsidP="002E6310">
      <w:pPr>
        <w:keepNext/>
        <w:widowControl w:val="0"/>
        <w:numPr>
          <w:ilvl w:val="0"/>
          <w:numId w:val="33"/>
        </w:numPr>
        <w:spacing w:before="120" w:after="120"/>
        <w:ind w:right="-28"/>
        <w:outlineLvl w:val="1"/>
        <w:rPr>
          <w:szCs w:val="24"/>
        </w:rPr>
      </w:pPr>
      <w:r w:rsidRPr="001A1BC7">
        <w:rPr>
          <w:szCs w:val="24"/>
        </w:rPr>
        <w:t>Nepieciešams atbalstīt jaunu klasteru veidošanos</w:t>
      </w:r>
      <w:r w:rsidR="00B74022">
        <w:rPr>
          <w:szCs w:val="24"/>
        </w:rPr>
        <w:t xml:space="preserve">, </w:t>
      </w:r>
      <w:r w:rsidR="008443E5">
        <w:rPr>
          <w:szCs w:val="24"/>
        </w:rPr>
        <w:t>līdztekus turpinot atbalstīt veiksmīgākos no iepriekš atbalstītajiem klasteriem</w:t>
      </w:r>
      <w:r w:rsidRPr="001A1BC7">
        <w:rPr>
          <w:szCs w:val="24"/>
        </w:rPr>
        <w:t>.</w:t>
      </w:r>
      <w:r w:rsidR="00714195" w:rsidRPr="001A1BC7">
        <w:rPr>
          <w:szCs w:val="24"/>
        </w:rPr>
        <w:t xml:space="preserve"> </w:t>
      </w:r>
    </w:p>
    <w:p w:rsidR="00B7349E" w:rsidRPr="001A1BC7" w:rsidRDefault="00B7349E" w:rsidP="002E6310">
      <w:pPr>
        <w:pStyle w:val="ListParagraph"/>
        <w:widowControl w:val="0"/>
        <w:spacing w:after="40"/>
        <w:ind w:left="0"/>
        <w:rPr>
          <w:szCs w:val="24"/>
        </w:rPr>
      </w:pPr>
    </w:p>
    <w:p w:rsidR="00D124B5" w:rsidRPr="001A1BC7" w:rsidRDefault="006F28A4" w:rsidP="002E6310">
      <w:pPr>
        <w:pStyle w:val="Heading1"/>
        <w:widowControl w:val="0"/>
        <w:rPr>
          <w:rFonts w:ascii="Times New Roman" w:hAnsi="Times New Roman"/>
          <w:sz w:val="28"/>
          <w:szCs w:val="28"/>
        </w:rPr>
      </w:pPr>
      <w:bookmarkStart w:id="9" w:name="_Toc417375063"/>
      <w:bookmarkStart w:id="10" w:name="_Toc419295617"/>
      <w:r w:rsidRPr="001A1BC7">
        <w:rPr>
          <w:rFonts w:ascii="Times New Roman" w:hAnsi="Times New Roman"/>
          <w:sz w:val="28"/>
          <w:szCs w:val="28"/>
          <w:lang w:eastAsia="lv-LV"/>
        </w:rPr>
        <w:t>3</w:t>
      </w:r>
      <w:r w:rsidR="00B7349E" w:rsidRPr="001A1BC7">
        <w:rPr>
          <w:rFonts w:ascii="Times New Roman" w:hAnsi="Times New Roman"/>
          <w:sz w:val="28"/>
          <w:szCs w:val="28"/>
          <w:lang w:eastAsia="lv-LV"/>
        </w:rPr>
        <w:t xml:space="preserve">. </w:t>
      </w:r>
      <w:r w:rsidR="003513B8" w:rsidRPr="001A1BC7">
        <w:rPr>
          <w:rFonts w:ascii="Times New Roman" w:hAnsi="Times New Roman"/>
          <w:sz w:val="28"/>
          <w:szCs w:val="28"/>
          <w:lang w:eastAsia="lv-LV"/>
        </w:rPr>
        <w:t>Pasākuma</w:t>
      </w:r>
      <w:r w:rsidR="008958B4" w:rsidRPr="001A1BC7">
        <w:rPr>
          <w:rFonts w:ascii="Times New Roman" w:hAnsi="Times New Roman"/>
          <w:sz w:val="28"/>
          <w:szCs w:val="28"/>
          <w:lang w:eastAsia="lv-LV"/>
        </w:rPr>
        <w:t xml:space="preserve"> ieviešanas risinājuma apraksts un novērtējums</w:t>
      </w:r>
      <w:bookmarkEnd w:id="9"/>
      <w:bookmarkEnd w:id="10"/>
    </w:p>
    <w:p w:rsidR="00D124B5" w:rsidRPr="001A1BC7" w:rsidRDefault="00D124B5" w:rsidP="002E6310">
      <w:pPr>
        <w:keepNext/>
        <w:widowControl w:val="0"/>
        <w:spacing w:before="120" w:after="120"/>
        <w:ind w:right="-28" w:firstLine="720"/>
        <w:outlineLvl w:val="1"/>
        <w:rPr>
          <w:szCs w:val="24"/>
        </w:rPr>
      </w:pPr>
      <w:r w:rsidRPr="001A1BC7">
        <w:rPr>
          <w:szCs w:val="24"/>
        </w:rPr>
        <w:t>2014.-2020.gada</w:t>
      </w:r>
      <w:r w:rsidR="007D632A" w:rsidRPr="001A1BC7">
        <w:rPr>
          <w:szCs w:val="24"/>
        </w:rPr>
        <w:t xml:space="preserve"> Eiropas Savienības (turpmāk –</w:t>
      </w:r>
      <w:r w:rsidRPr="001A1BC7">
        <w:rPr>
          <w:szCs w:val="24"/>
        </w:rPr>
        <w:t xml:space="preserve"> ES</w:t>
      </w:r>
      <w:r w:rsidR="007D632A" w:rsidRPr="001A1BC7">
        <w:rPr>
          <w:szCs w:val="24"/>
        </w:rPr>
        <w:t>)</w:t>
      </w:r>
      <w:r w:rsidRPr="001A1BC7">
        <w:rPr>
          <w:szCs w:val="24"/>
        </w:rPr>
        <w:t xml:space="preserve"> fondu plānošanas periodā </w:t>
      </w:r>
      <w:r w:rsidR="00A508C9" w:rsidRPr="001A1BC7">
        <w:rPr>
          <w:szCs w:val="24"/>
        </w:rPr>
        <w:t>d</w:t>
      </w:r>
      <w:r w:rsidRPr="001A1BC7">
        <w:rPr>
          <w:szCs w:val="24"/>
        </w:rPr>
        <w:t xml:space="preserve">arbības programmas “Izaugsme un nodarbinātība” </w:t>
      </w:r>
      <w:r w:rsidR="005C7912" w:rsidRPr="001A1BC7">
        <w:rPr>
          <w:szCs w:val="24"/>
        </w:rPr>
        <w:t>3.2.1</w:t>
      </w:r>
      <w:r w:rsidRPr="001A1BC7">
        <w:rPr>
          <w:szCs w:val="24"/>
        </w:rPr>
        <w:t xml:space="preserve">.specifisko atbalsta mērķi </w:t>
      </w:r>
      <w:r w:rsidR="003513B8" w:rsidRPr="001A1BC7">
        <w:rPr>
          <w:szCs w:val="24"/>
        </w:rPr>
        <w:t>“Palielināt augstas pievienotās vērtības produktu un pakalpojumu eksporta proporciju”</w:t>
      </w:r>
      <w:r w:rsidRPr="001A1BC7">
        <w:rPr>
          <w:szCs w:val="24"/>
        </w:rPr>
        <w:t xml:space="preserve"> (turpmāk tekstā – </w:t>
      </w:r>
      <w:r w:rsidR="005C7912" w:rsidRPr="001A1BC7">
        <w:rPr>
          <w:szCs w:val="24"/>
        </w:rPr>
        <w:t>3.2.1</w:t>
      </w:r>
      <w:r w:rsidRPr="001A1BC7">
        <w:rPr>
          <w:szCs w:val="24"/>
        </w:rPr>
        <w:t>. SAM) ir plānots īstenot</w:t>
      </w:r>
      <w:r w:rsidR="005E4C52" w:rsidRPr="001A1BC7">
        <w:rPr>
          <w:szCs w:val="24"/>
        </w:rPr>
        <w:t xml:space="preserve"> ar</w:t>
      </w:r>
      <w:r w:rsidRPr="001A1BC7">
        <w:rPr>
          <w:szCs w:val="24"/>
        </w:rPr>
        <w:t xml:space="preserve"> </w:t>
      </w:r>
      <w:r w:rsidR="006145AA" w:rsidRPr="001A1BC7">
        <w:rPr>
          <w:szCs w:val="24"/>
        </w:rPr>
        <w:t>diviem</w:t>
      </w:r>
      <w:r w:rsidR="00BC2D1C" w:rsidRPr="001A1BC7">
        <w:rPr>
          <w:szCs w:val="24"/>
        </w:rPr>
        <w:t xml:space="preserve"> pasākum</w:t>
      </w:r>
      <w:r w:rsidR="005E4C52" w:rsidRPr="001A1BC7">
        <w:rPr>
          <w:szCs w:val="24"/>
        </w:rPr>
        <w:t>iem</w:t>
      </w:r>
      <w:r w:rsidRPr="001A1BC7">
        <w:rPr>
          <w:szCs w:val="24"/>
        </w:rPr>
        <w:t>:</w:t>
      </w:r>
    </w:p>
    <w:p w:rsidR="006145AA" w:rsidRPr="001A1BC7" w:rsidRDefault="006145AA" w:rsidP="002E6310">
      <w:pPr>
        <w:widowControl w:val="0"/>
        <w:numPr>
          <w:ilvl w:val="0"/>
          <w:numId w:val="8"/>
        </w:numPr>
        <w:rPr>
          <w:szCs w:val="24"/>
        </w:rPr>
      </w:pPr>
      <w:r w:rsidRPr="001A1BC7">
        <w:rPr>
          <w:szCs w:val="24"/>
        </w:rPr>
        <w:t>3.2.1.1. “Klasteru programma”, kas paredz atbalstu klasteru attīstībai,  nodrošinot pasākumu koordinēšanu, starptautiskās sadarbības veicināšanu,   atpazīstamības un mārketinga pasākumus, pakalpojumus klastera  dalībniekiem un sadarbību ar izglītība</w:t>
      </w:r>
      <w:r w:rsidR="0013584F" w:rsidRPr="001A1BC7">
        <w:rPr>
          <w:szCs w:val="24"/>
        </w:rPr>
        <w:t xml:space="preserve">s </w:t>
      </w:r>
      <w:r w:rsidR="00945CA6">
        <w:rPr>
          <w:szCs w:val="24"/>
        </w:rPr>
        <w:t xml:space="preserve">iestādēm </w:t>
      </w:r>
      <w:r w:rsidR="0013584F" w:rsidRPr="001A1BC7">
        <w:rPr>
          <w:szCs w:val="24"/>
        </w:rPr>
        <w:t>un</w:t>
      </w:r>
      <w:r w:rsidR="000B648B">
        <w:rPr>
          <w:szCs w:val="24"/>
        </w:rPr>
        <w:t xml:space="preserve"> </w:t>
      </w:r>
      <w:r w:rsidR="00945CA6">
        <w:rPr>
          <w:szCs w:val="24"/>
        </w:rPr>
        <w:t>pētniecības</w:t>
      </w:r>
      <w:r w:rsidR="0013584F" w:rsidRPr="001A1BC7">
        <w:rPr>
          <w:szCs w:val="24"/>
        </w:rPr>
        <w:t xml:space="preserve"> </w:t>
      </w:r>
      <w:r w:rsidR="000B648B">
        <w:rPr>
          <w:szCs w:val="24"/>
        </w:rPr>
        <w:t>organizācijām</w:t>
      </w:r>
      <w:r w:rsidR="0013584F" w:rsidRPr="001A1BC7">
        <w:rPr>
          <w:szCs w:val="24"/>
        </w:rPr>
        <w:t>;</w:t>
      </w:r>
    </w:p>
    <w:p w:rsidR="004568AE" w:rsidRPr="001A1BC7" w:rsidRDefault="00A35D5B" w:rsidP="002E6310">
      <w:pPr>
        <w:widowControl w:val="0"/>
        <w:numPr>
          <w:ilvl w:val="0"/>
          <w:numId w:val="8"/>
        </w:numPr>
        <w:rPr>
          <w:szCs w:val="24"/>
        </w:rPr>
      </w:pPr>
      <w:r w:rsidRPr="001A1BC7">
        <w:rPr>
          <w:szCs w:val="24"/>
        </w:rPr>
        <w:t>3.2.1.2. “Starptautiskās konkurētspējas veicināšana”</w:t>
      </w:r>
      <w:r w:rsidR="000C4AC3" w:rsidRPr="001A1BC7">
        <w:rPr>
          <w:szCs w:val="24"/>
        </w:rPr>
        <w:t>, kas paredz atbalstu starptautiskās  konkurētspējas, t.sk. tūrisma nozares, veicināšanai, nodrošinot konsultācijas un atbalstu komersantiem ārējo tirgu apgūšanai un pasākumiem ārvalstu investīciju piesaistei, nacionālo stendu organizēšanu starptautiskajās izstādēs ārvalstīs, kā arī mārketinga pasākumu īstenošanu</w:t>
      </w:r>
      <w:r w:rsidR="0013584F" w:rsidRPr="001A1BC7">
        <w:rPr>
          <w:szCs w:val="24"/>
        </w:rPr>
        <w:t>.</w:t>
      </w:r>
    </w:p>
    <w:p w:rsidR="00F23AAF" w:rsidRPr="001A1BC7" w:rsidRDefault="00A92229" w:rsidP="002E6310">
      <w:pPr>
        <w:keepNext/>
        <w:widowControl w:val="0"/>
        <w:spacing w:before="120" w:after="120"/>
        <w:ind w:right="-28" w:firstLine="720"/>
        <w:outlineLvl w:val="1"/>
        <w:rPr>
          <w:szCs w:val="24"/>
        </w:rPr>
      </w:pPr>
      <w:r w:rsidRPr="001A1BC7">
        <w:rPr>
          <w:szCs w:val="24"/>
        </w:rPr>
        <w:t xml:space="preserve">3.2.1.1. </w:t>
      </w:r>
      <w:r w:rsidR="007F7BB5" w:rsidRPr="001A1BC7">
        <w:rPr>
          <w:szCs w:val="24"/>
        </w:rPr>
        <w:t>p</w:t>
      </w:r>
      <w:r w:rsidR="004568AE" w:rsidRPr="001A1BC7">
        <w:rPr>
          <w:szCs w:val="24"/>
        </w:rPr>
        <w:t xml:space="preserve">asākums tiks īstenots kā </w:t>
      </w:r>
      <w:r w:rsidR="007C3654">
        <w:rPr>
          <w:szCs w:val="24"/>
        </w:rPr>
        <w:t>atklāta</w:t>
      </w:r>
      <w:r w:rsidR="007C3654" w:rsidRPr="001A1BC7">
        <w:rPr>
          <w:szCs w:val="24"/>
        </w:rPr>
        <w:t xml:space="preserve"> </w:t>
      </w:r>
      <w:r w:rsidR="004568AE" w:rsidRPr="001A1BC7">
        <w:rPr>
          <w:szCs w:val="24"/>
        </w:rPr>
        <w:t xml:space="preserve">projektu iesniegumu atlase. </w:t>
      </w:r>
    </w:p>
    <w:p w:rsidR="00D84A5A" w:rsidRPr="001A1BC7" w:rsidRDefault="00D84A5A" w:rsidP="00D84A5A">
      <w:pPr>
        <w:keepNext/>
        <w:widowControl w:val="0"/>
        <w:spacing w:before="120" w:after="120"/>
        <w:ind w:right="-28" w:firstLine="720"/>
        <w:outlineLvl w:val="1"/>
        <w:rPr>
          <w:szCs w:val="24"/>
        </w:rPr>
      </w:pPr>
      <w:r w:rsidRPr="001A1BC7">
        <w:rPr>
          <w:szCs w:val="24"/>
        </w:rPr>
        <w:t>Kopējais pieejamais Eiropas Reģionālās attīstības fonda (turpmāk – ERAF) finansējums pasākuma īstenošanai ir 6 200 001 EUR (ņemot vērā rezerves apjomu 6,10 % publiskais finansējums ir 5 821 830</w:t>
      </w:r>
      <w:r w:rsidRPr="001A1BC7" w:rsidDel="008035C9">
        <w:rPr>
          <w:szCs w:val="24"/>
        </w:rPr>
        <w:t xml:space="preserve"> </w:t>
      </w:r>
      <w:r w:rsidRPr="001A1BC7">
        <w:rPr>
          <w:szCs w:val="24"/>
        </w:rPr>
        <w:t>EUR), un nacionālais privātais finansējums 1 094 118</w:t>
      </w:r>
      <w:r w:rsidRPr="001A1BC7" w:rsidDel="008035C9">
        <w:rPr>
          <w:szCs w:val="24"/>
        </w:rPr>
        <w:t xml:space="preserve"> </w:t>
      </w:r>
      <w:r w:rsidRPr="001A1BC7">
        <w:rPr>
          <w:szCs w:val="24"/>
        </w:rPr>
        <w:t xml:space="preserve">EUR. </w:t>
      </w:r>
    </w:p>
    <w:p w:rsidR="007C3654" w:rsidRPr="007C3654" w:rsidRDefault="003E156F" w:rsidP="002E6310">
      <w:pPr>
        <w:keepNext/>
        <w:widowControl w:val="0"/>
        <w:spacing w:before="120" w:after="120"/>
        <w:ind w:right="-28" w:firstLine="720"/>
        <w:outlineLvl w:val="1"/>
        <w:rPr>
          <w:szCs w:val="24"/>
        </w:rPr>
      </w:pPr>
      <w:r>
        <w:rPr>
          <w:szCs w:val="24"/>
        </w:rPr>
        <w:t xml:space="preserve">Pasākuma ietvaros plānots organizēt vienu projektu iesniegumu atlases kārtu par visu pieejamo finansējumu, viena projekta īstenošanai paredzot ne vairāk kā </w:t>
      </w:r>
      <w:r w:rsidR="00F44471">
        <w:rPr>
          <w:szCs w:val="24"/>
        </w:rPr>
        <w:t xml:space="preserve">415 </w:t>
      </w:r>
      <w:r>
        <w:rPr>
          <w:szCs w:val="24"/>
        </w:rPr>
        <w:t>tūkst. euro ERAF finansējuma 4 gadu periodam.</w:t>
      </w:r>
      <w:r>
        <w:t xml:space="preserve"> Tādējādi būs iespējams atbalstīt lielāku skaitu projektu ar pietiekamu finansējumu klasteru mērķu sasniegšanai, un izvērtēt klasteru mērķu sasniegšanu pēc 3 gadiem. Izvērtējot klasteru stratēģijās minēto mērķu sasniegšanu, tiks lemts par atbalsta sniegšanas turpināšanu un tiks izvērtēta iespēja finansējumu pārdalīt no citiem pasākumiem vai specifiskajiem atbalsta mērķiem, kuros varētu būt izveidojies finansējuma atlikums</w:t>
      </w:r>
      <w:r w:rsidR="00F44471">
        <w:t>.</w:t>
      </w:r>
      <w:r w:rsidR="007C3654" w:rsidRPr="007C3654">
        <w:rPr>
          <w:szCs w:val="24"/>
        </w:rPr>
        <w:t xml:space="preserve"> </w:t>
      </w:r>
    </w:p>
    <w:p w:rsidR="00C4749E" w:rsidRDefault="00A35D5B" w:rsidP="002E6310">
      <w:pPr>
        <w:keepNext/>
        <w:widowControl w:val="0"/>
        <w:spacing w:before="120" w:after="120"/>
        <w:ind w:right="-28" w:firstLine="720"/>
        <w:outlineLvl w:val="1"/>
        <w:rPr>
          <w:szCs w:val="24"/>
        </w:rPr>
      </w:pPr>
      <w:r w:rsidRPr="001A1BC7">
        <w:rPr>
          <w:szCs w:val="24"/>
        </w:rPr>
        <w:t xml:space="preserve">Pasākuma </w:t>
      </w:r>
      <w:r w:rsidR="002E0713" w:rsidRPr="001A1BC7">
        <w:rPr>
          <w:szCs w:val="24"/>
        </w:rPr>
        <w:t>3.2.1.1.</w:t>
      </w:r>
      <w:r w:rsidR="00593C89" w:rsidRPr="001A1BC7">
        <w:rPr>
          <w:szCs w:val="24"/>
        </w:rPr>
        <w:t xml:space="preserve"> </w:t>
      </w:r>
      <w:r w:rsidRPr="001A1BC7">
        <w:rPr>
          <w:szCs w:val="24"/>
        </w:rPr>
        <w:t>“</w:t>
      </w:r>
      <w:r w:rsidR="00C4749E" w:rsidRPr="001A1BC7">
        <w:rPr>
          <w:szCs w:val="24"/>
        </w:rPr>
        <w:t>Klasteru programma</w:t>
      </w:r>
      <w:r w:rsidRPr="001A1BC7">
        <w:rPr>
          <w:szCs w:val="24"/>
        </w:rPr>
        <w:t>”</w:t>
      </w:r>
      <w:r w:rsidR="003A0E02" w:rsidRPr="001A1BC7">
        <w:rPr>
          <w:szCs w:val="24"/>
        </w:rPr>
        <w:t xml:space="preserve"> (turpmāk – </w:t>
      </w:r>
      <w:r w:rsidR="002E0713" w:rsidRPr="001A1BC7">
        <w:rPr>
          <w:szCs w:val="24"/>
        </w:rPr>
        <w:t>3.2.1.1.</w:t>
      </w:r>
      <w:r w:rsidR="003A0E02" w:rsidRPr="001A1BC7">
        <w:rPr>
          <w:szCs w:val="24"/>
        </w:rPr>
        <w:t>pasākums)</w:t>
      </w:r>
      <w:r w:rsidRPr="001A1BC7">
        <w:rPr>
          <w:szCs w:val="24"/>
        </w:rPr>
        <w:t xml:space="preserve"> </w:t>
      </w:r>
      <w:r w:rsidR="00EC6528" w:rsidRPr="001A1BC7">
        <w:rPr>
          <w:szCs w:val="24"/>
        </w:rPr>
        <w:t>uzdevums ir veicināt</w:t>
      </w:r>
      <w:r w:rsidR="00C4749E" w:rsidRPr="001A1BC7">
        <w:rPr>
          <w:szCs w:val="24"/>
        </w:rPr>
        <w:t xml:space="preserve"> savstarpēji nesaistītu komersantu, </w:t>
      </w:r>
      <w:r w:rsidR="00A74578" w:rsidRPr="00A74578">
        <w:rPr>
          <w:szCs w:val="24"/>
        </w:rPr>
        <w:t>izglītības iestā</w:t>
      </w:r>
      <w:r w:rsidR="00A74578">
        <w:rPr>
          <w:szCs w:val="24"/>
        </w:rPr>
        <w:t>žu</w:t>
      </w:r>
      <w:r w:rsidR="00A74578" w:rsidRPr="00A74578">
        <w:rPr>
          <w:szCs w:val="24"/>
        </w:rPr>
        <w:t>, pētniecības organizācij</w:t>
      </w:r>
      <w:r w:rsidR="00A74578">
        <w:rPr>
          <w:szCs w:val="24"/>
        </w:rPr>
        <w:t>u,</w:t>
      </w:r>
      <w:r w:rsidR="00A74578" w:rsidRPr="00A74578">
        <w:rPr>
          <w:szCs w:val="24"/>
        </w:rPr>
        <w:t xml:space="preserve"> zinātnisk</w:t>
      </w:r>
      <w:r w:rsidR="00A74578">
        <w:rPr>
          <w:szCs w:val="24"/>
        </w:rPr>
        <w:t>o</w:t>
      </w:r>
      <w:r w:rsidR="00A74578" w:rsidRPr="00A74578">
        <w:rPr>
          <w:szCs w:val="24"/>
        </w:rPr>
        <w:t xml:space="preserve"> institūci</w:t>
      </w:r>
      <w:r w:rsidR="00A74578">
        <w:rPr>
          <w:szCs w:val="24"/>
        </w:rPr>
        <w:t>ju</w:t>
      </w:r>
      <w:r w:rsidR="00A74578" w:rsidRPr="00A74578">
        <w:rPr>
          <w:szCs w:val="24"/>
        </w:rPr>
        <w:t xml:space="preserve"> </w:t>
      </w:r>
      <w:r w:rsidR="00C4749E" w:rsidRPr="001A1BC7">
        <w:rPr>
          <w:szCs w:val="24"/>
        </w:rPr>
        <w:t>un citu institūciju sadarbību, tādējādi veicinot komersantu konkurētspējas celšanu, eksporta apjomu palielināšanu, inovācijas un jaunu produktu veidošanos.</w:t>
      </w:r>
    </w:p>
    <w:p w:rsidR="00F1534A" w:rsidRPr="001A1BC7" w:rsidRDefault="00F1534A" w:rsidP="002E6310">
      <w:pPr>
        <w:widowControl w:val="0"/>
        <w:ind w:firstLine="720"/>
        <w:jc w:val="center"/>
        <w:rPr>
          <w:szCs w:val="22"/>
          <w:lang w:eastAsia="zh-TW"/>
        </w:rPr>
      </w:pPr>
    </w:p>
    <w:p w:rsidR="009362C6" w:rsidRPr="001A1BC7" w:rsidRDefault="009362C6" w:rsidP="002E6310">
      <w:pPr>
        <w:widowControl w:val="0"/>
        <w:ind w:firstLine="720"/>
        <w:jc w:val="center"/>
        <w:rPr>
          <w:b/>
          <w:szCs w:val="22"/>
          <w:lang w:eastAsia="zh-TW"/>
        </w:rPr>
      </w:pPr>
      <w:r w:rsidRPr="001A1BC7">
        <w:rPr>
          <w:b/>
          <w:szCs w:val="22"/>
          <w:lang w:eastAsia="zh-TW"/>
        </w:rPr>
        <w:t>Klasteru programmas atbalsta nosacījumi</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0"/>
        <w:gridCol w:w="7337"/>
      </w:tblGrid>
      <w:tr w:rsidR="009362C6" w:rsidRPr="001A1BC7" w:rsidTr="005143BD">
        <w:tc>
          <w:tcPr>
            <w:tcW w:w="0" w:type="auto"/>
            <w:shd w:val="clear" w:color="auto" w:fill="FFFFFF"/>
            <w:tcMar>
              <w:top w:w="45" w:type="dxa"/>
              <w:left w:w="45" w:type="dxa"/>
              <w:bottom w:w="45" w:type="dxa"/>
              <w:right w:w="45" w:type="dxa"/>
            </w:tcMar>
            <w:vAlign w:val="center"/>
            <w:hideMark/>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Finansējuma saņēmējs</w:t>
            </w:r>
          </w:p>
        </w:tc>
        <w:tc>
          <w:tcPr>
            <w:tcW w:w="7337" w:type="dxa"/>
            <w:shd w:val="clear" w:color="auto" w:fill="FFFFFF"/>
            <w:tcMar>
              <w:top w:w="45" w:type="dxa"/>
              <w:left w:w="45" w:type="dxa"/>
              <w:bottom w:w="45" w:type="dxa"/>
              <w:right w:w="45" w:type="dxa"/>
            </w:tcMar>
            <w:vAlign w:val="center"/>
            <w:hideMark/>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Projekta iesniedzējs</w:t>
            </w:r>
            <w:r w:rsidR="00EC6528" w:rsidRPr="001A1BC7">
              <w:rPr>
                <w:rFonts w:eastAsia="Calibri"/>
                <w:szCs w:val="22"/>
                <w:lang w:eastAsia="lv-LV"/>
              </w:rPr>
              <w:t xml:space="preserve"> ir biedrība, nodibinājums. </w:t>
            </w:r>
          </w:p>
        </w:tc>
      </w:tr>
      <w:tr w:rsidR="00BE3A18" w:rsidRPr="001A1BC7" w:rsidTr="005143BD">
        <w:tc>
          <w:tcPr>
            <w:tcW w:w="0" w:type="auto"/>
            <w:shd w:val="clear" w:color="auto" w:fill="FFFFFF"/>
            <w:tcMar>
              <w:top w:w="45" w:type="dxa"/>
              <w:left w:w="45" w:type="dxa"/>
              <w:bottom w:w="45" w:type="dxa"/>
              <w:right w:w="45" w:type="dxa"/>
            </w:tcMar>
            <w:vAlign w:val="center"/>
          </w:tcPr>
          <w:p w:rsidR="00BE3A18" w:rsidRPr="001A1BC7" w:rsidRDefault="00977750" w:rsidP="002E6310">
            <w:pPr>
              <w:widowControl w:val="0"/>
              <w:jc w:val="left"/>
              <w:rPr>
                <w:rFonts w:eastAsia="Calibri"/>
                <w:szCs w:val="22"/>
                <w:lang w:eastAsia="lv-LV"/>
              </w:rPr>
            </w:pPr>
            <w:r>
              <w:rPr>
                <w:rFonts w:eastAsia="Calibri"/>
                <w:szCs w:val="22"/>
                <w:lang w:eastAsia="lv-LV"/>
              </w:rPr>
              <w:t xml:space="preserve">Klastera dalībnieki </w:t>
            </w:r>
          </w:p>
        </w:tc>
        <w:tc>
          <w:tcPr>
            <w:tcW w:w="7337" w:type="dxa"/>
            <w:shd w:val="clear" w:color="auto" w:fill="FFFFFF"/>
            <w:tcMar>
              <w:top w:w="45" w:type="dxa"/>
              <w:left w:w="45" w:type="dxa"/>
              <w:bottom w:w="45" w:type="dxa"/>
              <w:right w:w="45" w:type="dxa"/>
            </w:tcMar>
            <w:vAlign w:val="center"/>
          </w:tcPr>
          <w:p w:rsidR="00BE3A18" w:rsidRPr="001A1BC7" w:rsidRDefault="00BE3A18" w:rsidP="000B648B">
            <w:pPr>
              <w:widowControl w:val="0"/>
              <w:jc w:val="left"/>
              <w:rPr>
                <w:rFonts w:eastAsia="Calibri"/>
                <w:szCs w:val="22"/>
                <w:lang w:eastAsia="lv-LV"/>
              </w:rPr>
            </w:pPr>
            <w:r w:rsidRPr="001A1BC7">
              <w:rPr>
                <w:rFonts w:eastAsia="Calibri"/>
                <w:szCs w:val="22"/>
                <w:lang w:eastAsia="lv-LV"/>
              </w:rPr>
              <w:t>MVK, lielie uzņēmumi, pašvaldības, izglītības</w:t>
            </w:r>
            <w:r w:rsidR="00945CA6">
              <w:rPr>
                <w:rFonts w:eastAsia="Calibri"/>
                <w:szCs w:val="22"/>
                <w:lang w:eastAsia="lv-LV"/>
              </w:rPr>
              <w:t xml:space="preserve"> iestādes</w:t>
            </w:r>
            <w:r w:rsidR="000B648B">
              <w:rPr>
                <w:rFonts w:eastAsia="Calibri"/>
                <w:szCs w:val="22"/>
                <w:lang w:eastAsia="lv-LV"/>
              </w:rPr>
              <w:t>, zinātniskās institūcijas</w:t>
            </w:r>
            <w:r w:rsidRPr="001A1BC7">
              <w:rPr>
                <w:rFonts w:eastAsia="Calibri"/>
                <w:szCs w:val="22"/>
                <w:lang w:eastAsia="lv-LV"/>
              </w:rPr>
              <w:t xml:space="preserve"> un pētniecības </w:t>
            </w:r>
            <w:r w:rsidR="000B648B">
              <w:rPr>
                <w:rFonts w:eastAsia="Calibri"/>
                <w:szCs w:val="22"/>
                <w:lang w:eastAsia="lv-LV"/>
              </w:rPr>
              <w:t>organizācijas,</w:t>
            </w:r>
            <w:r w:rsidR="00945CA6" w:rsidRPr="001A1BC7">
              <w:rPr>
                <w:rFonts w:eastAsia="Calibri"/>
                <w:szCs w:val="22"/>
                <w:lang w:eastAsia="lv-LV"/>
              </w:rPr>
              <w:t xml:space="preserve"> </w:t>
            </w:r>
            <w:r w:rsidRPr="001A1BC7">
              <w:rPr>
                <w:rFonts w:eastAsia="Calibri"/>
                <w:szCs w:val="22"/>
                <w:lang w:eastAsia="lv-LV"/>
              </w:rPr>
              <w:t>u.c.</w:t>
            </w:r>
          </w:p>
        </w:tc>
      </w:tr>
      <w:tr w:rsidR="009362C6" w:rsidRPr="001A1BC7" w:rsidTr="005143BD">
        <w:tc>
          <w:tcPr>
            <w:tcW w:w="0" w:type="auto"/>
            <w:shd w:val="clear" w:color="auto" w:fill="FFFFFF"/>
            <w:tcMar>
              <w:top w:w="45" w:type="dxa"/>
              <w:left w:w="45" w:type="dxa"/>
              <w:bottom w:w="45" w:type="dxa"/>
              <w:right w:w="45" w:type="dxa"/>
            </w:tcMar>
            <w:vAlign w:val="center"/>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 xml:space="preserve">Gala </w:t>
            </w:r>
            <w:r w:rsidR="00720718">
              <w:rPr>
                <w:rFonts w:eastAsia="Calibri"/>
                <w:szCs w:val="22"/>
                <w:lang w:eastAsia="lv-LV"/>
              </w:rPr>
              <w:t>labuma guvēji</w:t>
            </w:r>
          </w:p>
        </w:tc>
        <w:tc>
          <w:tcPr>
            <w:tcW w:w="7337" w:type="dxa"/>
            <w:shd w:val="clear" w:color="auto" w:fill="FFFFFF"/>
            <w:tcMar>
              <w:top w:w="45" w:type="dxa"/>
              <w:left w:w="45" w:type="dxa"/>
              <w:bottom w:w="45" w:type="dxa"/>
              <w:right w:w="45" w:type="dxa"/>
            </w:tcMar>
            <w:vAlign w:val="center"/>
          </w:tcPr>
          <w:p w:rsidR="009362C6" w:rsidRPr="001A1BC7" w:rsidRDefault="00EC6528" w:rsidP="003E156F">
            <w:pPr>
              <w:widowControl w:val="0"/>
              <w:jc w:val="left"/>
              <w:rPr>
                <w:rFonts w:eastAsia="Calibri"/>
                <w:szCs w:val="22"/>
                <w:lang w:eastAsia="lv-LV"/>
              </w:rPr>
            </w:pPr>
            <w:r w:rsidRPr="001A1BC7">
              <w:rPr>
                <w:rFonts w:eastAsia="Calibri"/>
                <w:szCs w:val="22"/>
                <w:lang w:eastAsia="lv-LV"/>
              </w:rPr>
              <w:t>MVK</w:t>
            </w:r>
            <w:r w:rsidR="003E156F">
              <w:rPr>
                <w:rFonts w:eastAsia="Calibri"/>
                <w:szCs w:val="22"/>
                <w:lang w:eastAsia="lv-LV"/>
              </w:rPr>
              <w:t xml:space="preserve"> </w:t>
            </w:r>
          </w:p>
        </w:tc>
      </w:tr>
      <w:tr w:rsidR="009362C6" w:rsidRPr="001A1BC7" w:rsidTr="005143BD">
        <w:tc>
          <w:tcPr>
            <w:tcW w:w="0" w:type="auto"/>
            <w:shd w:val="clear" w:color="auto" w:fill="FFFFFF"/>
            <w:tcMar>
              <w:top w:w="45" w:type="dxa"/>
              <w:left w:w="45" w:type="dxa"/>
              <w:bottom w:w="45" w:type="dxa"/>
              <w:right w:w="45" w:type="dxa"/>
            </w:tcMar>
            <w:vAlign w:val="center"/>
            <w:hideMark/>
          </w:tcPr>
          <w:p w:rsidR="009362C6" w:rsidRPr="001A1BC7" w:rsidRDefault="009362C6" w:rsidP="002E6310">
            <w:pPr>
              <w:widowControl w:val="0"/>
              <w:jc w:val="left"/>
              <w:rPr>
                <w:rFonts w:eastAsia="Calibri"/>
                <w:szCs w:val="22"/>
                <w:lang w:eastAsia="lv-LV"/>
              </w:rPr>
            </w:pPr>
            <w:r w:rsidRPr="001A1BC7">
              <w:rPr>
                <w:rFonts w:eastAsia="Calibri"/>
                <w:szCs w:val="22"/>
                <w:lang w:eastAsia="lv-LV"/>
              </w:rPr>
              <w:lastRenderedPageBreak/>
              <w:t>Finansējums</w:t>
            </w:r>
          </w:p>
        </w:tc>
        <w:tc>
          <w:tcPr>
            <w:tcW w:w="7337" w:type="dxa"/>
            <w:shd w:val="clear" w:color="auto" w:fill="FFFFFF"/>
            <w:tcMar>
              <w:top w:w="45" w:type="dxa"/>
              <w:left w:w="45" w:type="dxa"/>
              <w:bottom w:w="45" w:type="dxa"/>
              <w:right w:w="45" w:type="dxa"/>
            </w:tcMar>
            <w:vAlign w:val="center"/>
            <w:hideMark/>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 xml:space="preserve">Maksimālais finansējums vienam projektam – </w:t>
            </w:r>
            <w:r w:rsidR="005D725A" w:rsidRPr="001A1BC7">
              <w:rPr>
                <w:rFonts w:eastAsia="Calibri"/>
                <w:szCs w:val="22"/>
                <w:lang w:eastAsia="lv-LV"/>
              </w:rPr>
              <w:t>0,</w:t>
            </w:r>
            <w:r w:rsidR="00F44471">
              <w:rPr>
                <w:rFonts w:eastAsia="Calibri"/>
                <w:szCs w:val="22"/>
                <w:lang w:eastAsia="lv-LV"/>
              </w:rPr>
              <w:t>415</w:t>
            </w:r>
            <w:r w:rsidR="00F44471" w:rsidRPr="001A1BC7">
              <w:rPr>
                <w:rFonts w:eastAsia="Calibri"/>
                <w:szCs w:val="22"/>
                <w:lang w:eastAsia="lv-LV"/>
              </w:rPr>
              <w:t xml:space="preserve"> </w:t>
            </w:r>
            <w:r w:rsidRPr="001A1BC7">
              <w:rPr>
                <w:rFonts w:eastAsia="Calibri"/>
                <w:szCs w:val="22"/>
                <w:lang w:eastAsia="lv-LV"/>
              </w:rPr>
              <w:t>milj.</w:t>
            </w:r>
            <w:r w:rsidR="004E671C" w:rsidRPr="001A1BC7">
              <w:rPr>
                <w:rFonts w:eastAsia="Calibri"/>
                <w:szCs w:val="22"/>
                <w:lang w:eastAsia="lv-LV"/>
              </w:rPr>
              <w:t xml:space="preserve"> </w:t>
            </w:r>
            <w:r w:rsidRPr="001A1BC7">
              <w:rPr>
                <w:rFonts w:eastAsia="Calibri"/>
                <w:szCs w:val="22"/>
                <w:lang w:eastAsia="lv-LV"/>
              </w:rPr>
              <w:t>EUR</w:t>
            </w:r>
            <w:r w:rsidR="005D07CA" w:rsidRPr="001A1BC7">
              <w:rPr>
                <w:rFonts w:eastAsia="Calibri"/>
                <w:szCs w:val="22"/>
                <w:lang w:eastAsia="lv-LV"/>
              </w:rPr>
              <w:t xml:space="preserve"> </w:t>
            </w:r>
          </w:p>
          <w:p w:rsidR="009362C6" w:rsidRPr="001A1BC7" w:rsidRDefault="009362C6" w:rsidP="002E6310">
            <w:pPr>
              <w:widowControl w:val="0"/>
              <w:jc w:val="left"/>
              <w:rPr>
                <w:rFonts w:eastAsia="Calibri"/>
                <w:szCs w:val="22"/>
                <w:lang w:eastAsia="lv-LV"/>
              </w:rPr>
            </w:pPr>
            <w:r w:rsidRPr="001A1BC7">
              <w:rPr>
                <w:rFonts w:eastAsia="Calibri"/>
                <w:szCs w:val="22"/>
                <w:lang w:eastAsia="lv-LV"/>
              </w:rPr>
              <w:t xml:space="preserve">Maksimālā atbalsta intensitāte </w:t>
            </w:r>
            <w:r w:rsidR="000B648B">
              <w:rPr>
                <w:rFonts w:eastAsia="Calibri"/>
                <w:szCs w:val="22"/>
                <w:lang w:eastAsia="lv-LV"/>
              </w:rPr>
              <w:t>–</w:t>
            </w:r>
            <w:r w:rsidRPr="001A1BC7">
              <w:rPr>
                <w:rFonts w:eastAsia="Calibri"/>
                <w:szCs w:val="22"/>
                <w:lang w:eastAsia="lv-LV"/>
              </w:rPr>
              <w:t xml:space="preserve"> </w:t>
            </w:r>
            <w:r w:rsidR="005D725A" w:rsidRPr="001A1BC7">
              <w:rPr>
                <w:rFonts w:eastAsia="Calibri"/>
                <w:szCs w:val="22"/>
                <w:lang w:eastAsia="lv-LV"/>
              </w:rPr>
              <w:t>85</w:t>
            </w:r>
            <w:r w:rsidR="00513677" w:rsidRPr="001A1BC7">
              <w:rPr>
                <w:rFonts w:eastAsia="Calibri"/>
                <w:szCs w:val="22"/>
                <w:lang w:eastAsia="lv-LV"/>
              </w:rPr>
              <w:t>%</w:t>
            </w:r>
          </w:p>
        </w:tc>
      </w:tr>
      <w:tr w:rsidR="009362C6" w:rsidRPr="001A1BC7" w:rsidTr="005143BD">
        <w:tc>
          <w:tcPr>
            <w:tcW w:w="0" w:type="auto"/>
            <w:shd w:val="clear" w:color="auto" w:fill="FFFFFF"/>
            <w:tcMar>
              <w:top w:w="45" w:type="dxa"/>
              <w:left w:w="45" w:type="dxa"/>
              <w:bottom w:w="45" w:type="dxa"/>
              <w:right w:w="45" w:type="dxa"/>
            </w:tcMar>
            <w:vAlign w:val="center"/>
            <w:hideMark/>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Atbalstāmās darbības</w:t>
            </w:r>
          </w:p>
        </w:tc>
        <w:tc>
          <w:tcPr>
            <w:tcW w:w="7337" w:type="dxa"/>
            <w:shd w:val="clear" w:color="auto" w:fill="FFFFFF"/>
            <w:tcMar>
              <w:top w:w="45" w:type="dxa"/>
              <w:left w:w="45" w:type="dxa"/>
              <w:bottom w:w="45" w:type="dxa"/>
              <w:right w:w="45" w:type="dxa"/>
            </w:tcMar>
            <w:vAlign w:val="center"/>
            <w:hideMark/>
          </w:tcPr>
          <w:p w:rsidR="00A14A63" w:rsidRPr="001A1BC7" w:rsidRDefault="00A14A63" w:rsidP="002E6310">
            <w:pPr>
              <w:pStyle w:val="ListParagraph"/>
              <w:widowControl w:val="0"/>
              <w:ind w:left="0"/>
              <w:rPr>
                <w:szCs w:val="24"/>
              </w:rPr>
            </w:pPr>
            <w:bookmarkStart w:id="11" w:name="_Ref425511621"/>
            <w:r w:rsidRPr="001A1BC7">
              <w:rPr>
                <w:szCs w:val="24"/>
              </w:rPr>
              <w:t>Finansējumu piešķir:</w:t>
            </w:r>
          </w:p>
          <w:p w:rsidR="00A14A63" w:rsidRPr="001A1BC7" w:rsidRDefault="00A14A63" w:rsidP="002E6310">
            <w:pPr>
              <w:pStyle w:val="ListParagraph"/>
              <w:widowControl w:val="0"/>
              <w:numPr>
                <w:ilvl w:val="1"/>
                <w:numId w:val="31"/>
              </w:numPr>
              <w:rPr>
                <w:szCs w:val="24"/>
              </w:rPr>
            </w:pPr>
            <w:r w:rsidRPr="001A1BC7">
              <w:rPr>
                <w:szCs w:val="24"/>
              </w:rPr>
              <w:t>klaster</w:t>
            </w:r>
            <w:r w:rsidR="003E156F">
              <w:rPr>
                <w:szCs w:val="24"/>
              </w:rPr>
              <w:t>a</w:t>
            </w:r>
            <w:r w:rsidRPr="001A1BC7">
              <w:rPr>
                <w:szCs w:val="24"/>
              </w:rPr>
              <w:t xml:space="preserve"> darbības un klaster</w:t>
            </w:r>
            <w:r w:rsidR="003E156F">
              <w:rPr>
                <w:szCs w:val="24"/>
              </w:rPr>
              <w:t>a</w:t>
            </w:r>
            <w:r w:rsidRPr="001A1BC7">
              <w:rPr>
                <w:szCs w:val="24"/>
              </w:rPr>
              <w:t xml:space="preserve"> īstenoto pasākumu koordinācijas nodrošināšanai;</w:t>
            </w:r>
          </w:p>
          <w:p w:rsidR="00A14A63" w:rsidRPr="001A1BC7" w:rsidRDefault="00A14A63" w:rsidP="002E6310">
            <w:pPr>
              <w:pStyle w:val="ListParagraph"/>
              <w:widowControl w:val="0"/>
              <w:numPr>
                <w:ilvl w:val="1"/>
                <w:numId w:val="31"/>
              </w:numPr>
              <w:rPr>
                <w:szCs w:val="24"/>
              </w:rPr>
            </w:pPr>
            <w:r w:rsidRPr="001A1BC7">
              <w:rPr>
                <w:szCs w:val="24"/>
              </w:rPr>
              <w:t>klastera starptautiskās sadarbības veicināšanas pasākumiem;</w:t>
            </w:r>
          </w:p>
          <w:p w:rsidR="00720718" w:rsidRPr="001A1BC7" w:rsidRDefault="00A14A63" w:rsidP="002E6310">
            <w:pPr>
              <w:pStyle w:val="ListParagraph"/>
              <w:widowControl w:val="0"/>
              <w:numPr>
                <w:ilvl w:val="1"/>
                <w:numId w:val="31"/>
              </w:numPr>
              <w:rPr>
                <w:szCs w:val="24"/>
              </w:rPr>
            </w:pPr>
            <w:r w:rsidRPr="001A1BC7">
              <w:rPr>
                <w:szCs w:val="24"/>
              </w:rPr>
              <w:t>klastera atpazīstamības, mārketinga un komerciālās sadarbības sekmēšanas pasākumiem, tai skaitā tirgus izpētei;</w:t>
            </w:r>
          </w:p>
          <w:p w:rsidR="00A14A63" w:rsidRPr="00720718" w:rsidRDefault="00A14A63" w:rsidP="002E6310">
            <w:pPr>
              <w:pStyle w:val="ListParagraph"/>
              <w:widowControl w:val="0"/>
              <w:numPr>
                <w:ilvl w:val="1"/>
                <w:numId w:val="31"/>
              </w:numPr>
              <w:rPr>
                <w:szCs w:val="24"/>
              </w:rPr>
            </w:pPr>
            <w:r w:rsidRPr="00720718">
              <w:rPr>
                <w:szCs w:val="24"/>
              </w:rPr>
              <w:t xml:space="preserve">klastera koordinatora un speciālistu apmācībām, ja iegūtās zināšanas </w:t>
            </w:r>
            <w:r w:rsidR="003E156F" w:rsidRPr="003E156F">
              <w:rPr>
                <w:rFonts w:eastAsia="Calibri"/>
                <w:szCs w:val="22"/>
                <w:lang w:eastAsia="lv-LV"/>
              </w:rPr>
              <w:t>saistītas ar klastera darbības nodrošināšanu vai</w:t>
            </w:r>
            <w:r w:rsidR="003E156F" w:rsidRPr="00720718" w:rsidDel="003E156F">
              <w:rPr>
                <w:szCs w:val="24"/>
              </w:rPr>
              <w:t xml:space="preserve"> </w:t>
            </w:r>
            <w:r w:rsidRPr="00720718">
              <w:rPr>
                <w:szCs w:val="24"/>
              </w:rPr>
              <w:t>tiek nodotas plašam klastera dalībnieku lokam;</w:t>
            </w:r>
          </w:p>
          <w:p w:rsidR="00A14A63" w:rsidRPr="001A1BC7" w:rsidRDefault="00A14A63" w:rsidP="002E6310">
            <w:pPr>
              <w:pStyle w:val="ListParagraph"/>
              <w:widowControl w:val="0"/>
              <w:numPr>
                <w:ilvl w:val="1"/>
                <w:numId w:val="31"/>
              </w:numPr>
              <w:rPr>
                <w:szCs w:val="24"/>
              </w:rPr>
            </w:pPr>
            <w:r w:rsidRPr="001A1BC7">
              <w:rPr>
                <w:szCs w:val="24"/>
              </w:rPr>
              <w:t>pasākumiem, kas sekmē sadarbību ar izglītības</w:t>
            </w:r>
            <w:r w:rsidR="00945CA6">
              <w:rPr>
                <w:szCs w:val="24"/>
              </w:rPr>
              <w:t xml:space="preserve"> iestādēm</w:t>
            </w:r>
            <w:r w:rsidR="000B648B">
              <w:rPr>
                <w:szCs w:val="24"/>
              </w:rPr>
              <w:t>,</w:t>
            </w:r>
            <w:r w:rsidRPr="001A1BC7">
              <w:rPr>
                <w:szCs w:val="24"/>
              </w:rPr>
              <w:t xml:space="preserve"> </w:t>
            </w:r>
            <w:r w:rsidR="000B648B">
              <w:rPr>
                <w:szCs w:val="24"/>
              </w:rPr>
              <w:t>pētniecības</w:t>
            </w:r>
            <w:r w:rsidR="000B648B" w:rsidRPr="001A1BC7">
              <w:rPr>
                <w:szCs w:val="24"/>
              </w:rPr>
              <w:t xml:space="preserve"> </w:t>
            </w:r>
            <w:r w:rsidR="000B648B">
              <w:rPr>
                <w:szCs w:val="24"/>
              </w:rPr>
              <w:t xml:space="preserve">organizācijām </w:t>
            </w:r>
            <w:r w:rsidRPr="001A1BC7">
              <w:rPr>
                <w:szCs w:val="24"/>
              </w:rPr>
              <w:t>un zinātnes institūcijām, tai skaitā klastera dalībnieku pētniecības</w:t>
            </w:r>
            <w:r w:rsidR="000B648B">
              <w:rPr>
                <w:szCs w:val="24"/>
              </w:rPr>
              <w:t xml:space="preserve">, </w:t>
            </w:r>
            <w:r w:rsidRPr="001A1BC7">
              <w:rPr>
                <w:szCs w:val="24"/>
              </w:rPr>
              <w:t xml:space="preserve">infrastruktūras </w:t>
            </w:r>
            <w:r w:rsidR="000B648B">
              <w:rPr>
                <w:szCs w:val="24"/>
              </w:rPr>
              <w:t xml:space="preserve">un </w:t>
            </w:r>
            <w:r w:rsidR="000B648B" w:rsidRPr="001A1BC7">
              <w:rPr>
                <w:szCs w:val="24"/>
              </w:rPr>
              <w:t xml:space="preserve">apmācību </w:t>
            </w:r>
            <w:r w:rsidRPr="001A1BC7">
              <w:rPr>
                <w:szCs w:val="24"/>
              </w:rPr>
              <w:t>vajadzību identificēšanai;</w:t>
            </w:r>
          </w:p>
          <w:p w:rsidR="00A14A63" w:rsidRPr="001A1BC7" w:rsidRDefault="00A14A63" w:rsidP="002E6310">
            <w:pPr>
              <w:pStyle w:val="ListParagraph"/>
              <w:widowControl w:val="0"/>
              <w:numPr>
                <w:ilvl w:val="1"/>
                <w:numId w:val="31"/>
              </w:numPr>
              <w:rPr>
                <w:szCs w:val="24"/>
              </w:rPr>
            </w:pPr>
            <w:r w:rsidRPr="001A1BC7">
              <w:rPr>
                <w:szCs w:val="24"/>
              </w:rPr>
              <w:t xml:space="preserve">pasākumiem, kas sekmē zināšanu pārnesi par klastera dalībniekiem saistošām inovācijām un jaunākajām tehnoloģijām; </w:t>
            </w:r>
          </w:p>
          <w:p w:rsidR="00A14A63" w:rsidRPr="001A1BC7" w:rsidRDefault="00A14A63" w:rsidP="002E6310">
            <w:pPr>
              <w:pStyle w:val="ListParagraph"/>
              <w:widowControl w:val="0"/>
              <w:numPr>
                <w:ilvl w:val="1"/>
                <w:numId w:val="31"/>
              </w:numPr>
              <w:rPr>
                <w:szCs w:val="24"/>
              </w:rPr>
            </w:pPr>
            <w:r w:rsidRPr="001A1BC7">
              <w:rPr>
                <w:szCs w:val="24"/>
              </w:rPr>
              <w:t>pasākumiem, kas vērsti uz resursu efektivitātes un produktivitātes paaugstināšanu produkta, pakalpojuma, piegādes vai vērtības ķēdes ietvaros;</w:t>
            </w:r>
          </w:p>
          <w:p w:rsidR="009362C6" w:rsidRPr="001A1BC7" w:rsidRDefault="00A14A63" w:rsidP="002E6310">
            <w:pPr>
              <w:pStyle w:val="ListParagraph"/>
              <w:widowControl w:val="0"/>
              <w:numPr>
                <w:ilvl w:val="1"/>
                <w:numId w:val="31"/>
              </w:numPr>
              <w:rPr>
                <w:szCs w:val="24"/>
              </w:rPr>
            </w:pPr>
            <w:r w:rsidRPr="001A1BC7">
              <w:rPr>
                <w:szCs w:val="24"/>
              </w:rPr>
              <w:t xml:space="preserve">citiem klastera </w:t>
            </w:r>
            <w:r w:rsidR="003E156F" w:rsidRPr="00C12659">
              <w:rPr>
                <w:szCs w:val="24"/>
              </w:rPr>
              <w:t xml:space="preserve">īstenotiem pasākumiem, kas ir </w:t>
            </w:r>
            <w:r w:rsidR="003E156F" w:rsidRPr="007C47B1">
              <w:rPr>
                <w:szCs w:val="24"/>
              </w:rPr>
              <w:t>vērsti uz klastera attīstības stratēģijā noteikto mērķu</w:t>
            </w:r>
            <w:r w:rsidR="003E156F" w:rsidRPr="00C12659">
              <w:rPr>
                <w:szCs w:val="24"/>
              </w:rPr>
              <w:t xml:space="preserve"> sasniegšanu</w:t>
            </w:r>
            <w:bookmarkEnd w:id="11"/>
            <w:r w:rsidRPr="001A1BC7">
              <w:rPr>
                <w:szCs w:val="24"/>
              </w:rPr>
              <w:t xml:space="preserve">. </w:t>
            </w:r>
          </w:p>
        </w:tc>
      </w:tr>
      <w:tr w:rsidR="009362C6" w:rsidRPr="001A1BC7" w:rsidTr="005143BD">
        <w:tc>
          <w:tcPr>
            <w:tcW w:w="0" w:type="auto"/>
            <w:shd w:val="clear" w:color="auto" w:fill="FFFFFF"/>
            <w:tcMar>
              <w:top w:w="45" w:type="dxa"/>
              <w:left w:w="45" w:type="dxa"/>
              <w:bottom w:w="45" w:type="dxa"/>
              <w:right w:w="45" w:type="dxa"/>
            </w:tcMar>
            <w:vAlign w:val="center"/>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Attiecināmās izmaksas</w:t>
            </w:r>
          </w:p>
        </w:tc>
        <w:tc>
          <w:tcPr>
            <w:tcW w:w="7337" w:type="dxa"/>
            <w:shd w:val="clear" w:color="auto" w:fill="FFFFFF"/>
            <w:tcMar>
              <w:top w:w="45" w:type="dxa"/>
              <w:left w:w="45" w:type="dxa"/>
              <w:bottom w:w="45" w:type="dxa"/>
              <w:right w:w="45" w:type="dxa"/>
            </w:tcMar>
            <w:vAlign w:val="center"/>
          </w:tcPr>
          <w:p w:rsidR="00095347" w:rsidRPr="001A1BC7" w:rsidRDefault="00095347" w:rsidP="002E6310">
            <w:pPr>
              <w:widowControl w:val="0"/>
              <w:spacing w:after="120"/>
              <w:contextualSpacing/>
              <w:jc w:val="left"/>
              <w:rPr>
                <w:rFonts w:eastAsia="Calibri"/>
                <w:szCs w:val="24"/>
              </w:rPr>
            </w:pPr>
            <w:bookmarkStart w:id="12" w:name="_Ref417390342"/>
            <w:r w:rsidRPr="001A1BC7">
              <w:rPr>
                <w:rFonts w:eastAsia="Calibri"/>
                <w:szCs w:val="24"/>
              </w:rPr>
              <w:t>Pasākuma ietvaros attiecināmas ir šādas izmaksu pozīcijas:</w:t>
            </w:r>
            <w:bookmarkEnd w:id="12"/>
          </w:p>
          <w:p w:rsidR="00F44471" w:rsidRDefault="003E156F" w:rsidP="00F44471">
            <w:pPr>
              <w:widowControl w:val="0"/>
              <w:numPr>
                <w:ilvl w:val="1"/>
                <w:numId w:val="34"/>
              </w:numPr>
              <w:spacing w:after="120"/>
              <w:contextualSpacing/>
              <w:jc w:val="left"/>
              <w:rPr>
                <w:rFonts w:eastAsia="Calibri"/>
                <w:szCs w:val="24"/>
              </w:rPr>
            </w:pPr>
            <w:bookmarkStart w:id="13" w:name="_Ref417389544"/>
            <w:r>
              <w:rPr>
                <w:rFonts w:eastAsia="Calibri"/>
                <w:szCs w:val="24"/>
              </w:rPr>
              <w:t xml:space="preserve">projekta vadības </w:t>
            </w:r>
            <w:r w:rsidR="00F44471">
              <w:rPr>
                <w:rFonts w:eastAsia="Calibri"/>
                <w:szCs w:val="24"/>
              </w:rPr>
              <w:t>un</w:t>
            </w:r>
            <w:r w:rsidR="00F44471" w:rsidRPr="001A1BC7">
              <w:rPr>
                <w:rFonts w:eastAsia="Calibri"/>
                <w:szCs w:val="24"/>
              </w:rPr>
              <w:t xml:space="preserve"> administratīvās izmaksas</w:t>
            </w:r>
          </w:p>
          <w:p w:rsidR="00095347" w:rsidRPr="001A1BC7" w:rsidRDefault="00095347" w:rsidP="002E6310">
            <w:pPr>
              <w:widowControl w:val="0"/>
              <w:numPr>
                <w:ilvl w:val="1"/>
                <w:numId w:val="34"/>
              </w:numPr>
              <w:spacing w:after="120"/>
              <w:contextualSpacing/>
              <w:jc w:val="left"/>
              <w:rPr>
                <w:rFonts w:eastAsia="Calibri"/>
                <w:szCs w:val="24"/>
              </w:rPr>
            </w:pPr>
            <w:r w:rsidRPr="001A1BC7">
              <w:rPr>
                <w:rFonts w:eastAsia="Calibri"/>
                <w:szCs w:val="24"/>
              </w:rPr>
              <w:t xml:space="preserve">klastera koordinatora, klastera speciālista, klastera dalībnieku darbinieku komandējuma (darba brauciena) izmaksas </w:t>
            </w:r>
          </w:p>
          <w:p w:rsidR="00095347" w:rsidRPr="001A1BC7" w:rsidRDefault="00095347" w:rsidP="002E6310">
            <w:pPr>
              <w:widowControl w:val="0"/>
              <w:numPr>
                <w:ilvl w:val="1"/>
                <w:numId w:val="34"/>
              </w:numPr>
              <w:spacing w:after="120"/>
              <w:contextualSpacing/>
              <w:jc w:val="left"/>
              <w:rPr>
                <w:rFonts w:eastAsia="Calibri"/>
                <w:szCs w:val="24"/>
              </w:rPr>
            </w:pPr>
            <w:r w:rsidRPr="001A1BC7">
              <w:rPr>
                <w:rFonts w:eastAsia="Calibri"/>
                <w:szCs w:val="24"/>
              </w:rPr>
              <w:t xml:space="preserve">ārējo pakalpojumu izmaksas </w:t>
            </w:r>
          </w:p>
          <w:p w:rsidR="005245BF" w:rsidRPr="001A1BC7" w:rsidRDefault="005245BF" w:rsidP="002E6310">
            <w:pPr>
              <w:widowControl w:val="0"/>
              <w:numPr>
                <w:ilvl w:val="1"/>
                <w:numId w:val="34"/>
              </w:numPr>
              <w:spacing w:after="120"/>
              <w:contextualSpacing/>
              <w:jc w:val="left"/>
              <w:rPr>
                <w:rFonts w:eastAsia="Calibri"/>
                <w:szCs w:val="24"/>
              </w:rPr>
            </w:pPr>
            <w:r>
              <w:rPr>
                <w:szCs w:val="24"/>
              </w:rPr>
              <w:t xml:space="preserve">izmaksas, kas saistītas ar </w:t>
            </w:r>
            <w:r w:rsidRPr="00F36AF6">
              <w:rPr>
                <w:szCs w:val="24"/>
              </w:rPr>
              <w:t xml:space="preserve">Eiropas Klasteru ekselences iniciatīvas </w:t>
            </w:r>
            <w:r>
              <w:rPr>
                <w:szCs w:val="24"/>
              </w:rPr>
              <w:t>novērtējuma</w:t>
            </w:r>
            <w:r w:rsidRPr="00F36AF6">
              <w:rPr>
                <w:szCs w:val="24"/>
              </w:rPr>
              <w:t xml:space="preserve"> </w:t>
            </w:r>
            <w:r>
              <w:rPr>
                <w:szCs w:val="24"/>
              </w:rPr>
              <w:t>saņemšanu (www.cluster-analysis.org)</w:t>
            </w:r>
          </w:p>
          <w:p w:rsidR="003F3B4E" w:rsidRPr="001A1BC7" w:rsidRDefault="00095347" w:rsidP="002E6310">
            <w:pPr>
              <w:widowControl w:val="0"/>
              <w:numPr>
                <w:ilvl w:val="1"/>
                <w:numId w:val="34"/>
              </w:numPr>
              <w:spacing w:after="120"/>
              <w:contextualSpacing/>
              <w:jc w:val="left"/>
              <w:rPr>
                <w:rFonts w:eastAsia="Calibri"/>
                <w:szCs w:val="24"/>
              </w:rPr>
            </w:pPr>
            <w:bookmarkStart w:id="14" w:name="_Ref417389572"/>
            <w:bookmarkEnd w:id="13"/>
            <w:r w:rsidRPr="001A1BC7">
              <w:rPr>
                <w:rFonts w:eastAsia="Calibri"/>
                <w:szCs w:val="24"/>
              </w:rPr>
              <w:t>projekta attiecināmo izmaksu pievienotās vērtības nodoklis</w:t>
            </w:r>
            <w:bookmarkEnd w:id="14"/>
          </w:p>
        </w:tc>
      </w:tr>
    </w:tbl>
    <w:p w:rsidR="00145ABD" w:rsidRPr="001A1BC7" w:rsidRDefault="00145ABD" w:rsidP="002E6310">
      <w:pPr>
        <w:pStyle w:val="ListParagraph"/>
        <w:widowControl w:val="0"/>
        <w:spacing w:before="120" w:after="120"/>
        <w:ind w:left="0"/>
        <w:contextualSpacing w:val="0"/>
        <w:rPr>
          <w:color w:val="FF0000"/>
        </w:rPr>
      </w:pPr>
    </w:p>
    <w:p w:rsidR="00145ABD" w:rsidRPr="001A1BC7" w:rsidRDefault="00B0401E" w:rsidP="002E6310">
      <w:pPr>
        <w:keepNext/>
        <w:widowControl w:val="0"/>
        <w:spacing w:before="120" w:after="120"/>
        <w:ind w:right="-28" w:firstLine="720"/>
        <w:outlineLvl w:val="1"/>
        <w:rPr>
          <w:szCs w:val="24"/>
        </w:rPr>
      </w:pPr>
      <w:bookmarkStart w:id="15" w:name="p13"/>
      <w:bookmarkStart w:id="16" w:name="p-412088"/>
      <w:bookmarkEnd w:id="15"/>
      <w:bookmarkEnd w:id="16"/>
      <w:r w:rsidRPr="00B0401E">
        <w:rPr>
          <w:szCs w:val="24"/>
        </w:rPr>
        <w:t xml:space="preserve">Pasākuma ietvaros projekta iesniedzējs veido klasteri, kas kopējā sadarbības tīklā apvieno komersantus, </w:t>
      </w:r>
      <w:r w:rsidR="00A74578" w:rsidRPr="00A74578">
        <w:rPr>
          <w:szCs w:val="24"/>
        </w:rPr>
        <w:t>izglītības iestādes, pētniecības organiz</w:t>
      </w:r>
      <w:r w:rsidR="00A74578">
        <w:rPr>
          <w:szCs w:val="24"/>
        </w:rPr>
        <w:t>ācijas,</w:t>
      </w:r>
      <w:r w:rsidR="00A74578" w:rsidRPr="00A74578">
        <w:rPr>
          <w:szCs w:val="24"/>
        </w:rPr>
        <w:t xml:space="preserve"> zinātniskās institūcijas </w:t>
      </w:r>
      <w:r w:rsidRPr="00B0401E">
        <w:rPr>
          <w:szCs w:val="24"/>
        </w:rPr>
        <w:t>un citas saistītās institūcijas un darbojas savstarpēji saistītās nozarēs, tautsaimniecības nišā, produkta vai pakalpojuma grupā vai vērtības ķēdē, vai reģionā</w:t>
      </w:r>
      <w:r w:rsidR="00915662" w:rsidRPr="001A1BC7">
        <w:rPr>
          <w:szCs w:val="24"/>
        </w:rPr>
        <w:t>.</w:t>
      </w:r>
    </w:p>
    <w:p w:rsidR="00145ABD" w:rsidRPr="001A1BC7" w:rsidRDefault="002E0713" w:rsidP="002E6310">
      <w:pPr>
        <w:widowControl w:val="0"/>
        <w:spacing w:before="120" w:after="120"/>
        <w:ind w:firstLine="709"/>
        <w:rPr>
          <w:szCs w:val="24"/>
        </w:rPr>
      </w:pPr>
      <w:r w:rsidRPr="001A1BC7">
        <w:rPr>
          <w:b/>
          <w:szCs w:val="24"/>
        </w:rPr>
        <w:t>3.2.1.1.</w:t>
      </w:r>
      <w:r w:rsidR="00145ABD" w:rsidRPr="001A1BC7">
        <w:rPr>
          <w:b/>
          <w:szCs w:val="24"/>
        </w:rPr>
        <w:t xml:space="preserve">pasākuma ietvaros sasniedzamais uzraudzības rādītājs līdz 2023.gada 31.decembrim ir vismaz </w:t>
      </w:r>
      <w:r w:rsidR="004F3DE7" w:rsidRPr="001A1BC7">
        <w:rPr>
          <w:b/>
          <w:szCs w:val="24"/>
        </w:rPr>
        <w:t xml:space="preserve">120 </w:t>
      </w:r>
      <w:r w:rsidR="00145ABD" w:rsidRPr="001A1BC7">
        <w:rPr>
          <w:b/>
          <w:szCs w:val="24"/>
        </w:rPr>
        <w:t>komersanti, kuri saņēmuši atbalstu (grantus).</w:t>
      </w:r>
      <w:r w:rsidR="00145ABD" w:rsidRPr="001A1BC7">
        <w:rPr>
          <w:szCs w:val="24"/>
        </w:rPr>
        <w:t xml:space="preserve"> </w:t>
      </w:r>
      <w:r w:rsidR="008035C9" w:rsidRPr="001A1BC7">
        <w:rPr>
          <w:szCs w:val="24"/>
        </w:rPr>
        <w:t xml:space="preserve">Projektos iesaistītie klasteru partneri, kas nav komersanti, piemēram, </w:t>
      </w:r>
      <w:r w:rsidR="00A74578" w:rsidRPr="00A74578">
        <w:rPr>
          <w:szCs w:val="24"/>
        </w:rPr>
        <w:t>izglītības iestādes, pētniecības organizācijas un zinātniskās institūcijas</w:t>
      </w:r>
      <w:r w:rsidR="008035C9" w:rsidRPr="001A1BC7">
        <w:rPr>
          <w:szCs w:val="24"/>
        </w:rPr>
        <w:t xml:space="preserve">, </w:t>
      </w:r>
      <w:r w:rsidR="00145ABD" w:rsidRPr="001A1BC7">
        <w:rPr>
          <w:szCs w:val="24"/>
        </w:rPr>
        <w:t xml:space="preserve">netiks </w:t>
      </w:r>
      <w:r w:rsidR="008035C9" w:rsidRPr="001A1BC7">
        <w:rPr>
          <w:szCs w:val="24"/>
        </w:rPr>
        <w:t>uzskaitīti</w:t>
      </w:r>
      <w:r w:rsidR="00145ABD" w:rsidRPr="001A1BC7">
        <w:rPr>
          <w:szCs w:val="24"/>
        </w:rPr>
        <w:t xml:space="preserve"> uzraudzības rādītāja sasniegšanā.</w:t>
      </w:r>
    </w:p>
    <w:p w:rsidR="00145ABD" w:rsidRPr="001A1BC7" w:rsidRDefault="00145ABD" w:rsidP="002E6310">
      <w:pPr>
        <w:keepNext/>
        <w:widowControl w:val="0"/>
        <w:spacing w:before="120" w:after="120"/>
        <w:ind w:right="-28" w:firstLine="720"/>
        <w:outlineLvl w:val="1"/>
        <w:rPr>
          <w:szCs w:val="24"/>
        </w:rPr>
      </w:pPr>
      <w:r w:rsidRPr="001A1BC7">
        <w:rPr>
          <w:szCs w:val="24"/>
        </w:rPr>
        <w:t>Projekta</w:t>
      </w:r>
      <w:r w:rsidR="008035C9" w:rsidRPr="001A1BC7">
        <w:rPr>
          <w:szCs w:val="24"/>
        </w:rPr>
        <w:t xml:space="preserve"> īstenošanai finansējuma saņēmējiem jānodrošina privātais līdzfinansējums 15% apmērā, tādējādi publiskā finansējuma atbalsta</w:t>
      </w:r>
      <w:r w:rsidRPr="001A1BC7">
        <w:rPr>
          <w:szCs w:val="24"/>
        </w:rPr>
        <w:t xml:space="preserve"> intensitāte ir </w:t>
      </w:r>
      <w:r w:rsidR="008035C9" w:rsidRPr="001A1BC7">
        <w:rPr>
          <w:szCs w:val="24"/>
        </w:rPr>
        <w:t>85</w:t>
      </w:r>
      <w:r w:rsidRPr="001A1BC7">
        <w:rPr>
          <w:szCs w:val="24"/>
        </w:rPr>
        <w:t>%.</w:t>
      </w:r>
      <w:r w:rsidR="00D84A5A">
        <w:rPr>
          <w:szCs w:val="24"/>
        </w:rPr>
        <w:t xml:space="preserve"> Papildus punktus projektu iesniegumi varēs saņemt, ja tie samazinās pieprasītā atbalsta intensitāti. </w:t>
      </w:r>
    </w:p>
    <w:p w:rsidR="00474685" w:rsidRDefault="00333E30" w:rsidP="00474685">
      <w:pPr>
        <w:keepNext/>
        <w:widowControl w:val="0"/>
        <w:spacing w:before="120" w:after="120"/>
        <w:ind w:right="-28" w:firstLine="720"/>
        <w:outlineLvl w:val="1"/>
        <w:rPr>
          <w:szCs w:val="24"/>
        </w:rPr>
      </w:pPr>
      <w:r w:rsidRPr="001A1BC7">
        <w:rPr>
          <w:szCs w:val="24"/>
        </w:rPr>
        <w:t xml:space="preserve">Lai nodrošinātu efektīvu kontroli pār </w:t>
      </w:r>
      <w:r w:rsidR="00AA58C2" w:rsidRPr="001A1BC7">
        <w:rPr>
          <w:szCs w:val="24"/>
        </w:rPr>
        <w:t>klasteru organizācijām un to darbības</w:t>
      </w:r>
      <w:r w:rsidRPr="001A1BC7">
        <w:rPr>
          <w:szCs w:val="24"/>
        </w:rPr>
        <w:t xml:space="preserve"> atbilstību pasākuma mērķiem, kā arī lai laicīgi novērtētu pasākuma ieviešanas efektivitāti un atbalsta ietekmi uz izvirzīto mērķu sasniegšanu, ir paredzētas regulāras (reizi </w:t>
      </w:r>
      <w:r w:rsidR="00336ABC" w:rsidRPr="001A1BC7">
        <w:rPr>
          <w:szCs w:val="24"/>
        </w:rPr>
        <w:t>pus</w:t>
      </w:r>
      <w:r w:rsidRPr="001A1BC7">
        <w:rPr>
          <w:szCs w:val="24"/>
        </w:rPr>
        <w:t>gadā) trīspusējas tikšanās (atbildīgā iestāde, sadarbības iestāde un finansējuma saņēmējs)</w:t>
      </w:r>
      <w:r w:rsidR="00E10580" w:rsidRPr="001A1BC7">
        <w:rPr>
          <w:szCs w:val="24"/>
        </w:rPr>
        <w:t>,</w:t>
      </w:r>
      <w:r w:rsidR="00336ABC" w:rsidRPr="001A1BC7">
        <w:rPr>
          <w:szCs w:val="24"/>
        </w:rPr>
        <w:t xml:space="preserve"> pēc vajadzības pieaicinot arī citas ieinteresētās puses</w:t>
      </w:r>
      <w:r w:rsidRPr="001A1BC7">
        <w:rPr>
          <w:szCs w:val="24"/>
        </w:rPr>
        <w:t xml:space="preserve">. Tikšanos laikā tiks pārrunāti ar projekta īstenošanu saistītie jautājumi, </w:t>
      </w:r>
      <w:r w:rsidR="00CD7E74">
        <w:rPr>
          <w:szCs w:val="24"/>
        </w:rPr>
        <w:t>tai skaitā</w:t>
      </w:r>
      <w:r w:rsidR="00BF5FAF" w:rsidRPr="001A1BC7">
        <w:rPr>
          <w:szCs w:val="24"/>
        </w:rPr>
        <w:t xml:space="preserve"> </w:t>
      </w:r>
      <w:r w:rsidRPr="001A1BC7">
        <w:rPr>
          <w:szCs w:val="24"/>
        </w:rPr>
        <w:t xml:space="preserve">tiks sekots </w:t>
      </w:r>
      <w:r w:rsidRPr="001A1BC7">
        <w:rPr>
          <w:szCs w:val="24"/>
        </w:rPr>
        <w:lastRenderedPageBreak/>
        <w:t>līdzi</w:t>
      </w:r>
      <w:r w:rsidR="00CD7E74">
        <w:rPr>
          <w:szCs w:val="24"/>
        </w:rPr>
        <w:t xml:space="preserve"> tam</w:t>
      </w:r>
      <w:r w:rsidRPr="001A1BC7">
        <w:rPr>
          <w:szCs w:val="24"/>
        </w:rPr>
        <w:t>, lai</w:t>
      </w:r>
      <w:r w:rsidR="00AA58C2" w:rsidRPr="001A1BC7">
        <w:rPr>
          <w:szCs w:val="24"/>
        </w:rPr>
        <w:t xml:space="preserve"> klastera darbība radītu veiksmīg</w:t>
      </w:r>
      <w:r w:rsidR="00BF5FAF" w:rsidRPr="001A1BC7">
        <w:rPr>
          <w:szCs w:val="24"/>
        </w:rPr>
        <w:t>u</w:t>
      </w:r>
      <w:r w:rsidR="00AA58C2" w:rsidRPr="001A1BC7">
        <w:rPr>
          <w:szCs w:val="24"/>
        </w:rPr>
        <w:t xml:space="preserve"> sadarbību starp komersantiem</w:t>
      </w:r>
      <w:r w:rsidR="00CD7E74">
        <w:rPr>
          <w:szCs w:val="24"/>
        </w:rPr>
        <w:t>, zinātniekiem un partneriem ārvalstīs,</w:t>
      </w:r>
      <w:r w:rsidR="00AA58C2" w:rsidRPr="001A1BC7">
        <w:rPr>
          <w:szCs w:val="24"/>
        </w:rPr>
        <w:t xml:space="preserve"> kā arī lai </w:t>
      </w:r>
      <w:r w:rsidR="00BF5FAF" w:rsidRPr="001A1BC7">
        <w:rPr>
          <w:szCs w:val="24"/>
        </w:rPr>
        <w:t xml:space="preserve">klastera ietvaros </w:t>
      </w:r>
      <w:r w:rsidR="00AA58C2" w:rsidRPr="001A1BC7">
        <w:rPr>
          <w:szCs w:val="24"/>
        </w:rPr>
        <w:t xml:space="preserve">veidotos jauni produkti </w:t>
      </w:r>
      <w:r w:rsidR="00BF5FAF" w:rsidRPr="001A1BC7">
        <w:rPr>
          <w:szCs w:val="24"/>
        </w:rPr>
        <w:t>vai pakalpojumi</w:t>
      </w:r>
      <w:r w:rsidR="00CD7E74">
        <w:rPr>
          <w:szCs w:val="24"/>
        </w:rPr>
        <w:t xml:space="preserve"> un tiktu veikti eksporta veicināšanas pasākumi</w:t>
      </w:r>
      <w:r w:rsidR="00BF5FAF" w:rsidRPr="001A1BC7">
        <w:rPr>
          <w:szCs w:val="24"/>
        </w:rPr>
        <w:t>.</w:t>
      </w:r>
    </w:p>
    <w:p w:rsidR="00474685" w:rsidRPr="001A1BC7" w:rsidRDefault="00474685" w:rsidP="00474685">
      <w:pPr>
        <w:keepNext/>
        <w:widowControl w:val="0"/>
        <w:spacing w:before="120" w:after="120"/>
        <w:ind w:right="-28" w:firstLine="720"/>
        <w:outlineLvl w:val="1"/>
        <w:rPr>
          <w:szCs w:val="24"/>
        </w:rPr>
      </w:pPr>
      <w:r>
        <w:rPr>
          <w:szCs w:val="24"/>
        </w:rPr>
        <w:t xml:space="preserve">Darbības programmas “Izaugsme un nodarbinātība” </w:t>
      </w:r>
      <w:r w:rsidR="00DD6E54">
        <w:rPr>
          <w:szCs w:val="24"/>
        </w:rPr>
        <w:t>specifiskā atbalsta mērķa 3.2.1. “</w:t>
      </w:r>
      <w:r w:rsidR="00DD6E54" w:rsidRPr="00DD6E54">
        <w:rPr>
          <w:szCs w:val="24"/>
        </w:rPr>
        <w:t>Palielināt augstas pievienotās vērtības produktu un pakalpojumu eksporta</w:t>
      </w:r>
      <w:r w:rsidR="00DD6E54">
        <w:rPr>
          <w:szCs w:val="24"/>
        </w:rPr>
        <w:t xml:space="preserve"> </w:t>
      </w:r>
      <w:r w:rsidR="00DD6E54" w:rsidRPr="00DD6E54">
        <w:rPr>
          <w:szCs w:val="24"/>
        </w:rPr>
        <w:t>proporciju</w:t>
      </w:r>
      <w:r w:rsidR="00DD6E54">
        <w:rPr>
          <w:szCs w:val="24"/>
        </w:rPr>
        <w:t>” sasniedzamais rezultāta rādītājs ir  MVK</w:t>
      </w:r>
      <w:r>
        <w:rPr>
          <w:szCs w:val="24"/>
        </w:rPr>
        <w:t xml:space="preserve"> eksporta apjoma pieaugum</w:t>
      </w:r>
      <w:r w:rsidR="00DD6E54">
        <w:rPr>
          <w:szCs w:val="24"/>
        </w:rPr>
        <w:t xml:space="preserve">s </w:t>
      </w:r>
      <w:r>
        <w:rPr>
          <w:szCs w:val="24"/>
        </w:rPr>
        <w:t>no 4,</w:t>
      </w:r>
      <w:r w:rsidR="00DD6E54">
        <w:rPr>
          <w:szCs w:val="24"/>
        </w:rPr>
        <w:t>2</w:t>
      </w:r>
      <w:r>
        <w:rPr>
          <w:szCs w:val="24"/>
        </w:rPr>
        <w:t xml:space="preserve"> milj</w:t>
      </w:r>
      <w:r w:rsidR="00DD6E54">
        <w:rPr>
          <w:szCs w:val="24"/>
        </w:rPr>
        <w:t>ardiem</w:t>
      </w:r>
      <w:r>
        <w:rPr>
          <w:szCs w:val="24"/>
        </w:rPr>
        <w:t xml:space="preserve"> EUR līdz 6 mil</w:t>
      </w:r>
      <w:r w:rsidR="00DD6E54">
        <w:rPr>
          <w:szCs w:val="24"/>
        </w:rPr>
        <w:t>jardiem</w:t>
      </w:r>
      <w:r>
        <w:rPr>
          <w:szCs w:val="24"/>
        </w:rPr>
        <w:t xml:space="preserve"> EUR</w:t>
      </w:r>
      <w:r w:rsidR="00DD6E54">
        <w:rPr>
          <w:szCs w:val="24"/>
        </w:rPr>
        <w:t xml:space="preserve"> (2010.gada salīdzināmās cenās). Lai</w:t>
      </w:r>
      <w:r w:rsidR="00DD6E54" w:rsidRPr="00DD6E54">
        <w:rPr>
          <w:szCs w:val="24"/>
        </w:rPr>
        <w:t xml:space="preserve"> </w:t>
      </w:r>
      <w:r w:rsidR="00DD6E54">
        <w:rPr>
          <w:szCs w:val="24"/>
        </w:rPr>
        <w:t xml:space="preserve">veicinātu šī rādītāja sasniegšanu, pasākuma ietvaros </w:t>
      </w:r>
      <w:r>
        <w:rPr>
          <w:szCs w:val="24"/>
        </w:rPr>
        <w:t xml:space="preserve">tiks atbalstītas tādas darbības, kas veicina starptautisko sadarbību, iekļaušanos </w:t>
      </w:r>
      <w:r w:rsidR="00DD6E54">
        <w:rPr>
          <w:szCs w:val="24"/>
        </w:rPr>
        <w:t xml:space="preserve">piegādes un </w:t>
      </w:r>
      <w:r>
        <w:rPr>
          <w:szCs w:val="24"/>
        </w:rPr>
        <w:t>vērtības ķēdēs, produktivitātes paaugstināšanu, zināšanu pārnesi u.c, tādējādi veidojot netiešu ietekmi uz eksporta apjoma pieaugumu klaster</w:t>
      </w:r>
      <w:r w:rsidR="00DD6E54">
        <w:rPr>
          <w:szCs w:val="24"/>
        </w:rPr>
        <w:t>a dalībniekos – MVK</w:t>
      </w:r>
      <w:r>
        <w:rPr>
          <w:szCs w:val="24"/>
        </w:rPr>
        <w:t xml:space="preserve">. Pasākums </w:t>
      </w:r>
      <w:r w:rsidR="00DD6E54">
        <w:rPr>
          <w:szCs w:val="24"/>
        </w:rPr>
        <w:t>sniegs</w:t>
      </w:r>
      <w:r>
        <w:rPr>
          <w:szCs w:val="24"/>
        </w:rPr>
        <w:t xml:space="preserve"> netiešu ietekmi uz eksporta apjomu pieaugumu, jo eksporta apjoma pieaugumam ir nepieciešami arī citi atbalsta instrumenti, komersanta investīcijas un c</w:t>
      </w:r>
      <w:r w:rsidR="00665E6B">
        <w:rPr>
          <w:szCs w:val="24"/>
        </w:rPr>
        <w:t>iti faktori</w:t>
      </w:r>
      <w:r>
        <w:rPr>
          <w:szCs w:val="24"/>
        </w:rPr>
        <w:t>.</w:t>
      </w:r>
      <w:r w:rsidR="00DD6E54">
        <w:rPr>
          <w:szCs w:val="24"/>
        </w:rPr>
        <w:t xml:space="preserve"> Jāņem vērā, ka 3.2.1.SAM ietvaros </w:t>
      </w:r>
      <w:r w:rsidR="00CF6364">
        <w:rPr>
          <w:szCs w:val="24"/>
        </w:rPr>
        <w:t xml:space="preserve">paredzēts īstenot arī starptautiskās konkurētspējas veicināšanas pasākumus, kas arī sniegs ietekmi uz rādītāja sasniegšanu. Vienlaikus jāņem vērā, ka MVK eksporta pieaugums ir rezultāta rādītājs, kas raksturo izmaiņas visā tautsaimniecībā – visu Latvijas MVK kopējo eksporta apjomu – tādējādi tā izmaiņas nodrošinās arī ar ES fondu atbalstu nesaistīti pasākumi (gan pozitīvi, gan negatīvi).  </w:t>
      </w:r>
    </w:p>
    <w:p w:rsidR="00A721BB" w:rsidRPr="001A1BC7" w:rsidRDefault="006D7BE5" w:rsidP="002E6310">
      <w:pPr>
        <w:widowControl w:val="0"/>
        <w:spacing w:after="60"/>
        <w:ind w:firstLine="567"/>
        <w:rPr>
          <w:b/>
          <w:szCs w:val="24"/>
        </w:rPr>
      </w:pPr>
      <w:r w:rsidRPr="001A1BC7">
        <w:rPr>
          <w:b/>
          <w:szCs w:val="24"/>
        </w:rPr>
        <w:t xml:space="preserve">Izmaiņas </w:t>
      </w:r>
      <w:r w:rsidR="00A00871" w:rsidRPr="001A1BC7">
        <w:rPr>
          <w:b/>
          <w:szCs w:val="24"/>
        </w:rPr>
        <w:t>atbalsta programmas nosacījumo</w:t>
      </w:r>
      <w:r w:rsidR="00F82BF0" w:rsidRPr="001A1BC7">
        <w:rPr>
          <w:b/>
          <w:szCs w:val="24"/>
        </w:rPr>
        <w:t>s</w:t>
      </w:r>
      <w:r w:rsidR="009E5051">
        <w:rPr>
          <w:b/>
          <w:szCs w:val="24"/>
        </w:rPr>
        <w:t>, salīdzinot ar</w:t>
      </w:r>
      <w:r w:rsidR="00F82BF0" w:rsidRPr="001A1BC7">
        <w:rPr>
          <w:b/>
          <w:szCs w:val="24"/>
        </w:rPr>
        <w:t xml:space="preserve"> </w:t>
      </w:r>
      <w:r w:rsidR="00062790" w:rsidRPr="001A1BC7">
        <w:rPr>
          <w:b/>
          <w:szCs w:val="24"/>
        </w:rPr>
        <w:t>2.3.</w:t>
      </w:r>
      <w:r w:rsidR="002E0713" w:rsidRPr="001A1BC7">
        <w:rPr>
          <w:b/>
          <w:szCs w:val="24"/>
        </w:rPr>
        <w:t xml:space="preserve">2.3 </w:t>
      </w:r>
      <w:r w:rsidR="00062790" w:rsidRPr="001A1BC7">
        <w:rPr>
          <w:b/>
          <w:szCs w:val="24"/>
        </w:rPr>
        <w:t>apakšaktivitāti „</w:t>
      </w:r>
      <w:r w:rsidR="002E0713" w:rsidRPr="001A1BC7">
        <w:rPr>
          <w:b/>
          <w:szCs w:val="24"/>
        </w:rPr>
        <w:t>Klasteru progra</w:t>
      </w:r>
      <w:r w:rsidR="009E5051">
        <w:rPr>
          <w:b/>
          <w:szCs w:val="24"/>
        </w:rPr>
        <w:t>mma</w:t>
      </w:r>
      <w:r w:rsidR="00A721BB" w:rsidRPr="001A1BC7">
        <w:rPr>
          <w:b/>
          <w:szCs w:val="24"/>
        </w:rPr>
        <w:t>”</w:t>
      </w:r>
    </w:p>
    <w:p w:rsidR="00A721BB" w:rsidRPr="001A1BC7" w:rsidRDefault="00A721BB" w:rsidP="002E6310">
      <w:pPr>
        <w:widowControl w:val="0"/>
        <w:spacing w:after="60"/>
        <w:ind w:firstLine="567"/>
        <w:rPr>
          <w:szCs w:val="24"/>
        </w:rPr>
      </w:pPr>
      <w:r w:rsidRPr="001A1BC7">
        <w:rPr>
          <w:szCs w:val="24"/>
        </w:rPr>
        <w:t>Pēc</w:t>
      </w:r>
      <w:r w:rsidR="00972CCE" w:rsidRPr="001A1BC7">
        <w:rPr>
          <w:szCs w:val="24"/>
        </w:rPr>
        <w:t xml:space="preserve"> 2.3.2.3. apakšaktivitātes nosacījumiem un veiktās uzraudzības nav iespējams pilnvērtīgi novertēt klasteru sasniegtos rezultātus. Klasteri ES tiek vērtēti pēc jau iepriekš minētās “Cluster Exellence” metodikas, tādējādi šī metodika būtu ieviešama arī 3.2.1.1. pasākuma ietvaros. </w:t>
      </w:r>
      <w:r w:rsidR="00237484">
        <w:rPr>
          <w:szCs w:val="24"/>
        </w:rPr>
        <w:t>Piedāvājot</w:t>
      </w:r>
      <w:r w:rsidR="00237484" w:rsidRPr="001A1BC7">
        <w:rPr>
          <w:szCs w:val="24"/>
        </w:rPr>
        <w:t xml:space="preserve"> </w:t>
      </w:r>
      <w:r w:rsidR="00972CCE" w:rsidRPr="001A1BC7">
        <w:rPr>
          <w:szCs w:val="24"/>
        </w:rPr>
        <w:t xml:space="preserve">klasteriem </w:t>
      </w:r>
      <w:r w:rsidR="00237484">
        <w:rPr>
          <w:szCs w:val="24"/>
        </w:rPr>
        <w:t>iespēju</w:t>
      </w:r>
      <w:r w:rsidR="00972CCE" w:rsidRPr="001A1BC7">
        <w:rPr>
          <w:szCs w:val="24"/>
        </w:rPr>
        <w:t xml:space="preserve"> iesaistīties šajā iniciatīvā</w:t>
      </w:r>
      <w:r w:rsidR="00237484">
        <w:rPr>
          <w:szCs w:val="24"/>
        </w:rPr>
        <w:t xml:space="preserve"> </w:t>
      </w:r>
      <w:r w:rsidR="00972CCE" w:rsidRPr="001A1BC7">
        <w:rPr>
          <w:szCs w:val="24"/>
        </w:rPr>
        <w:t xml:space="preserve">klasteri tiktu profesionāli izvērtēti un tādējādi šī informācija palīdzētu arī atbildīgajai </w:t>
      </w:r>
      <w:r w:rsidR="00237484">
        <w:rPr>
          <w:szCs w:val="24"/>
        </w:rPr>
        <w:t>iestādei</w:t>
      </w:r>
      <w:r w:rsidR="00237484" w:rsidRPr="001A1BC7">
        <w:rPr>
          <w:szCs w:val="24"/>
        </w:rPr>
        <w:t xml:space="preserve"> </w:t>
      </w:r>
      <w:r w:rsidR="00972CCE" w:rsidRPr="001A1BC7">
        <w:rPr>
          <w:szCs w:val="24"/>
        </w:rPr>
        <w:t>izvērtēt klaster</w:t>
      </w:r>
      <w:r w:rsidR="00AD40C4">
        <w:rPr>
          <w:szCs w:val="24"/>
        </w:rPr>
        <w:t>u</w:t>
      </w:r>
      <w:r w:rsidR="00972CCE" w:rsidRPr="001A1BC7">
        <w:rPr>
          <w:szCs w:val="24"/>
        </w:rPr>
        <w:t xml:space="preserve"> konkurētspēju un </w:t>
      </w:r>
      <w:r w:rsidR="00AD40C4">
        <w:rPr>
          <w:szCs w:val="24"/>
        </w:rPr>
        <w:t xml:space="preserve">darbības </w:t>
      </w:r>
      <w:r w:rsidR="00972CCE" w:rsidRPr="001A1BC7">
        <w:rPr>
          <w:szCs w:val="24"/>
        </w:rPr>
        <w:t>rezultātus.</w:t>
      </w:r>
      <w:r w:rsidR="00237484">
        <w:rPr>
          <w:szCs w:val="24"/>
        </w:rPr>
        <w:t xml:space="preserve"> Novērtējumu rezultāti būs noderīgi, plānojot turpmāko atbalstu klasteru iniciatīvām. </w:t>
      </w:r>
    </w:p>
    <w:p w:rsidR="00A721BB" w:rsidRPr="001A1BC7" w:rsidRDefault="00972CCE" w:rsidP="002E6310">
      <w:pPr>
        <w:widowControl w:val="0"/>
        <w:spacing w:after="60"/>
        <w:ind w:firstLine="567"/>
        <w:rPr>
          <w:szCs w:val="24"/>
        </w:rPr>
      </w:pPr>
      <w:r w:rsidRPr="001A1BC7">
        <w:rPr>
          <w:szCs w:val="24"/>
        </w:rPr>
        <w:t xml:space="preserve">Papildus, lai nodrošinātu </w:t>
      </w:r>
      <w:r w:rsidR="00AD40C4" w:rsidRPr="001A1BC7">
        <w:rPr>
          <w:szCs w:val="24"/>
        </w:rPr>
        <w:t>efektīvāku</w:t>
      </w:r>
      <w:r w:rsidRPr="001A1BC7">
        <w:rPr>
          <w:szCs w:val="24"/>
        </w:rPr>
        <w:t xml:space="preserve"> uzraudzību, klasteriem arī būs </w:t>
      </w:r>
      <w:r w:rsidR="00AD40C4" w:rsidRPr="001A1BC7">
        <w:rPr>
          <w:szCs w:val="24"/>
        </w:rPr>
        <w:t>jāatskaitās</w:t>
      </w:r>
      <w:r w:rsidRPr="001A1BC7">
        <w:rPr>
          <w:szCs w:val="24"/>
        </w:rPr>
        <w:t xml:space="preserve"> par sasniegtajiem ietekmes rādītājiem (eksporta pieaugums, ieguldījumi P&amp;A</w:t>
      </w:r>
      <w:r w:rsidR="00237484">
        <w:rPr>
          <w:szCs w:val="24"/>
        </w:rPr>
        <w:t>)</w:t>
      </w:r>
      <w:r w:rsidRPr="001A1BC7">
        <w:rPr>
          <w:szCs w:val="24"/>
        </w:rPr>
        <w:t xml:space="preserve"> reizi gadā.</w:t>
      </w:r>
      <w:r w:rsidR="00AD40C4">
        <w:rPr>
          <w:szCs w:val="24"/>
        </w:rPr>
        <w:t xml:space="preserve"> Šāda uzraudzības sistēma arī palīdzēs klastera vadībai sekot līdzi tam, kā attīstās klastera dalībnieki un vai klastera veiktie pasākumi sniedz tiem priekšrocības un veicina konkurētspēju. </w:t>
      </w:r>
    </w:p>
    <w:p w:rsidR="00A721BB" w:rsidRPr="001A1BC7" w:rsidRDefault="00566CFA" w:rsidP="002E6310">
      <w:pPr>
        <w:widowControl w:val="0"/>
        <w:spacing w:after="60"/>
        <w:ind w:firstLine="567"/>
        <w:rPr>
          <w:szCs w:val="24"/>
        </w:rPr>
      </w:pPr>
      <w:r>
        <w:rPr>
          <w:szCs w:val="24"/>
        </w:rPr>
        <w:t>Lai veicinātu jaunu klasteru veidošanos, it īpaši tādu starpnozaru un reģionālu klasteru, kas attīsta kopīgus produktus un veido piegādes vai vērtību ķēdes,</w:t>
      </w:r>
      <w:r w:rsidR="00972CCE" w:rsidRPr="001A1BC7">
        <w:rPr>
          <w:szCs w:val="24"/>
        </w:rPr>
        <w:t xml:space="preserve"> 3.2.1.1. pasākuma ietvaros atbalstu varēs saņemt jauni</w:t>
      </w:r>
      <w:r>
        <w:rPr>
          <w:szCs w:val="24"/>
        </w:rPr>
        <w:t xml:space="preserve"> un</w:t>
      </w:r>
      <w:r w:rsidR="00972CCE" w:rsidRPr="001A1BC7">
        <w:rPr>
          <w:szCs w:val="24"/>
        </w:rPr>
        <w:t xml:space="preserve"> līdz šim neatbalstīti klasteri</w:t>
      </w:r>
      <w:r w:rsidR="00237484">
        <w:rPr>
          <w:szCs w:val="24"/>
        </w:rPr>
        <w:t xml:space="preserve"> – prasība par iepriekšēju pieredzi klastera darbību īstenošanā nebūs obligāta</w:t>
      </w:r>
      <w:r w:rsidR="00972CCE" w:rsidRPr="001A1BC7">
        <w:rPr>
          <w:szCs w:val="24"/>
        </w:rPr>
        <w:t>.</w:t>
      </w:r>
      <w:r w:rsidR="00630CC4">
        <w:rPr>
          <w:szCs w:val="24"/>
        </w:rPr>
        <w:t xml:space="preserve"> </w:t>
      </w:r>
    </w:p>
    <w:p w:rsidR="00A721BB" w:rsidRPr="001A1BC7" w:rsidRDefault="00972CCE" w:rsidP="002E6310">
      <w:pPr>
        <w:widowControl w:val="0"/>
        <w:spacing w:after="60"/>
        <w:ind w:firstLine="567"/>
        <w:rPr>
          <w:szCs w:val="24"/>
        </w:rPr>
      </w:pPr>
      <w:r w:rsidRPr="001A1BC7">
        <w:rPr>
          <w:szCs w:val="24"/>
        </w:rPr>
        <w:t xml:space="preserve">Klasteru programmu tiek īstenota 3.prioritārā virziena “Mazo un vidējo komersantu konkurētspēja” ietvaros. Ievērojot Eiropas Parlamenta un Padomes 2013.gada 17.decembra Regulas (ES) Nr.1301/2013 par Eiropas Reģionālās attīstības fondu un īpašiem noteikumiem attiecībā uz mērķi "Investīcijas izaugsmei un nodarbinātībai" un ar ko atceļ Regulu (EK) Nr. 1080/2006 3.pantā noteiktās ERAF atbalsta darbības jomas, atbalsts saistīts ar </w:t>
      </w:r>
      <w:r w:rsidR="00630CC4">
        <w:rPr>
          <w:szCs w:val="24"/>
        </w:rPr>
        <w:t xml:space="preserve">MVK </w:t>
      </w:r>
      <w:r w:rsidRPr="001A1BC7">
        <w:rPr>
          <w:szCs w:val="24"/>
        </w:rPr>
        <w:t>konkurētspēju</w:t>
      </w:r>
      <w:r w:rsidR="00630CC4">
        <w:rPr>
          <w:szCs w:val="24"/>
        </w:rPr>
        <w:t xml:space="preserve">, tādēļ </w:t>
      </w:r>
      <w:r w:rsidRPr="001A1BC7">
        <w:rPr>
          <w:szCs w:val="24"/>
        </w:rPr>
        <w:t>3.2.1.1.pasākuma ietvaros gala labuma guvēji būs MVK. Atšķirībā no 2007.-2013.gada ES fondu plānošanas perioda programmas jaunajā klasteru programmā atbalstu nevarēs saņemt lielie komersanti</w:t>
      </w:r>
      <w:bookmarkStart w:id="17" w:name="_Toc417375065"/>
      <w:bookmarkStart w:id="18" w:name="_Toc385413139"/>
      <w:r w:rsidR="00A721BB" w:rsidRPr="001A1BC7">
        <w:rPr>
          <w:szCs w:val="24"/>
        </w:rPr>
        <w:t>.</w:t>
      </w:r>
    </w:p>
    <w:p w:rsidR="00A721BB" w:rsidRPr="001A1BC7" w:rsidRDefault="00B7349E" w:rsidP="002E6310">
      <w:pPr>
        <w:widowControl w:val="0"/>
        <w:spacing w:after="60"/>
        <w:ind w:firstLine="567"/>
        <w:rPr>
          <w:szCs w:val="24"/>
        </w:rPr>
      </w:pPr>
      <w:r w:rsidRPr="001A1BC7">
        <w:rPr>
          <w:b/>
          <w:szCs w:val="24"/>
        </w:rPr>
        <w:t>3</w:t>
      </w:r>
      <w:r w:rsidR="00D02D52" w:rsidRPr="001A1BC7">
        <w:rPr>
          <w:b/>
          <w:szCs w:val="24"/>
        </w:rPr>
        <w:t>.1. Pasākuma ietekme uz makroekonomisko vidi</w:t>
      </w:r>
      <w:bookmarkEnd w:id="17"/>
    </w:p>
    <w:p w:rsidR="00A721BB" w:rsidRPr="001A1BC7" w:rsidRDefault="00D02D52" w:rsidP="002E6310">
      <w:pPr>
        <w:widowControl w:val="0"/>
        <w:spacing w:after="60"/>
        <w:ind w:firstLine="567"/>
        <w:rPr>
          <w:szCs w:val="24"/>
        </w:rPr>
      </w:pPr>
      <w:r w:rsidRPr="001A1BC7">
        <w:rPr>
          <w:szCs w:val="24"/>
        </w:rPr>
        <w:t xml:space="preserve">Sekmējot uzņēmumu </w:t>
      </w:r>
      <w:r w:rsidR="005D4170" w:rsidRPr="001A1BC7">
        <w:rPr>
          <w:szCs w:val="24"/>
        </w:rPr>
        <w:t>savstarpēju sadarbību</w:t>
      </w:r>
      <w:r w:rsidRPr="001A1BC7">
        <w:rPr>
          <w:szCs w:val="24"/>
        </w:rPr>
        <w:t>, tiek</w:t>
      </w:r>
      <w:r w:rsidR="005D4170" w:rsidRPr="001A1BC7">
        <w:rPr>
          <w:szCs w:val="24"/>
        </w:rPr>
        <w:t xml:space="preserve"> veicināta jaunu produktu izveide un</w:t>
      </w:r>
      <w:r w:rsidRPr="001A1BC7">
        <w:rPr>
          <w:szCs w:val="24"/>
        </w:rPr>
        <w:t xml:space="preserve"> mazinātas barjeras ieiešana</w:t>
      </w:r>
      <w:r w:rsidR="00473D49" w:rsidRPr="001A1BC7">
        <w:rPr>
          <w:szCs w:val="24"/>
        </w:rPr>
        <w:t xml:space="preserve">i jaunos ārvalstu noieta tirgos, kā rezultātā </w:t>
      </w:r>
      <w:r w:rsidRPr="001A1BC7">
        <w:rPr>
          <w:szCs w:val="24"/>
        </w:rPr>
        <w:t>palielinās eksporta apjoms</w:t>
      </w:r>
      <w:r w:rsidR="00473D49" w:rsidRPr="001A1BC7">
        <w:rPr>
          <w:szCs w:val="24"/>
        </w:rPr>
        <w:t>, t</w:t>
      </w:r>
      <w:r w:rsidRPr="001A1BC7">
        <w:rPr>
          <w:szCs w:val="24"/>
        </w:rPr>
        <w:t>ādejādi tiek pali</w:t>
      </w:r>
      <w:r w:rsidR="00675B4B" w:rsidRPr="001A1BC7">
        <w:rPr>
          <w:szCs w:val="24"/>
        </w:rPr>
        <w:t>elināts uzņēmumu apgrozījums, kas ļauj tiem darboties produktīvāk un gūt lielākus ienākumus, un</w:t>
      </w:r>
      <w:r w:rsidR="00473D49" w:rsidRPr="001A1BC7">
        <w:rPr>
          <w:szCs w:val="24"/>
        </w:rPr>
        <w:t xml:space="preserve"> tiek</w:t>
      </w:r>
      <w:r w:rsidR="00675B4B" w:rsidRPr="001A1BC7">
        <w:rPr>
          <w:szCs w:val="24"/>
        </w:rPr>
        <w:t xml:space="preserve"> dažādoti realizācijas kanāli, kas ļauj tiem diversificēt ar </w:t>
      </w:r>
      <w:r w:rsidR="00473D49" w:rsidRPr="001A1BC7">
        <w:rPr>
          <w:szCs w:val="24"/>
        </w:rPr>
        <w:t>realizācijas kanāliem</w:t>
      </w:r>
      <w:r w:rsidR="00675B4B" w:rsidRPr="001A1BC7">
        <w:rPr>
          <w:szCs w:val="24"/>
        </w:rPr>
        <w:t xml:space="preserve"> saistīt</w:t>
      </w:r>
      <w:r w:rsidR="00473D49" w:rsidRPr="001A1BC7">
        <w:rPr>
          <w:szCs w:val="24"/>
        </w:rPr>
        <w:t>o</w:t>
      </w:r>
      <w:r w:rsidR="00675B4B" w:rsidRPr="001A1BC7">
        <w:rPr>
          <w:szCs w:val="24"/>
        </w:rPr>
        <w:t>s riskus.</w:t>
      </w:r>
      <w:r w:rsidR="00473D49" w:rsidRPr="001A1BC7">
        <w:rPr>
          <w:szCs w:val="24"/>
        </w:rPr>
        <w:t xml:space="preserve"> </w:t>
      </w:r>
    </w:p>
    <w:p w:rsidR="00A721BB" w:rsidRPr="001A1BC7" w:rsidRDefault="002E1186" w:rsidP="002E6310">
      <w:pPr>
        <w:widowControl w:val="0"/>
        <w:spacing w:after="60"/>
        <w:ind w:firstLine="567"/>
        <w:rPr>
          <w:szCs w:val="24"/>
        </w:rPr>
      </w:pPr>
      <w:r w:rsidRPr="001A1BC7">
        <w:rPr>
          <w:szCs w:val="24"/>
        </w:rPr>
        <w:t>Tāpat 3.2.1.</w:t>
      </w:r>
      <w:r w:rsidR="00392523" w:rsidRPr="001A1BC7">
        <w:rPr>
          <w:szCs w:val="24"/>
        </w:rPr>
        <w:t>1</w:t>
      </w:r>
      <w:r w:rsidRPr="001A1BC7">
        <w:rPr>
          <w:szCs w:val="24"/>
        </w:rPr>
        <w:t xml:space="preserve">.pasākums </w:t>
      </w:r>
      <w:r w:rsidR="00241DC3" w:rsidRPr="001A1BC7">
        <w:rPr>
          <w:szCs w:val="24"/>
        </w:rPr>
        <w:t xml:space="preserve">netiešā veidā veicinās </w:t>
      </w:r>
      <w:r w:rsidRPr="001A1BC7">
        <w:rPr>
          <w:szCs w:val="24"/>
        </w:rPr>
        <w:t xml:space="preserve">uzņēmumu apgrozījuma pieaugumu, </w:t>
      </w:r>
      <w:r w:rsidR="00241DC3" w:rsidRPr="001A1BC7">
        <w:rPr>
          <w:szCs w:val="24"/>
        </w:rPr>
        <w:t xml:space="preserve">kā arī </w:t>
      </w:r>
      <w:r w:rsidRPr="001A1BC7">
        <w:rPr>
          <w:szCs w:val="24"/>
        </w:rPr>
        <w:t>veicin</w:t>
      </w:r>
      <w:r w:rsidR="00241DC3" w:rsidRPr="001A1BC7">
        <w:rPr>
          <w:szCs w:val="24"/>
        </w:rPr>
        <w:t>ās</w:t>
      </w:r>
      <w:r w:rsidRPr="001A1BC7">
        <w:rPr>
          <w:szCs w:val="24"/>
        </w:rPr>
        <w:t xml:space="preserve"> nomaksāto nodokļu apjomu</w:t>
      </w:r>
      <w:r w:rsidR="00241DC3" w:rsidRPr="001A1BC7">
        <w:rPr>
          <w:szCs w:val="24"/>
        </w:rPr>
        <w:t xml:space="preserve"> pieaugumu</w:t>
      </w:r>
      <w:r w:rsidRPr="001A1BC7">
        <w:rPr>
          <w:szCs w:val="24"/>
        </w:rPr>
        <w:t>.</w:t>
      </w:r>
      <w:bookmarkStart w:id="19" w:name="_Toc417375066"/>
      <w:bookmarkStart w:id="20" w:name="_Toc419295619"/>
    </w:p>
    <w:p w:rsidR="00A721BB" w:rsidRPr="001A1BC7" w:rsidRDefault="00B7349E" w:rsidP="002E6310">
      <w:pPr>
        <w:widowControl w:val="0"/>
        <w:spacing w:after="60"/>
        <w:ind w:firstLine="567"/>
        <w:rPr>
          <w:b/>
          <w:szCs w:val="24"/>
        </w:rPr>
      </w:pPr>
      <w:r w:rsidRPr="001A1BC7">
        <w:rPr>
          <w:b/>
          <w:szCs w:val="24"/>
        </w:rPr>
        <w:t>3</w:t>
      </w:r>
      <w:r w:rsidR="00D02D52" w:rsidRPr="001A1BC7">
        <w:rPr>
          <w:b/>
          <w:szCs w:val="24"/>
        </w:rPr>
        <w:t xml:space="preserve">.2. </w:t>
      </w:r>
      <w:r w:rsidR="00675B4B" w:rsidRPr="001A1BC7">
        <w:rPr>
          <w:b/>
          <w:szCs w:val="24"/>
        </w:rPr>
        <w:t>Pasākuma</w:t>
      </w:r>
      <w:r w:rsidR="00D02D52" w:rsidRPr="001A1BC7">
        <w:rPr>
          <w:b/>
          <w:szCs w:val="24"/>
        </w:rPr>
        <w:t xml:space="preserve"> ietekme uz uzņēmējdarbības vidi</w:t>
      </w:r>
      <w:bookmarkEnd w:id="19"/>
      <w:bookmarkEnd w:id="20"/>
    </w:p>
    <w:p w:rsidR="00675B4B" w:rsidRPr="001A1BC7" w:rsidRDefault="002E0713" w:rsidP="002E6310">
      <w:pPr>
        <w:widowControl w:val="0"/>
        <w:spacing w:after="60"/>
        <w:ind w:firstLine="567"/>
        <w:rPr>
          <w:b/>
          <w:szCs w:val="24"/>
        </w:rPr>
      </w:pPr>
      <w:r w:rsidRPr="001A1BC7">
        <w:rPr>
          <w:szCs w:val="24"/>
        </w:rPr>
        <w:lastRenderedPageBreak/>
        <w:t>3.2.1.1.</w:t>
      </w:r>
      <w:r w:rsidR="000D163B" w:rsidRPr="001A1BC7">
        <w:rPr>
          <w:szCs w:val="24"/>
        </w:rPr>
        <w:t>p</w:t>
      </w:r>
      <w:r w:rsidR="00675B4B" w:rsidRPr="001A1BC7">
        <w:rPr>
          <w:szCs w:val="24"/>
        </w:rPr>
        <w:t xml:space="preserve">asākums </w:t>
      </w:r>
      <w:r w:rsidR="002E1186" w:rsidRPr="001A1BC7">
        <w:rPr>
          <w:szCs w:val="24"/>
        </w:rPr>
        <w:t>veicinās uzņēmumu konkurētspēju, palielinās to apgrozījumu un peļņas rādītājus, tāpat ti</w:t>
      </w:r>
      <w:r w:rsidR="00241DC3" w:rsidRPr="001A1BC7">
        <w:rPr>
          <w:szCs w:val="24"/>
        </w:rPr>
        <w:t>ks</w:t>
      </w:r>
      <w:r w:rsidR="002E1186" w:rsidRPr="001A1BC7">
        <w:rPr>
          <w:szCs w:val="24"/>
        </w:rPr>
        <w:t xml:space="preserve"> veicināta produktu ar lielāku pievienoto vērtību radīšana</w:t>
      </w:r>
      <w:r w:rsidR="00675B4B" w:rsidRPr="001A1BC7">
        <w:rPr>
          <w:szCs w:val="24"/>
        </w:rPr>
        <w:t>.</w:t>
      </w:r>
    </w:p>
    <w:p w:rsidR="00D02D52" w:rsidRPr="001A1BC7" w:rsidRDefault="00B7349E" w:rsidP="002E6310">
      <w:pPr>
        <w:pStyle w:val="Heading2"/>
        <w:widowControl w:val="0"/>
        <w:spacing w:before="60" w:after="60"/>
        <w:ind w:firstLine="567"/>
        <w:rPr>
          <w:rFonts w:ascii="Times New Roman" w:hAnsi="Times New Roman"/>
          <w:color w:val="auto"/>
          <w:sz w:val="24"/>
          <w:szCs w:val="24"/>
        </w:rPr>
      </w:pPr>
      <w:bookmarkStart w:id="21" w:name="_Toc417375067"/>
      <w:bookmarkStart w:id="22" w:name="_Toc419295620"/>
      <w:r w:rsidRPr="001A1BC7">
        <w:rPr>
          <w:rFonts w:ascii="Times New Roman" w:hAnsi="Times New Roman"/>
          <w:color w:val="auto"/>
          <w:sz w:val="24"/>
          <w:szCs w:val="24"/>
        </w:rPr>
        <w:t>3</w:t>
      </w:r>
      <w:r w:rsidR="00675B4B" w:rsidRPr="001A1BC7">
        <w:rPr>
          <w:rFonts w:ascii="Times New Roman" w:hAnsi="Times New Roman"/>
          <w:color w:val="auto"/>
          <w:sz w:val="24"/>
          <w:szCs w:val="24"/>
        </w:rPr>
        <w:t>.3. Pasākuma</w:t>
      </w:r>
      <w:r w:rsidR="00D02D52" w:rsidRPr="001A1BC7">
        <w:rPr>
          <w:rFonts w:ascii="Times New Roman" w:hAnsi="Times New Roman"/>
          <w:color w:val="auto"/>
          <w:sz w:val="24"/>
          <w:szCs w:val="24"/>
        </w:rPr>
        <w:t xml:space="preserve"> ietekme uz administratīvajām procedūrām un to izmaksām (gan attiecībā uz saimnieciskās darbības veicējiem, gan attiecībā uz fiziskām personām un nevalstiskā sektora organizācijām, gan attiecībā uz budžeta finansētām institūcijām)</w:t>
      </w:r>
      <w:bookmarkEnd w:id="21"/>
      <w:bookmarkEnd w:id="22"/>
    </w:p>
    <w:p w:rsidR="00675B4B" w:rsidRPr="00CD46AF" w:rsidRDefault="002E0713" w:rsidP="002E6310">
      <w:pPr>
        <w:keepNext/>
        <w:widowControl w:val="0"/>
        <w:spacing w:before="120" w:after="120"/>
        <w:ind w:right="-28" w:firstLine="720"/>
        <w:outlineLvl w:val="1"/>
        <w:rPr>
          <w:szCs w:val="24"/>
        </w:rPr>
      </w:pPr>
      <w:r w:rsidRPr="001A1BC7">
        <w:rPr>
          <w:szCs w:val="24"/>
        </w:rPr>
        <w:t>3.2.1.1.</w:t>
      </w:r>
      <w:r w:rsidR="000D163B" w:rsidRPr="001A1BC7">
        <w:rPr>
          <w:szCs w:val="24"/>
        </w:rPr>
        <w:t>pasākums</w:t>
      </w:r>
      <w:r w:rsidR="000D163B" w:rsidRPr="001A1BC7" w:rsidDel="000D163B">
        <w:rPr>
          <w:szCs w:val="24"/>
        </w:rPr>
        <w:t xml:space="preserve"> </w:t>
      </w:r>
      <w:r w:rsidR="00675B4B" w:rsidRPr="001A1BC7">
        <w:rPr>
          <w:szCs w:val="24"/>
        </w:rPr>
        <w:t xml:space="preserve">nerada jaunas obligātas administratīvās procedūras, kas būtu saistošas visiem saimnieciskās </w:t>
      </w:r>
      <w:r w:rsidR="00675B4B" w:rsidRPr="00F44471">
        <w:rPr>
          <w:szCs w:val="24"/>
        </w:rPr>
        <w:t xml:space="preserve">darbības veicējiem. </w:t>
      </w:r>
    </w:p>
    <w:p w:rsidR="00D02D52" w:rsidRPr="00F44471" w:rsidRDefault="00B7349E" w:rsidP="002E6310">
      <w:pPr>
        <w:pStyle w:val="Heading2"/>
        <w:widowControl w:val="0"/>
        <w:spacing w:before="60" w:after="60"/>
        <w:ind w:firstLine="567"/>
        <w:rPr>
          <w:rFonts w:ascii="Times New Roman" w:hAnsi="Times New Roman"/>
          <w:color w:val="auto"/>
          <w:sz w:val="24"/>
          <w:szCs w:val="24"/>
        </w:rPr>
      </w:pPr>
      <w:bookmarkStart w:id="23" w:name="_Toc417375068"/>
      <w:bookmarkStart w:id="24" w:name="_Toc419295621"/>
      <w:r w:rsidRPr="00F44471">
        <w:rPr>
          <w:rFonts w:ascii="Times New Roman" w:hAnsi="Times New Roman"/>
          <w:color w:val="auto"/>
          <w:sz w:val="24"/>
          <w:szCs w:val="24"/>
        </w:rPr>
        <w:t>3</w:t>
      </w:r>
      <w:r w:rsidR="00E21DFE" w:rsidRPr="00F44471">
        <w:rPr>
          <w:rFonts w:ascii="Times New Roman" w:hAnsi="Times New Roman"/>
          <w:color w:val="auto"/>
          <w:sz w:val="24"/>
          <w:szCs w:val="24"/>
        </w:rPr>
        <w:t>.4. Pasākuma</w:t>
      </w:r>
      <w:r w:rsidR="00D02D52" w:rsidRPr="00F44471">
        <w:rPr>
          <w:rFonts w:ascii="Times New Roman" w:hAnsi="Times New Roman"/>
          <w:color w:val="auto"/>
          <w:sz w:val="24"/>
          <w:szCs w:val="24"/>
        </w:rPr>
        <w:t xml:space="preserve"> ietekme uz sociālo vidi</w:t>
      </w:r>
      <w:bookmarkEnd w:id="23"/>
      <w:bookmarkEnd w:id="24"/>
    </w:p>
    <w:p w:rsidR="007F2C22" w:rsidRPr="00F44471" w:rsidRDefault="000D163B" w:rsidP="002E6310">
      <w:pPr>
        <w:widowControl w:val="0"/>
        <w:spacing w:before="60" w:after="60"/>
        <w:ind w:firstLine="567"/>
        <w:rPr>
          <w:szCs w:val="24"/>
        </w:rPr>
      </w:pPr>
      <w:r w:rsidRPr="00711FAF">
        <w:t>3.2.1.</w:t>
      </w:r>
      <w:r w:rsidR="00C87537" w:rsidRPr="00711FAF">
        <w:t>1</w:t>
      </w:r>
      <w:r w:rsidRPr="00711FAF">
        <w:t>.</w:t>
      </w:r>
      <w:r w:rsidRPr="00711FAF">
        <w:rPr>
          <w:szCs w:val="24"/>
        </w:rPr>
        <w:t>pasākum</w:t>
      </w:r>
      <w:r w:rsidR="00C87537" w:rsidRPr="00711FAF">
        <w:rPr>
          <w:szCs w:val="24"/>
        </w:rPr>
        <w:t>s</w:t>
      </w:r>
      <w:r w:rsidR="00E21DFE" w:rsidRPr="00711FAF">
        <w:rPr>
          <w:szCs w:val="24"/>
        </w:rPr>
        <w:t xml:space="preserve"> </w:t>
      </w:r>
      <w:r w:rsidR="00C87537" w:rsidRPr="00711FAF">
        <w:rPr>
          <w:szCs w:val="24"/>
        </w:rPr>
        <w:t>veicinās uzņēmumu konkurētspēju, palielinās to apgrozījumu un peļņas rādītājus, tādējādi tiks radītas iespējas arī uzņēmumos nodarbināto algu palielinājumam</w:t>
      </w:r>
      <w:r w:rsidR="00E21DFE" w:rsidRPr="00711FAF">
        <w:rPr>
          <w:szCs w:val="24"/>
        </w:rPr>
        <w:t>.</w:t>
      </w:r>
      <w:bookmarkStart w:id="25" w:name="_Toc417375069"/>
      <w:bookmarkStart w:id="26" w:name="_Toc419295622"/>
    </w:p>
    <w:p w:rsidR="007F2C22" w:rsidRPr="00F44471" w:rsidRDefault="00B7349E" w:rsidP="002E6310">
      <w:pPr>
        <w:pStyle w:val="Heading2"/>
        <w:widowControl w:val="0"/>
        <w:ind w:firstLine="720"/>
        <w:rPr>
          <w:rFonts w:ascii="Times New Roman" w:hAnsi="Times New Roman"/>
          <w:color w:val="auto"/>
          <w:sz w:val="24"/>
          <w:szCs w:val="24"/>
        </w:rPr>
      </w:pPr>
      <w:r w:rsidRPr="00CD46AF">
        <w:rPr>
          <w:rFonts w:ascii="Times New Roman" w:hAnsi="Times New Roman"/>
          <w:color w:val="auto"/>
          <w:sz w:val="24"/>
          <w:szCs w:val="24"/>
        </w:rPr>
        <w:t>3</w:t>
      </w:r>
      <w:r w:rsidR="00D02D52" w:rsidRPr="00CD46AF">
        <w:rPr>
          <w:rFonts w:ascii="Times New Roman" w:hAnsi="Times New Roman"/>
          <w:bCs w:val="0"/>
          <w:color w:val="auto"/>
          <w:sz w:val="24"/>
          <w:szCs w:val="24"/>
        </w:rPr>
        <w:t>.5. Pasākumu ietekme uz vid</w:t>
      </w:r>
      <w:r w:rsidR="00D02D52" w:rsidRPr="00F44471">
        <w:rPr>
          <w:rFonts w:ascii="Times New Roman" w:hAnsi="Times New Roman"/>
          <w:bCs w:val="0"/>
          <w:color w:val="auto"/>
          <w:sz w:val="24"/>
          <w:szCs w:val="24"/>
        </w:rPr>
        <w:t>i</w:t>
      </w:r>
      <w:bookmarkEnd w:id="25"/>
      <w:bookmarkEnd w:id="26"/>
      <w:r w:rsidR="007F2C22" w:rsidRPr="00F44471">
        <w:rPr>
          <w:rFonts w:ascii="Times New Roman" w:hAnsi="Times New Roman"/>
          <w:bCs w:val="0"/>
          <w:color w:val="auto"/>
          <w:sz w:val="24"/>
          <w:szCs w:val="24"/>
        </w:rPr>
        <w:t xml:space="preserve"> </w:t>
      </w:r>
    </w:p>
    <w:p w:rsidR="00E21DFE" w:rsidRPr="001A1BC7" w:rsidRDefault="00E21DFE" w:rsidP="002E6310">
      <w:pPr>
        <w:widowControl w:val="0"/>
        <w:spacing w:before="60" w:after="60"/>
        <w:ind w:firstLine="567"/>
        <w:rPr>
          <w:szCs w:val="24"/>
        </w:rPr>
      </w:pPr>
      <w:r w:rsidRPr="00F44471">
        <w:rPr>
          <w:szCs w:val="24"/>
        </w:rPr>
        <w:t>Pasākuma</w:t>
      </w:r>
      <w:r w:rsidR="00CC6E72" w:rsidRPr="00F44471">
        <w:rPr>
          <w:szCs w:val="24"/>
        </w:rPr>
        <w:t xml:space="preserve"> mērķis</w:t>
      </w:r>
      <w:r w:rsidRPr="00F44471">
        <w:rPr>
          <w:szCs w:val="24"/>
        </w:rPr>
        <w:t xml:space="preserve"> n</w:t>
      </w:r>
      <w:r w:rsidRPr="001A1BC7">
        <w:rPr>
          <w:szCs w:val="24"/>
        </w:rPr>
        <w:t>av</w:t>
      </w:r>
      <w:r w:rsidR="00CC6E72" w:rsidRPr="001A1BC7">
        <w:rPr>
          <w:szCs w:val="24"/>
        </w:rPr>
        <w:t xml:space="preserve"> panākt</w:t>
      </w:r>
      <w:r w:rsidRPr="001A1BC7">
        <w:rPr>
          <w:szCs w:val="24"/>
        </w:rPr>
        <w:t xml:space="preserve"> ietekm</w:t>
      </w:r>
      <w:r w:rsidR="00CC6E72" w:rsidRPr="001A1BC7">
        <w:rPr>
          <w:szCs w:val="24"/>
        </w:rPr>
        <w:t>i</w:t>
      </w:r>
      <w:r w:rsidRPr="001A1BC7">
        <w:rPr>
          <w:szCs w:val="24"/>
        </w:rPr>
        <w:t xml:space="preserve"> uz vidi, tomēr</w:t>
      </w:r>
      <w:r w:rsidR="00B16F57" w:rsidRPr="001A1BC7">
        <w:rPr>
          <w:szCs w:val="24"/>
        </w:rPr>
        <w:t>,</w:t>
      </w:r>
      <w:r w:rsidRPr="001A1BC7">
        <w:rPr>
          <w:szCs w:val="24"/>
        </w:rPr>
        <w:t xml:space="preserve"> tā kā tiek vērtēta projekta iesniedzēja </w:t>
      </w:r>
      <w:r w:rsidR="00CC6E72" w:rsidRPr="001A1BC7">
        <w:rPr>
          <w:szCs w:val="24"/>
        </w:rPr>
        <w:t xml:space="preserve">horizontālās prioritātes </w:t>
      </w:r>
      <w:r w:rsidR="00CC6E72" w:rsidRPr="001A1BC7">
        <w:rPr>
          <w:b/>
          <w:szCs w:val="24"/>
        </w:rPr>
        <w:t>“Ilgtspējīga attīstība”</w:t>
      </w:r>
      <w:r w:rsidR="00CC6E72" w:rsidRPr="001A1BC7">
        <w:rPr>
          <w:szCs w:val="24"/>
        </w:rPr>
        <w:t xml:space="preserve"> principu ievērošana</w:t>
      </w:r>
      <w:r w:rsidRPr="001A1BC7">
        <w:rPr>
          <w:szCs w:val="24"/>
        </w:rPr>
        <w:t xml:space="preserve">, iespējama </w:t>
      </w:r>
      <w:r w:rsidR="0054114A" w:rsidRPr="001A1BC7">
        <w:rPr>
          <w:szCs w:val="24"/>
        </w:rPr>
        <w:t xml:space="preserve">netieša </w:t>
      </w:r>
      <w:r w:rsidRPr="001A1BC7">
        <w:rPr>
          <w:szCs w:val="24"/>
        </w:rPr>
        <w:t>pozitīva ietekme</w:t>
      </w:r>
      <w:r w:rsidR="009468B7" w:rsidRPr="001A1BC7">
        <w:rPr>
          <w:szCs w:val="24"/>
        </w:rPr>
        <w:t>, tai skaitā veicinot zaļā iepirkuma izmantošanu, zaļo darbavietu radīšana vai ekoinovāciju izstrāde</w:t>
      </w:r>
      <w:r w:rsidRPr="001A1BC7">
        <w:rPr>
          <w:szCs w:val="24"/>
        </w:rPr>
        <w:t>.</w:t>
      </w:r>
      <w:r w:rsidR="00015B24" w:rsidRPr="001A1BC7">
        <w:rPr>
          <w:szCs w:val="24"/>
        </w:rPr>
        <w:t xml:space="preserve"> Klasteriem, kas paredzējuši, ka projektā tiks īstenotas aktivitātes, veiktas apmācības vai izstrādāti jauni produkti un pakalpojumi, lai klasterī vai klastera dalībniekos veicinātu dabas resursu efektīvu un lietderīgu izmantošanu tīrāka ražošanas procesa ieviešanā, samazinot izejvielu un enerģijas patēriņu, emisiju un atkritumu apjomu, projektu iesniegumu vērtēšanā tiks piešķirti papildus punkti. </w:t>
      </w:r>
    </w:p>
    <w:p w:rsidR="00D02D52" w:rsidRPr="001A1BC7" w:rsidRDefault="00B7349E" w:rsidP="002E6310">
      <w:pPr>
        <w:pStyle w:val="Heading2"/>
        <w:widowControl w:val="0"/>
        <w:spacing w:before="60" w:after="60"/>
        <w:ind w:firstLine="567"/>
        <w:rPr>
          <w:rFonts w:ascii="Times New Roman" w:hAnsi="Times New Roman"/>
          <w:color w:val="auto"/>
          <w:sz w:val="24"/>
          <w:szCs w:val="24"/>
        </w:rPr>
      </w:pPr>
      <w:bookmarkStart w:id="27" w:name="_Toc417375070"/>
      <w:bookmarkStart w:id="28" w:name="_Toc419295623"/>
      <w:r w:rsidRPr="001A1BC7">
        <w:rPr>
          <w:rFonts w:ascii="Times New Roman" w:hAnsi="Times New Roman"/>
          <w:color w:val="auto"/>
          <w:sz w:val="24"/>
          <w:szCs w:val="24"/>
        </w:rPr>
        <w:t>3</w:t>
      </w:r>
      <w:r w:rsidR="00D02D52" w:rsidRPr="001A1BC7">
        <w:rPr>
          <w:rFonts w:ascii="Times New Roman" w:hAnsi="Times New Roman"/>
          <w:color w:val="auto"/>
          <w:sz w:val="24"/>
          <w:szCs w:val="24"/>
        </w:rPr>
        <w:t>.6. Pasākumu ietekme uz valsts un pašvaldību budžetiem</w:t>
      </w:r>
      <w:bookmarkEnd w:id="27"/>
      <w:bookmarkEnd w:id="28"/>
    </w:p>
    <w:p w:rsidR="00E21DFE" w:rsidRPr="001A1BC7" w:rsidRDefault="002E0713" w:rsidP="002E6310">
      <w:pPr>
        <w:keepNext/>
        <w:widowControl w:val="0"/>
        <w:spacing w:before="120" w:after="120"/>
        <w:ind w:right="-28" w:firstLine="720"/>
        <w:outlineLvl w:val="1"/>
        <w:rPr>
          <w:szCs w:val="24"/>
        </w:rPr>
      </w:pPr>
      <w:r w:rsidRPr="001A1BC7">
        <w:rPr>
          <w:szCs w:val="24"/>
        </w:rPr>
        <w:t>3.2.1.1.</w:t>
      </w:r>
      <w:r w:rsidR="000D163B" w:rsidRPr="001A1BC7">
        <w:rPr>
          <w:szCs w:val="24"/>
        </w:rPr>
        <w:t>pasākuma</w:t>
      </w:r>
      <w:r w:rsidR="00E21DFE" w:rsidRPr="001A1BC7">
        <w:rPr>
          <w:szCs w:val="24"/>
        </w:rPr>
        <w:t xml:space="preserve"> ietvaros veici</w:t>
      </w:r>
      <w:r w:rsidR="00934DC8" w:rsidRPr="001A1BC7">
        <w:rPr>
          <w:szCs w:val="24"/>
        </w:rPr>
        <w:t xml:space="preserve">not MVK </w:t>
      </w:r>
      <w:r w:rsidR="00766002" w:rsidRPr="001A1BC7">
        <w:rPr>
          <w:szCs w:val="24"/>
        </w:rPr>
        <w:t>savstarpējo sadarbību un konkurētspējas celšanu tiks veicināts MVK izaugsme</w:t>
      </w:r>
      <w:r w:rsidR="00E21DFE" w:rsidRPr="001A1BC7">
        <w:rPr>
          <w:szCs w:val="24"/>
        </w:rPr>
        <w:t>, t.sk. nodarbinātības pieaugums, un nomaksāto nodokļu apjoms, tādēļ paredzama pozitīva ietekme uz valsts un pašvaldību budžetiem.</w:t>
      </w:r>
    </w:p>
    <w:p w:rsidR="00D02D52" w:rsidRPr="001A1BC7" w:rsidRDefault="00B7349E" w:rsidP="002E6310">
      <w:pPr>
        <w:pStyle w:val="Heading2"/>
        <w:widowControl w:val="0"/>
        <w:spacing w:before="60" w:after="60"/>
        <w:ind w:firstLine="567"/>
        <w:rPr>
          <w:rFonts w:ascii="Times New Roman" w:hAnsi="Times New Roman"/>
          <w:color w:val="auto"/>
          <w:sz w:val="24"/>
          <w:szCs w:val="24"/>
        </w:rPr>
      </w:pPr>
      <w:bookmarkStart w:id="29" w:name="_Toc417375071"/>
      <w:bookmarkStart w:id="30" w:name="_Toc419295624"/>
      <w:r w:rsidRPr="001A1BC7">
        <w:rPr>
          <w:rFonts w:ascii="Times New Roman" w:hAnsi="Times New Roman"/>
          <w:color w:val="auto"/>
          <w:sz w:val="24"/>
          <w:szCs w:val="24"/>
        </w:rPr>
        <w:t>3</w:t>
      </w:r>
      <w:r w:rsidR="00D02D52" w:rsidRPr="001A1BC7">
        <w:rPr>
          <w:rFonts w:ascii="Times New Roman" w:hAnsi="Times New Roman"/>
          <w:color w:val="auto"/>
          <w:sz w:val="24"/>
          <w:szCs w:val="24"/>
        </w:rPr>
        <w:t>.7. Pasākumu ietekme uz spēkā esošo tiesību normu sistēmu un Latvijas starptautiskajām saistībām</w:t>
      </w:r>
      <w:bookmarkEnd w:id="29"/>
      <w:bookmarkEnd w:id="30"/>
    </w:p>
    <w:p w:rsidR="00E21DFE" w:rsidRPr="001A1BC7" w:rsidRDefault="002E0713" w:rsidP="002E6310">
      <w:pPr>
        <w:keepNext/>
        <w:widowControl w:val="0"/>
        <w:spacing w:before="120" w:after="120"/>
        <w:ind w:right="-28" w:firstLine="720"/>
        <w:outlineLvl w:val="1"/>
        <w:rPr>
          <w:szCs w:val="24"/>
        </w:rPr>
      </w:pPr>
      <w:r w:rsidRPr="001A1BC7">
        <w:rPr>
          <w:szCs w:val="24"/>
        </w:rPr>
        <w:t>3.2.1.1.</w:t>
      </w:r>
      <w:r w:rsidR="000D163B" w:rsidRPr="001A1BC7">
        <w:rPr>
          <w:szCs w:val="24"/>
        </w:rPr>
        <w:t>pasākumam</w:t>
      </w:r>
      <w:r w:rsidR="00E21DFE" w:rsidRPr="001A1BC7">
        <w:rPr>
          <w:szCs w:val="24"/>
        </w:rPr>
        <w:t xml:space="preserve"> nav ietekmes uz spēkā esošo tiesību normu sistēmu un Latvijas starptautiskajām saistībām, jo tas šo jomu neskar.</w:t>
      </w:r>
    </w:p>
    <w:p w:rsidR="00D02D52" w:rsidRPr="001A1BC7" w:rsidRDefault="00B7349E" w:rsidP="002E6310">
      <w:pPr>
        <w:pStyle w:val="Heading2"/>
        <w:widowControl w:val="0"/>
        <w:spacing w:before="60" w:after="60"/>
        <w:ind w:firstLine="567"/>
        <w:rPr>
          <w:rFonts w:ascii="Times New Roman" w:hAnsi="Times New Roman"/>
          <w:color w:val="auto"/>
          <w:sz w:val="24"/>
          <w:szCs w:val="24"/>
          <w:lang w:eastAsia="lv-LV"/>
        </w:rPr>
      </w:pPr>
      <w:bookmarkStart w:id="31" w:name="_Toc417375072"/>
      <w:bookmarkStart w:id="32" w:name="_Toc419295625"/>
      <w:r w:rsidRPr="001A1BC7">
        <w:rPr>
          <w:rFonts w:ascii="Times New Roman" w:hAnsi="Times New Roman"/>
          <w:color w:val="auto"/>
          <w:sz w:val="24"/>
          <w:szCs w:val="24"/>
        </w:rPr>
        <w:t>3</w:t>
      </w:r>
      <w:r w:rsidR="00D02D52" w:rsidRPr="001A1BC7">
        <w:rPr>
          <w:rFonts w:ascii="Times New Roman" w:hAnsi="Times New Roman"/>
          <w:color w:val="auto"/>
          <w:sz w:val="24"/>
          <w:szCs w:val="24"/>
        </w:rPr>
        <w:t xml:space="preserve">.8. Pasākumu ietekme uz </w:t>
      </w:r>
      <w:r w:rsidR="00D02D52" w:rsidRPr="001A1BC7">
        <w:rPr>
          <w:rFonts w:ascii="Times New Roman" w:hAnsi="Times New Roman"/>
          <w:color w:val="auto"/>
          <w:sz w:val="24"/>
          <w:szCs w:val="24"/>
          <w:lang w:eastAsia="lv-LV"/>
        </w:rPr>
        <w:t>pārvaldes iestāž</w:t>
      </w:r>
      <w:r w:rsidR="00E21DFE" w:rsidRPr="001A1BC7">
        <w:rPr>
          <w:rFonts w:ascii="Times New Roman" w:hAnsi="Times New Roman"/>
          <w:color w:val="auto"/>
          <w:sz w:val="24"/>
          <w:szCs w:val="24"/>
          <w:lang w:eastAsia="lv-LV"/>
        </w:rPr>
        <w:t>u funkcijām un cilvēkresursiem</w:t>
      </w:r>
      <w:bookmarkEnd w:id="31"/>
      <w:bookmarkEnd w:id="32"/>
    </w:p>
    <w:p w:rsidR="00E21DFE" w:rsidRPr="001A1BC7" w:rsidRDefault="002E0713" w:rsidP="002E6310">
      <w:pPr>
        <w:keepNext/>
        <w:widowControl w:val="0"/>
        <w:spacing w:before="120" w:after="120"/>
        <w:ind w:right="-28" w:firstLine="720"/>
        <w:outlineLvl w:val="1"/>
        <w:rPr>
          <w:szCs w:val="24"/>
        </w:rPr>
      </w:pPr>
      <w:r w:rsidRPr="001A1BC7">
        <w:rPr>
          <w:szCs w:val="24"/>
        </w:rPr>
        <w:t>3.2.1.1.</w:t>
      </w:r>
      <w:r w:rsidR="000D163B" w:rsidRPr="001A1BC7">
        <w:rPr>
          <w:szCs w:val="24"/>
        </w:rPr>
        <w:t xml:space="preserve">pasākuma </w:t>
      </w:r>
      <w:r w:rsidR="00A20166" w:rsidRPr="001A1BC7">
        <w:rPr>
          <w:szCs w:val="24"/>
        </w:rPr>
        <w:t xml:space="preserve">ieviešanai nav plānota jaunu institūciju izveide, esošu institūciju likvidācija vai reorganizācija. </w:t>
      </w:r>
      <w:r w:rsidR="00C724D5" w:rsidRPr="001A1BC7">
        <w:rPr>
          <w:szCs w:val="24"/>
        </w:rPr>
        <w:t>Vērtējot projektu īstenošanas ietekmi uz administratīvajām procedūrām un to izmaksām, nav identificēts administratīvā sloga palielinājums ne potenciālajiem finansējuma saņēmējiem, ne fondu vadībā iesaistītajām institūcijām.</w:t>
      </w:r>
    </w:p>
    <w:p w:rsidR="00D02D52" w:rsidRPr="001A1BC7" w:rsidRDefault="00B7349E" w:rsidP="002E6310">
      <w:pPr>
        <w:pStyle w:val="Heading2"/>
        <w:widowControl w:val="0"/>
        <w:spacing w:before="60" w:after="60"/>
        <w:ind w:firstLine="567"/>
        <w:rPr>
          <w:rFonts w:ascii="Times New Roman" w:hAnsi="Times New Roman"/>
          <w:color w:val="auto"/>
          <w:sz w:val="24"/>
          <w:szCs w:val="24"/>
          <w:lang w:eastAsia="lv-LV"/>
        </w:rPr>
      </w:pPr>
      <w:bookmarkStart w:id="33" w:name="_Toc417375073"/>
      <w:bookmarkStart w:id="34" w:name="_Toc419295626"/>
      <w:r w:rsidRPr="001A1BC7">
        <w:rPr>
          <w:rFonts w:ascii="Times New Roman" w:hAnsi="Times New Roman"/>
          <w:color w:val="auto"/>
          <w:sz w:val="24"/>
          <w:szCs w:val="24"/>
          <w:lang w:eastAsia="lv-LV"/>
        </w:rPr>
        <w:t>3</w:t>
      </w:r>
      <w:r w:rsidR="00D02D52" w:rsidRPr="001A1BC7">
        <w:rPr>
          <w:rFonts w:ascii="Times New Roman" w:hAnsi="Times New Roman"/>
          <w:color w:val="auto"/>
          <w:sz w:val="24"/>
          <w:szCs w:val="24"/>
          <w:lang w:eastAsia="lv-LV"/>
        </w:rPr>
        <w:t xml:space="preserve">.9. </w:t>
      </w:r>
      <w:r w:rsidR="00D02D52" w:rsidRPr="001A1BC7">
        <w:rPr>
          <w:rFonts w:ascii="Times New Roman" w:hAnsi="Times New Roman"/>
          <w:color w:val="auto"/>
          <w:sz w:val="24"/>
          <w:szCs w:val="24"/>
        </w:rPr>
        <w:t xml:space="preserve">Pasākumu </w:t>
      </w:r>
      <w:r w:rsidR="00D02D52" w:rsidRPr="001A1BC7">
        <w:rPr>
          <w:rFonts w:ascii="Times New Roman" w:hAnsi="Times New Roman"/>
          <w:color w:val="auto"/>
          <w:sz w:val="24"/>
          <w:szCs w:val="24"/>
          <w:lang w:eastAsia="lv-LV"/>
        </w:rPr>
        <w:t>ietekme uz valsts un pašvaldību informācijas sistēmām un ar to saistīto papildu finansējumu, kas nepieciešams izmaiņu nodroš</w:t>
      </w:r>
      <w:r w:rsidR="00E21DFE" w:rsidRPr="001A1BC7">
        <w:rPr>
          <w:rFonts w:ascii="Times New Roman" w:hAnsi="Times New Roman"/>
          <w:color w:val="auto"/>
          <w:sz w:val="24"/>
          <w:szCs w:val="24"/>
          <w:lang w:eastAsia="lv-LV"/>
        </w:rPr>
        <w:t>ināšanai informācijas sistēmās</w:t>
      </w:r>
      <w:bookmarkEnd w:id="33"/>
      <w:bookmarkEnd w:id="34"/>
    </w:p>
    <w:p w:rsidR="00E21DFE" w:rsidRPr="001A1BC7" w:rsidRDefault="002E0713" w:rsidP="002E6310">
      <w:pPr>
        <w:widowControl w:val="0"/>
        <w:spacing w:before="60" w:after="60"/>
        <w:ind w:firstLine="567"/>
        <w:rPr>
          <w:lang w:eastAsia="lv-LV"/>
        </w:rPr>
      </w:pPr>
      <w:r w:rsidRPr="001A1BC7">
        <w:t>3.2.1.1.</w:t>
      </w:r>
      <w:r w:rsidR="000D163B" w:rsidRPr="001A1BC7">
        <w:t>pasākumam</w:t>
      </w:r>
      <w:r w:rsidR="000D163B" w:rsidRPr="001A1BC7">
        <w:rPr>
          <w:lang w:eastAsia="lv-LV"/>
        </w:rPr>
        <w:t xml:space="preserve"> </w:t>
      </w:r>
      <w:r w:rsidR="000868E9" w:rsidRPr="001A1BC7">
        <w:rPr>
          <w:lang w:eastAsia="lv-LV"/>
        </w:rPr>
        <w:t xml:space="preserve">nav </w:t>
      </w:r>
      <w:r w:rsidR="000868E9" w:rsidRPr="001A1BC7">
        <w:rPr>
          <w:szCs w:val="24"/>
          <w:lang w:eastAsia="lv-LV"/>
        </w:rPr>
        <w:t>ietekmes uz valsts vai pašvaldību informācijas sistēmām vai ar to saistīto papildu finansējumu, jo tas neparedz jaunu informācijas sistēmu izveidi vai esošo informācijas sistēmu modifikāciju.</w:t>
      </w:r>
    </w:p>
    <w:p w:rsidR="00D02D52" w:rsidRPr="001A1BC7" w:rsidRDefault="00B7349E" w:rsidP="002E6310">
      <w:pPr>
        <w:pStyle w:val="Heading2"/>
        <w:widowControl w:val="0"/>
        <w:spacing w:before="60" w:after="60"/>
        <w:ind w:firstLine="567"/>
        <w:rPr>
          <w:rFonts w:ascii="Times New Roman" w:hAnsi="Times New Roman"/>
          <w:color w:val="auto"/>
          <w:sz w:val="24"/>
          <w:szCs w:val="24"/>
          <w:lang w:eastAsia="lv-LV"/>
        </w:rPr>
      </w:pPr>
      <w:bookmarkStart w:id="35" w:name="_Toc417375074"/>
      <w:bookmarkStart w:id="36" w:name="_Toc419295627"/>
      <w:r w:rsidRPr="001A1BC7">
        <w:rPr>
          <w:rFonts w:ascii="Times New Roman" w:hAnsi="Times New Roman"/>
          <w:color w:val="auto"/>
          <w:sz w:val="24"/>
          <w:szCs w:val="24"/>
          <w:lang w:eastAsia="lv-LV"/>
        </w:rPr>
        <w:t>3</w:t>
      </w:r>
      <w:r w:rsidR="00D02D52" w:rsidRPr="001A1BC7">
        <w:rPr>
          <w:rFonts w:ascii="Times New Roman" w:hAnsi="Times New Roman"/>
          <w:color w:val="auto"/>
          <w:sz w:val="24"/>
          <w:szCs w:val="24"/>
          <w:lang w:eastAsia="lv-LV"/>
        </w:rPr>
        <w:t xml:space="preserve">.10. </w:t>
      </w:r>
      <w:r w:rsidR="00D02D52" w:rsidRPr="001A1BC7">
        <w:rPr>
          <w:rFonts w:ascii="Times New Roman" w:hAnsi="Times New Roman"/>
          <w:color w:val="auto"/>
          <w:sz w:val="24"/>
          <w:szCs w:val="24"/>
        </w:rPr>
        <w:t xml:space="preserve">Pasākumu </w:t>
      </w:r>
      <w:r w:rsidR="00D02D52" w:rsidRPr="001A1BC7">
        <w:rPr>
          <w:rFonts w:ascii="Times New Roman" w:hAnsi="Times New Roman"/>
          <w:color w:val="auto"/>
          <w:sz w:val="24"/>
          <w:szCs w:val="24"/>
          <w:lang w:eastAsia="lv-LV"/>
        </w:rPr>
        <w:t>ietekme uz veselību</w:t>
      </w:r>
      <w:bookmarkEnd w:id="35"/>
      <w:bookmarkEnd w:id="36"/>
    </w:p>
    <w:p w:rsidR="00D02D52" w:rsidRDefault="002E0713" w:rsidP="002E6310">
      <w:pPr>
        <w:widowControl w:val="0"/>
        <w:spacing w:before="60" w:after="60"/>
        <w:ind w:firstLine="567"/>
        <w:rPr>
          <w:lang w:eastAsia="lv-LV"/>
        </w:rPr>
      </w:pPr>
      <w:r w:rsidRPr="001A1BC7">
        <w:rPr>
          <w:lang w:eastAsia="lv-LV"/>
        </w:rPr>
        <w:t>3.2.1.1.</w:t>
      </w:r>
      <w:r w:rsidR="005D4170" w:rsidRPr="001A1BC7">
        <w:rPr>
          <w:lang w:eastAsia="lv-LV"/>
        </w:rPr>
        <w:t xml:space="preserve"> </w:t>
      </w:r>
      <w:r w:rsidR="000D163B" w:rsidRPr="001A1BC7">
        <w:rPr>
          <w:lang w:eastAsia="lv-LV"/>
        </w:rPr>
        <w:t>pasākumam</w:t>
      </w:r>
      <w:r w:rsidR="000868E9" w:rsidRPr="001A1BC7">
        <w:rPr>
          <w:lang w:eastAsia="lv-LV"/>
        </w:rPr>
        <w:t xml:space="preserve"> nav ietekmes uz veselību</w:t>
      </w:r>
      <w:r w:rsidR="00E65852" w:rsidRPr="001A1BC7">
        <w:rPr>
          <w:lang w:eastAsia="lv-LV"/>
        </w:rPr>
        <w:t>.</w:t>
      </w:r>
    </w:p>
    <w:p w:rsidR="00B34DBA" w:rsidRPr="001A1BC7" w:rsidRDefault="00B34DBA" w:rsidP="002E6310">
      <w:pPr>
        <w:pStyle w:val="Heading1"/>
        <w:widowControl w:val="0"/>
        <w:rPr>
          <w:rFonts w:ascii="Times New Roman" w:hAnsi="Times New Roman"/>
          <w:sz w:val="24"/>
          <w:szCs w:val="24"/>
        </w:rPr>
      </w:pPr>
      <w:r w:rsidRPr="001A1BC7">
        <w:rPr>
          <w:rFonts w:ascii="Times New Roman" w:hAnsi="Times New Roman"/>
          <w:sz w:val="24"/>
          <w:szCs w:val="24"/>
        </w:rPr>
        <w:t xml:space="preserve">4. </w:t>
      </w:r>
      <w:r w:rsidRPr="001A1BC7">
        <w:rPr>
          <w:rFonts w:ascii="Times New Roman" w:hAnsi="Times New Roman"/>
          <w:sz w:val="24"/>
          <w:szCs w:val="24"/>
          <w:lang w:eastAsia="lv-LV"/>
        </w:rPr>
        <w:t>SAM atbilstība valsts atbalsta definīcijai un paredzamā negatīvā ietekme uz konkurenci un tirdzniecību</w:t>
      </w:r>
    </w:p>
    <w:p w:rsidR="00B34DBA" w:rsidRDefault="00B34DBA" w:rsidP="002E6310">
      <w:pPr>
        <w:widowControl w:val="0"/>
        <w:spacing w:after="120"/>
        <w:ind w:firstLine="567"/>
      </w:pPr>
      <w:r w:rsidRPr="001A1BC7">
        <w:t>Valsts atbalsta programmas iespējamā negatīvā ietekme uz konkurenci un tirdzniecību nav sagaidāma, jo 3.2.1.1.pasākuma</w:t>
      </w:r>
      <w:r w:rsidRPr="001A1BC7" w:rsidDel="000D163B">
        <w:t xml:space="preserve"> </w:t>
      </w:r>
      <w:r w:rsidRPr="001A1BC7">
        <w:t>“Klaste</w:t>
      </w:r>
      <w:r>
        <w:t>ru programma</w:t>
      </w:r>
      <w:r w:rsidRPr="001A1BC7">
        <w:t xml:space="preserve">” ietvaros atbalsts tiks sniegts atbilstoši </w:t>
      </w:r>
      <w:r w:rsidRPr="001A1BC7">
        <w:rPr>
          <w:i/>
        </w:rPr>
        <w:t>de minimis</w:t>
      </w:r>
      <w:r w:rsidRPr="001A1BC7">
        <w:t xml:space="preserve"> nosacījumiem.</w:t>
      </w:r>
      <w:r>
        <w:t xml:space="preserve">   </w:t>
      </w:r>
    </w:p>
    <w:p w:rsidR="00B34DBA" w:rsidRPr="00B50B6F" w:rsidRDefault="00B34DBA" w:rsidP="002E6310">
      <w:pPr>
        <w:pStyle w:val="Heading1"/>
        <w:widowControl w:val="0"/>
        <w:rPr>
          <w:lang w:eastAsia="lv-LV"/>
        </w:rPr>
      </w:pPr>
      <w:r w:rsidRPr="002E6310">
        <w:rPr>
          <w:rFonts w:ascii="Times New Roman" w:hAnsi="Times New Roman"/>
          <w:kern w:val="0"/>
          <w:sz w:val="24"/>
        </w:rPr>
        <w:lastRenderedPageBreak/>
        <w:t xml:space="preserve">5. </w:t>
      </w:r>
      <w:r w:rsidRPr="002E6310">
        <w:rPr>
          <w:rFonts w:ascii="Times New Roman" w:hAnsi="Times New Roman"/>
          <w:sz w:val="24"/>
          <w:lang w:eastAsia="lv-LV"/>
        </w:rPr>
        <w:t xml:space="preserve">SAM ietekmes novērtēšanai nepieciešamo datu noteikšana iekļaušanai MK noteikumos par SAM īstenošanu </w:t>
      </w:r>
    </w:p>
    <w:p w:rsidR="00B34DBA" w:rsidRDefault="00B34DBA" w:rsidP="002E6310">
      <w:pPr>
        <w:widowControl w:val="0"/>
        <w:spacing w:after="120"/>
        <w:ind w:firstLine="567"/>
        <w:rPr>
          <w:szCs w:val="24"/>
        </w:rPr>
      </w:pPr>
      <w:r w:rsidRPr="001A1BC7">
        <w:rPr>
          <w:szCs w:val="24"/>
        </w:rPr>
        <w:t xml:space="preserve">Atbilstoši SIA </w:t>
      </w:r>
      <w:r w:rsidRPr="001A1BC7">
        <w:rPr>
          <w:i/>
          <w:szCs w:val="24"/>
        </w:rPr>
        <w:t>„Ernst &amp; Young Baltic”</w:t>
      </w:r>
      <w:r w:rsidRPr="001A1BC7">
        <w:rPr>
          <w:szCs w:val="24"/>
        </w:rPr>
        <w:t xml:space="preserve"> izstrādātajam pētījumam </w:t>
      </w:r>
      <w:r w:rsidRPr="001A1BC7">
        <w:rPr>
          <w:i/>
          <w:szCs w:val="24"/>
        </w:rPr>
        <w:t>„Datu pieejamība ES Kohēzijas politikas 2014. – 2020. Gada plānošanas perioda Darbības programmas ietekmes izvērtēšanai Latvija”</w:t>
      </w:r>
      <w:r w:rsidRPr="001A1BC7">
        <w:rPr>
          <w:szCs w:val="24"/>
        </w:rPr>
        <w:t>, piemērotākās metodes 3.2.1. SAM  pasākumu ietekmes izvērtēšanai ir kontrafaktuālā analīze un gadījuma analīze. Kontrafaktuālās analīzes ietvaros tiek identificēta noteiktas politikas ietekme uz konkrēto mērķa grupu salīdzinājumā ar līdzīgu mērķa grupu, kas nav saņēmusi atbalstu. Kontrafaktuālās analīzes ietvaros iespējams izvērtēt kā mainījusies atbalstu saņēmušo komersantu eksportspēja. Līdzīga veida analīze var tikt veikta attiecībā uz mērķa grupu, kuru nav skārusi eksportspējas veicināšanas politika.</w:t>
      </w:r>
      <w:r>
        <w:rPr>
          <w:szCs w:val="24"/>
        </w:rPr>
        <w:t xml:space="preserve"> </w:t>
      </w:r>
    </w:p>
    <w:p w:rsidR="00A77656" w:rsidRDefault="00B34DBA" w:rsidP="002E6310">
      <w:pPr>
        <w:widowControl w:val="0"/>
        <w:spacing w:after="120"/>
        <w:ind w:firstLine="567"/>
        <w:rPr>
          <w:szCs w:val="24"/>
        </w:rPr>
      </w:pPr>
      <w:r w:rsidRPr="001A1BC7">
        <w:rPr>
          <w:szCs w:val="24"/>
        </w:rPr>
        <w:t>3.2.1.1.pasākuma ietekmes novērtēšanai nepieciešamie dati ir pieejami no VID, CFLA, Centrālās statistikas pārvaldes, SIA „Lursoft IT” un citiem avotiem. Tomēr informācija par komersantu eksporta apjomu atšķiras dažādos datu avotos, kā arī nav pieejama informācija par komersantu ieguldījumiem P&amp;A, tādēļ Ministru kabineta noteikumos nepieciešams iekļaut nosacījumu par eksporta un ieguldījumu P&amp;A datu ievākšanu no atbalsta saņēmējiem</w:t>
      </w:r>
      <w:r>
        <w:rPr>
          <w:szCs w:val="24"/>
        </w:rPr>
        <w:t xml:space="preserve"> (sniedzot informāciju par katru klastera dalībnieku)</w:t>
      </w:r>
      <w:r w:rsidRPr="001A1BC7">
        <w:rPr>
          <w:szCs w:val="24"/>
        </w:rPr>
        <w:t xml:space="preserve">. </w:t>
      </w:r>
      <w:r w:rsidR="00A77656">
        <w:rPr>
          <w:szCs w:val="24"/>
        </w:rPr>
        <w:t xml:space="preserve"> </w:t>
      </w:r>
    </w:p>
    <w:p w:rsidR="00B34DBA" w:rsidRPr="002E6310" w:rsidRDefault="00A77656" w:rsidP="002E6310">
      <w:pPr>
        <w:pStyle w:val="Heading1"/>
        <w:widowControl w:val="0"/>
        <w:rPr>
          <w:rFonts w:ascii="Times New Roman" w:hAnsi="Times New Roman"/>
          <w:sz w:val="24"/>
          <w:lang w:eastAsia="lv-LV"/>
        </w:rPr>
      </w:pPr>
      <w:r w:rsidRPr="002E6310">
        <w:rPr>
          <w:rFonts w:ascii="Times New Roman" w:hAnsi="Times New Roman"/>
          <w:sz w:val="24"/>
        </w:rPr>
        <w:t xml:space="preserve">6. </w:t>
      </w:r>
      <w:r w:rsidR="00B34DBA" w:rsidRPr="002E6310">
        <w:rPr>
          <w:rFonts w:ascii="Times New Roman" w:hAnsi="Times New Roman"/>
          <w:sz w:val="24"/>
          <w:lang w:eastAsia="lv-LV"/>
        </w:rPr>
        <w:t>ES stratēģijas Baltijas jūras reģionam (ESSBJR) projektu finansēšanas iespējas SAM</w:t>
      </w:r>
    </w:p>
    <w:p w:rsidR="00B34DBA" w:rsidRPr="001A1BC7" w:rsidRDefault="00B34DBA" w:rsidP="002E6310">
      <w:pPr>
        <w:keepNext/>
        <w:widowControl w:val="0"/>
        <w:spacing w:before="120" w:after="120"/>
        <w:ind w:right="-28" w:firstLine="720"/>
        <w:outlineLvl w:val="1"/>
        <w:rPr>
          <w:szCs w:val="24"/>
        </w:rPr>
      </w:pPr>
      <w:r w:rsidRPr="001A1BC7">
        <w:rPr>
          <w:szCs w:val="24"/>
        </w:rPr>
        <w:t>Saskaņā ar darbības programmā "Izaugsme un nodarbinātība" minēto, pasākuma ietvaros ESSBJR projektu finansēšana nav paredzēta.</w:t>
      </w:r>
    </w:p>
    <w:p w:rsidR="00B34DBA" w:rsidRPr="001A1BC7" w:rsidRDefault="00B34DBA" w:rsidP="002E6310">
      <w:pPr>
        <w:keepNext/>
        <w:widowControl w:val="0"/>
        <w:spacing w:before="120" w:after="120"/>
        <w:ind w:right="-28" w:firstLine="720"/>
        <w:outlineLvl w:val="1"/>
        <w:rPr>
          <w:szCs w:val="24"/>
        </w:rPr>
      </w:pPr>
      <w:r w:rsidRPr="001A1BC7">
        <w:rPr>
          <w:szCs w:val="24"/>
        </w:rPr>
        <w:t xml:space="preserve">ESSBJR ietvaros iespējama Klasteru programmā atbalstīto klasteru sadarbība ar BSR Innovation Express (ESSBJR klasteru programma), tādējādi veicinot sinerģiju un starptautisko sadarbību starp klasteriem. </w:t>
      </w:r>
    </w:p>
    <w:p w:rsidR="00972CCE" w:rsidRPr="001A1BC7" w:rsidRDefault="00972CCE" w:rsidP="002E6310">
      <w:pPr>
        <w:widowControl w:val="0"/>
        <w:spacing w:before="60" w:after="60"/>
        <w:rPr>
          <w:lang w:eastAsia="lv-LV"/>
        </w:rPr>
      </w:pPr>
    </w:p>
    <w:bookmarkEnd w:id="18"/>
    <w:p w:rsidR="0023378C" w:rsidRPr="006A54ED" w:rsidRDefault="0023378C" w:rsidP="0023378C">
      <w:pPr>
        <w:rPr>
          <w:szCs w:val="24"/>
        </w:rPr>
      </w:pPr>
      <w:r w:rsidRPr="006A54ED">
        <w:rPr>
          <w:szCs w:val="24"/>
        </w:rPr>
        <w:t>Iesniedzējs:</w:t>
      </w:r>
    </w:p>
    <w:p w:rsidR="0023378C" w:rsidRPr="006A54ED" w:rsidRDefault="0023378C" w:rsidP="0023378C">
      <w:pPr>
        <w:rPr>
          <w:szCs w:val="24"/>
        </w:rPr>
      </w:pPr>
      <w:r w:rsidRPr="006A54ED">
        <w:rPr>
          <w:szCs w:val="24"/>
        </w:rPr>
        <w:t>Ekonomikas ministre</w:t>
      </w:r>
      <w:r w:rsidRPr="006A54ED">
        <w:rPr>
          <w:szCs w:val="24"/>
        </w:rPr>
        <w:tab/>
      </w:r>
      <w:r w:rsidRPr="006A54ED">
        <w:rPr>
          <w:szCs w:val="24"/>
        </w:rPr>
        <w:tab/>
      </w:r>
      <w:r w:rsidRPr="006A54ED">
        <w:rPr>
          <w:szCs w:val="24"/>
        </w:rPr>
        <w:tab/>
      </w:r>
      <w:r w:rsidRPr="006A54ED">
        <w:rPr>
          <w:szCs w:val="24"/>
        </w:rPr>
        <w:tab/>
      </w:r>
      <w:r w:rsidRPr="006A54ED">
        <w:rPr>
          <w:szCs w:val="24"/>
        </w:rPr>
        <w:tab/>
      </w:r>
      <w:r w:rsidRPr="006A54ED">
        <w:rPr>
          <w:szCs w:val="24"/>
        </w:rPr>
        <w:tab/>
      </w:r>
      <w:r w:rsidRPr="006A54ED">
        <w:rPr>
          <w:szCs w:val="24"/>
        </w:rPr>
        <w:tab/>
      </w:r>
      <w:r w:rsidRPr="006A54ED">
        <w:rPr>
          <w:szCs w:val="24"/>
        </w:rPr>
        <w:tab/>
        <w:t>D.Reizniece-Ozola</w:t>
      </w:r>
    </w:p>
    <w:p w:rsidR="0023378C" w:rsidRPr="006A54ED" w:rsidRDefault="0023378C" w:rsidP="0023378C">
      <w:pPr>
        <w:rPr>
          <w:szCs w:val="24"/>
        </w:rPr>
      </w:pPr>
    </w:p>
    <w:p w:rsidR="0023378C" w:rsidRPr="006A54ED" w:rsidRDefault="0023378C" w:rsidP="0023378C">
      <w:pPr>
        <w:rPr>
          <w:szCs w:val="24"/>
        </w:rPr>
      </w:pPr>
      <w:r w:rsidRPr="006A54ED">
        <w:rPr>
          <w:szCs w:val="24"/>
        </w:rPr>
        <w:t>Vīza:</w:t>
      </w:r>
    </w:p>
    <w:p w:rsidR="0023378C" w:rsidRPr="006A54ED" w:rsidRDefault="0023378C" w:rsidP="0023378C">
      <w:pPr>
        <w:rPr>
          <w:szCs w:val="24"/>
        </w:rPr>
      </w:pPr>
      <w:r w:rsidRPr="006A54ED">
        <w:rPr>
          <w:szCs w:val="24"/>
        </w:rPr>
        <w:t>Valsts sekretārs</w:t>
      </w:r>
      <w:r w:rsidRPr="006A54ED">
        <w:rPr>
          <w:szCs w:val="24"/>
        </w:rPr>
        <w:tab/>
      </w:r>
      <w:r w:rsidRPr="006A54ED">
        <w:rPr>
          <w:szCs w:val="24"/>
        </w:rPr>
        <w:tab/>
      </w:r>
      <w:r w:rsidRPr="006A54ED">
        <w:rPr>
          <w:szCs w:val="24"/>
        </w:rPr>
        <w:tab/>
      </w:r>
      <w:r w:rsidRPr="006A54ED">
        <w:rPr>
          <w:szCs w:val="24"/>
        </w:rPr>
        <w:tab/>
      </w:r>
      <w:r w:rsidRPr="006A54ED">
        <w:rPr>
          <w:szCs w:val="24"/>
        </w:rPr>
        <w:tab/>
      </w:r>
      <w:r w:rsidRPr="006A54ED">
        <w:rPr>
          <w:szCs w:val="24"/>
        </w:rPr>
        <w:tab/>
      </w:r>
      <w:r w:rsidRPr="006A54ED">
        <w:rPr>
          <w:szCs w:val="24"/>
        </w:rPr>
        <w:tab/>
      </w:r>
      <w:r w:rsidRPr="006A54ED">
        <w:rPr>
          <w:szCs w:val="24"/>
        </w:rPr>
        <w:tab/>
        <w:t>R.Beinarovičs</w:t>
      </w:r>
    </w:p>
    <w:p w:rsidR="0023378C" w:rsidRDefault="0023378C" w:rsidP="0023378C">
      <w:pPr>
        <w:tabs>
          <w:tab w:val="left" w:pos="6840"/>
        </w:tabs>
        <w:autoSpaceDE w:val="0"/>
        <w:autoSpaceDN w:val="0"/>
        <w:adjustRightInd w:val="0"/>
        <w:rPr>
          <w:szCs w:val="24"/>
          <w:lang w:bidi="lo-LA"/>
        </w:rPr>
      </w:pPr>
    </w:p>
    <w:p w:rsidR="0023378C" w:rsidRDefault="0023378C" w:rsidP="0023378C">
      <w:pPr>
        <w:tabs>
          <w:tab w:val="left" w:pos="6840"/>
        </w:tabs>
        <w:autoSpaceDE w:val="0"/>
        <w:autoSpaceDN w:val="0"/>
        <w:adjustRightInd w:val="0"/>
        <w:rPr>
          <w:szCs w:val="24"/>
          <w:lang w:bidi="lo-LA"/>
        </w:rPr>
      </w:pPr>
    </w:p>
    <w:p w:rsidR="0023378C" w:rsidRDefault="0023378C" w:rsidP="0023378C">
      <w:pPr>
        <w:tabs>
          <w:tab w:val="left" w:pos="6840"/>
        </w:tabs>
        <w:autoSpaceDE w:val="0"/>
        <w:autoSpaceDN w:val="0"/>
        <w:adjustRightInd w:val="0"/>
        <w:rPr>
          <w:szCs w:val="24"/>
          <w:lang w:bidi="lo-LA"/>
        </w:rPr>
      </w:pPr>
    </w:p>
    <w:p w:rsidR="0023378C" w:rsidRDefault="0023378C" w:rsidP="0023378C">
      <w:pPr>
        <w:tabs>
          <w:tab w:val="left" w:pos="6840"/>
        </w:tabs>
        <w:autoSpaceDE w:val="0"/>
        <w:autoSpaceDN w:val="0"/>
        <w:adjustRightInd w:val="0"/>
        <w:rPr>
          <w:szCs w:val="24"/>
          <w:lang w:bidi="lo-LA"/>
        </w:rPr>
      </w:pPr>
    </w:p>
    <w:p w:rsidR="0023378C" w:rsidRDefault="0023378C" w:rsidP="0023378C">
      <w:pPr>
        <w:tabs>
          <w:tab w:val="left" w:pos="6840"/>
        </w:tabs>
        <w:autoSpaceDE w:val="0"/>
        <w:autoSpaceDN w:val="0"/>
        <w:adjustRightInd w:val="0"/>
        <w:rPr>
          <w:szCs w:val="24"/>
          <w:lang w:bidi="lo-LA"/>
        </w:rPr>
      </w:pPr>
    </w:p>
    <w:p w:rsidR="0023378C" w:rsidRDefault="0023378C" w:rsidP="0023378C">
      <w:pPr>
        <w:tabs>
          <w:tab w:val="left" w:pos="6840"/>
        </w:tabs>
        <w:autoSpaceDE w:val="0"/>
        <w:autoSpaceDN w:val="0"/>
        <w:adjustRightInd w:val="0"/>
        <w:rPr>
          <w:szCs w:val="24"/>
          <w:lang w:bidi="lo-LA"/>
        </w:rPr>
      </w:pPr>
    </w:p>
    <w:p w:rsidR="00711FAF" w:rsidRDefault="00711FAF" w:rsidP="0023378C">
      <w:pPr>
        <w:rPr>
          <w:sz w:val="20"/>
        </w:rPr>
      </w:pPr>
      <w:r>
        <w:rPr>
          <w:sz w:val="20"/>
        </w:rPr>
        <w:t>03.02.2016 10:36</w:t>
      </w:r>
    </w:p>
    <w:p w:rsidR="0023378C" w:rsidRDefault="0023378C" w:rsidP="0023378C">
      <w:pPr>
        <w:rPr>
          <w:sz w:val="20"/>
        </w:rPr>
      </w:pPr>
      <w:r>
        <w:rPr>
          <w:sz w:val="20"/>
        </w:rPr>
        <w:fldChar w:fldCharType="begin"/>
      </w:r>
      <w:r>
        <w:rPr>
          <w:sz w:val="20"/>
        </w:rPr>
        <w:instrText xml:space="preserve"> NUMWORDS   \* MERGEFORMAT </w:instrText>
      </w:r>
      <w:r>
        <w:rPr>
          <w:sz w:val="20"/>
        </w:rPr>
        <w:fldChar w:fldCharType="separate"/>
      </w:r>
      <w:r w:rsidR="00711FAF">
        <w:rPr>
          <w:noProof/>
          <w:sz w:val="20"/>
        </w:rPr>
        <w:t>9151</w:t>
      </w:r>
      <w:r>
        <w:rPr>
          <w:sz w:val="20"/>
        </w:rPr>
        <w:fldChar w:fldCharType="end"/>
      </w:r>
    </w:p>
    <w:p w:rsidR="0023378C" w:rsidRPr="006A54ED" w:rsidRDefault="0023378C" w:rsidP="0023378C">
      <w:pPr>
        <w:rPr>
          <w:sz w:val="20"/>
        </w:rPr>
      </w:pPr>
      <w:r w:rsidRPr="006A54ED">
        <w:rPr>
          <w:sz w:val="20"/>
        </w:rPr>
        <w:t>Z.Dziļuma</w:t>
      </w:r>
    </w:p>
    <w:p w:rsidR="0023378C" w:rsidRPr="006A54ED" w:rsidRDefault="0023378C" w:rsidP="0023378C">
      <w:pPr>
        <w:rPr>
          <w:sz w:val="20"/>
        </w:rPr>
      </w:pPr>
      <w:r w:rsidRPr="006A54ED">
        <w:rPr>
          <w:sz w:val="20"/>
        </w:rPr>
        <w:t>Tel.: 67013225</w:t>
      </w:r>
    </w:p>
    <w:p w:rsidR="0023378C" w:rsidRPr="006A54ED" w:rsidRDefault="0023378C" w:rsidP="0023378C">
      <w:pPr>
        <w:rPr>
          <w:sz w:val="20"/>
        </w:rPr>
      </w:pPr>
      <w:r w:rsidRPr="006A54ED">
        <w:rPr>
          <w:sz w:val="20"/>
        </w:rPr>
        <w:t>e-pasts: zane.dziluma@em.gov.lv</w:t>
      </w:r>
    </w:p>
    <w:p w:rsidR="0023378C" w:rsidRPr="00B83B6F" w:rsidRDefault="0023378C" w:rsidP="0023378C">
      <w:pPr>
        <w:tabs>
          <w:tab w:val="left" w:pos="6840"/>
        </w:tabs>
        <w:autoSpaceDE w:val="0"/>
        <w:autoSpaceDN w:val="0"/>
        <w:adjustRightInd w:val="0"/>
        <w:rPr>
          <w:szCs w:val="24"/>
          <w:lang w:bidi="lo-LA"/>
        </w:rPr>
      </w:pPr>
    </w:p>
    <w:p w:rsidR="003F58F6" w:rsidRPr="001A1BC7" w:rsidRDefault="003F58F6" w:rsidP="002E6310">
      <w:pPr>
        <w:widowControl w:val="0"/>
        <w:spacing w:after="120"/>
        <w:ind w:firstLine="567"/>
        <w:rPr>
          <w:rFonts w:eastAsia="Calibri"/>
          <w:color w:val="FF0000"/>
          <w:szCs w:val="24"/>
          <w:lang w:eastAsia="lv-LV"/>
        </w:rPr>
      </w:pPr>
    </w:p>
    <w:sectPr w:rsidR="003F58F6" w:rsidRPr="001A1BC7" w:rsidSect="0091566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B5" w:rsidRDefault="009837B5" w:rsidP="00742F41">
      <w:r>
        <w:separator/>
      </w:r>
    </w:p>
  </w:endnote>
  <w:endnote w:type="continuationSeparator" w:id="0">
    <w:p w:rsidR="009837B5" w:rsidRDefault="009837B5" w:rsidP="0074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71" w:rsidRDefault="00F44471">
    <w:pPr>
      <w:pStyle w:val="Footer"/>
      <w:jc w:val="right"/>
    </w:pPr>
  </w:p>
  <w:p w:rsidR="00F44471" w:rsidRPr="00BC124E" w:rsidRDefault="006B23CF" w:rsidP="006B23CF">
    <w:pPr>
      <w:rPr>
        <w:sz w:val="20"/>
      </w:rPr>
    </w:pPr>
    <w:r>
      <w:rPr>
        <w:sz w:val="20"/>
      </w:rPr>
      <w:fldChar w:fldCharType="begin"/>
    </w:r>
    <w:r>
      <w:rPr>
        <w:sz w:val="20"/>
      </w:rPr>
      <w:instrText xml:space="preserve"> FILENAME   \* MERGEFORMAT </w:instrText>
    </w:r>
    <w:r>
      <w:rPr>
        <w:sz w:val="20"/>
      </w:rPr>
      <w:fldChar w:fldCharType="separate"/>
    </w:r>
    <w:r>
      <w:rPr>
        <w:noProof/>
        <w:sz w:val="20"/>
      </w:rPr>
      <w:t>EMAnotp1_03022016_SAM3211_klasteri</w:t>
    </w:r>
    <w:r>
      <w:rPr>
        <w:sz w:val="20"/>
      </w:rPr>
      <w:fldChar w:fldCharType="end"/>
    </w:r>
    <w:r>
      <w:rPr>
        <w:sz w:val="20"/>
      </w:rPr>
      <w:t>; Darbības programmas „Izaugsme un nodarbinātība” 3.2.1. specifiskā atbalsta mērķa „Palielināt augstas pievienotās vērtības produktu un pakalpojumu eksporta proporciju” 3.2.1.1. pasākuma „Klasteru programma” pirmās projektu iesniegumu atlases kārtas īstenošanas noteikumi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71" w:rsidRPr="00BC124E" w:rsidRDefault="00F44471" w:rsidP="00BC124E">
    <w:pPr>
      <w:rPr>
        <w:sz w:val="20"/>
      </w:rPr>
    </w:pPr>
    <w:r>
      <w:rPr>
        <w:sz w:val="20"/>
      </w:rPr>
      <w:fldChar w:fldCharType="begin"/>
    </w:r>
    <w:r>
      <w:rPr>
        <w:sz w:val="20"/>
      </w:rPr>
      <w:instrText xml:space="preserve"> FILENAME   \* MERGEFORMAT </w:instrText>
    </w:r>
    <w:r>
      <w:rPr>
        <w:sz w:val="20"/>
      </w:rPr>
      <w:fldChar w:fldCharType="separate"/>
    </w:r>
    <w:r w:rsidR="006B23CF">
      <w:rPr>
        <w:noProof/>
        <w:sz w:val="20"/>
      </w:rPr>
      <w:t>EMAnotp1_03022016_SAM3211_klasteri</w:t>
    </w:r>
    <w:r>
      <w:rPr>
        <w:sz w:val="20"/>
      </w:rPr>
      <w:fldChar w:fldCharType="end"/>
    </w:r>
    <w:r>
      <w:rPr>
        <w:sz w:val="20"/>
      </w:rPr>
      <w:t xml:space="preserve">; </w:t>
    </w:r>
    <w:r w:rsidR="006B23CF">
      <w:rPr>
        <w:sz w:val="20"/>
      </w:rPr>
      <w:t>Darbības programmas „Izaugsme un nodarbinātība” 3.2.1. specifiskā atbalsta mērķa „Palielināt augstas pievienotās vērtības produktu un pakalpojumu eksporta proporciju” 3.2.1.1. pasākuma „Klasteru programma” pirmās projektu iesniegumu atlases kārtas īstenošanas noteikumi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B5" w:rsidRDefault="009837B5" w:rsidP="00742F41">
      <w:r>
        <w:separator/>
      </w:r>
    </w:p>
  </w:footnote>
  <w:footnote w:type="continuationSeparator" w:id="0">
    <w:p w:rsidR="009837B5" w:rsidRDefault="009837B5" w:rsidP="00742F41">
      <w:r>
        <w:continuationSeparator/>
      </w:r>
    </w:p>
  </w:footnote>
  <w:footnote w:id="1">
    <w:p w:rsidR="00F44471" w:rsidRDefault="00F44471">
      <w:pPr>
        <w:pStyle w:val="FootnoteText"/>
      </w:pPr>
      <w:r>
        <w:rPr>
          <w:rStyle w:val="FootnoteReference"/>
        </w:rPr>
        <w:footnoteRef/>
      </w:r>
      <w:r>
        <w:t xml:space="preserve"> ES-15 – Eiropas Savienības 15 valstis: Apvienotā Karaliste, Austrija, Beļģija, Dānija, Francija, Grieķija, Itālija, Īrija, Luksemburga, Nīderlande, Portugāle, Somija, Spānija, Vācija, Zviedrija.</w:t>
      </w:r>
    </w:p>
  </w:footnote>
  <w:footnote w:id="2">
    <w:p w:rsidR="00F44471" w:rsidRPr="000557A3" w:rsidRDefault="00F44471" w:rsidP="00892B1E">
      <w:pPr>
        <w:jc w:val="left"/>
      </w:pPr>
      <w:r w:rsidRPr="000557A3">
        <w:rPr>
          <w:rStyle w:val="FootnoteReference"/>
        </w:rPr>
        <w:footnoteRef/>
      </w:r>
      <w:r w:rsidRPr="000557A3">
        <w:t xml:space="preserve"> </w:t>
      </w:r>
      <w:r w:rsidRPr="00A67133">
        <w:rPr>
          <w:sz w:val="20"/>
        </w:rPr>
        <w:t xml:space="preserve">EUROSTAT dati, skatīts 2015.gada martā: </w:t>
      </w:r>
      <w:hyperlink r:id="rId1" w:history="1">
        <w:r w:rsidRPr="00A67133">
          <w:rPr>
            <w:rStyle w:val="Hyperlink"/>
            <w:sz w:val="20"/>
          </w:rPr>
          <w:t>http://ec.europa.eu/eurostat/tgm/table.do?tab=table&amp;init=1&amp;language=en&amp;pcode=tsdec310&amp;plugin=1</w:t>
        </w:r>
      </w:hyperlink>
    </w:p>
  </w:footnote>
  <w:footnote w:id="3">
    <w:p w:rsidR="00F44471" w:rsidRPr="000557A3" w:rsidRDefault="00F44471" w:rsidP="00B7349E">
      <w:pPr>
        <w:pStyle w:val="FootnoteText"/>
      </w:pPr>
      <w:r w:rsidRPr="000557A3">
        <w:rPr>
          <w:rStyle w:val="FootnoteReference"/>
        </w:rPr>
        <w:footnoteRef/>
      </w:r>
      <w:r w:rsidRPr="000557A3">
        <w:t xml:space="preserve"> Zinātnes, tehnoloģijas attīstības un inovācijas pamatnostādnes 2014. – 2020.gadam (17.lpp.)</w:t>
      </w:r>
    </w:p>
  </w:footnote>
  <w:footnote w:id="4">
    <w:p w:rsidR="00F44471" w:rsidRDefault="00F44471" w:rsidP="00144088">
      <w:pPr>
        <w:pStyle w:val="FootnoteText"/>
      </w:pPr>
      <w:r>
        <w:rPr>
          <w:rStyle w:val="FootnoteReference"/>
        </w:rPr>
        <w:footnoteRef/>
      </w:r>
      <w:r>
        <w:t xml:space="preserve"> </w:t>
      </w:r>
      <w:r w:rsidRPr="000557A3">
        <w:t>EM 2014.gada decembra sagatavotais "Ziņojums par Latvijas tautsaimniecības attīstību"</w:t>
      </w:r>
    </w:p>
  </w:footnote>
  <w:footnote w:id="5">
    <w:p w:rsidR="00F44471" w:rsidRDefault="00F44471" w:rsidP="00144088">
      <w:pPr>
        <w:pStyle w:val="FootnoteText"/>
      </w:pPr>
      <w:r>
        <w:rPr>
          <w:rStyle w:val="FootnoteReference"/>
        </w:rPr>
        <w:footnoteRef/>
      </w:r>
      <w:r>
        <w:t xml:space="preserve"> </w:t>
      </w:r>
      <w:r w:rsidRPr="000557A3">
        <w:t>EM 2014.gada decembra sagatavotais "Ziņojums par Latvijas tautsaimniecības attīstību"</w:t>
      </w:r>
    </w:p>
  </w:footnote>
  <w:footnote w:id="6">
    <w:p w:rsidR="00F44471" w:rsidRDefault="00F44471" w:rsidP="00144088">
      <w:pPr>
        <w:pStyle w:val="FootnoteText"/>
      </w:pPr>
      <w:r>
        <w:rPr>
          <w:rStyle w:val="FootnoteReference"/>
        </w:rPr>
        <w:footnoteRef/>
      </w:r>
      <w:r>
        <w:t xml:space="preserve"> Latvijas Bankas Makroekonomisko norišu pārskats 2014.gada decembrī</w:t>
      </w:r>
    </w:p>
  </w:footnote>
  <w:footnote w:id="7">
    <w:p w:rsidR="00F44471" w:rsidRPr="000557A3" w:rsidRDefault="00F44471" w:rsidP="00036A00">
      <w:pPr>
        <w:pStyle w:val="FootnoteText"/>
      </w:pPr>
      <w:r w:rsidRPr="000557A3">
        <w:rPr>
          <w:rStyle w:val="FootnoteReference"/>
        </w:rPr>
        <w:footnoteRef/>
      </w:r>
      <w:r w:rsidRPr="000557A3">
        <w:t xml:space="preserve"> Nacionālās industriālās politikas pamatnostādnes 2014-2020 (7.lpp.)</w:t>
      </w:r>
    </w:p>
  </w:footnote>
  <w:footnote w:id="8">
    <w:p w:rsidR="00F44471" w:rsidRPr="000557A3" w:rsidRDefault="00F44471" w:rsidP="00036A00">
      <w:pPr>
        <w:pStyle w:val="FootnoteText"/>
      </w:pPr>
      <w:r w:rsidRPr="000557A3">
        <w:rPr>
          <w:rStyle w:val="FootnoteReference"/>
        </w:rPr>
        <w:footnoteRef/>
      </w:r>
      <w:r w:rsidRPr="000557A3">
        <w:t xml:space="preserve"> Portāls </w:t>
      </w:r>
      <w:hyperlink r:id="rId2" w:history="1">
        <w:r w:rsidRPr="000557A3">
          <w:rPr>
            <w:rStyle w:val="Hyperlink"/>
          </w:rPr>
          <w:t>www.makroekonomika.lv</w:t>
        </w:r>
      </w:hyperlink>
      <w:r w:rsidRPr="000557A3">
        <w:t xml:space="preserve">, skatīts 2015.g.martā, </w:t>
      </w:r>
      <w:hyperlink r:id="rId3" w:history="1">
        <w:r w:rsidRPr="000557A3">
          <w:rPr>
            <w:rStyle w:val="Hyperlink"/>
          </w:rPr>
          <w:t>https://www.makroekonomika.lv/apstrades-rupnieciba-latvija-joprojam-nenoverteta</w:t>
        </w:r>
      </w:hyperlink>
    </w:p>
  </w:footnote>
  <w:footnote w:id="9">
    <w:p w:rsidR="00F44471" w:rsidRPr="000557A3" w:rsidRDefault="00F44471" w:rsidP="00036A00">
      <w:pPr>
        <w:pStyle w:val="FootnoteText"/>
      </w:pPr>
      <w:r w:rsidRPr="000557A3">
        <w:rPr>
          <w:rStyle w:val="FootnoteReference"/>
        </w:rPr>
        <w:footnoteRef/>
      </w:r>
      <w:r w:rsidRPr="000557A3">
        <w:t xml:space="preserve"> EM 2014.gada decembra sagatavotais "Ziņojums par Latvijas tautsaimniecības attīstību" </w:t>
      </w:r>
    </w:p>
  </w:footnote>
  <w:footnote w:id="10">
    <w:p w:rsidR="00F44471" w:rsidRPr="000557A3" w:rsidRDefault="00F44471" w:rsidP="00036A00">
      <w:pPr>
        <w:pStyle w:val="FootnoteText"/>
      </w:pPr>
      <w:r w:rsidRPr="000557A3">
        <w:rPr>
          <w:rStyle w:val="FootnoteReference"/>
        </w:rPr>
        <w:footnoteRef/>
      </w:r>
      <w:r w:rsidRPr="000557A3">
        <w:t xml:space="preserve"> EM 2014.gada decembra sagatavotais "Ziņojums par Latvijas tautsaimniecības attīstību" </w:t>
      </w:r>
    </w:p>
  </w:footnote>
  <w:footnote w:id="11">
    <w:p w:rsidR="00F44471" w:rsidRPr="000557A3" w:rsidRDefault="00F44471" w:rsidP="00036A00">
      <w:pPr>
        <w:pStyle w:val="FootnoteText"/>
      </w:pPr>
      <w:r w:rsidRPr="000557A3">
        <w:rPr>
          <w:rStyle w:val="FootnoteReference"/>
        </w:rPr>
        <w:footnoteRef/>
      </w:r>
      <w:r w:rsidRPr="000557A3">
        <w:t xml:space="preserve"> EM 2014.gada decembra sagatavotais "Ziņojums par Latvijas tautsaimniecības attīstību" </w:t>
      </w:r>
    </w:p>
  </w:footnote>
  <w:footnote w:id="12">
    <w:p w:rsidR="00F44471" w:rsidRPr="000557A3" w:rsidRDefault="00F44471" w:rsidP="00036A00">
      <w:pPr>
        <w:pStyle w:val="FootnoteText"/>
      </w:pPr>
      <w:r w:rsidRPr="000557A3">
        <w:rPr>
          <w:rStyle w:val="FootnoteReference"/>
        </w:rPr>
        <w:footnoteRef/>
      </w:r>
      <w:r w:rsidRPr="000557A3">
        <w:t xml:space="preserve"> EM 2014.gada decembra sagatavotais "Ziņojums par Latvijas tautsaimniecības attīstību" </w:t>
      </w:r>
    </w:p>
  </w:footnote>
  <w:footnote w:id="13">
    <w:p w:rsidR="00F44471" w:rsidRPr="000557A3" w:rsidRDefault="00F44471" w:rsidP="00036A00">
      <w:pPr>
        <w:pStyle w:val="FootnoteText"/>
      </w:pPr>
      <w:r w:rsidRPr="000557A3">
        <w:rPr>
          <w:rStyle w:val="FootnoteReference"/>
        </w:rPr>
        <w:footnoteRef/>
      </w:r>
      <w:r w:rsidRPr="000557A3">
        <w:t xml:space="preserve"> EM 2014.gada decembra sagatavotais "Ziņojums par Latvijas tautsaimniecības attīstību" </w:t>
      </w:r>
    </w:p>
  </w:footnote>
  <w:footnote w:id="14">
    <w:p w:rsidR="00F44471" w:rsidRDefault="00F44471">
      <w:pPr>
        <w:pStyle w:val="FootnoteText"/>
      </w:pPr>
      <w:r>
        <w:rPr>
          <w:rStyle w:val="FootnoteReference"/>
        </w:rPr>
        <w:footnoteRef/>
      </w:r>
      <w:r>
        <w:rPr>
          <w:vertAlign w:val="superscript"/>
        </w:rPr>
        <w:t>,16, 17</w:t>
      </w:r>
      <w:r>
        <w:t xml:space="preserve"> </w:t>
      </w:r>
      <w:r w:rsidRPr="00012378">
        <w:t>Cluster organisations in Europe – insights from Bronze and Gold Label assessments | Input paper for the workshop “Moving forward the EU policy agenda on cluster excellence”, Brussels, September 23rd, 2014</w:t>
      </w:r>
    </w:p>
  </w:footnote>
  <w:footnote w:id="15">
    <w:p w:rsidR="00F44471" w:rsidRPr="00012378" w:rsidRDefault="00F44471" w:rsidP="00012378">
      <w:pPr>
        <w:pStyle w:val="FootnoteText"/>
      </w:pPr>
    </w:p>
    <w:p w:rsidR="00F44471" w:rsidRDefault="00F44471">
      <w:pPr>
        <w:pStyle w:val="FootnoteText"/>
      </w:pPr>
    </w:p>
  </w:footnote>
  <w:footnote w:id="16">
    <w:p w:rsidR="00F44471" w:rsidRDefault="00F44471">
      <w:pPr>
        <w:pStyle w:val="FootnoteText"/>
      </w:pPr>
    </w:p>
  </w:footnote>
  <w:footnote w:id="17">
    <w:p w:rsidR="00F44471" w:rsidRPr="00050300" w:rsidRDefault="00F44471" w:rsidP="00050300">
      <w:pPr>
        <w:rPr>
          <w:sz w:val="18"/>
        </w:rPr>
      </w:pPr>
      <w:r>
        <w:rPr>
          <w:rStyle w:val="FootnoteReference"/>
        </w:rPr>
        <w:footnoteRef/>
      </w:r>
      <w:r>
        <w:t xml:space="preserve"> </w:t>
      </w:r>
      <w:r w:rsidRPr="00050300">
        <w:rPr>
          <w:sz w:val="20"/>
        </w:rPr>
        <w:t xml:space="preserve">Nodibinājuma “Ventspils augsto tehnoloģiju parks”  (turpmāk – VATP) īstenotā klastera projekta zemo apguvi var skaidrot ar </w:t>
      </w:r>
      <w:r>
        <w:rPr>
          <w:sz w:val="20"/>
        </w:rPr>
        <w:t>šādiem</w:t>
      </w:r>
      <w:r w:rsidRPr="00050300">
        <w:rPr>
          <w:sz w:val="20"/>
        </w:rPr>
        <w:t xml:space="preserve"> apstākļiem:</w:t>
      </w:r>
    </w:p>
    <w:p w:rsidR="00F44471" w:rsidRPr="00050300" w:rsidRDefault="00F44471" w:rsidP="00AB3047">
      <w:pPr>
        <w:pStyle w:val="ListParagraph"/>
        <w:numPr>
          <w:ilvl w:val="0"/>
          <w:numId w:val="30"/>
        </w:numPr>
        <w:contextualSpacing w:val="0"/>
        <w:rPr>
          <w:sz w:val="20"/>
        </w:rPr>
      </w:pPr>
      <w:r w:rsidRPr="00050300">
        <w:rPr>
          <w:sz w:val="20"/>
        </w:rPr>
        <w:t xml:space="preserve">sākotnēji projekta ieviešanas gaitā klasteris vairāk strādāja ar paša klastera darbības nodrošināšanu, līdz ar to tika pārkāpta </w:t>
      </w:r>
      <w:r>
        <w:rPr>
          <w:sz w:val="20"/>
        </w:rPr>
        <w:t xml:space="preserve">11.10.2011. </w:t>
      </w:r>
      <w:r w:rsidRPr="00050300">
        <w:rPr>
          <w:sz w:val="20"/>
        </w:rPr>
        <w:t xml:space="preserve">MK noteikumos Nr.788 </w:t>
      </w:r>
      <w:r>
        <w:rPr>
          <w:sz w:val="20"/>
        </w:rPr>
        <w:t>“</w:t>
      </w:r>
      <w:r w:rsidRPr="00AB3047">
        <w:rPr>
          <w:sz w:val="20"/>
        </w:rPr>
        <w:t>Not</w:t>
      </w:r>
      <w:r>
        <w:rPr>
          <w:sz w:val="20"/>
        </w:rPr>
        <w:t>eikumi par darbības programmas “</w:t>
      </w:r>
      <w:r w:rsidRPr="00AB3047">
        <w:rPr>
          <w:sz w:val="20"/>
        </w:rPr>
        <w:t>Uzņēmējdarbība un inovācijas</w:t>
      </w:r>
      <w:r>
        <w:rPr>
          <w:sz w:val="20"/>
        </w:rPr>
        <w:t>”</w:t>
      </w:r>
      <w:r w:rsidRPr="00AB3047">
        <w:rPr>
          <w:sz w:val="20"/>
        </w:rPr>
        <w:t xml:space="preserve"> papildinājuma 2.3.2.3</w:t>
      </w:r>
      <w:r>
        <w:rPr>
          <w:sz w:val="20"/>
        </w:rPr>
        <w:t xml:space="preserve">.aktivitāti "Klasteru programma”” (turpmāk – MK noteikumi Nr.788) </w:t>
      </w:r>
      <w:r w:rsidRPr="00050300">
        <w:rPr>
          <w:sz w:val="20"/>
        </w:rPr>
        <w:t xml:space="preserve">26.punktā noteiktā finansējuma proporcija, t.i. pats klasteris savas darbības nodrošināšanai bija iztērējis vairāk nekā 50% no atbalsta finansējuma. Līdz ar to tika apturēta finansējuma izmaksa VATP līdz brīdim, kamēr attiecīgi klastera pakalpojumu nodrošināšanai klastera </w:t>
      </w:r>
      <w:r w:rsidRPr="00050300">
        <w:rPr>
          <w:b/>
          <w:bCs/>
          <w:sz w:val="20"/>
        </w:rPr>
        <w:t>sadarbības partneriem</w:t>
      </w:r>
      <w:r w:rsidRPr="00050300">
        <w:rPr>
          <w:sz w:val="20"/>
        </w:rPr>
        <w:t xml:space="preserve"> tiks iztērēti 50% no finansējuma. Situācija mainījās brīdi, kad 30.01.2015. grozījumi MK noteikumos Nr.788 mainīja finansējuma apguves proporciju, proti, klastera darbības nodrošināšanai 70%, pakalpojumu nodrošināšanai sadarbības partneriem – 30%.  Tā rezultātā LIAA varēja veikt maksājumus VATP, ievērojot jauno noteikto proporciju;</w:t>
      </w:r>
    </w:p>
    <w:p w:rsidR="00F44471" w:rsidRPr="00050300" w:rsidRDefault="00F44471" w:rsidP="00050300">
      <w:pPr>
        <w:pStyle w:val="ListParagraph"/>
        <w:numPr>
          <w:ilvl w:val="0"/>
          <w:numId w:val="30"/>
        </w:numPr>
        <w:contextualSpacing w:val="0"/>
        <w:rPr>
          <w:sz w:val="20"/>
        </w:rPr>
      </w:pPr>
      <w:r w:rsidRPr="00050300">
        <w:rPr>
          <w:sz w:val="20"/>
        </w:rPr>
        <w:t>Latvijas valsts nebija pieņēmusi lēmumu par dalību Eiropas Kosmosa aģentūrā, līdz ar to kavējās klastera sadarbības partneru projektu izstrāde, kas bija vērsta uz aktivitātēm saistībā ar Eiropas Kosmosa aģentūru.</w:t>
      </w:r>
    </w:p>
    <w:p w:rsidR="00F44471" w:rsidRDefault="00F4447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71" w:rsidRDefault="00F44471" w:rsidP="00DA41F3">
    <w:pPr>
      <w:pStyle w:val="Header"/>
      <w:jc w:val="center"/>
    </w:pPr>
    <w:r>
      <w:fldChar w:fldCharType="begin"/>
    </w:r>
    <w:r>
      <w:instrText xml:space="preserve"> PAGE   \* MERGEFORMAT </w:instrText>
    </w:r>
    <w:r>
      <w:fldChar w:fldCharType="separate"/>
    </w:r>
    <w:r w:rsidR="004A1A1A">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55A2"/>
    <w:multiLevelType w:val="hybridMultilevel"/>
    <w:tmpl w:val="9BB84BD0"/>
    <w:lvl w:ilvl="0" w:tplc="FFD2D8F4">
      <w:start w:val="3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B8931CA"/>
    <w:multiLevelType w:val="hybridMultilevel"/>
    <w:tmpl w:val="99DC1F3A"/>
    <w:lvl w:ilvl="0" w:tplc="99F6ED94">
      <w:start w:val="1"/>
      <w:numFmt w:val="bullet"/>
      <w:lvlText w:val=""/>
      <w:lvlJc w:val="left"/>
      <w:pPr>
        <w:ind w:left="1724" w:hanging="360"/>
      </w:pPr>
      <w:rPr>
        <w:rFonts w:ascii="Symbol" w:hAnsi="Symbol" w:hint="default"/>
        <w:color w:val="auto"/>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 w15:restartNumberingAfterBreak="0">
    <w:nsid w:val="0C781441"/>
    <w:multiLevelType w:val="hybridMultilevel"/>
    <w:tmpl w:val="B6DEF300"/>
    <w:lvl w:ilvl="0" w:tplc="8318D48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FC69B1"/>
    <w:multiLevelType w:val="hybridMultilevel"/>
    <w:tmpl w:val="F69EA1DA"/>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4" w15:restartNumberingAfterBreak="0">
    <w:nsid w:val="18036AE3"/>
    <w:multiLevelType w:val="hybridMultilevel"/>
    <w:tmpl w:val="AC8E3724"/>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5" w15:restartNumberingAfterBreak="0">
    <w:nsid w:val="18D13F90"/>
    <w:multiLevelType w:val="hybridMultilevel"/>
    <w:tmpl w:val="0316AD44"/>
    <w:lvl w:ilvl="0" w:tplc="C79A1BAC">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6" w15:restartNumberingAfterBreak="0">
    <w:nsid w:val="199B0B8C"/>
    <w:multiLevelType w:val="hybridMultilevel"/>
    <w:tmpl w:val="79229794"/>
    <w:lvl w:ilvl="0" w:tplc="4364CE86">
      <w:start w:val="3"/>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0C5604"/>
    <w:multiLevelType w:val="hybridMultilevel"/>
    <w:tmpl w:val="44DAAC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3B646B0"/>
    <w:multiLevelType w:val="hybridMultilevel"/>
    <w:tmpl w:val="0D9EEA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D71C75"/>
    <w:multiLevelType w:val="hybridMultilevel"/>
    <w:tmpl w:val="F8DEF874"/>
    <w:lvl w:ilvl="0" w:tplc="99F6ED9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3F63BA"/>
    <w:multiLevelType w:val="hybridMultilevel"/>
    <w:tmpl w:val="3738B3FA"/>
    <w:lvl w:ilvl="0" w:tplc="5DB2EC12">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1" w15:restartNumberingAfterBreak="0">
    <w:nsid w:val="38A54271"/>
    <w:multiLevelType w:val="hybridMultilevel"/>
    <w:tmpl w:val="A3C0982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00D695B"/>
    <w:multiLevelType w:val="hybridMultilevel"/>
    <w:tmpl w:val="DE84FF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4605A7"/>
    <w:multiLevelType w:val="hybridMultilevel"/>
    <w:tmpl w:val="FBE4EBD2"/>
    <w:lvl w:ilvl="0" w:tplc="66647672">
      <w:start w:val="1"/>
      <w:numFmt w:val="bullet"/>
      <w:lvlText w:val="•"/>
      <w:lvlJc w:val="left"/>
      <w:pPr>
        <w:tabs>
          <w:tab w:val="num" w:pos="360"/>
        </w:tabs>
        <w:ind w:left="360" w:hanging="360"/>
      </w:pPr>
      <w:rPr>
        <w:rFonts w:ascii="Arial" w:hAnsi="Arial" w:hint="default"/>
      </w:rPr>
    </w:lvl>
    <w:lvl w:ilvl="1" w:tplc="58427440">
      <w:start w:val="1"/>
      <w:numFmt w:val="bullet"/>
      <w:lvlText w:val="•"/>
      <w:lvlJc w:val="left"/>
      <w:pPr>
        <w:tabs>
          <w:tab w:val="num" w:pos="1080"/>
        </w:tabs>
        <w:ind w:left="1080" w:hanging="360"/>
      </w:pPr>
      <w:rPr>
        <w:rFonts w:ascii="Arial" w:hAnsi="Arial" w:hint="default"/>
      </w:rPr>
    </w:lvl>
    <w:lvl w:ilvl="2" w:tplc="232CB5CA" w:tentative="1">
      <w:start w:val="1"/>
      <w:numFmt w:val="bullet"/>
      <w:lvlText w:val="•"/>
      <w:lvlJc w:val="left"/>
      <w:pPr>
        <w:tabs>
          <w:tab w:val="num" w:pos="1800"/>
        </w:tabs>
        <w:ind w:left="1800" w:hanging="360"/>
      </w:pPr>
      <w:rPr>
        <w:rFonts w:ascii="Arial" w:hAnsi="Arial" w:hint="default"/>
      </w:rPr>
    </w:lvl>
    <w:lvl w:ilvl="3" w:tplc="AD423D94" w:tentative="1">
      <w:start w:val="1"/>
      <w:numFmt w:val="bullet"/>
      <w:lvlText w:val="•"/>
      <w:lvlJc w:val="left"/>
      <w:pPr>
        <w:tabs>
          <w:tab w:val="num" w:pos="2520"/>
        </w:tabs>
        <w:ind w:left="2520" w:hanging="360"/>
      </w:pPr>
      <w:rPr>
        <w:rFonts w:ascii="Arial" w:hAnsi="Arial" w:hint="default"/>
      </w:rPr>
    </w:lvl>
    <w:lvl w:ilvl="4" w:tplc="B88EA55E" w:tentative="1">
      <w:start w:val="1"/>
      <w:numFmt w:val="bullet"/>
      <w:lvlText w:val="•"/>
      <w:lvlJc w:val="left"/>
      <w:pPr>
        <w:tabs>
          <w:tab w:val="num" w:pos="3240"/>
        </w:tabs>
        <w:ind w:left="3240" w:hanging="360"/>
      </w:pPr>
      <w:rPr>
        <w:rFonts w:ascii="Arial" w:hAnsi="Arial" w:hint="default"/>
      </w:rPr>
    </w:lvl>
    <w:lvl w:ilvl="5" w:tplc="97BCA8E0" w:tentative="1">
      <w:start w:val="1"/>
      <w:numFmt w:val="bullet"/>
      <w:lvlText w:val="•"/>
      <w:lvlJc w:val="left"/>
      <w:pPr>
        <w:tabs>
          <w:tab w:val="num" w:pos="3960"/>
        </w:tabs>
        <w:ind w:left="3960" w:hanging="360"/>
      </w:pPr>
      <w:rPr>
        <w:rFonts w:ascii="Arial" w:hAnsi="Arial" w:hint="default"/>
      </w:rPr>
    </w:lvl>
    <w:lvl w:ilvl="6" w:tplc="49A21C98" w:tentative="1">
      <w:start w:val="1"/>
      <w:numFmt w:val="bullet"/>
      <w:lvlText w:val="•"/>
      <w:lvlJc w:val="left"/>
      <w:pPr>
        <w:tabs>
          <w:tab w:val="num" w:pos="4680"/>
        </w:tabs>
        <w:ind w:left="4680" w:hanging="360"/>
      </w:pPr>
      <w:rPr>
        <w:rFonts w:ascii="Arial" w:hAnsi="Arial" w:hint="default"/>
      </w:rPr>
    </w:lvl>
    <w:lvl w:ilvl="7" w:tplc="742C417C" w:tentative="1">
      <w:start w:val="1"/>
      <w:numFmt w:val="bullet"/>
      <w:lvlText w:val="•"/>
      <w:lvlJc w:val="left"/>
      <w:pPr>
        <w:tabs>
          <w:tab w:val="num" w:pos="5400"/>
        </w:tabs>
        <w:ind w:left="5400" w:hanging="360"/>
      </w:pPr>
      <w:rPr>
        <w:rFonts w:ascii="Arial" w:hAnsi="Arial" w:hint="default"/>
      </w:rPr>
    </w:lvl>
    <w:lvl w:ilvl="8" w:tplc="89F2907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0954A7C"/>
    <w:multiLevelType w:val="hybridMultilevel"/>
    <w:tmpl w:val="58DA408E"/>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15" w15:restartNumberingAfterBreak="0">
    <w:nsid w:val="428F3C46"/>
    <w:multiLevelType w:val="hybridMultilevel"/>
    <w:tmpl w:val="30DA76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7F65F51"/>
    <w:multiLevelType w:val="hybridMultilevel"/>
    <w:tmpl w:val="8B28117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FC51F9"/>
    <w:multiLevelType w:val="hybridMultilevel"/>
    <w:tmpl w:val="1A663358"/>
    <w:lvl w:ilvl="0" w:tplc="5C4E6E9E">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8" w15:restartNumberingAfterBreak="0">
    <w:nsid w:val="51A33373"/>
    <w:multiLevelType w:val="hybridMultilevel"/>
    <w:tmpl w:val="06D679D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2A00BB5"/>
    <w:multiLevelType w:val="hybridMultilevel"/>
    <w:tmpl w:val="03147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7809F8"/>
    <w:multiLevelType w:val="multilevel"/>
    <w:tmpl w:val="ADA060B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7053F6"/>
    <w:multiLevelType w:val="hybridMultilevel"/>
    <w:tmpl w:val="B7BAFBB2"/>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2" w15:restartNumberingAfterBreak="0">
    <w:nsid w:val="66464F88"/>
    <w:multiLevelType w:val="hybridMultilevel"/>
    <w:tmpl w:val="EB9C4256"/>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6954118B"/>
    <w:multiLevelType w:val="hybridMultilevel"/>
    <w:tmpl w:val="33A478FE"/>
    <w:lvl w:ilvl="0" w:tplc="04260001">
      <w:start w:val="1"/>
      <w:numFmt w:val="bullet"/>
      <w:lvlText w:val=""/>
      <w:lvlJc w:val="left"/>
      <w:pPr>
        <w:ind w:left="1724" w:hanging="360"/>
      </w:pPr>
      <w:rPr>
        <w:rFonts w:ascii="Symbol" w:hAnsi="Symbol" w:hint="default"/>
      </w:rPr>
    </w:lvl>
    <w:lvl w:ilvl="1" w:tplc="314CBBFC">
      <w:start w:val="5"/>
      <w:numFmt w:val="bullet"/>
      <w:lvlText w:val="-"/>
      <w:lvlJc w:val="left"/>
      <w:pPr>
        <w:ind w:left="2444" w:hanging="360"/>
      </w:pPr>
      <w:rPr>
        <w:rFonts w:ascii="Times New Roman" w:eastAsia="Times New Roman" w:hAnsi="Times New Roman" w:cs="Times New Roman"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4" w15:restartNumberingAfterBreak="0">
    <w:nsid w:val="6B346ADE"/>
    <w:multiLevelType w:val="hybridMultilevel"/>
    <w:tmpl w:val="3942F5D2"/>
    <w:lvl w:ilvl="0" w:tplc="F18AD738">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25" w15:restartNumberingAfterBreak="0">
    <w:nsid w:val="6CBF176A"/>
    <w:multiLevelType w:val="multilevel"/>
    <w:tmpl w:val="ADA060B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24433F"/>
    <w:multiLevelType w:val="hybridMultilevel"/>
    <w:tmpl w:val="15467654"/>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7" w15:restartNumberingAfterBreak="0">
    <w:nsid w:val="784B2ED7"/>
    <w:multiLevelType w:val="hybridMultilevel"/>
    <w:tmpl w:val="1932077C"/>
    <w:lvl w:ilvl="0" w:tplc="314CBBFC">
      <w:start w:val="5"/>
      <w:numFmt w:val="bullet"/>
      <w:lvlText w:val="-"/>
      <w:lvlJc w:val="left"/>
      <w:pPr>
        <w:ind w:left="2444" w:hanging="360"/>
      </w:pPr>
      <w:rPr>
        <w:rFonts w:ascii="Times New Roman" w:eastAsia="Times New Roman" w:hAnsi="Times New Roman" w:cs="Times New Roman" w:hint="default"/>
      </w:rPr>
    </w:lvl>
    <w:lvl w:ilvl="1" w:tplc="99F6ED94">
      <w:start w:val="1"/>
      <w:numFmt w:val="bullet"/>
      <w:lvlText w:val=""/>
      <w:lvlJc w:val="left"/>
      <w:pPr>
        <w:ind w:left="1440" w:hanging="360"/>
      </w:pPr>
      <w:rPr>
        <w:rFonts w:ascii="Symbol" w:hAnsi="Symbol"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9CE1F6D"/>
    <w:multiLevelType w:val="hybridMultilevel"/>
    <w:tmpl w:val="9A66A0C0"/>
    <w:lvl w:ilvl="0" w:tplc="8318D48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29521B"/>
    <w:multiLevelType w:val="hybridMultilevel"/>
    <w:tmpl w:val="234EDCB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D3A7F8D"/>
    <w:multiLevelType w:val="hybridMultilevel"/>
    <w:tmpl w:val="3D5ECD1E"/>
    <w:lvl w:ilvl="0" w:tplc="99F6ED9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E0C5D53"/>
    <w:multiLevelType w:val="hybridMultilevel"/>
    <w:tmpl w:val="637AAB94"/>
    <w:lvl w:ilvl="0" w:tplc="ED4875DE">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32" w15:restartNumberingAfterBreak="0">
    <w:nsid w:val="7E5D7AFB"/>
    <w:multiLevelType w:val="hybridMultilevel"/>
    <w:tmpl w:val="877AC3EA"/>
    <w:lvl w:ilvl="0" w:tplc="01322108">
      <w:numFmt w:val="bullet"/>
      <w:lvlText w:val="–"/>
      <w:lvlJc w:val="left"/>
      <w:pPr>
        <w:ind w:left="720" w:hanging="360"/>
      </w:pPr>
      <w:rPr>
        <w:rFonts w:ascii="Times New Roman" w:eastAsia="Times New Roman" w:hAnsi="Times New Roman" w:hint="default"/>
        <w:i w:val="0"/>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EBD5CDB"/>
    <w:multiLevelType w:val="hybridMultilevel"/>
    <w:tmpl w:val="5EDA2EFC"/>
    <w:lvl w:ilvl="0" w:tplc="7DD02928">
      <w:start w:val="1"/>
      <w:numFmt w:val="decimal"/>
      <w:lvlText w:val="%1."/>
      <w:lvlJc w:val="left"/>
      <w:pPr>
        <w:ind w:left="1424" w:hanging="42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num w:numId="1">
    <w:abstractNumId w:val="6"/>
  </w:num>
  <w:num w:numId="2">
    <w:abstractNumId w:val="22"/>
  </w:num>
  <w:num w:numId="3">
    <w:abstractNumId w:val="15"/>
  </w:num>
  <w:num w:numId="4">
    <w:abstractNumId w:val="16"/>
  </w:num>
  <w:num w:numId="5">
    <w:abstractNumId w:val="13"/>
  </w:num>
  <w:num w:numId="6">
    <w:abstractNumId w:val="32"/>
  </w:num>
  <w:num w:numId="7">
    <w:abstractNumId w:val="7"/>
  </w:num>
  <w:num w:numId="8">
    <w:abstractNumId w:val="29"/>
  </w:num>
  <w:num w:numId="9">
    <w:abstractNumId w:val="21"/>
  </w:num>
  <w:num w:numId="10">
    <w:abstractNumId w:val="5"/>
  </w:num>
  <w:num w:numId="11">
    <w:abstractNumId w:val="14"/>
  </w:num>
  <w:num w:numId="12">
    <w:abstractNumId w:val="33"/>
  </w:num>
  <w:num w:numId="13">
    <w:abstractNumId w:val="3"/>
  </w:num>
  <w:num w:numId="14">
    <w:abstractNumId w:val="17"/>
  </w:num>
  <w:num w:numId="15">
    <w:abstractNumId w:val="26"/>
  </w:num>
  <w:num w:numId="16">
    <w:abstractNumId w:val="31"/>
  </w:num>
  <w:num w:numId="17">
    <w:abstractNumId w:val="4"/>
  </w:num>
  <w:num w:numId="18">
    <w:abstractNumId w:val="24"/>
  </w:num>
  <w:num w:numId="19">
    <w:abstractNumId w:val="8"/>
  </w:num>
  <w:num w:numId="20">
    <w:abstractNumId w:val="23"/>
  </w:num>
  <w:num w:numId="21">
    <w:abstractNumId w:val="27"/>
  </w:num>
  <w:num w:numId="22">
    <w:abstractNumId w:val="1"/>
  </w:num>
  <w:num w:numId="23">
    <w:abstractNumId w:val="10"/>
  </w:num>
  <w:num w:numId="24">
    <w:abstractNumId w:val="30"/>
  </w:num>
  <w:num w:numId="25">
    <w:abstractNumId w:val="19"/>
  </w:num>
  <w:num w:numId="26">
    <w:abstractNumId w:val="9"/>
  </w:num>
  <w:num w:numId="27">
    <w:abstractNumId w:val="2"/>
  </w:num>
  <w:num w:numId="28">
    <w:abstractNumId w:val="28"/>
  </w:num>
  <w:num w:numId="29">
    <w:abstractNumId w:val="1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1"/>
  </w:num>
  <w:num w:numId="33">
    <w:abstractNumId w:val="18"/>
  </w:num>
  <w:num w:numId="34">
    <w:abstractNumId w:val="25"/>
  </w:num>
  <w:num w:numId="3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41"/>
    <w:rsid w:val="00000B8A"/>
    <w:rsid w:val="00001E8A"/>
    <w:rsid w:val="0000781F"/>
    <w:rsid w:val="00011010"/>
    <w:rsid w:val="00012378"/>
    <w:rsid w:val="000123D1"/>
    <w:rsid w:val="00013C32"/>
    <w:rsid w:val="00015B24"/>
    <w:rsid w:val="000201D1"/>
    <w:rsid w:val="00021225"/>
    <w:rsid w:val="0002193C"/>
    <w:rsid w:val="00023779"/>
    <w:rsid w:val="00027764"/>
    <w:rsid w:val="00030774"/>
    <w:rsid w:val="00036A00"/>
    <w:rsid w:val="00036C20"/>
    <w:rsid w:val="0003704A"/>
    <w:rsid w:val="000408D4"/>
    <w:rsid w:val="00041CE8"/>
    <w:rsid w:val="000431C9"/>
    <w:rsid w:val="00043B4B"/>
    <w:rsid w:val="000458BA"/>
    <w:rsid w:val="00047517"/>
    <w:rsid w:val="00050063"/>
    <w:rsid w:val="00050300"/>
    <w:rsid w:val="000504F2"/>
    <w:rsid w:val="00053CDB"/>
    <w:rsid w:val="00054DF1"/>
    <w:rsid w:val="0005537F"/>
    <w:rsid w:val="000572F4"/>
    <w:rsid w:val="00057854"/>
    <w:rsid w:val="00057EC5"/>
    <w:rsid w:val="00057FB2"/>
    <w:rsid w:val="00062790"/>
    <w:rsid w:val="00063361"/>
    <w:rsid w:val="00065116"/>
    <w:rsid w:val="00065995"/>
    <w:rsid w:val="00066585"/>
    <w:rsid w:val="00072CA4"/>
    <w:rsid w:val="000732F7"/>
    <w:rsid w:val="00075356"/>
    <w:rsid w:val="000819EE"/>
    <w:rsid w:val="00081B0A"/>
    <w:rsid w:val="000823C9"/>
    <w:rsid w:val="000824A9"/>
    <w:rsid w:val="000827E1"/>
    <w:rsid w:val="00085A2A"/>
    <w:rsid w:val="000868E9"/>
    <w:rsid w:val="00086FCF"/>
    <w:rsid w:val="000871C3"/>
    <w:rsid w:val="0009016C"/>
    <w:rsid w:val="0009068E"/>
    <w:rsid w:val="00090863"/>
    <w:rsid w:val="00092FFA"/>
    <w:rsid w:val="00093074"/>
    <w:rsid w:val="00093ECF"/>
    <w:rsid w:val="000947CE"/>
    <w:rsid w:val="00095347"/>
    <w:rsid w:val="00095642"/>
    <w:rsid w:val="0009631D"/>
    <w:rsid w:val="000A368D"/>
    <w:rsid w:val="000A677F"/>
    <w:rsid w:val="000A6C26"/>
    <w:rsid w:val="000B0BAA"/>
    <w:rsid w:val="000B2BEE"/>
    <w:rsid w:val="000B3827"/>
    <w:rsid w:val="000B39AE"/>
    <w:rsid w:val="000B3FFE"/>
    <w:rsid w:val="000B648B"/>
    <w:rsid w:val="000B72B7"/>
    <w:rsid w:val="000C19CD"/>
    <w:rsid w:val="000C1A6E"/>
    <w:rsid w:val="000C21CA"/>
    <w:rsid w:val="000C295B"/>
    <w:rsid w:val="000C2B8A"/>
    <w:rsid w:val="000C4AC3"/>
    <w:rsid w:val="000C7ADD"/>
    <w:rsid w:val="000D0BC0"/>
    <w:rsid w:val="000D163B"/>
    <w:rsid w:val="000D3DE2"/>
    <w:rsid w:val="000D4DCB"/>
    <w:rsid w:val="000D54A7"/>
    <w:rsid w:val="000E07AE"/>
    <w:rsid w:val="000E63E6"/>
    <w:rsid w:val="000E6561"/>
    <w:rsid w:val="000E737E"/>
    <w:rsid w:val="000F201D"/>
    <w:rsid w:val="000F20DA"/>
    <w:rsid w:val="000F28D2"/>
    <w:rsid w:val="000F43E8"/>
    <w:rsid w:val="000F4926"/>
    <w:rsid w:val="000F4E7A"/>
    <w:rsid w:val="00101246"/>
    <w:rsid w:val="0010160F"/>
    <w:rsid w:val="001033A3"/>
    <w:rsid w:val="001057FB"/>
    <w:rsid w:val="00106BF1"/>
    <w:rsid w:val="001121F4"/>
    <w:rsid w:val="00124851"/>
    <w:rsid w:val="00126C08"/>
    <w:rsid w:val="00126D5E"/>
    <w:rsid w:val="001344FF"/>
    <w:rsid w:val="0013465F"/>
    <w:rsid w:val="0013584F"/>
    <w:rsid w:val="00144088"/>
    <w:rsid w:val="001442D8"/>
    <w:rsid w:val="00145ABD"/>
    <w:rsid w:val="00145E14"/>
    <w:rsid w:val="00147CB6"/>
    <w:rsid w:val="00153553"/>
    <w:rsid w:val="001538BA"/>
    <w:rsid w:val="00154153"/>
    <w:rsid w:val="00154374"/>
    <w:rsid w:val="0016432E"/>
    <w:rsid w:val="001669C5"/>
    <w:rsid w:val="001670AE"/>
    <w:rsid w:val="00167E13"/>
    <w:rsid w:val="0017480C"/>
    <w:rsid w:val="00175B46"/>
    <w:rsid w:val="00182B2E"/>
    <w:rsid w:val="00184318"/>
    <w:rsid w:val="00184949"/>
    <w:rsid w:val="0018562B"/>
    <w:rsid w:val="00185A71"/>
    <w:rsid w:val="001A033F"/>
    <w:rsid w:val="001A1BC7"/>
    <w:rsid w:val="001A2BF8"/>
    <w:rsid w:val="001A7C54"/>
    <w:rsid w:val="001B02A4"/>
    <w:rsid w:val="001B1300"/>
    <w:rsid w:val="001B1F32"/>
    <w:rsid w:val="001B281D"/>
    <w:rsid w:val="001B49AD"/>
    <w:rsid w:val="001B7EAA"/>
    <w:rsid w:val="001C02E8"/>
    <w:rsid w:val="001C3BA9"/>
    <w:rsid w:val="001C41A5"/>
    <w:rsid w:val="001C4807"/>
    <w:rsid w:val="001C4FEE"/>
    <w:rsid w:val="001C525F"/>
    <w:rsid w:val="001D4D69"/>
    <w:rsid w:val="001D5BF6"/>
    <w:rsid w:val="001D6B5C"/>
    <w:rsid w:val="001E325D"/>
    <w:rsid w:val="001E6173"/>
    <w:rsid w:val="001E6215"/>
    <w:rsid w:val="001E649E"/>
    <w:rsid w:val="001F0CED"/>
    <w:rsid w:val="001F1214"/>
    <w:rsid w:val="001F2ADF"/>
    <w:rsid w:val="001F3610"/>
    <w:rsid w:val="001F3D3B"/>
    <w:rsid w:val="001F4FEA"/>
    <w:rsid w:val="001F530D"/>
    <w:rsid w:val="001F56E1"/>
    <w:rsid w:val="001F63D5"/>
    <w:rsid w:val="00200087"/>
    <w:rsid w:val="0020061A"/>
    <w:rsid w:val="00200C40"/>
    <w:rsid w:val="00210CB9"/>
    <w:rsid w:val="0021164D"/>
    <w:rsid w:val="002121A2"/>
    <w:rsid w:val="00212472"/>
    <w:rsid w:val="00217318"/>
    <w:rsid w:val="0022192D"/>
    <w:rsid w:val="00226E23"/>
    <w:rsid w:val="002272D5"/>
    <w:rsid w:val="0023013B"/>
    <w:rsid w:val="002330B2"/>
    <w:rsid w:val="0023378C"/>
    <w:rsid w:val="00233936"/>
    <w:rsid w:val="00233B9E"/>
    <w:rsid w:val="002340EB"/>
    <w:rsid w:val="002353AD"/>
    <w:rsid w:val="00235A64"/>
    <w:rsid w:val="00237484"/>
    <w:rsid w:val="00241850"/>
    <w:rsid w:val="00241DC3"/>
    <w:rsid w:val="002452E7"/>
    <w:rsid w:val="002460A9"/>
    <w:rsid w:val="002538E1"/>
    <w:rsid w:val="002546E1"/>
    <w:rsid w:val="002548E2"/>
    <w:rsid w:val="002560E8"/>
    <w:rsid w:val="00261B4D"/>
    <w:rsid w:val="0026211D"/>
    <w:rsid w:val="0026325F"/>
    <w:rsid w:val="0026429D"/>
    <w:rsid w:val="00266877"/>
    <w:rsid w:val="00271A9D"/>
    <w:rsid w:val="00274292"/>
    <w:rsid w:val="00282516"/>
    <w:rsid w:val="00283A88"/>
    <w:rsid w:val="00296CA0"/>
    <w:rsid w:val="002A35AC"/>
    <w:rsid w:val="002A4CCD"/>
    <w:rsid w:val="002A4E8B"/>
    <w:rsid w:val="002B14CF"/>
    <w:rsid w:val="002B1D4E"/>
    <w:rsid w:val="002B3718"/>
    <w:rsid w:val="002B69CF"/>
    <w:rsid w:val="002C244A"/>
    <w:rsid w:val="002D1530"/>
    <w:rsid w:val="002D511C"/>
    <w:rsid w:val="002D520A"/>
    <w:rsid w:val="002D7401"/>
    <w:rsid w:val="002E0713"/>
    <w:rsid w:val="002E1186"/>
    <w:rsid w:val="002E4684"/>
    <w:rsid w:val="002E6310"/>
    <w:rsid w:val="002E67A4"/>
    <w:rsid w:val="002F2BBF"/>
    <w:rsid w:val="002F31AE"/>
    <w:rsid w:val="002F4762"/>
    <w:rsid w:val="002F4D2B"/>
    <w:rsid w:val="002F6D48"/>
    <w:rsid w:val="002F76AC"/>
    <w:rsid w:val="00301670"/>
    <w:rsid w:val="00302ED1"/>
    <w:rsid w:val="00303351"/>
    <w:rsid w:val="0030384A"/>
    <w:rsid w:val="00303C15"/>
    <w:rsid w:val="00303D0E"/>
    <w:rsid w:val="00311AFA"/>
    <w:rsid w:val="0031232E"/>
    <w:rsid w:val="00312490"/>
    <w:rsid w:val="00323906"/>
    <w:rsid w:val="00323AAE"/>
    <w:rsid w:val="00323ED0"/>
    <w:rsid w:val="00330755"/>
    <w:rsid w:val="003322A7"/>
    <w:rsid w:val="003331C5"/>
    <w:rsid w:val="00333222"/>
    <w:rsid w:val="00333829"/>
    <w:rsid w:val="00333E30"/>
    <w:rsid w:val="00333ED6"/>
    <w:rsid w:val="00334899"/>
    <w:rsid w:val="00336ABC"/>
    <w:rsid w:val="00336DC8"/>
    <w:rsid w:val="0034285D"/>
    <w:rsid w:val="00342EFA"/>
    <w:rsid w:val="00343F67"/>
    <w:rsid w:val="00344266"/>
    <w:rsid w:val="00344E1B"/>
    <w:rsid w:val="00346F8D"/>
    <w:rsid w:val="003513B5"/>
    <w:rsid w:val="003513B8"/>
    <w:rsid w:val="00353F5F"/>
    <w:rsid w:val="003630CA"/>
    <w:rsid w:val="00363265"/>
    <w:rsid w:val="00364F8E"/>
    <w:rsid w:val="0036597E"/>
    <w:rsid w:val="0036796B"/>
    <w:rsid w:val="00373B02"/>
    <w:rsid w:val="003779DA"/>
    <w:rsid w:val="003800F6"/>
    <w:rsid w:val="0038440F"/>
    <w:rsid w:val="003875DD"/>
    <w:rsid w:val="0038778A"/>
    <w:rsid w:val="00390197"/>
    <w:rsid w:val="00391995"/>
    <w:rsid w:val="00392523"/>
    <w:rsid w:val="00392848"/>
    <w:rsid w:val="0039406D"/>
    <w:rsid w:val="00395A27"/>
    <w:rsid w:val="0039635A"/>
    <w:rsid w:val="003979C5"/>
    <w:rsid w:val="003A0E02"/>
    <w:rsid w:val="003A0E6B"/>
    <w:rsid w:val="003A119C"/>
    <w:rsid w:val="003A3661"/>
    <w:rsid w:val="003B073B"/>
    <w:rsid w:val="003B4F5E"/>
    <w:rsid w:val="003B6278"/>
    <w:rsid w:val="003B6DEE"/>
    <w:rsid w:val="003C0151"/>
    <w:rsid w:val="003C17DE"/>
    <w:rsid w:val="003C6B26"/>
    <w:rsid w:val="003D2094"/>
    <w:rsid w:val="003D3F99"/>
    <w:rsid w:val="003D604E"/>
    <w:rsid w:val="003D6BBD"/>
    <w:rsid w:val="003D7BA1"/>
    <w:rsid w:val="003E1419"/>
    <w:rsid w:val="003E156F"/>
    <w:rsid w:val="003E63A8"/>
    <w:rsid w:val="003E76DB"/>
    <w:rsid w:val="003F02A5"/>
    <w:rsid w:val="003F2AC6"/>
    <w:rsid w:val="003F33BC"/>
    <w:rsid w:val="003F3B4E"/>
    <w:rsid w:val="003F400D"/>
    <w:rsid w:val="003F42D4"/>
    <w:rsid w:val="003F58F6"/>
    <w:rsid w:val="003F5AF3"/>
    <w:rsid w:val="003F74A5"/>
    <w:rsid w:val="003F7B78"/>
    <w:rsid w:val="00400207"/>
    <w:rsid w:val="00400268"/>
    <w:rsid w:val="004007A1"/>
    <w:rsid w:val="00401F2A"/>
    <w:rsid w:val="00402E42"/>
    <w:rsid w:val="004054BC"/>
    <w:rsid w:val="00411515"/>
    <w:rsid w:val="00413AAB"/>
    <w:rsid w:val="00413B17"/>
    <w:rsid w:val="0041494D"/>
    <w:rsid w:val="004155E4"/>
    <w:rsid w:val="004158DD"/>
    <w:rsid w:val="00416B5D"/>
    <w:rsid w:val="00416B61"/>
    <w:rsid w:val="0042074B"/>
    <w:rsid w:val="0042415E"/>
    <w:rsid w:val="00425049"/>
    <w:rsid w:val="00425BF8"/>
    <w:rsid w:val="0043052E"/>
    <w:rsid w:val="004324E8"/>
    <w:rsid w:val="0043259C"/>
    <w:rsid w:val="0043297D"/>
    <w:rsid w:val="00432F46"/>
    <w:rsid w:val="004346E6"/>
    <w:rsid w:val="00434B70"/>
    <w:rsid w:val="004358D1"/>
    <w:rsid w:val="00435F74"/>
    <w:rsid w:val="0043680B"/>
    <w:rsid w:val="00436CCC"/>
    <w:rsid w:val="0044029A"/>
    <w:rsid w:val="00441E99"/>
    <w:rsid w:val="00443F80"/>
    <w:rsid w:val="0044432D"/>
    <w:rsid w:val="0044493C"/>
    <w:rsid w:val="00450645"/>
    <w:rsid w:val="00451626"/>
    <w:rsid w:val="004527F2"/>
    <w:rsid w:val="00453261"/>
    <w:rsid w:val="00453B81"/>
    <w:rsid w:val="00453E51"/>
    <w:rsid w:val="004568AE"/>
    <w:rsid w:val="0046132E"/>
    <w:rsid w:val="00464240"/>
    <w:rsid w:val="00465DB8"/>
    <w:rsid w:val="00466959"/>
    <w:rsid w:val="004729C7"/>
    <w:rsid w:val="00473D49"/>
    <w:rsid w:val="004741D4"/>
    <w:rsid w:val="00474685"/>
    <w:rsid w:val="00475C09"/>
    <w:rsid w:val="00476182"/>
    <w:rsid w:val="00476D6F"/>
    <w:rsid w:val="00477E78"/>
    <w:rsid w:val="00477EE0"/>
    <w:rsid w:val="00485510"/>
    <w:rsid w:val="00490B4A"/>
    <w:rsid w:val="00491FEA"/>
    <w:rsid w:val="004935BC"/>
    <w:rsid w:val="00494512"/>
    <w:rsid w:val="004954FD"/>
    <w:rsid w:val="004A1A1A"/>
    <w:rsid w:val="004A1B46"/>
    <w:rsid w:val="004A6D1A"/>
    <w:rsid w:val="004B35F0"/>
    <w:rsid w:val="004B3E58"/>
    <w:rsid w:val="004B4B3A"/>
    <w:rsid w:val="004B4C55"/>
    <w:rsid w:val="004B5C44"/>
    <w:rsid w:val="004B61BF"/>
    <w:rsid w:val="004C11B4"/>
    <w:rsid w:val="004C606B"/>
    <w:rsid w:val="004C60EB"/>
    <w:rsid w:val="004C6A43"/>
    <w:rsid w:val="004C6DF6"/>
    <w:rsid w:val="004C700D"/>
    <w:rsid w:val="004D029E"/>
    <w:rsid w:val="004D1D68"/>
    <w:rsid w:val="004D2ADE"/>
    <w:rsid w:val="004D34CA"/>
    <w:rsid w:val="004D6CBB"/>
    <w:rsid w:val="004E06BA"/>
    <w:rsid w:val="004E2D7F"/>
    <w:rsid w:val="004E34A4"/>
    <w:rsid w:val="004E671C"/>
    <w:rsid w:val="004F067F"/>
    <w:rsid w:val="004F07D9"/>
    <w:rsid w:val="004F2173"/>
    <w:rsid w:val="004F3DE7"/>
    <w:rsid w:val="004F46EA"/>
    <w:rsid w:val="004F519A"/>
    <w:rsid w:val="00501379"/>
    <w:rsid w:val="00501F22"/>
    <w:rsid w:val="00511DAC"/>
    <w:rsid w:val="00512A4F"/>
    <w:rsid w:val="00513677"/>
    <w:rsid w:val="00514217"/>
    <w:rsid w:val="005143BD"/>
    <w:rsid w:val="0051541D"/>
    <w:rsid w:val="00515808"/>
    <w:rsid w:val="005245BF"/>
    <w:rsid w:val="0052613A"/>
    <w:rsid w:val="00526501"/>
    <w:rsid w:val="0053212B"/>
    <w:rsid w:val="005324EE"/>
    <w:rsid w:val="00533CF4"/>
    <w:rsid w:val="00533EF0"/>
    <w:rsid w:val="005349FB"/>
    <w:rsid w:val="0053692C"/>
    <w:rsid w:val="00540733"/>
    <w:rsid w:val="0054114A"/>
    <w:rsid w:val="00542358"/>
    <w:rsid w:val="00542AE0"/>
    <w:rsid w:val="00542E25"/>
    <w:rsid w:val="00543BBF"/>
    <w:rsid w:val="00551C16"/>
    <w:rsid w:val="00552E5A"/>
    <w:rsid w:val="00556012"/>
    <w:rsid w:val="00560C96"/>
    <w:rsid w:val="00560CBC"/>
    <w:rsid w:val="00561126"/>
    <w:rsid w:val="00561BBB"/>
    <w:rsid w:val="00562552"/>
    <w:rsid w:val="00562871"/>
    <w:rsid w:val="00566CFA"/>
    <w:rsid w:val="00567777"/>
    <w:rsid w:val="00567D81"/>
    <w:rsid w:val="00567EAA"/>
    <w:rsid w:val="00567F2D"/>
    <w:rsid w:val="0057043F"/>
    <w:rsid w:val="00573979"/>
    <w:rsid w:val="00573BE5"/>
    <w:rsid w:val="00577471"/>
    <w:rsid w:val="005774B5"/>
    <w:rsid w:val="00580562"/>
    <w:rsid w:val="00592315"/>
    <w:rsid w:val="005936C0"/>
    <w:rsid w:val="00593C89"/>
    <w:rsid w:val="005942EF"/>
    <w:rsid w:val="00597EB9"/>
    <w:rsid w:val="005A1003"/>
    <w:rsid w:val="005A11AD"/>
    <w:rsid w:val="005A2E5D"/>
    <w:rsid w:val="005B08C0"/>
    <w:rsid w:val="005B14B3"/>
    <w:rsid w:val="005B3251"/>
    <w:rsid w:val="005B3D03"/>
    <w:rsid w:val="005B3D9F"/>
    <w:rsid w:val="005B5E0E"/>
    <w:rsid w:val="005C60F8"/>
    <w:rsid w:val="005C61BD"/>
    <w:rsid w:val="005C7912"/>
    <w:rsid w:val="005D0766"/>
    <w:rsid w:val="005D07CA"/>
    <w:rsid w:val="005D4096"/>
    <w:rsid w:val="005D4170"/>
    <w:rsid w:val="005D4C15"/>
    <w:rsid w:val="005D4DAA"/>
    <w:rsid w:val="005D725A"/>
    <w:rsid w:val="005E1679"/>
    <w:rsid w:val="005E2152"/>
    <w:rsid w:val="005E2375"/>
    <w:rsid w:val="005E2AE1"/>
    <w:rsid w:val="005E36D9"/>
    <w:rsid w:val="005E4C52"/>
    <w:rsid w:val="005E60AE"/>
    <w:rsid w:val="005E6BF5"/>
    <w:rsid w:val="005E7EDD"/>
    <w:rsid w:val="005F1472"/>
    <w:rsid w:val="005F5777"/>
    <w:rsid w:val="005F6145"/>
    <w:rsid w:val="005F677A"/>
    <w:rsid w:val="005F683C"/>
    <w:rsid w:val="005F6E73"/>
    <w:rsid w:val="005F759B"/>
    <w:rsid w:val="0060149A"/>
    <w:rsid w:val="006025B4"/>
    <w:rsid w:val="00604991"/>
    <w:rsid w:val="00605A79"/>
    <w:rsid w:val="0061191A"/>
    <w:rsid w:val="006145AA"/>
    <w:rsid w:val="00614A50"/>
    <w:rsid w:val="006175A3"/>
    <w:rsid w:val="00620141"/>
    <w:rsid w:val="006205D6"/>
    <w:rsid w:val="00620F81"/>
    <w:rsid w:val="00622417"/>
    <w:rsid w:val="006233CA"/>
    <w:rsid w:val="00626DFC"/>
    <w:rsid w:val="00630BE2"/>
    <w:rsid w:val="00630CC4"/>
    <w:rsid w:val="0063102D"/>
    <w:rsid w:val="00633E86"/>
    <w:rsid w:val="0063576E"/>
    <w:rsid w:val="00636473"/>
    <w:rsid w:val="0064048A"/>
    <w:rsid w:val="00641190"/>
    <w:rsid w:val="006414D4"/>
    <w:rsid w:val="006415AE"/>
    <w:rsid w:val="0064171D"/>
    <w:rsid w:val="00646E55"/>
    <w:rsid w:val="00647D28"/>
    <w:rsid w:val="00647F3A"/>
    <w:rsid w:val="0065115A"/>
    <w:rsid w:val="00651C19"/>
    <w:rsid w:val="0065316D"/>
    <w:rsid w:val="00654A49"/>
    <w:rsid w:val="00654EEB"/>
    <w:rsid w:val="00655417"/>
    <w:rsid w:val="0065723C"/>
    <w:rsid w:val="0065764B"/>
    <w:rsid w:val="00665E6B"/>
    <w:rsid w:val="006672E5"/>
    <w:rsid w:val="00670C75"/>
    <w:rsid w:val="00671488"/>
    <w:rsid w:val="00674ACF"/>
    <w:rsid w:val="00675B4B"/>
    <w:rsid w:val="0067692D"/>
    <w:rsid w:val="00681C93"/>
    <w:rsid w:val="00683B67"/>
    <w:rsid w:val="00683E2A"/>
    <w:rsid w:val="00685EEB"/>
    <w:rsid w:val="00686FEB"/>
    <w:rsid w:val="00691017"/>
    <w:rsid w:val="00691840"/>
    <w:rsid w:val="0069536A"/>
    <w:rsid w:val="00695574"/>
    <w:rsid w:val="0069713F"/>
    <w:rsid w:val="00697F67"/>
    <w:rsid w:val="006A0CA3"/>
    <w:rsid w:val="006A1582"/>
    <w:rsid w:val="006A21B6"/>
    <w:rsid w:val="006A4A6B"/>
    <w:rsid w:val="006A6CB1"/>
    <w:rsid w:val="006A6FBE"/>
    <w:rsid w:val="006A75E3"/>
    <w:rsid w:val="006B1DDC"/>
    <w:rsid w:val="006B23CF"/>
    <w:rsid w:val="006B4432"/>
    <w:rsid w:val="006B525F"/>
    <w:rsid w:val="006B5D81"/>
    <w:rsid w:val="006D14AE"/>
    <w:rsid w:val="006D2A3E"/>
    <w:rsid w:val="006D5F32"/>
    <w:rsid w:val="006D7BE5"/>
    <w:rsid w:val="006E0C6B"/>
    <w:rsid w:val="006E1874"/>
    <w:rsid w:val="006E28F1"/>
    <w:rsid w:val="006E71B4"/>
    <w:rsid w:val="006E7613"/>
    <w:rsid w:val="006E7DD4"/>
    <w:rsid w:val="006E7EDD"/>
    <w:rsid w:val="006F15AF"/>
    <w:rsid w:val="006F2154"/>
    <w:rsid w:val="006F28A4"/>
    <w:rsid w:val="006F4A88"/>
    <w:rsid w:val="006F6E26"/>
    <w:rsid w:val="0070006A"/>
    <w:rsid w:val="00701773"/>
    <w:rsid w:val="007020AD"/>
    <w:rsid w:val="00702F20"/>
    <w:rsid w:val="00706268"/>
    <w:rsid w:val="007104B1"/>
    <w:rsid w:val="00711440"/>
    <w:rsid w:val="007115F7"/>
    <w:rsid w:val="007119EB"/>
    <w:rsid w:val="00711FAF"/>
    <w:rsid w:val="00714134"/>
    <w:rsid w:val="00714195"/>
    <w:rsid w:val="007146F3"/>
    <w:rsid w:val="007169CD"/>
    <w:rsid w:val="00717B10"/>
    <w:rsid w:val="00720718"/>
    <w:rsid w:val="0072415F"/>
    <w:rsid w:val="00725E92"/>
    <w:rsid w:val="00726D83"/>
    <w:rsid w:val="00727E1D"/>
    <w:rsid w:val="00731A17"/>
    <w:rsid w:val="00733830"/>
    <w:rsid w:val="00735649"/>
    <w:rsid w:val="00736F21"/>
    <w:rsid w:val="007371E7"/>
    <w:rsid w:val="00737207"/>
    <w:rsid w:val="00737AD7"/>
    <w:rsid w:val="00742F41"/>
    <w:rsid w:val="0074406A"/>
    <w:rsid w:val="00744838"/>
    <w:rsid w:val="00752935"/>
    <w:rsid w:val="00754093"/>
    <w:rsid w:val="00754D4E"/>
    <w:rsid w:val="00755F51"/>
    <w:rsid w:val="007600C0"/>
    <w:rsid w:val="00760985"/>
    <w:rsid w:val="00766002"/>
    <w:rsid w:val="007731A6"/>
    <w:rsid w:val="0077716C"/>
    <w:rsid w:val="007845BB"/>
    <w:rsid w:val="007862ED"/>
    <w:rsid w:val="00787600"/>
    <w:rsid w:val="00795ADF"/>
    <w:rsid w:val="007A0354"/>
    <w:rsid w:val="007A3C04"/>
    <w:rsid w:val="007A593B"/>
    <w:rsid w:val="007B2282"/>
    <w:rsid w:val="007B3883"/>
    <w:rsid w:val="007B49C7"/>
    <w:rsid w:val="007C0AC5"/>
    <w:rsid w:val="007C1C6A"/>
    <w:rsid w:val="007C2C7C"/>
    <w:rsid w:val="007C3654"/>
    <w:rsid w:val="007C4280"/>
    <w:rsid w:val="007C64AC"/>
    <w:rsid w:val="007C6995"/>
    <w:rsid w:val="007C7FFB"/>
    <w:rsid w:val="007D03FC"/>
    <w:rsid w:val="007D400B"/>
    <w:rsid w:val="007D44C1"/>
    <w:rsid w:val="007D632A"/>
    <w:rsid w:val="007D6863"/>
    <w:rsid w:val="007D720C"/>
    <w:rsid w:val="007D7BA2"/>
    <w:rsid w:val="007E15B9"/>
    <w:rsid w:val="007E7AE7"/>
    <w:rsid w:val="007F08E5"/>
    <w:rsid w:val="007F2C22"/>
    <w:rsid w:val="007F491C"/>
    <w:rsid w:val="007F6321"/>
    <w:rsid w:val="007F668B"/>
    <w:rsid w:val="007F6C5E"/>
    <w:rsid w:val="007F73BF"/>
    <w:rsid w:val="007F7BB5"/>
    <w:rsid w:val="00800C95"/>
    <w:rsid w:val="00801382"/>
    <w:rsid w:val="00801CC2"/>
    <w:rsid w:val="00801CD3"/>
    <w:rsid w:val="008035C9"/>
    <w:rsid w:val="00804B1C"/>
    <w:rsid w:val="008115A6"/>
    <w:rsid w:val="00811686"/>
    <w:rsid w:val="00815EF2"/>
    <w:rsid w:val="008214C4"/>
    <w:rsid w:val="00822D12"/>
    <w:rsid w:val="00822E0B"/>
    <w:rsid w:val="0082614F"/>
    <w:rsid w:val="00826AF5"/>
    <w:rsid w:val="008305C2"/>
    <w:rsid w:val="00830AF9"/>
    <w:rsid w:val="008338D9"/>
    <w:rsid w:val="0083686B"/>
    <w:rsid w:val="008379F4"/>
    <w:rsid w:val="0084201B"/>
    <w:rsid w:val="008436C5"/>
    <w:rsid w:val="00843BC5"/>
    <w:rsid w:val="008443E5"/>
    <w:rsid w:val="00851A21"/>
    <w:rsid w:val="008521D2"/>
    <w:rsid w:val="00853205"/>
    <w:rsid w:val="008573A0"/>
    <w:rsid w:val="00862313"/>
    <w:rsid w:val="00862F33"/>
    <w:rsid w:val="00867EFD"/>
    <w:rsid w:val="00870532"/>
    <w:rsid w:val="00870B16"/>
    <w:rsid w:val="008720EC"/>
    <w:rsid w:val="00873AE0"/>
    <w:rsid w:val="00874852"/>
    <w:rsid w:val="00875D04"/>
    <w:rsid w:val="00880219"/>
    <w:rsid w:val="00884D53"/>
    <w:rsid w:val="00892B1E"/>
    <w:rsid w:val="00895378"/>
    <w:rsid w:val="008958B4"/>
    <w:rsid w:val="0089595B"/>
    <w:rsid w:val="00895C52"/>
    <w:rsid w:val="008968D4"/>
    <w:rsid w:val="008A08A3"/>
    <w:rsid w:val="008A55B1"/>
    <w:rsid w:val="008B00D7"/>
    <w:rsid w:val="008B1585"/>
    <w:rsid w:val="008B29DA"/>
    <w:rsid w:val="008B2D79"/>
    <w:rsid w:val="008B3008"/>
    <w:rsid w:val="008B3A51"/>
    <w:rsid w:val="008B4D9C"/>
    <w:rsid w:val="008B504F"/>
    <w:rsid w:val="008B6A77"/>
    <w:rsid w:val="008B7090"/>
    <w:rsid w:val="008B7A2C"/>
    <w:rsid w:val="008B7E68"/>
    <w:rsid w:val="008C0E14"/>
    <w:rsid w:val="008C40C8"/>
    <w:rsid w:val="008D0248"/>
    <w:rsid w:val="008D06FF"/>
    <w:rsid w:val="008D12ED"/>
    <w:rsid w:val="008D1E99"/>
    <w:rsid w:val="008D6A5A"/>
    <w:rsid w:val="008D7769"/>
    <w:rsid w:val="008D7B30"/>
    <w:rsid w:val="008E06D1"/>
    <w:rsid w:val="008E1845"/>
    <w:rsid w:val="008E3912"/>
    <w:rsid w:val="008E3BE7"/>
    <w:rsid w:val="008E7351"/>
    <w:rsid w:val="008F146E"/>
    <w:rsid w:val="008F1C02"/>
    <w:rsid w:val="008F6E73"/>
    <w:rsid w:val="009001C8"/>
    <w:rsid w:val="0090221F"/>
    <w:rsid w:val="00902D7C"/>
    <w:rsid w:val="00905A14"/>
    <w:rsid w:val="00906DDA"/>
    <w:rsid w:val="00907D7B"/>
    <w:rsid w:val="00915662"/>
    <w:rsid w:val="009159A5"/>
    <w:rsid w:val="009159F4"/>
    <w:rsid w:val="009203FE"/>
    <w:rsid w:val="00921E60"/>
    <w:rsid w:val="009238AA"/>
    <w:rsid w:val="00923CE3"/>
    <w:rsid w:val="00923E91"/>
    <w:rsid w:val="009240D9"/>
    <w:rsid w:val="009255E5"/>
    <w:rsid w:val="0093023B"/>
    <w:rsid w:val="009314BE"/>
    <w:rsid w:val="00932093"/>
    <w:rsid w:val="00933662"/>
    <w:rsid w:val="00934DC8"/>
    <w:rsid w:val="0093584A"/>
    <w:rsid w:val="009362C6"/>
    <w:rsid w:val="009411E5"/>
    <w:rsid w:val="00942ABD"/>
    <w:rsid w:val="0094419D"/>
    <w:rsid w:val="00944428"/>
    <w:rsid w:val="00944B3D"/>
    <w:rsid w:val="00945CA6"/>
    <w:rsid w:val="009468B7"/>
    <w:rsid w:val="0094734C"/>
    <w:rsid w:val="009511FD"/>
    <w:rsid w:val="00952AF1"/>
    <w:rsid w:val="00957669"/>
    <w:rsid w:val="009623FE"/>
    <w:rsid w:val="00967307"/>
    <w:rsid w:val="00970DE8"/>
    <w:rsid w:val="00971442"/>
    <w:rsid w:val="00971848"/>
    <w:rsid w:val="00972CCE"/>
    <w:rsid w:val="00973362"/>
    <w:rsid w:val="009738BE"/>
    <w:rsid w:val="00976DB1"/>
    <w:rsid w:val="00976E52"/>
    <w:rsid w:val="009775E3"/>
    <w:rsid w:val="00977750"/>
    <w:rsid w:val="00977A74"/>
    <w:rsid w:val="00977B7D"/>
    <w:rsid w:val="009837B5"/>
    <w:rsid w:val="009847E1"/>
    <w:rsid w:val="00987150"/>
    <w:rsid w:val="0099036C"/>
    <w:rsid w:val="0099235F"/>
    <w:rsid w:val="00993439"/>
    <w:rsid w:val="00993CB0"/>
    <w:rsid w:val="00994F03"/>
    <w:rsid w:val="00995123"/>
    <w:rsid w:val="009956DF"/>
    <w:rsid w:val="0099631D"/>
    <w:rsid w:val="009A08E0"/>
    <w:rsid w:val="009A3B03"/>
    <w:rsid w:val="009A6B8F"/>
    <w:rsid w:val="009B0B8B"/>
    <w:rsid w:val="009B7C64"/>
    <w:rsid w:val="009C0061"/>
    <w:rsid w:val="009C11D5"/>
    <w:rsid w:val="009C2E8E"/>
    <w:rsid w:val="009C5D24"/>
    <w:rsid w:val="009D3A64"/>
    <w:rsid w:val="009D6D8C"/>
    <w:rsid w:val="009E0687"/>
    <w:rsid w:val="009E1493"/>
    <w:rsid w:val="009E405A"/>
    <w:rsid w:val="009E5051"/>
    <w:rsid w:val="009E55AF"/>
    <w:rsid w:val="009E7020"/>
    <w:rsid w:val="009F2CED"/>
    <w:rsid w:val="009F410A"/>
    <w:rsid w:val="009F4467"/>
    <w:rsid w:val="009F45C1"/>
    <w:rsid w:val="009F67A6"/>
    <w:rsid w:val="00A00871"/>
    <w:rsid w:val="00A01A63"/>
    <w:rsid w:val="00A01A6D"/>
    <w:rsid w:val="00A05FF9"/>
    <w:rsid w:val="00A12654"/>
    <w:rsid w:val="00A14A63"/>
    <w:rsid w:val="00A163C1"/>
    <w:rsid w:val="00A17070"/>
    <w:rsid w:val="00A20166"/>
    <w:rsid w:val="00A21EFB"/>
    <w:rsid w:val="00A21FF8"/>
    <w:rsid w:val="00A22AB9"/>
    <w:rsid w:val="00A23C4F"/>
    <w:rsid w:val="00A278CC"/>
    <w:rsid w:val="00A31D4D"/>
    <w:rsid w:val="00A35D5B"/>
    <w:rsid w:val="00A40501"/>
    <w:rsid w:val="00A45EB5"/>
    <w:rsid w:val="00A46D95"/>
    <w:rsid w:val="00A508C9"/>
    <w:rsid w:val="00A513F0"/>
    <w:rsid w:val="00A52F82"/>
    <w:rsid w:val="00A57F2A"/>
    <w:rsid w:val="00A61910"/>
    <w:rsid w:val="00A63292"/>
    <w:rsid w:val="00A666DF"/>
    <w:rsid w:val="00A67133"/>
    <w:rsid w:val="00A67B61"/>
    <w:rsid w:val="00A67D7E"/>
    <w:rsid w:val="00A70DB5"/>
    <w:rsid w:val="00A71EDD"/>
    <w:rsid w:val="00A721BB"/>
    <w:rsid w:val="00A73EB8"/>
    <w:rsid w:val="00A74578"/>
    <w:rsid w:val="00A75725"/>
    <w:rsid w:val="00A7610E"/>
    <w:rsid w:val="00A77656"/>
    <w:rsid w:val="00A81F20"/>
    <w:rsid w:val="00A85831"/>
    <w:rsid w:val="00A873F7"/>
    <w:rsid w:val="00A900CE"/>
    <w:rsid w:val="00A91181"/>
    <w:rsid w:val="00A92229"/>
    <w:rsid w:val="00A9248D"/>
    <w:rsid w:val="00A97213"/>
    <w:rsid w:val="00AA35EE"/>
    <w:rsid w:val="00AA58C2"/>
    <w:rsid w:val="00AB0371"/>
    <w:rsid w:val="00AB12AA"/>
    <w:rsid w:val="00AB3047"/>
    <w:rsid w:val="00AB37A2"/>
    <w:rsid w:val="00AB4DBD"/>
    <w:rsid w:val="00AB6858"/>
    <w:rsid w:val="00AC3EA3"/>
    <w:rsid w:val="00AC68B0"/>
    <w:rsid w:val="00AD0DCF"/>
    <w:rsid w:val="00AD38F8"/>
    <w:rsid w:val="00AD40C4"/>
    <w:rsid w:val="00AE3BA8"/>
    <w:rsid w:val="00AF12F6"/>
    <w:rsid w:val="00B0374E"/>
    <w:rsid w:val="00B0401E"/>
    <w:rsid w:val="00B070CC"/>
    <w:rsid w:val="00B07869"/>
    <w:rsid w:val="00B109EA"/>
    <w:rsid w:val="00B1306D"/>
    <w:rsid w:val="00B140DD"/>
    <w:rsid w:val="00B15199"/>
    <w:rsid w:val="00B15212"/>
    <w:rsid w:val="00B16F57"/>
    <w:rsid w:val="00B20709"/>
    <w:rsid w:val="00B21875"/>
    <w:rsid w:val="00B226F5"/>
    <w:rsid w:val="00B22A7D"/>
    <w:rsid w:val="00B234B3"/>
    <w:rsid w:val="00B24543"/>
    <w:rsid w:val="00B303A3"/>
    <w:rsid w:val="00B34DBA"/>
    <w:rsid w:val="00B34F7C"/>
    <w:rsid w:val="00B35852"/>
    <w:rsid w:val="00B36681"/>
    <w:rsid w:val="00B368A2"/>
    <w:rsid w:val="00B371CB"/>
    <w:rsid w:val="00B402E6"/>
    <w:rsid w:val="00B40756"/>
    <w:rsid w:val="00B40C81"/>
    <w:rsid w:val="00B42B97"/>
    <w:rsid w:val="00B44A4F"/>
    <w:rsid w:val="00B45772"/>
    <w:rsid w:val="00B50B6F"/>
    <w:rsid w:val="00B5225C"/>
    <w:rsid w:val="00B54997"/>
    <w:rsid w:val="00B60B9F"/>
    <w:rsid w:val="00B62C54"/>
    <w:rsid w:val="00B64D66"/>
    <w:rsid w:val="00B64FA2"/>
    <w:rsid w:val="00B70B71"/>
    <w:rsid w:val="00B72080"/>
    <w:rsid w:val="00B7349E"/>
    <w:rsid w:val="00B74022"/>
    <w:rsid w:val="00B7685F"/>
    <w:rsid w:val="00B771E0"/>
    <w:rsid w:val="00B81160"/>
    <w:rsid w:val="00B817D5"/>
    <w:rsid w:val="00B81BAD"/>
    <w:rsid w:val="00B86A96"/>
    <w:rsid w:val="00B90C8A"/>
    <w:rsid w:val="00B913BD"/>
    <w:rsid w:val="00B94646"/>
    <w:rsid w:val="00BA012A"/>
    <w:rsid w:val="00BA24B9"/>
    <w:rsid w:val="00BA4045"/>
    <w:rsid w:val="00BA5409"/>
    <w:rsid w:val="00BB026D"/>
    <w:rsid w:val="00BB1C1B"/>
    <w:rsid w:val="00BB34DF"/>
    <w:rsid w:val="00BB3C9B"/>
    <w:rsid w:val="00BB6472"/>
    <w:rsid w:val="00BC09ED"/>
    <w:rsid w:val="00BC124E"/>
    <w:rsid w:val="00BC17AA"/>
    <w:rsid w:val="00BC197F"/>
    <w:rsid w:val="00BC2D1C"/>
    <w:rsid w:val="00BC5F6A"/>
    <w:rsid w:val="00BC6970"/>
    <w:rsid w:val="00BC7144"/>
    <w:rsid w:val="00BD1871"/>
    <w:rsid w:val="00BD3996"/>
    <w:rsid w:val="00BD6321"/>
    <w:rsid w:val="00BD75D9"/>
    <w:rsid w:val="00BD7699"/>
    <w:rsid w:val="00BD76EE"/>
    <w:rsid w:val="00BD7BC7"/>
    <w:rsid w:val="00BE1FCB"/>
    <w:rsid w:val="00BE2F0C"/>
    <w:rsid w:val="00BE309F"/>
    <w:rsid w:val="00BE3A18"/>
    <w:rsid w:val="00BE410E"/>
    <w:rsid w:val="00BE4E8E"/>
    <w:rsid w:val="00BE5535"/>
    <w:rsid w:val="00BE7972"/>
    <w:rsid w:val="00BF1DB7"/>
    <w:rsid w:val="00BF1DDB"/>
    <w:rsid w:val="00BF2132"/>
    <w:rsid w:val="00BF2BD0"/>
    <w:rsid w:val="00BF343E"/>
    <w:rsid w:val="00BF5FAF"/>
    <w:rsid w:val="00BF63E0"/>
    <w:rsid w:val="00BF7F4D"/>
    <w:rsid w:val="00C00371"/>
    <w:rsid w:val="00C01D59"/>
    <w:rsid w:val="00C0307D"/>
    <w:rsid w:val="00C072A0"/>
    <w:rsid w:val="00C07A79"/>
    <w:rsid w:val="00C1394D"/>
    <w:rsid w:val="00C16940"/>
    <w:rsid w:val="00C24D64"/>
    <w:rsid w:val="00C2690E"/>
    <w:rsid w:val="00C26CD8"/>
    <w:rsid w:val="00C30E56"/>
    <w:rsid w:val="00C31B2B"/>
    <w:rsid w:val="00C34221"/>
    <w:rsid w:val="00C355A1"/>
    <w:rsid w:val="00C37E53"/>
    <w:rsid w:val="00C409EA"/>
    <w:rsid w:val="00C40FE5"/>
    <w:rsid w:val="00C41704"/>
    <w:rsid w:val="00C4749E"/>
    <w:rsid w:val="00C51087"/>
    <w:rsid w:val="00C510B3"/>
    <w:rsid w:val="00C51645"/>
    <w:rsid w:val="00C56134"/>
    <w:rsid w:val="00C569A3"/>
    <w:rsid w:val="00C570B6"/>
    <w:rsid w:val="00C575CB"/>
    <w:rsid w:val="00C57670"/>
    <w:rsid w:val="00C60F6C"/>
    <w:rsid w:val="00C611C3"/>
    <w:rsid w:val="00C62255"/>
    <w:rsid w:val="00C62CD7"/>
    <w:rsid w:val="00C6384A"/>
    <w:rsid w:val="00C63F9C"/>
    <w:rsid w:val="00C64639"/>
    <w:rsid w:val="00C71E5C"/>
    <w:rsid w:val="00C724D5"/>
    <w:rsid w:val="00C727FD"/>
    <w:rsid w:val="00C75360"/>
    <w:rsid w:val="00C753D1"/>
    <w:rsid w:val="00C763A8"/>
    <w:rsid w:val="00C77D65"/>
    <w:rsid w:val="00C80480"/>
    <w:rsid w:val="00C8088C"/>
    <w:rsid w:val="00C83C89"/>
    <w:rsid w:val="00C84254"/>
    <w:rsid w:val="00C87537"/>
    <w:rsid w:val="00C91711"/>
    <w:rsid w:val="00C94BAC"/>
    <w:rsid w:val="00C94E06"/>
    <w:rsid w:val="00C94EC6"/>
    <w:rsid w:val="00CA3497"/>
    <w:rsid w:val="00CA52A2"/>
    <w:rsid w:val="00CA7389"/>
    <w:rsid w:val="00CA79EC"/>
    <w:rsid w:val="00CB1299"/>
    <w:rsid w:val="00CC0C69"/>
    <w:rsid w:val="00CC59B0"/>
    <w:rsid w:val="00CC6E72"/>
    <w:rsid w:val="00CC7FBA"/>
    <w:rsid w:val="00CD0C0F"/>
    <w:rsid w:val="00CD0D31"/>
    <w:rsid w:val="00CD1053"/>
    <w:rsid w:val="00CD2B88"/>
    <w:rsid w:val="00CD3B7B"/>
    <w:rsid w:val="00CD46AF"/>
    <w:rsid w:val="00CD6974"/>
    <w:rsid w:val="00CD72CE"/>
    <w:rsid w:val="00CD7E74"/>
    <w:rsid w:val="00CE01C3"/>
    <w:rsid w:val="00CE052F"/>
    <w:rsid w:val="00CE788E"/>
    <w:rsid w:val="00CF17E2"/>
    <w:rsid w:val="00CF398D"/>
    <w:rsid w:val="00CF4D65"/>
    <w:rsid w:val="00CF6364"/>
    <w:rsid w:val="00CF6A96"/>
    <w:rsid w:val="00D02D52"/>
    <w:rsid w:val="00D048AC"/>
    <w:rsid w:val="00D04924"/>
    <w:rsid w:val="00D0670B"/>
    <w:rsid w:val="00D07106"/>
    <w:rsid w:val="00D1031D"/>
    <w:rsid w:val="00D10715"/>
    <w:rsid w:val="00D124B5"/>
    <w:rsid w:val="00D12D2A"/>
    <w:rsid w:val="00D15D45"/>
    <w:rsid w:val="00D17AA9"/>
    <w:rsid w:val="00D20CF6"/>
    <w:rsid w:val="00D23BED"/>
    <w:rsid w:val="00D2610B"/>
    <w:rsid w:val="00D30FDA"/>
    <w:rsid w:val="00D3115F"/>
    <w:rsid w:val="00D356B3"/>
    <w:rsid w:val="00D40C42"/>
    <w:rsid w:val="00D4129F"/>
    <w:rsid w:val="00D42594"/>
    <w:rsid w:val="00D4365E"/>
    <w:rsid w:val="00D44C77"/>
    <w:rsid w:val="00D464C4"/>
    <w:rsid w:val="00D469E7"/>
    <w:rsid w:val="00D46FB5"/>
    <w:rsid w:val="00D54349"/>
    <w:rsid w:val="00D61A68"/>
    <w:rsid w:val="00D62A72"/>
    <w:rsid w:val="00D70E50"/>
    <w:rsid w:val="00D71BAD"/>
    <w:rsid w:val="00D73B34"/>
    <w:rsid w:val="00D7646B"/>
    <w:rsid w:val="00D80757"/>
    <w:rsid w:val="00D82D20"/>
    <w:rsid w:val="00D84278"/>
    <w:rsid w:val="00D84A5A"/>
    <w:rsid w:val="00D878AD"/>
    <w:rsid w:val="00D930FF"/>
    <w:rsid w:val="00D93839"/>
    <w:rsid w:val="00D94159"/>
    <w:rsid w:val="00D94767"/>
    <w:rsid w:val="00D95AD6"/>
    <w:rsid w:val="00DA41F3"/>
    <w:rsid w:val="00DA6B83"/>
    <w:rsid w:val="00DB0182"/>
    <w:rsid w:val="00DB4F18"/>
    <w:rsid w:val="00DB69D0"/>
    <w:rsid w:val="00DB6B6C"/>
    <w:rsid w:val="00DB7A63"/>
    <w:rsid w:val="00DC0D6F"/>
    <w:rsid w:val="00DC22A4"/>
    <w:rsid w:val="00DC283D"/>
    <w:rsid w:val="00DC45F4"/>
    <w:rsid w:val="00DC6D77"/>
    <w:rsid w:val="00DC7840"/>
    <w:rsid w:val="00DD00A0"/>
    <w:rsid w:val="00DD0C2F"/>
    <w:rsid w:val="00DD354D"/>
    <w:rsid w:val="00DD4DC0"/>
    <w:rsid w:val="00DD6E54"/>
    <w:rsid w:val="00DD7772"/>
    <w:rsid w:val="00DE3D61"/>
    <w:rsid w:val="00DE59B2"/>
    <w:rsid w:val="00DE6976"/>
    <w:rsid w:val="00DF13B1"/>
    <w:rsid w:val="00DF1B56"/>
    <w:rsid w:val="00DF1FC0"/>
    <w:rsid w:val="00DF216B"/>
    <w:rsid w:val="00E01844"/>
    <w:rsid w:val="00E0406F"/>
    <w:rsid w:val="00E04B66"/>
    <w:rsid w:val="00E07170"/>
    <w:rsid w:val="00E1026D"/>
    <w:rsid w:val="00E10580"/>
    <w:rsid w:val="00E1268C"/>
    <w:rsid w:val="00E16655"/>
    <w:rsid w:val="00E176B6"/>
    <w:rsid w:val="00E20D70"/>
    <w:rsid w:val="00E21DFE"/>
    <w:rsid w:val="00E2658F"/>
    <w:rsid w:val="00E2748A"/>
    <w:rsid w:val="00E30372"/>
    <w:rsid w:val="00E30720"/>
    <w:rsid w:val="00E33057"/>
    <w:rsid w:val="00E334D5"/>
    <w:rsid w:val="00E37282"/>
    <w:rsid w:val="00E374EB"/>
    <w:rsid w:val="00E40FF9"/>
    <w:rsid w:val="00E51381"/>
    <w:rsid w:val="00E5571A"/>
    <w:rsid w:val="00E5652D"/>
    <w:rsid w:val="00E60FCE"/>
    <w:rsid w:val="00E64A89"/>
    <w:rsid w:val="00E65852"/>
    <w:rsid w:val="00E700CA"/>
    <w:rsid w:val="00E71B8E"/>
    <w:rsid w:val="00E72439"/>
    <w:rsid w:val="00E753B0"/>
    <w:rsid w:val="00E76D77"/>
    <w:rsid w:val="00E8207A"/>
    <w:rsid w:val="00E82A19"/>
    <w:rsid w:val="00E841FF"/>
    <w:rsid w:val="00E858D3"/>
    <w:rsid w:val="00E86656"/>
    <w:rsid w:val="00E91D67"/>
    <w:rsid w:val="00E94780"/>
    <w:rsid w:val="00E96CCF"/>
    <w:rsid w:val="00EA0673"/>
    <w:rsid w:val="00EA2F0E"/>
    <w:rsid w:val="00EA5220"/>
    <w:rsid w:val="00EA5E81"/>
    <w:rsid w:val="00EA5E93"/>
    <w:rsid w:val="00EA7189"/>
    <w:rsid w:val="00EB0DBD"/>
    <w:rsid w:val="00EB1E5E"/>
    <w:rsid w:val="00EB2B60"/>
    <w:rsid w:val="00EB59F8"/>
    <w:rsid w:val="00EB6C22"/>
    <w:rsid w:val="00EC3DA5"/>
    <w:rsid w:val="00EC6528"/>
    <w:rsid w:val="00ED13AC"/>
    <w:rsid w:val="00ED71E4"/>
    <w:rsid w:val="00EE35B4"/>
    <w:rsid w:val="00EF012E"/>
    <w:rsid w:val="00EF290B"/>
    <w:rsid w:val="00EF3413"/>
    <w:rsid w:val="00EF65FA"/>
    <w:rsid w:val="00EF79D5"/>
    <w:rsid w:val="00F0079D"/>
    <w:rsid w:val="00F0139E"/>
    <w:rsid w:val="00F0170C"/>
    <w:rsid w:val="00F022F6"/>
    <w:rsid w:val="00F02A19"/>
    <w:rsid w:val="00F038CB"/>
    <w:rsid w:val="00F0432D"/>
    <w:rsid w:val="00F04859"/>
    <w:rsid w:val="00F068AC"/>
    <w:rsid w:val="00F06C60"/>
    <w:rsid w:val="00F108B1"/>
    <w:rsid w:val="00F1534A"/>
    <w:rsid w:val="00F16336"/>
    <w:rsid w:val="00F166A4"/>
    <w:rsid w:val="00F17567"/>
    <w:rsid w:val="00F20B7F"/>
    <w:rsid w:val="00F239DE"/>
    <w:rsid w:val="00F23AAF"/>
    <w:rsid w:val="00F319F4"/>
    <w:rsid w:val="00F31B36"/>
    <w:rsid w:val="00F33CF1"/>
    <w:rsid w:val="00F34147"/>
    <w:rsid w:val="00F356EA"/>
    <w:rsid w:val="00F36B22"/>
    <w:rsid w:val="00F42E06"/>
    <w:rsid w:val="00F44144"/>
    <w:rsid w:val="00F44471"/>
    <w:rsid w:val="00F45D02"/>
    <w:rsid w:val="00F45FC6"/>
    <w:rsid w:val="00F507E5"/>
    <w:rsid w:val="00F5582C"/>
    <w:rsid w:val="00F62745"/>
    <w:rsid w:val="00F6294A"/>
    <w:rsid w:val="00F62CCC"/>
    <w:rsid w:val="00F63E2A"/>
    <w:rsid w:val="00F65F1C"/>
    <w:rsid w:val="00F66414"/>
    <w:rsid w:val="00F66DB4"/>
    <w:rsid w:val="00F7241D"/>
    <w:rsid w:val="00F753F3"/>
    <w:rsid w:val="00F75F7C"/>
    <w:rsid w:val="00F827A5"/>
    <w:rsid w:val="00F82BF0"/>
    <w:rsid w:val="00F90BA3"/>
    <w:rsid w:val="00F92ABA"/>
    <w:rsid w:val="00F95BE9"/>
    <w:rsid w:val="00F96DDF"/>
    <w:rsid w:val="00FA23BA"/>
    <w:rsid w:val="00FA5CB8"/>
    <w:rsid w:val="00FA6557"/>
    <w:rsid w:val="00FB2A2F"/>
    <w:rsid w:val="00FB33D9"/>
    <w:rsid w:val="00FB48E0"/>
    <w:rsid w:val="00FC21B7"/>
    <w:rsid w:val="00FC327D"/>
    <w:rsid w:val="00FC39BF"/>
    <w:rsid w:val="00FC3E99"/>
    <w:rsid w:val="00FD1F45"/>
    <w:rsid w:val="00FD53E9"/>
    <w:rsid w:val="00FD54E5"/>
    <w:rsid w:val="00FD5DA4"/>
    <w:rsid w:val="00FD7BB7"/>
    <w:rsid w:val="00FE21D9"/>
    <w:rsid w:val="00FE3598"/>
    <w:rsid w:val="00FE3728"/>
    <w:rsid w:val="00FE4DE5"/>
    <w:rsid w:val="00FE67BE"/>
    <w:rsid w:val="00FE74D6"/>
    <w:rsid w:val="00FE7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C09AD03-E42C-42BE-A6C9-DEB218BF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9"/>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41"/>
    <w:pPr>
      <w:jc w:val="both"/>
    </w:pPr>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8958B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42F41"/>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semiHidden/>
    <w:unhideWhenUsed/>
    <w:qFormat/>
    <w:rsid w:val="00843BC5"/>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99"/>
    <w:qFormat/>
    <w:rsid w:val="00742F41"/>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rsid w:val="00742F41"/>
    <w:rPr>
      <w:sz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link w:val="FootnoteText"/>
    <w:rsid w:val="00742F41"/>
    <w:rPr>
      <w:rFonts w:ascii="Times New Roman" w:eastAsia="Times New Roman" w:hAnsi="Times New Roman" w:cs="Times New Roman"/>
      <w:sz w:val="20"/>
      <w:szCs w:val="20"/>
    </w:rPr>
  </w:style>
  <w:style w:type="character" w:styleId="FootnoteReference">
    <w:name w:val="footnote reference"/>
    <w:aliases w:val="Footnote Reference Number,SUPERS,Footnote symbol,Footnote Refernece,ftref,Footnote Reference Superscript,Vēres atsauce,Odwołanie przypisu,BVI fnr,Footnotes refss,Ref,de nota al pie,-E Fußnotenzeichen,Footnote reference number,E,E FNZ"/>
    <w:rsid w:val="00742F41"/>
    <w:rPr>
      <w:rFonts w:ascii="Times New Roman" w:hAnsi="Times New Roman"/>
      <w:vertAlign w:val="superscript"/>
    </w:rPr>
  </w:style>
  <w:style w:type="paragraph" w:customStyle="1" w:styleId="H2">
    <w:name w:val="H2"/>
    <w:basedOn w:val="Heading2"/>
    <w:qFormat/>
    <w:rsid w:val="00742F41"/>
    <w:pPr>
      <w:keepLines w:val="0"/>
      <w:spacing w:before="480" w:after="240"/>
      <w:ind w:left="284" w:right="-29"/>
      <w:jc w:val="center"/>
    </w:pPr>
    <w:rPr>
      <w:rFonts w:eastAsia="Times New Roman"/>
      <w:iCs/>
      <w:color w:val="auto"/>
      <w:sz w:val="28"/>
      <w:szCs w:val="28"/>
      <w:lang w:eastAsia="lv-LV"/>
    </w:rPr>
  </w:style>
  <w:style w:type="paragraph" w:customStyle="1" w:styleId="Bullet1">
    <w:name w:val="Bullet1"/>
    <w:basedOn w:val="ListBullet"/>
    <w:qFormat/>
    <w:rsid w:val="00742F41"/>
    <w:pPr>
      <w:tabs>
        <w:tab w:val="left" w:pos="840"/>
      </w:tabs>
      <w:spacing w:before="60" w:after="60"/>
      <w:ind w:left="840" w:right="-29" w:hanging="420"/>
      <w:contextualSpacing w:val="0"/>
    </w:pPr>
    <w:rPr>
      <w:sz w:val="28"/>
      <w:szCs w:val="28"/>
      <w:lang w:eastAsia="lv-LV"/>
    </w:rPr>
  </w:style>
  <w:style w:type="paragraph" w:customStyle="1" w:styleId="secinajumi">
    <w:name w:val="secinajumi"/>
    <w:basedOn w:val="Normal"/>
    <w:qFormat/>
    <w:rsid w:val="00742F41"/>
    <w:pPr>
      <w:spacing w:before="120" w:after="120"/>
      <w:ind w:left="284" w:right="-29"/>
    </w:pPr>
    <w:rPr>
      <w:i/>
      <w:color w:val="0000CC"/>
      <w:sz w:val="28"/>
      <w:szCs w:val="28"/>
      <w:lang w:eastAsia="lv-LV"/>
    </w:rPr>
  </w:style>
  <w:style w:type="paragraph" w:customStyle="1" w:styleId="Bullet11">
    <w:name w:val="Bullet 11"/>
    <w:basedOn w:val="Bullet1"/>
    <w:rsid w:val="00742F41"/>
    <w:pPr>
      <w:ind w:left="780" w:hanging="360"/>
    </w:pPr>
  </w:style>
  <w:style w:type="character" w:customStyle="1" w:styleId="Heading2Char">
    <w:name w:val="Heading 2 Char"/>
    <w:link w:val="Heading2"/>
    <w:uiPriority w:val="9"/>
    <w:semiHidden/>
    <w:rsid w:val="00742F41"/>
    <w:rPr>
      <w:rFonts w:ascii="Cambria" w:eastAsia="MS Gothic" w:hAnsi="Cambria" w:cs="Times New Roman"/>
      <w:b/>
      <w:bCs/>
      <w:color w:val="4F81BD"/>
      <w:sz w:val="26"/>
      <w:szCs w:val="26"/>
    </w:rPr>
  </w:style>
  <w:style w:type="paragraph" w:styleId="ListBullet">
    <w:name w:val="List Bullet"/>
    <w:basedOn w:val="Normal"/>
    <w:uiPriority w:val="99"/>
    <w:semiHidden/>
    <w:unhideWhenUsed/>
    <w:rsid w:val="00742F41"/>
    <w:pPr>
      <w:ind w:left="786" w:hanging="360"/>
      <w:contextualSpacing/>
    </w:pPr>
  </w:style>
  <w:style w:type="paragraph" w:styleId="Caption">
    <w:name w:val="caption"/>
    <w:basedOn w:val="Normal"/>
    <w:next w:val="Normal"/>
    <w:uiPriority w:val="35"/>
    <w:qFormat/>
    <w:rsid w:val="00EA5E93"/>
    <w:rPr>
      <w:b/>
      <w:bCs/>
      <w:sz w:val="20"/>
    </w:rPr>
  </w:style>
  <w:style w:type="paragraph" w:styleId="BalloonText">
    <w:name w:val="Balloon Text"/>
    <w:basedOn w:val="Normal"/>
    <w:link w:val="BalloonTextChar"/>
    <w:uiPriority w:val="99"/>
    <w:semiHidden/>
    <w:unhideWhenUsed/>
    <w:rsid w:val="00EA5E93"/>
    <w:rPr>
      <w:rFonts w:ascii="Tahoma" w:hAnsi="Tahoma" w:cs="Tahoma"/>
      <w:sz w:val="16"/>
      <w:szCs w:val="16"/>
    </w:rPr>
  </w:style>
  <w:style w:type="character" w:customStyle="1" w:styleId="BalloonTextChar">
    <w:name w:val="Balloon Text Char"/>
    <w:link w:val="BalloonText"/>
    <w:uiPriority w:val="99"/>
    <w:semiHidden/>
    <w:rsid w:val="00EA5E93"/>
    <w:rPr>
      <w:rFonts w:ascii="Tahoma" w:eastAsia="Times New Roman" w:hAnsi="Tahoma" w:cs="Tahoma"/>
      <w:sz w:val="16"/>
      <w:szCs w:val="16"/>
    </w:rPr>
  </w:style>
  <w:style w:type="paragraph" w:styleId="Header">
    <w:name w:val="header"/>
    <w:basedOn w:val="Normal"/>
    <w:link w:val="HeaderChar"/>
    <w:uiPriority w:val="99"/>
    <w:unhideWhenUsed/>
    <w:rsid w:val="00BA012A"/>
    <w:pPr>
      <w:tabs>
        <w:tab w:val="center" w:pos="4153"/>
        <w:tab w:val="right" w:pos="8306"/>
      </w:tabs>
    </w:pPr>
  </w:style>
  <w:style w:type="character" w:customStyle="1" w:styleId="HeaderChar">
    <w:name w:val="Header Char"/>
    <w:link w:val="Header"/>
    <w:uiPriority w:val="99"/>
    <w:rsid w:val="00BA012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A012A"/>
    <w:pPr>
      <w:tabs>
        <w:tab w:val="center" w:pos="4153"/>
        <w:tab w:val="right" w:pos="8306"/>
      </w:tabs>
    </w:pPr>
  </w:style>
  <w:style w:type="character" w:customStyle="1" w:styleId="FooterChar">
    <w:name w:val="Footer Char"/>
    <w:link w:val="Footer"/>
    <w:uiPriority w:val="99"/>
    <w:rsid w:val="00BA012A"/>
    <w:rPr>
      <w:rFonts w:ascii="Times New Roman" w:eastAsia="Times New Roman" w:hAnsi="Times New Roman" w:cs="Times New Roman"/>
      <w:sz w:val="24"/>
      <w:szCs w:val="20"/>
    </w:rPr>
  </w:style>
  <w:style w:type="paragraph" w:customStyle="1" w:styleId="tv213">
    <w:name w:val="tv213"/>
    <w:basedOn w:val="Normal"/>
    <w:rsid w:val="001670AE"/>
    <w:pPr>
      <w:spacing w:before="100" w:beforeAutospacing="1" w:after="100" w:afterAutospacing="1"/>
      <w:jc w:val="left"/>
    </w:pPr>
    <w:rPr>
      <w:szCs w:val="24"/>
      <w:lang w:eastAsia="lv-LV"/>
    </w:rPr>
  </w:style>
  <w:style w:type="character" w:customStyle="1" w:styleId="apple-converted-space">
    <w:name w:val="apple-converted-space"/>
    <w:basedOn w:val="DefaultParagraphFont"/>
    <w:rsid w:val="001670AE"/>
  </w:style>
  <w:style w:type="paragraph" w:customStyle="1" w:styleId="labojumupamats">
    <w:name w:val="labojumu_pamats"/>
    <w:basedOn w:val="Normal"/>
    <w:rsid w:val="001670AE"/>
    <w:pPr>
      <w:spacing w:before="100" w:beforeAutospacing="1" w:after="100" w:afterAutospacing="1"/>
      <w:jc w:val="left"/>
    </w:pPr>
    <w:rPr>
      <w:szCs w:val="24"/>
      <w:lang w:eastAsia="lv-LV"/>
    </w:rPr>
  </w:style>
  <w:style w:type="character" w:styleId="Hyperlink">
    <w:name w:val="Hyperlink"/>
    <w:uiPriority w:val="99"/>
    <w:unhideWhenUsed/>
    <w:rsid w:val="001670AE"/>
    <w:rPr>
      <w:color w:val="0000FF"/>
      <w:u w:val="single"/>
    </w:rPr>
  </w:style>
  <w:style w:type="paragraph" w:styleId="NormalWeb">
    <w:name w:val="Normal (Web)"/>
    <w:basedOn w:val="Normal"/>
    <w:uiPriority w:val="99"/>
    <w:unhideWhenUsed/>
    <w:rsid w:val="008D1E99"/>
    <w:pPr>
      <w:spacing w:before="100" w:beforeAutospacing="1" w:after="100" w:afterAutospacing="1"/>
      <w:jc w:val="left"/>
    </w:pPr>
    <w:rPr>
      <w:szCs w:val="24"/>
      <w:lang w:eastAsia="lv-LV"/>
    </w:rPr>
  </w:style>
  <w:style w:type="character" w:styleId="CommentReference">
    <w:name w:val="annotation reference"/>
    <w:uiPriority w:val="99"/>
    <w:semiHidden/>
    <w:unhideWhenUsed/>
    <w:rsid w:val="00B24543"/>
    <w:rPr>
      <w:sz w:val="16"/>
      <w:szCs w:val="16"/>
    </w:rPr>
  </w:style>
  <w:style w:type="paragraph" w:styleId="CommentText">
    <w:name w:val="annotation text"/>
    <w:basedOn w:val="Normal"/>
    <w:link w:val="CommentTextChar"/>
    <w:unhideWhenUsed/>
    <w:rsid w:val="00B24543"/>
    <w:rPr>
      <w:sz w:val="20"/>
    </w:rPr>
  </w:style>
  <w:style w:type="character" w:customStyle="1" w:styleId="CommentTextChar">
    <w:name w:val="Comment Text Char"/>
    <w:link w:val="CommentText"/>
    <w:rsid w:val="00B245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6CBB"/>
    <w:rPr>
      <w:b/>
      <w:bCs/>
    </w:rPr>
  </w:style>
  <w:style w:type="character" w:customStyle="1" w:styleId="CommentSubjectChar">
    <w:name w:val="Comment Subject Char"/>
    <w:link w:val="CommentSubject"/>
    <w:uiPriority w:val="99"/>
    <w:semiHidden/>
    <w:rsid w:val="004D6CBB"/>
    <w:rPr>
      <w:rFonts w:ascii="Times New Roman" w:eastAsia="Times New Roman" w:hAnsi="Times New Roman" w:cs="Times New Roman"/>
      <w:b/>
      <w:bCs/>
      <w:sz w:val="20"/>
      <w:szCs w:val="20"/>
      <w:lang w:eastAsia="en-US"/>
    </w:rPr>
  </w:style>
  <w:style w:type="character" w:customStyle="1" w:styleId="Heading1Char">
    <w:name w:val="Heading 1 Char"/>
    <w:link w:val="Heading1"/>
    <w:uiPriority w:val="9"/>
    <w:rsid w:val="008958B4"/>
    <w:rPr>
      <w:rFonts w:ascii="Cambria" w:eastAsia="Times New Roman" w:hAnsi="Cambria" w:cs="Times New Roman"/>
      <w:b/>
      <w:bCs/>
      <w:kern w:val="32"/>
      <w:sz w:val="32"/>
      <w:szCs w:val="32"/>
      <w:lang w:eastAsia="en-US"/>
    </w:rPr>
  </w:style>
  <w:style w:type="character" w:styleId="FollowedHyperlink">
    <w:name w:val="FollowedHyperlink"/>
    <w:uiPriority w:val="99"/>
    <w:semiHidden/>
    <w:unhideWhenUsed/>
    <w:rsid w:val="00D23BED"/>
    <w:rPr>
      <w:color w:val="800080"/>
      <w:u w:val="single"/>
    </w:rPr>
  </w:style>
  <w:style w:type="paragraph" w:styleId="ListParagraph">
    <w:name w:val="List Paragraph"/>
    <w:aliases w:val="2"/>
    <w:basedOn w:val="Normal"/>
    <w:link w:val="ListParagraphChar"/>
    <w:uiPriority w:val="34"/>
    <w:qFormat/>
    <w:rsid w:val="00F45D02"/>
    <w:pPr>
      <w:ind w:left="720"/>
      <w:contextualSpacing/>
    </w:pPr>
  </w:style>
  <w:style w:type="paragraph" w:styleId="TOC1">
    <w:name w:val="toc 1"/>
    <w:basedOn w:val="Normal"/>
    <w:next w:val="Normal"/>
    <w:autoRedefine/>
    <w:uiPriority w:val="39"/>
    <w:unhideWhenUsed/>
    <w:rsid w:val="00425049"/>
    <w:pPr>
      <w:tabs>
        <w:tab w:val="left" w:leader="dot" w:pos="8505"/>
      </w:tabs>
      <w:ind w:right="707"/>
    </w:pPr>
    <w:rPr>
      <w:b/>
      <w:sz w:val="32"/>
      <w:szCs w:val="24"/>
      <w:lang w:eastAsia="zh-TW"/>
    </w:rPr>
  </w:style>
  <w:style w:type="paragraph" w:styleId="TOC2">
    <w:name w:val="toc 2"/>
    <w:basedOn w:val="Normal"/>
    <w:next w:val="Normal"/>
    <w:autoRedefine/>
    <w:uiPriority w:val="39"/>
    <w:unhideWhenUsed/>
    <w:rsid w:val="00425049"/>
    <w:pPr>
      <w:tabs>
        <w:tab w:val="left" w:leader="dot" w:pos="8505"/>
        <w:tab w:val="right" w:leader="dot" w:pos="9072"/>
      </w:tabs>
      <w:spacing w:after="100" w:line="276" w:lineRule="auto"/>
      <w:ind w:left="220" w:right="707"/>
    </w:pPr>
    <w:rPr>
      <w:rFonts w:ascii="Calibri" w:hAnsi="Calibri"/>
      <w:sz w:val="22"/>
      <w:szCs w:val="22"/>
      <w:lang w:eastAsia="zh-TW"/>
    </w:rPr>
  </w:style>
  <w:style w:type="paragraph" w:styleId="Bibliography">
    <w:name w:val="Bibliography"/>
    <w:basedOn w:val="Normal"/>
    <w:next w:val="Normal"/>
    <w:uiPriority w:val="37"/>
    <w:unhideWhenUsed/>
    <w:rsid w:val="00B7349E"/>
    <w:pPr>
      <w:spacing w:after="200" w:line="276" w:lineRule="auto"/>
      <w:jc w:val="left"/>
    </w:pPr>
    <w:rPr>
      <w:rFonts w:ascii="Calibri" w:hAnsi="Calibri"/>
      <w:sz w:val="22"/>
      <w:szCs w:val="22"/>
      <w:lang w:eastAsia="zh-TW"/>
    </w:rPr>
  </w:style>
  <w:style w:type="character" w:customStyle="1" w:styleId="ListParagraphChar">
    <w:name w:val="List Paragraph Char"/>
    <w:aliases w:val="2 Char"/>
    <w:link w:val="ListParagraph"/>
    <w:uiPriority w:val="34"/>
    <w:rsid w:val="00B7349E"/>
    <w:rPr>
      <w:rFonts w:ascii="Times New Roman" w:eastAsia="Times New Roman" w:hAnsi="Times New Roman"/>
      <w:sz w:val="24"/>
      <w:lang w:eastAsia="en-US"/>
    </w:rPr>
  </w:style>
  <w:style w:type="character" w:customStyle="1" w:styleId="Heading3Char">
    <w:name w:val="Heading 3 Char"/>
    <w:link w:val="Heading3"/>
    <w:uiPriority w:val="9"/>
    <w:semiHidden/>
    <w:rsid w:val="00843BC5"/>
    <w:rPr>
      <w:rFonts w:ascii="Cambria" w:eastAsia="Times New Roman" w:hAnsi="Cambria" w:cs="Times New Roman"/>
      <w:color w:val="243F60"/>
      <w:sz w:val="24"/>
      <w:szCs w:val="24"/>
      <w:lang w:eastAsia="en-US"/>
    </w:rPr>
  </w:style>
  <w:style w:type="paragraph" w:styleId="EndnoteText">
    <w:name w:val="endnote text"/>
    <w:basedOn w:val="Normal"/>
    <w:link w:val="EndnoteTextChar"/>
    <w:uiPriority w:val="99"/>
    <w:semiHidden/>
    <w:unhideWhenUsed/>
    <w:rsid w:val="00AB37A2"/>
    <w:rPr>
      <w:sz w:val="20"/>
    </w:rPr>
  </w:style>
  <w:style w:type="character" w:customStyle="1" w:styleId="EndnoteTextChar">
    <w:name w:val="Endnote Text Char"/>
    <w:link w:val="EndnoteText"/>
    <w:uiPriority w:val="99"/>
    <w:semiHidden/>
    <w:rsid w:val="00AB37A2"/>
    <w:rPr>
      <w:rFonts w:ascii="Times New Roman" w:eastAsia="Times New Roman" w:hAnsi="Times New Roman"/>
      <w:lang w:eastAsia="en-US"/>
    </w:rPr>
  </w:style>
  <w:style w:type="character" w:styleId="EndnoteReference">
    <w:name w:val="endnote reference"/>
    <w:uiPriority w:val="99"/>
    <w:semiHidden/>
    <w:unhideWhenUsed/>
    <w:rsid w:val="00AB37A2"/>
    <w:rPr>
      <w:vertAlign w:val="superscript"/>
    </w:rPr>
  </w:style>
  <w:style w:type="table" w:styleId="MediumGrid3-Accent4">
    <w:name w:val="Medium Grid 3 Accent 4"/>
    <w:basedOn w:val="TableNormal"/>
    <w:uiPriority w:val="69"/>
    <w:rsid w:val="007862ED"/>
    <w:rPr>
      <w:rFonts w:ascii="Candara" w:eastAsia="Times New Roman" w:hAnsi="Candara"/>
      <w:sz w:val="16"/>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TableGrid">
    <w:name w:val="Table Grid"/>
    <w:basedOn w:val="TableNormal"/>
    <w:uiPriority w:val="59"/>
    <w:rsid w:val="00D0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666DF"/>
    <w:pPr>
      <w:keepLines/>
      <w:spacing w:before="480" w:after="0" w:line="276" w:lineRule="auto"/>
      <w:jc w:val="left"/>
      <w:outlineLvl w:val="9"/>
    </w:pPr>
    <w:rPr>
      <w:color w:val="365F91"/>
      <w:kern w:val="0"/>
      <w:sz w:val="28"/>
      <w:szCs w:val="28"/>
      <w:lang w:val="en-US" w:eastAsia="ja-JP"/>
    </w:rPr>
  </w:style>
  <w:style w:type="table" w:styleId="GridTable1Light-Accent1">
    <w:name w:val="Grid Table 1 Light Accent 1"/>
    <w:basedOn w:val="TableNormal"/>
    <w:uiPriority w:val="46"/>
    <w:rsid w:val="00413B17"/>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PlainTable5">
    <w:name w:val="Plain Table 5"/>
    <w:basedOn w:val="TableNormal"/>
    <w:uiPriority w:val="45"/>
    <w:rsid w:val="00DC283D"/>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C28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F34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MediumGrid2">
    <w:name w:val="Medium Grid 2"/>
    <w:basedOn w:val="TableNormal"/>
    <w:uiPriority w:val="1"/>
    <w:qFormat/>
    <w:rsid w:val="00BF343E"/>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olorfulList-Accent1Char">
    <w:name w:val="Colorful List - Accent 1 Char"/>
    <w:link w:val="ColorfulList-Accent11"/>
    <w:uiPriority w:val="99"/>
    <w:locked/>
    <w:rsid w:val="007D6863"/>
    <w:rPr>
      <w:rFonts w:ascii="Times New Roman" w:eastAsia="Times New Roman" w:hAnsi="Times New Roman"/>
      <w:sz w:val="24"/>
      <w:lang w:eastAsia="en-US"/>
    </w:rPr>
  </w:style>
  <w:style w:type="paragraph" w:customStyle="1" w:styleId="Default">
    <w:name w:val="Default"/>
    <w:basedOn w:val="Normal"/>
    <w:rsid w:val="007D6863"/>
    <w:pPr>
      <w:autoSpaceDE w:val="0"/>
      <w:autoSpaceDN w:val="0"/>
      <w:jc w:val="left"/>
    </w:pPr>
    <w:rPr>
      <w:rFonts w:eastAsia="Calibri"/>
      <w:color w:val="000000"/>
      <w:szCs w:val="24"/>
    </w:rPr>
  </w:style>
  <w:style w:type="table" w:styleId="ColorfulGrid-Accent1">
    <w:name w:val="Colorful Grid Accent 1"/>
    <w:basedOn w:val="TableNormal"/>
    <w:uiPriority w:val="29"/>
    <w:qFormat/>
    <w:rsid w:val="008C0E14"/>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GridTable1Light">
    <w:name w:val="Grid Table 1 Light"/>
    <w:basedOn w:val="TableNormal"/>
    <w:uiPriority w:val="46"/>
    <w:rsid w:val="008C0E1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vad">
    <w:name w:val="vad"/>
    <w:basedOn w:val="Normal"/>
    <w:qFormat/>
    <w:rsid w:val="00DF1B56"/>
    <w:rPr>
      <w:rFonts w:eastAsia="Calibri"/>
      <w:szCs w:val="24"/>
      <w:lang w:eastAsia="pl-PL"/>
    </w:rPr>
  </w:style>
  <w:style w:type="character" w:styleId="Emphasis">
    <w:name w:val="Emphasis"/>
    <w:uiPriority w:val="20"/>
    <w:qFormat/>
    <w:rsid w:val="00DF1B56"/>
    <w:rPr>
      <w:rFonts w:ascii="Times New Roman" w:hAnsi="Times New Roman" w:cs="Times New Roman" w:hint="default"/>
      <w:i/>
      <w:iCs/>
    </w:rPr>
  </w:style>
  <w:style w:type="paragraph" w:styleId="HTMLPreformatted">
    <w:name w:val="HTML Preformatted"/>
    <w:basedOn w:val="Normal"/>
    <w:link w:val="HTMLPreformattedChar"/>
    <w:uiPriority w:val="99"/>
    <w:semiHidden/>
    <w:unhideWhenUsed/>
    <w:rsid w:val="00C763A8"/>
    <w:rPr>
      <w:rFonts w:ascii="Courier New" w:hAnsi="Courier New" w:cs="Courier New"/>
      <w:sz w:val="20"/>
    </w:rPr>
  </w:style>
  <w:style w:type="character" w:customStyle="1" w:styleId="HTMLPreformattedChar">
    <w:name w:val="HTML Preformatted Char"/>
    <w:link w:val="HTMLPreformatted"/>
    <w:uiPriority w:val="99"/>
    <w:semiHidden/>
    <w:rsid w:val="00C763A8"/>
    <w:rPr>
      <w:rFonts w:ascii="Courier New" w:eastAsia="Times New Roman" w:hAnsi="Courier New" w:cs="Courier New"/>
      <w:lang w:eastAsia="en-US"/>
    </w:rPr>
  </w:style>
  <w:style w:type="paragraph" w:styleId="Revision">
    <w:name w:val="Revision"/>
    <w:hidden/>
    <w:uiPriority w:val="71"/>
    <w:rsid w:val="001A1BC7"/>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6602">
      <w:bodyDiv w:val="1"/>
      <w:marLeft w:val="0"/>
      <w:marRight w:val="0"/>
      <w:marTop w:val="0"/>
      <w:marBottom w:val="0"/>
      <w:divBdr>
        <w:top w:val="none" w:sz="0" w:space="0" w:color="auto"/>
        <w:left w:val="none" w:sz="0" w:space="0" w:color="auto"/>
        <w:bottom w:val="none" w:sz="0" w:space="0" w:color="auto"/>
        <w:right w:val="none" w:sz="0" w:space="0" w:color="auto"/>
      </w:divBdr>
    </w:div>
    <w:div w:id="68236742">
      <w:bodyDiv w:val="1"/>
      <w:marLeft w:val="0"/>
      <w:marRight w:val="0"/>
      <w:marTop w:val="0"/>
      <w:marBottom w:val="0"/>
      <w:divBdr>
        <w:top w:val="none" w:sz="0" w:space="0" w:color="auto"/>
        <w:left w:val="none" w:sz="0" w:space="0" w:color="auto"/>
        <w:bottom w:val="none" w:sz="0" w:space="0" w:color="auto"/>
        <w:right w:val="none" w:sz="0" w:space="0" w:color="auto"/>
      </w:divBdr>
    </w:div>
    <w:div w:id="70278051">
      <w:bodyDiv w:val="1"/>
      <w:marLeft w:val="0"/>
      <w:marRight w:val="0"/>
      <w:marTop w:val="0"/>
      <w:marBottom w:val="0"/>
      <w:divBdr>
        <w:top w:val="none" w:sz="0" w:space="0" w:color="auto"/>
        <w:left w:val="none" w:sz="0" w:space="0" w:color="auto"/>
        <w:bottom w:val="none" w:sz="0" w:space="0" w:color="auto"/>
        <w:right w:val="none" w:sz="0" w:space="0" w:color="auto"/>
      </w:divBdr>
    </w:div>
    <w:div w:id="79331312">
      <w:bodyDiv w:val="1"/>
      <w:marLeft w:val="0"/>
      <w:marRight w:val="0"/>
      <w:marTop w:val="0"/>
      <w:marBottom w:val="0"/>
      <w:divBdr>
        <w:top w:val="none" w:sz="0" w:space="0" w:color="auto"/>
        <w:left w:val="none" w:sz="0" w:space="0" w:color="auto"/>
        <w:bottom w:val="none" w:sz="0" w:space="0" w:color="auto"/>
        <w:right w:val="none" w:sz="0" w:space="0" w:color="auto"/>
      </w:divBdr>
    </w:div>
    <w:div w:id="100952160">
      <w:bodyDiv w:val="1"/>
      <w:marLeft w:val="0"/>
      <w:marRight w:val="0"/>
      <w:marTop w:val="0"/>
      <w:marBottom w:val="0"/>
      <w:divBdr>
        <w:top w:val="none" w:sz="0" w:space="0" w:color="auto"/>
        <w:left w:val="none" w:sz="0" w:space="0" w:color="auto"/>
        <w:bottom w:val="none" w:sz="0" w:space="0" w:color="auto"/>
        <w:right w:val="none" w:sz="0" w:space="0" w:color="auto"/>
      </w:divBdr>
    </w:div>
    <w:div w:id="107356193">
      <w:bodyDiv w:val="1"/>
      <w:marLeft w:val="0"/>
      <w:marRight w:val="0"/>
      <w:marTop w:val="0"/>
      <w:marBottom w:val="0"/>
      <w:divBdr>
        <w:top w:val="none" w:sz="0" w:space="0" w:color="auto"/>
        <w:left w:val="none" w:sz="0" w:space="0" w:color="auto"/>
        <w:bottom w:val="none" w:sz="0" w:space="0" w:color="auto"/>
        <w:right w:val="none" w:sz="0" w:space="0" w:color="auto"/>
      </w:divBdr>
      <w:divsChild>
        <w:div w:id="504051025">
          <w:marLeft w:val="0"/>
          <w:marRight w:val="0"/>
          <w:marTop w:val="0"/>
          <w:marBottom w:val="0"/>
          <w:divBdr>
            <w:top w:val="none" w:sz="0" w:space="0" w:color="auto"/>
            <w:left w:val="none" w:sz="0" w:space="0" w:color="auto"/>
            <w:bottom w:val="none" w:sz="0" w:space="0" w:color="auto"/>
            <w:right w:val="none" w:sz="0" w:space="0" w:color="auto"/>
          </w:divBdr>
        </w:div>
        <w:div w:id="1389959224">
          <w:marLeft w:val="0"/>
          <w:marRight w:val="0"/>
          <w:marTop w:val="0"/>
          <w:marBottom w:val="0"/>
          <w:divBdr>
            <w:top w:val="none" w:sz="0" w:space="0" w:color="auto"/>
            <w:left w:val="none" w:sz="0" w:space="0" w:color="auto"/>
            <w:bottom w:val="none" w:sz="0" w:space="0" w:color="auto"/>
            <w:right w:val="none" w:sz="0" w:space="0" w:color="auto"/>
          </w:divBdr>
        </w:div>
      </w:divsChild>
    </w:div>
    <w:div w:id="123274049">
      <w:bodyDiv w:val="1"/>
      <w:marLeft w:val="0"/>
      <w:marRight w:val="0"/>
      <w:marTop w:val="0"/>
      <w:marBottom w:val="0"/>
      <w:divBdr>
        <w:top w:val="none" w:sz="0" w:space="0" w:color="auto"/>
        <w:left w:val="none" w:sz="0" w:space="0" w:color="auto"/>
        <w:bottom w:val="none" w:sz="0" w:space="0" w:color="auto"/>
        <w:right w:val="none" w:sz="0" w:space="0" w:color="auto"/>
      </w:divBdr>
    </w:div>
    <w:div w:id="129324282">
      <w:bodyDiv w:val="1"/>
      <w:marLeft w:val="0"/>
      <w:marRight w:val="0"/>
      <w:marTop w:val="0"/>
      <w:marBottom w:val="0"/>
      <w:divBdr>
        <w:top w:val="none" w:sz="0" w:space="0" w:color="auto"/>
        <w:left w:val="none" w:sz="0" w:space="0" w:color="auto"/>
        <w:bottom w:val="none" w:sz="0" w:space="0" w:color="auto"/>
        <w:right w:val="none" w:sz="0" w:space="0" w:color="auto"/>
      </w:divBdr>
    </w:div>
    <w:div w:id="156652909">
      <w:bodyDiv w:val="1"/>
      <w:marLeft w:val="0"/>
      <w:marRight w:val="0"/>
      <w:marTop w:val="0"/>
      <w:marBottom w:val="0"/>
      <w:divBdr>
        <w:top w:val="none" w:sz="0" w:space="0" w:color="auto"/>
        <w:left w:val="none" w:sz="0" w:space="0" w:color="auto"/>
        <w:bottom w:val="none" w:sz="0" w:space="0" w:color="auto"/>
        <w:right w:val="none" w:sz="0" w:space="0" w:color="auto"/>
      </w:divBdr>
    </w:div>
    <w:div w:id="165677836">
      <w:bodyDiv w:val="1"/>
      <w:marLeft w:val="0"/>
      <w:marRight w:val="0"/>
      <w:marTop w:val="0"/>
      <w:marBottom w:val="0"/>
      <w:divBdr>
        <w:top w:val="none" w:sz="0" w:space="0" w:color="auto"/>
        <w:left w:val="none" w:sz="0" w:space="0" w:color="auto"/>
        <w:bottom w:val="none" w:sz="0" w:space="0" w:color="auto"/>
        <w:right w:val="none" w:sz="0" w:space="0" w:color="auto"/>
      </w:divBdr>
    </w:div>
    <w:div w:id="202375982">
      <w:bodyDiv w:val="1"/>
      <w:marLeft w:val="0"/>
      <w:marRight w:val="0"/>
      <w:marTop w:val="0"/>
      <w:marBottom w:val="0"/>
      <w:divBdr>
        <w:top w:val="none" w:sz="0" w:space="0" w:color="auto"/>
        <w:left w:val="none" w:sz="0" w:space="0" w:color="auto"/>
        <w:bottom w:val="none" w:sz="0" w:space="0" w:color="auto"/>
        <w:right w:val="none" w:sz="0" w:space="0" w:color="auto"/>
      </w:divBdr>
    </w:div>
    <w:div w:id="212474451">
      <w:bodyDiv w:val="1"/>
      <w:marLeft w:val="0"/>
      <w:marRight w:val="0"/>
      <w:marTop w:val="0"/>
      <w:marBottom w:val="0"/>
      <w:divBdr>
        <w:top w:val="none" w:sz="0" w:space="0" w:color="auto"/>
        <w:left w:val="none" w:sz="0" w:space="0" w:color="auto"/>
        <w:bottom w:val="none" w:sz="0" w:space="0" w:color="auto"/>
        <w:right w:val="none" w:sz="0" w:space="0" w:color="auto"/>
      </w:divBdr>
    </w:div>
    <w:div w:id="281110694">
      <w:bodyDiv w:val="1"/>
      <w:marLeft w:val="0"/>
      <w:marRight w:val="0"/>
      <w:marTop w:val="0"/>
      <w:marBottom w:val="0"/>
      <w:divBdr>
        <w:top w:val="none" w:sz="0" w:space="0" w:color="auto"/>
        <w:left w:val="none" w:sz="0" w:space="0" w:color="auto"/>
        <w:bottom w:val="none" w:sz="0" w:space="0" w:color="auto"/>
        <w:right w:val="none" w:sz="0" w:space="0" w:color="auto"/>
      </w:divBdr>
    </w:div>
    <w:div w:id="335617795">
      <w:bodyDiv w:val="1"/>
      <w:marLeft w:val="0"/>
      <w:marRight w:val="0"/>
      <w:marTop w:val="0"/>
      <w:marBottom w:val="0"/>
      <w:divBdr>
        <w:top w:val="none" w:sz="0" w:space="0" w:color="auto"/>
        <w:left w:val="none" w:sz="0" w:space="0" w:color="auto"/>
        <w:bottom w:val="none" w:sz="0" w:space="0" w:color="auto"/>
        <w:right w:val="none" w:sz="0" w:space="0" w:color="auto"/>
      </w:divBdr>
    </w:div>
    <w:div w:id="345250398">
      <w:bodyDiv w:val="1"/>
      <w:marLeft w:val="0"/>
      <w:marRight w:val="0"/>
      <w:marTop w:val="0"/>
      <w:marBottom w:val="0"/>
      <w:divBdr>
        <w:top w:val="none" w:sz="0" w:space="0" w:color="auto"/>
        <w:left w:val="none" w:sz="0" w:space="0" w:color="auto"/>
        <w:bottom w:val="none" w:sz="0" w:space="0" w:color="auto"/>
        <w:right w:val="none" w:sz="0" w:space="0" w:color="auto"/>
      </w:divBdr>
    </w:div>
    <w:div w:id="392504370">
      <w:bodyDiv w:val="1"/>
      <w:marLeft w:val="0"/>
      <w:marRight w:val="0"/>
      <w:marTop w:val="0"/>
      <w:marBottom w:val="0"/>
      <w:divBdr>
        <w:top w:val="none" w:sz="0" w:space="0" w:color="auto"/>
        <w:left w:val="none" w:sz="0" w:space="0" w:color="auto"/>
        <w:bottom w:val="none" w:sz="0" w:space="0" w:color="auto"/>
        <w:right w:val="none" w:sz="0" w:space="0" w:color="auto"/>
      </w:divBdr>
    </w:div>
    <w:div w:id="403334561">
      <w:bodyDiv w:val="1"/>
      <w:marLeft w:val="0"/>
      <w:marRight w:val="0"/>
      <w:marTop w:val="0"/>
      <w:marBottom w:val="0"/>
      <w:divBdr>
        <w:top w:val="none" w:sz="0" w:space="0" w:color="auto"/>
        <w:left w:val="none" w:sz="0" w:space="0" w:color="auto"/>
        <w:bottom w:val="none" w:sz="0" w:space="0" w:color="auto"/>
        <w:right w:val="none" w:sz="0" w:space="0" w:color="auto"/>
      </w:divBdr>
    </w:div>
    <w:div w:id="473255025">
      <w:bodyDiv w:val="1"/>
      <w:marLeft w:val="0"/>
      <w:marRight w:val="0"/>
      <w:marTop w:val="0"/>
      <w:marBottom w:val="0"/>
      <w:divBdr>
        <w:top w:val="none" w:sz="0" w:space="0" w:color="auto"/>
        <w:left w:val="none" w:sz="0" w:space="0" w:color="auto"/>
        <w:bottom w:val="none" w:sz="0" w:space="0" w:color="auto"/>
        <w:right w:val="none" w:sz="0" w:space="0" w:color="auto"/>
      </w:divBdr>
    </w:div>
    <w:div w:id="482086536">
      <w:bodyDiv w:val="1"/>
      <w:marLeft w:val="0"/>
      <w:marRight w:val="0"/>
      <w:marTop w:val="0"/>
      <w:marBottom w:val="0"/>
      <w:divBdr>
        <w:top w:val="none" w:sz="0" w:space="0" w:color="auto"/>
        <w:left w:val="none" w:sz="0" w:space="0" w:color="auto"/>
        <w:bottom w:val="none" w:sz="0" w:space="0" w:color="auto"/>
        <w:right w:val="none" w:sz="0" w:space="0" w:color="auto"/>
      </w:divBdr>
    </w:div>
    <w:div w:id="523134666">
      <w:bodyDiv w:val="1"/>
      <w:marLeft w:val="0"/>
      <w:marRight w:val="0"/>
      <w:marTop w:val="0"/>
      <w:marBottom w:val="0"/>
      <w:divBdr>
        <w:top w:val="none" w:sz="0" w:space="0" w:color="auto"/>
        <w:left w:val="none" w:sz="0" w:space="0" w:color="auto"/>
        <w:bottom w:val="none" w:sz="0" w:space="0" w:color="auto"/>
        <w:right w:val="none" w:sz="0" w:space="0" w:color="auto"/>
      </w:divBdr>
    </w:div>
    <w:div w:id="563444317">
      <w:bodyDiv w:val="1"/>
      <w:marLeft w:val="0"/>
      <w:marRight w:val="0"/>
      <w:marTop w:val="0"/>
      <w:marBottom w:val="0"/>
      <w:divBdr>
        <w:top w:val="none" w:sz="0" w:space="0" w:color="auto"/>
        <w:left w:val="none" w:sz="0" w:space="0" w:color="auto"/>
        <w:bottom w:val="none" w:sz="0" w:space="0" w:color="auto"/>
        <w:right w:val="none" w:sz="0" w:space="0" w:color="auto"/>
      </w:divBdr>
    </w:div>
    <w:div w:id="599796235">
      <w:bodyDiv w:val="1"/>
      <w:marLeft w:val="0"/>
      <w:marRight w:val="0"/>
      <w:marTop w:val="0"/>
      <w:marBottom w:val="0"/>
      <w:divBdr>
        <w:top w:val="none" w:sz="0" w:space="0" w:color="auto"/>
        <w:left w:val="none" w:sz="0" w:space="0" w:color="auto"/>
        <w:bottom w:val="none" w:sz="0" w:space="0" w:color="auto"/>
        <w:right w:val="none" w:sz="0" w:space="0" w:color="auto"/>
      </w:divBdr>
    </w:div>
    <w:div w:id="629289917">
      <w:bodyDiv w:val="1"/>
      <w:marLeft w:val="0"/>
      <w:marRight w:val="0"/>
      <w:marTop w:val="0"/>
      <w:marBottom w:val="0"/>
      <w:divBdr>
        <w:top w:val="none" w:sz="0" w:space="0" w:color="auto"/>
        <w:left w:val="none" w:sz="0" w:space="0" w:color="auto"/>
        <w:bottom w:val="none" w:sz="0" w:space="0" w:color="auto"/>
        <w:right w:val="none" w:sz="0" w:space="0" w:color="auto"/>
      </w:divBdr>
    </w:div>
    <w:div w:id="668211315">
      <w:bodyDiv w:val="1"/>
      <w:marLeft w:val="0"/>
      <w:marRight w:val="0"/>
      <w:marTop w:val="0"/>
      <w:marBottom w:val="0"/>
      <w:divBdr>
        <w:top w:val="none" w:sz="0" w:space="0" w:color="auto"/>
        <w:left w:val="none" w:sz="0" w:space="0" w:color="auto"/>
        <w:bottom w:val="none" w:sz="0" w:space="0" w:color="auto"/>
        <w:right w:val="none" w:sz="0" w:space="0" w:color="auto"/>
      </w:divBdr>
    </w:div>
    <w:div w:id="695934249">
      <w:bodyDiv w:val="1"/>
      <w:marLeft w:val="0"/>
      <w:marRight w:val="0"/>
      <w:marTop w:val="0"/>
      <w:marBottom w:val="0"/>
      <w:divBdr>
        <w:top w:val="none" w:sz="0" w:space="0" w:color="auto"/>
        <w:left w:val="none" w:sz="0" w:space="0" w:color="auto"/>
        <w:bottom w:val="none" w:sz="0" w:space="0" w:color="auto"/>
        <w:right w:val="none" w:sz="0" w:space="0" w:color="auto"/>
      </w:divBdr>
      <w:divsChild>
        <w:div w:id="15078733">
          <w:marLeft w:val="0"/>
          <w:marRight w:val="0"/>
          <w:marTop w:val="0"/>
          <w:marBottom w:val="0"/>
          <w:divBdr>
            <w:top w:val="none" w:sz="0" w:space="0" w:color="auto"/>
            <w:left w:val="none" w:sz="0" w:space="0" w:color="auto"/>
            <w:bottom w:val="none" w:sz="0" w:space="0" w:color="auto"/>
            <w:right w:val="none" w:sz="0" w:space="0" w:color="auto"/>
          </w:divBdr>
        </w:div>
        <w:div w:id="312225203">
          <w:marLeft w:val="0"/>
          <w:marRight w:val="0"/>
          <w:marTop w:val="0"/>
          <w:marBottom w:val="0"/>
          <w:divBdr>
            <w:top w:val="none" w:sz="0" w:space="0" w:color="auto"/>
            <w:left w:val="none" w:sz="0" w:space="0" w:color="auto"/>
            <w:bottom w:val="none" w:sz="0" w:space="0" w:color="auto"/>
            <w:right w:val="none" w:sz="0" w:space="0" w:color="auto"/>
          </w:divBdr>
        </w:div>
        <w:div w:id="419790226">
          <w:marLeft w:val="0"/>
          <w:marRight w:val="0"/>
          <w:marTop w:val="0"/>
          <w:marBottom w:val="0"/>
          <w:divBdr>
            <w:top w:val="none" w:sz="0" w:space="0" w:color="auto"/>
            <w:left w:val="none" w:sz="0" w:space="0" w:color="auto"/>
            <w:bottom w:val="none" w:sz="0" w:space="0" w:color="auto"/>
            <w:right w:val="none" w:sz="0" w:space="0" w:color="auto"/>
          </w:divBdr>
        </w:div>
        <w:div w:id="428434258">
          <w:marLeft w:val="0"/>
          <w:marRight w:val="0"/>
          <w:marTop w:val="0"/>
          <w:marBottom w:val="0"/>
          <w:divBdr>
            <w:top w:val="none" w:sz="0" w:space="0" w:color="auto"/>
            <w:left w:val="none" w:sz="0" w:space="0" w:color="auto"/>
            <w:bottom w:val="none" w:sz="0" w:space="0" w:color="auto"/>
            <w:right w:val="none" w:sz="0" w:space="0" w:color="auto"/>
          </w:divBdr>
        </w:div>
        <w:div w:id="575896577">
          <w:marLeft w:val="0"/>
          <w:marRight w:val="0"/>
          <w:marTop w:val="0"/>
          <w:marBottom w:val="0"/>
          <w:divBdr>
            <w:top w:val="none" w:sz="0" w:space="0" w:color="auto"/>
            <w:left w:val="none" w:sz="0" w:space="0" w:color="auto"/>
            <w:bottom w:val="none" w:sz="0" w:space="0" w:color="auto"/>
            <w:right w:val="none" w:sz="0" w:space="0" w:color="auto"/>
          </w:divBdr>
        </w:div>
        <w:div w:id="844132240">
          <w:marLeft w:val="0"/>
          <w:marRight w:val="0"/>
          <w:marTop w:val="0"/>
          <w:marBottom w:val="0"/>
          <w:divBdr>
            <w:top w:val="none" w:sz="0" w:space="0" w:color="auto"/>
            <w:left w:val="none" w:sz="0" w:space="0" w:color="auto"/>
            <w:bottom w:val="none" w:sz="0" w:space="0" w:color="auto"/>
            <w:right w:val="none" w:sz="0" w:space="0" w:color="auto"/>
          </w:divBdr>
        </w:div>
        <w:div w:id="1029525334">
          <w:marLeft w:val="0"/>
          <w:marRight w:val="0"/>
          <w:marTop w:val="0"/>
          <w:marBottom w:val="0"/>
          <w:divBdr>
            <w:top w:val="none" w:sz="0" w:space="0" w:color="auto"/>
            <w:left w:val="none" w:sz="0" w:space="0" w:color="auto"/>
            <w:bottom w:val="none" w:sz="0" w:space="0" w:color="auto"/>
            <w:right w:val="none" w:sz="0" w:space="0" w:color="auto"/>
          </w:divBdr>
        </w:div>
        <w:div w:id="1294674846">
          <w:marLeft w:val="0"/>
          <w:marRight w:val="0"/>
          <w:marTop w:val="0"/>
          <w:marBottom w:val="0"/>
          <w:divBdr>
            <w:top w:val="none" w:sz="0" w:space="0" w:color="auto"/>
            <w:left w:val="none" w:sz="0" w:space="0" w:color="auto"/>
            <w:bottom w:val="none" w:sz="0" w:space="0" w:color="auto"/>
            <w:right w:val="none" w:sz="0" w:space="0" w:color="auto"/>
          </w:divBdr>
        </w:div>
        <w:div w:id="1344745154">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 w:id="1376810788">
          <w:marLeft w:val="0"/>
          <w:marRight w:val="0"/>
          <w:marTop w:val="0"/>
          <w:marBottom w:val="0"/>
          <w:divBdr>
            <w:top w:val="none" w:sz="0" w:space="0" w:color="auto"/>
            <w:left w:val="none" w:sz="0" w:space="0" w:color="auto"/>
            <w:bottom w:val="none" w:sz="0" w:space="0" w:color="auto"/>
            <w:right w:val="none" w:sz="0" w:space="0" w:color="auto"/>
          </w:divBdr>
        </w:div>
        <w:div w:id="1450470998">
          <w:marLeft w:val="0"/>
          <w:marRight w:val="0"/>
          <w:marTop w:val="0"/>
          <w:marBottom w:val="0"/>
          <w:divBdr>
            <w:top w:val="none" w:sz="0" w:space="0" w:color="auto"/>
            <w:left w:val="none" w:sz="0" w:space="0" w:color="auto"/>
            <w:bottom w:val="none" w:sz="0" w:space="0" w:color="auto"/>
            <w:right w:val="none" w:sz="0" w:space="0" w:color="auto"/>
          </w:divBdr>
        </w:div>
        <w:div w:id="1732465550">
          <w:marLeft w:val="0"/>
          <w:marRight w:val="0"/>
          <w:marTop w:val="0"/>
          <w:marBottom w:val="0"/>
          <w:divBdr>
            <w:top w:val="none" w:sz="0" w:space="0" w:color="auto"/>
            <w:left w:val="none" w:sz="0" w:space="0" w:color="auto"/>
            <w:bottom w:val="none" w:sz="0" w:space="0" w:color="auto"/>
            <w:right w:val="none" w:sz="0" w:space="0" w:color="auto"/>
          </w:divBdr>
        </w:div>
        <w:div w:id="1794591914">
          <w:marLeft w:val="0"/>
          <w:marRight w:val="0"/>
          <w:marTop w:val="0"/>
          <w:marBottom w:val="0"/>
          <w:divBdr>
            <w:top w:val="none" w:sz="0" w:space="0" w:color="auto"/>
            <w:left w:val="none" w:sz="0" w:space="0" w:color="auto"/>
            <w:bottom w:val="none" w:sz="0" w:space="0" w:color="auto"/>
            <w:right w:val="none" w:sz="0" w:space="0" w:color="auto"/>
          </w:divBdr>
        </w:div>
        <w:div w:id="1849523256">
          <w:marLeft w:val="0"/>
          <w:marRight w:val="0"/>
          <w:marTop w:val="0"/>
          <w:marBottom w:val="0"/>
          <w:divBdr>
            <w:top w:val="none" w:sz="0" w:space="0" w:color="auto"/>
            <w:left w:val="none" w:sz="0" w:space="0" w:color="auto"/>
            <w:bottom w:val="none" w:sz="0" w:space="0" w:color="auto"/>
            <w:right w:val="none" w:sz="0" w:space="0" w:color="auto"/>
          </w:divBdr>
        </w:div>
        <w:div w:id="1908225887">
          <w:marLeft w:val="0"/>
          <w:marRight w:val="0"/>
          <w:marTop w:val="0"/>
          <w:marBottom w:val="0"/>
          <w:divBdr>
            <w:top w:val="none" w:sz="0" w:space="0" w:color="auto"/>
            <w:left w:val="none" w:sz="0" w:space="0" w:color="auto"/>
            <w:bottom w:val="none" w:sz="0" w:space="0" w:color="auto"/>
            <w:right w:val="none" w:sz="0" w:space="0" w:color="auto"/>
          </w:divBdr>
        </w:div>
      </w:divsChild>
    </w:div>
    <w:div w:id="696008634">
      <w:bodyDiv w:val="1"/>
      <w:marLeft w:val="0"/>
      <w:marRight w:val="0"/>
      <w:marTop w:val="0"/>
      <w:marBottom w:val="0"/>
      <w:divBdr>
        <w:top w:val="none" w:sz="0" w:space="0" w:color="auto"/>
        <w:left w:val="none" w:sz="0" w:space="0" w:color="auto"/>
        <w:bottom w:val="none" w:sz="0" w:space="0" w:color="auto"/>
        <w:right w:val="none" w:sz="0" w:space="0" w:color="auto"/>
      </w:divBdr>
      <w:divsChild>
        <w:div w:id="475613814">
          <w:marLeft w:val="0"/>
          <w:marRight w:val="0"/>
          <w:marTop w:val="0"/>
          <w:marBottom w:val="0"/>
          <w:divBdr>
            <w:top w:val="none" w:sz="0" w:space="0" w:color="auto"/>
            <w:left w:val="none" w:sz="0" w:space="0" w:color="auto"/>
            <w:bottom w:val="none" w:sz="0" w:space="0" w:color="auto"/>
            <w:right w:val="none" w:sz="0" w:space="0" w:color="auto"/>
          </w:divBdr>
        </w:div>
        <w:div w:id="514073257">
          <w:marLeft w:val="0"/>
          <w:marRight w:val="0"/>
          <w:marTop w:val="0"/>
          <w:marBottom w:val="0"/>
          <w:divBdr>
            <w:top w:val="none" w:sz="0" w:space="0" w:color="auto"/>
            <w:left w:val="none" w:sz="0" w:space="0" w:color="auto"/>
            <w:bottom w:val="none" w:sz="0" w:space="0" w:color="auto"/>
            <w:right w:val="none" w:sz="0" w:space="0" w:color="auto"/>
          </w:divBdr>
        </w:div>
        <w:div w:id="870144214">
          <w:marLeft w:val="0"/>
          <w:marRight w:val="0"/>
          <w:marTop w:val="0"/>
          <w:marBottom w:val="0"/>
          <w:divBdr>
            <w:top w:val="none" w:sz="0" w:space="0" w:color="auto"/>
            <w:left w:val="none" w:sz="0" w:space="0" w:color="auto"/>
            <w:bottom w:val="none" w:sz="0" w:space="0" w:color="auto"/>
            <w:right w:val="none" w:sz="0" w:space="0" w:color="auto"/>
          </w:divBdr>
        </w:div>
      </w:divsChild>
    </w:div>
    <w:div w:id="698437716">
      <w:bodyDiv w:val="1"/>
      <w:marLeft w:val="0"/>
      <w:marRight w:val="0"/>
      <w:marTop w:val="0"/>
      <w:marBottom w:val="0"/>
      <w:divBdr>
        <w:top w:val="none" w:sz="0" w:space="0" w:color="auto"/>
        <w:left w:val="none" w:sz="0" w:space="0" w:color="auto"/>
        <w:bottom w:val="none" w:sz="0" w:space="0" w:color="auto"/>
        <w:right w:val="none" w:sz="0" w:space="0" w:color="auto"/>
      </w:divBdr>
    </w:div>
    <w:div w:id="720713189">
      <w:bodyDiv w:val="1"/>
      <w:marLeft w:val="0"/>
      <w:marRight w:val="0"/>
      <w:marTop w:val="0"/>
      <w:marBottom w:val="0"/>
      <w:divBdr>
        <w:top w:val="none" w:sz="0" w:space="0" w:color="auto"/>
        <w:left w:val="none" w:sz="0" w:space="0" w:color="auto"/>
        <w:bottom w:val="none" w:sz="0" w:space="0" w:color="auto"/>
        <w:right w:val="none" w:sz="0" w:space="0" w:color="auto"/>
      </w:divBdr>
    </w:div>
    <w:div w:id="750663136">
      <w:bodyDiv w:val="1"/>
      <w:marLeft w:val="0"/>
      <w:marRight w:val="0"/>
      <w:marTop w:val="0"/>
      <w:marBottom w:val="0"/>
      <w:divBdr>
        <w:top w:val="none" w:sz="0" w:space="0" w:color="auto"/>
        <w:left w:val="none" w:sz="0" w:space="0" w:color="auto"/>
        <w:bottom w:val="none" w:sz="0" w:space="0" w:color="auto"/>
        <w:right w:val="none" w:sz="0" w:space="0" w:color="auto"/>
      </w:divBdr>
    </w:div>
    <w:div w:id="758597995">
      <w:bodyDiv w:val="1"/>
      <w:marLeft w:val="0"/>
      <w:marRight w:val="0"/>
      <w:marTop w:val="0"/>
      <w:marBottom w:val="0"/>
      <w:divBdr>
        <w:top w:val="none" w:sz="0" w:space="0" w:color="auto"/>
        <w:left w:val="none" w:sz="0" w:space="0" w:color="auto"/>
        <w:bottom w:val="none" w:sz="0" w:space="0" w:color="auto"/>
        <w:right w:val="none" w:sz="0" w:space="0" w:color="auto"/>
      </w:divBdr>
    </w:div>
    <w:div w:id="846870694">
      <w:bodyDiv w:val="1"/>
      <w:marLeft w:val="0"/>
      <w:marRight w:val="0"/>
      <w:marTop w:val="0"/>
      <w:marBottom w:val="0"/>
      <w:divBdr>
        <w:top w:val="none" w:sz="0" w:space="0" w:color="auto"/>
        <w:left w:val="none" w:sz="0" w:space="0" w:color="auto"/>
        <w:bottom w:val="none" w:sz="0" w:space="0" w:color="auto"/>
        <w:right w:val="none" w:sz="0" w:space="0" w:color="auto"/>
      </w:divBdr>
    </w:div>
    <w:div w:id="851800755">
      <w:bodyDiv w:val="1"/>
      <w:marLeft w:val="0"/>
      <w:marRight w:val="0"/>
      <w:marTop w:val="0"/>
      <w:marBottom w:val="0"/>
      <w:divBdr>
        <w:top w:val="none" w:sz="0" w:space="0" w:color="auto"/>
        <w:left w:val="none" w:sz="0" w:space="0" w:color="auto"/>
        <w:bottom w:val="none" w:sz="0" w:space="0" w:color="auto"/>
        <w:right w:val="none" w:sz="0" w:space="0" w:color="auto"/>
      </w:divBdr>
    </w:div>
    <w:div w:id="860049323">
      <w:bodyDiv w:val="1"/>
      <w:marLeft w:val="0"/>
      <w:marRight w:val="0"/>
      <w:marTop w:val="0"/>
      <w:marBottom w:val="0"/>
      <w:divBdr>
        <w:top w:val="none" w:sz="0" w:space="0" w:color="auto"/>
        <w:left w:val="none" w:sz="0" w:space="0" w:color="auto"/>
        <w:bottom w:val="none" w:sz="0" w:space="0" w:color="auto"/>
        <w:right w:val="none" w:sz="0" w:space="0" w:color="auto"/>
      </w:divBdr>
    </w:div>
    <w:div w:id="897399035">
      <w:bodyDiv w:val="1"/>
      <w:marLeft w:val="0"/>
      <w:marRight w:val="0"/>
      <w:marTop w:val="0"/>
      <w:marBottom w:val="0"/>
      <w:divBdr>
        <w:top w:val="none" w:sz="0" w:space="0" w:color="auto"/>
        <w:left w:val="none" w:sz="0" w:space="0" w:color="auto"/>
        <w:bottom w:val="none" w:sz="0" w:space="0" w:color="auto"/>
        <w:right w:val="none" w:sz="0" w:space="0" w:color="auto"/>
      </w:divBdr>
    </w:div>
    <w:div w:id="922639151">
      <w:bodyDiv w:val="1"/>
      <w:marLeft w:val="0"/>
      <w:marRight w:val="0"/>
      <w:marTop w:val="0"/>
      <w:marBottom w:val="0"/>
      <w:divBdr>
        <w:top w:val="none" w:sz="0" w:space="0" w:color="auto"/>
        <w:left w:val="none" w:sz="0" w:space="0" w:color="auto"/>
        <w:bottom w:val="none" w:sz="0" w:space="0" w:color="auto"/>
        <w:right w:val="none" w:sz="0" w:space="0" w:color="auto"/>
      </w:divBdr>
    </w:div>
    <w:div w:id="951936684">
      <w:bodyDiv w:val="1"/>
      <w:marLeft w:val="0"/>
      <w:marRight w:val="0"/>
      <w:marTop w:val="0"/>
      <w:marBottom w:val="0"/>
      <w:divBdr>
        <w:top w:val="none" w:sz="0" w:space="0" w:color="auto"/>
        <w:left w:val="none" w:sz="0" w:space="0" w:color="auto"/>
        <w:bottom w:val="none" w:sz="0" w:space="0" w:color="auto"/>
        <w:right w:val="none" w:sz="0" w:space="0" w:color="auto"/>
      </w:divBdr>
      <w:divsChild>
        <w:div w:id="195386642">
          <w:marLeft w:val="0"/>
          <w:marRight w:val="0"/>
          <w:marTop w:val="0"/>
          <w:marBottom w:val="0"/>
          <w:divBdr>
            <w:top w:val="none" w:sz="0" w:space="0" w:color="auto"/>
            <w:left w:val="none" w:sz="0" w:space="0" w:color="auto"/>
            <w:bottom w:val="none" w:sz="0" w:space="0" w:color="auto"/>
            <w:right w:val="none" w:sz="0" w:space="0" w:color="auto"/>
          </w:divBdr>
        </w:div>
        <w:div w:id="198444735">
          <w:marLeft w:val="0"/>
          <w:marRight w:val="0"/>
          <w:marTop w:val="0"/>
          <w:marBottom w:val="0"/>
          <w:divBdr>
            <w:top w:val="none" w:sz="0" w:space="0" w:color="auto"/>
            <w:left w:val="none" w:sz="0" w:space="0" w:color="auto"/>
            <w:bottom w:val="none" w:sz="0" w:space="0" w:color="auto"/>
            <w:right w:val="none" w:sz="0" w:space="0" w:color="auto"/>
          </w:divBdr>
        </w:div>
        <w:div w:id="538592710">
          <w:marLeft w:val="0"/>
          <w:marRight w:val="0"/>
          <w:marTop w:val="0"/>
          <w:marBottom w:val="0"/>
          <w:divBdr>
            <w:top w:val="none" w:sz="0" w:space="0" w:color="auto"/>
            <w:left w:val="none" w:sz="0" w:space="0" w:color="auto"/>
            <w:bottom w:val="none" w:sz="0" w:space="0" w:color="auto"/>
            <w:right w:val="none" w:sz="0" w:space="0" w:color="auto"/>
          </w:divBdr>
        </w:div>
        <w:div w:id="1322932641">
          <w:marLeft w:val="0"/>
          <w:marRight w:val="0"/>
          <w:marTop w:val="0"/>
          <w:marBottom w:val="0"/>
          <w:divBdr>
            <w:top w:val="none" w:sz="0" w:space="0" w:color="auto"/>
            <w:left w:val="none" w:sz="0" w:space="0" w:color="auto"/>
            <w:bottom w:val="none" w:sz="0" w:space="0" w:color="auto"/>
            <w:right w:val="none" w:sz="0" w:space="0" w:color="auto"/>
          </w:divBdr>
        </w:div>
        <w:div w:id="1432314171">
          <w:marLeft w:val="0"/>
          <w:marRight w:val="0"/>
          <w:marTop w:val="0"/>
          <w:marBottom w:val="0"/>
          <w:divBdr>
            <w:top w:val="none" w:sz="0" w:space="0" w:color="auto"/>
            <w:left w:val="none" w:sz="0" w:space="0" w:color="auto"/>
            <w:bottom w:val="none" w:sz="0" w:space="0" w:color="auto"/>
            <w:right w:val="none" w:sz="0" w:space="0" w:color="auto"/>
          </w:divBdr>
        </w:div>
        <w:div w:id="1908572109">
          <w:marLeft w:val="0"/>
          <w:marRight w:val="0"/>
          <w:marTop w:val="0"/>
          <w:marBottom w:val="0"/>
          <w:divBdr>
            <w:top w:val="none" w:sz="0" w:space="0" w:color="auto"/>
            <w:left w:val="none" w:sz="0" w:space="0" w:color="auto"/>
            <w:bottom w:val="none" w:sz="0" w:space="0" w:color="auto"/>
            <w:right w:val="none" w:sz="0" w:space="0" w:color="auto"/>
          </w:divBdr>
        </w:div>
      </w:divsChild>
    </w:div>
    <w:div w:id="978538875">
      <w:bodyDiv w:val="1"/>
      <w:marLeft w:val="0"/>
      <w:marRight w:val="0"/>
      <w:marTop w:val="0"/>
      <w:marBottom w:val="0"/>
      <w:divBdr>
        <w:top w:val="none" w:sz="0" w:space="0" w:color="auto"/>
        <w:left w:val="none" w:sz="0" w:space="0" w:color="auto"/>
        <w:bottom w:val="none" w:sz="0" w:space="0" w:color="auto"/>
        <w:right w:val="none" w:sz="0" w:space="0" w:color="auto"/>
      </w:divBdr>
    </w:div>
    <w:div w:id="1027367708">
      <w:bodyDiv w:val="1"/>
      <w:marLeft w:val="0"/>
      <w:marRight w:val="0"/>
      <w:marTop w:val="0"/>
      <w:marBottom w:val="0"/>
      <w:divBdr>
        <w:top w:val="none" w:sz="0" w:space="0" w:color="auto"/>
        <w:left w:val="none" w:sz="0" w:space="0" w:color="auto"/>
        <w:bottom w:val="none" w:sz="0" w:space="0" w:color="auto"/>
        <w:right w:val="none" w:sz="0" w:space="0" w:color="auto"/>
      </w:divBdr>
    </w:div>
    <w:div w:id="1062868204">
      <w:bodyDiv w:val="1"/>
      <w:marLeft w:val="0"/>
      <w:marRight w:val="0"/>
      <w:marTop w:val="0"/>
      <w:marBottom w:val="0"/>
      <w:divBdr>
        <w:top w:val="none" w:sz="0" w:space="0" w:color="auto"/>
        <w:left w:val="none" w:sz="0" w:space="0" w:color="auto"/>
        <w:bottom w:val="none" w:sz="0" w:space="0" w:color="auto"/>
        <w:right w:val="none" w:sz="0" w:space="0" w:color="auto"/>
      </w:divBdr>
    </w:div>
    <w:div w:id="1095513393">
      <w:bodyDiv w:val="1"/>
      <w:marLeft w:val="0"/>
      <w:marRight w:val="0"/>
      <w:marTop w:val="0"/>
      <w:marBottom w:val="0"/>
      <w:divBdr>
        <w:top w:val="none" w:sz="0" w:space="0" w:color="auto"/>
        <w:left w:val="none" w:sz="0" w:space="0" w:color="auto"/>
        <w:bottom w:val="none" w:sz="0" w:space="0" w:color="auto"/>
        <w:right w:val="none" w:sz="0" w:space="0" w:color="auto"/>
      </w:divBdr>
    </w:div>
    <w:div w:id="1101872670">
      <w:bodyDiv w:val="1"/>
      <w:marLeft w:val="0"/>
      <w:marRight w:val="0"/>
      <w:marTop w:val="0"/>
      <w:marBottom w:val="0"/>
      <w:divBdr>
        <w:top w:val="none" w:sz="0" w:space="0" w:color="auto"/>
        <w:left w:val="none" w:sz="0" w:space="0" w:color="auto"/>
        <w:bottom w:val="none" w:sz="0" w:space="0" w:color="auto"/>
        <w:right w:val="none" w:sz="0" w:space="0" w:color="auto"/>
      </w:divBdr>
      <w:divsChild>
        <w:div w:id="287126268">
          <w:marLeft w:val="0"/>
          <w:marRight w:val="0"/>
          <w:marTop w:val="0"/>
          <w:marBottom w:val="0"/>
          <w:divBdr>
            <w:top w:val="none" w:sz="0" w:space="0" w:color="auto"/>
            <w:left w:val="none" w:sz="0" w:space="0" w:color="auto"/>
            <w:bottom w:val="none" w:sz="0" w:space="0" w:color="auto"/>
            <w:right w:val="none" w:sz="0" w:space="0" w:color="auto"/>
          </w:divBdr>
        </w:div>
        <w:div w:id="288513811">
          <w:marLeft w:val="0"/>
          <w:marRight w:val="0"/>
          <w:marTop w:val="0"/>
          <w:marBottom w:val="0"/>
          <w:divBdr>
            <w:top w:val="none" w:sz="0" w:space="0" w:color="auto"/>
            <w:left w:val="none" w:sz="0" w:space="0" w:color="auto"/>
            <w:bottom w:val="none" w:sz="0" w:space="0" w:color="auto"/>
            <w:right w:val="none" w:sz="0" w:space="0" w:color="auto"/>
          </w:divBdr>
        </w:div>
        <w:div w:id="499122845">
          <w:marLeft w:val="0"/>
          <w:marRight w:val="0"/>
          <w:marTop w:val="0"/>
          <w:marBottom w:val="0"/>
          <w:divBdr>
            <w:top w:val="none" w:sz="0" w:space="0" w:color="auto"/>
            <w:left w:val="none" w:sz="0" w:space="0" w:color="auto"/>
            <w:bottom w:val="none" w:sz="0" w:space="0" w:color="auto"/>
            <w:right w:val="none" w:sz="0" w:space="0" w:color="auto"/>
          </w:divBdr>
        </w:div>
        <w:div w:id="782532052">
          <w:marLeft w:val="0"/>
          <w:marRight w:val="0"/>
          <w:marTop w:val="0"/>
          <w:marBottom w:val="0"/>
          <w:divBdr>
            <w:top w:val="none" w:sz="0" w:space="0" w:color="auto"/>
            <w:left w:val="none" w:sz="0" w:space="0" w:color="auto"/>
            <w:bottom w:val="none" w:sz="0" w:space="0" w:color="auto"/>
            <w:right w:val="none" w:sz="0" w:space="0" w:color="auto"/>
          </w:divBdr>
        </w:div>
        <w:div w:id="961501960">
          <w:marLeft w:val="0"/>
          <w:marRight w:val="0"/>
          <w:marTop w:val="0"/>
          <w:marBottom w:val="0"/>
          <w:divBdr>
            <w:top w:val="none" w:sz="0" w:space="0" w:color="auto"/>
            <w:left w:val="none" w:sz="0" w:space="0" w:color="auto"/>
            <w:bottom w:val="none" w:sz="0" w:space="0" w:color="auto"/>
            <w:right w:val="none" w:sz="0" w:space="0" w:color="auto"/>
          </w:divBdr>
        </w:div>
        <w:div w:id="1124420084">
          <w:marLeft w:val="0"/>
          <w:marRight w:val="0"/>
          <w:marTop w:val="0"/>
          <w:marBottom w:val="0"/>
          <w:divBdr>
            <w:top w:val="none" w:sz="0" w:space="0" w:color="auto"/>
            <w:left w:val="none" w:sz="0" w:space="0" w:color="auto"/>
            <w:bottom w:val="none" w:sz="0" w:space="0" w:color="auto"/>
            <w:right w:val="none" w:sz="0" w:space="0" w:color="auto"/>
          </w:divBdr>
        </w:div>
        <w:div w:id="1235623643">
          <w:marLeft w:val="0"/>
          <w:marRight w:val="0"/>
          <w:marTop w:val="0"/>
          <w:marBottom w:val="0"/>
          <w:divBdr>
            <w:top w:val="none" w:sz="0" w:space="0" w:color="auto"/>
            <w:left w:val="none" w:sz="0" w:space="0" w:color="auto"/>
            <w:bottom w:val="none" w:sz="0" w:space="0" w:color="auto"/>
            <w:right w:val="none" w:sz="0" w:space="0" w:color="auto"/>
          </w:divBdr>
        </w:div>
        <w:div w:id="1346397026">
          <w:marLeft w:val="0"/>
          <w:marRight w:val="0"/>
          <w:marTop w:val="0"/>
          <w:marBottom w:val="0"/>
          <w:divBdr>
            <w:top w:val="none" w:sz="0" w:space="0" w:color="auto"/>
            <w:left w:val="none" w:sz="0" w:space="0" w:color="auto"/>
            <w:bottom w:val="none" w:sz="0" w:space="0" w:color="auto"/>
            <w:right w:val="none" w:sz="0" w:space="0" w:color="auto"/>
          </w:divBdr>
        </w:div>
        <w:div w:id="1406607194">
          <w:marLeft w:val="0"/>
          <w:marRight w:val="0"/>
          <w:marTop w:val="0"/>
          <w:marBottom w:val="0"/>
          <w:divBdr>
            <w:top w:val="none" w:sz="0" w:space="0" w:color="auto"/>
            <w:left w:val="none" w:sz="0" w:space="0" w:color="auto"/>
            <w:bottom w:val="none" w:sz="0" w:space="0" w:color="auto"/>
            <w:right w:val="none" w:sz="0" w:space="0" w:color="auto"/>
          </w:divBdr>
        </w:div>
        <w:div w:id="1474374690">
          <w:marLeft w:val="0"/>
          <w:marRight w:val="0"/>
          <w:marTop w:val="0"/>
          <w:marBottom w:val="0"/>
          <w:divBdr>
            <w:top w:val="none" w:sz="0" w:space="0" w:color="auto"/>
            <w:left w:val="none" w:sz="0" w:space="0" w:color="auto"/>
            <w:bottom w:val="none" w:sz="0" w:space="0" w:color="auto"/>
            <w:right w:val="none" w:sz="0" w:space="0" w:color="auto"/>
          </w:divBdr>
        </w:div>
        <w:div w:id="1612125676">
          <w:marLeft w:val="0"/>
          <w:marRight w:val="0"/>
          <w:marTop w:val="0"/>
          <w:marBottom w:val="0"/>
          <w:divBdr>
            <w:top w:val="none" w:sz="0" w:space="0" w:color="auto"/>
            <w:left w:val="none" w:sz="0" w:space="0" w:color="auto"/>
            <w:bottom w:val="none" w:sz="0" w:space="0" w:color="auto"/>
            <w:right w:val="none" w:sz="0" w:space="0" w:color="auto"/>
          </w:divBdr>
        </w:div>
        <w:div w:id="1826627365">
          <w:marLeft w:val="0"/>
          <w:marRight w:val="0"/>
          <w:marTop w:val="0"/>
          <w:marBottom w:val="0"/>
          <w:divBdr>
            <w:top w:val="none" w:sz="0" w:space="0" w:color="auto"/>
            <w:left w:val="none" w:sz="0" w:space="0" w:color="auto"/>
            <w:bottom w:val="none" w:sz="0" w:space="0" w:color="auto"/>
            <w:right w:val="none" w:sz="0" w:space="0" w:color="auto"/>
          </w:divBdr>
        </w:div>
        <w:div w:id="1858735770">
          <w:marLeft w:val="0"/>
          <w:marRight w:val="0"/>
          <w:marTop w:val="0"/>
          <w:marBottom w:val="0"/>
          <w:divBdr>
            <w:top w:val="none" w:sz="0" w:space="0" w:color="auto"/>
            <w:left w:val="none" w:sz="0" w:space="0" w:color="auto"/>
            <w:bottom w:val="none" w:sz="0" w:space="0" w:color="auto"/>
            <w:right w:val="none" w:sz="0" w:space="0" w:color="auto"/>
          </w:divBdr>
        </w:div>
        <w:div w:id="1968005867">
          <w:marLeft w:val="0"/>
          <w:marRight w:val="0"/>
          <w:marTop w:val="0"/>
          <w:marBottom w:val="0"/>
          <w:divBdr>
            <w:top w:val="none" w:sz="0" w:space="0" w:color="auto"/>
            <w:left w:val="none" w:sz="0" w:space="0" w:color="auto"/>
            <w:bottom w:val="none" w:sz="0" w:space="0" w:color="auto"/>
            <w:right w:val="none" w:sz="0" w:space="0" w:color="auto"/>
          </w:divBdr>
        </w:div>
        <w:div w:id="2020085347">
          <w:marLeft w:val="0"/>
          <w:marRight w:val="0"/>
          <w:marTop w:val="0"/>
          <w:marBottom w:val="0"/>
          <w:divBdr>
            <w:top w:val="none" w:sz="0" w:space="0" w:color="auto"/>
            <w:left w:val="none" w:sz="0" w:space="0" w:color="auto"/>
            <w:bottom w:val="none" w:sz="0" w:space="0" w:color="auto"/>
            <w:right w:val="none" w:sz="0" w:space="0" w:color="auto"/>
          </w:divBdr>
        </w:div>
        <w:div w:id="2046976833">
          <w:marLeft w:val="0"/>
          <w:marRight w:val="0"/>
          <w:marTop w:val="0"/>
          <w:marBottom w:val="0"/>
          <w:divBdr>
            <w:top w:val="none" w:sz="0" w:space="0" w:color="auto"/>
            <w:left w:val="none" w:sz="0" w:space="0" w:color="auto"/>
            <w:bottom w:val="none" w:sz="0" w:space="0" w:color="auto"/>
            <w:right w:val="none" w:sz="0" w:space="0" w:color="auto"/>
          </w:divBdr>
        </w:div>
      </w:divsChild>
    </w:div>
    <w:div w:id="1151408763">
      <w:bodyDiv w:val="1"/>
      <w:marLeft w:val="0"/>
      <w:marRight w:val="0"/>
      <w:marTop w:val="0"/>
      <w:marBottom w:val="0"/>
      <w:divBdr>
        <w:top w:val="none" w:sz="0" w:space="0" w:color="auto"/>
        <w:left w:val="none" w:sz="0" w:space="0" w:color="auto"/>
        <w:bottom w:val="none" w:sz="0" w:space="0" w:color="auto"/>
        <w:right w:val="none" w:sz="0" w:space="0" w:color="auto"/>
      </w:divBdr>
    </w:div>
    <w:div w:id="1169255785">
      <w:bodyDiv w:val="1"/>
      <w:marLeft w:val="0"/>
      <w:marRight w:val="0"/>
      <w:marTop w:val="0"/>
      <w:marBottom w:val="0"/>
      <w:divBdr>
        <w:top w:val="none" w:sz="0" w:space="0" w:color="auto"/>
        <w:left w:val="none" w:sz="0" w:space="0" w:color="auto"/>
        <w:bottom w:val="none" w:sz="0" w:space="0" w:color="auto"/>
        <w:right w:val="none" w:sz="0" w:space="0" w:color="auto"/>
      </w:divBdr>
    </w:div>
    <w:div w:id="1170216443">
      <w:bodyDiv w:val="1"/>
      <w:marLeft w:val="0"/>
      <w:marRight w:val="0"/>
      <w:marTop w:val="0"/>
      <w:marBottom w:val="0"/>
      <w:divBdr>
        <w:top w:val="none" w:sz="0" w:space="0" w:color="auto"/>
        <w:left w:val="none" w:sz="0" w:space="0" w:color="auto"/>
        <w:bottom w:val="none" w:sz="0" w:space="0" w:color="auto"/>
        <w:right w:val="none" w:sz="0" w:space="0" w:color="auto"/>
      </w:divBdr>
    </w:div>
    <w:div w:id="1173492305">
      <w:bodyDiv w:val="1"/>
      <w:marLeft w:val="0"/>
      <w:marRight w:val="0"/>
      <w:marTop w:val="0"/>
      <w:marBottom w:val="0"/>
      <w:divBdr>
        <w:top w:val="none" w:sz="0" w:space="0" w:color="auto"/>
        <w:left w:val="none" w:sz="0" w:space="0" w:color="auto"/>
        <w:bottom w:val="none" w:sz="0" w:space="0" w:color="auto"/>
        <w:right w:val="none" w:sz="0" w:space="0" w:color="auto"/>
      </w:divBdr>
      <w:divsChild>
        <w:div w:id="20017798">
          <w:marLeft w:val="0"/>
          <w:marRight w:val="0"/>
          <w:marTop w:val="0"/>
          <w:marBottom w:val="0"/>
          <w:divBdr>
            <w:top w:val="none" w:sz="0" w:space="0" w:color="auto"/>
            <w:left w:val="none" w:sz="0" w:space="0" w:color="auto"/>
            <w:bottom w:val="none" w:sz="0" w:space="0" w:color="auto"/>
            <w:right w:val="none" w:sz="0" w:space="0" w:color="auto"/>
          </w:divBdr>
        </w:div>
        <w:div w:id="84965611">
          <w:marLeft w:val="0"/>
          <w:marRight w:val="0"/>
          <w:marTop w:val="0"/>
          <w:marBottom w:val="0"/>
          <w:divBdr>
            <w:top w:val="none" w:sz="0" w:space="0" w:color="auto"/>
            <w:left w:val="none" w:sz="0" w:space="0" w:color="auto"/>
            <w:bottom w:val="none" w:sz="0" w:space="0" w:color="auto"/>
            <w:right w:val="none" w:sz="0" w:space="0" w:color="auto"/>
          </w:divBdr>
        </w:div>
        <w:div w:id="153957656">
          <w:marLeft w:val="0"/>
          <w:marRight w:val="0"/>
          <w:marTop w:val="0"/>
          <w:marBottom w:val="0"/>
          <w:divBdr>
            <w:top w:val="none" w:sz="0" w:space="0" w:color="auto"/>
            <w:left w:val="none" w:sz="0" w:space="0" w:color="auto"/>
            <w:bottom w:val="none" w:sz="0" w:space="0" w:color="auto"/>
            <w:right w:val="none" w:sz="0" w:space="0" w:color="auto"/>
          </w:divBdr>
        </w:div>
        <w:div w:id="370422745">
          <w:marLeft w:val="0"/>
          <w:marRight w:val="0"/>
          <w:marTop w:val="0"/>
          <w:marBottom w:val="0"/>
          <w:divBdr>
            <w:top w:val="none" w:sz="0" w:space="0" w:color="auto"/>
            <w:left w:val="none" w:sz="0" w:space="0" w:color="auto"/>
            <w:bottom w:val="none" w:sz="0" w:space="0" w:color="auto"/>
            <w:right w:val="none" w:sz="0" w:space="0" w:color="auto"/>
          </w:divBdr>
        </w:div>
        <w:div w:id="395785739">
          <w:marLeft w:val="0"/>
          <w:marRight w:val="0"/>
          <w:marTop w:val="0"/>
          <w:marBottom w:val="0"/>
          <w:divBdr>
            <w:top w:val="none" w:sz="0" w:space="0" w:color="auto"/>
            <w:left w:val="none" w:sz="0" w:space="0" w:color="auto"/>
            <w:bottom w:val="none" w:sz="0" w:space="0" w:color="auto"/>
            <w:right w:val="none" w:sz="0" w:space="0" w:color="auto"/>
          </w:divBdr>
        </w:div>
        <w:div w:id="401608847">
          <w:marLeft w:val="0"/>
          <w:marRight w:val="0"/>
          <w:marTop w:val="0"/>
          <w:marBottom w:val="0"/>
          <w:divBdr>
            <w:top w:val="none" w:sz="0" w:space="0" w:color="auto"/>
            <w:left w:val="none" w:sz="0" w:space="0" w:color="auto"/>
            <w:bottom w:val="none" w:sz="0" w:space="0" w:color="auto"/>
            <w:right w:val="none" w:sz="0" w:space="0" w:color="auto"/>
          </w:divBdr>
        </w:div>
        <w:div w:id="405347327">
          <w:marLeft w:val="0"/>
          <w:marRight w:val="0"/>
          <w:marTop w:val="0"/>
          <w:marBottom w:val="0"/>
          <w:divBdr>
            <w:top w:val="none" w:sz="0" w:space="0" w:color="auto"/>
            <w:left w:val="none" w:sz="0" w:space="0" w:color="auto"/>
            <w:bottom w:val="none" w:sz="0" w:space="0" w:color="auto"/>
            <w:right w:val="none" w:sz="0" w:space="0" w:color="auto"/>
          </w:divBdr>
        </w:div>
        <w:div w:id="562640092">
          <w:marLeft w:val="0"/>
          <w:marRight w:val="0"/>
          <w:marTop w:val="0"/>
          <w:marBottom w:val="0"/>
          <w:divBdr>
            <w:top w:val="none" w:sz="0" w:space="0" w:color="auto"/>
            <w:left w:val="none" w:sz="0" w:space="0" w:color="auto"/>
            <w:bottom w:val="none" w:sz="0" w:space="0" w:color="auto"/>
            <w:right w:val="none" w:sz="0" w:space="0" w:color="auto"/>
          </w:divBdr>
        </w:div>
        <w:div w:id="627394426">
          <w:marLeft w:val="0"/>
          <w:marRight w:val="0"/>
          <w:marTop w:val="0"/>
          <w:marBottom w:val="0"/>
          <w:divBdr>
            <w:top w:val="none" w:sz="0" w:space="0" w:color="auto"/>
            <w:left w:val="none" w:sz="0" w:space="0" w:color="auto"/>
            <w:bottom w:val="none" w:sz="0" w:space="0" w:color="auto"/>
            <w:right w:val="none" w:sz="0" w:space="0" w:color="auto"/>
          </w:divBdr>
        </w:div>
        <w:div w:id="796875035">
          <w:marLeft w:val="0"/>
          <w:marRight w:val="0"/>
          <w:marTop w:val="0"/>
          <w:marBottom w:val="0"/>
          <w:divBdr>
            <w:top w:val="none" w:sz="0" w:space="0" w:color="auto"/>
            <w:left w:val="none" w:sz="0" w:space="0" w:color="auto"/>
            <w:bottom w:val="none" w:sz="0" w:space="0" w:color="auto"/>
            <w:right w:val="none" w:sz="0" w:space="0" w:color="auto"/>
          </w:divBdr>
        </w:div>
        <w:div w:id="1101992670">
          <w:marLeft w:val="0"/>
          <w:marRight w:val="0"/>
          <w:marTop w:val="0"/>
          <w:marBottom w:val="0"/>
          <w:divBdr>
            <w:top w:val="none" w:sz="0" w:space="0" w:color="auto"/>
            <w:left w:val="none" w:sz="0" w:space="0" w:color="auto"/>
            <w:bottom w:val="none" w:sz="0" w:space="0" w:color="auto"/>
            <w:right w:val="none" w:sz="0" w:space="0" w:color="auto"/>
          </w:divBdr>
        </w:div>
        <w:div w:id="1668632238">
          <w:marLeft w:val="0"/>
          <w:marRight w:val="0"/>
          <w:marTop w:val="0"/>
          <w:marBottom w:val="0"/>
          <w:divBdr>
            <w:top w:val="none" w:sz="0" w:space="0" w:color="auto"/>
            <w:left w:val="none" w:sz="0" w:space="0" w:color="auto"/>
            <w:bottom w:val="none" w:sz="0" w:space="0" w:color="auto"/>
            <w:right w:val="none" w:sz="0" w:space="0" w:color="auto"/>
          </w:divBdr>
        </w:div>
        <w:div w:id="1803186158">
          <w:marLeft w:val="0"/>
          <w:marRight w:val="0"/>
          <w:marTop w:val="0"/>
          <w:marBottom w:val="0"/>
          <w:divBdr>
            <w:top w:val="none" w:sz="0" w:space="0" w:color="auto"/>
            <w:left w:val="none" w:sz="0" w:space="0" w:color="auto"/>
            <w:bottom w:val="none" w:sz="0" w:space="0" w:color="auto"/>
            <w:right w:val="none" w:sz="0" w:space="0" w:color="auto"/>
          </w:divBdr>
        </w:div>
        <w:div w:id="1814828630">
          <w:marLeft w:val="0"/>
          <w:marRight w:val="0"/>
          <w:marTop w:val="0"/>
          <w:marBottom w:val="0"/>
          <w:divBdr>
            <w:top w:val="none" w:sz="0" w:space="0" w:color="auto"/>
            <w:left w:val="none" w:sz="0" w:space="0" w:color="auto"/>
            <w:bottom w:val="none" w:sz="0" w:space="0" w:color="auto"/>
            <w:right w:val="none" w:sz="0" w:space="0" w:color="auto"/>
          </w:divBdr>
        </w:div>
        <w:div w:id="1827628149">
          <w:marLeft w:val="0"/>
          <w:marRight w:val="0"/>
          <w:marTop w:val="0"/>
          <w:marBottom w:val="0"/>
          <w:divBdr>
            <w:top w:val="none" w:sz="0" w:space="0" w:color="auto"/>
            <w:left w:val="none" w:sz="0" w:space="0" w:color="auto"/>
            <w:bottom w:val="none" w:sz="0" w:space="0" w:color="auto"/>
            <w:right w:val="none" w:sz="0" w:space="0" w:color="auto"/>
          </w:divBdr>
        </w:div>
        <w:div w:id="1827697802">
          <w:marLeft w:val="0"/>
          <w:marRight w:val="0"/>
          <w:marTop w:val="0"/>
          <w:marBottom w:val="0"/>
          <w:divBdr>
            <w:top w:val="none" w:sz="0" w:space="0" w:color="auto"/>
            <w:left w:val="none" w:sz="0" w:space="0" w:color="auto"/>
            <w:bottom w:val="none" w:sz="0" w:space="0" w:color="auto"/>
            <w:right w:val="none" w:sz="0" w:space="0" w:color="auto"/>
          </w:divBdr>
        </w:div>
        <w:div w:id="1870871510">
          <w:marLeft w:val="0"/>
          <w:marRight w:val="0"/>
          <w:marTop w:val="0"/>
          <w:marBottom w:val="0"/>
          <w:divBdr>
            <w:top w:val="none" w:sz="0" w:space="0" w:color="auto"/>
            <w:left w:val="none" w:sz="0" w:space="0" w:color="auto"/>
            <w:bottom w:val="none" w:sz="0" w:space="0" w:color="auto"/>
            <w:right w:val="none" w:sz="0" w:space="0" w:color="auto"/>
          </w:divBdr>
        </w:div>
        <w:div w:id="2069375296">
          <w:marLeft w:val="0"/>
          <w:marRight w:val="0"/>
          <w:marTop w:val="0"/>
          <w:marBottom w:val="0"/>
          <w:divBdr>
            <w:top w:val="none" w:sz="0" w:space="0" w:color="auto"/>
            <w:left w:val="none" w:sz="0" w:space="0" w:color="auto"/>
            <w:bottom w:val="none" w:sz="0" w:space="0" w:color="auto"/>
            <w:right w:val="none" w:sz="0" w:space="0" w:color="auto"/>
          </w:divBdr>
        </w:div>
      </w:divsChild>
    </w:div>
    <w:div w:id="1196385049">
      <w:bodyDiv w:val="1"/>
      <w:marLeft w:val="0"/>
      <w:marRight w:val="0"/>
      <w:marTop w:val="0"/>
      <w:marBottom w:val="0"/>
      <w:divBdr>
        <w:top w:val="none" w:sz="0" w:space="0" w:color="auto"/>
        <w:left w:val="none" w:sz="0" w:space="0" w:color="auto"/>
        <w:bottom w:val="none" w:sz="0" w:space="0" w:color="auto"/>
        <w:right w:val="none" w:sz="0" w:space="0" w:color="auto"/>
      </w:divBdr>
    </w:div>
    <w:div w:id="1213034014">
      <w:bodyDiv w:val="1"/>
      <w:marLeft w:val="0"/>
      <w:marRight w:val="0"/>
      <w:marTop w:val="0"/>
      <w:marBottom w:val="0"/>
      <w:divBdr>
        <w:top w:val="none" w:sz="0" w:space="0" w:color="auto"/>
        <w:left w:val="none" w:sz="0" w:space="0" w:color="auto"/>
        <w:bottom w:val="none" w:sz="0" w:space="0" w:color="auto"/>
        <w:right w:val="none" w:sz="0" w:space="0" w:color="auto"/>
      </w:divBdr>
    </w:div>
    <w:div w:id="1221482274">
      <w:bodyDiv w:val="1"/>
      <w:marLeft w:val="0"/>
      <w:marRight w:val="0"/>
      <w:marTop w:val="0"/>
      <w:marBottom w:val="0"/>
      <w:divBdr>
        <w:top w:val="none" w:sz="0" w:space="0" w:color="auto"/>
        <w:left w:val="none" w:sz="0" w:space="0" w:color="auto"/>
        <w:bottom w:val="none" w:sz="0" w:space="0" w:color="auto"/>
        <w:right w:val="none" w:sz="0" w:space="0" w:color="auto"/>
      </w:divBdr>
      <w:divsChild>
        <w:div w:id="104471791">
          <w:marLeft w:val="0"/>
          <w:marRight w:val="0"/>
          <w:marTop w:val="0"/>
          <w:marBottom w:val="0"/>
          <w:divBdr>
            <w:top w:val="none" w:sz="0" w:space="0" w:color="auto"/>
            <w:left w:val="none" w:sz="0" w:space="0" w:color="auto"/>
            <w:bottom w:val="none" w:sz="0" w:space="0" w:color="auto"/>
            <w:right w:val="none" w:sz="0" w:space="0" w:color="auto"/>
          </w:divBdr>
        </w:div>
        <w:div w:id="277955164">
          <w:marLeft w:val="0"/>
          <w:marRight w:val="0"/>
          <w:marTop w:val="0"/>
          <w:marBottom w:val="0"/>
          <w:divBdr>
            <w:top w:val="none" w:sz="0" w:space="0" w:color="auto"/>
            <w:left w:val="none" w:sz="0" w:space="0" w:color="auto"/>
            <w:bottom w:val="none" w:sz="0" w:space="0" w:color="auto"/>
            <w:right w:val="none" w:sz="0" w:space="0" w:color="auto"/>
          </w:divBdr>
        </w:div>
        <w:div w:id="351420063">
          <w:marLeft w:val="0"/>
          <w:marRight w:val="0"/>
          <w:marTop w:val="0"/>
          <w:marBottom w:val="0"/>
          <w:divBdr>
            <w:top w:val="none" w:sz="0" w:space="0" w:color="auto"/>
            <w:left w:val="none" w:sz="0" w:space="0" w:color="auto"/>
            <w:bottom w:val="none" w:sz="0" w:space="0" w:color="auto"/>
            <w:right w:val="none" w:sz="0" w:space="0" w:color="auto"/>
          </w:divBdr>
        </w:div>
        <w:div w:id="1367369597">
          <w:marLeft w:val="0"/>
          <w:marRight w:val="0"/>
          <w:marTop w:val="0"/>
          <w:marBottom w:val="0"/>
          <w:divBdr>
            <w:top w:val="none" w:sz="0" w:space="0" w:color="auto"/>
            <w:left w:val="none" w:sz="0" w:space="0" w:color="auto"/>
            <w:bottom w:val="none" w:sz="0" w:space="0" w:color="auto"/>
            <w:right w:val="none" w:sz="0" w:space="0" w:color="auto"/>
          </w:divBdr>
        </w:div>
      </w:divsChild>
    </w:div>
    <w:div w:id="1241601166">
      <w:bodyDiv w:val="1"/>
      <w:marLeft w:val="0"/>
      <w:marRight w:val="0"/>
      <w:marTop w:val="0"/>
      <w:marBottom w:val="0"/>
      <w:divBdr>
        <w:top w:val="none" w:sz="0" w:space="0" w:color="auto"/>
        <w:left w:val="none" w:sz="0" w:space="0" w:color="auto"/>
        <w:bottom w:val="none" w:sz="0" w:space="0" w:color="auto"/>
        <w:right w:val="none" w:sz="0" w:space="0" w:color="auto"/>
      </w:divBdr>
    </w:div>
    <w:div w:id="1274945809">
      <w:bodyDiv w:val="1"/>
      <w:marLeft w:val="0"/>
      <w:marRight w:val="0"/>
      <w:marTop w:val="0"/>
      <w:marBottom w:val="0"/>
      <w:divBdr>
        <w:top w:val="none" w:sz="0" w:space="0" w:color="auto"/>
        <w:left w:val="none" w:sz="0" w:space="0" w:color="auto"/>
        <w:bottom w:val="none" w:sz="0" w:space="0" w:color="auto"/>
        <w:right w:val="none" w:sz="0" w:space="0" w:color="auto"/>
      </w:divBdr>
      <w:divsChild>
        <w:div w:id="27612346">
          <w:marLeft w:val="0"/>
          <w:marRight w:val="0"/>
          <w:marTop w:val="0"/>
          <w:marBottom w:val="0"/>
          <w:divBdr>
            <w:top w:val="none" w:sz="0" w:space="0" w:color="auto"/>
            <w:left w:val="none" w:sz="0" w:space="0" w:color="auto"/>
            <w:bottom w:val="none" w:sz="0" w:space="0" w:color="auto"/>
            <w:right w:val="none" w:sz="0" w:space="0" w:color="auto"/>
          </w:divBdr>
        </w:div>
        <w:div w:id="190536058">
          <w:marLeft w:val="0"/>
          <w:marRight w:val="0"/>
          <w:marTop w:val="0"/>
          <w:marBottom w:val="0"/>
          <w:divBdr>
            <w:top w:val="none" w:sz="0" w:space="0" w:color="auto"/>
            <w:left w:val="none" w:sz="0" w:space="0" w:color="auto"/>
            <w:bottom w:val="none" w:sz="0" w:space="0" w:color="auto"/>
            <w:right w:val="none" w:sz="0" w:space="0" w:color="auto"/>
          </w:divBdr>
        </w:div>
        <w:div w:id="803695477">
          <w:marLeft w:val="0"/>
          <w:marRight w:val="0"/>
          <w:marTop w:val="0"/>
          <w:marBottom w:val="0"/>
          <w:divBdr>
            <w:top w:val="none" w:sz="0" w:space="0" w:color="auto"/>
            <w:left w:val="none" w:sz="0" w:space="0" w:color="auto"/>
            <w:bottom w:val="none" w:sz="0" w:space="0" w:color="auto"/>
            <w:right w:val="none" w:sz="0" w:space="0" w:color="auto"/>
          </w:divBdr>
        </w:div>
      </w:divsChild>
    </w:div>
    <w:div w:id="1276014118">
      <w:bodyDiv w:val="1"/>
      <w:marLeft w:val="0"/>
      <w:marRight w:val="0"/>
      <w:marTop w:val="0"/>
      <w:marBottom w:val="0"/>
      <w:divBdr>
        <w:top w:val="none" w:sz="0" w:space="0" w:color="auto"/>
        <w:left w:val="none" w:sz="0" w:space="0" w:color="auto"/>
        <w:bottom w:val="none" w:sz="0" w:space="0" w:color="auto"/>
        <w:right w:val="none" w:sz="0" w:space="0" w:color="auto"/>
      </w:divBdr>
      <w:divsChild>
        <w:div w:id="204175348">
          <w:marLeft w:val="0"/>
          <w:marRight w:val="0"/>
          <w:marTop w:val="0"/>
          <w:marBottom w:val="0"/>
          <w:divBdr>
            <w:top w:val="none" w:sz="0" w:space="0" w:color="auto"/>
            <w:left w:val="none" w:sz="0" w:space="0" w:color="auto"/>
            <w:bottom w:val="none" w:sz="0" w:space="0" w:color="auto"/>
            <w:right w:val="none" w:sz="0" w:space="0" w:color="auto"/>
          </w:divBdr>
        </w:div>
        <w:div w:id="248539748">
          <w:marLeft w:val="0"/>
          <w:marRight w:val="0"/>
          <w:marTop w:val="0"/>
          <w:marBottom w:val="0"/>
          <w:divBdr>
            <w:top w:val="none" w:sz="0" w:space="0" w:color="auto"/>
            <w:left w:val="none" w:sz="0" w:space="0" w:color="auto"/>
            <w:bottom w:val="none" w:sz="0" w:space="0" w:color="auto"/>
            <w:right w:val="none" w:sz="0" w:space="0" w:color="auto"/>
          </w:divBdr>
        </w:div>
        <w:div w:id="269822556">
          <w:marLeft w:val="0"/>
          <w:marRight w:val="0"/>
          <w:marTop w:val="0"/>
          <w:marBottom w:val="0"/>
          <w:divBdr>
            <w:top w:val="none" w:sz="0" w:space="0" w:color="auto"/>
            <w:left w:val="none" w:sz="0" w:space="0" w:color="auto"/>
            <w:bottom w:val="none" w:sz="0" w:space="0" w:color="auto"/>
            <w:right w:val="none" w:sz="0" w:space="0" w:color="auto"/>
          </w:divBdr>
        </w:div>
        <w:div w:id="276717304">
          <w:marLeft w:val="0"/>
          <w:marRight w:val="0"/>
          <w:marTop w:val="0"/>
          <w:marBottom w:val="0"/>
          <w:divBdr>
            <w:top w:val="none" w:sz="0" w:space="0" w:color="auto"/>
            <w:left w:val="none" w:sz="0" w:space="0" w:color="auto"/>
            <w:bottom w:val="none" w:sz="0" w:space="0" w:color="auto"/>
            <w:right w:val="none" w:sz="0" w:space="0" w:color="auto"/>
          </w:divBdr>
        </w:div>
        <w:div w:id="327096880">
          <w:marLeft w:val="0"/>
          <w:marRight w:val="0"/>
          <w:marTop w:val="0"/>
          <w:marBottom w:val="0"/>
          <w:divBdr>
            <w:top w:val="none" w:sz="0" w:space="0" w:color="auto"/>
            <w:left w:val="none" w:sz="0" w:space="0" w:color="auto"/>
            <w:bottom w:val="none" w:sz="0" w:space="0" w:color="auto"/>
            <w:right w:val="none" w:sz="0" w:space="0" w:color="auto"/>
          </w:divBdr>
        </w:div>
        <w:div w:id="399711261">
          <w:marLeft w:val="0"/>
          <w:marRight w:val="0"/>
          <w:marTop w:val="0"/>
          <w:marBottom w:val="0"/>
          <w:divBdr>
            <w:top w:val="none" w:sz="0" w:space="0" w:color="auto"/>
            <w:left w:val="none" w:sz="0" w:space="0" w:color="auto"/>
            <w:bottom w:val="none" w:sz="0" w:space="0" w:color="auto"/>
            <w:right w:val="none" w:sz="0" w:space="0" w:color="auto"/>
          </w:divBdr>
        </w:div>
        <w:div w:id="567813571">
          <w:marLeft w:val="0"/>
          <w:marRight w:val="0"/>
          <w:marTop w:val="0"/>
          <w:marBottom w:val="0"/>
          <w:divBdr>
            <w:top w:val="none" w:sz="0" w:space="0" w:color="auto"/>
            <w:left w:val="none" w:sz="0" w:space="0" w:color="auto"/>
            <w:bottom w:val="none" w:sz="0" w:space="0" w:color="auto"/>
            <w:right w:val="none" w:sz="0" w:space="0" w:color="auto"/>
          </w:divBdr>
        </w:div>
        <w:div w:id="721441903">
          <w:marLeft w:val="0"/>
          <w:marRight w:val="0"/>
          <w:marTop w:val="0"/>
          <w:marBottom w:val="0"/>
          <w:divBdr>
            <w:top w:val="none" w:sz="0" w:space="0" w:color="auto"/>
            <w:left w:val="none" w:sz="0" w:space="0" w:color="auto"/>
            <w:bottom w:val="none" w:sz="0" w:space="0" w:color="auto"/>
            <w:right w:val="none" w:sz="0" w:space="0" w:color="auto"/>
          </w:divBdr>
        </w:div>
        <w:div w:id="728111683">
          <w:marLeft w:val="0"/>
          <w:marRight w:val="0"/>
          <w:marTop w:val="0"/>
          <w:marBottom w:val="0"/>
          <w:divBdr>
            <w:top w:val="none" w:sz="0" w:space="0" w:color="auto"/>
            <w:left w:val="none" w:sz="0" w:space="0" w:color="auto"/>
            <w:bottom w:val="none" w:sz="0" w:space="0" w:color="auto"/>
            <w:right w:val="none" w:sz="0" w:space="0" w:color="auto"/>
          </w:divBdr>
        </w:div>
        <w:div w:id="766193613">
          <w:marLeft w:val="0"/>
          <w:marRight w:val="0"/>
          <w:marTop w:val="0"/>
          <w:marBottom w:val="0"/>
          <w:divBdr>
            <w:top w:val="none" w:sz="0" w:space="0" w:color="auto"/>
            <w:left w:val="none" w:sz="0" w:space="0" w:color="auto"/>
            <w:bottom w:val="none" w:sz="0" w:space="0" w:color="auto"/>
            <w:right w:val="none" w:sz="0" w:space="0" w:color="auto"/>
          </w:divBdr>
        </w:div>
        <w:div w:id="906919626">
          <w:marLeft w:val="0"/>
          <w:marRight w:val="0"/>
          <w:marTop w:val="0"/>
          <w:marBottom w:val="0"/>
          <w:divBdr>
            <w:top w:val="none" w:sz="0" w:space="0" w:color="auto"/>
            <w:left w:val="none" w:sz="0" w:space="0" w:color="auto"/>
            <w:bottom w:val="none" w:sz="0" w:space="0" w:color="auto"/>
            <w:right w:val="none" w:sz="0" w:space="0" w:color="auto"/>
          </w:divBdr>
        </w:div>
        <w:div w:id="1280183071">
          <w:marLeft w:val="0"/>
          <w:marRight w:val="0"/>
          <w:marTop w:val="0"/>
          <w:marBottom w:val="0"/>
          <w:divBdr>
            <w:top w:val="none" w:sz="0" w:space="0" w:color="auto"/>
            <w:left w:val="none" w:sz="0" w:space="0" w:color="auto"/>
            <w:bottom w:val="none" w:sz="0" w:space="0" w:color="auto"/>
            <w:right w:val="none" w:sz="0" w:space="0" w:color="auto"/>
          </w:divBdr>
        </w:div>
        <w:div w:id="1364789856">
          <w:marLeft w:val="0"/>
          <w:marRight w:val="0"/>
          <w:marTop w:val="0"/>
          <w:marBottom w:val="0"/>
          <w:divBdr>
            <w:top w:val="none" w:sz="0" w:space="0" w:color="auto"/>
            <w:left w:val="none" w:sz="0" w:space="0" w:color="auto"/>
            <w:bottom w:val="none" w:sz="0" w:space="0" w:color="auto"/>
            <w:right w:val="none" w:sz="0" w:space="0" w:color="auto"/>
          </w:divBdr>
        </w:div>
        <w:div w:id="1655455360">
          <w:marLeft w:val="0"/>
          <w:marRight w:val="0"/>
          <w:marTop w:val="0"/>
          <w:marBottom w:val="0"/>
          <w:divBdr>
            <w:top w:val="none" w:sz="0" w:space="0" w:color="auto"/>
            <w:left w:val="none" w:sz="0" w:space="0" w:color="auto"/>
            <w:bottom w:val="none" w:sz="0" w:space="0" w:color="auto"/>
            <w:right w:val="none" w:sz="0" w:space="0" w:color="auto"/>
          </w:divBdr>
        </w:div>
        <w:div w:id="1785923539">
          <w:marLeft w:val="0"/>
          <w:marRight w:val="0"/>
          <w:marTop w:val="0"/>
          <w:marBottom w:val="0"/>
          <w:divBdr>
            <w:top w:val="none" w:sz="0" w:space="0" w:color="auto"/>
            <w:left w:val="none" w:sz="0" w:space="0" w:color="auto"/>
            <w:bottom w:val="none" w:sz="0" w:space="0" w:color="auto"/>
            <w:right w:val="none" w:sz="0" w:space="0" w:color="auto"/>
          </w:divBdr>
        </w:div>
        <w:div w:id="1904676689">
          <w:marLeft w:val="0"/>
          <w:marRight w:val="0"/>
          <w:marTop w:val="0"/>
          <w:marBottom w:val="0"/>
          <w:divBdr>
            <w:top w:val="none" w:sz="0" w:space="0" w:color="auto"/>
            <w:left w:val="none" w:sz="0" w:space="0" w:color="auto"/>
            <w:bottom w:val="none" w:sz="0" w:space="0" w:color="auto"/>
            <w:right w:val="none" w:sz="0" w:space="0" w:color="auto"/>
          </w:divBdr>
        </w:div>
      </w:divsChild>
    </w:div>
    <w:div w:id="1297644560">
      <w:bodyDiv w:val="1"/>
      <w:marLeft w:val="0"/>
      <w:marRight w:val="0"/>
      <w:marTop w:val="0"/>
      <w:marBottom w:val="0"/>
      <w:divBdr>
        <w:top w:val="none" w:sz="0" w:space="0" w:color="auto"/>
        <w:left w:val="none" w:sz="0" w:space="0" w:color="auto"/>
        <w:bottom w:val="none" w:sz="0" w:space="0" w:color="auto"/>
        <w:right w:val="none" w:sz="0" w:space="0" w:color="auto"/>
      </w:divBdr>
      <w:divsChild>
        <w:div w:id="56058006">
          <w:marLeft w:val="0"/>
          <w:marRight w:val="0"/>
          <w:marTop w:val="0"/>
          <w:marBottom w:val="0"/>
          <w:divBdr>
            <w:top w:val="none" w:sz="0" w:space="0" w:color="auto"/>
            <w:left w:val="none" w:sz="0" w:space="0" w:color="auto"/>
            <w:bottom w:val="none" w:sz="0" w:space="0" w:color="auto"/>
            <w:right w:val="none" w:sz="0" w:space="0" w:color="auto"/>
          </w:divBdr>
        </w:div>
        <w:div w:id="231239890">
          <w:marLeft w:val="0"/>
          <w:marRight w:val="0"/>
          <w:marTop w:val="0"/>
          <w:marBottom w:val="0"/>
          <w:divBdr>
            <w:top w:val="none" w:sz="0" w:space="0" w:color="auto"/>
            <w:left w:val="none" w:sz="0" w:space="0" w:color="auto"/>
            <w:bottom w:val="none" w:sz="0" w:space="0" w:color="auto"/>
            <w:right w:val="none" w:sz="0" w:space="0" w:color="auto"/>
          </w:divBdr>
        </w:div>
        <w:div w:id="244455651">
          <w:marLeft w:val="0"/>
          <w:marRight w:val="0"/>
          <w:marTop w:val="0"/>
          <w:marBottom w:val="0"/>
          <w:divBdr>
            <w:top w:val="none" w:sz="0" w:space="0" w:color="auto"/>
            <w:left w:val="none" w:sz="0" w:space="0" w:color="auto"/>
            <w:bottom w:val="none" w:sz="0" w:space="0" w:color="auto"/>
            <w:right w:val="none" w:sz="0" w:space="0" w:color="auto"/>
          </w:divBdr>
        </w:div>
        <w:div w:id="285551887">
          <w:marLeft w:val="0"/>
          <w:marRight w:val="0"/>
          <w:marTop w:val="0"/>
          <w:marBottom w:val="0"/>
          <w:divBdr>
            <w:top w:val="none" w:sz="0" w:space="0" w:color="auto"/>
            <w:left w:val="none" w:sz="0" w:space="0" w:color="auto"/>
            <w:bottom w:val="none" w:sz="0" w:space="0" w:color="auto"/>
            <w:right w:val="none" w:sz="0" w:space="0" w:color="auto"/>
          </w:divBdr>
        </w:div>
        <w:div w:id="372080633">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41727926">
          <w:marLeft w:val="0"/>
          <w:marRight w:val="0"/>
          <w:marTop w:val="0"/>
          <w:marBottom w:val="0"/>
          <w:divBdr>
            <w:top w:val="none" w:sz="0" w:space="0" w:color="auto"/>
            <w:left w:val="none" w:sz="0" w:space="0" w:color="auto"/>
            <w:bottom w:val="none" w:sz="0" w:space="0" w:color="auto"/>
            <w:right w:val="none" w:sz="0" w:space="0" w:color="auto"/>
          </w:divBdr>
        </w:div>
        <w:div w:id="573468280">
          <w:marLeft w:val="0"/>
          <w:marRight w:val="0"/>
          <w:marTop w:val="0"/>
          <w:marBottom w:val="0"/>
          <w:divBdr>
            <w:top w:val="none" w:sz="0" w:space="0" w:color="auto"/>
            <w:left w:val="none" w:sz="0" w:space="0" w:color="auto"/>
            <w:bottom w:val="none" w:sz="0" w:space="0" w:color="auto"/>
            <w:right w:val="none" w:sz="0" w:space="0" w:color="auto"/>
          </w:divBdr>
        </w:div>
        <w:div w:id="658734531">
          <w:marLeft w:val="0"/>
          <w:marRight w:val="0"/>
          <w:marTop w:val="0"/>
          <w:marBottom w:val="0"/>
          <w:divBdr>
            <w:top w:val="none" w:sz="0" w:space="0" w:color="auto"/>
            <w:left w:val="none" w:sz="0" w:space="0" w:color="auto"/>
            <w:bottom w:val="none" w:sz="0" w:space="0" w:color="auto"/>
            <w:right w:val="none" w:sz="0" w:space="0" w:color="auto"/>
          </w:divBdr>
        </w:div>
        <w:div w:id="788281038">
          <w:marLeft w:val="0"/>
          <w:marRight w:val="0"/>
          <w:marTop w:val="0"/>
          <w:marBottom w:val="0"/>
          <w:divBdr>
            <w:top w:val="none" w:sz="0" w:space="0" w:color="auto"/>
            <w:left w:val="none" w:sz="0" w:space="0" w:color="auto"/>
            <w:bottom w:val="none" w:sz="0" w:space="0" w:color="auto"/>
            <w:right w:val="none" w:sz="0" w:space="0" w:color="auto"/>
          </w:divBdr>
        </w:div>
        <w:div w:id="796222781">
          <w:marLeft w:val="0"/>
          <w:marRight w:val="0"/>
          <w:marTop w:val="0"/>
          <w:marBottom w:val="0"/>
          <w:divBdr>
            <w:top w:val="none" w:sz="0" w:space="0" w:color="auto"/>
            <w:left w:val="none" w:sz="0" w:space="0" w:color="auto"/>
            <w:bottom w:val="none" w:sz="0" w:space="0" w:color="auto"/>
            <w:right w:val="none" w:sz="0" w:space="0" w:color="auto"/>
          </w:divBdr>
        </w:div>
        <w:div w:id="1008024985">
          <w:marLeft w:val="0"/>
          <w:marRight w:val="0"/>
          <w:marTop w:val="0"/>
          <w:marBottom w:val="0"/>
          <w:divBdr>
            <w:top w:val="none" w:sz="0" w:space="0" w:color="auto"/>
            <w:left w:val="none" w:sz="0" w:space="0" w:color="auto"/>
            <w:bottom w:val="none" w:sz="0" w:space="0" w:color="auto"/>
            <w:right w:val="none" w:sz="0" w:space="0" w:color="auto"/>
          </w:divBdr>
        </w:div>
        <w:div w:id="1009865209">
          <w:marLeft w:val="0"/>
          <w:marRight w:val="0"/>
          <w:marTop w:val="0"/>
          <w:marBottom w:val="0"/>
          <w:divBdr>
            <w:top w:val="none" w:sz="0" w:space="0" w:color="auto"/>
            <w:left w:val="none" w:sz="0" w:space="0" w:color="auto"/>
            <w:bottom w:val="none" w:sz="0" w:space="0" w:color="auto"/>
            <w:right w:val="none" w:sz="0" w:space="0" w:color="auto"/>
          </w:divBdr>
        </w:div>
        <w:div w:id="1022434214">
          <w:marLeft w:val="0"/>
          <w:marRight w:val="0"/>
          <w:marTop w:val="0"/>
          <w:marBottom w:val="0"/>
          <w:divBdr>
            <w:top w:val="none" w:sz="0" w:space="0" w:color="auto"/>
            <w:left w:val="none" w:sz="0" w:space="0" w:color="auto"/>
            <w:bottom w:val="none" w:sz="0" w:space="0" w:color="auto"/>
            <w:right w:val="none" w:sz="0" w:space="0" w:color="auto"/>
          </w:divBdr>
        </w:div>
        <w:div w:id="1164514289">
          <w:marLeft w:val="0"/>
          <w:marRight w:val="0"/>
          <w:marTop w:val="0"/>
          <w:marBottom w:val="0"/>
          <w:divBdr>
            <w:top w:val="none" w:sz="0" w:space="0" w:color="auto"/>
            <w:left w:val="none" w:sz="0" w:space="0" w:color="auto"/>
            <w:bottom w:val="none" w:sz="0" w:space="0" w:color="auto"/>
            <w:right w:val="none" w:sz="0" w:space="0" w:color="auto"/>
          </w:divBdr>
        </w:div>
        <w:div w:id="1183544417">
          <w:marLeft w:val="0"/>
          <w:marRight w:val="0"/>
          <w:marTop w:val="0"/>
          <w:marBottom w:val="0"/>
          <w:divBdr>
            <w:top w:val="none" w:sz="0" w:space="0" w:color="auto"/>
            <w:left w:val="none" w:sz="0" w:space="0" w:color="auto"/>
            <w:bottom w:val="none" w:sz="0" w:space="0" w:color="auto"/>
            <w:right w:val="none" w:sz="0" w:space="0" w:color="auto"/>
          </w:divBdr>
        </w:div>
        <w:div w:id="1266186247">
          <w:marLeft w:val="0"/>
          <w:marRight w:val="0"/>
          <w:marTop w:val="0"/>
          <w:marBottom w:val="0"/>
          <w:divBdr>
            <w:top w:val="none" w:sz="0" w:space="0" w:color="auto"/>
            <w:left w:val="none" w:sz="0" w:space="0" w:color="auto"/>
            <w:bottom w:val="none" w:sz="0" w:space="0" w:color="auto"/>
            <w:right w:val="none" w:sz="0" w:space="0" w:color="auto"/>
          </w:divBdr>
        </w:div>
        <w:div w:id="1279532449">
          <w:marLeft w:val="0"/>
          <w:marRight w:val="0"/>
          <w:marTop w:val="0"/>
          <w:marBottom w:val="0"/>
          <w:divBdr>
            <w:top w:val="none" w:sz="0" w:space="0" w:color="auto"/>
            <w:left w:val="none" w:sz="0" w:space="0" w:color="auto"/>
            <w:bottom w:val="none" w:sz="0" w:space="0" w:color="auto"/>
            <w:right w:val="none" w:sz="0" w:space="0" w:color="auto"/>
          </w:divBdr>
        </w:div>
        <w:div w:id="1294555502">
          <w:marLeft w:val="0"/>
          <w:marRight w:val="0"/>
          <w:marTop w:val="0"/>
          <w:marBottom w:val="0"/>
          <w:divBdr>
            <w:top w:val="none" w:sz="0" w:space="0" w:color="auto"/>
            <w:left w:val="none" w:sz="0" w:space="0" w:color="auto"/>
            <w:bottom w:val="none" w:sz="0" w:space="0" w:color="auto"/>
            <w:right w:val="none" w:sz="0" w:space="0" w:color="auto"/>
          </w:divBdr>
        </w:div>
        <w:div w:id="1492721839">
          <w:marLeft w:val="0"/>
          <w:marRight w:val="0"/>
          <w:marTop w:val="0"/>
          <w:marBottom w:val="0"/>
          <w:divBdr>
            <w:top w:val="none" w:sz="0" w:space="0" w:color="auto"/>
            <w:left w:val="none" w:sz="0" w:space="0" w:color="auto"/>
            <w:bottom w:val="none" w:sz="0" w:space="0" w:color="auto"/>
            <w:right w:val="none" w:sz="0" w:space="0" w:color="auto"/>
          </w:divBdr>
        </w:div>
        <w:div w:id="1711495388">
          <w:marLeft w:val="0"/>
          <w:marRight w:val="0"/>
          <w:marTop w:val="0"/>
          <w:marBottom w:val="0"/>
          <w:divBdr>
            <w:top w:val="none" w:sz="0" w:space="0" w:color="auto"/>
            <w:left w:val="none" w:sz="0" w:space="0" w:color="auto"/>
            <w:bottom w:val="none" w:sz="0" w:space="0" w:color="auto"/>
            <w:right w:val="none" w:sz="0" w:space="0" w:color="auto"/>
          </w:divBdr>
        </w:div>
        <w:div w:id="1854955955">
          <w:marLeft w:val="0"/>
          <w:marRight w:val="0"/>
          <w:marTop w:val="0"/>
          <w:marBottom w:val="0"/>
          <w:divBdr>
            <w:top w:val="none" w:sz="0" w:space="0" w:color="auto"/>
            <w:left w:val="none" w:sz="0" w:space="0" w:color="auto"/>
            <w:bottom w:val="none" w:sz="0" w:space="0" w:color="auto"/>
            <w:right w:val="none" w:sz="0" w:space="0" w:color="auto"/>
          </w:divBdr>
        </w:div>
        <w:div w:id="1962228503">
          <w:marLeft w:val="0"/>
          <w:marRight w:val="0"/>
          <w:marTop w:val="0"/>
          <w:marBottom w:val="0"/>
          <w:divBdr>
            <w:top w:val="none" w:sz="0" w:space="0" w:color="auto"/>
            <w:left w:val="none" w:sz="0" w:space="0" w:color="auto"/>
            <w:bottom w:val="none" w:sz="0" w:space="0" w:color="auto"/>
            <w:right w:val="none" w:sz="0" w:space="0" w:color="auto"/>
          </w:divBdr>
        </w:div>
        <w:div w:id="2063016742">
          <w:marLeft w:val="0"/>
          <w:marRight w:val="0"/>
          <w:marTop w:val="0"/>
          <w:marBottom w:val="0"/>
          <w:divBdr>
            <w:top w:val="none" w:sz="0" w:space="0" w:color="auto"/>
            <w:left w:val="none" w:sz="0" w:space="0" w:color="auto"/>
            <w:bottom w:val="none" w:sz="0" w:space="0" w:color="auto"/>
            <w:right w:val="none" w:sz="0" w:space="0" w:color="auto"/>
          </w:divBdr>
        </w:div>
        <w:div w:id="2119131717">
          <w:marLeft w:val="0"/>
          <w:marRight w:val="0"/>
          <w:marTop w:val="0"/>
          <w:marBottom w:val="0"/>
          <w:divBdr>
            <w:top w:val="none" w:sz="0" w:space="0" w:color="auto"/>
            <w:left w:val="none" w:sz="0" w:space="0" w:color="auto"/>
            <w:bottom w:val="none" w:sz="0" w:space="0" w:color="auto"/>
            <w:right w:val="none" w:sz="0" w:space="0" w:color="auto"/>
          </w:divBdr>
        </w:div>
      </w:divsChild>
    </w:div>
    <w:div w:id="1300695026">
      <w:bodyDiv w:val="1"/>
      <w:marLeft w:val="0"/>
      <w:marRight w:val="0"/>
      <w:marTop w:val="0"/>
      <w:marBottom w:val="0"/>
      <w:divBdr>
        <w:top w:val="none" w:sz="0" w:space="0" w:color="auto"/>
        <w:left w:val="none" w:sz="0" w:space="0" w:color="auto"/>
        <w:bottom w:val="none" w:sz="0" w:space="0" w:color="auto"/>
        <w:right w:val="none" w:sz="0" w:space="0" w:color="auto"/>
      </w:divBdr>
    </w:div>
    <w:div w:id="1321037389">
      <w:bodyDiv w:val="1"/>
      <w:marLeft w:val="0"/>
      <w:marRight w:val="0"/>
      <w:marTop w:val="0"/>
      <w:marBottom w:val="0"/>
      <w:divBdr>
        <w:top w:val="none" w:sz="0" w:space="0" w:color="auto"/>
        <w:left w:val="none" w:sz="0" w:space="0" w:color="auto"/>
        <w:bottom w:val="none" w:sz="0" w:space="0" w:color="auto"/>
        <w:right w:val="none" w:sz="0" w:space="0" w:color="auto"/>
      </w:divBdr>
      <w:divsChild>
        <w:div w:id="2019652902">
          <w:marLeft w:val="0"/>
          <w:marRight w:val="0"/>
          <w:marTop w:val="67"/>
          <w:marBottom w:val="120"/>
          <w:divBdr>
            <w:top w:val="none" w:sz="0" w:space="0" w:color="auto"/>
            <w:left w:val="none" w:sz="0" w:space="0" w:color="auto"/>
            <w:bottom w:val="none" w:sz="0" w:space="0" w:color="auto"/>
            <w:right w:val="none" w:sz="0" w:space="0" w:color="auto"/>
          </w:divBdr>
        </w:div>
      </w:divsChild>
    </w:div>
    <w:div w:id="1321695408">
      <w:bodyDiv w:val="1"/>
      <w:marLeft w:val="0"/>
      <w:marRight w:val="0"/>
      <w:marTop w:val="0"/>
      <w:marBottom w:val="0"/>
      <w:divBdr>
        <w:top w:val="none" w:sz="0" w:space="0" w:color="auto"/>
        <w:left w:val="none" w:sz="0" w:space="0" w:color="auto"/>
        <w:bottom w:val="none" w:sz="0" w:space="0" w:color="auto"/>
        <w:right w:val="none" w:sz="0" w:space="0" w:color="auto"/>
      </w:divBdr>
    </w:div>
    <w:div w:id="1368146221">
      <w:bodyDiv w:val="1"/>
      <w:marLeft w:val="0"/>
      <w:marRight w:val="0"/>
      <w:marTop w:val="0"/>
      <w:marBottom w:val="0"/>
      <w:divBdr>
        <w:top w:val="none" w:sz="0" w:space="0" w:color="auto"/>
        <w:left w:val="none" w:sz="0" w:space="0" w:color="auto"/>
        <w:bottom w:val="none" w:sz="0" w:space="0" w:color="auto"/>
        <w:right w:val="none" w:sz="0" w:space="0" w:color="auto"/>
      </w:divBdr>
    </w:div>
    <w:div w:id="1376077712">
      <w:bodyDiv w:val="1"/>
      <w:marLeft w:val="0"/>
      <w:marRight w:val="0"/>
      <w:marTop w:val="0"/>
      <w:marBottom w:val="0"/>
      <w:divBdr>
        <w:top w:val="none" w:sz="0" w:space="0" w:color="auto"/>
        <w:left w:val="none" w:sz="0" w:space="0" w:color="auto"/>
        <w:bottom w:val="none" w:sz="0" w:space="0" w:color="auto"/>
        <w:right w:val="none" w:sz="0" w:space="0" w:color="auto"/>
      </w:divBdr>
    </w:div>
    <w:div w:id="1402681638">
      <w:bodyDiv w:val="1"/>
      <w:marLeft w:val="0"/>
      <w:marRight w:val="0"/>
      <w:marTop w:val="0"/>
      <w:marBottom w:val="0"/>
      <w:divBdr>
        <w:top w:val="none" w:sz="0" w:space="0" w:color="auto"/>
        <w:left w:val="none" w:sz="0" w:space="0" w:color="auto"/>
        <w:bottom w:val="none" w:sz="0" w:space="0" w:color="auto"/>
        <w:right w:val="none" w:sz="0" w:space="0" w:color="auto"/>
      </w:divBdr>
    </w:div>
    <w:div w:id="1405569530">
      <w:bodyDiv w:val="1"/>
      <w:marLeft w:val="0"/>
      <w:marRight w:val="0"/>
      <w:marTop w:val="0"/>
      <w:marBottom w:val="0"/>
      <w:divBdr>
        <w:top w:val="none" w:sz="0" w:space="0" w:color="auto"/>
        <w:left w:val="none" w:sz="0" w:space="0" w:color="auto"/>
        <w:bottom w:val="none" w:sz="0" w:space="0" w:color="auto"/>
        <w:right w:val="none" w:sz="0" w:space="0" w:color="auto"/>
      </w:divBdr>
      <w:divsChild>
        <w:div w:id="319576863">
          <w:marLeft w:val="0"/>
          <w:marRight w:val="0"/>
          <w:marTop w:val="0"/>
          <w:marBottom w:val="0"/>
          <w:divBdr>
            <w:top w:val="none" w:sz="0" w:space="0" w:color="auto"/>
            <w:left w:val="none" w:sz="0" w:space="0" w:color="auto"/>
            <w:bottom w:val="none" w:sz="0" w:space="0" w:color="auto"/>
            <w:right w:val="none" w:sz="0" w:space="0" w:color="auto"/>
          </w:divBdr>
        </w:div>
        <w:div w:id="951208172">
          <w:marLeft w:val="0"/>
          <w:marRight w:val="0"/>
          <w:marTop w:val="0"/>
          <w:marBottom w:val="0"/>
          <w:divBdr>
            <w:top w:val="none" w:sz="0" w:space="0" w:color="auto"/>
            <w:left w:val="none" w:sz="0" w:space="0" w:color="auto"/>
            <w:bottom w:val="none" w:sz="0" w:space="0" w:color="auto"/>
            <w:right w:val="none" w:sz="0" w:space="0" w:color="auto"/>
          </w:divBdr>
        </w:div>
        <w:div w:id="1526752496">
          <w:marLeft w:val="0"/>
          <w:marRight w:val="0"/>
          <w:marTop w:val="0"/>
          <w:marBottom w:val="0"/>
          <w:divBdr>
            <w:top w:val="none" w:sz="0" w:space="0" w:color="auto"/>
            <w:left w:val="none" w:sz="0" w:space="0" w:color="auto"/>
            <w:bottom w:val="none" w:sz="0" w:space="0" w:color="auto"/>
            <w:right w:val="none" w:sz="0" w:space="0" w:color="auto"/>
          </w:divBdr>
        </w:div>
        <w:div w:id="1707561791">
          <w:marLeft w:val="0"/>
          <w:marRight w:val="0"/>
          <w:marTop w:val="0"/>
          <w:marBottom w:val="0"/>
          <w:divBdr>
            <w:top w:val="none" w:sz="0" w:space="0" w:color="auto"/>
            <w:left w:val="none" w:sz="0" w:space="0" w:color="auto"/>
            <w:bottom w:val="none" w:sz="0" w:space="0" w:color="auto"/>
            <w:right w:val="none" w:sz="0" w:space="0" w:color="auto"/>
          </w:divBdr>
        </w:div>
      </w:divsChild>
    </w:div>
    <w:div w:id="1452554930">
      <w:bodyDiv w:val="1"/>
      <w:marLeft w:val="0"/>
      <w:marRight w:val="0"/>
      <w:marTop w:val="0"/>
      <w:marBottom w:val="0"/>
      <w:divBdr>
        <w:top w:val="none" w:sz="0" w:space="0" w:color="auto"/>
        <w:left w:val="none" w:sz="0" w:space="0" w:color="auto"/>
        <w:bottom w:val="none" w:sz="0" w:space="0" w:color="auto"/>
        <w:right w:val="none" w:sz="0" w:space="0" w:color="auto"/>
      </w:divBdr>
    </w:div>
    <w:div w:id="1470437188">
      <w:bodyDiv w:val="1"/>
      <w:marLeft w:val="0"/>
      <w:marRight w:val="0"/>
      <w:marTop w:val="0"/>
      <w:marBottom w:val="0"/>
      <w:divBdr>
        <w:top w:val="none" w:sz="0" w:space="0" w:color="auto"/>
        <w:left w:val="none" w:sz="0" w:space="0" w:color="auto"/>
        <w:bottom w:val="none" w:sz="0" w:space="0" w:color="auto"/>
        <w:right w:val="none" w:sz="0" w:space="0" w:color="auto"/>
      </w:divBdr>
    </w:div>
    <w:div w:id="1511791558">
      <w:bodyDiv w:val="1"/>
      <w:marLeft w:val="0"/>
      <w:marRight w:val="0"/>
      <w:marTop w:val="0"/>
      <w:marBottom w:val="0"/>
      <w:divBdr>
        <w:top w:val="none" w:sz="0" w:space="0" w:color="auto"/>
        <w:left w:val="none" w:sz="0" w:space="0" w:color="auto"/>
        <w:bottom w:val="none" w:sz="0" w:space="0" w:color="auto"/>
        <w:right w:val="none" w:sz="0" w:space="0" w:color="auto"/>
      </w:divBdr>
    </w:div>
    <w:div w:id="1515800487">
      <w:bodyDiv w:val="1"/>
      <w:marLeft w:val="0"/>
      <w:marRight w:val="0"/>
      <w:marTop w:val="0"/>
      <w:marBottom w:val="0"/>
      <w:divBdr>
        <w:top w:val="none" w:sz="0" w:space="0" w:color="auto"/>
        <w:left w:val="none" w:sz="0" w:space="0" w:color="auto"/>
        <w:bottom w:val="none" w:sz="0" w:space="0" w:color="auto"/>
        <w:right w:val="none" w:sz="0" w:space="0" w:color="auto"/>
      </w:divBdr>
    </w:div>
    <w:div w:id="1541697835">
      <w:bodyDiv w:val="1"/>
      <w:marLeft w:val="0"/>
      <w:marRight w:val="0"/>
      <w:marTop w:val="0"/>
      <w:marBottom w:val="0"/>
      <w:divBdr>
        <w:top w:val="none" w:sz="0" w:space="0" w:color="auto"/>
        <w:left w:val="none" w:sz="0" w:space="0" w:color="auto"/>
        <w:bottom w:val="none" w:sz="0" w:space="0" w:color="auto"/>
        <w:right w:val="none" w:sz="0" w:space="0" w:color="auto"/>
      </w:divBdr>
    </w:div>
    <w:div w:id="1585796587">
      <w:bodyDiv w:val="1"/>
      <w:marLeft w:val="0"/>
      <w:marRight w:val="0"/>
      <w:marTop w:val="0"/>
      <w:marBottom w:val="0"/>
      <w:divBdr>
        <w:top w:val="none" w:sz="0" w:space="0" w:color="auto"/>
        <w:left w:val="none" w:sz="0" w:space="0" w:color="auto"/>
        <w:bottom w:val="none" w:sz="0" w:space="0" w:color="auto"/>
        <w:right w:val="none" w:sz="0" w:space="0" w:color="auto"/>
      </w:divBdr>
    </w:div>
    <w:div w:id="1602105412">
      <w:bodyDiv w:val="1"/>
      <w:marLeft w:val="0"/>
      <w:marRight w:val="0"/>
      <w:marTop w:val="0"/>
      <w:marBottom w:val="0"/>
      <w:divBdr>
        <w:top w:val="none" w:sz="0" w:space="0" w:color="auto"/>
        <w:left w:val="none" w:sz="0" w:space="0" w:color="auto"/>
        <w:bottom w:val="none" w:sz="0" w:space="0" w:color="auto"/>
        <w:right w:val="none" w:sz="0" w:space="0" w:color="auto"/>
      </w:divBdr>
    </w:div>
    <w:div w:id="1603686122">
      <w:bodyDiv w:val="1"/>
      <w:marLeft w:val="0"/>
      <w:marRight w:val="0"/>
      <w:marTop w:val="0"/>
      <w:marBottom w:val="0"/>
      <w:divBdr>
        <w:top w:val="none" w:sz="0" w:space="0" w:color="auto"/>
        <w:left w:val="none" w:sz="0" w:space="0" w:color="auto"/>
        <w:bottom w:val="none" w:sz="0" w:space="0" w:color="auto"/>
        <w:right w:val="none" w:sz="0" w:space="0" w:color="auto"/>
      </w:divBdr>
    </w:div>
    <w:div w:id="1612784026">
      <w:bodyDiv w:val="1"/>
      <w:marLeft w:val="0"/>
      <w:marRight w:val="0"/>
      <w:marTop w:val="0"/>
      <w:marBottom w:val="0"/>
      <w:divBdr>
        <w:top w:val="none" w:sz="0" w:space="0" w:color="auto"/>
        <w:left w:val="none" w:sz="0" w:space="0" w:color="auto"/>
        <w:bottom w:val="none" w:sz="0" w:space="0" w:color="auto"/>
        <w:right w:val="none" w:sz="0" w:space="0" w:color="auto"/>
      </w:divBdr>
    </w:div>
    <w:div w:id="1617061520">
      <w:bodyDiv w:val="1"/>
      <w:marLeft w:val="0"/>
      <w:marRight w:val="0"/>
      <w:marTop w:val="0"/>
      <w:marBottom w:val="0"/>
      <w:divBdr>
        <w:top w:val="none" w:sz="0" w:space="0" w:color="auto"/>
        <w:left w:val="none" w:sz="0" w:space="0" w:color="auto"/>
        <w:bottom w:val="none" w:sz="0" w:space="0" w:color="auto"/>
        <w:right w:val="none" w:sz="0" w:space="0" w:color="auto"/>
      </w:divBdr>
    </w:div>
    <w:div w:id="1618414202">
      <w:bodyDiv w:val="1"/>
      <w:marLeft w:val="0"/>
      <w:marRight w:val="0"/>
      <w:marTop w:val="0"/>
      <w:marBottom w:val="0"/>
      <w:divBdr>
        <w:top w:val="none" w:sz="0" w:space="0" w:color="auto"/>
        <w:left w:val="none" w:sz="0" w:space="0" w:color="auto"/>
        <w:bottom w:val="none" w:sz="0" w:space="0" w:color="auto"/>
        <w:right w:val="none" w:sz="0" w:space="0" w:color="auto"/>
      </w:divBdr>
    </w:div>
    <w:div w:id="1631125831">
      <w:bodyDiv w:val="1"/>
      <w:marLeft w:val="0"/>
      <w:marRight w:val="0"/>
      <w:marTop w:val="0"/>
      <w:marBottom w:val="0"/>
      <w:divBdr>
        <w:top w:val="none" w:sz="0" w:space="0" w:color="auto"/>
        <w:left w:val="none" w:sz="0" w:space="0" w:color="auto"/>
        <w:bottom w:val="none" w:sz="0" w:space="0" w:color="auto"/>
        <w:right w:val="none" w:sz="0" w:space="0" w:color="auto"/>
      </w:divBdr>
    </w:div>
    <w:div w:id="1640070418">
      <w:bodyDiv w:val="1"/>
      <w:marLeft w:val="0"/>
      <w:marRight w:val="0"/>
      <w:marTop w:val="0"/>
      <w:marBottom w:val="0"/>
      <w:divBdr>
        <w:top w:val="none" w:sz="0" w:space="0" w:color="auto"/>
        <w:left w:val="none" w:sz="0" w:space="0" w:color="auto"/>
        <w:bottom w:val="none" w:sz="0" w:space="0" w:color="auto"/>
        <w:right w:val="none" w:sz="0" w:space="0" w:color="auto"/>
      </w:divBdr>
    </w:div>
    <w:div w:id="1644113689">
      <w:bodyDiv w:val="1"/>
      <w:marLeft w:val="0"/>
      <w:marRight w:val="0"/>
      <w:marTop w:val="0"/>
      <w:marBottom w:val="0"/>
      <w:divBdr>
        <w:top w:val="none" w:sz="0" w:space="0" w:color="auto"/>
        <w:left w:val="none" w:sz="0" w:space="0" w:color="auto"/>
        <w:bottom w:val="none" w:sz="0" w:space="0" w:color="auto"/>
        <w:right w:val="none" w:sz="0" w:space="0" w:color="auto"/>
      </w:divBdr>
    </w:div>
    <w:div w:id="1644499800">
      <w:bodyDiv w:val="1"/>
      <w:marLeft w:val="0"/>
      <w:marRight w:val="0"/>
      <w:marTop w:val="0"/>
      <w:marBottom w:val="0"/>
      <w:divBdr>
        <w:top w:val="none" w:sz="0" w:space="0" w:color="auto"/>
        <w:left w:val="none" w:sz="0" w:space="0" w:color="auto"/>
        <w:bottom w:val="none" w:sz="0" w:space="0" w:color="auto"/>
        <w:right w:val="none" w:sz="0" w:space="0" w:color="auto"/>
      </w:divBdr>
    </w:div>
    <w:div w:id="1673726986">
      <w:bodyDiv w:val="1"/>
      <w:marLeft w:val="0"/>
      <w:marRight w:val="0"/>
      <w:marTop w:val="0"/>
      <w:marBottom w:val="0"/>
      <w:divBdr>
        <w:top w:val="none" w:sz="0" w:space="0" w:color="auto"/>
        <w:left w:val="none" w:sz="0" w:space="0" w:color="auto"/>
        <w:bottom w:val="none" w:sz="0" w:space="0" w:color="auto"/>
        <w:right w:val="none" w:sz="0" w:space="0" w:color="auto"/>
      </w:divBdr>
      <w:divsChild>
        <w:div w:id="111949790">
          <w:marLeft w:val="0"/>
          <w:marRight w:val="0"/>
          <w:marTop w:val="0"/>
          <w:marBottom w:val="0"/>
          <w:divBdr>
            <w:top w:val="none" w:sz="0" w:space="0" w:color="auto"/>
            <w:left w:val="none" w:sz="0" w:space="0" w:color="auto"/>
            <w:bottom w:val="none" w:sz="0" w:space="0" w:color="auto"/>
            <w:right w:val="none" w:sz="0" w:space="0" w:color="auto"/>
          </w:divBdr>
        </w:div>
        <w:div w:id="122235812">
          <w:marLeft w:val="0"/>
          <w:marRight w:val="0"/>
          <w:marTop w:val="0"/>
          <w:marBottom w:val="0"/>
          <w:divBdr>
            <w:top w:val="none" w:sz="0" w:space="0" w:color="auto"/>
            <w:left w:val="none" w:sz="0" w:space="0" w:color="auto"/>
            <w:bottom w:val="none" w:sz="0" w:space="0" w:color="auto"/>
            <w:right w:val="none" w:sz="0" w:space="0" w:color="auto"/>
          </w:divBdr>
        </w:div>
        <w:div w:id="566382230">
          <w:marLeft w:val="0"/>
          <w:marRight w:val="0"/>
          <w:marTop w:val="0"/>
          <w:marBottom w:val="0"/>
          <w:divBdr>
            <w:top w:val="none" w:sz="0" w:space="0" w:color="auto"/>
            <w:left w:val="none" w:sz="0" w:space="0" w:color="auto"/>
            <w:bottom w:val="none" w:sz="0" w:space="0" w:color="auto"/>
            <w:right w:val="none" w:sz="0" w:space="0" w:color="auto"/>
          </w:divBdr>
        </w:div>
        <w:div w:id="1276791066">
          <w:marLeft w:val="0"/>
          <w:marRight w:val="0"/>
          <w:marTop w:val="0"/>
          <w:marBottom w:val="0"/>
          <w:divBdr>
            <w:top w:val="none" w:sz="0" w:space="0" w:color="auto"/>
            <w:left w:val="none" w:sz="0" w:space="0" w:color="auto"/>
            <w:bottom w:val="none" w:sz="0" w:space="0" w:color="auto"/>
            <w:right w:val="none" w:sz="0" w:space="0" w:color="auto"/>
          </w:divBdr>
        </w:div>
        <w:div w:id="1701513436">
          <w:marLeft w:val="0"/>
          <w:marRight w:val="0"/>
          <w:marTop w:val="0"/>
          <w:marBottom w:val="0"/>
          <w:divBdr>
            <w:top w:val="none" w:sz="0" w:space="0" w:color="auto"/>
            <w:left w:val="none" w:sz="0" w:space="0" w:color="auto"/>
            <w:bottom w:val="none" w:sz="0" w:space="0" w:color="auto"/>
            <w:right w:val="none" w:sz="0" w:space="0" w:color="auto"/>
          </w:divBdr>
        </w:div>
        <w:div w:id="1979143754">
          <w:marLeft w:val="0"/>
          <w:marRight w:val="0"/>
          <w:marTop w:val="0"/>
          <w:marBottom w:val="0"/>
          <w:divBdr>
            <w:top w:val="none" w:sz="0" w:space="0" w:color="auto"/>
            <w:left w:val="none" w:sz="0" w:space="0" w:color="auto"/>
            <w:bottom w:val="none" w:sz="0" w:space="0" w:color="auto"/>
            <w:right w:val="none" w:sz="0" w:space="0" w:color="auto"/>
          </w:divBdr>
        </w:div>
        <w:div w:id="2071686355">
          <w:marLeft w:val="0"/>
          <w:marRight w:val="0"/>
          <w:marTop w:val="0"/>
          <w:marBottom w:val="0"/>
          <w:divBdr>
            <w:top w:val="none" w:sz="0" w:space="0" w:color="auto"/>
            <w:left w:val="none" w:sz="0" w:space="0" w:color="auto"/>
            <w:bottom w:val="none" w:sz="0" w:space="0" w:color="auto"/>
            <w:right w:val="none" w:sz="0" w:space="0" w:color="auto"/>
          </w:divBdr>
        </w:div>
      </w:divsChild>
    </w:div>
    <w:div w:id="1706714438">
      <w:bodyDiv w:val="1"/>
      <w:marLeft w:val="0"/>
      <w:marRight w:val="0"/>
      <w:marTop w:val="0"/>
      <w:marBottom w:val="0"/>
      <w:divBdr>
        <w:top w:val="none" w:sz="0" w:space="0" w:color="auto"/>
        <w:left w:val="none" w:sz="0" w:space="0" w:color="auto"/>
        <w:bottom w:val="none" w:sz="0" w:space="0" w:color="auto"/>
        <w:right w:val="none" w:sz="0" w:space="0" w:color="auto"/>
      </w:divBdr>
      <w:divsChild>
        <w:div w:id="336615778">
          <w:marLeft w:val="0"/>
          <w:marRight w:val="0"/>
          <w:marTop w:val="0"/>
          <w:marBottom w:val="0"/>
          <w:divBdr>
            <w:top w:val="none" w:sz="0" w:space="0" w:color="auto"/>
            <w:left w:val="none" w:sz="0" w:space="0" w:color="auto"/>
            <w:bottom w:val="none" w:sz="0" w:space="0" w:color="auto"/>
            <w:right w:val="none" w:sz="0" w:space="0" w:color="auto"/>
          </w:divBdr>
        </w:div>
        <w:div w:id="785730517">
          <w:marLeft w:val="0"/>
          <w:marRight w:val="0"/>
          <w:marTop w:val="0"/>
          <w:marBottom w:val="0"/>
          <w:divBdr>
            <w:top w:val="none" w:sz="0" w:space="0" w:color="auto"/>
            <w:left w:val="none" w:sz="0" w:space="0" w:color="auto"/>
            <w:bottom w:val="none" w:sz="0" w:space="0" w:color="auto"/>
            <w:right w:val="none" w:sz="0" w:space="0" w:color="auto"/>
          </w:divBdr>
        </w:div>
        <w:div w:id="887692993">
          <w:marLeft w:val="0"/>
          <w:marRight w:val="0"/>
          <w:marTop w:val="0"/>
          <w:marBottom w:val="0"/>
          <w:divBdr>
            <w:top w:val="none" w:sz="0" w:space="0" w:color="auto"/>
            <w:left w:val="none" w:sz="0" w:space="0" w:color="auto"/>
            <w:bottom w:val="none" w:sz="0" w:space="0" w:color="auto"/>
            <w:right w:val="none" w:sz="0" w:space="0" w:color="auto"/>
          </w:divBdr>
        </w:div>
        <w:div w:id="1133983784">
          <w:marLeft w:val="0"/>
          <w:marRight w:val="0"/>
          <w:marTop w:val="0"/>
          <w:marBottom w:val="0"/>
          <w:divBdr>
            <w:top w:val="none" w:sz="0" w:space="0" w:color="auto"/>
            <w:left w:val="none" w:sz="0" w:space="0" w:color="auto"/>
            <w:bottom w:val="none" w:sz="0" w:space="0" w:color="auto"/>
            <w:right w:val="none" w:sz="0" w:space="0" w:color="auto"/>
          </w:divBdr>
        </w:div>
        <w:div w:id="1383212375">
          <w:marLeft w:val="0"/>
          <w:marRight w:val="0"/>
          <w:marTop w:val="0"/>
          <w:marBottom w:val="0"/>
          <w:divBdr>
            <w:top w:val="none" w:sz="0" w:space="0" w:color="auto"/>
            <w:left w:val="none" w:sz="0" w:space="0" w:color="auto"/>
            <w:bottom w:val="none" w:sz="0" w:space="0" w:color="auto"/>
            <w:right w:val="none" w:sz="0" w:space="0" w:color="auto"/>
          </w:divBdr>
        </w:div>
        <w:div w:id="1783066580">
          <w:marLeft w:val="0"/>
          <w:marRight w:val="0"/>
          <w:marTop w:val="0"/>
          <w:marBottom w:val="0"/>
          <w:divBdr>
            <w:top w:val="none" w:sz="0" w:space="0" w:color="auto"/>
            <w:left w:val="none" w:sz="0" w:space="0" w:color="auto"/>
            <w:bottom w:val="none" w:sz="0" w:space="0" w:color="auto"/>
            <w:right w:val="none" w:sz="0" w:space="0" w:color="auto"/>
          </w:divBdr>
        </w:div>
        <w:div w:id="1828785739">
          <w:marLeft w:val="0"/>
          <w:marRight w:val="0"/>
          <w:marTop w:val="0"/>
          <w:marBottom w:val="0"/>
          <w:divBdr>
            <w:top w:val="none" w:sz="0" w:space="0" w:color="auto"/>
            <w:left w:val="none" w:sz="0" w:space="0" w:color="auto"/>
            <w:bottom w:val="none" w:sz="0" w:space="0" w:color="auto"/>
            <w:right w:val="none" w:sz="0" w:space="0" w:color="auto"/>
          </w:divBdr>
        </w:div>
      </w:divsChild>
    </w:div>
    <w:div w:id="1721514020">
      <w:bodyDiv w:val="1"/>
      <w:marLeft w:val="0"/>
      <w:marRight w:val="0"/>
      <w:marTop w:val="0"/>
      <w:marBottom w:val="0"/>
      <w:divBdr>
        <w:top w:val="none" w:sz="0" w:space="0" w:color="auto"/>
        <w:left w:val="none" w:sz="0" w:space="0" w:color="auto"/>
        <w:bottom w:val="none" w:sz="0" w:space="0" w:color="auto"/>
        <w:right w:val="none" w:sz="0" w:space="0" w:color="auto"/>
      </w:divBdr>
    </w:div>
    <w:div w:id="1722710535">
      <w:bodyDiv w:val="1"/>
      <w:marLeft w:val="0"/>
      <w:marRight w:val="0"/>
      <w:marTop w:val="0"/>
      <w:marBottom w:val="0"/>
      <w:divBdr>
        <w:top w:val="none" w:sz="0" w:space="0" w:color="auto"/>
        <w:left w:val="none" w:sz="0" w:space="0" w:color="auto"/>
        <w:bottom w:val="none" w:sz="0" w:space="0" w:color="auto"/>
        <w:right w:val="none" w:sz="0" w:space="0" w:color="auto"/>
      </w:divBdr>
    </w:div>
    <w:div w:id="1732381932">
      <w:bodyDiv w:val="1"/>
      <w:marLeft w:val="0"/>
      <w:marRight w:val="0"/>
      <w:marTop w:val="0"/>
      <w:marBottom w:val="0"/>
      <w:divBdr>
        <w:top w:val="none" w:sz="0" w:space="0" w:color="auto"/>
        <w:left w:val="none" w:sz="0" w:space="0" w:color="auto"/>
        <w:bottom w:val="none" w:sz="0" w:space="0" w:color="auto"/>
        <w:right w:val="none" w:sz="0" w:space="0" w:color="auto"/>
      </w:divBdr>
      <w:divsChild>
        <w:div w:id="1156188453">
          <w:marLeft w:val="0"/>
          <w:marRight w:val="0"/>
          <w:marTop w:val="0"/>
          <w:marBottom w:val="0"/>
          <w:divBdr>
            <w:top w:val="none" w:sz="0" w:space="0" w:color="auto"/>
            <w:left w:val="none" w:sz="0" w:space="0" w:color="auto"/>
            <w:bottom w:val="none" w:sz="0" w:space="0" w:color="auto"/>
            <w:right w:val="none" w:sz="0" w:space="0" w:color="auto"/>
          </w:divBdr>
          <w:divsChild>
            <w:div w:id="292635505">
              <w:marLeft w:val="0"/>
              <w:marRight w:val="0"/>
              <w:marTop w:val="0"/>
              <w:marBottom w:val="0"/>
              <w:divBdr>
                <w:top w:val="none" w:sz="0" w:space="0" w:color="auto"/>
                <w:left w:val="none" w:sz="0" w:space="0" w:color="auto"/>
                <w:bottom w:val="none" w:sz="0" w:space="0" w:color="auto"/>
                <w:right w:val="none" w:sz="0" w:space="0" w:color="auto"/>
              </w:divBdr>
            </w:div>
            <w:div w:id="330449415">
              <w:marLeft w:val="0"/>
              <w:marRight w:val="0"/>
              <w:marTop w:val="0"/>
              <w:marBottom w:val="0"/>
              <w:divBdr>
                <w:top w:val="none" w:sz="0" w:space="0" w:color="auto"/>
                <w:left w:val="none" w:sz="0" w:space="0" w:color="auto"/>
                <w:bottom w:val="none" w:sz="0" w:space="0" w:color="auto"/>
                <w:right w:val="none" w:sz="0" w:space="0" w:color="auto"/>
              </w:divBdr>
            </w:div>
            <w:div w:id="666136587">
              <w:marLeft w:val="0"/>
              <w:marRight w:val="0"/>
              <w:marTop w:val="0"/>
              <w:marBottom w:val="0"/>
              <w:divBdr>
                <w:top w:val="none" w:sz="0" w:space="0" w:color="auto"/>
                <w:left w:val="none" w:sz="0" w:space="0" w:color="auto"/>
                <w:bottom w:val="none" w:sz="0" w:space="0" w:color="auto"/>
                <w:right w:val="none" w:sz="0" w:space="0" w:color="auto"/>
              </w:divBdr>
            </w:div>
            <w:div w:id="918950700">
              <w:marLeft w:val="0"/>
              <w:marRight w:val="0"/>
              <w:marTop w:val="0"/>
              <w:marBottom w:val="0"/>
              <w:divBdr>
                <w:top w:val="none" w:sz="0" w:space="0" w:color="auto"/>
                <w:left w:val="none" w:sz="0" w:space="0" w:color="auto"/>
                <w:bottom w:val="none" w:sz="0" w:space="0" w:color="auto"/>
                <w:right w:val="none" w:sz="0" w:space="0" w:color="auto"/>
              </w:divBdr>
            </w:div>
            <w:div w:id="1127547389">
              <w:marLeft w:val="0"/>
              <w:marRight w:val="0"/>
              <w:marTop w:val="0"/>
              <w:marBottom w:val="0"/>
              <w:divBdr>
                <w:top w:val="none" w:sz="0" w:space="0" w:color="auto"/>
                <w:left w:val="none" w:sz="0" w:space="0" w:color="auto"/>
                <w:bottom w:val="none" w:sz="0" w:space="0" w:color="auto"/>
                <w:right w:val="none" w:sz="0" w:space="0" w:color="auto"/>
              </w:divBdr>
            </w:div>
            <w:div w:id="1218204289">
              <w:marLeft w:val="0"/>
              <w:marRight w:val="0"/>
              <w:marTop w:val="0"/>
              <w:marBottom w:val="0"/>
              <w:divBdr>
                <w:top w:val="none" w:sz="0" w:space="0" w:color="auto"/>
                <w:left w:val="none" w:sz="0" w:space="0" w:color="auto"/>
                <w:bottom w:val="none" w:sz="0" w:space="0" w:color="auto"/>
                <w:right w:val="none" w:sz="0" w:space="0" w:color="auto"/>
              </w:divBdr>
            </w:div>
            <w:div w:id="1218470150">
              <w:marLeft w:val="0"/>
              <w:marRight w:val="0"/>
              <w:marTop w:val="0"/>
              <w:marBottom w:val="0"/>
              <w:divBdr>
                <w:top w:val="none" w:sz="0" w:space="0" w:color="auto"/>
                <w:left w:val="none" w:sz="0" w:space="0" w:color="auto"/>
                <w:bottom w:val="none" w:sz="0" w:space="0" w:color="auto"/>
                <w:right w:val="none" w:sz="0" w:space="0" w:color="auto"/>
              </w:divBdr>
            </w:div>
            <w:div w:id="1441559620">
              <w:marLeft w:val="0"/>
              <w:marRight w:val="0"/>
              <w:marTop w:val="0"/>
              <w:marBottom w:val="0"/>
              <w:divBdr>
                <w:top w:val="none" w:sz="0" w:space="0" w:color="auto"/>
                <w:left w:val="none" w:sz="0" w:space="0" w:color="auto"/>
                <w:bottom w:val="none" w:sz="0" w:space="0" w:color="auto"/>
                <w:right w:val="none" w:sz="0" w:space="0" w:color="auto"/>
              </w:divBdr>
            </w:div>
            <w:div w:id="1631353296">
              <w:marLeft w:val="0"/>
              <w:marRight w:val="0"/>
              <w:marTop w:val="0"/>
              <w:marBottom w:val="0"/>
              <w:divBdr>
                <w:top w:val="none" w:sz="0" w:space="0" w:color="auto"/>
                <w:left w:val="none" w:sz="0" w:space="0" w:color="auto"/>
                <w:bottom w:val="none" w:sz="0" w:space="0" w:color="auto"/>
                <w:right w:val="none" w:sz="0" w:space="0" w:color="auto"/>
              </w:divBdr>
            </w:div>
            <w:div w:id="18542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1709">
      <w:bodyDiv w:val="1"/>
      <w:marLeft w:val="0"/>
      <w:marRight w:val="0"/>
      <w:marTop w:val="0"/>
      <w:marBottom w:val="0"/>
      <w:divBdr>
        <w:top w:val="none" w:sz="0" w:space="0" w:color="auto"/>
        <w:left w:val="none" w:sz="0" w:space="0" w:color="auto"/>
        <w:bottom w:val="none" w:sz="0" w:space="0" w:color="auto"/>
        <w:right w:val="none" w:sz="0" w:space="0" w:color="auto"/>
      </w:divBdr>
    </w:div>
    <w:div w:id="1786804293">
      <w:bodyDiv w:val="1"/>
      <w:marLeft w:val="0"/>
      <w:marRight w:val="0"/>
      <w:marTop w:val="0"/>
      <w:marBottom w:val="0"/>
      <w:divBdr>
        <w:top w:val="none" w:sz="0" w:space="0" w:color="auto"/>
        <w:left w:val="none" w:sz="0" w:space="0" w:color="auto"/>
        <w:bottom w:val="none" w:sz="0" w:space="0" w:color="auto"/>
        <w:right w:val="none" w:sz="0" w:space="0" w:color="auto"/>
      </w:divBdr>
    </w:div>
    <w:div w:id="1831100064">
      <w:bodyDiv w:val="1"/>
      <w:marLeft w:val="0"/>
      <w:marRight w:val="0"/>
      <w:marTop w:val="0"/>
      <w:marBottom w:val="0"/>
      <w:divBdr>
        <w:top w:val="none" w:sz="0" w:space="0" w:color="auto"/>
        <w:left w:val="none" w:sz="0" w:space="0" w:color="auto"/>
        <w:bottom w:val="none" w:sz="0" w:space="0" w:color="auto"/>
        <w:right w:val="none" w:sz="0" w:space="0" w:color="auto"/>
      </w:divBdr>
    </w:div>
    <w:div w:id="1836802912">
      <w:bodyDiv w:val="1"/>
      <w:marLeft w:val="0"/>
      <w:marRight w:val="0"/>
      <w:marTop w:val="0"/>
      <w:marBottom w:val="0"/>
      <w:divBdr>
        <w:top w:val="none" w:sz="0" w:space="0" w:color="auto"/>
        <w:left w:val="none" w:sz="0" w:space="0" w:color="auto"/>
        <w:bottom w:val="none" w:sz="0" w:space="0" w:color="auto"/>
        <w:right w:val="none" w:sz="0" w:space="0" w:color="auto"/>
      </w:divBdr>
      <w:divsChild>
        <w:div w:id="230846598">
          <w:marLeft w:val="0"/>
          <w:marRight w:val="0"/>
          <w:marTop w:val="0"/>
          <w:marBottom w:val="0"/>
          <w:divBdr>
            <w:top w:val="none" w:sz="0" w:space="0" w:color="auto"/>
            <w:left w:val="none" w:sz="0" w:space="0" w:color="auto"/>
            <w:bottom w:val="none" w:sz="0" w:space="0" w:color="auto"/>
            <w:right w:val="none" w:sz="0" w:space="0" w:color="auto"/>
          </w:divBdr>
        </w:div>
        <w:div w:id="286544545">
          <w:marLeft w:val="0"/>
          <w:marRight w:val="0"/>
          <w:marTop w:val="0"/>
          <w:marBottom w:val="0"/>
          <w:divBdr>
            <w:top w:val="none" w:sz="0" w:space="0" w:color="auto"/>
            <w:left w:val="none" w:sz="0" w:space="0" w:color="auto"/>
            <w:bottom w:val="none" w:sz="0" w:space="0" w:color="auto"/>
            <w:right w:val="none" w:sz="0" w:space="0" w:color="auto"/>
          </w:divBdr>
        </w:div>
        <w:div w:id="693069290">
          <w:marLeft w:val="0"/>
          <w:marRight w:val="0"/>
          <w:marTop w:val="0"/>
          <w:marBottom w:val="0"/>
          <w:divBdr>
            <w:top w:val="none" w:sz="0" w:space="0" w:color="auto"/>
            <w:left w:val="none" w:sz="0" w:space="0" w:color="auto"/>
            <w:bottom w:val="none" w:sz="0" w:space="0" w:color="auto"/>
            <w:right w:val="none" w:sz="0" w:space="0" w:color="auto"/>
          </w:divBdr>
        </w:div>
        <w:div w:id="1100023510">
          <w:marLeft w:val="0"/>
          <w:marRight w:val="0"/>
          <w:marTop w:val="0"/>
          <w:marBottom w:val="0"/>
          <w:divBdr>
            <w:top w:val="none" w:sz="0" w:space="0" w:color="auto"/>
            <w:left w:val="none" w:sz="0" w:space="0" w:color="auto"/>
            <w:bottom w:val="none" w:sz="0" w:space="0" w:color="auto"/>
            <w:right w:val="none" w:sz="0" w:space="0" w:color="auto"/>
          </w:divBdr>
        </w:div>
        <w:div w:id="1339380632">
          <w:marLeft w:val="0"/>
          <w:marRight w:val="0"/>
          <w:marTop w:val="0"/>
          <w:marBottom w:val="0"/>
          <w:divBdr>
            <w:top w:val="none" w:sz="0" w:space="0" w:color="auto"/>
            <w:left w:val="none" w:sz="0" w:space="0" w:color="auto"/>
            <w:bottom w:val="none" w:sz="0" w:space="0" w:color="auto"/>
            <w:right w:val="none" w:sz="0" w:space="0" w:color="auto"/>
          </w:divBdr>
        </w:div>
        <w:div w:id="2116945371">
          <w:marLeft w:val="0"/>
          <w:marRight w:val="0"/>
          <w:marTop w:val="0"/>
          <w:marBottom w:val="0"/>
          <w:divBdr>
            <w:top w:val="none" w:sz="0" w:space="0" w:color="auto"/>
            <w:left w:val="none" w:sz="0" w:space="0" w:color="auto"/>
            <w:bottom w:val="none" w:sz="0" w:space="0" w:color="auto"/>
            <w:right w:val="none" w:sz="0" w:space="0" w:color="auto"/>
          </w:divBdr>
        </w:div>
      </w:divsChild>
    </w:div>
    <w:div w:id="1878083742">
      <w:bodyDiv w:val="1"/>
      <w:marLeft w:val="0"/>
      <w:marRight w:val="0"/>
      <w:marTop w:val="0"/>
      <w:marBottom w:val="0"/>
      <w:divBdr>
        <w:top w:val="none" w:sz="0" w:space="0" w:color="auto"/>
        <w:left w:val="none" w:sz="0" w:space="0" w:color="auto"/>
        <w:bottom w:val="none" w:sz="0" w:space="0" w:color="auto"/>
        <w:right w:val="none" w:sz="0" w:space="0" w:color="auto"/>
      </w:divBdr>
      <w:divsChild>
        <w:div w:id="260384130">
          <w:marLeft w:val="0"/>
          <w:marRight w:val="0"/>
          <w:marTop w:val="0"/>
          <w:marBottom w:val="0"/>
          <w:divBdr>
            <w:top w:val="none" w:sz="0" w:space="0" w:color="auto"/>
            <w:left w:val="none" w:sz="0" w:space="0" w:color="auto"/>
            <w:bottom w:val="none" w:sz="0" w:space="0" w:color="auto"/>
            <w:right w:val="none" w:sz="0" w:space="0" w:color="auto"/>
          </w:divBdr>
        </w:div>
        <w:div w:id="310057598">
          <w:marLeft w:val="0"/>
          <w:marRight w:val="0"/>
          <w:marTop w:val="0"/>
          <w:marBottom w:val="0"/>
          <w:divBdr>
            <w:top w:val="none" w:sz="0" w:space="0" w:color="auto"/>
            <w:left w:val="none" w:sz="0" w:space="0" w:color="auto"/>
            <w:bottom w:val="none" w:sz="0" w:space="0" w:color="auto"/>
            <w:right w:val="none" w:sz="0" w:space="0" w:color="auto"/>
          </w:divBdr>
        </w:div>
        <w:div w:id="544215892">
          <w:marLeft w:val="0"/>
          <w:marRight w:val="0"/>
          <w:marTop w:val="0"/>
          <w:marBottom w:val="0"/>
          <w:divBdr>
            <w:top w:val="none" w:sz="0" w:space="0" w:color="auto"/>
            <w:left w:val="none" w:sz="0" w:space="0" w:color="auto"/>
            <w:bottom w:val="none" w:sz="0" w:space="0" w:color="auto"/>
            <w:right w:val="none" w:sz="0" w:space="0" w:color="auto"/>
          </w:divBdr>
        </w:div>
        <w:div w:id="1058627796">
          <w:marLeft w:val="0"/>
          <w:marRight w:val="0"/>
          <w:marTop w:val="0"/>
          <w:marBottom w:val="0"/>
          <w:divBdr>
            <w:top w:val="none" w:sz="0" w:space="0" w:color="auto"/>
            <w:left w:val="none" w:sz="0" w:space="0" w:color="auto"/>
            <w:bottom w:val="none" w:sz="0" w:space="0" w:color="auto"/>
            <w:right w:val="none" w:sz="0" w:space="0" w:color="auto"/>
          </w:divBdr>
        </w:div>
        <w:div w:id="1355614344">
          <w:marLeft w:val="0"/>
          <w:marRight w:val="0"/>
          <w:marTop w:val="0"/>
          <w:marBottom w:val="0"/>
          <w:divBdr>
            <w:top w:val="none" w:sz="0" w:space="0" w:color="auto"/>
            <w:left w:val="none" w:sz="0" w:space="0" w:color="auto"/>
            <w:bottom w:val="none" w:sz="0" w:space="0" w:color="auto"/>
            <w:right w:val="none" w:sz="0" w:space="0" w:color="auto"/>
          </w:divBdr>
        </w:div>
        <w:div w:id="1465851290">
          <w:marLeft w:val="0"/>
          <w:marRight w:val="0"/>
          <w:marTop w:val="0"/>
          <w:marBottom w:val="0"/>
          <w:divBdr>
            <w:top w:val="none" w:sz="0" w:space="0" w:color="auto"/>
            <w:left w:val="none" w:sz="0" w:space="0" w:color="auto"/>
            <w:bottom w:val="none" w:sz="0" w:space="0" w:color="auto"/>
            <w:right w:val="none" w:sz="0" w:space="0" w:color="auto"/>
          </w:divBdr>
        </w:div>
      </w:divsChild>
    </w:div>
    <w:div w:id="1914729283">
      <w:bodyDiv w:val="1"/>
      <w:marLeft w:val="0"/>
      <w:marRight w:val="0"/>
      <w:marTop w:val="0"/>
      <w:marBottom w:val="0"/>
      <w:divBdr>
        <w:top w:val="none" w:sz="0" w:space="0" w:color="auto"/>
        <w:left w:val="none" w:sz="0" w:space="0" w:color="auto"/>
        <w:bottom w:val="none" w:sz="0" w:space="0" w:color="auto"/>
        <w:right w:val="none" w:sz="0" w:space="0" w:color="auto"/>
      </w:divBdr>
    </w:div>
    <w:div w:id="1928298079">
      <w:bodyDiv w:val="1"/>
      <w:marLeft w:val="0"/>
      <w:marRight w:val="0"/>
      <w:marTop w:val="0"/>
      <w:marBottom w:val="0"/>
      <w:divBdr>
        <w:top w:val="none" w:sz="0" w:space="0" w:color="auto"/>
        <w:left w:val="none" w:sz="0" w:space="0" w:color="auto"/>
        <w:bottom w:val="none" w:sz="0" w:space="0" w:color="auto"/>
        <w:right w:val="none" w:sz="0" w:space="0" w:color="auto"/>
      </w:divBdr>
    </w:div>
    <w:div w:id="1974216488">
      <w:bodyDiv w:val="1"/>
      <w:marLeft w:val="0"/>
      <w:marRight w:val="0"/>
      <w:marTop w:val="0"/>
      <w:marBottom w:val="0"/>
      <w:divBdr>
        <w:top w:val="none" w:sz="0" w:space="0" w:color="auto"/>
        <w:left w:val="none" w:sz="0" w:space="0" w:color="auto"/>
        <w:bottom w:val="none" w:sz="0" w:space="0" w:color="auto"/>
        <w:right w:val="none" w:sz="0" w:space="0" w:color="auto"/>
      </w:divBdr>
    </w:div>
    <w:div w:id="2006476217">
      <w:bodyDiv w:val="1"/>
      <w:marLeft w:val="0"/>
      <w:marRight w:val="0"/>
      <w:marTop w:val="0"/>
      <w:marBottom w:val="0"/>
      <w:divBdr>
        <w:top w:val="none" w:sz="0" w:space="0" w:color="auto"/>
        <w:left w:val="none" w:sz="0" w:space="0" w:color="auto"/>
        <w:bottom w:val="none" w:sz="0" w:space="0" w:color="auto"/>
        <w:right w:val="none" w:sz="0" w:space="0" w:color="auto"/>
      </w:divBdr>
    </w:div>
    <w:div w:id="2006861066">
      <w:bodyDiv w:val="1"/>
      <w:marLeft w:val="0"/>
      <w:marRight w:val="0"/>
      <w:marTop w:val="0"/>
      <w:marBottom w:val="0"/>
      <w:divBdr>
        <w:top w:val="none" w:sz="0" w:space="0" w:color="auto"/>
        <w:left w:val="none" w:sz="0" w:space="0" w:color="auto"/>
        <w:bottom w:val="none" w:sz="0" w:space="0" w:color="auto"/>
        <w:right w:val="none" w:sz="0" w:space="0" w:color="auto"/>
      </w:divBdr>
    </w:div>
    <w:div w:id="2011829874">
      <w:bodyDiv w:val="1"/>
      <w:marLeft w:val="0"/>
      <w:marRight w:val="0"/>
      <w:marTop w:val="0"/>
      <w:marBottom w:val="0"/>
      <w:divBdr>
        <w:top w:val="none" w:sz="0" w:space="0" w:color="auto"/>
        <w:left w:val="none" w:sz="0" w:space="0" w:color="auto"/>
        <w:bottom w:val="none" w:sz="0" w:space="0" w:color="auto"/>
        <w:right w:val="none" w:sz="0" w:space="0" w:color="auto"/>
      </w:divBdr>
    </w:div>
    <w:div w:id="2033339860">
      <w:bodyDiv w:val="1"/>
      <w:marLeft w:val="0"/>
      <w:marRight w:val="0"/>
      <w:marTop w:val="0"/>
      <w:marBottom w:val="0"/>
      <w:divBdr>
        <w:top w:val="none" w:sz="0" w:space="0" w:color="auto"/>
        <w:left w:val="none" w:sz="0" w:space="0" w:color="auto"/>
        <w:bottom w:val="none" w:sz="0" w:space="0" w:color="auto"/>
        <w:right w:val="none" w:sz="0" w:space="0" w:color="auto"/>
      </w:divBdr>
      <w:divsChild>
        <w:div w:id="304702963">
          <w:marLeft w:val="0"/>
          <w:marRight w:val="0"/>
          <w:marTop w:val="0"/>
          <w:marBottom w:val="0"/>
          <w:divBdr>
            <w:top w:val="none" w:sz="0" w:space="0" w:color="auto"/>
            <w:left w:val="none" w:sz="0" w:space="0" w:color="auto"/>
            <w:bottom w:val="none" w:sz="0" w:space="0" w:color="auto"/>
            <w:right w:val="none" w:sz="0" w:space="0" w:color="auto"/>
          </w:divBdr>
        </w:div>
        <w:div w:id="750854257">
          <w:marLeft w:val="0"/>
          <w:marRight w:val="0"/>
          <w:marTop w:val="0"/>
          <w:marBottom w:val="0"/>
          <w:divBdr>
            <w:top w:val="none" w:sz="0" w:space="0" w:color="auto"/>
            <w:left w:val="none" w:sz="0" w:space="0" w:color="auto"/>
            <w:bottom w:val="none" w:sz="0" w:space="0" w:color="auto"/>
            <w:right w:val="none" w:sz="0" w:space="0" w:color="auto"/>
          </w:divBdr>
        </w:div>
        <w:div w:id="1219171126">
          <w:marLeft w:val="0"/>
          <w:marRight w:val="0"/>
          <w:marTop w:val="0"/>
          <w:marBottom w:val="0"/>
          <w:divBdr>
            <w:top w:val="none" w:sz="0" w:space="0" w:color="auto"/>
            <w:left w:val="none" w:sz="0" w:space="0" w:color="auto"/>
            <w:bottom w:val="none" w:sz="0" w:space="0" w:color="auto"/>
            <w:right w:val="none" w:sz="0" w:space="0" w:color="auto"/>
          </w:divBdr>
        </w:div>
        <w:div w:id="1715882914">
          <w:marLeft w:val="0"/>
          <w:marRight w:val="0"/>
          <w:marTop w:val="0"/>
          <w:marBottom w:val="0"/>
          <w:divBdr>
            <w:top w:val="none" w:sz="0" w:space="0" w:color="auto"/>
            <w:left w:val="none" w:sz="0" w:space="0" w:color="auto"/>
            <w:bottom w:val="none" w:sz="0" w:space="0" w:color="auto"/>
            <w:right w:val="none" w:sz="0" w:space="0" w:color="auto"/>
          </w:divBdr>
        </w:div>
      </w:divsChild>
    </w:div>
    <w:div w:id="2036956004">
      <w:bodyDiv w:val="1"/>
      <w:marLeft w:val="0"/>
      <w:marRight w:val="0"/>
      <w:marTop w:val="0"/>
      <w:marBottom w:val="0"/>
      <w:divBdr>
        <w:top w:val="none" w:sz="0" w:space="0" w:color="auto"/>
        <w:left w:val="none" w:sz="0" w:space="0" w:color="auto"/>
        <w:bottom w:val="none" w:sz="0" w:space="0" w:color="auto"/>
        <w:right w:val="none" w:sz="0" w:space="0" w:color="auto"/>
      </w:divBdr>
    </w:div>
    <w:div w:id="2039507374">
      <w:bodyDiv w:val="1"/>
      <w:marLeft w:val="0"/>
      <w:marRight w:val="0"/>
      <w:marTop w:val="0"/>
      <w:marBottom w:val="0"/>
      <w:divBdr>
        <w:top w:val="none" w:sz="0" w:space="0" w:color="auto"/>
        <w:left w:val="none" w:sz="0" w:space="0" w:color="auto"/>
        <w:bottom w:val="none" w:sz="0" w:space="0" w:color="auto"/>
        <w:right w:val="none" w:sz="0" w:space="0" w:color="auto"/>
      </w:divBdr>
    </w:div>
    <w:div w:id="2042124743">
      <w:bodyDiv w:val="1"/>
      <w:marLeft w:val="0"/>
      <w:marRight w:val="0"/>
      <w:marTop w:val="0"/>
      <w:marBottom w:val="0"/>
      <w:divBdr>
        <w:top w:val="none" w:sz="0" w:space="0" w:color="auto"/>
        <w:left w:val="none" w:sz="0" w:space="0" w:color="auto"/>
        <w:bottom w:val="none" w:sz="0" w:space="0" w:color="auto"/>
        <w:right w:val="none" w:sz="0" w:space="0" w:color="auto"/>
      </w:divBdr>
    </w:div>
    <w:div w:id="2048870419">
      <w:bodyDiv w:val="1"/>
      <w:marLeft w:val="0"/>
      <w:marRight w:val="0"/>
      <w:marTop w:val="0"/>
      <w:marBottom w:val="0"/>
      <w:divBdr>
        <w:top w:val="none" w:sz="0" w:space="0" w:color="auto"/>
        <w:left w:val="none" w:sz="0" w:space="0" w:color="auto"/>
        <w:bottom w:val="none" w:sz="0" w:space="0" w:color="auto"/>
        <w:right w:val="none" w:sz="0" w:space="0" w:color="auto"/>
      </w:divBdr>
    </w:div>
    <w:div w:id="2050760424">
      <w:bodyDiv w:val="1"/>
      <w:marLeft w:val="0"/>
      <w:marRight w:val="0"/>
      <w:marTop w:val="0"/>
      <w:marBottom w:val="0"/>
      <w:divBdr>
        <w:top w:val="none" w:sz="0" w:space="0" w:color="auto"/>
        <w:left w:val="none" w:sz="0" w:space="0" w:color="auto"/>
        <w:bottom w:val="none" w:sz="0" w:space="0" w:color="auto"/>
        <w:right w:val="none" w:sz="0" w:space="0" w:color="auto"/>
      </w:divBdr>
    </w:div>
    <w:div w:id="2059745261">
      <w:bodyDiv w:val="1"/>
      <w:marLeft w:val="0"/>
      <w:marRight w:val="0"/>
      <w:marTop w:val="0"/>
      <w:marBottom w:val="0"/>
      <w:divBdr>
        <w:top w:val="none" w:sz="0" w:space="0" w:color="auto"/>
        <w:left w:val="none" w:sz="0" w:space="0" w:color="auto"/>
        <w:bottom w:val="none" w:sz="0" w:space="0" w:color="auto"/>
        <w:right w:val="none" w:sz="0" w:space="0" w:color="auto"/>
      </w:divBdr>
    </w:div>
    <w:div w:id="2081173086">
      <w:bodyDiv w:val="1"/>
      <w:marLeft w:val="0"/>
      <w:marRight w:val="0"/>
      <w:marTop w:val="0"/>
      <w:marBottom w:val="0"/>
      <w:divBdr>
        <w:top w:val="none" w:sz="0" w:space="0" w:color="auto"/>
        <w:left w:val="none" w:sz="0" w:space="0" w:color="auto"/>
        <w:bottom w:val="none" w:sz="0" w:space="0" w:color="auto"/>
        <w:right w:val="none" w:sz="0" w:space="0" w:color="auto"/>
      </w:divBdr>
    </w:div>
    <w:div w:id="2118258759">
      <w:bodyDiv w:val="1"/>
      <w:marLeft w:val="0"/>
      <w:marRight w:val="0"/>
      <w:marTop w:val="0"/>
      <w:marBottom w:val="0"/>
      <w:divBdr>
        <w:top w:val="none" w:sz="0" w:space="0" w:color="auto"/>
        <w:left w:val="none" w:sz="0" w:space="0" w:color="auto"/>
        <w:bottom w:val="none" w:sz="0" w:space="0" w:color="auto"/>
        <w:right w:val="none" w:sz="0" w:space="0" w:color="auto"/>
      </w:divBdr>
    </w:div>
    <w:div w:id="2124883459">
      <w:bodyDiv w:val="1"/>
      <w:marLeft w:val="0"/>
      <w:marRight w:val="0"/>
      <w:marTop w:val="0"/>
      <w:marBottom w:val="0"/>
      <w:divBdr>
        <w:top w:val="none" w:sz="0" w:space="0" w:color="auto"/>
        <w:left w:val="none" w:sz="0" w:space="0" w:color="auto"/>
        <w:bottom w:val="none" w:sz="0" w:space="0" w:color="auto"/>
        <w:right w:val="none" w:sz="0" w:space="0" w:color="auto"/>
      </w:divBdr>
    </w:div>
    <w:div w:id="21323569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f.lm.gov.lv/f/files/aktivitates/12212_mizgltbas_apakaktivitte.do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kroekonomika.lv/apstrades-rupnieciba-latvija-joprojam-nenoverteta" TargetMode="External"/><Relationship Id="rId2" Type="http://schemas.openxmlformats.org/officeDocument/2006/relationships/hyperlink" Target="http://www.makroekonomika.lv" TargetMode="External"/><Relationship Id="rId1" Type="http://schemas.openxmlformats.org/officeDocument/2006/relationships/hyperlink" Target="http://ec.europa.eu/eurostat/tgm/table.do?tab=table&amp;init=1&amp;language=en&amp;pcode=tsdec310&amp;plugin=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27130756428419"/>
          <c:y val="2.98042240652398E-2"/>
          <c:w val="0.86659152532239869"/>
          <c:h val="0.83392031661363009"/>
        </c:manualLayout>
      </c:layout>
      <c:barChart>
        <c:barDir val="col"/>
        <c:grouping val="clustered"/>
        <c:varyColors val="0"/>
        <c:ser>
          <c:idx val="2"/>
          <c:order val="0"/>
          <c:tx>
            <c:strRef>
              <c:f>Sheet1!$E$1</c:f>
              <c:strCache>
                <c:ptCount val="1"/>
                <c:pt idx="0">
                  <c:v>Tirdzniecības deficīts, % no kopējā tirdzniecības apgrozījuma (labā ass)</c:v>
                </c:pt>
              </c:strCache>
            </c:strRef>
          </c:tx>
          <c:spPr>
            <a:solidFill>
              <a:srgbClr val="C0504D">
                <a:lumMod val="75000"/>
              </a:srgbClr>
            </a:solidFill>
            <a:ln w="3169">
              <a:solidFill>
                <a:sysClr val="windowText" lastClr="000000"/>
              </a:solidFill>
            </a:ln>
          </c:spPr>
          <c:invertIfNegative val="0"/>
          <c:cat>
            <c:multiLvlStrRef>
              <c:f>Sheet1!$A$2:$B$18</c:f>
              <c:multiLvlStrCache>
                <c:ptCount val="1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lvl>
                <c:lvl>
                  <c:pt idx="0">
                    <c:v>2011</c:v>
                  </c:pt>
                  <c:pt idx="4">
                    <c:v>2012</c:v>
                  </c:pt>
                  <c:pt idx="8">
                    <c:v>2013</c:v>
                  </c:pt>
                  <c:pt idx="12">
                    <c:v>2014</c:v>
                  </c:pt>
                </c:lvl>
              </c:multiLvlStrCache>
            </c:multiLvlStrRef>
          </c:cat>
          <c:val>
            <c:numRef>
              <c:f>Sheet1!$E$2:$E$18</c:f>
              <c:numCache>
                <c:formatCode>0.0</c:formatCode>
                <c:ptCount val="15"/>
                <c:pt idx="0">
                  <c:v>11.040519553861364</c:v>
                </c:pt>
                <c:pt idx="1">
                  <c:v>10.895832895538698</c:v>
                </c:pt>
                <c:pt idx="2">
                  <c:v>14.309273605890924</c:v>
                </c:pt>
                <c:pt idx="3">
                  <c:v>13.489830220392435</c:v>
                </c:pt>
                <c:pt idx="4">
                  <c:v>13.884350217192038</c:v>
                </c:pt>
                <c:pt idx="5">
                  <c:v>14.235638506143605</c:v>
                </c:pt>
                <c:pt idx="6">
                  <c:v>10.496596666609801</c:v>
                </c:pt>
                <c:pt idx="7">
                  <c:v>9.2123265359306767</c:v>
                </c:pt>
                <c:pt idx="8">
                  <c:v>12.689014557170095</c:v>
                </c:pt>
                <c:pt idx="9">
                  <c:v>11.661030545310476</c:v>
                </c:pt>
                <c:pt idx="10">
                  <c:v>12.725267538337434</c:v>
                </c:pt>
                <c:pt idx="11">
                  <c:v>9.2284708433546374</c:v>
                </c:pt>
                <c:pt idx="12">
                  <c:v>11.322637542164253</c:v>
                </c:pt>
                <c:pt idx="13">
                  <c:v>10.920232672337562</c:v>
                </c:pt>
                <c:pt idx="14">
                  <c:v>10.782883335206069</c:v>
                </c:pt>
              </c:numCache>
            </c:numRef>
          </c:val>
        </c:ser>
        <c:dLbls>
          <c:showLegendKey val="0"/>
          <c:showVal val="0"/>
          <c:showCatName val="0"/>
          <c:showSerName val="0"/>
          <c:showPercent val="0"/>
          <c:showBubbleSize val="0"/>
        </c:dLbls>
        <c:gapWidth val="40"/>
        <c:axId val="287364096"/>
        <c:axId val="276936840"/>
      </c:barChart>
      <c:lineChart>
        <c:grouping val="standard"/>
        <c:varyColors val="0"/>
        <c:ser>
          <c:idx val="1"/>
          <c:order val="1"/>
          <c:tx>
            <c:strRef>
              <c:f>Sheet1!$D$1</c:f>
              <c:strCache>
                <c:ptCount val="1"/>
                <c:pt idx="0">
                  <c:v>Preču imports                                       (kreisā ass)</c:v>
                </c:pt>
              </c:strCache>
            </c:strRef>
          </c:tx>
          <c:spPr>
            <a:ln w="25349">
              <a:solidFill>
                <a:srgbClr val="4F81BD"/>
              </a:solidFill>
              <a:prstDash val="solid"/>
            </a:ln>
          </c:spPr>
          <c:marker>
            <c:symbol val="none"/>
          </c:marker>
          <c:cat>
            <c:multiLvlStrRef>
              <c:f>Sheet1!$A$2:$B$18</c:f>
              <c:multiLvlStrCache>
                <c:ptCount val="1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lvl>
                <c:lvl>
                  <c:pt idx="0">
                    <c:v>2011</c:v>
                  </c:pt>
                  <c:pt idx="4">
                    <c:v>2012</c:v>
                  </c:pt>
                  <c:pt idx="8">
                    <c:v>2013</c:v>
                  </c:pt>
                  <c:pt idx="12">
                    <c:v>2014</c:v>
                  </c:pt>
                </c:lvl>
              </c:multiLvlStrCache>
            </c:multiLvlStrRef>
          </c:cat>
          <c:val>
            <c:numRef>
              <c:f>Sheet1!$D$2:$D$18</c:f>
              <c:numCache>
                <c:formatCode>0.0</c:formatCode>
                <c:ptCount val="15"/>
                <c:pt idx="0">
                  <c:v>2.3595000000000002</c:v>
                </c:pt>
                <c:pt idx="1">
                  <c:v>2.6385999999999998</c:v>
                </c:pt>
                <c:pt idx="2">
                  <c:v>2.9805000000000001</c:v>
                </c:pt>
                <c:pt idx="3">
                  <c:v>3.0046999999999997</c:v>
                </c:pt>
                <c:pt idx="4">
                  <c:v>2.8576999999999999</c:v>
                </c:pt>
                <c:pt idx="5">
                  <c:v>3.0634000000000001</c:v>
                </c:pt>
                <c:pt idx="6">
                  <c:v>3.2385999999999999</c:v>
                </c:pt>
                <c:pt idx="7">
                  <c:v>3.3525999999999998</c:v>
                </c:pt>
                <c:pt idx="8">
                  <c:v>3.0168982400000002</c:v>
                </c:pt>
                <c:pt idx="9">
                  <c:v>3.0609391700000006</c:v>
                </c:pt>
                <c:pt idx="10">
                  <c:v>3.2937616500000004</c:v>
                </c:pt>
                <c:pt idx="11">
                  <c:v>3.2635397700000004</c:v>
                </c:pt>
                <c:pt idx="12">
                  <c:v>3.015949</c:v>
                </c:pt>
                <c:pt idx="13">
                  <c:v>3.0799159999999999</c:v>
                </c:pt>
                <c:pt idx="14">
                  <c:v>3.189473</c:v>
                </c:pt>
              </c:numCache>
            </c:numRef>
          </c:val>
          <c:smooth val="0"/>
        </c:ser>
        <c:ser>
          <c:idx val="0"/>
          <c:order val="2"/>
          <c:tx>
            <c:strRef>
              <c:f>Sheet1!$C$1</c:f>
              <c:strCache>
                <c:ptCount val="1"/>
                <c:pt idx="0">
                  <c:v>Preču eksports                                  (kreisā ass)</c:v>
                </c:pt>
              </c:strCache>
            </c:strRef>
          </c:tx>
          <c:spPr>
            <a:ln w="25349">
              <a:solidFill>
                <a:srgbClr val="9BBB59">
                  <a:lumMod val="75000"/>
                </a:srgbClr>
              </a:solidFill>
              <a:prstDash val="solid"/>
            </a:ln>
          </c:spPr>
          <c:marker>
            <c:symbol val="none"/>
          </c:marker>
          <c:cat>
            <c:multiLvlStrRef>
              <c:f>Sheet1!$A$2:$B$18</c:f>
              <c:multiLvlStrCache>
                <c:ptCount val="1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lvl>
                <c:lvl>
                  <c:pt idx="0">
                    <c:v>2011</c:v>
                  </c:pt>
                  <c:pt idx="4">
                    <c:v>2012</c:v>
                  </c:pt>
                  <c:pt idx="8">
                    <c:v>2013</c:v>
                  </c:pt>
                  <c:pt idx="12">
                    <c:v>2014</c:v>
                  </c:pt>
                </c:lvl>
              </c:multiLvlStrCache>
            </c:multiLvlStrRef>
          </c:cat>
          <c:val>
            <c:numRef>
              <c:f>Sheet1!$C$2:$C$18</c:f>
              <c:numCache>
                <c:formatCode>0.0</c:formatCode>
                <c:ptCount val="15"/>
                <c:pt idx="0">
                  <c:v>1.8902999999999999</c:v>
                </c:pt>
                <c:pt idx="1">
                  <c:v>2.1200999999999999</c:v>
                </c:pt>
                <c:pt idx="2">
                  <c:v>2.2343000000000002</c:v>
                </c:pt>
                <c:pt idx="3">
                  <c:v>2.2904</c:v>
                </c:pt>
                <c:pt idx="4">
                  <c:v>2.1609000000000003</c:v>
                </c:pt>
                <c:pt idx="5">
                  <c:v>2.2999000000000001</c:v>
                </c:pt>
                <c:pt idx="6">
                  <c:v>2.6233</c:v>
                </c:pt>
                <c:pt idx="7">
                  <c:v>2.7869999999999999</c:v>
                </c:pt>
                <c:pt idx="8">
                  <c:v>2.3374803599999998</c:v>
                </c:pt>
                <c:pt idx="9">
                  <c:v>2.4216166600000002</c:v>
                </c:pt>
                <c:pt idx="10">
                  <c:v>2.5501129700000003</c:v>
                </c:pt>
                <c:pt idx="11">
                  <c:v>2.7120813199999998</c:v>
                </c:pt>
                <c:pt idx="12">
                  <c:v>2.402444</c:v>
                </c:pt>
                <c:pt idx="13">
                  <c:v>2.4734729999999998</c:v>
                </c:pt>
                <c:pt idx="14">
                  <c:v>2.5685880000000001</c:v>
                </c:pt>
              </c:numCache>
            </c:numRef>
          </c:val>
          <c:smooth val="0"/>
        </c:ser>
        <c:dLbls>
          <c:showLegendKey val="0"/>
          <c:showVal val="0"/>
          <c:showCatName val="0"/>
          <c:showSerName val="0"/>
          <c:showPercent val="0"/>
          <c:showBubbleSize val="0"/>
        </c:dLbls>
        <c:marker val="1"/>
        <c:smooth val="0"/>
        <c:axId val="287362920"/>
        <c:axId val="287363312"/>
      </c:lineChart>
      <c:catAx>
        <c:axId val="287362920"/>
        <c:scaling>
          <c:orientation val="minMax"/>
        </c:scaling>
        <c:delete val="0"/>
        <c:axPos val="b"/>
        <c:numFmt formatCode="General" sourceLinked="1"/>
        <c:majorTickMark val="out"/>
        <c:minorTickMark val="none"/>
        <c:tickLblPos val="nextTo"/>
        <c:spPr>
          <a:ln w="3169">
            <a:solidFill>
              <a:sysClr val="window" lastClr="FFFFFF">
                <a:lumMod val="50000"/>
              </a:sysClr>
            </a:solidFill>
            <a:prstDash val="solid"/>
          </a:ln>
        </c:spPr>
        <c:txPr>
          <a:bodyPr rot="0" vert="horz"/>
          <a:lstStyle/>
          <a:p>
            <a:pPr>
              <a:defRPr/>
            </a:pPr>
            <a:endParaRPr lang="lv-LV"/>
          </a:p>
        </c:txPr>
        <c:crossAx val="287363312"/>
        <c:crosses val="autoZero"/>
        <c:auto val="0"/>
        <c:lblAlgn val="ctr"/>
        <c:lblOffset val="0"/>
        <c:tickLblSkip val="1"/>
        <c:tickMarkSkip val="1"/>
        <c:noMultiLvlLbl val="1"/>
      </c:catAx>
      <c:valAx>
        <c:axId val="287363312"/>
        <c:scaling>
          <c:orientation val="minMax"/>
          <c:max val="6"/>
          <c:min val="0"/>
        </c:scaling>
        <c:delete val="0"/>
        <c:axPos val="l"/>
        <c:numFmt formatCode="0.0" sourceLinked="0"/>
        <c:majorTickMark val="out"/>
        <c:minorTickMark val="none"/>
        <c:tickLblPos val="nextTo"/>
        <c:spPr>
          <a:ln w="3169">
            <a:solidFill>
              <a:sysClr val="window" lastClr="FFFFFF">
                <a:lumMod val="50000"/>
              </a:sysClr>
            </a:solidFill>
            <a:prstDash val="solid"/>
          </a:ln>
        </c:spPr>
        <c:txPr>
          <a:bodyPr rot="0" vert="horz"/>
          <a:lstStyle/>
          <a:p>
            <a:pPr>
              <a:defRPr/>
            </a:pPr>
            <a:endParaRPr lang="lv-LV"/>
          </a:p>
        </c:txPr>
        <c:crossAx val="287362920"/>
        <c:crosses val="autoZero"/>
        <c:crossBetween val="between"/>
        <c:majorUnit val="1.5"/>
      </c:valAx>
      <c:catAx>
        <c:axId val="287364096"/>
        <c:scaling>
          <c:orientation val="minMax"/>
        </c:scaling>
        <c:delete val="1"/>
        <c:axPos val="b"/>
        <c:numFmt formatCode="General" sourceLinked="1"/>
        <c:majorTickMark val="out"/>
        <c:minorTickMark val="none"/>
        <c:tickLblPos val="nextTo"/>
        <c:crossAx val="276936840"/>
        <c:crosses val="autoZero"/>
        <c:auto val="1"/>
        <c:lblAlgn val="ctr"/>
        <c:lblOffset val="100"/>
        <c:noMultiLvlLbl val="0"/>
      </c:catAx>
      <c:valAx>
        <c:axId val="276936840"/>
        <c:scaling>
          <c:orientation val="minMax"/>
          <c:max val="40"/>
        </c:scaling>
        <c:delete val="0"/>
        <c:axPos val="r"/>
        <c:numFmt formatCode="0" sourceLinked="0"/>
        <c:majorTickMark val="out"/>
        <c:minorTickMark val="none"/>
        <c:tickLblPos val="nextTo"/>
        <c:spPr>
          <a:ln w="3169"/>
        </c:spPr>
        <c:crossAx val="287364096"/>
        <c:crosses val="max"/>
        <c:crossBetween val="between"/>
        <c:majorUnit val="10"/>
      </c:valAx>
      <c:spPr>
        <a:noFill/>
        <a:ln w="25349">
          <a:noFill/>
        </a:ln>
      </c:spPr>
    </c:plotArea>
    <c:legend>
      <c:legendPos val="l"/>
      <c:layout>
        <c:manualLayout>
          <c:xMode val="edge"/>
          <c:yMode val="edge"/>
          <c:x val="0.11157172392557076"/>
          <c:y val="1.6578250299357739E-2"/>
          <c:w val="0.66808281646358447"/>
          <c:h val="0.41950627139349522"/>
        </c:manualLayout>
      </c:layout>
      <c:overlay val="1"/>
    </c:legend>
    <c:plotVisOnly val="1"/>
    <c:dispBlanksAs val="gap"/>
    <c:showDLblsOverMax val="0"/>
  </c:chart>
  <c:spPr>
    <a:noFill/>
    <a:ln>
      <a:noFill/>
    </a:ln>
  </c:spPr>
  <c:txPr>
    <a:bodyPr/>
    <a:lstStyle/>
    <a:p>
      <a:pPr>
        <a:defRPr sz="798" b="0" i="0" u="none" strike="noStrike" baseline="0">
          <a:solidFill>
            <a:srgbClr val="000000"/>
          </a:solidFill>
          <a:latin typeface="Candara" panose="020E0502030303020204" pitchFamily="34" charset="0"/>
          <a:ea typeface="Arial"/>
          <a:cs typeface="Arial"/>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354822834645707E-2"/>
          <c:y val="5.4187037037039996E-2"/>
          <c:w val="0.8789631193571017"/>
          <c:h val="0.84682690397827365"/>
        </c:manualLayout>
      </c:layout>
      <c:barChart>
        <c:barDir val="col"/>
        <c:grouping val="stacked"/>
        <c:varyColors val="0"/>
        <c:ser>
          <c:idx val="9"/>
          <c:order val="0"/>
          <c:tx>
            <c:strRef>
              <c:f>Sheet1!$A$2</c:f>
              <c:strCache>
                <c:ptCount val="1"/>
                <c:pt idx="0">
                  <c:v>Ārējā pieprasījuma efekts</c:v>
                </c:pt>
              </c:strCache>
            </c:strRef>
          </c:tx>
          <c:spPr>
            <a:solidFill>
              <a:srgbClr val="4F81BD"/>
            </a:solidFill>
            <a:ln w="3179">
              <a:solidFill>
                <a:sysClr val="windowText" lastClr="000000"/>
              </a:solidFill>
              <a:prstDash val="solid"/>
            </a:ln>
          </c:spPr>
          <c:invertIfNegative val="0"/>
          <c:dLbls>
            <c:dLbl>
              <c:idx val="0"/>
              <c:tx>
                <c:rich>
                  <a:bodyPr/>
                  <a:lstStyle/>
                  <a:p>
                    <a:pPr>
                      <a:defRPr/>
                    </a:pPr>
                    <a:r>
                      <a:rPr lang="en-US">
                        <a:solidFill>
                          <a:schemeClr val="bg1"/>
                        </a:solidFill>
                      </a:rPr>
                      <a:t>54%</a:t>
                    </a:r>
                    <a:endParaRPr lang="en-US"/>
                  </a:p>
                </c:rich>
              </c:tx>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a:pPr>
                    <a:r>
                      <a:rPr lang="en-US">
                        <a:solidFill>
                          <a:schemeClr val="bg1"/>
                        </a:solidFill>
                      </a:rPr>
                      <a:t>36%</a:t>
                    </a:r>
                    <a:endParaRPr lang="en-US"/>
                  </a:p>
                </c:rich>
              </c:tx>
              <c:spPr/>
              <c:showLegendKey val="0"/>
              <c:showVal val="0"/>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tx>
                <c:rich>
                  <a:bodyPr/>
                  <a:lstStyle/>
                  <a:p>
                    <a:pPr>
                      <a:defRPr>
                        <a:solidFill>
                          <a:schemeClr val="bg1"/>
                        </a:solidFill>
                      </a:defRPr>
                    </a:pPr>
                    <a:r>
                      <a:rPr lang="en-US">
                        <a:solidFill>
                          <a:schemeClr val="bg1"/>
                        </a:solidFill>
                      </a:rPr>
                      <a:t>&gt;100%</a:t>
                    </a:r>
                  </a:p>
                </c:rich>
              </c:tx>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2010</c:v>
                </c:pt>
                <c:pt idx="1">
                  <c:v>2011</c:v>
                </c:pt>
                <c:pt idx="2">
                  <c:v>2012</c:v>
                </c:pt>
                <c:pt idx="3">
                  <c:v>2013</c:v>
                </c:pt>
                <c:pt idx="4">
                  <c:v>2014 I-IX</c:v>
                </c:pt>
              </c:strCache>
            </c:strRef>
          </c:cat>
          <c:val>
            <c:numRef>
              <c:f>Sheet1!$B$2:$F$2</c:f>
              <c:numCache>
                <c:formatCode>0.0</c:formatCode>
                <c:ptCount val="5"/>
                <c:pt idx="0">
                  <c:v>15.914819078643907</c:v>
                </c:pt>
                <c:pt idx="1">
                  <c:v>10.492587021972415</c:v>
                </c:pt>
                <c:pt idx="2">
                  <c:v>0.39653441986203508</c:v>
                </c:pt>
                <c:pt idx="3">
                  <c:v>1.1204687221145386</c:v>
                </c:pt>
                <c:pt idx="4">
                  <c:v>3.0944394932755692</c:v>
                </c:pt>
              </c:numCache>
            </c:numRef>
          </c:val>
        </c:ser>
        <c:ser>
          <c:idx val="10"/>
          <c:order val="1"/>
          <c:tx>
            <c:strRef>
              <c:f>Sheet1!$A$3</c:f>
              <c:strCache>
                <c:ptCount val="1"/>
                <c:pt idx="0">
                  <c:v>Konkurētspējas efekts</c:v>
                </c:pt>
              </c:strCache>
            </c:strRef>
          </c:tx>
          <c:spPr>
            <a:solidFill>
              <a:srgbClr val="F79646">
                <a:lumMod val="60000"/>
                <a:lumOff val="40000"/>
              </a:srgbClr>
            </a:solidFill>
            <a:ln w="3179">
              <a:solidFill>
                <a:sysClr val="windowText" lastClr="000000"/>
              </a:solidFill>
            </a:ln>
          </c:spPr>
          <c:invertIfNegative val="0"/>
          <c:dLbls>
            <c:dLbl>
              <c:idx val="0"/>
              <c:tx>
                <c:rich>
                  <a:bodyPr/>
                  <a:lstStyle/>
                  <a:p>
                    <a:pPr>
                      <a:defRPr/>
                    </a:pPr>
                    <a:r>
                      <a:rPr lang="en-US"/>
                      <a:t>46%</a:t>
                    </a:r>
                  </a:p>
                </c:rich>
              </c:tx>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a:pPr>
                    <a:r>
                      <a:rPr lang="en-US"/>
                      <a:t>64%</a:t>
                    </a:r>
                  </a:p>
                </c:rich>
              </c:tx>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a:pPr>
                    <a:r>
                      <a:rPr lang="en-US"/>
                      <a:t>97%</a:t>
                    </a:r>
                  </a:p>
                </c:rich>
              </c:tx>
              <c:spPr/>
              <c:showLegendKey val="0"/>
              <c:showVal val="0"/>
              <c:showCatName val="0"/>
              <c:showSerName val="0"/>
              <c:showPercent val="0"/>
              <c:showBubbleSize val="0"/>
              <c:extLst>
                <c:ext xmlns:c15="http://schemas.microsoft.com/office/drawing/2012/chart" uri="{CE6537A1-D6FC-4f65-9D91-7224C49458BB}"/>
              </c:extLst>
            </c:dLbl>
            <c:dLbl>
              <c:idx val="3"/>
              <c:tx>
                <c:rich>
                  <a:bodyPr/>
                  <a:lstStyle/>
                  <a:p>
                    <a:pPr>
                      <a:defRPr/>
                    </a:pPr>
                    <a:r>
                      <a:rPr lang="en-US"/>
                      <a:t>69%</a:t>
                    </a:r>
                  </a:p>
                </c:rich>
              </c:tx>
              <c:spPr/>
              <c:showLegendKey val="0"/>
              <c:showVal val="0"/>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2010</c:v>
                </c:pt>
                <c:pt idx="1">
                  <c:v>2011</c:v>
                </c:pt>
                <c:pt idx="2">
                  <c:v>2012</c:v>
                </c:pt>
                <c:pt idx="3">
                  <c:v>2013</c:v>
                </c:pt>
                <c:pt idx="4">
                  <c:v>2014 I-IX</c:v>
                </c:pt>
              </c:strCache>
            </c:strRef>
          </c:cat>
          <c:val>
            <c:numRef>
              <c:f>Sheet1!$B$3:$F$3</c:f>
              <c:numCache>
                <c:formatCode>0.0</c:formatCode>
                <c:ptCount val="5"/>
                <c:pt idx="0">
                  <c:v>13.809980670214673</c:v>
                </c:pt>
                <c:pt idx="1">
                  <c:v>18.473534612820846</c:v>
                </c:pt>
                <c:pt idx="2">
                  <c:v>11.776323448320126</c:v>
                </c:pt>
                <c:pt idx="3">
                  <c:v>2.4826584441958892</c:v>
                </c:pt>
                <c:pt idx="4">
                  <c:v>-1.0768700745627362</c:v>
                </c:pt>
              </c:numCache>
            </c:numRef>
          </c:val>
        </c:ser>
        <c:dLbls>
          <c:showLegendKey val="0"/>
          <c:showVal val="0"/>
          <c:showCatName val="0"/>
          <c:showSerName val="0"/>
          <c:showPercent val="0"/>
          <c:showBubbleSize val="0"/>
        </c:dLbls>
        <c:gapWidth val="40"/>
        <c:overlap val="100"/>
        <c:axId val="309771344"/>
        <c:axId val="309771736"/>
      </c:barChart>
      <c:catAx>
        <c:axId val="309771344"/>
        <c:scaling>
          <c:orientation val="minMax"/>
        </c:scaling>
        <c:delete val="0"/>
        <c:axPos val="b"/>
        <c:numFmt formatCode="General" sourceLinked="1"/>
        <c:majorTickMark val="out"/>
        <c:minorTickMark val="none"/>
        <c:tickLblPos val="low"/>
        <c:spPr>
          <a:ln w="3179">
            <a:solidFill>
              <a:sysClr val="window" lastClr="FFFFFF">
                <a:lumMod val="50000"/>
              </a:sysClr>
            </a:solidFill>
            <a:prstDash val="solid"/>
          </a:ln>
        </c:spPr>
        <c:txPr>
          <a:bodyPr rot="0" vert="horz"/>
          <a:lstStyle/>
          <a:p>
            <a:pPr>
              <a:defRPr sz="1201"/>
            </a:pPr>
            <a:endParaRPr lang="lv-LV"/>
          </a:p>
        </c:txPr>
        <c:crossAx val="309771736"/>
        <c:crosses val="autoZero"/>
        <c:auto val="0"/>
        <c:lblAlgn val="ctr"/>
        <c:lblOffset val="100"/>
        <c:noMultiLvlLbl val="0"/>
      </c:catAx>
      <c:valAx>
        <c:axId val="309771736"/>
        <c:scaling>
          <c:orientation val="minMax"/>
          <c:max val="35"/>
          <c:min val="-5"/>
        </c:scaling>
        <c:delete val="0"/>
        <c:axPos val="l"/>
        <c:numFmt formatCode="0" sourceLinked="0"/>
        <c:majorTickMark val="out"/>
        <c:minorTickMark val="none"/>
        <c:tickLblPos val="nextTo"/>
        <c:spPr>
          <a:ln w="3179">
            <a:solidFill>
              <a:sysClr val="window" lastClr="FFFFFF">
                <a:lumMod val="50000"/>
              </a:sysClr>
            </a:solidFill>
            <a:prstDash val="solid"/>
          </a:ln>
        </c:spPr>
        <c:txPr>
          <a:bodyPr rot="0" vert="horz"/>
          <a:lstStyle/>
          <a:p>
            <a:pPr>
              <a:defRPr sz="1201"/>
            </a:pPr>
            <a:endParaRPr lang="lv-LV"/>
          </a:p>
        </c:txPr>
        <c:crossAx val="309771344"/>
        <c:crosses val="autoZero"/>
        <c:crossBetween val="between"/>
        <c:majorUnit val="10"/>
      </c:valAx>
      <c:spPr>
        <a:noFill/>
        <a:ln w="25431">
          <a:noFill/>
        </a:ln>
      </c:spPr>
    </c:plotArea>
    <c:legend>
      <c:legendPos val="l"/>
      <c:layout>
        <c:manualLayout>
          <c:xMode val="edge"/>
          <c:yMode val="edge"/>
          <c:x val="0.45971772010988898"/>
          <c:y val="0.22160114601059483"/>
          <c:w val="0.49756691892112703"/>
          <c:h val="0.20089565727361003"/>
        </c:manualLayout>
      </c:layout>
      <c:overlay val="1"/>
    </c:legend>
    <c:plotVisOnly val="1"/>
    <c:dispBlanksAs val="gap"/>
    <c:showDLblsOverMax val="0"/>
  </c:chart>
  <c:spPr>
    <a:noFill/>
    <a:ln>
      <a:noFill/>
    </a:ln>
  </c:spPr>
  <c:txPr>
    <a:bodyPr/>
    <a:lstStyle/>
    <a:p>
      <a:pPr>
        <a:defRPr sz="801" b="0" i="0" u="none" strike="noStrike" baseline="0">
          <a:solidFill>
            <a:srgbClr val="000000"/>
          </a:solidFill>
          <a:latin typeface="Candara" panose="020E0502030303020204" pitchFamily="34" charset="0"/>
          <a:ea typeface="Arial"/>
          <a:cs typeface="Arial"/>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354822834645707E-2"/>
          <c:y val="5.4187037037039996E-2"/>
          <c:w val="0.8789631193571017"/>
          <c:h val="0.84225054448132841"/>
        </c:manualLayout>
      </c:layout>
      <c:barChart>
        <c:barDir val="col"/>
        <c:grouping val="stacked"/>
        <c:varyColors val="0"/>
        <c:ser>
          <c:idx val="9"/>
          <c:order val="0"/>
          <c:tx>
            <c:strRef>
              <c:f>Sheet1!$A$2</c:f>
              <c:strCache>
                <c:ptCount val="1"/>
                <c:pt idx="0">
                  <c:v>Eksporta diversifikācijas pakāpe (kreisā ass)</c:v>
                </c:pt>
              </c:strCache>
            </c:strRef>
          </c:tx>
          <c:spPr>
            <a:solidFill>
              <a:srgbClr val="9BBB59"/>
            </a:solidFill>
            <a:ln w="3173">
              <a:solidFill>
                <a:sysClr val="windowText" lastClr="000000"/>
              </a:solidFill>
              <a:prstDash val="solid"/>
            </a:ln>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2006</c:v>
                </c:pt>
                <c:pt idx="1">
                  <c:v>2007</c:v>
                </c:pt>
                <c:pt idx="2">
                  <c:v>2008</c:v>
                </c:pt>
                <c:pt idx="3">
                  <c:v>2009</c:v>
                </c:pt>
                <c:pt idx="4">
                  <c:v>2010</c:v>
                </c:pt>
                <c:pt idx="5">
                  <c:v>2011</c:v>
                </c:pt>
                <c:pt idx="6">
                  <c:v>2012</c:v>
                </c:pt>
                <c:pt idx="7">
                  <c:v>2013</c:v>
                </c:pt>
                <c:pt idx="8">
                  <c:v>2014n</c:v>
                </c:pt>
              </c:strCache>
            </c:strRef>
          </c:cat>
          <c:val>
            <c:numRef>
              <c:f>Sheet1!$B$2:$J$2</c:f>
              <c:numCache>
                <c:formatCode>0.0</c:formatCode>
                <c:ptCount val="9"/>
                <c:pt idx="0">
                  <c:v>7.72901785370565</c:v>
                </c:pt>
                <c:pt idx="1">
                  <c:v>7.725589442725445</c:v>
                </c:pt>
                <c:pt idx="2">
                  <c:v>6.0642604099819417</c:v>
                </c:pt>
                <c:pt idx="3">
                  <c:v>5.7181250100388334</c:v>
                </c:pt>
                <c:pt idx="4">
                  <c:v>6.5501950773497564</c:v>
                </c:pt>
                <c:pt idx="5">
                  <c:v>6.1772341324493674</c:v>
                </c:pt>
                <c:pt idx="6">
                  <c:v>5.688783670620067</c:v>
                </c:pt>
                <c:pt idx="7">
                  <c:v>5.8375781705722778</c:v>
                </c:pt>
                <c:pt idx="8">
                  <c:v>6.1</c:v>
                </c:pt>
              </c:numCache>
            </c:numRef>
          </c:val>
        </c:ser>
        <c:dLbls>
          <c:showLegendKey val="0"/>
          <c:showVal val="0"/>
          <c:showCatName val="0"/>
          <c:showSerName val="0"/>
          <c:showPercent val="0"/>
          <c:showBubbleSize val="0"/>
        </c:dLbls>
        <c:gapWidth val="40"/>
        <c:overlap val="100"/>
        <c:axId val="309772520"/>
        <c:axId val="276095624"/>
      </c:barChart>
      <c:lineChart>
        <c:grouping val="standard"/>
        <c:varyColors val="0"/>
        <c:ser>
          <c:idx val="0"/>
          <c:order val="1"/>
          <c:tx>
            <c:strRef>
              <c:f>Sheet1!$A$3</c:f>
              <c:strCache>
                <c:ptCount val="1"/>
                <c:pt idx="0">
                  <c:v>Eksports, mljrd. eiro (labā ass)</c:v>
                </c:pt>
              </c:strCache>
            </c:strRef>
          </c:tx>
          <c:spPr>
            <a:ln w="25384">
              <a:solidFill>
                <a:srgbClr val="4F81BD"/>
              </a:solidFill>
            </a:ln>
          </c:spPr>
          <c:marker>
            <c:symbol val="none"/>
          </c:marker>
          <c:cat>
            <c:strRef>
              <c:f>Sheet1!$B$1:$J$1</c:f>
              <c:strCache>
                <c:ptCount val="9"/>
                <c:pt idx="0">
                  <c:v>2006</c:v>
                </c:pt>
                <c:pt idx="1">
                  <c:v>2007</c:v>
                </c:pt>
                <c:pt idx="2">
                  <c:v>2008</c:v>
                </c:pt>
                <c:pt idx="3">
                  <c:v>2009</c:v>
                </c:pt>
                <c:pt idx="4">
                  <c:v>2010</c:v>
                </c:pt>
                <c:pt idx="5">
                  <c:v>2011</c:v>
                </c:pt>
                <c:pt idx="6">
                  <c:v>2012</c:v>
                </c:pt>
                <c:pt idx="7">
                  <c:v>2013</c:v>
                </c:pt>
                <c:pt idx="8">
                  <c:v>2014n</c:v>
                </c:pt>
              </c:strCache>
            </c:strRef>
          </c:cat>
          <c:val>
            <c:numRef>
              <c:f>Sheet1!$B$3:$J$3</c:f>
              <c:numCache>
                <c:formatCode>0.0</c:formatCode>
                <c:ptCount val="9"/>
                <c:pt idx="0">
                  <c:v>4.6858149999999998</c:v>
                </c:pt>
                <c:pt idx="1">
                  <c:v>5.7488187999999987</c:v>
                </c:pt>
                <c:pt idx="2">
                  <c:v>6.3018219100000001</c:v>
                </c:pt>
                <c:pt idx="3">
                  <c:v>5.1255306300000001</c:v>
                </c:pt>
                <c:pt idx="4">
                  <c:v>6.6802198200000014</c:v>
                </c:pt>
                <c:pt idx="5">
                  <c:v>8.5351190199999998</c:v>
                </c:pt>
                <c:pt idx="6">
                  <c:v>9.871053719999999</c:v>
                </c:pt>
                <c:pt idx="7">
                  <c:v>10.021291309999997</c:v>
                </c:pt>
                <c:pt idx="8">
                  <c:v>10.199999999999999</c:v>
                </c:pt>
              </c:numCache>
            </c:numRef>
          </c:val>
          <c:smooth val="0"/>
        </c:ser>
        <c:dLbls>
          <c:showLegendKey val="0"/>
          <c:showVal val="0"/>
          <c:showCatName val="0"/>
          <c:showSerName val="0"/>
          <c:showPercent val="0"/>
          <c:showBubbleSize val="0"/>
        </c:dLbls>
        <c:marker val="1"/>
        <c:smooth val="0"/>
        <c:axId val="276096016"/>
        <c:axId val="276096408"/>
      </c:lineChart>
      <c:catAx>
        <c:axId val="309772520"/>
        <c:scaling>
          <c:orientation val="minMax"/>
        </c:scaling>
        <c:delete val="0"/>
        <c:axPos val="b"/>
        <c:numFmt formatCode="General" sourceLinked="1"/>
        <c:majorTickMark val="out"/>
        <c:minorTickMark val="none"/>
        <c:tickLblPos val="low"/>
        <c:spPr>
          <a:ln w="3173">
            <a:solidFill>
              <a:sysClr val="window" lastClr="FFFFFF">
                <a:lumMod val="50000"/>
              </a:sysClr>
            </a:solidFill>
            <a:prstDash val="solid"/>
          </a:ln>
        </c:spPr>
        <c:txPr>
          <a:bodyPr rot="0" vert="horz"/>
          <a:lstStyle/>
          <a:p>
            <a:pPr>
              <a:defRPr/>
            </a:pPr>
            <a:endParaRPr lang="lv-LV"/>
          </a:p>
        </c:txPr>
        <c:crossAx val="276095624"/>
        <c:crosses val="autoZero"/>
        <c:auto val="0"/>
        <c:lblAlgn val="ctr"/>
        <c:lblOffset val="100"/>
        <c:tickLblSkip val="1"/>
        <c:noMultiLvlLbl val="0"/>
      </c:catAx>
      <c:valAx>
        <c:axId val="276095624"/>
        <c:scaling>
          <c:orientation val="minMax"/>
          <c:max val="9"/>
          <c:min val="4"/>
        </c:scaling>
        <c:delete val="0"/>
        <c:axPos val="l"/>
        <c:numFmt formatCode="0" sourceLinked="0"/>
        <c:majorTickMark val="out"/>
        <c:minorTickMark val="none"/>
        <c:tickLblPos val="nextTo"/>
        <c:spPr>
          <a:ln w="3173">
            <a:solidFill>
              <a:sysClr val="window" lastClr="FFFFFF">
                <a:lumMod val="50000"/>
              </a:sysClr>
            </a:solidFill>
            <a:prstDash val="solid"/>
          </a:ln>
        </c:spPr>
        <c:txPr>
          <a:bodyPr rot="0" vert="horz"/>
          <a:lstStyle/>
          <a:p>
            <a:pPr>
              <a:defRPr/>
            </a:pPr>
            <a:endParaRPr lang="lv-LV"/>
          </a:p>
        </c:txPr>
        <c:crossAx val="309772520"/>
        <c:crosses val="autoZero"/>
        <c:crossBetween val="between"/>
        <c:majorUnit val="1"/>
      </c:valAx>
      <c:catAx>
        <c:axId val="276096016"/>
        <c:scaling>
          <c:orientation val="minMax"/>
        </c:scaling>
        <c:delete val="1"/>
        <c:axPos val="b"/>
        <c:numFmt formatCode="General" sourceLinked="1"/>
        <c:majorTickMark val="out"/>
        <c:minorTickMark val="none"/>
        <c:tickLblPos val="nextTo"/>
        <c:crossAx val="276096408"/>
        <c:crosses val="autoZero"/>
        <c:auto val="1"/>
        <c:lblAlgn val="ctr"/>
        <c:lblOffset val="100"/>
        <c:noMultiLvlLbl val="0"/>
      </c:catAx>
      <c:valAx>
        <c:axId val="276096408"/>
        <c:scaling>
          <c:orientation val="minMax"/>
          <c:max val="12"/>
          <c:min val="2"/>
        </c:scaling>
        <c:delete val="0"/>
        <c:axPos val="r"/>
        <c:numFmt formatCode="0" sourceLinked="0"/>
        <c:majorTickMark val="out"/>
        <c:minorTickMark val="none"/>
        <c:tickLblPos val="nextTo"/>
        <c:spPr>
          <a:ln w="3173"/>
        </c:spPr>
        <c:crossAx val="276096016"/>
        <c:crosses val="max"/>
        <c:crossBetween val="between"/>
        <c:majorUnit val="2"/>
      </c:valAx>
      <c:spPr>
        <a:noFill/>
        <a:ln w="25384">
          <a:noFill/>
        </a:ln>
      </c:spPr>
    </c:plotArea>
    <c:legend>
      <c:legendPos val="l"/>
      <c:layout>
        <c:manualLayout>
          <c:xMode val="edge"/>
          <c:yMode val="edge"/>
          <c:x val="9.8153412641601614E-2"/>
          <c:y val="5.1845300159397881E-2"/>
          <c:w val="0.7899378486780062"/>
          <c:h val="0.15910066036266013"/>
        </c:manualLayout>
      </c:layout>
      <c:overlay val="1"/>
      <c:txPr>
        <a:bodyPr/>
        <a:lstStyle/>
        <a:p>
          <a:pPr>
            <a:defRPr sz="999"/>
          </a:pPr>
          <a:endParaRPr lang="lv-LV"/>
        </a:p>
      </c:txPr>
    </c:legend>
    <c:plotVisOnly val="1"/>
    <c:dispBlanksAs val="gap"/>
    <c:showDLblsOverMax val="0"/>
  </c:chart>
  <c:spPr>
    <a:noFill/>
    <a:ln>
      <a:noFill/>
    </a:ln>
  </c:spPr>
  <c:txPr>
    <a:bodyPr/>
    <a:lstStyle/>
    <a:p>
      <a:pPr>
        <a:defRPr sz="799" b="0" i="0" u="none" strike="noStrike" baseline="0">
          <a:solidFill>
            <a:srgbClr val="000000"/>
          </a:solidFill>
          <a:latin typeface="Candara" panose="020E0502030303020204" pitchFamily="34" charset="0"/>
          <a:ea typeface="Arial"/>
          <a:cs typeface="Arial"/>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27.05.2015_3AK_(EM_3211)</Sede>
    <Kom xmlns="0403aeb7-10dd-41a9-8f8e-1fc0ec5546a5">3.Mazo un vidējo komersantu konkurētspējas prioritārā virziena apakškomiteja</Kom>
    <kartiba xmlns="0403aeb7-10dd-41a9-8f8e-1fc0ec5546a5">123</kartiba>
    <Apraksts xmlns="0403aeb7-10dd-41a9-8f8e-1fc0ec5546a5">Sākotnējais novērtējums</Aprakst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7316-98DD-4220-86D6-E7F00EA91F1E}">
  <ds:schemaRefs>
    <ds:schemaRef ds:uri="http://schemas.microsoft.com/sharepoint/v3/contenttype/forms"/>
  </ds:schemaRefs>
</ds:datastoreItem>
</file>

<file path=customXml/itemProps2.xml><?xml version="1.0" encoding="utf-8"?>
<ds:datastoreItem xmlns:ds="http://schemas.openxmlformats.org/officeDocument/2006/customXml" ds:itemID="{3EC13663-2587-42DA-B523-45F4C7FE2DA6}">
  <ds:schemaRefs>
    <ds:schemaRef ds:uri="http://schemas.microsoft.com/office/2006/metadata/longProperties"/>
  </ds:schemaRefs>
</ds:datastoreItem>
</file>

<file path=customXml/itemProps3.xml><?xml version="1.0" encoding="utf-8"?>
<ds:datastoreItem xmlns:ds="http://schemas.openxmlformats.org/officeDocument/2006/customXml" ds:itemID="{B78561BF-C1BC-4321-9F06-846F1DFC2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6755F-2948-4191-B070-C737CB4CBF05}">
  <ds:schemaRefs>
    <ds:schemaRef ds:uri="http://schemas.microsoft.com/office/2006/metadata/properties"/>
    <ds:schemaRef ds:uri="http://schemas.microsoft.com/office/infopath/2007/PartnerControls"/>
    <ds:schemaRef ds:uri="0403aeb7-10dd-41a9-8f8e-1fc0ec5546a5"/>
  </ds:schemaRefs>
</ds:datastoreItem>
</file>

<file path=customXml/itemProps5.xml><?xml version="1.0" encoding="utf-8"?>
<ds:datastoreItem xmlns:ds="http://schemas.openxmlformats.org/officeDocument/2006/customXml" ds:itemID="{10A34B05-DCA6-4F80-9FD2-EA853C44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27</Pages>
  <Words>48703</Words>
  <Characters>27761</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76312</CharactersWithSpaces>
  <SharedDoc>false</SharedDoc>
  <HLinks>
    <vt:vector size="132" baseType="variant">
      <vt:variant>
        <vt:i4>5767256</vt:i4>
      </vt:variant>
      <vt:variant>
        <vt:i4>72</vt:i4>
      </vt:variant>
      <vt:variant>
        <vt:i4>0</vt:i4>
      </vt:variant>
      <vt:variant>
        <vt:i4>5</vt:i4>
      </vt:variant>
      <vt:variant>
        <vt:lpwstr>http://sf.lm.gov.lv/f/files/aktivitates/12212_mizgltbas_apakaktivitte.doc</vt:lpwstr>
      </vt:variant>
      <vt:variant>
        <vt:lpwstr/>
      </vt:variant>
      <vt:variant>
        <vt:i4>1179698</vt:i4>
      </vt:variant>
      <vt:variant>
        <vt:i4>56</vt:i4>
      </vt:variant>
      <vt:variant>
        <vt:i4>0</vt:i4>
      </vt:variant>
      <vt:variant>
        <vt:i4>5</vt:i4>
      </vt:variant>
      <vt:variant>
        <vt:lpwstr/>
      </vt:variant>
      <vt:variant>
        <vt:lpwstr>_Toc419295630</vt:lpwstr>
      </vt:variant>
      <vt:variant>
        <vt:i4>1245234</vt:i4>
      </vt:variant>
      <vt:variant>
        <vt:i4>53</vt:i4>
      </vt:variant>
      <vt:variant>
        <vt:i4>0</vt:i4>
      </vt:variant>
      <vt:variant>
        <vt:i4>5</vt:i4>
      </vt:variant>
      <vt:variant>
        <vt:lpwstr/>
      </vt:variant>
      <vt:variant>
        <vt:lpwstr>_Toc419295629</vt:lpwstr>
      </vt:variant>
      <vt:variant>
        <vt:i4>1245234</vt:i4>
      </vt:variant>
      <vt:variant>
        <vt:i4>50</vt:i4>
      </vt:variant>
      <vt:variant>
        <vt:i4>0</vt:i4>
      </vt:variant>
      <vt:variant>
        <vt:i4>5</vt:i4>
      </vt:variant>
      <vt:variant>
        <vt:lpwstr/>
      </vt:variant>
      <vt:variant>
        <vt:lpwstr>_Toc419295628</vt:lpwstr>
      </vt:variant>
      <vt:variant>
        <vt:i4>1245234</vt:i4>
      </vt:variant>
      <vt:variant>
        <vt:i4>47</vt:i4>
      </vt:variant>
      <vt:variant>
        <vt:i4>0</vt:i4>
      </vt:variant>
      <vt:variant>
        <vt:i4>5</vt:i4>
      </vt:variant>
      <vt:variant>
        <vt:lpwstr/>
      </vt:variant>
      <vt:variant>
        <vt:lpwstr>_Toc419295627</vt:lpwstr>
      </vt:variant>
      <vt:variant>
        <vt:i4>1245234</vt:i4>
      </vt:variant>
      <vt:variant>
        <vt:i4>44</vt:i4>
      </vt:variant>
      <vt:variant>
        <vt:i4>0</vt:i4>
      </vt:variant>
      <vt:variant>
        <vt:i4>5</vt:i4>
      </vt:variant>
      <vt:variant>
        <vt:lpwstr/>
      </vt:variant>
      <vt:variant>
        <vt:lpwstr>_Toc419295626</vt:lpwstr>
      </vt:variant>
      <vt:variant>
        <vt:i4>1245234</vt:i4>
      </vt:variant>
      <vt:variant>
        <vt:i4>41</vt:i4>
      </vt:variant>
      <vt:variant>
        <vt:i4>0</vt:i4>
      </vt:variant>
      <vt:variant>
        <vt:i4>5</vt:i4>
      </vt:variant>
      <vt:variant>
        <vt:lpwstr/>
      </vt:variant>
      <vt:variant>
        <vt:lpwstr>_Toc419295625</vt:lpwstr>
      </vt:variant>
      <vt:variant>
        <vt:i4>1245234</vt:i4>
      </vt:variant>
      <vt:variant>
        <vt:i4>38</vt:i4>
      </vt:variant>
      <vt:variant>
        <vt:i4>0</vt:i4>
      </vt:variant>
      <vt:variant>
        <vt:i4>5</vt:i4>
      </vt:variant>
      <vt:variant>
        <vt:lpwstr/>
      </vt:variant>
      <vt:variant>
        <vt:lpwstr>_Toc419295624</vt:lpwstr>
      </vt:variant>
      <vt:variant>
        <vt:i4>1245234</vt:i4>
      </vt:variant>
      <vt:variant>
        <vt:i4>35</vt:i4>
      </vt:variant>
      <vt:variant>
        <vt:i4>0</vt:i4>
      </vt:variant>
      <vt:variant>
        <vt:i4>5</vt:i4>
      </vt:variant>
      <vt:variant>
        <vt:lpwstr/>
      </vt:variant>
      <vt:variant>
        <vt:lpwstr>_Toc419295623</vt:lpwstr>
      </vt:variant>
      <vt:variant>
        <vt:i4>1245234</vt:i4>
      </vt:variant>
      <vt:variant>
        <vt:i4>32</vt:i4>
      </vt:variant>
      <vt:variant>
        <vt:i4>0</vt:i4>
      </vt:variant>
      <vt:variant>
        <vt:i4>5</vt:i4>
      </vt:variant>
      <vt:variant>
        <vt:lpwstr/>
      </vt:variant>
      <vt:variant>
        <vt:lpwstr>_Toc419295622</vt:lpwstr>
      </vt:variant>
      <vt:variant>
        <vt:i4>1245234</vt:i4>
      </vt:variant>
      <vt:variant>
        <vt:i4>29</vt:i4>
      </vt:variant>
      <vt:variant>
        <vt:i4>0</vt:i4>
      </vt:variant>
      <vt:variant>
        <vt:i4>5</vt:i4>
      </vt:variant>
      <vt:variant>
        <vt:lpwstr/>
      </vt:variant>
      <vt:variant>
        <vt:lpwstr>_Toc419295621</vt:lpwstr>
      </vt:variant>
      <vt:variant>
        <vt:i4>1245234</vt:i4>
      </vt:variant>
      <vt:variant>
        <vt:i4>26</vt:i4>
      </vt:variant>
      <vt:variant>
        <vt:i4>0</vt:i4>
      </vt:variant>
      <vt:variant>
        <vt:i4>5</vt:i4>
      </vt:variant>
      <vt:variant>
        <vt:lpwstr/>
      </vt:variant>
      <vt:variant>
        <vt:lpwstr>_Toc419295620</vt:lpwstr>
      </vt:variant>
      <vt:variant>
        <vt:i4>1048626</vt:i4>
      </vt:variant>
      <vt:variant>
        <vt:i4>23</vt:i4>
      </vt:variant>
      <vt:variant>
        <vt:i4>0</vt:i4>
      </vt:variant>
      <vt:variant>
        <vt:i4>5</vt:i4>
      </vt:variant>
      <vt:variant>
        <vt:lpwstr/>
      </vt:variant>
      <vt:variant>
        <vt:lpwstr>_Toc419295619</vt:lpwstr>
      </vt:variant>
      <vt:variant>
        <vt:i4>1048626</vt:i4>
      </vt:variant>
      <vt:variant>
        <vt:i4>20</vt:i4>
      </vt:variant>
      <vt:variant>
        <vt:i4>0</vt:i4>
      </vt:variant>
      <vt:variant>
        <vt:i4>5</vt:i4>
      </vt:variant>
      <vt:variant>
        <vt:lpwstr/>
      </vt:variant>
      <vt:variant>
        <vt:lpwstr>_Toc419295619</vt:lpwstr>
      </vt:variant>
      <vt:variant>
        <vt:i4>1048626</vt:i4>
      </vt:variant>
      <vt:variant>
        <vt:i4>17</vt:i4>
      </vt:variant>
      <vt:variant>
        <vt:i4>0</vt:i4>
      </vt:variant>
      <vt:variant>
        <vt:i4>5</vt:i4>
      </vt:variant>
      <vt:variant>
        <vt:lpwstr/>
      </vt:variant>
      <vt:variant>
        <vt:lpwstr>_Toc419295618</vt:lpwstr>
      </vt:variant>
      <vt:variant>
        <vt:i4>1048626</vt:i4>
      </vt:variant>
      <vt:variant>
        <vt:i4>14</vt:i4>
      </vt:variant>
      <vt:variant>
        <vt:i4>0</vt:i4>
      </vt:variant>
      <vt:variant>
        <vt:i4>5</vt:i4>
      </vt:variant>
      <vt:variant>
        <vt:lpwstr/>
      </vt:variant>
      <vt:variant>
        <vt:lpwstr>_Toc419295617</vt:lpwstr>
      </vt:variant>
      <vt:variant>
        <vt:i4>1245234</vt:i4>
      </vt:variant>
      <vt:variant>
        <vt:i4>11</vt:i4>
      </vt:variant>
      <vt:variant>
        <vt:i4>0</vt:i4>
      </vt:variant>
      <vt:variant>
        <vt:i4>5</vt:i4>
      </vt:variant>
      <vt:variant>
        <vt:lpwstr/>
      </vt:variant>
      <vt:variant>
        <vt:lpwstr>_Toc419295622</vt:lpwstr>
      </vt:variant>
      <vt:variant>
        <vt:i4>1245234</vt:i4>
      </vt:variant>
      <vt:variant>
        <vt:i4>8</vt:i4>
      </vt:variant>
      <vt:variant>
        <vt:i4>0</vt:i4>
      </vt:variant>
      <vt:variant>
        <vt:i4>5</vt:i4>
      </vt:variant>
      <vt:variant>
        <vt:lpwstr/>
      </vt:variant>
      <vt:variant>
        <vt:lpwstr>_Toc419295621</vt:lpwstr>
      </vt:variant>
      <vt:variant>
        <vt:i4>1048626</vt:i4>
      </vt:variant>
      <vt:variant>
        <vt:i4>2</vt:i4>
      </vt:variant>
      <vt:variant>
        <vt:i4>0</vt:i4>
      </vt:variant>
      <vt:variant>
        <vt:i4>5</vt:i4>
      </vt:variant>
      <vt:variant>
        <vt:lpwstr/>
      </vt:variant>
      <vt:variant>
        <vt:lpwstr>_Toc419295616</vt:lpwstr>
      </vt:variant>
      <vt:variant>
        <vt:i4>6815849</vt:i4>
      </vt:variant>
      <vt:variant>
        <vt:i4>6</vt:i4>
      </vt:variant>
      <vt:variant>
        <vt:i4>0</vt:i4>
      </vt:variant>
      <vt:variant>
        <vt:i4>5</vt:i4>
      </vt:variant>
      <vt:variant>
        <vt:lpwstr>https://www.makroekonomika.lv/apstrades-rupnieciba-latvija-joprojam-nenoverteta</vt:lpwstr>
      </vt:variant>
      <vt:variant>
        <vt:lpwstr/>
      </vt:variant>
      <vt:variant>
        <vt:i4>1638466</vt:i4>
      </vt:variant>
      <vt:variant>
        <vt:i4>3</vt:i4>
      </vt:variant>
      <vt:variant>
        <vt:i4>0</vt:i4>
      </vt:variant>
      <vt:variant>
        <vt:i4>5</vt:i4>
      </vt:variant>
      <vt:variant>
        <vt:lpwstr>http://www.makroekonomika.lv/</vt:lpwstr>
      </vt:variant>
      <vt:variant>
        <vt:lpwstr/>
      </vt:variant>
      <vt:variant>
        <vt:i4>3080249</vt:i4>
      </vt:variant>
      <vt:variant>
        <vt:i4>0</vt:i4>
      </vt:variant>
      <vt:variant>
        <vt:i4>0</vt:i4>
      </vt:variant>
      <vt:variant>
        <vt:i4>5</vt:i4>
      </vt:variant>
      <vt:variant>
        <vt:lpwstr>http://ec.europa.eu/eurostat/tgm/table.do?tab=table&amp;init=1&amp;language=en&amp;pcode=tsdec310&amp;plugin=1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Zane.Dziluma@em.gov.lv</dc:creator>
  <cp:keywords/>
  <cp:lastModifiedBy>Zane Dziļuma</cp:lastModifiedBy>
  <cp:revision>23</cp:revision>
  <cp:lastPrinted>2015-07-08T10:35:00Z</cp:lastPrinted>
  <dcterms:created xsi:type="dcterms:W3CDTF">2015-09-15T15:25:00Z</dcterms:created>
  <dcterms:modified xsi:type="dcterms:W3CDTF">2016-02-15T16:16:00Z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vt:lpwstr>
  </property>
</Properties>
</file>