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39" w:rsidRPr="00C85539" w:rsidRDefault="00C85539" w:rsidP="00C85539">
      <w:pPr>
        <w:pStyle w:val="Heading1"/>
        <w:ind w:left="709" w:hanging="709"/>
        <w:jc w:val="both"/>
        <w:rPr>
          <w:rFonts w:asciiTheme="minorHAnsi" w:hAnsiTheme="minorHAnsi" w:cstheme="minorHAnsi"/>
          <w:caps/>
        </w:rPr>
      </w:pPr>
      <w:bookmarkStart w:id="0" w:name="_Toc17878376"/>
      <w:r w:rsidRPr="00C85539">
        <w:rPr>
          <w:rFonts w:asciiTheme="minorHAnsi" w:hAnsiTheme="minorHAnsi" w:cstheme="minorHAnsi"/>
          <w:caps/>
        </w:rPr>
        <w:t>PLĀNA FINANSIĀLĀ IETEKME</w:t>
      </w:r>
      <w:bookmarkEnd w:id="0"/>
    </w:p>
    <w:p w:rsidR="00C85539" w:rsidRPr="00C85539" w:rsidRDefault="00C85539" w:rsidP="00C85539">
      <w:pPr>
        <w:spacing w:before="120" w:after="120" w:line="240" w:lineRule="auto"/>
        <w:jc w:val="both"/>
        <w:rPr>
          <w:rFonts w:cstheme="minorHAnsi"/>
          <w:szCs w:val="24"/>
        </w:rPr>
      </w:pPr>
      <w:r w:rsidRPr="00C85539">
        <w:rPr>
          <w:rFonts w:cstheme="minorHAnsi"/>
          <w:szCs w:val="24"/>
        </w:rPr>
        <w:t>Lai īstenotu Plānā ietvertos pasākumus un uzdevumus, plānots izmantot gan valsts, pašvaldību budžeta finansējumu, gan piesaistīt ES finanšu vai citu finansējuma avotu līdzekļus un privāto kapitālu, atkarībā no pasākuma rakstura. Pasākumus, kas saistīti ar tiesību aktu un politikas plānošanas dokumentu izstrādi, un ar to saistīto pētījumu veikšanu, institūcijas īsteno tām piešķiramo valsts budžeta līdzekļu ietvaros.</w:t>
      </w:r>
    </w:p>
    <w:p w:rsidR="00C85539" w:rsidRPr="00C85539" w:rsidRDefault="00C85539" w:rsidP="00C85539">
      <w:pPr>
        <w:spacing w:before="120" w:after="120" w:line="240" w:lineRule="auto"/>
        <w:jc w:val="both"/>
        <w:rPr>
          <w:rFonts w:cstheme="minorHAnsi"/>
          <w:szCs w:val="24"/>
        </w:rPr>
      </w:pPr>
      <w:r w:rsidRPr="00C85539">
        <w:rPr>
          <w:rFonts w:cstheme="minorHAnsi"/>
          <w:szCs w:val="24"/>
        </w:rPr>
        <w:t xml:space="preserve">Nepieciešamais finansējuma apjoms Plānā noteikto mērķu un tajā ietverto rīcību īstenošanai uz Plāna iesniegšanas brīdi Eiropas Komisijā – 2019.gada 31.decembrim, ir aprēķināms ar ļoti lielu nenoteiktību ņemot vērā, ka šis ir ilgtermiņa (līdz 2030. gadam) attīstības plānošanas dokuments un ka daudzu iesaistīto nozaru politika nav saplānota periodam pēc 2020. gada. EK ir publicējusi priekšlikumus ES daudzgadu finanšu budžetam 2021. – 2027. gada periodam, kurā paredzēts klimata pārmaiņu aktivitātēm novirzīt 25% kopējā pieejamā finansējuma dažādos fondos, taču ES daudzgadu finanšu budžets vēl nav apstiprināts un precīzi saplānots. Tāpat ES fondu finansējuma tiesību akti un ES fondu finansējuma darbības programmas tiks izstrādātas Latvijā līdz 2021.gada 1.janvārim. </w:t>
      </w:r>
    </w:p>
    <w:p w:rsidR="00C85539" w:rsidRPr="00C85539" w:rsidRDefault="00C85539" w:rsidP="00C85539">
      <w:pPr>
        <w:spacing w:before="120" w:after="120" w:line="240" w:lineRule="auto"/>
        <w:jc w:val="both"/>
        <w:rPr>
          <w:rFonts w:cstheme="minorHAnsi"/>
          <w:szCs w:val="24"/>
        </w:rPr>
      </w:pPr>
      <w:r w:rsidRPr="00C85539">
        <w:rPr>
          <w:rFonts w:cstheme="minorHAnsi"/>
          <w:szCs w:val="24"/>
        </w:rPr>
        <w:t>Plānā ietverto rīcības virzienu īstenošanai plānotās darbības tiek īstenotas atbildīgo institūciju piešķirto budžetu ietvaros. Jautājums par papildu valsts budžeta līdzekļu piešķiršanu skatāms Ministru kabinetā, sagatavojot vidēja termiņa budžeta ietvaru vai valsts budžetu n+1 gadam.</w:t>
      </w:r>
    </w:p>
    <w:p w:rsidR="00C85539" w:rsidRPr="00C85539" w:rsidRDefault="00C85539" w:rsidP="00C85539">
      <w:pPr>
        <w:pStyle w:val="Heading2"/>
        <w:spacing w:before="120" w:after="120" w:line="240" w:lineRule="auto"/>
        <w:ind w:left="510" w:hanging="510"/>
        <w:jc w:val="both"/>
        <w:rPr>
          <w:rFonts w:asciiTheme="minorHAnsi" w:hAnsiTheme="minorHAnsi" w:cstheme="minorHAnsi"/>
        </w:rPr>
      </w:pPr>
      <w:bookmarkStart w:id="1" w:name="_Toc17878377"/>
      <w:r w:rsidRPr="00C85539">
        <w:rPr>
          <w:rFonts w:asciiTheme="minorHAnsi" w:hAnsiTheme="minorHAnsi" w:cstheme="minorHAnsi"/>
        </w:rPr>
        <w:t>Iespējamie finansējuma avoti</w:t>
      </w:r>
      <w:bookmarkEnd w:id="1"/>
    </w:p>
    <w:p w:rsidR="00C85539" w:rsidRPr="00C85539" w:rsidRDefault="00C85539" w:rsidP="00C85539">
      <w:pPr>
        <w:pStyle w:val="tv213"/>
        <w:spacing w:before="120" w:beforeAutospacing="0" w:after="120" w:afterAutospacing="0"/>
        <w:jc w:val="both"/>
        <w:rPr>
          <w:rFonts w:asciiTheme="minorHAnsi" w:hAnsiTheme="minorHAnsi" w:cstheme="minorHAnsi"/>
          <w:u w:val="single"/>
        </w:rPr>
      </w:pPr>
      <w:r w:rsidRPr="00C85539">
        <w:rPr>
          <w:rFonts w:asciiTheme="minorHAnsi" w:hAnsiTheme="minorHAnsi" w:cstheme="minorHAnsi"/>
          <w:u w:val="single"/>
        </w:rPr>
        <w:t>Valsts budžets</w:t>
      </w:r>
    </w:p>
    <w:p w:rsidR="00C85539" w:rsidRPr="00C85539" w:rsidRDefault="00C85539" w:rsidP="00C85539">
      <w:pPr>
        <w:pStyle w:val="tv213"/>
        <w:spacing w:before="120" w:beforeAutospacing="0" w:after="120" w:afterAutospacing="0"/>
        <w:jc w:val="both"/>
        <w:rPr>
          <w:rFonts w:asciiTheme="minorHAnsi" w:hAnsiTheme="minorHAnsi" w:cstheme="minorHAnsi"/>
          <w:iCs/>
        </w:rPr>
      </w:pPr>
      <w:r w:rsidRPr="00C85539">
        <w:rPr>
          <w:rFonts w:asciiTheme="minorHAnsi" w:hAnsiTheme="minorHAnsi" w:cstheme="minorHAnsi"/>
          <w:iCs/>
        </w:rPr>
        <w:t xml:space="preserve">Valsts budžeta finansējums ir izmantojams kā daļa no atbalsta energoefektivitātes uzlabošanas pasākumu veikšanai, AER tehnoloģiju ieviešanai, vai citu SEG emisiju samazināšanas pasākumu </w:t>
      </w:r>
      <w:proofErr w:type="spellStart"/>
      <w:r w:rsidRPr="00C85539">
        <w:rPr>
          <w:rFonts w:asciiTheme="minorHAnsi" w:hAnsiTheme="minorHAnsi" w:cstheme="minorHAnsi"/>
          <w:iCs/>
        </w:rPr>
        <w:t>līdzatbalstam</w:t>
      </w:r>
      <w:proofErr w:type="spellEnd"/>
      <w:r w:rsidRPr="00C85539">
        <w:rPr>
          <w:rFonts w:asciiTheme="minorHAnsi" w:hAnsiTheme="minorHAnsi" w:cstheme="minorHAnsi"/>
          <w:iCs/>
        </w:rPr>
        <w:t>. Tāpat valsts budžetu varētu ietekmēt piemērojamie nodokļu atvieglojumi vai atbrīvojumi ne-emisiju vai maz-emisiju kurināmajiem / degvielai vai tehnoloģiju izmantošanai.</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iCs/>
        </w:rPr>
        <w:t>Valsts budžeta finansējuma instrumenti P&amp;A ir f</w:t>
      </w:r>
      <w:r w:rsidRPr="00C85539">
        <w:rPr>
          <w:rFonts w:asciiTheme="minorHAnsi" w:hAnsiTheme="minorHAnsi" w:cstheme="minorHAnsi"/>
        </w:rPr>
        <w:t>undamentālo un lietišķo pētījumu programma, Valsts pētījumu programmas un Latvijas inovācijas un tehnoloģiju attīstības fonds (indikatīvi).</w:t>
      </w:r>
    </w:p>
    <w:p w:rsidR="00C85539" w:rsidRPr="00C85539" w:rsidRDefault="00C85539" w:rsidP="00C85539">
      <w:pPr>
        <w:pStyle w:val="tv213"/>
        <w:spacing w:before="120" w:beforeAutospacing="0" w:after="120" w:afterAutospacing="0"/>
        <w:jc w:val="both"/>
        <w:rPr>
          <w:rFonts w:asciiTheme="minorHAnsi" w:hAnsiTheme="minorHAnsi" w:cstheme="minorHAnsi"/>
          <w:u w:val="single"/>
        </w:rPr>
      </w:pPr>
      <w:r w:rsidRPr="00C85539">
        <w:rPr>
          <w:rFonts w:asciiTheme="minorHAnsi" w:hAnsiTheme="minorHAnsi" w:cstheme="minorHAnsi"/>
          <w:u w:val="single"/>
        </w:rPr>
        <w:t>Pašvaldību budžets</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rPr>
        <w:t>Saskaņā ar likumu “Par pašvaldību budžetiem” pašvaldības savus budžetus izstrādā pašas ņemot vērā spēkā esošos tiesību aktus, un valsts pārvaldei nav tiesību iejaukties pašvaldību budžetu izstrādē un izpildē. Pašvaldību budžetu veido no vairāku nodokļu ieņēmumiem, no kuriem daļa ir saistīta arī ar enerģētikas un klimata darbībām, piemēram, dabas resursu nodoklis, nekustamā īpašuma nodoklis. Tieši pašvaldībām ir tiesības arī noteikt nodokļu atvieglojumus.</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rPr>
        <w:t xml:space="preserve">Latvijā daudzas pašvaldības savos budžetos ieplāno finansējumu energoefektivitātes pasākumu, tai skaitā </w:t>
      </w:r>
      <w:proofErr w:type="spellStart"/>
      <w:r w:rsidRPr="00C85539">
        <w:rPr>
          <w:rFonts w:asciiTheme="minorHAnsi" w:hAnsiTheme="minorHAnsi" w:cstheme="minorHAnsi"/>
        </w:rPr>
        <w:t>energopārvaldības</w:t>
      </w:r>
      <w:proofErr w:type="spellEnd"/>
      <w:r w:rsidRPr="00C85539">
        <w:rPr>
          <w:rFonts w:asciiTheme="minorHAnsi" w:hAnsiTheme="minorHAnsi" w:cstheme="minorHAnsi"/>
        </w:rPr>
        <w:t xml:space="preserve"> sistēmu ieviešana, veikšanai gan savos īpašumos, gan kā atbalstu iedzīvotāju energoefektivitātes uzlabošanas pasākumu veikšanai. Tāpat vairākas pašvaldības piemēro nekustamā īpašuma nodokļa atvieglojumus par īpašumos veiktajiem energoefektivitātes pasākumiem, piemēram, dzīvokļiem nosiltinātās daudzdzīvokļu dzīvojamās ēkās.</w:t>
      </w:r>
    </w:p>
    <w:p w:rsidR="00C85539" w:rsidRPr="00C85539" w:rsidRDefault="00C85539" w:rsidP="00C85539">
      <w:pPr>
        <w:pStyle w:val="tv213"/>
        <w:spacing w:before="120" w:beforeAutospacing="0" w:after="120" w:afterAutospacing="0"/>
        <w:jc w:val="both"/>
        <w:rPr>
          <w:rFonts w:asciiTheme="minorHAnsi" w:hAnsiTheme="minorHAnsi" w:cstheme="minorHAnsi"/>
          <w:u w:val="single"/>
        </w:rPr>
      </w:pPr>
      <w:r w:rsidRPr="00C85539">
        <w:rPr>
          <w:rFonts w:asciiTheme="minorHAnsi" w:hAnsiTheme="minorHAnsi" w:cstheme="minorHAnsi"/>
          <w:u w:val="single"/>
        </w:rPr>
        <w:t>MFF2027</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rPr>
        <w:t>Attiecībā uz ES fondu pieejamību Plāna aptvertajā periodā līdz 2019.gada beigām var spriest tikai pēc MFF2027 projekta. Tomēr finansējuma apmēri fondu sadalījumos var mainīties sarunu gaitā. Šobrīd arī nav zināms Latvijas apjoms zemāk minētajos finansēšanas avotos.</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rPr>
        <w:t>MFF ietvaros ir izveidoti vairāki finansēšanas avoti:</w:t>
      </w:r>
    </w:p>
    <w:p w:rsidR="00C85539" w:rsidRPr="00C85539" w:rsidRDefault="00C85539" w:rsidP="00C85539">
      <w:pPr>
        <w:pStyle w:val="ListParagraph"/>
        <w:numPr>
          <w:ilvl w:val="0"/>
          <w:numId w:val="6"/>
        </w:numPr>
        <w:spacing w:before="120" w:after="120"/>
        <w:ind w:left="397" w:hanging="397"/>
        <w:contextualSpacing w:val="0"/>
        <w:jc w:val="both"/>
        <w:rPr>
          <w:rFonts w:cstheme="minorHAnsi"/>
          <w:iCs/>
          <w:szCs w:val="24"/>
          <w:shd w:val="clear" w:color="auto" w:fill="FFFFFF"/>
        </w:rPr>
      </w:pPr>
      <w:proofErr w:type="spellStart"/>
      <w:r w:rsidRPr="00C85539">
        <w:rPr>
          <w:rFonts w:cstheme="minorHAnsi"/>
          <w:i/>
          <w:szCs w:val="24"/>
          <w:shd w:val="clear" w:color="auto" w:fill="FFFFFF"/>
        </w:rPr>
        <w:t>InvestEU</w:t>
      </w:r>
      <w:proofErr w:type="spellEnd"/>
      <w:r w:rsidRPr="00C85539">
        <w:rPr>
          <w:rFonts w:cstheme="minorHAnsi"/>
          <w:iCs/>
          <w:szCs w:val="24"/>
        </w:rPr>
        <w:t xml:space="preserve"> fonds visus ES centralizēti pārvaldītos finanšu instrumentus sasaistīs vienotā, racionalizētā struktūrā. Šī jaunā pieeja novērsīs pārklāšanos, vienkāršos piekļuvi finansējumam un samazinās administratīvo slogu. Turklāt fonds </w:t>
      </w:r>
      <w:proofErr w:type="spellStart"/>
      <w:r w:rsidRPr="00C85539">
        <w:rPr>
          <w:rFonts w:cstheme="minorHAnsi"/>
          <w:iCs/>
          <w:szCs w:val="24"/>
        </w:rPr>
        <w:t>InvestEU</w:t>
      </w:r>
      <w:proofErr w:type="spellEnd"/>
      <w:r w:rsidRPr="00C85539">
        <w:rPr>
          <w:rFonts w:cstheme="minorHAnsi"/>
          <w:iCs/>
          <w:szCs w:val="24"/>
        </w:rPr>
        <w:t xml:space="preserve"> nodrošinās konsultāciju pakalpojumus un atbalstu projektu izveidei un attīstībai.</w:t>
      </w:r>
    </w:p>
    <w:p w:rsidR="00C85539" w:rsidRPr="00C85539" w:rsidRDefault="00C85539" w:rsidP="00C85539">
      <w:pPr>
        <w:pStyle w:val="ListParagraph"/>
        <w:numPr>
          <w:ilvl w:val="0"/>
          <w:numId w:val="6"/>
        </w:numPr>
        <w:shd w:val="clear" w:color="auto" w:fill="FFFFFF"/>
        <w:spacing w:before="120" w:after="120"/>
        <w:ind w:left="397" w:hanging="397"/>
        <w:contextualSpacing w:val="0"/>
        <w:jc w:val="both"/>
        <w:textAlignment w:val="baseline"/>
        <w:rPr>
          <w:rFonts w:eastAsia="Times New Roman" w:cstheme="minorHAnsi"/>
          <w:iCs/>
          <w:szCs w:val="24"/>
          <w:lang w:eastAsia="lv-LV"/>
        </w:rPr>
      </w:pPr>
      <w:r w:rsidRPr="00C85539">
        <w:rPr>
          <w:rFonts w:cstheme="minorHAnsi"/>
          <w:i/>
          <w:szCs w:val="24"/>
          <w:shd w:val="clear" w:color="auto" w:fill="FFFFFF"/>
        </w:rPr>
        <w:t>Apvārsnis Eiropa</w:t>
      </w:r>
      <w:r w:rsidRPr="00C85539">
        <w:rPr>
          <w:rFonts w:cstheme="minorHAnsi"/>
          <w:iCs/>
          <w:szCs w:val="24"/>
          <w:shd w:val="clear" w:color="auto" w:fill="FFFFFF"/>
        </w:rPr>
        <w:t xml:space="preserve"> </w:t>
      </w:r>
      <w:r w:rsidRPr="00C85539">
        <w:rPr>
          <w:rFonts w:eastAsia="Times New Roman" w:cstheme="minorHAnsi"/>
          <w:iCs/>
          <w:szCs w:val="24"/>
          <w:bdr w:val="none" w:sz="0" w:space="0" w:color="auto" w:frame="1"/>
          <w:lang w:eastAsia="lv-LV"/>
        </w:rPr>
        <w:t>ir ES pamatprogramma pētniecības un inovācijas sekmēšanai 2021. – 2027. gada periodā, finansiāli atbalstot uz izcilību vērstus un perspektīvus starptautisku konsorciju pieteiktus projektus ES tematiskajās prioritātēs. Programma ir vērsta uz zinātni un inovāciju ar mērķi stiprināt ES zinātnisko un tehnoloģisko bāzi, veicināt ES konkurētspēju un inovāciju, īstenot ES stratēģiskās prioritātes un risināt globālas problēmas.</w:t>
      </w:r>
    </w:p>
    <w:p w:rsidR="00C85539" w:rsidRPr="00C85539" w:rsidRDefault="00C85539" w:rsidP="00C85539">
      <w:pPr>
        <w:pStyle w:val="ListParagraph"/>
        <w:numPr>
          <w:ilvl w:val="0"/>
          <w:numId w:val="6"/>
        </w:numPr>
        <w:spacing w:before="120" w:after="120"/>
        <w:ind w:left="397" w:hanging="397"/>
        <w:contextualSpacing w:val="0"/>
        <w:jc w:val="both"/>
        <w:rPr>
          <w:rFonts w:cstheme="minorHAnsi"/>
          <w:iCs/>
          <w:color w:val="000000"/>
        </w:rPr>
      </w:pPr>
      <w:r w:rsidRPr="00C85539">
        <w:rPr>
          <w:rFonts w:cstheme="minorHAnsi"/>
          <w:i/>
          <w:color w:val="000000"/>
          <w:szCs w:val="24"/>
          <w:shd w:val="clear" w:color="auto" w:fill="FFFFFF"/>
        </w:rPr>
        <w:t>Eiropas infrastruktūras savienošanas instruments</w:t>
      </w:r>
      <w:r w:rsidRPr="00C85539">
        <w:rPr>
          <w:rFonts w:cstheme="minorHAnsi"/>
          <w:iCs/>
          <w:color w:val="000000"/>
          <w:szCs w:val="24"/>
          <w:shd w:val="clear" w:color="auto" w:fill="FFFFFF"/>
        </w:rPr>
        <w:t xml:space="preserve"> </w:t>
      </w:r>
      <w:r w:rsidRPr="00C85539">
        <w:rPr>
          <w:rFonts w:cstheme="minorHAnsi"/>
          <w:iCs/>
          <w:color w:val="000000"/>
          <w:szCs w:val="24"/>
          <w:bdr w:val="none" w:sz="0" w:space="0" w:color="auto" w:frame="1"/>
          <w:shd w:val="clear" w:color="auto" w:fill="FFFFFF"/>
        </w:rPr>
        <w:t xml:space="preserve">atbalsta ieguldījumus pārrobežu infrastruktūrā transporta, enerģētikas un digitālajā nozarē. </w:t>
      </w:r>
      <w:r w:rsidRPr="00C85539">
        <w:rPr>
          <w:rFonts w:cstheme="minorHAnsi"/>
          <w:iCs/>
          <w:color w:val="000000"/>
          <w:szCs w:val="24"/>
          <w:shd w:val="clear" w:color="auto" w:fill="FFFFFF"/>
        </w:rPr>
        <w:t>Minētais instruments ir izstrādāts, lai veicinātu ieguldījumus Eiropas komunikāciju tīklos. I</w:t>
      </w:r>
      <w:r w:rsidRPr="00C85539">
        <w:rPr>
          <w:rFonts w:cstheme="minorHAnsi"/>
          <w:iCs/>
          <w:color w:val="000000"/>
          <w:szCs w:val="24"/>
          <w:bdr w:val="none" w:sz="0" w:space="0" w:color="auto" w:frame="1"/>
        </w:rPr>
        <w:t xml:space="preserve">nstruments atbalsta ieguldījumus un sadarbību, lai attīstītu infrastruktūru transporta, enerģētikas un digitālajās nozarēs, kā arī savieno ES ar tās reģioniem. </w:t>
      </w:r>
    </w:p>
    <w:p w:rsidR="00C85539" w:rsidRPr="00C85539" w:rsidRDefault="00C85539" w:rsidP="00C85539">
      <w:pPr>
        <w:pStyle w:val="ListParagraph"/>
        <w:numPr>
          <w:ilvl w:val="0"/>
          <w:numId w:val="5"/>
        </w:numPr>
        <w:shd w:val="clear" w:color="auto" w:fill="FFFFFF"/>
        <w:autoSpaceDE w:val="0"/>
        <w:autoSpaceDN w:val="0"/>
        <w:adjustRightInd w:val="0"/>
        <w:spacing w:before="120" w:after="120"/>
        <w:ind w:left="397" w:hanging="397"/>
        <w:contextualSpacing w:val="0"/>
        <w:jc w:val="both"/>
        <w:textAlignment w:val="baseline"/>
        <w:rPr>
          <w:rFonts w:eastAsia="Times New Roman" w:cstheme="minorHAnsi"/>
          <w:iCs/>
          <w:color w:val="000000"/>
          <w:szCs w:val="24"/>
        </w:rPr>
      </w:pPr>
      <w:r w:rsidRPr="00C85539">
        <w:rPr>
          <w:rFonts w:cstheme="minorHAnsi"/>
          <w:i/>
          <w:szCs w:val="24"/>
          <w:bdr w:val="none" w:sz="0" w:space="0" w:color="auto" w:frame="1"/>
          <w:shd w:val="clear" w:color="auto" w:fill="FFFFFF"/>
        </w:rPr>
        <w:t>ERAF</w:t>
      </w:r>
      <w:r w:rsidRPr="00C85539">
        <w:rPr>
          <w:rFonts w:cstheme="minorHAnsi"/>
          <w:iCs/>
          <w:szCs w:val="24"/>
          <w:bdr w:val="none" w:sz="0" w:space="0" w:color="auto" w:frame="1"/>
          <w:shd w:val="clear" w:color="auto" w:fill="FFFFFF"/>
        </w:rPr>
        <w:t xml:space="preserve"> un </w:t>
      </w:r>
      <w:r w:rsidRPr="00C85539">
        <w:rPr>
          <w:rFonts w:cstheme="minorHAnsi"/>
          <w:i/>
          <w:szCs w:val="24"/>
          <w:bdr w:val="none" w:sz="0" w:space="0" w:color="auto" w:frame="1"/>
          <w:shd w:val="clear" w:color="auto" w:fill="FFFFFF"/>
        </w:rPr>
        <w:t>KF</w:t>
      </w:r>
      <w:r w:rsidRPr="00C85539">
        <w:rPr>
          <w:rFonts w:cstheme="minorHAnsi"/>
          <w:iCs/>
          <w:szCs w:val="24"/>
          <w:bdr w:val="none" w:sz="0" w:space="0" w:color="auto" w:frame="1"/>
          <w:shd w:val="clear" w:color="auto" w:fill="FFFFFF"/>
        </w:rPr>
        <w:t xml:space="preserve"> finansējums būs pieejams šādos virzienos: </w:t>
      </w:r>
      <w:r w:rsidRPr="00C85539">
        <w:rPr>
          <w:rFonts w:eastAsia="Times New Roman" w:cstheme="minorHAnsi"/>
          <w:iCs/>
          <w:szCs w:val="24"/>
          <w:bdr w:val="none" w:sz="0" w:space="0" w:color="auto" w:frame="1"/>
          <w:lang w:eastAsia="lv-LV"/>
        </w:rPr>
        <w:t xml:space="preserve">viedāka Eiropa, veicinot inovatīvas un viedas ekonomiskās pārmaiņas, zaļāka Eiropa ar zemām oglekļa emisijām, veicinot tīru un taisnīgu enerģētikas pārkārtošanu, “zaļas” un “zilas” investīcijas, aprites ekonomiku, pielāgošanos klimata pārmaiņām un risku novēršanu, ciešāk savienota Eiropa, uzlabojot mobilitāti un reģionālo IKT </w:t>
      </w:r>
      <w:proofErr w:type="spellStart"/>
      <w:r w:rsidRPr="00C85539">
        <w:rPr>
          <w:rFonts w:eastAsia="Times New Roman" w:cstheme="minorHAnsi"/>
          <w:iCs/>
          <w:szCs w:val="24"/>
          <w:bdr w:val="none" w:sz="0" w:space="0" w:color="auto" w:frame="1"/>
          <w:lang w:eastAsia="lv-LV"/>
        </w:rPr>
        <w:t>savienotību</w:t>
      </w:r>
      <w:proofErr w:type="spellEnd"/>
      <w:r w:rsidRPr="00C85539">
        <w:rPr>
          <w:rFonts w:eastAsia="Times New Roman" w:cstheme="minorHAnsi"/>
          <w:iCs/>
          <w:szCs w:val="24"/>
          <w:bdr w:val="none" w:sz="0" w:space="0" w:color="auto" w:frame="1"/>
          <w:lang w:eastAsia="lv-LV"/>
        </w:rPr>
        <w:t xml:space="preserve">, sociālāka Eiropa, īstenojot Eiropas sociālo tiesību pīlāru, iedzīvotājiem tuvāka Eiropa, ar vietējo iniciatīvu palīdzību veicinot pilsētu, lauku un piekrastes teritoriju ilgtspējīgu un integrētu attīstību”. ERAF </w:t>
      </w:r>
      <w:r w:rsidRPr="00C85539">
        <w:rPr>
          <w:rFonts w:eastAsia="Times New Roman" w:cstheme="minorHAnsi"/>
          <w:iCs/>
          <w:color w:val="000000"/>
          <w:szCs w:val="24"/>
          <w:bdr w:val="none" w:sz="0" w:space="0" w:color="auto" w:frame="1"/>
        </w:rPr>
        <w:t>atbalsta investīcijas infrastruktūrā, investīcijas piekļuvē pakalpojumiem, produktīvas investīcijas MVU, aprīkojumu, programmatūru un nemateriālos aktīvus, informāciju, komunikāciju, pētījumus, tīklošanu, sadarbību, pieredzes apmaiņu un darbības, kas saistītas ar kopām, tehnisko palīdzību. No KF atbalsta vides investīcijas, tostarp investīcijas, kuras saistītas ar ilgtspējīgu attīstību un enerģētiku un dod vides labumu, investīcijas TEN-T (Trans-</w:t>
      </w:r>
      <w:proofErr w:type="spellStart"/>
      <w:r w:rsidRPr="00C85539">
        <w:rPr>
          <w:rFonts w:eastAsia="Times New Roman" w:cstheme="minorHAnsi"/>
          <w:iCs/>
          <w:color w:val="000000"/>
          <w:szCs w:val="24"/>
          <w:bdr w:val="none" w:sz="0" w:space="0" w:color="auto" w:frame="1"/>
        </w:rPr>
        <w:t>European</w:t>
      </w:r>
      <w:proofErr w:type="spellEnd"/>
      <w:r w:rsidRPr="00C85539">
        <w:rPr>
          <w:rFonts w:eastAsia="Times New Roman" w:cstheme="minorHAnsi"/>
          <w:iCs/>
          <w:color w:val="000000"/>
          <w:szCs w:val="24"/>
          <w:bdr w:val="none" w:sz="0" w:space="0" w:color="auto" w:frame="1"/>
        </w:rPr>
        <w:t xml:space="preserve"> Transport </w:t>
      </w:r>
      <w:proofErr w:type="spellStart"/>
      <w:r w:rsidRPr="00C85539">
        <w:rPr>
          <w:rFonts w:eastAsia="Times New Roman" w:cstheme="minorHAnsi"/>
          <w:iCs/>
          <w:color w:val="000000"/>
          <w:szCs w:val="24"/>
          <w:bdr w:val="none" w:sz="0" w:space="0" w:color="auto" w:frame="1"/>
        </w:rPr>
        <w:t>Network</w:t>
      </w:r>
      <w:proofErr w:type="spellEnd"/>
      <w:r w:rsidRPr="00C85539">
        <w:rPr>
          <w:rFonts w:eastAsia="Times New Roman" w:cstheme="minorHAnsi"/>
          <w:iCs/>
          <w:color w:val="000000"/>
          <w:szCs w:val="24"/>
          <w:bdr w:val="none" w:sz="0" w:space="0" w:color="auto" w:frame="1"/>
        </w:rPr>
        <w:t>), tehnisko palīdzību.</w:t>
      </w:r>
    </w:p>
    <w:p w:rsidR="00C85539" w:rsidRPr="00C85539" w:rsidRDefault="00C85539" w:rsidP="00C85539">
      <w:pPr>
        <w:pStyle w:val="programme"/>
        <w:numPr>
          <w:ilvl w:val="0"/>
          <w:numId w:val="4"/>
        </w:numPr>
        <w:shd w:val="clear" w:color="auto" w:fill="FFFFFF"/>
        <w:spacing w:before="120" w:beforeAutospacing="0" w:after="120" w:afterAutospacing="0"/>
        <w:ind w:left="397" w:hanging="397"/>
        <w:jc w:val="both"/>
        <w:textAlignment w:val="baseline"/>
        <w:rPr>
          <w:rFonts w:asciiTheme="minorHAnsi" w:hAnsiTheme="minorHAnsi" w:cstheme="minorHAnsi"/>
          <w:i/>
          <w:color w:val="000000"/>
          <w:sz w:val="24"/>
          <w:szCs w:val="24"/>
          <w:shd w:val="clear" w:color="auto" w:fill="FFFFFF"/>
        </w:rPr>
      </w:pPr>
      <w:r w:rsidRPr="00C85539">
        <w:rPr>
          <w:rFonts w:asciiTheme="minorHAnsi" w:hAnsiTheme="minorHAnsi" w:cstheme="minorHAnsi"/>
          <w:i/>
          <w:sz w:val="24"/>
          <w:szCs w:val="24"/>
          <w:bdr w:val="none" w:sz="0" w:space="0" w:color="auto" w:frame="1"/>
        </w:rPr>
        <w:t>LIFE – Vides un klimata pasākumu programmā</w:t>
      </w:r>
      <w:r w:rsidRPr="00C85539">
        <w:rPr>
          <w:rFonts w:asciiTheme="minorHAnsi" w:hAnsiTheme="minorHAnsi" w:cstheme="minorHAnsi"/>
          <w:iCs/>
          <w:sz w:val="24"/>
          <w:szCs w:val="24"/>
          <w:bdr w:val="none" w:sz="0" w:space="0" w:color="auto" w:frame="1"/>
        </w:rPr>
        <w:t xml:space="preserve"> </w:t>
      </w:r>
      <w:r w:rsidRPr="00C85539">
        <w:rPr>
          <w:rFonts w:asciiTheme="minorHAnsi" w:hAnsiTheme="minorHAnsi" w:cstheme="minorHAnsi"/>
          <w:iCs/>
          <w:sz w:val="24"/>
          <w:szCs w:val="24"/>
          <w:bdr w:val="none" w:sz="0" w:space="0" w:color="auto" w:frame="1"/>
          <w:shd w:val="clear" w:color="auto" w:fill="FFFFFF"/>
        </w:rPr>
        <w:t xml:space="preserve">galvenā uzmanība pievērsta tam, lai izstrādātu un īstenotu novatoriskus veidus, kā reaģēt uz problēmām klimata jomā, tādējādi sekmējot izmaiņas politikas izstrādē, īstenošanā un izpildes nodrošināšanā. Programmā finansējums būs pieejams </w:t>
      </w:r>
      <w:r w:rsidRPr="00C85539">
        <w:rPr>
          <w:rFonts w:asciiTheme="minorHAnsi" w:eastAsia="Times New Roman" w:hAnsiTheme="minorHAnsi" w:cstheme="minorHAnsi"/>
          <w:iCs/>
          <w:sz w:val="24"/>
          <w:szCs w:val="24"/>
          <w:bdr w:val="none" w:sz="0" w:space="0" w:color="auto" w:frame="1"/>
        </w:rPr>
        <w:t xml:space="preserve">pārejai uz aprites ekonomiku, ko raksturo efektīvs resursu un enerģijas izmantojums, zemas </w:t>
      </w:r>
      <w:r w:rsidRPr="00C85539">
        <w:rPr>
          <w:rFonts w:asciiTheme="minorHAnsi" w:eastAsia="Times New Roman" w:hAnsiTheme="minorHAnsi" w:cstheme="minorHAnsi"/>
          <w:iCs/>
          <w:color w:val="000000"/>
          <w:sz w:val="24"/>
          <w:szCs w:val="24"/>
          <w:bdr w:val="none" w:sz="0" w:space="0" w:color="auto" w:frame="1"/>
        </w:rPr>
        <w:t xml:space="preserve">oglekļa emisijas un </w:t>
      </w:r>
      <w:proofErr w:type="spellStart"/>
      <w:r w:rsidRPr="00C85539">
        <w:rPr>
          <w:rFonts w:asciiTheme="minorHAnsi" w:eastAsia="Times New Roman" w:hAnsiTheme="minorHAnsi" w:cstheme="minorHAnsi"/>
          <w:iCs/>
          <w:color w:val="000000"/>
          <w:sz w:val="24"/>
          <w:szCs w:val="24"/>
          <w:bdr w:val="none" w:sz="0" w:space="0" w:color="auto" w:frame="1"/>
        </w:rPr>
        <w:t>klimatnoturība</w:t>
      </w:r>
      <w:proofErr w:type="spellEnd"/>
      <w:r w:rsidRPr="00C85539">
        <w:rPr>
          <w:rFonts w:asciiTheme="minorHAnsi" w:eastAsia="Times New Roman" w:hAnsiTheme="minorHAnsi" w:cstheme="minorHAnsi"/>
          <w:iCs/>
          <w:color w:val="000000"/>
          <w:sz w:val="24"/>
          <w:szCs w:val="24"/>
          <w:bdr w:val="none" w:sz="0" w:space="0" w:color="auto" w:frame="1"/>
        </w:rPr>
        <w:t>, vides kvalitātes aizsardzībai un uzlabošanai, dabas aizsardzībai un bioloģiskās daudzveidības zaudēšanas apturēšanai un tās atjaunošanai.</w:t>
      </w:r>
    </w:p>
    <w:p w:rsidR="00C85539" w:rsidRPr="00C85539" w:rsidRDefault="00C85539" w:rsidP="00C85539">
      <w:pPr>
        <w:pStyle w:val="programme"/>
        <w:numPr>
          <w:ilvl w:val="0"/>
          <w:numId w:val="2"/>
        </w:numPr>
        <w:shd w:val="clear" w:color="auto" w:fill="FFFFFF"/>
        <w:spacing w:before="120" w:beforeAutospacing="0" w:after="120" w:afterAutospacing="0"/>
        <w:ind w:left="397" w:hanging="397"/>
        <w:jc w:val="both"/>
        <w:textAlignment w:val="baseline"/>
        <w:rPr>
          <w:rFonts w:asciiTheme="minorHAnsi" w:hAnsiTheme="minorHAnsi" w:cstheme="minorHAnsi"/>
          <w:i/>
          <w:color w:val="444444"/>
          <w:sz w:val="24"/>
          <w:szCs w:val="24"/>
          <w:shd w:val="clear" w:color="auto" w:fill="FFFFFF"/>
        </w:rPr>
      </w:pPr>
      <w:r w:rsidRPr="00C85539">
        <w:rPr>
          <w:rFonts w:asciiTheme="minorHAnsi" w:hAnsiTheme="minorHAnsi" w:cstheme="minorHAnsi"/>
          <w:i/>
          <w:color w:val="000000"/>
          <w:sz w:val="24"/>
          <w:szCs w:val="24"/>
          <w:shd w:val="clear" w:color="auto" w:fill="FFFFFF"/>
        </w:rPr>
        <w:t xml:space="preserve">Eiropas Lauksaimniecības garantiju fonds un Eiropas Lauksaimniecības fonds lauku attīstībai </w:t>
      </w:r>
      <w:r w:rsidRPr="00C85539">
        <w:rPr>
          <w:rFonts w:asciiTheme="minorHAnsi" w:eastAsia="Times New Roman" w:hAnsiTheme="minorHAnsi" w:cstheme="minorHAnsi"/>
          <w:color w:val="000000"/>
          <w:sz w:val="24"/>
          <w:szCs w:val="24"/>
          <w:bdr w:val="none" w:sz="0" w:space="0" w:color="auto" w:frame="1"/>
        </w:rPr>
        <w:t>aptver visas trīs ilgtspējīgas lauksaimniecības dimensijas</w:t>
      </w:r>
      <w:r w:rsidRPr="00C85539">
        <w:rPr>
          <w:rFonts w:asciiTheme="minorHAnsi" w:hAnsiTheme="minorHAnsi" w:cstheme="minorHAnsi"/>
          <w:sz w:val="24"/>
          <w:szCs w:val="24"/>
          <w:bdr w:val="none" w:sz="0" w:space="0" w:color="auto" w:frame="1"/>
          <w:shd w:val="clear" w:color="auto" w:fill="FFFFFF"/>
        </w:rPr>
        <w:t xml:space="preserve">: </w:t>
      </w:r>
      <w:r w:rsidRPr="00C85539">
        <w:rPr>
          <w:rFonts w:asciiTheme="minorHAnsi" w:eastAsia="Times New Roman" w:hAnsiTheme="minorHAnsi" w:cstheme="minorHAnsi"/>
          <w:color w:val="000000"/>
          <w:sz w:val="24"/>
          <w:szCs w:val="24"/>
          <w:bdr w:val="none" w:sz="0" w:space="0" w:color="auto" w:frame="1"/>
        </w:rPr>
        <w:t xml:space="preserve">veicināt viedu un noturīgu lauksaimniecības nozari, atbalstīt </w:t>
      </w:r>
      <w:proofErr w:type="spellStart"/>
      <w:r w:rsidRPr="00C85539">
        <w:rPr>
          <w:rFonts w:asciiTheme="minorHAnsi" w:eastAsia="Times New Roman" w:hAnsiTheme="minorHAnsi" w:cstheme="minorHAnsi"/>
          <w:color w:val="000000"/>
          <w:sz w:val="24"/>
          <w:szCs w:val="24"/>
          <w:bdr w:val="none" w:sz="0" w:space="0" w:color="auto" w:frame="1"/>
        </w:rPr>
        <w:t>vidaprūpi</w:t>
      </w:r>
      <w:proofErr w:type="spellEnd"/>
      <w:r w:rsidRPr="00C85539">
        <w:rPr>
          <w:rFonts w:asciiTheme="minorHAnsi" w:eastAsia="Times New Roman" w:hAnsiTheme="minorHAnsi" w:cstheme="minorHAnsi"/>
          <w:color w:val="000000"/>
          <w:sz w:val="24"/>
          <w:szCs w:val="24"/>
          <w:bdr w:val="none" w:sz="0" w:space="0" w:color="auto" w:frame="1"/>
        </w:rPr>
        <w:t xml:space="preserve"> un rīcību klimata jomā un sniegt ieguldījumu ES mērķu sasniegšanā vides un klimata jomā, stiprināt sociālekonomisko vidi lauku apvidos.</w:t>
      </w:r>
    </w:p>
    <w:p w:rsidR="00C85539" w:rsidRPr="00C85539" w:rsidRDefault="00C85539" w:rsidP="00C85539">
      <w:pPr>
        <w:pStyle w:val="programme"/>
        <w:numPr>
          <w:ilvl w:val="0"/>
          <w:numId w:val="3"/>
        </w:numPr>
        <w:shd w:val="clear" w:color="auto" w:fill="FFFFFF"/>
        <w:spacing w:before="120" w:beforeAutospacing="0" w:after="120" w:afterAutospacing="0"/>
        <w:ind w:left="397" w:hanging="397"/>
        <w:jc w:val="both"/>
        <w:textAlignment w:val="baseline"/>
        <w:rPr>
          <w:rFonts w:asciiTheme="minorHAnsi" w:hAnsiTheme="minorHAnsi" w:cstheme="minorHAnsi"/>
        </w:rPr>
      </w:pPr>
      <w:r w:rsidRPr="00C85539">
        <w:rPr>
          <w:rFonts w:asciiTheme="minorHAnsi" w:hAnsiTheme="minorHAnsi" w:cstheme="minorHAnsi"/>
          <w:i/>
          <w:color w:val="000000"/>
          <w:sz w:val="24"/>
          <w:szCs w:val="24"/>
          <w:shd w:val="clear" w:color="auto" w:fill="FFFFFF"/>
        </w:rPr>
        <w:t xml:space="preserve">Eiropas Jūrlietu un zivsaimniecības fonds </w:t>
      </w:r>
      <w:r w:rsidRPr="00C85539">
        <w:rPr>
          <w:rFonts w:asciiTheme="minorHAnsi" w:hAnsiTheme="minorHAnsi" w:cstheme="minorHAnsi"/>
          <w:color w:val="000000"/>
          <w:sz w:val="24"/>
          <w:szCs w:val="24"/>
          <w:bdr w:val="none" w:sz="0" w:space="0" w:color="auto" w:frame="1"/>
          <w:shd w:val="clear" w:color="auto" w:fill="FFFFFF"/>
        </w:rPr>
        <w:t xml:space="preserve">ir īpaša ES programma, lai atbalstītu ilgtspējīgu ES zivsaimniecības nozari un piekrastes kopienas, kuras no tās ir atkarīgas, kuras </w:t>
      </w:r>
      <w:r w:rsidRPr="00C85539">
        <w:rPr>
          <w:rFonts w:asciiTheme="minorHAnsi" w:hAnsiTheme="minorHAnsi" w:cstheme="minorHAnsi"/>
          <w:sz w:val="24"/>
          <w:szCs w:val="24"/>
          <w:bdr w:val="none" w:sz="0" w:space="0" w:color="auto" w:frame="1"/>
          <w:shd w:val="clear" w:color="auto" w:fill="FFFFFF"/>
        </w:rPr>
        <w:t xml:space="preserve">finansējums būs pieejams šādos virzienos: </w:t>
      </w:r>
      <w:r w:rsidRPr="00C85539">
        <w:rPr>
          <w:rFonts w:asciiTheme="minorHAnsi" w:hAnsiTheme="minorHAnsi" w:cstheme="minorHAnsi"/>
          <w:sz w:val="24"/>
          <w:szCs w:val="24"/>
        </w:rPr>
        <w:t>aizsargāt veselīgas jūras un okeānus un nodrošināt ilgtspējīgu zivsaimniecību un akvakultūru, samazinot zvejas ietekmi uz jūras vidi un vienlaikus uzlabojot konkurētspēju un zivsaimniecības nozares pievilcību, sekmēt zilo ekonomiku, jo īpaši palīdzot ilgtspējīgām un pārtikušām piekrastes kopienām veicināt ieguldījumus, prasmes, zināšanas un tirgus attīstību, stiprināt okeānu starptautisko pārvaldību un jūras telpas drošumu un drošību jomās, kas vēl nav ietvertas starptautiskajos zivsaimniecības nolīgumos.</w:t>
      </w:r>
    </w:p>
    <w:p w:rsidR="00C85539" w:rsidRPr="00C85539" w:rsidRDefault="00C85539" w:rsidP="00C85539">
      <w:pPr>
        <w:pStyle w:val="tv213"/>
        <w:spacing w:before="120" w:beforeAutospacing="0" w:after="120" w:afterAutospacing="0"/>
        <w:jc w:val="both"/>
        <w:rPr>
          <w:rFonts w:asciiTheme="minorHAnsi" w:hAnsiTheme="minorHAnsi" w:cstheme="minorHAnsi"/>
          <w:bCs/>
          <w:u w:val="single"/>
        </w:rPr>
      </w:pPr>
      <w:r w:rsidRPr="00C85539">
        <w:rPr>
          <w:rFonts w:asciiTheme="minorHAnsi" w:hAnsiTheme="minorHAnsi" w:cstheme="minorHAnsi"/>
          <w:bCs/>
          <w:u w:val="single"/>
        </w:rPr>
        <w:t>Klimata finansējums</w:t>
      </w:r>
    </w:p>
    <w:p w:rsidR="00C85539" w:rsidRPr="00C85539" w:rsidRDefault="00C85539" w:rsidP="00C85539">
      <w:pPr>
        <w:pStyle w:val="tv213"/>
        <w:spacing w:before="120" w:beforeAutospacing="0" w:after="120" w:afterAutospacing="0"/>
        <w:jc w:val="both"/>
        <w:rPr>
          <w:rFonts w:asciiTheme="minorHAnsi" w:hAnsiTheme="minorHAnsi" w:cstheme="minorHAnsi"/>
          <w:i/>
        </w:rPr>
      </w:pPr>
      <w:r w:rsidRPr="00C85539">
        <w:rPr>
          <w:rFonts w:asciiTheme="minorHAnsi" w:hAnsiTheme="minorHAnsi" w:cstheme="minorHAnsi"/>
          <w:i/>
        </w:rPr>
        <w:t>EKII</w:t>
      </w:r>
    </w:p>
    <w:p w:rsidR="00C85539" w:rsidRPr="00C85539" w:rsidRDefault="00C85539" w:rsidP="00C85539">
      <w:pPr>
        <w:pStyle w:val="tv213"/>
        <w:spacing w:before="120" w:beforeAutospacing="0" w:after="120" w:afterAutospacing="0"/>
        <w:jc w:val="both"/>
        <w:rPr>
          <w:rFonts w:asciiTheme="minorHAnsi" w:hAnsiTheme="minorHAnsi" w:cstheme="minorHAnsi"/>
        </w:rPr>
      </w:pPr>
      <w:r w:rsidRPr="00C85539">
        <w:rPr>
          <w:rFonts w:asciiTheme="minorHAnsi" w:hAnsiTheme="minorHAnsi" w:cstheme="minorHAnsi"/>
        </w:rPr>
        <w:t>Ieņēmumi no emisijas kvotu izsolīšanas ETS 3.periodā (2013.-2020.g.) indikatīvi varētu būt ap 170 milj. EUR visā periodā kopā. Tomēr ieņēmumu apjoms no ETS emisijas kvotu pārdošanas var būtiski mainīties atbilstoši emisijas kvotu tirgus svārstībām. Latvija laika periodā no 2021. gada līdz 2030. gadam izsolītu apmēram 16,07 milj. emisijas kvotu, kas vidēji būtu 1,6 milj. emisijas kvotu gadā, un pie potenciāli vidējās emisijas kvotu cenas ETS 4. periodā 25 EUR</w:t>
      </w:r>
      <w:r w:rsidRPr="00C85539">
        <w:rPr>
          <w:rStyle w:val="FootnoteReference"/>
          <w:rFonts w:asciiTheme="minorHAnsi" w:hAnsiTheme="minorHAnsi" w:cstheme="minorHAnsi"/>
          <w:i/>
        </w:rPr>
        <w:footnoteReference w:id="1"/>
      </w:r>
      <w:r w:rsidRPr="00C85539">
        <w:rPr>
          <w:rFonts w:asciiTheme="minorHAnsi" w:hAnsiTheme="minorHAnsi" w:cstheme="minorHAnsi"/>
        </w:rPr>
        <w:t>, Latvija no emisijas kvotu izsolīšanas valsts budžetā varētu iegūt līdz 40</w:t>
      </w:r>
      <w:r>
        <w:rPr>
          <w:rFonts w:asciiTheme="minorHAnsi" w:hAnsiTheme="minorHAnsi" w:cstheme="minorHAnsi"/>
        </w:rPr>
        <w:t xml:space="preserve">2 </w:t>
      </w:r>
      <w:r w:rsidRPr="00C85539">
        <w:rPr>
          <w:rFonts w:asciiTheme="minorHAnsi" w:hAnsiTheme="minorHAnsi" w:cstheme="minorHAnsi"/>
        </w:rPr>
        <w:t>milj. EUR. Jānorāda, ka šie ieņēmumu apjomi faktiski var atšķirties no prognozētā, jo joprojām ir daudz nezināmo faktoru, t.sk. sākotnējais kopapjoms 2021. gadam, kā rezultātā nav iespējams aprēķināt precīzu izsolāmo apjomu katram gadam. Turklāt ieņēmumu apjomu būtiski ietekmē emisijas kvotu cena, kas arī praksē var atšķirties no prognozēm, jo bijušas ar lielu svārstības diapazonu.</w:t>
      </w:r>
      <w:r>
        <w:rPr>
          <w:rFonts w:asciiTheme="minorHAnsi" w:hAnsiTheme="minorHAnsi" w:cstheme="minorHAnsi"/>
        </w:rPr>
        <w:t xml:space="preserve"> Jānorāda, ka periodā pēc 2021.gada EKII ietvaros būs izmantojams arī tas finansējums, kas EKII ietvaros bija pieejams 2013.-2020.g. periodā, bet netika iztērēts periodā līdz 2021.gadam. Šobrīd šis uzkrājums veido apmēram 120 </w:t>
      </w:r>
      <w:proofErr w:type="spellStart"/>
      <w:r>
        <w:rPr>
          <w:rFonts w:asciiTheme="minorHAnsi" w:hAnsiTheme="minorHAnsi" w:cstheme="minorHAnsi"/>
        </w:rPr>
        <w:t>milj.EUR</w:t>
      </w:r>
      <w:proofErr w:type="spellEnd"/>
      <w:r>
        <w:rPr>
          <w:rStyle w:val="FootnoteReference"/>
          <w:rFonts w:asciiTheme="minorHAnsi" w:hAnsiTheme="minorHAnsi" w:cstheme="minorHAnsi"/>
        </w:rPr>
        <w:footnoteReference w:id="2"/>
      </w:r>
      <w:r>
        <w:rPr>
          <w:rFonts w:asciiTheme="minorHAnsi" w:hAnsiTheme="minorHAnsi" w:cstheme="minorHAnsi"/>
        </w:rPr>
        <w:t xml:space="preserve">. EKII arī tiks iekļauts viss tas finanšu līdzekļu apjoms, kas tiks atgūts no nerealizētajiem projektiem KPFI ietvaros. Tādējādi, ja EKII uzkrājums turpinās saglabāties esošajā līmenī, EKII periodā līdz 2030.gadam varētu būt pieejams līdz 622 </w:t>
      </w:r>
      <w:proofErr w:type="spellStart"/>
      <w:r>
        <w:rPr>
          <w:rFonts w:asciiTheme="minorHAnsi" w:hAnsiTheme="minorHAnsi" w:cstheme="minorHAnsi"/>
        </w:rPr>
        <w:t>milj.EUR</w:t>
      </w:r>
      <w:proofErr w:type="spellEnd"/>
      <w:r>
        <w:rPr>
          <w:rFonts w:asciiTheme="minorHAnsi" w:hAnsiTheme="minorHAnsi" w:cstheme="minorHAnsi"/>
        </w:rPr>
        <w:t>.</w:t>
      </w:r>
    </w:p>
    <w:p w:rsidR="00C85539" w:rsidRPr="00C85539" w:rsidRDefault="00C85539" w:rsidP="00C85539">
      <w:pPr>
        <w:pStyle w:val="naiskr"/>
        <w:spacing w:before="120" w:after="120"/>
        <w:jc w:val="both"/>
        <w:rPr>
          <w:rFonts w:asciiTheme="minorHAnsi" w:hAnsiTheme="minorHAnsi" w:cstheme="minorHAnsi"/>
        </w:rPr>
      </w:pPr>
      <w:r w:rsidRPr="00C85539">
        <w:rPr>
          <w:rFonts w:asciiTheme="minorHAnsi" w:hAnsiTheme="minorHAnsi" w:cstheme="minorHAnsi"/>
        </w:rPr>
        <w:t>EKII ir izmantojams klimata pārmaiņu mazināšanas un pielāgošanās klimata pārmaiņām nodrošināšanai, t.sk. SEG emisiju samazināšanai vai ierobežošanai enerģētikas, rūpniecības, transporta, lauksaimniecības un atkritumu apsaimniekošanas nozarēs.</w:t>
      </w:r>
    </w:p>
    <w:p w:rsidR="00C85539" w:rsidRPr="00C85539" w:rsidRDefault="00C85539" w:rsidP="00C85539">
      <w:pPr>
        <w:autoSpaceDE w:val="0"/>
        <w:adjustRightInd w:val="0"/>
        <w:spacing w:before="120" w:after="120" w:line="240" w:lineRule="auto"/>
        <w:jc w:val="both"/>
        <w:rPr>
          <w:rFonts w:cstheme="minorHAnsi"/>
          <w:i/>
          <w:szCs w:val="24"/>
        </w:rPr>
      </w:pPr>
      <w:r w:rsidRPr="00C85539">
        <w:rPr>
          <w:rFonts w:cstheme="minorHAnsi"/>
          <w:i/>
          <w:szCs w:val="24"/>
        </w:rPr>
        <w:t xml:space="preserve">Inovāciju fonds </w:t>
      </w:r>
    </w:p>
    <w:p w:rsidR="00C85539" w:rsidRPr="00C85539" w:rsidRDefault="00C85539" w:rsidP="00C85539">
      <w:pPr>
        <w:autoSpaceDE w:val="0"/>
        <w:adjustRightInd w:val="0"/>
        <w:spacing w:before="120" w:after="120" w:line="240" w:lineRule="auto"/>
        <w:jc w:val="both"/>
        <w:rPr>
          <w:rFonts w:cstheme="minorHAnsi"/>
          <w:szCs w:val="24"/>
        </w:rPr>
      </w:pPr>
      <w:r w:rsidRPr="00C85539">
        <w:rPr>
          <w:rFonts w:cstheme="minorHAnsi"/>
          <w:szCs w:val="24"/>
        </w:rPr>
        <w:t>Inovāciju fonda atbalsta programmas ietvaros tiek atbalstīti projekti, kuru mērķis ir CO</w:t>
      </w:r>
      <w:r w:rsidRPr="00C85539">
        <w:rPr>
          <w:rFonts w:cstheme="minorHAnsi"/>
          <w:szCs w:val="24"/>
          <w:vertAlign w:val="subscript"/>
        </w:rPr>
        <w:t>2</w:t>
      </w:r>
      <w:r w:rsidRPr="00C85539">
        <w:rPr>
          <w:rFonts w:cstheme="minorHAnsi"/>
          <w:szCs w:val="24"/>
        </w:rPr>
        <w:t xml:space="preserve"> uztveršana un ģeoloģiska uzglabāšana videi drošā veidā, inovatīvu AE tehnoloģiju demonstrējumu projekti, </w:t>
      </w:r>
      <w:r w:rsidRPr="00C85539">
        <w:rPr>
          <w:rFonts w:cstheme="minorHAnsi"/>
        </w:rPr>
        <w:t xml:space="preserve">oglekļa uztveršana un izmantošanas projekti, inovatīvas AE un enerģijas uzglabāšanas tehnoloģiju projekti, inovatīvi projekti energoietilpīgās rūpnieciskās ražošanas sektorā, kas savu darbību uzsāks jau 2020. gadā. </w:t>
      </w:r>
      <w:r w:rsidRPr="00C85539">
        <w:rPr>
          <w:rFonts w:cstheme="minorHAnsi"/>
          <w:szCs w:val="24"/>
        </w:rPr>
        <w:t xml:space="preserve">Latvijai būs pieejami Inovāciju fonda līdzekļi. Konkrētu Latvijai pieejamo finansējuma apjomu nav iespējams prognozēt, jo Inovāciju fonda līdzekļiem dalībvalstis pieteiksies pašas iepriekš izvērtējot un apstiprinot projektu iesniegšanu no projekta pieteicējiem valstī. </w:t>
      </w:r>
    </w:p>
    <w:p w:rsidR="00C85539" w:rsidRPr="00C85539" w:rsidRDefault="00C85539" w:rsidP="00C85539">
      <w:pPr>
        <w:autoSpaceDE w:val="0"/>
        <w:adjustRightInd w:val="0"/>
        <w:spacing w:before="120" w:after="120" w:line="240" w:lineRule="auto"/>
        <w:jc w:val="both"/>
        <w:rPr>
          <w:rFonts w:cstheme="minorHAnsi"/>
          <w:i/>
          <w:szCs w:val="24"/>
        </w:rPr>
      </w:pPr>
      <w:r w:rsidRPr="00C85539">
        <w:rPr>
          <w:rFonts w:cstheme="minorHAnsi"/>
          <w:i/>
          <w:szCs w:val="24"/>
        </w:rPr>
        <w:t>Modernizācijas fonds</w:t>
      </w:r>
    </w:p>
    <w:p w:rsidR="00C85539" w:rsidRPr="00C85539" w:rsidRDefault="00C85539" w:rsidP="00C85539">
      <w:pPr>
        <w:pStyle w:val="Standard"/>
        <w:spacing w:before="120" w:after="120"/>
        <w:jc w:val="both"/>
        <w:rPr>
          <w:rFonts w:asciiTheme="minorHAnsi" w:hAnsiTheme="minorHAnsi" w:cstheme="minorHAnsi"/>
        </w:rPr>
      </w:pPr>
      <w:r w:rsidRPr="00C85539">
        <w:rPr>
          <w:rFonts w:asciiTheme="minorHAnsi" w:hAnsiTheme="minorHAnsi" w:cstheme="minorHAnsi"/>
        </w:rPr>
        <w:t xml:space="preserve">Modernizācijas fonda līdzekļi būs pieejami, lai finansētu energoefektivitātes uzlabošanas un enerģētikas sektora modernizācijas projektus (arī maza apmēra projektus) – investīcijas elektroenerģijas ražošanā un izmantošanā no atjaunojamiem avotiem, energoefektivitātes uzlabošanā, izņemot cietā fosilā kurināmā tehnoloģijas, enerģijas uzglabāšanā un </w:t>
      </w:r>
      <w:proofErr w:type="spellStart"/>
      <w:r w:rsidRPr="00C85539">
        <w:rPr>
          <w:rFonts w:asciiTheme="minorHAnsi" w:hAnsiTheme="minorHAnsi" w:cstheme="minorHAnsi"/>
        </w:rPr>
        <w:t>energotīklu</w:t>
      </w:r>
      <w:proofErr w:type="spellEnd"/>
      <w:r w:rsidRPr="00C85539">
        <w:rPr>
          <w:rFonts w:asciiTheme="minorHAnsi" w:hAnsiTheme="minorHAnsi" w:cstheme="minorHAnsi"/>
        </w:rPr>
        <w:t xml:space="preserve">, tostarp CSA izmantoto cauruļvadu, un elektropārvades tīklu modernizēšanā un </w:t>
      </w:r>
      <w:proofErr w:type="spellStart"/>
      <w:r w:rsidRPr="00C85539">
        <w:rPr>
          <w:rFonts w:asciiTheme="minorHAnsi" w:hAnsiTheme="minorHAnsi" w:cstheme="minorHAnsi"/>
        </w:rPr>
        <w:t>starpsavienojumu</w:t>
      </w:r>
      <w:proofErr w:type="spellEnd"/>
      <w:r w:rsidRPr="00C85539">
        <w:rPr>
          <w:rFonts w:asciiTheme="minorHAnsi" w:hAnsiTheme="minorHAnsi" w:cstheme="minorHAnsi"/>
        </w:rPr>
        <w:t xml:space="preserve"> palielināšana starp dalībvalstīm. Finansējumu var piešķirt arī investīcijām energoefektivitātē transporta, ēku, lauksaimniecības un atkritumu apsaimniekošanas nozarēs. Latvijai projektu realizācijai maksimāli pieejami 1,44% no kopējā fonda apmēra, jeb aptuveni 4,464 milj. emisijas kvotu, kas </w:t>
      </w:r>
      <w:r>
        <w:rPr>
          <w:rFonts w:asciiTheme="minorHAnsi" w:hAnsiTheme="minorHAnsi" w:cstheme="minorHAnsi"/>
        </w:rPr>
        <w:t xml:space="preserve">2018.gada septembra vidējās emisijas kvotu cenas – 25 EUR par emisijas kvotu var veidot līdz 112 </w:t>
      </w:r>
      <w:proofErr w:type="spellStart"/>
      <w:r>
        <w:rPr>
          <w:rFonts w:asciiTheme="minorHAnsi" w:hAnsiTheme="minorHAnsi" w:cstheme="minorHAnsi"/>
        </w:rPr>
        <w:t>milj.EUR</w:t>
      </w:r>
      <w:proofErr w:type="spellEnd"/>
      <w:r>
        <w:rPr>
          <w:rFonts w:asciiTheme="minorHAnsi" w:hAnsiTheme="minorHAnsi" w:cstheme="minorHAnsi"/>
        </w:rPr>
        <w:t xml:space="preserve"> apjomu</w:t>
      </w:r>
      <w:r w:rsidRPr="00C85539">
        <w:rPr>
          <w:rFonts w:asciiTheme="minorHAnsi" w:hAnsiTheme="minorHAnsi" w:cstheme="minorHAnsi"/>
        </w:rPr>
        <w:t>.</w:t>
      </w:r>
    </w:p>
    <w:p w:rsidR="00D82336" w:rsidRPr="00C85539" w:rsidRDefault="00C220F7" w:rsidP="00C85539">
      <w:pPr>
        <w:spacing w:before="120" w:after="120" w:line="240" w:lineRule="auto"/>
        <w:jc w:val="both"/>
        <w:rPr>
          <w:rFonts w:cstheme="minorHAnsi"/>
        </w:rPr>
      </w:pPr>
    </w:p>
    <w:sectPr w:rsidR="00D82336" w:rsidRPr="00C85539" w:rsidSect="00C85539">
      <w:headerReference w:type="default" r:id="rId8"/>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0F7" w:rsidRDefault="00C220F7" w:rsidP="00C85539">
      <w:pPr>
        <w:spacing w:after="0" w:line="240" w:lineRule="auto"/>
      </w:pPr>
      <w:r>
        <w:separator/>
      </w:r>
    </w:p>
  </w:endnote>
  <w:endnote w:type="continuationSeparator" w:id="0">
    <w:p w:rsidR="00C220F7" w:rsidRDefault="00C220F7" w:rsidP="00C8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0F7" w:rsidRDefault="00C220F7" w:rsidP="00C85539">
      <w:pPr>
        <w:spacing w:after="0" w:line="240" w:lineRule="auto"/>
      </w:pPr>
      <w:r>
        <w:separator/>
      </w:r>
    </w:p>
  </w:footnote>
  <w:footnote w:type="continuationSeparator" w:id="0">
    <w:p w:rsidR="00C220F7" w:rsidRDefault="00C220F7" w:rsidP="00C85539">
      <w:pPr>
        <w:spacing w:after="0" w:line="240" w:lineRule="auto"/>
      </w:pPr>
      <w:r>
        <w:continuationSeparator/>
      </w:r>
    </w:p>
  </w:footnote>
  <w:footnote w:id="1">
    <w:p w:rsidR="00C85539" w:rsidRPr="00C85539" w:rsidRDefault="00C85539" w:rsidP="00C85539">
      <w:pPr>
        <w:pStyle w:val="FootnoteText"/>
        <w:jc w:val="both"/>
        <w:rPr>
          <w:rFonts w:asciiTheme="minorHAnsi" w:hAnsiTheme="minorHAnsi" w:cstheme="minorHAnsi"/>
        </w:rPr>
      </w:pPr>
      <w:r w:rsidRPr="00C85539">
        <w:rPr>
          <w:rStyle w:val="FootnoteReference"/>
          <w:rFonts w:asciiTheme="minorHAnsi" w:hAnsiTheme="minorHAnsi" w:cstheme="minorHAnsi"/>
        </w:rPr>
        <w:footnoteRef/>
      </w:r>
      <w:r w:rsidRPr="00C85539">
        <w:rPr>
          <w:rFonts w:asciiTheme="minorHAnsi" w:hAnsiTheme="minorHAnsi" w:cstheme="minorHAnsi"/>
        </w:rPr>
        <w:t xml:space="preserve"> šāda cena tiek prognozēta EK Ietekmes novērtējumā strādājot pie </w:t>
      </w:r>
      <w:r w:rsidRPr="00C85539">
        <w:rPr>
          <w:rFonts w:asciiTheme="minorHAnsi" w:eastAsia="Calibri" w:hAnsiTheme="minorHAnsi" w:cstheme="minorHAnsi"/>
          <w:szCs w:val="24"/>
        </w:rPr>
        <w:t>Direktīvas 2003/87/EK</w:t>
      </w:r>
      <w:r w:rsidRPr="00C85539">
        <w:rPr>
          <w:rFonts w:asciiTheme="minorHAnsi" w:hAnsiTheme="minorHAnsi" w:cstheme="minorHAnsi"/>
        </w:rPr>
        <w:t xml:space="preserve"> grozījumiem 2015. gadā. https://ec.europa.eu/clima/sites/clima/files/ets/revision/docs/impact_assessment_en.pdf un vidēji to apstiprina arī vairāku vadošo ekspertu prognozes (skatīt sadaļu 4.1.3)</w:t>
      </w:r>
    </w:p>
  </w:footnote>
  <w:footnote w:id="2">
    <w:p w:rsidR="00C85539" w:rsidRPr="00C85539" w:rsidRDefault="00C85539">
      <w:pPr>
        <w:pStyle w:val="FootnoteText"/>
        <w:rPr>
          <w:rFonts w:asciiTheme="minorHAnsi" w:hAnsiTheme="minorHAnsi" w:cstheme="minorHAnsi"/>
        </w:rPr>
      </w:pPr>
      <w:r w:rsidRPr="00C85539">
        <w:rPr>
          <w:rStyle w:val="FootnoteReference"/>
          <w:rFonts w:asciiTheme="minorHAnsi" w:hAnsiTheme="minorHAnsi" w:cstheme="minorHAnsi"/>
        </w:rPr>
        <w:footnoteRef/>
      </w:r>
      <w:r w:rsidRPr="00C85539">
        <w:rPr>
          <w:rFonts w:asciiTheme="minorHAnsi" w:hAnsiTheme="minorHAnsi" w:cstheme="minorHAnsi"/>
        </w:rPr>
        <w:t xml:space="preserve"> </w:t>
      </w:r>
      <w:hyperlink r:id="rId1" w:history="1">
        <w:r w:rsidRPr="00C85539">
          <w:rPr>
            <w:rStyle w:val="Hyperlink"/>
            <w:rFonts w:asciiTheme="minorHAnsi" w:hAnsiTheme="minorHAnsi" w:cstheme="minorHAnsi"/>
          </w:rPr>
          <w:t>http://polsis.mk.gov.lv/documents/6456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8065"/>
      <w:docPartObj>
        <w:docPartGallery w:val="Page Numbers (Top of Page)"/>
        <w:docPartUnique/>
      </w:docPartObj>
    </w:sdtPr>
    <w:sdtEndPr>
      <w:rPr>
        <w:noProof/>
      </w:rPr>
    </w:sdtEndPr>
    <w:sdtContent>
      <w:p w:rsidR="00C85539" w:rsidRDefault="00C855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85539" w:rsidRDefault="00C85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4968"/>
    <w:multiLevelType w:val="hybridMultilevel"/>
    <w:tmpl w:val="3F88D1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203941"/>
    <w:multiLevelType w:val="hybridMultilevel"/>
    <w:tmpl w:val="4AEEE7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90977A7"/>
    <w:multiLevelType w:val="hybridMultilevel"/>
    <w:tmpl w:val="3E28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63F95"/>
    <w:multiLevelType w:val="multilevel"/>
    <w:tmpl w:val="E6B8B7D6"/>
    <w:lvl w:ilvl="0">
      <w:start w:val="7"/>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6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725258"/>
    <w:multiLevelType w:val="hybridMultilevel"/>
    <w:tmpl w:val="A76C6DD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3D736F1"/>
    <w:multiLevelType w:val="hybridMultilevel"/>
    <w:tmpl w:val="D1961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59"/>
    <w:rsid w:val="000B3BF1"/>
    <w:rsid w:val="0010039D"/>
    <w:rsid w:val="002E2559"/>
    <w:rsid w:val="004F7092"/>
    <w:rsid w:val="00A53FBD"/>
    <w:rsid w:val="00B573BB"/>
    <w:rsid w:val="00B917A7"/>
    <w:rsid w:val="00C220F7"/>
    <w:rsid w:val="00C85539"/>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BA80"/>
  <w15:chartTrackingRefBased/>
  <w15:docId w15:val="{B68D90D0-2D2E-40C6-8D8A-AEF3BB12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59"/>
    <w:rPr>
      <w:sz w:val="24"/>
    </w:rPr>
  </w:style>
  <w:style w:type="paragraph" w:styleId="Heading1">
    <w:name w:val="heading 1"/>
    <w:basedOn w:val="Normal"/>
    <w:next w:val="Normal"/>
    <w:link w:val="Heading1Char"/>
    <w:uiPriority w:val="9"/>
    <w:qFormat/>
    <w:rsid w:val="002E2559"/>
    <w:pPr>
      <w:keepNext/>
      <w:keepLines/>
      <w:numPr>
        <w:numId w:val="1"/>
      </w:numPr>
      <w:tabs>
        <w:tab w:val="left" w:pos="2694"/>
      </w:tabs>
      <w:spacing w:before="120" w:after="120" w:line="240" w:lineRule="auto"/>
      <w:outlineLvl w:val="0"/>
    </w:pPr>
    <w:rPr>
      <w:rFonts w:ascii="Times New Roman" w:eastAsia="Times New Roman" w:hAnsi="Times New Roman" w:cs="Times New Roman"/>
      <w:b/>
      <w:sz w:val="28"/>
      <w:szCs w:val="32"/>
      <w:lang w:eastAsia="lv-LV"/>
    </w:rPr>
  </w:style>
  <w:style w:type="paragraph" w:styleId="Heading2">
    <w:name w:val="heading 2"/>
    <w:basedOn w:val="Normal"/>
    <w:next w:val="Normal"/>
    <w:link w:val="Heading2Char"/>
    <w:uiPriority w:val="9"/>
    <w:unhideWhenUsed/>
    <w:qFormat/>
    <w:rsid w:val="002E2559"/>
    <w:pPr>
      <w:keepNext/>
      <w:keepLines/>
      <w:numPr>
        <w:ilvl w:val="1"/>
        <w:numId w:val="1"/>
      </w:numPr>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2E2559"/>
    <w:pPr>
      <w:keepNext/>
      <w:keepLines/>
      <w:numPr>
        <w:ilvl w:val="2"/>
        <w:numId w:val="1"/>
      </w:numPr>
      <w:spacing w:before="120" w:after="120" w:line="240" w:lineRule="auto"/>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2E2559"/>
    <w:pPr>
      <w:keepNext/>
      <w:keepLines/>
      <w:numPr>
        <w:ilvl w:val="3"/>
        <w:numId w:val="1"/>
      </w:numPr>
      <w:tabs>
        <w:tab w:val="left" w:pos="993"/>
      </w:tabs>
      <w:spacing w:before="120" w:after="120" w:line="240" w:lineRule="auto"/>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559"/>
    <w:rPr>
      <w:rFonts w:ascii="Times New Roman" w:eastAsia="Times New Roman" w:hAnsi="Times New Roman" w:cs="Times New Roman"/>
      <w:b/>
      <w:sz w:val="28"/>
      <w:szCs w:val="32"/>
      <w:lang w:eastAsia="lv-LV"/>
    </w:rPr>
  </w:style>
  <w:style w:type="character" w:customStyle="1" w:styleId="Heading2Char">
    <w:name w:val="Heading 2 Char"/>
    <w:basedOn w:val="DefaultParagraphFont"/>
    <w:link w:val="Heading2"/>
    <w:uiPriority w:val="9"/>
    <w:rsid w:val="002E2559"/>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2E2559"/>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2E2559"/>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C85539"/>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C8553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C8553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C85539"/>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C85539"/>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C85539"/>
    <w:rPr>
      <w:sz w:val="24"/>
    </w:rPr>
  </w:style>
  <w:style w:type="paragraph" w:customStyle="1" w:styleId="tv213">
    <w:name w:val="tv213"/>
    <w:basedOn w:val="Normal"/>
    <w:rsid w:val="00C85539"/>
    <w:pPr>
      <w:spacing w:before="100" w:beforeAutospacing="1" w:after="100" w:afterAutospacing="1" w:line="240" w:lineRule="auto"/>
    </w:pPr>
    <w:rPr>
      <w:rFonts w:ascii="Times New Roman" w:eastAsia="Times New Roman" w:hAnsi="Times New Roman" w:cs="Times New Roman"/>
      <w:szCs w:val="24"/>
      <w:lang w:eastAsia="lv-LV"/>
    </w:rPr>
  </w:style>
  <w:style w:type="paragraph" w:customStyle="1" w:styleId="naiskr">
    <w:name w:val="naiskr"/>
    <w:basedOn w:val="Normal"/>
    <w:uiPriority w:val="99"/>
    <w:rsid w:val="00C85539"/>
    <w:pPr>
      <w:spacing w:before="75" w:after="75" w:line="240" w:lineRule="auto"/>
    </w:pPr>
    <w:rPr>
      <w:rFonts w:ascii="Times New Roman" w:eastAsia="Times New Roman" w:hAnsi="Times New Roman" w:cs="Times New Roman"/>
      <w:szCs w:val="24"/>
      <w:lang w:eastAsia="lv-LV"/>
    </w:rPr>
  </w:style>
  <w:style w:type="paragraph" w:customStyle="1" w:styleId="programme">
    <w:name w:val="programme"/>
    <w:basedOn w:val="Normal"/>
    <w:rsid w:val="00C85539"/>
    <w:pPr>
      <w:spacing w:before="100" w:beforeAutospacing="1" w:after="100" w:afterAutospacing="1" w:line="240" w:lineRule="auto"/>
    </w:pPr>
    <w:rPr>
      <w:rFonts w:ascii="Calibri" w:hAnsi="Calibri" w:cs="Calibri"/>
      <w:sz w:val="22"/>
      <w:lang w:eastAsia="lv-LV"/>
    </w:rPr>
  </w:style>
  <w:style w:type="paragraph" w:customStyle="1" w:styleId="Standard">
    <w:name w:val="Standard"/>
    <w:rsid w:val="00C85539"/>
    <w:pPr>
      <w:suppressAutoHyphens/>
      <w:autoSpaceDN w:val="0"/>
      <w:spacing w:after="0" w:line="240" w:lineRule="auto"/>
    </w:pPr>
    <w:rPr>
      <w:rFonts w:ascii="Times New Roman" w:eastAsia="SimSun" w:hAnsi="Times New Roman" w:cs="Times New Roman"/>
      <w:color w:val="000000"/>
      <w:kern w:val="3"/>
      <w:sz w:val="24"/>
      <w:szCs w:val="24"/>
    </w:rPr>
  </w:style>
  <w:style w:type="paragraph" w:styleId="Header">
    <w:name w:val="header"/>
    <w:basedOn w:val="Normal"/>
    <w:link w:val="HeaderChar"/>
    <w:uiPriority w:val="99"/>
    <w:unhideWhenUsed/>
    <w:rsid w:val="00C85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539"/>
    <w:rPr>
      <w:sz w:val="24"/>
    </w:rPr>
  </w:style>
  <w:style w:type="paragraph" w:styleId="Footer">
    <w:name w:val="footer"/>
    <w:basedOn w:val="Normal"/>
    <w:link w:val="FooterChar"/>
    <w:uiPriority w:val="99"/>
    <w:unhideWhenUsed/>
    <w:rsid w:val="00C85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539"/>
    <w:rPr>
      <w:sz w:val="24"/>
    </w:rPr>
  </w:style>
  <w:style w:type="character" w:styleId="Hyperlink">
    <w:name w:val="Hyperlink"/>
    <w:basedOn w:val="DefaultParagraphFont"/>
    <w:uiPriority w:val="99"/>
    <w:semiHidden/>
    <w:unhideWhenUsed/>
    <w:rsid w:val="00C85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6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2629-DD51-43D4-AED8-DF0810C7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Agnete Ālere</cp:lastModifiedBy>
  <cp:revision>1</cp:revision>
  <dcterms:created xsi:type="dcterms:W3CDTF">2019-09-11T13:20:00Z</dcterms:created>
  <dcterms:modified xsi:type="dcterms:W3CDTF">2019-09-11T13:20:00Z</dcterms:modified>
</cp:coreProperties>
</file>