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8E" w:rsidRPr="00FC0711" w:rsidRDefault="00A5348E" w:rsidP="00A5348E">
      <w:pPr>
        <w:pStyle w:val="Heading1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  <w:bookmarkStart w:id="0" w:name="_Toc10527190"/>
      <w:r w:rsidRPr="00FC0711">
        <w:rPr>
          <w:rFonts w:asciiTheme="minorHAnsi" w:hAnsiTheme="minorHAnsi" w:cstheme="minorHAnsi"/>
        </w:rPr>
        <w:t>IEVADS</w:t>
      </w:r>
      <w:bookmarkEnd w:id="0"/>
    </w:p>
    <w:p w:rsidR="00A5348E" w:rsidRPr="00FC0711" w:rsidRDefault="00A5348E" w:rsidP="00A5348E">
      <w:pPr>
        <w:spacing w:before="120" w:after="120" w:line="240" w:lineRule="auto"/>
        <w:jc w:val="both"/>
        <w:rPr>
          <w:rFonts w:cstheme="minorHAnsi"/>
        </w:rPr>
      </w:pPr>
      <w:r w:rsidRPr="00FC0711">
        <w:rPr>
          <w:rFonts w:cstheme="minorHAnsi"/>
          <w:szCs w:val="24"/>
        </w:rPr>
        <w:t>Nacionālais enerģētikas un klimata plāns 2021.–2030.gadam (turpmāk – Plāns) ir dokuments ilgtermiņa enerģētikas un klimata politikas plānošanai, kas nosaka Latvijas valsts enerģētikas un klimata politikas pamatprincipus, mērķus un rīcības virzienus turpmākajiem desmit gadiem, ņemot vērā ieskicētos ilgtermiņa attīstības virzienus.</w:t>
      </w:r>
      <w:r w:rsidRPr="00FC0711">
        <w:rPr>
          <w:rFonts w:cstheme="minorHAnsi"/>
        </w:rPr>
        <w:t xml:space="preserve"> </w:t>
      </w:r>
    </w:p>
    <w:p w:rsidR="00A5348E" w:rsidRPr="00FC0711" w:rsidRDefault="00A5348E" w:rsidP="00A5348E">
      <w:pPr>
        <w:spacing w:before="120" w:after="120" w:line="240" w:lineRule="auto"/>
        <w:jc w:val="both"/>
        <w:rPr>
          <w:rFonts w:cstheme="minorHAnsi"/>
        </w:rPr>
      </w:pPr>
      <w:bookmarkStart w:id="1" w:name="_Hlk21087238"/>
      <w:r w:rsidRPr="00FC0711">
        <w:rPr>
          <w:rFonts w:cstheme="minorHAnsi"/>
        </w:rPr>
        <w:t xml:space="preserve">Kopējā Plāna ilgtermiņa </w:t>
      </w:r>
      <w:r w:rsidR="001515B0">
        <w:rPr>
          <w:rFonts w:cstheme="minorHAnsi"/>
        </w:rPr>
        <w:t>mērķis</w:t>
      </w:r>
      <w:r w:rsidRPr="00FC0711">
        <w:rPr>
          <w:rFonts w:cstheme="minorHAnsi"/>
        </w:rPr>
        <w:t xml:space="preserve"> ir</w:t>
      </w:r>
      <w:r w:rsidR="000B2B97">
        <w:rPr>
          <w:rFonts w:cstheme="minorHAnsi"/>
        </w:rPr>
        <w:t>,</w:t>
      </w:r>
      <w:r w:rsidRPr="00FC0711">
        <w:rPr>
          <w:rFonts w:cstheme="minorHAnsi"/>
        </w:rPr>
        <w:t xml:space="preserve"> </w:t>
      </w:r>
      <w:r w:rsidR="000B2B97">
        <w:rPr>
          <w:rFonts w:cstheme="minorHAnsi"/>
          <w:b/>
          <w:u w:val="single"/>
        </w:rPr>
        <w:t xml:space="preserve">nodrošinot </w:t>
      </w:r>
      <w:r w:rsidR="000B2B97" w:rsidRPr="000B2B97">
        <w:rPr>
          <w:rFonts w:cstheme="minorHAnsi"/>
          <w:b/>
          <w:u w:val="single"/>
        </w:rPr>
        <w:t>enerģētisko neatkarību, sabiedrības labklājību un ekonomikas konkurēt</w:t>
      </w:r>
      <w:r w:rsidR="000B2B97">
        <w:rPr>
          <w:rFonts w:cstheme="minorHAnsi"/>
          <w:b/>
          <w:u w:val="single"/>
        </w:rPr>
        <w:t>s</w:t>
      </w:r>
      <w:r w:rsidR="000B2B97" w:rsidRPr="000B2B97">
        <w:rPr>
          <w:rFonts w:cstheme="minorHAnsi"/>
          <w:b/>
          <w:u w:val="single"/>
        </w:rPr>
        <w:t>pēju reģionā un pasaulē</w:t>
      </w:r>
      <w:r w:rsidR="000B2B97">
        <w:rPr>
          <w:rFonts w:cstheme="minorHAnsi"/>
          <w:b/>
          <w:u w:val="single"/>
        </w:rPr>
        <w:t>,</w:t>
      </w:r>
      <w:r w:rsidR="000B2B97" w:rsidRPr="00FC0711">
        <w:rPr>
          <w:rFonts w:cstheme="minorHAnsi"/>
          <w:b/>
          <w:u w:val="single"/>
        </w:rPr>
        <w:t xml:space="preserve"> </w:t>
      </w:r>
      <w:r w:rsidRPr="00FC0711">
        <w:rPr>
          <w:rFonts w:cstheme="minorHAnsi"/>
          <w:b/>
          <w:u w:val="single"/>
        </w:rPr>
        <w:t>ilgtspējīgā, konkurētspējīgā</w:t>
      </w:r>
      <w:r w:rsidR="00225FC3">
        <w:rPr>
          <w:rFonts w:cstheme="minorHAnsi"/>
          <w:b/>
          <w:u w:val="single"/>
        </w:rPr>
        <w:t xml:space="preserve">, </w:t>
      </w:r>
      <w:r w:rsidR="000B2B97">
        <w:rPr>
          <w:rFonts w:cstheme="minorHAnsi"/>
          <w:b/>
          <w:u w:val="single"/>
        </w:rPr>
        <w:t xml:space="preserve">izmaksu efektīvā, </w:t>
      </w:r>
      <w:r w:rsidRPr="00FC0711">
        <w:rPr>
          <w:rFonts w:cstheme="minorHAnsi"/>
          <w:b/>
          <w:u w:val="single"/>
        </w:rPr>
        <w:t>drošā</w:t>
      </w:r>
      <w:r w:rsidR="00225FC3">
        <w:rPr>
          <w:rFonts w:cstheme="minorHAnsi"/>
          <w:b/>
          <w:u w:val="single"/>
        </w:rPr>
        <w:t xml:space="preserve"> un uz tirgus principiem balstītā</w:t>
      </w:r>
      <w:r w:rsidRPr="00FC0711">
        <w:rPr>
          <w:rFonts w:cstheme="minorHAnsi"/>
          <w:b/>
          <w:u w:val="single"/>
        </w:rPr>
        <w:t xml:space="preserve"> veidā veicināt </w:t>
      </w:r>
      <w:proofErr w:type="spellStart"/>
      <w:r w:rsidRPr="00FC0711">
        <w:rPr>
          <w:rFonts w:cstheme="minorHAnsi"/>
          <w:b/>
          <w:u w:val="single"/>
        </w:rPr>
        <w:t>klimatneitrālas</w:t>
      </w:r>
      <w:proofErr w:type="spellEnd"/>
      <w:r w:rsidRPr="00FC0711">
        <w:rPr>
          <w:rFonts w:cstheme="minorHAnsi"/>
          <w:b/>
          <w:u w:val="single"/>
        </w:rPr>
        <w:t xml:space="preserve"> tautsaimniecības attīstību.</w:t>
      </w:r>
      <w:r w:rsidRPr="00FC0711">
        <w:rPr>
          <w:rFonts w:cstheme="minorHAnsi"/>
        </w:rPr>
        <w:t xml:space="preserve"> </w:t>
      </w:r>
    </w:p>
    <w:bookmarkEnd w:id="1"/>
    <w:p w:rsidR="00A5348E" w:rsidRPr="00FC0711" w:rsidRDefault="00F93DC0" w:rsidP="00A5348E">
      <w:pPr>
        <w:spacing w:before="120" w:after="12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Lai īstenotu vīziju ir nepieciešams</w:t>
      </w:r>
      <w:r w:rsidR="00A5348E" w:rsidRPr="00FC0711">
        <w:rPr>
          <w:rFonts w:cstheme="minorHAnsi"/>
          <w:b/>
          <w:u w:val="single"/>
        </w:rPr>
        <w:t>:</w:t>
      </w:r>
    </w:p>
    <w:p w:rsidR="00A5348E" w:rsidRPr="00FC0711" w:rsidRDefault="00A5348E" w:rsidP="00A5348E">
      <w:pPr>
        <w:pStyle w:val="ListParagraph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</w:rPr>
      </w:pPr>
      <w:r w:rsidRPr="00FC0711">
        <w:rPr>
          <w:rFonts w:cstheme="minorHAnsi"/>
        </w:rPr>
        <w:t>Veicināt resursu efektīvu izmantošanu, kā arī to pašpietiekamību un dažādību;</w:t>
      </w:r>
    </w:p>
    <w:p w:rsidR="00A5348E" w:rsidRPr="00FC0711" w:rsidRDefault="00A5348E" w:rsidP="00A5348E">
      <w:pPr>
        <w:pStyle w:val="ListParagraph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</w:rPr>
      </w:pPr>
      <w:r w:rsidRPr="00FC0711">
        <w:rPr>
          <w:rFonts w:cstheme="minorHAnsi"/>
        </w:rPr>
        <w:t>Nodrošināt  resursu, un it īpaši fosilu un neilgtspējīgu resursu, patēriņa būtisku samazināšanu un vienlaicīgu pāreju uz ilgtspējīgu, atjaunojamu un inovatīvu resursu izmantošanu;</w:t>
      </w:r>
    </w:p>
    <w:p w:rsidR="00A5348E" w:rsidRPr="00FC0711" w:rsidRDefault="00A5348E" w:rsidP="00A5348E">
      <w:pPr>
        <w:pStyle w:val="ListParagraph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</w:rPr>
      </w:pPr>
      <w:r w:rsidRPr="00FC0711">
        <w:rPr>
          <w:rFonts w:cstheme="minorHAnsi"/>
        </w:rPr>
        <w:t xml:space="preserve">Stimulēt tādas pētniecības un inovāciju attīstību, kas veicina ilgtspējīgas enerģētikas sektora attīstību un klimata pārmaiņu mazināšanu. </w:t>
      </w:r>
    </w:p>
    <w:p w:rsidR="00A5348E" w:rsidRPr="00FC0711" w:rsidRDefault="00A5348E" w:rsidP="00A5348E">
      <w:pPr>
        <w:pStyle w:val="Caption"/>
        <w:rPr>
          <w:rFonts w:asciiTheme="minorHAnsi" w:hAnsiTheme="minorHAnsi" w:cstheme="minorHAnsi"/>
          <w:noProof/>
        </w:rPr>
      </w:pPr>
      <w:bookmarkStart w:id="2" w:name="_Hlk21087246"/>
      <w:r w:rsidRPr="00FC0711">
        <w:rPr>
          <w:rFonts w:asciiTheme="minorHAnsi" w:hAnsiTheme="minorHAnsi" w:cstheme="minorHAnsi"/>
          <w:b w:val="0"/>
          <w:iCs w:val="0"/>
          <w:noProof/>
        </w:rPr>
        <w:drawing>
          <wp:inline distT="0" distB="0" distL="0" distR="0" wp14:anchorId="5CEBF551" wp14:editId="632F10C5">
            <wp:extent cx="5523501" cy="2081284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_atte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772" cy="21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48E" w:rsidRPr="00FC0711" w:rsidRDefault="00A5348E" w:rsidP="00A5348E">
      <w:pPr>
        <w:pStyle w:val="Caption"/>
        <w:rPr>
          <w:rFonts w:asciiTheme="minorHAnsi" w:hAnsiTheme="minorHAnsi" w:cstheme="minorHAnsi"/>
        </w:rPr>
      </w:pPr>
      <w:r w:rsidRPr="00FC0711">
        <w:rPr>
          <w:rFonts w:asciiTheme="minorHAnsi" w:hAnsiTheme="minorHAnsi" w:cstheme="minorHAnsi"/>
          <w:noProof/>
        </w:rPr>
        <w:fldChar w:fldCharType="begin"/>
      </w:r>
      <w:r w:rsidRPr="00FC0711">
        <w:rPr>
          <w:rFonts w:asciiTheme="minorHAnsi" w:hAnsiTheme="minorHAnsi" w:cstheme="minorHAnsi"/>
          <w:noProof/>
        </w:rPr>
        <w:instrText xml:space="preserve"> SEQ Ilustrācija \* ARABIC </w:instrText>
      </w:r>
      <w:r w:rsidRPr="00FC0711">
        <w:rPr>
          <w:rFonts w:asciiTheme="minorHAnsi" w:hAnsiTheme="minorHAnsi" w:cstheme="minorHAnsi"/>
          <w:noProof/>
        </w:rPr>
        <w:fldChar w:fldCharType="separate"/>
      </w:r>
      <w:r w:rsidRPr="00FC0711">
        <w:rPr>
          <w:rFonts w:asciiTheme="minorHAnsi" w:hAnsiTheme="minorHAnsi" w:cstheme="minorHAnsi"/>
          <w:noProof/>
        </w:rPr>
        <w:t>1</w:t>
      </w:r>
      <w:r w:rsidRPr="00FC0711">
        <w:rPr>
          <w:rFonts w:asciiTheme="minorHAnsi" w:hAnsiTheme="minorHAnsi" w:cstheme="minorHAnsi"/>
          <w:noProof/>
        </w:rPr>
        <w:fldChar w:fldCharType="end"/>
      </w:r>
      <w:r w:rsidRPr="00FC0711">
        <w:rPr>
          <w:rFonts w:asciiTheme="minorHAnsi" w:hAnsiTheme="minorHAnsi" w:cstheme="minorHAnsi"/>
        </w:rPr>
        <w:t>.attēls. Enerģētikas un klimata politikas virzieni līdz 2030.gadam</w:t>
      </w:r>
    </w:p>
    <w:bookmarkEnd w:id="2"/>
    <w:p w:rsidR="00A5348E" w:rsidRPr="00FC0711" w:rsidRDefault="00A5348E" w:rsidP="00A5348E">
      <w:pPr>
        <w:spacing w:before="120" w:after="120" w:line="240" w:lineRule="auto"/>
        <w:jc w:val="both"/>
        <w:rPr>
          <w:rFonts w:cstheme="minorHAnsi"/>
          <w:b/>
          <w:u w:val="single"/>
        </w:rPr>
      </w:pPr>
      <w:r w:rsidRPr="00FC0711">
        <w:rPr>
          <w:rFonts w:cstheme="minorHAnsi"/>
          <w:b/>
          <w:u w:val="single"/>
        </w:rPr>
        <w:t xml:space="preserve">Plāna mērķu sasniegšanai noteikti šādi rīcības virzieni:  </w:t>
      </w:r>
    </w:p>
    <w:p w:rsidR="00A5348E" w:rsidRPr="00FC0711" w:rsidRDefault="00A5348E" w:rsidP="00110C50">
      <w:pPr>
        <w:pStyle w:val="ListParagraph"/>
        <w:numPr>
          <w:ilvl w:val="0"/>
          <w:numId w:val="3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</w:rPr>
      </w:pPr>
      <w:r w:rsidRPr="00FC0711">
        <w:rPr>
          <w:rFonts w:cstheme="minorHAnsi"/>
          <w:b/>
        </w:rPr>
        <w:t>Ēku</w:t>
      </w:r>
      <w:r w:rsidRPr="00FC0711">
        <w:rPr>
          <w:rFonts w:cstheme="minorHAnsi"/>
        </w:rPr>
        <w:t xml:space="preserve"> energoefektivitātes uzlabošana;</w:t>
      </w:r>
    </w:p>
    <w:p w:rsidR="00A5348E" w:rsidRPr="00FC0711" w:rsidRDefault="00A5348E" w:rsidP="00110C50">
      <w:pPr>
        <w:pStyle w:val="ListParagraph"/>
        <w:numPr>
          <w:ilvl w:val="0"/>
          <w:numId w:val="3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</w:rPr>
      </w:pPr>
      <w:r w:rsidRPr="00FC0711">
        <w:rPr>
          <w:rFonts w:cstheme="minorHAnsi"/>
        </w:rPr>
        <w:t xml:space="preserve">Energoefektivitātes uzlabošana un AER tehnoloģiju izmantošanas veicināšana </w:t>
      </w:r>
      <w:r w:rsidRPr="00FC0711">
        <w:rPr>
          <w:rFonts w:cstheme="minorHAnsi"/>
          <w:b/>
        </w:rPr>
        <w:t xml:space="preserve">siltumapgādē un </w:t>
      </w:r>
      <w:proofErr w:type="spellStart"/>
      <w:r w:rsidRPr="00FC0711">
        <w:rPr>
          <w:rFonts w:cstheme="minorHAnsi"/>
          <w:b/>
        </w:rPr>
        <w:t>aukstumapgādē</w:t>
      </w:r>
      <w:proofErr w:type="spellEnd"/>
      <w:r w:rsidRPr="00FC0711">
        <w:rPr>
          <w:rFonts w:cstheme="minorHAnsi"/>
        </w:rPr>
        <w:t xml:space="preserve"> un </w:t>
      </w:r>
      <w:r w:rsidRPr="00FC0711">
        <w:rPr>
          <w:rFonts w:cstheme="minorHAnsi"/>
          <w:b/>
        </w:rPr>
        <w:t>rūpniecībā</w:t>
      </w:r>
      <w:r w:rsidRPr="00FC0711">
        <w:rPr>
          <w:rFonts w:cstheme="minorHAnsi"/>
        </w:rPr>
        <w:t>;</w:t>
      </w:r>
    </w:p>
    <w:p w:rsidR="00110C50" w:rsidRPr="00FC0711" w:rsidRDefault="00110C50" w:rsidP="00110C50">
      <w:pPr>
        <w:pStyle w:val="ListParagraph"/>
        <w:numPr>
          <w:ilvl w:val="0"/>
          <w:numId w:val="3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  <w:b/>
        </w:rPr>
      </w:pPr>
      <w:bookmarkStart w:id="3" w:name="_Hlk9245258"/>
      <w:r w:rsidRPr="00FC0711">
        <w:rPr>
          <w:rFonts w:cstheme="minorHAnsi"/>
        </w:rPr>
        <w:t xml:space="preserve">Ne-emisiju tehnoloģiju izmantošanas veicināšana </w:t>
      </w:r>
      <w:r w:rsidRPr="00FC0711">
        <w:rPr>
          <w:rFonts w:cstheme="minorHAnsi"/>
          <w:b/>
        </w:rPr>
        <w:t>elektroenerģijās ražošanā</w:t>
      </w:r>
      <w:r w:rsidRPr="00FC0711">
        <w:rPr>
          <w:rFonts w:cstheme="minorHAnsi"/>
        </w:rPr>
        <w:t>;</w:t>
      </w:r>
    </w:p>
    <w:p w:rsidR="00110C50" w:rsidRPr="00FC0711" w:rsidRDefault="00110C50" w:rsidP="00110C50">
      <w:pPr>
        <w:pStyle w:val="ListParagraph"/>
        <w:numPr>
          <w:ilvl w:val="0"/>
          <w:numId w:val="3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</w:rPr>
      </w:pPr>
      <w:r w:rsidRPr="00FC0711">
        <w:rPr>
          <w:rFonts w:cstheme="minorHAnsi"/>
          <w:b/>
        </w:rPr>
        <w:t xml:space="preserve">Enerģijas </w:t>
      </w:r>
      <w:proofErr w:type="spellStart"/>
      <w:r w:rsidRPr="00FC0711">
        <w:rPr>
          <w:rFonts w:cstheme="minorHAnsi"/>
          <w:b/>
        </w:rPr>
        <w:t>pašražošanas</w:t>
      </w:r>
      <w:proofErr w:type="spellEnd"/>
      <w:r w:rsidRPr="00FC0711">
        <w:rPr>
          <w:rFonts w:cstheme="minorHAnsi"/>
        </w:rPr>
        <w:t xml:space="preserve"> un </w:t>
      </w:r>
      <w:r w:rsidRPr="00FC0711">
        <w:rPr>
          <w:rFonts w:cstheme="minorHAnsi"/>
          <w:b/>
        </w:rPr>
        <w:t xml:space="preserve">pašpatēriņa </w:t>
      </w:r>
      <w:r w:rsidRPr="00FC0711">
        <w:rPr>
          <w:rFonts w:cstheme="minorHAnsi"/>
        </w:rPr>
        <w:t>veicināšana;</w:t>
      </w:r>
    </w:p>
    <w:p w:rsidR="00110C50" w:rsidRPr="00FC0711" w:rsidRDefault="00110C50" w:rsidP="00110C50">
      <w:pPr>
        <w:pStyle w:val="ListParagraph"/>
        <w:numPr>
          <w:ilvl w:val="0"/>
          <w:numId w:val="3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</w:rPr>
      </w:pPr>
      <w:r w:rsidRPr="00FC0711">
        <w:rPr>
          <w:rFonts w:cstheme="minorHAnsi"/>
        </w:rPr>
        <w:t xml:space="preserve">Energoefektivitātes uzlabošana, alternatīvo degvielu  un AER tehnoloģiju izmantošanas veicināšana </w:t>
      </w:r>
      <w:r w:rsidRPr="00FC0711">
        <w:rPr>
          <w:rFonts w:cstheme="minorHAnsi"/>
          <w:b/>
          <w:bCs/>
        </w:rPr>
        <w:t>transportā</w:t>
      </w:r>
      <w:r w:rsidRPr="00FC0711">
        <w:rPr>
          <w:rFonts w:cstheme="minorHAnsi"/>
        </w:rPr>
        <w:t>;</w:t>
      </w:r>
    </w:p>
    <w:bookmarkEnd w:id="3"/>
    <w:p w:rsidR="00A5348E" w:rsidRPr="00FC0711" w:rsidRDefault="00A5348E" w:rsidP="00110C50">
      <w:pPr>
        <w:pStyle w:val="ListParagraph"/>
        <w:numPr>
          <w:ilvl w:val="0"/>
          <w:numId w:val="3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</w:rPr>
      </w:pPr>
      <w:r w:rsidRPr="00FC0711">
        <w:rPr>
          <w:rFonts w:cstheme="minorHAnsi"/>
        </w:rPr>
        <w:t xml:space="preserve">Enerģētiskā </w:t>
      </w:r>
      <w:r w:rsidRPr="00FC0711">
        <w:rPr>
          <w:rFonts w:cstheme="minorHAnsi"/>
          <w:b/>
        </w:rPr>
        <w:t>drošība un neatkarība</w:t>
      </w:r>
      <w:r w:rsidRPr="00FC0711">
        <w:rPr>
          <w:rFonts w:cstheme="minorHAnsi"/>
        </w:rPr>
        <w:t xml:space="preserve">, pilnīga </w:t>
      </w:r>
      <w:r w:rsidRPr="00FC0711">
        <w:rPr>
          <w:rFonts w:cstheme="minorHAnsi"/>
          <w:b/>
        </w:rPr>
        <w:t>enerģijas tirgu</w:t>
      </w:r>
      <w:r w:rsidRPr="00FC0711">
        <w:rPr>
          <w:rFonts w:cstheme="minorHAnsi"/>
        </w:rPr>
        <w:t xml:space="preserve"> integrācija, </w:t>
      </w:r>
      <w:r w:rsidRPr="00FC0711">
        <w:rPr>
          <w:rFonts w:cstheme="minorHAnsi"/>
          <w:b/>
        </w:rPr>
        <w:t>infrastruktūras</w:t>
      </w:r>
      <w:r w:rsidRPr="00FC0711">
        <w:rPr>
          <w:rFonts w:cstheme="minorHAnsi"/>
        </w:rPr>
        <w:t xml:space="preserve"> modernizācija;</w:t>
      </w:r>
    </w:p>
    <w:p w:rsidR="00A5348E" w:rsidRPr="00FC0711" w:rsidRDefault="00A5348E" w:rsidP="00A5348E">
      <w:pPr>
        <w:pStyle w:val="ListParagraph"/>
        <w:numPr>
          <w:ilvl w:val="0"/>
          <w:numId w:val="3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</w:rPr>
      </w:pPr>
      <w:r w:rsidRPr="00FC0711">
        <w:rPr>
          <w:rFonts w:cstheme="minorHAnsi"/>
          <w:b/>
        </w:rPr>
        <w:t xml:space="preserve">Atkritumu </w:t>
      </w:r>
      <w:r w:rsidRPr="00FC0711">
        <w:rPr>
          <w:rFonts w:cstheme="minorHAnsi"/>
        </w:rPr>
        <w:t>un</w:t>
      </w:r>
      <w:r w:rsidRPr="00FC0711">
        <w:rPr>
          <w:rFonts w:cstheme="minorHAnsi"/>
          <w:b/>
        </w:rPr>
        <w:t xml:space="preserve"> notekūdeņu apsaimniekošanas </w:t>
      </w:r>
      <w:r w:rsidRPr="00FC0711">
        <w:rPr>
          <w:rFonts w:cstheme="minorHAnsi"/>
        </w:rPr>
        <w:t>efektivitātes uzlabošana un SEG emisiju samazināšana</w:t>
      </w:r>
    </w:p>
    <w:p w:rsidR="00A5348E" w:rsidRPr="00FC0711" w:rsidRDefault="00A5348E" w:rsidP="00A5348E">
      <w:pPr>
        <w:pStyle w:val="ListParagraph"/>
        <w:numPr>
          <w:ilvl w:val="0"/>
          <w:numId w:val="3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</w:rPr>
      </w:pPr>
      <w:r w:rsidRPr="00FC0711">
        <w:rPr>
          <w:rFonts w:cstheme="minorHAnsi"/>
        </w:rPr>
        <w:t xml:space="preserve">Resursu efektīva izmantošana un SEG emisiju samazināšana </w:t>
      </w:r>
      <w:r w:rsidRPr="00FC0711">
        <w:rPr>
          <w:rFonts w:cstheme="minorHAnsi"/>
          <w:b/>
        </w:rPr>
        <w:t>lauksaimniecībā</w:t>
      </w:r>
      <w:r w:rsidRPr="00FC0711">
        <w:rPr>
          <w:rFonts w:cstheme="minorHAnsi"/>
        </w:rPr>
        <w:t>;</w:t>
      </w:r>
    </w:p>
    <w:p w:rsidR="00110C50" w:rsidRPr="00FC0711" w:rsidRDefault="00110C50" w:rsidP="00A5348E">
      <w:pPr>
        <w:pStyle w:val="ListParagraph"/>
        <w:numPr>
          <w:ilvl w:val="0"/>
          <w:numId w:val="3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  <w:szCs w:val="24"/>
        </w:rPr>
      </w:pPr>
      <w:r w:rsidRPr="00FC0711">
        <w:rPr>
          <w:rFonts w:cstheme="minorHAnsi"/>
        </w:rPr>
        <w:t>Ilgtspējīga resursu izmantošana un SEG emisiju samazināšana un CO</w:t>
      </w:r>
      <w:r w:rsidRPr="00FC0711">
        <w:rPr>
          <w:rFonts w:cstheme="minorHAnsi"/>
          <w:vertAlign w:val="subscript"/>
        </w:rPr>
        <w:t>2</w:t>
      </w:r>
      <w:r w:rsidRPr="00FC0711">
        <w:rPr>
          <w:rFonts w:cstheme="minorHAnsi"/>
        </w:rPr>
        <w:t xml:space="preserve"> piesaistes </w:t>
      </w:r>
      <w:r w:rsidRPr="00FC0711">
        <w:rPr>
          <w:rFonts w:cstheme="minorHAnsi"/>
          <w:b/>
          <w:bCs/>
        </w:rPr>
        <w:t>palielināšana zemes izmantošanas, zemes izmantošanas maiņas un mežsaimniecības sektorā</w:t>
      </w:r>
      <w:r w:rsidRPr="00FC0711">
        <w:rPr>
          <w:rFonts w:cstheme="minorHAnsi"/>
        </w:rPr>
        <w:t xml:space="preserve">; </w:t>
      </w:r>
    </w:p>
    <w:p w:rsidR="00110C50" w:rsidRPr="00FC0711" w:rsidRDefault="00110C50" w:rsidP="00A5348E">
      <w:pPr>
        <w:pStyle w:val="ListParagraph"/>
        <w:numPr>
          <w:ilvl w:val="0"/>
          <w:numId w:val="3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  <w:szCs w:val="24"/>
        </w:rPr>
      </w:pPr>
      <w:proofErr w:type="spellStart"/>
      <w:r w:rsidRPr="00FC0711">
        <w:rPr>
          <w:rFonts w:cstheme="minorHAnsi"/>
          <w:b/>
        </w:rPr>
        <w:t>Fluorēto</w:t>
      </w:r>
      <w:proofErr w:type="spellEnd"/>
      <w:r w:rsidRPr="00FC0711">
        <w:rPr>
          <w:rFonts w:cstheme="minorHAnsi"/>
          <w:b/>
        </w:rPr>
        <w:t xml:space="preserve"> siltumnīcefekta gāzu (F-gāzu) izmantošanas samazināšanas veicināšana</w:t>
      </w:r>
    </w:p>
    <w:p w:rsidR="00110C50" w:rsidRPr="00FC0711" w:rsidRDefault="00110C50" w:rsidP="00A5348E">
      <w:pPr>
        <w:pStyle w:val="ListParagraph"/>
        <w:numPr>
          <w:ilvl w:val="0"/>
          <w:numId w:val="3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  <w:szCs w:val="24"/>
        </w:rPr>
      </w:pPr>
      <w:r w:rsidRPr="00FC0711">
        <w:rPr>
          <w:rFonts w:cstheme="minorHAnsi"/>
          <w:b/>
          <w:bCs/>
          <w:szCs w:val="24"/>
        </w:rPr>
        <w:t>Nodokļu sistēmas</w:t>
      </w:r>
      <w:r w:rsidRPr="00FC0711">
        <w:rPr>
          <w:rFonts w:cstheme="minorHAnsi"/>
          <w:szCs w:val="24"/>
        </w:rPr>
        <w:t xml:space="preserve"> “</w:t>
      </w:r>
      <w:proofErr w:type="spellStart"/>
      <w:r w:rsidRPr="00FC0711">
        <w:rPr>
          <w:rFonts w:cstheme="minorHAnsi"/>
          <w:szCs w:val="24"/>
        </w:rPr>
        <w:t>zaļināšana</w:t>
      </w:r>
      <w:proofErr w:type="spellEnd"/>
      <w:r w:rsidRPr="00FC0711">
        <w:rPr>
          <w:rFonts w:cstheme="minorHAnsi"/>
          <w:szCs w:val="24"/>
        </w:rPr>
        <w:t>” un draudzīguma pievilcīguma energoefektivitātei un AER tehnoloģijām uzlabošana;</w:t>
      </w:r>
    </w:p>
    <w:p w:rsidR="00D82336" w:rsidRPr="00FC0711" w:rsidRDefault="00A5348E" w:rsidP="00A5348E">
      <w:pPr>
        <w:pStyle w:val="ListParagraph"/>
        <w:numPr>
          <w:ilvl w:val="0"/>
          <w:numId w:val="3"/>
        </w:numPr>
        <w:spacing w:before="120" w:after="120" w:line="240" w:lineRule="auto"/>
        <w:ind w:left="397" w:hanging="397"/>
        <w:contextualSpacing w:val="0"/>
        <w:jc w:val="both"/>
        <w:rPr>
          <w:rFonts w:cstheme="minorHAnsi"/>
          <w:szCs w:val="24"/>
        </w:rPr>
      </w:pPr>
      <w:r w:rsidRPr="00FC0711">
        <w:rPr>
          <w:rFonts w:cstheme="minorHAnsi"/>
          <w:b/>
        </w:rPr>
        <w:t>Sabiedrības informēšana</w:t>
      </w:r>
      <w:r w:rsidRPr="00FC0711">
        <w:rPr>
          <w:rFonts w:cstheme="minorHAnsi"/>
        </w:rPr>
        <w:t>, izglītošana un izpratnes veicināšana.</w:t>
      </w:r>
    </w:p>
    <w:sectPr w:rsidR="00D82336" w:rsidRPr="00FC0711" w:rsidSect="00CC5ED7">
      <w:headerReference w:type="default" r:id="rId8"/>
      <w:pgSz w:w="11906" w:h="16838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FF3" w:rsidRDefault="00783FF3" w:rsidP="00FC0711">
      <w:pPr>
        <w:spacing w:after="0" w:line="240" w:lineRule="auto"/>
      </w:pPr>
      <w:r>
        <w:separator/>
      </w:r>
    </w:p>
  </w:endnote>
  <w:endnote w:type="continuationSeparator" w:id="0">
    <w:p w:rsidR="00783FF3" w:rsidRDefault="00783FF3" w:rsidP="00FC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FF3" w:rsidRDefault="00783FF3" w:rsidP="00FC0711">
      <w:pPr>
        <w:spacing w:after="0" w:line="240" w:lineRule="auto"/>
      </w:pPr>
      <w:r>
        <w:separator/>
      </w:r>
    </w:p>
  </w:footnote>
  <w:footnote w:type="continuationSeparator" w:id="0">
    <w:p w:rsidR="00783FF3" w:rsidRDefault="00783FF3" w:rsidP="00FC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1270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5ED7" w:rsidRDefault="00CC5E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ED7" w:rsidRDefault="00CC5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63F95"/>
    <w:multiLevelType w:val="multilevel"/>
    <w:tmpl w:val="19505EE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263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A9396D"/>
    <w:multiLevelType w:val="hybridMultilevel"/>
    <w:tmpl w:val="38D48EBA"/>
    <w:lvl w:ilvl="0" w:tplc="DA601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D7CDC"/>
    <w:multiLevelType w:val="hybridMultilevel"/>
    <w:tmpl w:val="D84EC13E"/>
    <w:lvl w:ilvl="0" w:tplc="30B04F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8E"/>
    <w:rsid w:val="000402F5"/>
    <w:rsid w:val="000B2B97"/>
    <w:rsid w:val="00110C50"/>
    <w:rsid w:val="001515B0"/>
    <w:rsid w:val="00225FC3"/>
    <w:rsid w:val="006C7E73"/>
    <w:rsid w:val="00783FF3"/>
    <w:rsid w:val="00A5348E"/>
    <w:rsid w:val="00B573BB"/>
    <w:rsid w:val="00CC5ED7"/>
    <w:rsid w:val="00E04A1B"/>
    <w:rsid w:val="00E106E2"/>
    <w:rsid w:val="00E1306C"/>
    <w:rsid w:val="00E816BF"/>
    <w:rsid w:val="00F13D8B"/>
    <w:rsid w:val="00F93DC0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2D7AE"/>
  <w15:chartTrackingRefBased/>
  <w15:docId w15:val="{991F59E1-956F-4D66-A04A-5878CA6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8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48E"/>
    <w:pPr>
      <w:keepNext/>
      <w:keepLines/>
      <w:numPr>
        <w:numId w:val="1"/>
      </w:numPr>
      <w:tabs>
        <w:tab w:val="left" w:pos="2694"/>
      </w:tabs>
      <w:spacing w:before="120" w:after="120" w:line="240" w:lineRule="auto"/>
      <w:ind w:left="709" w:hanging="709"/>
      <w:outlineLvl w:val="0"/>
    </w:pPr>
    <w:rPr>
      <w:rFonts w:ascii="Times New Roman" w:eastAsia="Times New Roman" w:hAnsi="Times New Roman" w:cs="Times New Roman"/>
      <w:b/>
      <w:sz w:val="28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48E"/>
    <w:pPr>
      <w:keepNext/>
      <w:keepLines/>
      <w:numPr>
        <w:ilvl w:val="1"/>
        <w:numId w:val="1"/>
      </w:numPr>
      <w:spacing w:before="40" w:after="0"/>
      <w:ind w:left="680" w:hanging="567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48E"/>
    <w:pPr>
      <w:keepNext/>
      <w:keepLines/>
      <w:numPr>
        <w:ilvl w:val="2"/>
        <w:numId w:val="1"/>
      </w:numPr>
      <w:spacing w:before="120" w:after="120" w:line="240" w:lineRule="auto"/>
      <w:ind w:left="680" w:hanging="680"/>
      <w:jc w:val="both"/>
      <w:outlineLvl w:val="2"/>
    </w:pPr>
    <w:rPr>
      <w:rFonts w:ascii="Times New Roman" w:eastAsiaTheme="majorEastAsia" w:hAnsi="Times New Roman" w:cs="Times New Roman"/>
      <w:szCs w:val="24"/>
      <w:u w:val="single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348E"/>
    <w:pPr>
      <w:keepNext/>
      <w:keepLines/>
      <w:numPr>
        <w:ilvl w:val="3"/>
        <w:numId w:val="1"/>
      </w:numPr>
      <w:tabs>
        <w:tab w:val="left" w:pos="993"/>
      </w:tabs>
      <w:spacing w:before="120" w:after="120" w:line="240" w:lineRule="auto"/>
      <w:ind w:left="0" w:firstLine="0"/>
      <w:outlineLvl w:val="3"/>
    </w:pPr>
    <w:rPr>
      <w:rFonts w:ascii="Times New Roman" w:eastAsiaTheme="majorEastAsia" w:hAnsi="Times New Roman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48E"/>
    <w:rPr>
      <w:rFonts w:ascii="Times New Roman" w:eastAsia="Times New Roman" w:hAnsi="Times New Roman" w:cs="Times New Roman"/>
      <w:b/>
      <w:sz w:val="28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5348E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348E"/>
    <w:rPr>
      <w:rFonts w:ascii="Times New Roman" w:eastAsiaTheme="majorEastAsia" w:hAnsi="Times New Roman" w:cs="Times New Roman"/>
      <w:sz w:val="24"/>
      <w:szCs w:val="24"/>
      <w:u w:val="single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5348E"/>
    <w:rPr>
      <w:rFonts w:ascii="Times New Roman" w:eastAsiaTheme="majorEastAsia" w:hAnsi="Times New Roman" w:cs="Times New Roman"/>
      <w:i/>
      <w:iCs/>
      <w:sz w:val="24"/>
      <w:szCs w:val="24"/>
    </w:rPr>
  </w:style>
  <w:style w:type="paragraph" w:styleId="ListParagraph">
    <w:name w:val="List Paragraph"/>
    <w:aliases w:val="2,Strip,Numbered Para 1,Dot pt,No Spacing1,List Paragraph Char Char Char,Indicator Text,List Paragraph1,Bullet Points,MAIN CONTENT,IFCL - List Paragraph,List Paragraph12,OBC Bullet,F5 List Paragraph,Colorful List - Accent 11"/>
    <w:basedOn w:val="Normal"/>
    <w:link w:val="ListParagraphChar"/>
    <w:uiPriority w:val="34"/>
    <w:qFormat/>
    <w:rsid w:val="00A5348E"/>
    <w:pPr>
      <w:ind w:left="720"/>
      <w:contextualSpacing/>
    </w:pPr>
  </w:style>
  <w:style w:type="character" w:customStyle="1" w:styleId="ListParagraphChar">
    <w:name w:val="List Paragraph Char"/>
    <w:aliases w:val="2 Char,Strip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A5348E"/>
    <w:rPr>
      <w:sz w:val="24"/>
    </w:rPr>
  </w:style>
  <w:style w:type="paragraph" w:styleId="Caption">
    <w:name w:val="caption"/>
    <w:aliases w:val="Beschriftung Char"/>
    <w:basedOn w:val="Normal"/>
    <w:next w:val="Normal"/>
    <w:link w:val="CaptionChar"/>
    <w:uiPriority w:val="35"/>
    <w:unhideWhenUsed/>
    <w:qFormat/>
    <w:rsid w:val="00A5348E"/>
    <w:pPr>
      <w:keepNext/>
      <w:spacing w:before="120" w:after="120" w:line="240" w:lineRule="auto"/>
      <w:jc w:val="center"/>
    </w:pPr>
    <w:rPr>
      <w:rFonts w:ascii="Times New Roman" w:eastAsiaTheme="majorEastAsia" w:hAnsi="Times New Roman" w:cs="Times New Roman"/>
      <w:b/>
      <w:iCs/>
      <w:sz w:val="20"/>
      <w:szCs w:val="20"/>
    </w:rPr>
  </w:style>
  <w:style w:type="character" w:customStyle="1" w:styleId="CaptionChar">
    <w:name w:val="Caption Char"/>
    <w:aliases w:val="Beschriftung Char Char"/>
    <w:link w:val="Caption"/>
    <w:uiPriority w:val="35"/>
    <w:rsid w:val="00A5348E"/>
    <w:rPr>
      <w:rFonts w:ascii="Times New Roman" w:eastAsiaTheme="majorEastAsia" w:hAnsi="Times New Roman" w:cs="Times New Roman"/>
      <w:b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7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C0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7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Rimša</dc:creator>
  <cp:keywords/>
  <dc:description/>
  <cp:lastModifiedBy>Agnete Ālere</cp:lastModifiedBy>
  <cp:revision>1</cp:revision>
  <dcterms:created xsi:type="dcterms:W3CDTF">2019-10-09T13:01:00Z</dcterms:created>
  <dcterms:modified xsi:type="dcterms:W3CDTF">2019-10-09T13:01:00Z</dcterms:modified>
</cp:coreProperties>
</file>