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8AC7" w14:textId="0ADACBAA" w:rsidR="00D82336" w:rsidRDefault="005D3DDE" w:rsidP="005D3DDE">
      <w:pPr>
        <w:spacing w:before="60" w:after="60" w:line="240" w:lineRule="auto"/>
        <w:rPr>
          <w:sz w:val="24"/>
          <w:szCs w:val="24"/>
        </w:rPr>
      </w:pPr>
      <w:r>
        <w:rPr>
          <w:sz w:val="24"/>
          <w:szCs w:val="24"/>
        </w:rPr>
        <w:t>Eiropas Komisijas ieteikumi “P</w:t>
      </w:r>
      <w:r w:rsidRPr="005D3DDE">
        <w:rPr>
          <w:sz w:val="24"/>
          <w:szCs w:val="24"/>
        </w:rPr>
        <w:t>ar Latvijas Republikas integrētā nacionālā enerģētikas un klimata plāna projektu, kas</w:t>
      </w:r>
      <w:r>
        <w:rPr>
          <w:sz w:val="24"/>
          <w:szCs w:val="24"/>
        </w:rPr>
        <w:t xml:space="preserve"> </w:t>
      </w:r>
      <w:r w:rsidRPr="005D3DDE">
        <w:rPr>
          <w:sz w:val="24"/>
          <w:szCs w:val="24"/>
        </w:rPr>
        <w:t>aptver 2021.–2030. gada periodu</w:t>
      </w:r>
      <w:r>
        <w:rPr>
          <w:sz w:val="24"/>
          <w:szCs w:val="24"/>
        </w:rPr>
        <w:t xml:space="preserve">” (2019.gada 18.jūnis) </w:t>
      </w:r>
      <w:bookmarkStart w:id="0" w:name="_GoBack"/>
      <w:bookmarkEnd w:id="0"/>
      <w:r>
        <w:rPr>
          <w:sz w:val="24"/>
          <w:szCs w:val="24"/>
        </w:rPr>
        <w:t>ir izvērtēti.</w:t>
      </w:r>
    </w:p>
    <w:p w14:paraId="474ECED2" w14:textId="20CE7019" w:rsidR="005D3DDE" w:rsidRDefault="005D3DDE" w:rsidP="005D3DDE">
      <w:pPr>
        <w:spacing w:before="60" w:after="60" w:line="240" w:lineRule="auto"/>
        <w:rPr>
          <w:sz w:val="24"/>
          <w:szCs w:val="24"/>
        </w:rPr>
      </w:pPr>
      <w:r>
        <w:rPr>
          <w:sz w:val="24"/>
          <w:szCs w:val="24"/>
        </w:rPr>
        <w:t>Latvija saskaņā ar Regulas 2018/1999</w:t>
      </w:r>
      <w:r>
        <w:rPr>
          <w:rStyle w:val="FootnoteReference"/>
          <w:sz w:val="24"/>
          <w:szCs w:val="24"/>
        </w:rPr>
        <w:footnoteReference w:id="1"/>
      </w:r>
      <w:r>
        <w:rPr>
          <w:sz w:val="24"/>
          <w:szCs w:val="24"/>
        </w:rPr>
        <w:t xml:space="preserve"> 9.panta 3.punktu ir ņēmusi vērā Eiropas Komisijas ieteikumus.</w:t>
      </w:r>
    </w:p>
    <w:p w14:paraId="34D381CE" w14:textId="7EC411D6" w:rsidR="005D3DDE" w:rsidRDefault="005D3DDE" w:rsidP="005D3DDE">
      <w:pPr>
        <w:spacing w:before="60" w:after="60" w:line="240" w:lineRule="auto"/>
        <w:rPr>
          <w:sz w:val="24"/>
          <w:szCs w:val="24"/>
        </w:rPr>
      </w:pPr>
      <w:r>
        <w:rPr>
          <w:sz w:val="24"/>
          <w:szCs w:val="24"/>
        </w:rPr>
        <w:t>Zemāk Latvija sniedz un publicē pamatojumu Eiropas Komisijas ieteikumu vērā ņemšanai.</w:t>
      </w:r>
    </w:p>
    <w:tbl>
      <w:tblPr>
        <w:tblStyle w:val="TableGrid"/>
        <w:tblW w:w="0" w:type="auto"/>
        <w:tblLook w:val="04A0" w:firstRow="1" w:lastRow="0" w:firstColumn="1" w:lastColumn="0" w:noHBand="0" w:noVBand="1"/>
      </w:tblPr>
      <w:tblGrid>
        <w:gridCol w:w="5949"/>
        <w:gridCol w:w="1559"/>
        <w:gridCol w:w="6441"/>
      </w:tblGrid>
      <w:tr w:rsidR="005D3DDE" w:rsidRPr="00326B0B" w14:paraId="72834188" w14:textId="77777777" w:rsidTr="00F97919">
        <w:trPr>
          <w:tblHeader/>
        </w:trPr>
        <w:tc>
          <w:tcPr>
            <w:tcW w:w="5949" w:type="dxa"/>
            <w:shd w:val="clear" w:color="auto" w:fill="F2F2F2" w:themeFill="background1" w:themeFillShade="F2"/>
            <w:vAlign w:val="center"/>
          </w:tcPr>
          <w:p w14:paraId="391DA174" w14:textId="77777777" w:rsidR="005D3DDE" w:rsidRPr="00326B0B" w:rsidRDefault="005D3DDE" w:rsidP="00F97919">
            <w:pPr>
              <w:jc w:val="center"/>
              <w:rPr>
                <w:rFonts w:cstheme="minorHAnsi"/>
                <w:b/>
                <w:bCs/>
                <w:sz w:val="20"/>
                <w:szCs w:val="20"/>
              </w:rPr>
            </w:pPr>
            <w:r w:rsidRPr="00326B0B">
              <w:rPr>
                <w:rFonts w:cstheme="minorHAnsi"/>
                <w:b/>
                <w:bCs/>
                <w:sz w:val="20"/>
                <w:szCs w:val="20"/>
              </w:rPr>
              <w:t>EK rekomendācija</w:t>
            </w:r>
          </w:p>
        </w:tc>
        <w:tc>
          <w:tcPr>
            <w:tcW w:w="1559" w:type="dxa"/>
            <w:shd w:val="clear" w:color="auto" w:fill="F2F2F2" w:themeFill="background1" w:themeFillShade="F2"/>
            <w:vAlign w:val="center"/>
          </w:tcPr>
          <w:p w14:paraId="40C7BF46" w14:textId="77777777" w:rsidR="005D3DDE" w:rsidRPr="00326B0B" w:rsidRDefault="005D3DDE" w:rsidP="00F97919">
            <w:pPr>
              <w:jc w:val="center"/>
              <w:rPr>
                <w:rFonts w:cstheme="minorHAnsi"/>
                <w:b/>
                <w:bCs/>
                <w:sz w:val="20"/>
                <w:szCs w:val="20"/>
              </w:rPr>
            </w:pPr>
            <w:r w:rsidRPr="00326B0B">
              <w:rPr>
                <w:rFonts w:cstheme="minorHAnsi"/>
                <w:b/>
                <w:bCs/>
                <w:sz w:val="20"/>
                <w:szCs w:val="20"/>
              </w:rPr>
              <w:t>Ņemts vērā?</w:t>
            </w:r>
          </w:p>
          <w:p w14:paraId="4A01BBFE" w14:textId="77777777" w:rsidR="005D3DDE" w:rsidRPr="00326B0B" w:rsidRDefault="005D3DDE" w:rsidP="00F97919">
            <w:pPr>
              <w:jc w:val="center"/>
              <w:rPr>
                <w:rFonts w:cstheme="minorHAnsi"/>
                <w:b/>
                <w:bCs/>
                <w:sz w:val="20"/>
                <w:szCs w:val="20"/>
              </w:rPr>
            </w:pPr>
            <w:r w:rsidRPr="00326B0B">
              <w:rPr>
                <w:rFonts w:cstheme="minorHAnsi"/>
                <w:b/>
                <w:bCs/>
                <w:sz w:val="20"/>
                <w:szCs w:val="20"/>
              </w:rPr>
              <w:t>(Y/N/PART)</w:t>
            </w:r>
          </w:p>
        </w:tc>
        <w:tc>
          <w:tcPr>
            <w:tcW w:w="6441" w:type="dxa"/>
            <w:shd w:val="clear" w:color="auto" w:fill="F2F2F2" w:themeFill="background1" w:themeFillShade="F2"/>
            <w:vAlign w:val="center"/>
          </w:tcPr>
          <w:p w14:paraId="3F95D7C4" w14:textId="77777777" w:rsidR="005D3DDE" w:rsidRPr="00326B0B" w:rsidRDefault="005D3DDE" w:rsidP="00F97919">
            <w:pPr>
              <w:jc w:val="center"/>
              <w:rPr>
                <w:rFonts w:cstheme="minorHAnsi"/>
                <w:b/>
                <w:bCs/>
                <w:sz w:val="20"/>
                <w:szCs w:val="20"/>
              </w:rPr>
            </w:pPr>
            <w:r w:rsidRPr="00326B0B">
              <w:rPr>
                <w:rFonts w:cstheme="minorHAnsi"/>
                <w:b/>
                <w:bCs/>
                <w:sz w:val="20"/>
                <w:szCs w:val="20"/>
              </w:rPr>
              <w:t>Kā ir ņemts vērā</w:t>
            </w:r>
          </w:p>
        </w:tc>
      </w:tr>
      <w:tr w:rsidR="005D3DDE" w:rsidRPr="00326B0B" w14:paraId="65C49980" w14:textId="77777777" w:rsidTr="00F97919">
        <w:tc>
          <w:tcPr>
            <w:tcW w:w="5949" w:type="dxa"/>
          </w:tcPr>
          <w:p w14:paraId="3075FB9D" w14:textId="77777777" w:rsidR="005D3DDE" w:rsidRPr="00326B0B" w:rsidRDefault="005D3DDE" w:rsidP="00F97919">
            <w:pPr>
              <w:autoSpaceDE w:val="0"/>
              <w:autoSpaceDN w:val="0"/>
              <w:adjustRightInd w:val="0"/>
              <w:spacing w:before="60" w:after="60"/>
              <w:jc w:val="both"/>
              <w:rPr>
                <w:rFonts w:ascii="Times New Roman" w:hAnsi="Times New Roman" w:cs="Times New Roman"/>
                <w:sz w:val="24"/>
                <w:szCs w:val="24"/>
              </w:rPr>
            </w:pPr>
            <w:r w:rsidRPr="00326B0B">
              <w:rPr>
                <w:rFonts w:ascii="Times New Roman" w:hAnsi="Times New Roman" w:cs="Times New Roman"/>
                <w:b/>
                <w:bCs/>
                <w:sz w:val="24"/>
                <w:szCs w:val="24"/>
              </w:rPr>
              <w:t>1.</w:t>
            </w:r>
            <w:r w:rsidRPr="00326B0B">
              <w:rPr>
                <w:rFonts w:ascii="Times New Roman" w:hAnsi="Times New Roman" w:cs="Times New Roman"/>
                <w:sz w:val="24"/>
                <w:szCs w:val="24"/>
              </w:rPr>
              <w:t xml:space="preserve"> Pilnīgāk izstrādāt stratēģiju, kā ES emisijas kvotu tirdzniecības sistēmas neaptvertajās nozarēs sasniegt savu 2030. gada siltumnīcefekta gāzu mērķrādītāju: - 6 % salīdzinājumā ar 2005. gadu. </w:t>
            </w:r>
          </w:p>
        </w:tc>
        <w:tc>
          <w:tcPr>
            <w:tcW w:w="1559" w:type="dxa"/>
            <w:shd w:val="clear" w:color="auto" w:fill="A8D08D" w:themeFill="accent6" w:themeFillTint="99"/>
          </w:tcPr>
          <w:p w14:paraId="39427D98"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46D8F59A" w14:textId="77777777" w:rsidR="005D3DDE" w:rsidRPr="00326B0B" w:rsidRDefault="005D3DDE" w:rsidP="00F97919">
            <w:pPr>
              <w:spacing w:before="60" w:after="60"/>
              <w:rPr>
                <w:sz w:val="24"/>
                <w:szCs w:val="24"/>
              </w:rPr>
            </w:pPr>
            <w:r w:rsidRPr="00326B0B">
              <w:rPr>
                <w:sz w:val="24"/>
                <w:szCs w:val="24"/>
              </w:rPr>
              <w:t>Plāna 4. nodaļa un 4.pielikums.</w:t>
            </w:r>
          </w:p>
          <w:p w14:paraId="0C52F66E" w14:textId="77777777" w:rsidR="005D3DDE" w:rsidRPr="00326B0B" w:rsidRDefault="005D3DDE" w:rsidP="00F97919">
            <w:pPr>
              <w:spacing w:before="60" w:after="60"/>
              <w:rPr>
                <w:sz w:val="24"/>
                <w:szCs w:val="24"/>
              </w:rPr>
            </w:pPr>
            <w:r w:rsidRPr="00326B0B">
              <w:rPr>
                <w:sz w:val="24"/>
                <w:szCs w:val="24"/>
              </w:rPr>
              <w:t>Saskaņā ar modelēto mērķa scenāriju, 2030.gadā īstenojot Plāna 4.pielikumā iekļautos rīcības virzienus un pasākumus SEG emisiju samazināšanas mērķis 2030.gadam tiks sasniegt</w:t>
            </w:r>
          </w:p>
        </w:tc>
      </w:tr>
      <w:tr w:rsidR="005D3DDE" w:rsidRPr="00326B0B" w14:paraId="5BDB498B" w14:textId="77777777" w:rsidTr="00F97919">
        <w:tc>
          <w:tcPr>
            <w:tcW w:w="5949" w:type="dxa"/>
          </w:tcPr>
          <w:p w14:paraId="42419E8A" w14:textId="77777777" w:rsidR="005D3DDE" w:rsidRPr="00326B0B" w:rsidRDefault="005D3DDE" w:rsidP="00F97919">
            <w:pPr>
              <w:autoSpaceDE w:val="0"/>
              <w:autoSpaceDN w:val="0"/>
              <w:adjustRightInd w:val="0"/>
              <w:spacing w:before="60" w:after="60"/>
              <w:jc w:val="both"/>
              <w:rPr>
                <w:rFonts w:ascii="Times New Roman" w:hAnsi="Times New Roman" w:cs="Times New Roman"/>
                <w:b/>
                <w:bCs/>
                <w:sz w:val="24"/>
                <w:szCs w:val="24"/>
              </w:rPr>
            </w:pPr>
            <w:r w:rsidRPr="00326B0B">
              <w:rPr>
                <w:rFonts w:ascii="Times New Roman" w:hAnsi="Times New Roman" w:cs="Times New Roman"/>
                <w:sz w:val="24"/>
                <w:szCs w:val="24"/>
              </w:rPr>
              <w:t xml:space="preserve">Cita starpā skaidrāk jāformulē, kādas darbības veicamas izklāstīto rīcībpolitiku īstenošanai, </w:t>
            </w:r>
          </w:p>
        </w:tc>
        <w:tc>
          <w:tcPr>
            <w:tcW w:w="1559" w:type="dxa"/>
            <w:shd w:val="clear" w:color="auto" w:fill="A8D08D" w:themeFill="accent6" w:themeFillTint="99"/>
          </w:tcPr>
          <w:p w14:paraId="6A6BE235"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47D1EF6F" w14:textId="77777777" w:rsidR="005D3DDE" w:rsidRPr="00326B0B" w:rsidRDefault="005D3DDE" w:rsidP="00F97919">
            <w:pPr>
              <w:spacing w:before="60" w:after="60"/>
              <w:rPr>
                <w:sz w:val="24"/>
                <w:szCs w:val="24"/>
              </w:rPr>
            </w:pPr>
            <w:r w:rsidRPr="00326B0B">
              <w:rPr>
                <w:sz w:val="24"/>
                <w:szCs w:val="24"/>
              </w:rPr>
              <w:t>Plāna 4. nodaļa un 4.pielikums.</w:t>
            </w:r>
          </w:p>
        </w:tc>
      </w:tr>
      <w:tr w:rsidR="005D3DDE" w:rsidRPr="00326B0B" w14:paraId="38205CC7" w14:textId="77777777" w:rsidTr="00F97919">
        <w:tc>
          <w:tcPr>
            <w:tcW w:w="5949" w:type="dxa"/>
          </w:tcPr>
          <w:p w14:paraId="06A139A2" w14:textId="77777777" w:rsidR="005D3DDE" w:rsidRPr="00326B0B" w:rsidRDefault="005D3DDE" w:rsidP="00F97919">
            <w:pPr>
              <w:autoSpaceDE w:val="0"/>
              <w:autoSpaceDN w:val="0"/>
              <w:adjustRightInd w:val="0"/>
              <w:spacing w:before="60" w:after="60"/>
              <w:jc w:val="both"/>
              <w:rPr>
                <w:rFonts w:ascii="Times New Roman" w:hAnsi="Times New Roman" w:cs="Times New Roman"/>
                <w:sz w:val="24"/>
                <w:szCs w:val="24"/>
              </w:rPr>
            </w:pPr>
            <w:r w:rsidRPr="00326B0B">
              <w:rPr>
                <w:rFonts w:ascii="Times New Roman" w:hAnsi="Times New Roman" w:cs="Times New Roman"/>
                <w:sz w:val="24"/>
                <w:szCs w:val="24"/>
              </w:rPr>
              <w:t>un uz Eiropas Parlamenta un Padomes Regulā (ES) Nr. 2018/841 izklāstīto uzskaites noteikumu pamata jāanalizē zemes izmantošanas, zemes izmantošanas maiņas un mežsaimniecības nozares loma.</w:t>
            </w:r>
          </w:p>
        </w:tc>
        <w:tc>
          <w:tcPr>
            <w:tcW w:w="1559" w:type="dxa"/>
            <w:shd w:val="clear" w:color="auto" w:fill="A8D08D" w:themeFill="accent6" w:themeFillTint="99"/>
          </w:tcPr>
          <w:p w14:paraId="722CB10C"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37911837" w14:textId="77777777" w:rsidR="005D3DDE" w:rsidRPr="00326B0B" w:rsidRDefault="005D3DDE" w:rsidP="00F97919">
            <w:pPr>
              <w:spacing w:before="60" w:after="60"/>
              <w:rPr>
                <w:sz w:val="24"/>
                <w:szCs w:val="24"/>
              </w:rPr>
            </w:pPr>
            <w:r w:rsidRPr="00326B0B">
              <w:rPr>
                <w:sz w:val="24"/>
                <w:szCs w:val="24"/>
              </w:rPr>
              <w:t>Plāna 3.nodaļa</w:t>
            </w:r>
          </w:p>
          <w:p w14:paraId="545ABD63" w14:textId="77777777" w:rsidR="005D3DDE" w:rsidRPr="00326B0B" w:rsidRDefault="005D3DDE" w:rsidP="00F97919">
            <w:pPr>
              <w:spacing w:before="60" w:after="60"/>
              <w:rPr>
                <w:sz w:val="24"/>
                <w:szCs w:val="24"/>
              </w:rPr>
            </w:pPr>
            <w:r w:rsidRPr="00326B0B">
              <w:rPr>
                <w:sz w:val="24"/>
                <w:szCs w:val="24"/>
              </w:rPr>
              <w:t>ZIZIMM mērķi paredzēts sasniegt šādu ZIZIMM zemes lietojuma kategoriju ietvaros – aramzeme, pļavas un ieaudzēts mežs. Vienlaicīgi plānots pētīt un īstenot risinājumus, kas vērsti uz organisko augšņu ietekmēto emisiju samazināšanu ZIZIMM sektorā.</w:t>
            </w:r>
          </w:p>
        </w:tc>
      </w:tr>
      <w:tr w:rsidR="005D3DDE" w:rsidRPr="00326B0B" w14:paraId="26844770" w14:textId="77777777" w:rsidTr="00F97919">
        <w:tc>
          <w:tcPr>
            <w:tcW w:w="5949" w:type="dxa"/>
          </w:tcPr>
          <w:p w14:paraId="4C9401A7"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2. Izvirzīt daudz vērienīgākus uzdevumus 2030. gadam, proti, noteikt, ka atjaunojamās enerģijas īpatsvaram, kas būs Latvijas devums Savienības 2030. gada atjaunojamās enerģijas mērķrādītāja sasniegšanā, jābūt vismaz 50 %, kā tas izriet no Regulas (ES) 2018/1999 II pielikumā dotās formulas.</w:t>
            </w:r>
          </w:p>
        </w:tc>
        <w:tc>
          <w:tcPr>
            <w:tcW w:w="1559" w:type="dxa"/>
            <w:shd w:val="clear" w:color="auto" w:fill="A8D08D" w:themeFill="accent6" w:themeFillTint="99"/>
          </w:tcPr>
          <w:p w14:paraId="651048D2"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3CC6825F" w14:textId="77777777" w:rsidR="005D3DDE" w:rsidRPr="00326B0B" w:rsidRDefault="005D3DDE" w:rsidP="00F97919">
            <w:pPr>
              <w:spacing w:before="60" w:after="60"/>
              <w:rPr>
                <w:sz w:val="24"/>
                <w:szCs w:val="24"/>
              </w:rPr>
            </w:pPr>
            <w:r w:rsidRPr="00326B0B">
              <w:rPr>
                <w:sz w:val="24"/>
                <w:szCs w:val="24"/>
              </w:rPr>
              <w:t>Plāna 3.1.2.nodaļa (16.tabula)</w:t>
            </w:r>
          </w:p>
        </w:tc>
      </w:tr>
      <w:tr w:rsidR="005D3DDE" w:rsidRPr="00326B0B" w14:paraId="622A0143" w14:textId="77777777" w:rsidTr="00F97919">
        <w:tc>
          <w:tcPr>
            <w:tcW w:w="5949" w:type="dxa"/>
          </w:tcPr>
          <w:p w14:paraId="3BB54DC2"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 xml:space="preserve">Tā kā minētā mērķrādītāja kopīga sasniegšana prasa lielākus pūliņus, integrētā nacionālā enerģētikas un klimata plāna galīgajā redakcijā jāiekļauj indikatīva trajektorija, pēc kuras vadoties, tiek sasniegti visi Regulas (ES) </w:t>
            </w:r>
            <w:r w:rsidRPr="00326B0B">
              <w:rPr>
                <w:rFonts w:ascii="Times New Roman" w:hAnsi="Times New Roman" w:cs="Times New Roman"/>
                <w:sz w:val="24"/>
                <w:szCs w:val="24"/>
              </w:rPr>
              <w:lastRenderedPageBreak/>
              <w:t>2018/1999 4. panta a) punkta 2) apakšpunktā minētie atsauces punkti atbilstoši minētajam īpatsvaram.</w:t>
            </w:r>
          </w:p>
        </w:tc>
        <w:tc>
          <w:tcPr>
            <w:tcW w:w="1559" w:type="dxa"/>
            <w:shd w:val="clear" w:color="auto" w:fill="A8D08D" w:themeFill="accent6" w:themeFillTint="99"/>
          </w:tcPr>
          <w:p w14:paraId="3574DC8D" w14:textId="77777777" w:rsidR="005D3DDE" w:rsidRPr="00326B0B" w:rsidRDefault="005D3DDE" w:rsidP="00F97919">
            <w:pPr>
              <w:spacing w:before="60" w:after="60"/>
              <w:jc w:val="center"/>
              <w:rPr>
                <w:b/>
                <w:bCs/>
                <w:sz w:val="24"/>
                <w:szCs w:val="24"/>
              </w:rPr>
            </w:pPr>
            <w:r w:rsidRPr="00326B0B">
              <w:rPr>
                <w:b/>
                <w:bCs/>
                <w:sz w:val="24"/>
                <w:szCs w:val="24"/>
              </w:rPr>
              <w:lastRenderedPageBreak/>
              <w:t>Y</w:t>
            </w:r>
          </w:p>
        </w:tc>
        <w:tc>
          <w:tcPr>
            <w:tcW w:w="6441" w:type="dxa"/>
          </w:tcPr>
          <w:p w14:paraId="5F3DD53A" w14:textId="77777777" w:rsidR="005D3DDE" w:rsidRPr="00326B0B" w:rsidRDefault="005D3DDE" w:rsidP="00F97919">
            <w:pPr>
              <w:spacing w:before="60" w:after="60"/>
              <w:rPr>
                <w:sz w:val="24"/>
                <w:szCs w:val="24"/>
              </w:rPr>
            </w:pPr>
            <w:r w:rsidRPr="00326B0B">
              <w:rPr>
                <w:sz w:val="24"/>
                <w:szCs w:val="24"/>
              </w:rPr>
              <w:t>Plāna 3.1.2.nodaļa (16.tabula)</w:t>
            </w:r>
          </w:p>
        </w:tc>
      </w:tr>
      <w:tr w:rsidR="005D3DDE" w:rsidRPr="00326B0B" w14:paraId="245A3033" w14:textId="77777777" w:rsidTr="00F97919">
        <w:tc>
          <w:tcPr>
            <w:tcW w:w="5949" w:type="dxa"/>
          </w:tcPr>
          <w:p w14:paraId="007F5676"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Jāizklāsta detalizētas un kvantificētas rīcībpolitikas un pasākumi, kas atbilst Eiropas Parlamenta un Padomes Direktīvā (ES) 2018/2001 noteiktajiem pienākumiem un kas ļautu šo devumu realizēt savlaicīgi un izmaksefektīvi.</w:t>
            </w:r>
          </w:p>
        </w:tc>
        <w:tc>
          <w:tcPr>
            <w:tcW w:w="1559" w:type="dxa"/>
            <w:shd w:val="clear" w:color="auto" w:fill="A8D08D" w:themeFill="accent6" w:themeFillTint="99"/>
          </w:tcPr>
          <w:p w14:paraId="3024AEA8"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0A4D28F2" w14:textId="77777777" w:rsidR="005D3DDE" w:rsidRPr="00326B0B" w:rsidRDefault="005D3DDE" w:rsidP="00F97919">
            <w:pPr>
              <w:spacing w:before="60" w:after="60"/>
              <w:rPr>
                <w:sz w:val="24"/>
                <w:szCs w:val="24"/>
              </w:rPr>
            </w:pPr>
            <w:r w:rsidRPr="00326B0B">
              <w:rPr>
                <w:sz w:val="24"/>
                <w:szCs w:val="24"/>
              </w:rPr>
              <w:t>Plāna 4.pielikums</w:t>
            </w:r>
          </w:p>
          <w:p w14:paraId="4D287696" w14:textId="77777777" w:rsidR="005D3DDE" w:rsidRPr="00326B0B" w:rsidRDefault="005D3DDE" w:rsidP="00F97919">
            <w:pPr>
              <w:spacing w:before="60" w:after="60"/>
              <w:rPr>
                <w:sz w:val="24"/>
                <w:szCs w:val="24"/>
              </w:rPr>
            </w:pPr>
            <w:r w:rsidRPr="00326B0B">
              <w:rPr>
                <w:sz w:val="24"/>
                <w:szCs w:val="24"/>
              </w:rPr>
              <w:t>Plāna 4. un 5.nodaļa</w:t>
            </w:r>
          </w:p>
        </w:tc>
      </w:tr>
      <w:tr w:rsidR="005D3DDE" w:rsidRPr="00326B0B" w14:paraId="14AA2927" w14:textId="77777777" w:rsidTr="00F97919">
        <w:tc>
          <w:tcPr>
            <w:tcW w:w="5949" w:type="dxa"/>
          </w:tcPr>
          <w:p w14:paraId="32F7CC46"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Jānodrošina, ka Eiropas Parlamenta un Padomes Direktīvas 2009/28/EK I pielikumā noteiktais atjaunojamās enerģijas mērķrādītājs 2020. gadam tiek sasniegts pilnībā un no 2021. gada kļūst par bāzlīniju</w:t>
            </w:r>
          </w:p>
        </w:tc>
        <w:tc>
          <w:tcPr>
            <w:tcW w:w="1559" w:type="dxa"/>
            <w:shd w:val="clear" w:color="auto" w:fill="A8D08D" w:themeFill="accent6" w:themeFillTint="99"/>
          </w:tcPr>
          <w:p w14:paraId="676478A9"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1475E66E" w14:textId="77777777" w:rsidR="005D3DDE" w:rsidRPr="00326B0B" w:rsidRDefault="005D3DDE" w:rsidP="00F97919">
            <w:pPr>
              <w:spacing w:before="60" w:after="60"/>
              <w:rPr>
                <w:sz w:val="24"/>
                <w:szCs w:val="24"/>
              </w:rPr>
            </w:pPr>
            <w:r w:rsidRPr="00326B0B">
              <w:rPr>
                <w:sz w:val="24"/>
                <w:szCs w:val="24"/>
              </w:rPr>
              <w:t>Plāna 3.1.2.1. nodaļa.</w:t>
            </w:r>
          </w:p>
          <w:p w14:paraId="0A15C72E" w14:textId="77777777" w:rsidR="005D3DDE" w:rsidRPr="00326B0B" w:rsidRDefault="005D3DDE" w:rsidP="00F97919">
            <w:pPr>
              <w:spacing w:before="60" w:after="60"/>
              <w:rPr>
                <w:sz w:val="24"/>
                <w:szCs w:val="24"/>
              </w:rPr>
            </w:pPr>
            <w:r w:rsidRPr="00326B0B">
              <w:rPr>
                <w:sz w:val="24"/>
                <w:szCs w:val="24"/>
              </w:rPr>
              <w:t>Jaunākie RES SHARES aprēķini liecina, ka Latvija izpildīs noteikto 2020.gada mērķi.</w:t>
            </w:r>
          </w:p>
          <w:p w14:paraId="0086F28D" w14:textId="77777777" w:rsidR="005D3DDE" w:rsidRPr="00326B0B" w:rsidRDefault="005D3DDE" w:rsidP="00F97919">
            <w:pPr>
              <w:spacing w:before="60" w:after="60"/>
              <w:rPr>
                <w:sz w:val="24"/>
                <w:szCs w:val="24"/>
              </w:rPr>
            </w:pPr>
            <w:r w:rsidRPr="00326B0B">
              <w:rPr>
                <w:sz w:val="24"/>
                <w:szCs w:val="24"/>
              </w:rPr>
              <w:t>Saskaņā ar modelēto mērķa scenāriju, Latvija izpildīs 2020.gada mērķi un netiek prognozēta AER īpatsvara enerģijas galapatēriņā samazināšanās zem noteiktā 40% īpatsvara.</w:t>
            </w:r>
          </w:p>
          <w:p w14:paraId="5413BF99" w14:textId="77777777" w:rsidR="005D3DDE" w:rsidRPr="00326B0B" w:rsidRDefault="005D3DDE" w:rsidP="00F97919">
            <w:pPr>
              <w:spacing w:before="60" w:after="60"/>
              <w:rPr>
                <w:sz w:val="24"/>
                <w:szCs w:val="24"/>
              </w:rPr>
            </w:pPr>
            <w:r w:rsidRPr="00326B0B">
              <w:rPr>
                <w:sz w:val="24"/>
                <w:szCs w:val="24"/>
              </w:rPr>
              <w:t>Rekomendācija ir izpildāma tikai 2022.gadā, kad tiks noteikts, ka 2020.gada AER mērķis ir izpildīts.</w:t>
            </w:r>
          </w:p>
        </w:tc>
      </w:tr>
      <w:tr w:rsidR="005D3DDE" w:rsidRPr="00326B0B" w14:paraId="5ECAD109" w14:textId="77777777" w:rsidTr="00F97919">
        <w:tc>
          <w:tcPr>
            <w:tcW w:w="5949" w:type="dxa"/>
          </w:tcPr>
          <w:p w14:paraId="5EF97091"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Jāpaskaidro, kā Latvija šādu bāzlīnijas īpatsvaru plāno sasniegt un uzturēt.</w:t>
            </w:r>
          </w:p>
        </w:tc>
        <w:tc>
          <w:tcPr>
            <w:tcW w:w="1559" w:type="dxa"/>
            <w:shd w:val="clear" w:color="auto" w:fill="A8D08D" w:themeFill="accent6" w:themeFillTint="99"/>
          </w:tcPr>
          <w:p w14:paraId="22605BBF"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65AC6588" w14:textId="77777777" w:rsidR="005D3DDE" w:rsidRPr="00326B0B" w:rsidRDefault="005D3DDE" w:rsidP="00F97919">
            <w:pPr>
              <w:spacing w:before="60" w:after="60"/>
              <w:rPr>
                <w:sz w:val="24"/>
                <w:szCs w:val="24"/>
              </w:rPr>
            </w:pPr>
            <w:r w:rsidRPr="00326B0B">
              <w:rPr>
                <w:sz w:val="24"/>
                <w:szCs w:val="24"/>
              </w:rPr>
              <w:t>Plāna 4.pielikums, Plāna 4. un 5.nodaļa.</w:t>
            </w:r>
          </w:p>
          <w:p w14:paraId="21C0069F" w14:textId="77777777" w:rsidR="005D3DDE" w:rsidRPr="00326B0B" w:rsidRDefault="005D3DDE" w:rsidP="00F97919">
            <w:pPr>
              <w:spacing w:before="60" w:after="60"/>
              <w:rPr>
                <w:sz w:val="24"/>
                <w:szCs w:val="24"/>
              </w:rPr>
            </w:pPr>
            <w:r w:rsidRPr="00326B0B">
              <w:rPr>
                <w:sz w:val="24"/>
                <w:szCs w:val="24"/>
              </w:rPr>
              <w:t>Saskaņā ar modelēto mērķa scenāriju, Latvija izpildīs 2020.gada mērķi un netiek prognozēta AER īpatsvara enerģijas galapatēriņā samazināšanās zem noteiktā 40% īpatsvara.</w:t>
            </w:r>
          </w:p>
        </w:tc>
      </w:tr>
      <w:tr w:rsidR="005D3DDE" w:rsidRPr="00326B0B" w14:paraId="14C780C5" w14:textId="77777777" w:rsidTr="00F97919">
        <w:tc>
          <w:tcPr>
            <w:tcW w:w="5949" w:type="dxa"/>
          </w:tcPr>
          <w:p w14:paraId="25C226DB"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Jāizklāsta detalizēti pasākumi, kā tiks sasniegts Direktīvas (ES) 2018/2001 23. pantā noteiktais indikatīvais mērķrādītājs siltumapgādes un aukstumapgādes sektorā un Direktīvas (ES) 2018/2001 25. pantā noteiktais mērķrādītājs attiecībā uz transporta nozari.</w:t>
            </w:r>
          </w:p>
        </w:tc>
        <w:tc>
          <w:tcPr>
            <w:tcW w:w="1559" w:type="dxa"/>
            <w:shd w:val="clear" w:color="auto" w:fill="A8D08D" w:themeFill="accent6" w:themeFillTint="99"/>
          </w:tcPr>
          <w:p w14:paraId="24595835"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1299A905" w14:textId="77777777" w:rsidR="005D3DDE" w:rsidRPr="00326B0B" w:rsidRDefault="005D3DDE" w:rsidP="00F97919">
            <w:pPr>
              <w:spacing w:before="60" w:after="60"/>
              <w:rPr>
                <w:sz w:val="24"/>
                <w:szCs w:val="24"/>
              </w:rPr>
            </w:pPr>
            <w:r w:rsidRPr="00326B0B">
              <w:rPr>
                <w:sz w:val="24"/>
                <w:szCs w:val="24"/>
              </w:rPr>
              <w:t>Plāna 4.pielikums, Plāna 4. un 5.nodaļa</w:t>
            </w:r>
          </w:p>
          <w:p w14:paraId="2BF5EE66" w14:textId="77777777" w:rsidR="005D3DDE" w:rsidRPr="00326B0B" w:rsidRDefault="005D3DDE" w:rsidP="00F97919">
            <w:pPr>
              <w:spacing w:before="60" w:after="60"/>
              <w:rPr>
                <w:sz w:val="24"/>
                <w:szCs w:val="24"/>
              </w:rPr>
            </w:pPr>
            <w:r w:rsidRPr="00326B0B">
              <w:rPr>
                <w:sz w:val="24"/>
                <w:szCs w:val="24"/>
              </w:rPr>
              <w:t>Saskaņā ar modelēto mērķa scenāriju, Latvija izpildīs 2030.gada mērķi attiecībā uz AER īpatsvaru siltumapgādē un aukstumapgādē un izpildīs AER īpatsvara mērķus transportā</w:t>
            </w:r>
          </w:p>
        </w:tc>
      </w:tr>
      <w:tr w:rsidR="005D3DDE" w:rsidRPr="00326B0B" w14:paraId="169D5FD7" w14:textId="77777777" w:rsidTr="00F97919">
        <w:tc>
          <w:tcPr>
            <w:tcW w:w="5949" w:type="dxa"/>
          </w:tcPr>
          <w:p w14:paraId="44A3C482"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Jāsniedz sīkāka informācija par labvēlīgu regulējumu un pasākumiem, kas sekmē atjaunojamās enerģijas pašpatēriņu un atjaunojamās enerģijas kopienas, kā paredzēts Direktīvas (ES) 2018/2001 21. un 22. pantā.</w:t>
            </w:r>
          </w:p>
        </w:tc>
        <w:tc>
          <w:tcPr>
            <w:tcW w:w="1559" w:type="dxa"/>
            <w:shd w:val="clear" w:color="auto" w:fill="A8D08D" w:themeFill="accent6" w:themeFillTint="99"/>
          </w:tcPr>
          <w:p w14:paraId="59B678E1" w14:textId="77777777" w:rsidR="005D3DDE" w:rsidRPr="00326B0B" w:rsidRDefault="005D3DDE" w:rsidP="00F97919">
            <w:pPr>
              <w:jc w:val="center"/>
              <w:rPr>
                <w:b/>
                <w:bCs/>
                <w:sz w:val="24"/>
                <w:szCs w:val="24"/>
              </w:rPr>
            </w:pPr>
            <w:r w:rsidRPr="00326B0B">
              <w:rPr>
                <w:b/>
                <w:bCs/>
                <w:sz w:val="24"/>
                <w:szCs w:val="24"/>
              </w:rPr>
              <w:t>Y</w:t>
            </w:r>
          </w:p>
        </w:tc>
        <w:tc>
          <w:tcPr>
            <w:tcW w:w="6441" w:type="dxa"/>
          </w:tcPr>
          <w:p w14:paraId="48483EC8" w14:textId="77777777" w:rsidR="005D3DDE" w:rsidRPr="00326B0B" w:rsidRDefault="005D3DDE" w:rsidP="00F97919">
            <w:pPr>
              <w:spacing w:before="60" w:after="60"/>
              <w:rPr>
                <w:sz w:val="24"/>
                <w:szCs w:val="24"/>
              </w:rPr>
            </w:pPr>
            <w:r w:rsidRPr="00326B0B">
              <w:rPr>
                <w:sz w:val="24"/>
                <w:szCs w:val="24"/>
              </w:rPr>
              <w:t>4.rīcības virziens – Plāna 4.8.nodaļa un 4.pielikums</w:t>
            </w:r>
          </w:p>
        </w:tc>
      </w:tr>
      <w:tr w:rsidR="005D3DDE" w:rsidRPr="00326B0B" w14:paraId="1C4073C5" w14:textId="77777777" w:rsidTr="00F97919">
        <w:tc>
          <w:tcPr>
            <w:tcW w:w="5949" w:type="dxa"/>
          </w:tcPr>
          <w:p w14:paraId="2E728523"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lastRenderedPageBreak/>
              <w:t>3. Lai sasniegtu Savienības energoefektivitātes mērķrādītāju 2030. gadam, izvirzīt vērienīgākus uzdevumus, jo īpaši attiecībā uz primārās enerģijas patēriņa samazināšanu, un to sekmēt ar rīcībpolitikām un pasākumiem, kas dotu papildu enerģijas ietaupījumus.</w:t>
            </w:r>
          </w:p>
        </w:tc>
        <w:tc>
          <w:tcPr>
            <w:tcW w:w="1559" w:type="dxa"/>
            <w:shd w:val="clear" w:color="auto" w:fill="A8D08D" w:themeFill="accent6" w:themeFillTint="99"/>
          </w:tcPr>
          <w:p w14:paraId="7A6A54DF"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5C46E1F3" w14:textId="77777777" w:rsidR="005D3DDE" w:rsidRPr="00326B0B" w:rsidRDefault="005D3DDE" w:rsidP="00F97919">
            <w:pPr>
              <w:spacing w:before="60" w:after="60"/>
              <w:rPr>
                <w:sz w:val="24"/>
                <w:szCs w:val="24"/>
              </w:rPr>
            </w:pPr>
            <w:r w:rsidRPr="00326B0B">
              <w:rPr>
                <w:sz w:val="24"/>
                <w:szCs w:val="24"/>
              </w:rPr>
              <w:t>Plāna 3.2.nodaļa.</w:t>
            </w:r>
          </w:p>
          <w:p w14:paraId="265719B2" w14:textId="77777777" w:rsidR="005D3DDE" w:rsidRPr="00326B0B" w:rsidRDefault="005D3DDE" w:rsidP="00F97919">
            <w:pPr>
              <w:spacing w:before="60" w:after="60"/>
              <w:rPr>
                <w:sz w:val="24"/>
                <w:szCs w:val="24"/>
              </w:rPr>
            </w:pPr>
            <w:r w:rsidRPr="00326B0B">
              <w:rPr>
                <w:sz w:val="24"/>
                <w:szCs w:val="24"/>
              </w:rPr>
              <w:t>PEC (primārās enerģijas patēriņš) un FEC (gala enerģijas patēriņa) devumi nav palielināti līdz “sufficient” līmenim, bet tikai līdz “moderate” līmenim (PEC) vai palielināti “moderate” ietvaros (FEC), ņemot vērā Latvijas iespējas sasniegt EK noteikto ambiciozitātes līmeni.</w:t>
            </w:r>
          </w:p>
          <w:p w14:paraId="76818326" w14:textId="77777777" w:rsidR="005D3DDE" w:rsidRPr="00326B0B" w:rsidRDefault="005D3DDE" w:rsidP="00F97919">
            <w:pPr>
              <w:spacing w:before="60" w:after="60"/>
              <w:rPr>
                <w:sz w:val="24"/>
                <w:szCs w:val="24"/>
              </w:rPr>
            </w:pPr>
            <w:r w:rsidRPr="00326B0B">
              <w:rPr>
                <w:sz w:val="24"/>
                <w:szCs w:val="24"/>
              </w:rPr>
              <w:t>Plāna 3.2.1.nodaļā ir sniegts skaidrojums Latvijas devuma izvēlei un to ietekmējošām specifiskajām nacionālajām īpatnībām, kuru vērā ņemšanu nosaka Regulas 2018/1999 6.panta 2.punkts.</w:t>
            </w:r>
          </w:p>
          <w:p w14:paraId="61913F90" w14:textId="77777777" w:rsidR="005D3DDE" w:rsidRPr="00326B0B" w:rsidRDefault="005D3DDE" w:rsidP="00F97919">
            <w:pPr>
              <w:spacing w:before="60" w:after="60"/>
              <w:rPr>
                <w:sz w:val="24"/>
                <w:szCs w:val="24"/>
              </w:rPr>
            </w:pPr>
            <w:r w:rsidRPr="00326B0B">
              <w:rPr>
                <w:sz w:val="24"/>
                <w:szCs w:val="24"/>
              </w:rPr>
              <w:t>Tāpat, ja Eiropas Komisijas izvērtējumā kā salīdzināmais gads tiktu izmantots nevis 2017.gads, kas ir Latvijas energoapgādei netipisks gads dēļ klimatisko apstākļu izraisītā lielā HES enerģijas apjoma (un tā dēļ mazā izmantotā kurināmā apjoma), kā arī būvmateriālu ražotāju stagnācijas radītā zemā enerģijas patēriņa rūpniecībā, bet 2018.gads, tad Latvijas devumu ambiciozitāte atbilstu noteiktajam “sufficient” līmenim.</w:t>
            </w:r>
          </w:p>
        </w:tc>
      </w:tr>
      <w:tr w:rsidR="005D3DDE" w:rsidRPr="00326B0B" w14:paraId="66D4E2C6" w14:textId="77777777" w:rsidTr="00F97919">
        <w:tc>
          <w:tcPr>
            <w:tcW w:w="5949" w:type="dxa"/>
          </w:tcPr>
          <w:p w14:paraId="6FA61B17"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Sīkāk jāapraksta plānotās rīcībpolitikas, jo īpaši ēku un transporta sektorā, kā arī jāsniedz konkrēti aprēķini par enerģijas ietaupījumiem, kas tiks panākti līdz 2030. gadam ar esošajiem un plānotajiem rīcībpolitiskajiem pasākumiem, un jānorāda attiecīgo investīciju laika grafiks.</w:t>
            </w:r>
          </w:p>
        </w:tc>
        <w:tc>
          <w:tcPr>
            <w:tcW w:w="1559" w:type="dxa"/>
            <w:shd w:val="clear" w:color="auto" w:fill="A8D08D" w:themeFill="accent6" w:themeFillTint="99"/>
          </w:tcPr>
          <w:p w14:paraId="526A28FB"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4DB3071D" w14:textId="77777777" w:rsidR="005D3DDE" w:rsidRPr="00326B0B" w:rsidRDefault="005D3DDE" w:rsidP="00F97919">
            <w:pPr>
              <w:spacing w:before="60" w:after="60"/>
              <w:rPr>
                <w:sz w:val="24"/>
                <w:szCs w:val="24"/>
              </w:rPr>
            </w:pPr>
            <w:r w:rsidRPr="00326B0B">
              <w:rPr>
                <w:sz w:val="24"/>
                <w:szCs w:val="24"/>
              </w:rPr>
              <w:t>Plāna 3.2.nodaļa, 4.nodaļa, Plāna 4.pielikums</w:t>
            </w:r>
          </w:p>
          <w:p w14:paraId="6824CCE2" w14:textId="77777777" w:rsidR="005D3DDE" w:rsidRPr="00326B0B" w:rsidRDefault="005D3DDE" w:rsidP="00F97919">
            <w:pPr>
              <w:spacing w:before="60" w:after="60"/>
              <w:rPr>
                <w:sz w:val="24"/>
                <w:szCs w:val="24"/>
              </w:rPr>
            </w:pPr>
            <w:r w:rsidRPr="00326B0B">
              <w:rPr>
                <w:sz w:val="24"/>
                <w:szCs w:val="24"/>
              </w:rPr>
              <w:t>Plāna 3.2.1.nodaļā ir iekļauti energoietaupījumu aprēķins plānotajiem rīcībpolitikas pasākumiem.</w:t>
            </w:r>
          </w:p>
        </w:tc>
      </w:tr>
      <w:tr w:rsidR="005D3DDE" w:rsidRPr="00326B0B" w14:paraId="7D11295C" w14:textId="77777777" w:rsidTr="00F97919">
        <w:tc>
          <w:tcPr>
            <w:tcW w:w="5949" w:type="dxa"/>
          </w:tcPr>
          <w:p w14:paraId="100CBC9F"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t>4. Norādīt pasākumus, kas palīdz sasniegt enerģētiskās drošības mērķus energoavotu dažādošanas un enerģētiskās atkarības mazināšanas jomās, toskait pasākumus, kas nodrošina elastīgumu; te ietilpst arī novērtējums par to, kā ierosinātās rīcībpolitikas un pasākumi nodrošina, ka tiek sasniegts enerģētiskās atkarības samazināšanas mērķrādītājs.</w:t>
            </w:r>
          </w:p>
        </w:tc>
        <w:tc>
          <w:tcPr>
            <w:tcW w:w="1559" w:type="dxa"/>
            <w:shd w:val="clear" w:color="auto" w:fill="A8D08D" w:themeFill="accent6" w:themeFillTint="99"/>
          </w:tcPr>
          <w:p w14:paraId="53ACC872"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2692AF75" w14:textId="77777777" w:rsidR="005D3DDE" w:rsidRPr="00326B0B" w:rsidRDefault="005D3DDE" w:rsidP="00F97919">
            <w:pPr>
              <w:spacing w:before="60" w:after="60"/>
              <w:rPr>
                <w:sz w:val="24"/>
                <w:szCs w:val="24"/>
              </w:rPr>
            </w:pPr>
            <w:r w:rsidRPr="00326B0B">
              <w:rPr>
                <w:sz w:val="24"/>
                <w:szCs w:val="24"/>
              </w:rPr>
              <w:t>Plāna 4.nodaļa, Plāna 4.pielikums.</w:t>
            </w:r>
          </w:p>
          <w:p w14:paraId="6461E083" w14:textId="77777777" w:rsidR="005D3DDE" w:rsidRPr="00326B0B" w:rsidRDefault="005D3DDE" w:rsidP="00F97919">
            <w:pPr>
              <w:spacing w:before="60" w:after="60"/>
              <w:rPr>
                <w:sz w:val="24"/>
                <w:szCs w:val="24"/>
              </w:rPr>
            </w:pPr>
            <w:r w:rsidRPr="00326B0B">
              <w:rPr>
                <w:sz w:val="24"/>
                <w:szCs w:val="24"/>
              </w:rPr>
              <w:t>Latvija jau šobrīd izpilda uzstādītos enerģētiskās atkarības samazināšanas mērķus, kur plānotie AER tehnoloģiju ieviešanas un diferencēšanas pasākumi šo mērķi uzlabos vēl vairāk.</w:t>
            </w:r>
          </w:p>
          <w:p w14:paraId="19EEE699" w14:textId="77777777" w:rsidR="005D3DDE" w:rsidRPr="00326B0B" w:rsidRDefault="005D3DDE" w:rsidP="00F97919">
            <w:pPr>
              <w:spacing w:before="60" w:after="60"/>
              <w:rPr>
                <w:sz w:val="24"/>
                <w:szCs w:val="24"/>
              </w:rPr>
            </w:pPr>
            <w:r w:rsidRPr="00326B0B">
              <w:rPr>
                <w:sz w:val="24"/>
                <w:szCs w:val="24"/>
              </w:rPr>
              <w:t>NEKP noteiktie pasākumi atkarību samazinās, bet nav aprēķināts, par cik īsti</w:t>
            </w:r>
          </w:p>
        </w:tc>
      </w:tr>
      <w:tr w:rsidR="005D3DDE" w:rsidRPr="00326B0B" w14:paraId="5B77A6AE" w14:textId="77777777" w:rsidTr="00F97919">
        <w:tc>
          <w:tcPr>
            <w:tcW w:w="5949" w:type="dxa"/>
          </w:tcPr>
          <w:p w14:paraId="166CADF4"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sz w:val="24"/>
                <w:szCs w:val="24"/>
              </w:rPr>
              <w:lastRenderedPageBreak/>
              <w:t xml:space="preserve">Novērtējot resursu pietiekamību elektroenerģijas sektorā, jāņem vērā reģionālais konteksts. </w:t>
            </w:r>
          </w:p>
        </w:tc>
        <w:tc>
          <w:tcPr>
            <w:tcW w:w="1559" w:type="dxa"/>
            <w:shd w:val="clear" w:color="auto" w:fill="A8D08D" w:themeFill="accent6" w:themeFillTint="99"/>
          </w:tcPr>
          <w:p w14:paraId="625A231C"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3701CF3A" w14:textId="77777777" w:rsidR="005D3DDE" w:rsidRPr="00326B0B" w:rsidRDefault="005D3DDE" w:rsidP="00F97919">
            <w:pPr>
              <w:spacing w:before="60" w:after="60"/>
              <w:rPr>
                <w:sz w:val="24"/>
                <w:szCs w:val="24"/>
              </w:rPr>
            </w:pPr>
            <w:r w:rsidRPr="00326B0B">
              <w:rPr>
                <w:sz w:val="24"/>
                <w:szCs w:val="24"/>
              </w:rPr>
              <w:t>Elektroenerģijas sistēmas attīstības prognozes tiek veiktas pilnībā ievērojot reģionālo kontekstu</w:t>
            </w:r>
          </w:p>
        </w:tc>
      </w:tr>
      <w:tr w:rsidR="005D3DDE" w:rsidRPr="00326B0B" w14:paraId="7D5A4C87" w14:textId="77777777" w:rsidTr="00F97919">
        <w:tc>
          <w:tcPr>
            <w:tcW w:w="5949" w:type="dxa"/>
          </w:tcPr>
          <w:p w14:paraId="18424D69" w14:textId="77777777" w:rsidR="005D3DDE" w:rsidRPr="00326B0B" w:rsidRDefault="005D3DDE" w:rsidP="00F97919">
            <w:pPr>
              <w:autoSpaceDE w:val="0"/>
              <w:autoSpaceDN w:val="0"/>
              <w:adjustRightInd w:val="0"/>
              <w:spacing w:before="60" w:after="60"/>
              <w:jc w:val="both"/>
              <w:rPr>
                <w:rFonts w:ascii="Times New Roman" w:hAnsi="Times New Roman" w:cs="Times New Roman"/>
                <w:sz w:val="24"/>
                <w:szCs w:val="24"/>
              </w:rPr>
            </w:pPr>
            <w:r w:rsidRPr="00326B0B">
              <w:rPr>
                <w:rFonts w:ascii="Times New Roman" w:hAnsi="Times New Roman" w:cs="Times New Roman"/>
                <w:color w:val="000000"/>
                <w:sz w:val="24"/>
                <w:szCs w:val="24"/>
              </w:rPr>
              <w:t xml:space="preserve">5. Definēt tālredzīgus mērķus un mērķrādītājus attiecībā uz tirgus integrāciju, it īpaši pasākumus, kas vairumtirgos un mazumtirgos vairos konkurenci. </w:t>
            </w:r>
          </w:p>
        </w:tc>
        <w:tc>
          <w:tcPr>
            <w:tcW w:w="1559" w:type="dxa"/>
            <w:shd w:val="clear" w:color="auto" w:fill="A8D08D" w:themeFill="accent6" w:themeFillTint="99"/>
          </w:tcPr>
          <w:p w14:paraId="42A073B6"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2083DA4C" w14:textId="77777777" w:rsidR="005D3DDE" w:rsidRPr="00326B0B" w:rsidRDefault="005D3DDE" w:rsidP="00F97919">
            <w:pPr>
              <w:spacing w:before="60" w:after="60"/>
              <w:rPr>
                <w:sz w:val="24"/>
                <w:szCs w:val="24"/>
              </w:rPr>
            </w:pPr>
            <w:r w:rsidRPr="00326B0B">
              <w:rPr>
                <w:sz w:val="24"/>
                <w:szCs w:val="24"/>
              </w:rPr>
              <w:t>Plāna 3.nodaļa un Plāna 4.nodaļas “Enerģētiskā drošība un iekšējais enerģijas tirgus” apakšnodaļā</w:t>
            </w:r>
          </w:p>
        </w:tc>
      </w:tr>
      <w:tr w:rsidR="005D3DDE" w:rsidRPr="00326B0B" w14:paraId="391886A2" w14:textId="77777777" w:rsidTr="00F97919">
        <w:tc>
          <w:tcPr>
            <w:tcW w:w="5949" w:type="dxa"/>
          </w:tcPr>
          <w:p w14:paraId="0C36DCB8"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b/>
                <w:bCs/>
                <w:color w:val="000000"/>
                <w:sz w:val="24"/>
                <w:szCs w:val="24"/>
              </w:rPr>
              <w:t>6.</w:t>
            </w:r>
            <w:r w:rsidRPr="00326B0B">
              <w:rPr>
                <w:rFonts w:ascii="Times New Roman" w:hAnsi="Times New Roman" w:cs="Times New Roman"/>
                <w:color w:val="000000"/>
                <w:sz w:val="24"/>
                <w:szCs w:val="24"/>
              </w:rPr>
              <w:t xml:space="preserve"> Precizēt nacionālos mērķus un finansējuma mērķrādītājus pētniecībā, inovācijā un konkurētspējā (jo īpaši saistībā ar enerģētikas savienību), kas jāsasniedz periodā no 2020. līdz 2030. gadam, lai tie būtu viegli izmērāmi un palīdzētu sasniegt mērķrādītājus pārējās integrētā nacionālā enerģētikas un klimata plāna dimensijās.</w:t>
            </w:r>
          </w:p>
        </w:tc>
        <w:tc>
          <w:tcPr>
            <w:tcW w:w="1559" w:type="dxa"/>
            <w:shd w:val="clear" w:color="auto" w:fill="A8D08D" w:themeFill="accent6" w:themeFillTint="99"/>
          </w:tcPr>
          <w:p w14:paraId="2FBE341E"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2EE2425C" w14:textId="77777777" w:rsidR="005D3DDE" w:rsidRPr="00326B0B" w:rsidRDefault="005D3DDE" w:rsidP="00F97919">
            <w:pPr>
              <w:spacing w:before="60" w:after="60"/>
              <w:rPr>
                <w:sz w:val="24"/>
                <w:szCs w:val="24"/>
              </w:rPr>
            </w:pPr>
            <w:r w:rsidRPr="00326B0B">
              <w:rPr>
                <w:sz w:val="24"/>
                <w:szCs w:val="24"/>
              </w:rPr>
              <w:t>Plāna 3.5.nodaļa</w:t>
            </w:r>
          </w:p>
        </w:tc>
      </w:tr>
      <w:tr w:rsidR="005D3DDE" w:rsidRPr="00326B0B" w14:paraId="64D775D4" w14:textId="77777777" w:rsidTr="00F97919">
        <w:tc>
          <w:tcPr>
            <w:tcW w:w="5949" w:type="dxa"/>
          </w:tcPr>
          <w:p w14:paraId="7CF1CC11"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color w:val="000000"/>
                <w:sz w:val="24"/>
                <w:szCs w:val="24"/>
              </w:rPr>
              <w:t xml:space="preserve">Šie mērķi jāatbalsta ar pienācīgām un specifiskām rīcībpolitikām un pasākumiem, toskait tādām, kas jāizstrādā sadarbībā ar citām dalībvalstīm (piemēram, Energotehnoloģiju stratēģiskais plāns). </w:t>
            </w:r>
          </w:p>
        </w:tc>
        <w:tc>
          <w:tcPr>
            <w:tcW w:w="1559" w:type="dxa"/>
            <w:shd w:val="clear" w:color="auto" w:fill="A8D08D" w:themeFill="accent6" w:themeFillTint="99"/>
          </w:tcPr>
          <w:p w14:paraId="632E927F"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0CB708C0" w14:textId="77777777" w:rsidR="005D3DDE" w:rsidRPr="00326B0B" w:rsidRDefault="005D3DDE" w:rsidP="00F97919">
            <w:pPr>
              <w:spacing w:before="60" w:after="60"/>
              <w:rPr>
                <w:sz w:val="24"/>
                <w:szCs w:val="24"/>
              </w:rPr>
            </w:pPr>
            <w:r w:rsidRPr="00326B0B">
              <w:rPr>
                <w:sz w:val="24"/>
                <w:szCs w:val="24"/>
              </w:rPr>
              <w:t>Plāna 3.5.nodaļa, 4.2.nodaļa un Plāna 4.pielikums</w:t>
            </w:r>
          </w:p>
        </w:tc>
      </w:tr>
      <w:tr w:rsidR="005D3DDE" w:rsidRPr="00326B0B" w14:paraId="6F505F85" w14:textId="77777777" w:rsidTr="00F97919">
        <w:tc>
          <w:tcPr>
            <w:tcW w:w="5949" w:type="dxa"/>
          </w:tcPr>
          <w:p w14:paraId="38D03C2E"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color w:val="000000"/>
                <w:sz w:val="24"/>
                <w:szCs w:val="24"/>
              </w:rPr>
              <w:t>7. Pastiprināt labas reģionālās sadarbības mehānismus starp Baltijas valstīm (Igaunija, Latvija, Lietuva). Attiecināt tos uz jaunām sfērām un paplašināt ģeogrāfisko tvērumu, aptverot arī Ziemeļvalstis (Dānija, Somija, Islande, Norvēģija un Zviedrija).</w:t>
            </w:r>
          </w:p>
        </w:tc>
        <w:tc>
          <w:tcPr>
            <w:tcW w:w="1559" w:type="dxa"/>
            <w:shd w:val="clear" w:color="auto" w:fill="A8D08D" w:themeFill="accent6" w:themeFillTint="99"/>
          </w:tcPr>
          <w:p w14:paraId="27A17559"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781F997E" w14:textId="77777777" w:rsidR="005D3DDE" w:rsidRPr="00326B0B" w:rsidRDefault="005D3DDE" w:rsidP="00F97919">
            <w:pPr>
              <w:spacing w:before="60" w:after="60"/>
              <w:rPr>
                <w:sz w:val="24"/>
                <w:szCs w:val="24"/>
              </w:rPr>
            </w:pPr>
            <w:r w:rsidRPr="00326B0B">
              <w:rPr>
                <w:sz w:val="24"/>
                <w:szCs w:val="24"/>
              </w:rPr>
              <w:t>Plāna 4.nodaļa, Plāna 1.4.nodaļa un 5.4.nodaļa</w:t>
            </w:r>
          </w:p>
        </w:tc>
      </w:tr>
      <w:tr w:rsidR="005D3DDE" w:rsidRPr="00326B0B" w14:paraId="075E9E8D" w14:textId="77777777" w:rsidTr="00F97919">
        <w:trPr>
          <w:trHeight w:val="699"/>
        </w:trPr>
        <w:tc>
          <w:tcPr>
            <w:tcW w:w="5949" w:type="dxa"/>
          </w:tcPr>
          <w:p w14:paraId="796D6F1E" w14:textId="77777777" w:rsidR="005D3DDE" w:rsidRPr="00326B0B" w:rsidRDefault="005D3DDE" w:rsidP="00F97919">
            <w:pPr>
              <w:spacing w:before="60" w:after="60"/>
              <w:rPr>
                <w:rFonts w:ascii="Times New Roman" w:hAnsi="Times New Roman" w:cs="Times New Roman"/>
                <w:sz w:val="24"/>
                <w:szCs w:val="24"/>
              </w:rPr>
            </w:pPr>
            <w:r w:rsidRPr="00326B0B">
              <w:rPr>
                <w:rFonts w:ascii="Times New Roman" w:hAnsi="Times New Roman" w:cs="Times New Roman"/>
                <w:color w:val="000000"/>
                <w:sz w:val="24"/>
                <w:szCs w:val="24"/>
              </w:rPr>
              <w:t>Ņemot vērā to, ka jāmainās elektroenerģijas sistēmām, lai tās varētu uzņemt lielāku atjaunojamo energoresursu elektroenerģijas īpatsvaru, un ka tas palielinās elektroenerģijas importu/eksportu un vajadzību pēc sistēmas elastīguma, reģionālajā sadarbībā uzsvars jāliek uz iekšējo enerģijas tirgu un enerģētiskās drošības jomu, kā arī ir jāpievēršas transporta nozares dekarbonizācijai un reģionālajai sadarbībai pētniecībā.</w:t>
            </w:r>
          </w:p>
        </w:tc>
        <w:tc>
          <w:tcPr>
            <w:tcW w:w="1559" w:type="dxa"/>
            <w:shd w:val="clear" w:color="auto" w:fill="A8D08D" w:themeFill="accent6" w:themeFillTint="99"/>
          </w:tcPr>
          <w:p w14:paraId="764CD133"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7C0282BE" w14:textId="77777777" w:rsidR="005D3DDE" w:rsidRPr="00326B0B" w:rsidRDefault="005D3DDE" w:rsidP="00F97919">
            <w:pPr>
              <w:spacing w:before="60" w:after="60"/>
              <w:rPr>
                <w:sz w:val="24"/>
                <w:szCs w:val="24"/>
              </w:rPr>
            </w:pPr>
            <w:r w:rsidRPr="00326B0B">
              <w:rPr>
                <w:sz w:val="24"/>
                <w:szCs w:val="24"/>
              </w:rPr>
              <w:t>Plāna 1.4 un 5.4.nodaļa</w:t>
            </w:r>
          </w:p>
        </w:tc>
      </w:tr>
      <w:tr w:rsidR="005D3DDE" w:rsidRPr="00326B0B" w14:paraId="10E5157D" w14:textId="77777777" w:rsidTr="00F97919">
        <w:tc>
          <w:tcPr>
            <w:tcW w:w="5949" w:type="dxa"/>
          </w:tcPr>
          <w:p w14:paraId="53F52D83" w14:textId="77777777" w:rsidR="005D3DDE" w:rsidRPr="00326B0B" w:rsidRDefault="005D3DDE" w:rsidP="00F97919">
            <w:pPr>
              <w:autoSpaceDE w:val="0"/>
              <w:autoSpaceDN w:val="0"/>
              <w:adjustRightInd w:val="0"/>
              <w:spacing w:before="60" w:after="60"/>
              <w:jc w:val="both"/>
              <w:rPr>
                <w:rFonts w:ascii="Times New Roman" w:hAnsi="Times New Roman" w:cs="Times New Roman"/>
                <w:sz w:val="24"/>
                <w:szCs w:val="24"/>
              </w:rPr>
            </w:pPr>
            <w:r w:rsidRPr="00326B0B">
              <w:rPr>
                <w:rFonts w:ascii="Times New Roman" w:hAnsi="Times New Roman" w:cs="Times New Roman"/>
                <w:color w:val="000000"/>
                <w:sz w:val="24"/>
                <w:szCs w:val="24"/>
              </w:rPr>
              <w:lastRenderedPageBreak/>
              <w:t xml:space="preserve">8. Uzskaitīt visas enerģijas subsīdijas, jo īpaši fosilajam kurināmajam, un veiktos pasākumus un plānus to pakāpeniskai izbeigšanai. </w:t>
            </w:r>
          </w:p>
        </w:tc>
        <w:tc>
          <w:tcPr>
            <w:tcW w:w="1559" w:type="dxa"/>
            <w:shd w:val="clear" w:color="auto" w:fill="A8D08D" w:themeFill="accent6" w:themeFillTint="99"/>
          </w:tcPr>
          <w:p w14:paraId="7FDFCD75"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47D9FDA9" w14:textId="77777777" w:rsidR="005D3DDE" w:rsidRPr="00326B0B" w:rsidRDefault="005D3DDE" w:rsidP="00F97919">
            <w:pPr>
              <w:spacing w:before="60" w:after="60"/>
              <w:rPr>
                <w:sz w:val="24"/>
                <w:szCs w:val="24"/>
              </w:rPr>
            </w:pPr>
            <w:r w:rsidRPr="00326B0B">
              <w:rPr>
                <w:sz w:val="24"/>
                <w:szCs w:val="24"/>
              </w:rPr>
              <w:t>Plāna 2.nodaļa un 4.pielikums</w:t>
            </w:r>
          </w:p>
        </w:tc>
      </w:tr>
      <w:tr w:rsidR="005D3DDE" w:rsidRPr="00326B0B" w14:paraId="029F7290" w14:textId="77777777" w:rsidTr="00F97919">
        <w:tc>
          <w:tcPr>
            <w:tcW w:w="5949" w:type="dxa"/>
          </w:tcPr>
          <w:p w14:paraId="3F760EC3" w14:textId="77777777" w:rsidR="005D3DDE" w:rsidRPr="00326B0B" w:rsidRDefault="005D3DDE" w:rsidP="00F97919">
            <w:pPr>
              <w:autoSpaceDE w:val="0"/>
              <w:autoSpaceDN w:val="0"/>
              <w:adjustRightInd w:val="0"/>
              <w:spacing w:before="60" w:after="60"/>
              <w:jc w:val="both"/>
              <w:rPr>
                <w:rFonts w:ascii="Times New Roman" w:hAnsi="Times New Roman" w:cs="Times New Roman"/>
                <w:sz w:val="24"/>
                <w:szCs w:val="24"/>
              </w:rPr>
            </w:pPr>
            <w:r w:rsidRPr="00326B0B">
              <w:rPr>
                <w:rFonts w:ascii="Times New Roman" w:hAnsi="Times New Roman" w:cs="Times New Roman"/>
                <w:color w:val="000000"/>
                <w:sz w:val="24"/>
                <w:szCs w:val="24"/>
              </w:rPr>
              <w:t xml:space="preserve">9. Papildināt analīzi par to, kāda ir mijiedarbība ar gaisa kvalitātes un gaisa emisiju rīcībpolitiku, proti, izklāstīt, kā dažādos scenārijos tiks ietekmēts gaisa piesārņojums, sniegt pamatojošo informāciju un izvērtēt paredzamo sinerģiju un kompromisus. </w:t>
            </w:r>
          </w:p>
        </w:tc>
        <w:tc>
          <w:tcPr>
            <w:tcW w:w="1559" w:type="dxa"/>
            <w:shd w:val="clear" w:color="auto" w:fill="A8D08D" w:themeFill="accent6" w:themeFillTint="99"/>
          </w:tcPr>
          <w:p w14:paraId="2F212B14" w14:textId="77777777" w:rsidR="005D3DDE" w:rsidRPr="00326B0B" w:rsidRDefault="005D3DDE" w:rsidP="00F97919">
            <w:pPr>
              <w:spacing w:before="60" w:after="60"/>
              <w:ind w:left="1440" w:hanging="1440"/>
              <w:jc w:val="center"/>
              <w:rPr>
                <w:b/>
                <w:bCs/>
                <w:sz w:val="24"/>
                <w:szCs w:val="24"/>
              </w:rPr>
            </w:pPr>
            <w:r w:rsidRPr="00326B0B">
              <w:rPr>
                <w:b/>
                <w:bCs/>
                <w:sz w:val="24"/>
                <w:szCs w:val="24"/>
              </w:rPr>
              <w:t>Y</w:t>
            </w:r>
          </w:p>
        </w:tc>
        <w:tc>
          <w:tcPr>
            <w:tcW w:w="6441" w:type="dxa"/>
          </w:tcPr>
          <w:p w14:paraId="267E68BF" w14:textId="77777777" w:rsidR="005D3DDE" w:rsidRPr="00326B0B" w:rsidRDefault="005D3DDE" w:rsidP="00F97919">
            <w:pPr>
              <w:spacing w:before="60" w:after="60"/>
              <w:rPr>
                <w:sz w:val="24"/>
                <w:szCs w:val="24"/>
              </w:rPr>
            </w:pPr>
            <w:r w:rsidRPr="00326B0B">
              <w:rPr>
                <w:sz w:val="24"/>
                <w:szCs w:val="24"/>
              </w:rPr>
              <w:t>Plāna 5.1.5.nodaļa</w:t>
            </w:r>
          </w:p>
          <w:p w14:paraId="5A852FFE" w14:textId="77777777" w:rsidR="005D3DDE" w:rsidRPr="00326B0B" w:rsidRDefault="005D3DDE" w:rsidP="00F97919">
            <w:pPr>
              <w:spacing w:before="60" w:after="60"/>
              <w:rPr>
                <w:sz w:val="24"/>
                <w:szCs w:val="24"/>
              </w:rPr>
            </w:pPr>
            <w:r w:rsidRPr="00326B0B">
              <w:rPr>
                <w:sz w:val="24"/>
                <w:szCs w:val="24"/>
              </w:rPr>
              <w:t xml:space="preserve">Šobrīd notiek aktīvs darbs pie “Gaisa piesārņojuma samazināšanas rīcības plāna 2019. -2030. gadam” (Gaisa aizsardzības plāns). Latvijas plānošanas dokumenti tiek plānoti saskanīgi, kas nozīmē, ka šajā gadījumā tiek paredzēta arī gaisa aizsardzības kompensējošie pasākumi gaisa aizsardzības plānā. </w:t>
            </w:r>
          </w:p>
          <w:p w14:paraId="428EFD7D" w14:textId="77777777" w:rsidR="005D3DDE" w:rsidRPr="00326B0B" w:rsidRDefault="005D3DDE" w:rsidP="00F97919">
            <w:pPr>
              <w:spacing w:before="60" w:after="60"/>
              <w:rPr>
                <w:sz w:val="24"/>
                <w:szCs w:val="24"/>
              </w:rPr>
            </w:pPr>
            <w:r w:rsidRPr="00326B0B">
              <w:rPr>
                <w:sz w:val="24"/>
                <w:szCs w:val="24"/>
              </w:rPr>
              <w:t>Negatīvie aspekti, kas varētu ietekmēt gaisa aizsardzību ir vērtēti stratēģiskajā ietekmes uz vidi novērtējumā.</w:t>
            </w:r>
          </w:p>
        </w:tc>
      </w:tr>
      <w:tr w:rsidR="005D3DDE" w:rsidRPr="00326B0B" w14:paraId="51C55BAE" w14:textId="77777777" w:rsidTr="00F97919">
        <w:tc>
          <w:tcPr>
            <w:tcW w:w="5949" w:type="dxa"/>
          </w:tcPr>
          <w:p w14:paraId="39FAC319" w14:textId="77777777" w:rsidR="005D3DDE" w:rsidRPr="00326B0B" w:rsidRDefault="005D3DDE" w:rsidP="00F97919">
            <w:pPr>
              <w:autoSpaceDE w:val="0"/>
              <w:autoSpaceDN w:val="0"/>
              <w:adjustRightInd w:val="0"/>
              <w:spacing w:before="60" w:after="60"/>
              <w:jc w:val="both"/>
              <w:rPr>
                <w:rFonts w:ascii="Times New Roman" w:hAnsi="Times New Roman" w:cs="Times New Roman"/>
                <w:sz w:val="24"/>
                <w:szCs w:val="24"/>
              </w:rPr>
            </w:pPr>
            <w:r w:rsidRPr="00326B0B">
              <w:rPr>
                <w:rFonts w:ascii="Times New Roman" w:hAnsi="Times New Roman" w:cs="Times New Roman"/>
                <w:color w:val="000000"/>
                <w:sz w:val="24"/>
                <w:szCs w:val="24"/>
              </w:rPr>
              <w:t xml:space="preserve">10. Labāk integrēt taisnīgas un godīgas pārkārtošanās aspektus, proti, sniegt vairāk informācijas par plānoto mērķu un rīcībpolitiku un pasākumu ietekmi uz sociālo jomu, nodarbinātību un prasmēm. </w:t>
            </w:r>
          </w:p>
        </w:tc>
        <w:tc>
          <w:tcPr>
            <w:tcW w:w="1559" w:type="dxa"/>
            <w:shd w:val="clear" w:color="auto" w:fill="A8D08D" w:themeFill="accent6" w:themeFillTint="99"/>
          </w:tcPr>
          <w:p w14:paraId="641B662E"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0A2BEA3A" w14:textId="77777777" w:rsidR="005D3DDE" w:rsidRPr="00326B0B" w:rsidRDefault="005D3DDE" w:rsidP="00F97919">
            <w:pPr>
              <w:spacing w:before="60" w:after="60"/>
              <w:rPr>
                <w:sz w:val="24"/>
                <w:szCs w:val="24"/>
              </w:rPr>
            </w:pPr>
            <w:r w:rsidRPr="00326B0B">
              <w:rPr>
                <w:sz w:val="24"/>
                <w:szCs w:val="24"/>
              </w:rPr>
              <w:t>Plāna 5.2.3.nodaļa</w:t>
            </w:r>
          </w:p>
        </w:tc>
      </w:tr>
      <w:tr w:rsidR="005D3DDE" w:rsidRPr="00326B0B" w14:paraId="45255E7E" w14:textId="77777777" w:rsidTr="00F97919">
        <w:tc>
          <w:tcPr>
            <w:tcW w:w="5949" w:type="dxa"/>
          </w:tcPr>
          <w:p w14:paraId="1B5B0D49" w14:textId="77777777" w:rsidR="005D3DDE" w:rsidRPr="00326B0B" w:rsidRDefault="005D3DDE" w:rsidP="00F97919">
            <w:pPr>
              <w:autoSpaceDE w:val="0"/>
              <w:autoSpaceDN w:val="0"/>
              <w:adjustRightInd w:val="0"/>
              <w:spacing w:before="60" w:after="60"/>
              <w:jc w:val="both"/>
              <w:rPr>
                <w:rFonts w:ascii="Times New Roman" w:hAnsi="Times New Roman" w:cs="Times New Roman"/>
                <w:color w:val="000000"/>
                <w:sz w:val="24"/>
                <w:szCs w:val="24"/>
              </w:rPr>
            </w:pPr>
            <w:r w:rsidRPr="00326B0B">
              <w:rPr>
                <w:rFonts w:ascii="Times New Roman" w:hAnsi="Times New Roman" w:cs="Times New Roman"/>
                <w:color w:val="000000"/>
                <w:sz w:val="24"/>
                <w:szCs w:val="24"/>
              </w:rPr>
              <w:t>Jāiekļauj enerģētiskās nabadzības situācijas novērtējums un enerģētiskās nabadzības samazināšanas un/vai iegrožošanas mērķrādītāji, kā arī rīcībpolitikas un pasākumi, kā prasīts Regulā (ES) 2018/1999.</w:t>
            </w:r>
          </w:p>
        </w:tc>
        <w:tc>
          <w:tcPr>
            <w:tcW w:w="1559" w:type="dxa"/>
            <w:shd w:val="clear" w:color="auto" w:fill="A8D08D" w:themeFill="accent6" w:themeFillTint="99"/>
          </w:tcPr>
          <w:p w14:paraId="0F1972A7" w14:textId="77777777" w:rsidR="005D3DDE" w:rsidRPr="00326B0B" w:rsidRDefault="005D3DDE" w:rsidP="00F97919">
            <w:pPr>
              <w:spacing w:before="60" w:after="60"/>
              <w:jc w:val="center"/>
              <w:rPr>
                <w:b/>
                <w:bCs/>
                <w:sz w:val="24"/>
                <w:szCs w:val="24"/>
              </w:rPr>
            </w:pPr>
            <w:r w:rsidRPr="00326B0B">
              <w:rPr>
                <w:b/>
                <w:bCs/>
                <w:sz w:val="24"/>
                <w:szCs w:val="24"/>
              </w:rPr>
              <w:t>Y</w:t>
            </w:r>
          </w:p>
        </w:tc>
        <w:tc>
          <w:tcPr>
            <w:tcW w:w="6441" w:type="dxa"/>
          </w:tcPr>
          <w:p w14:paraId="5E502EEF" w14:textId="77777777" w:rsidR="005D3DDE" w:rsidRPr="00326B0B" w:rsidRDefault="005D3DDE" w:rsidP="00F97919">
            <w:pPr>
              <w:spacing w:before="60" w:after="60"/>
              <w:rPr>
                <w:sz w:val="24"/>
                <w:szCs w:val="24"/>
              </w:rPr>
            </w:pPr>
            <w:r w:rsidRPr="00326B0B">
              <w:rPr>
                <w:sz w:val="24"/>
                <w:szCs w:val="24"/>
              </w:rPr>
              <w:t>Plāna 2., 3., 4.nodaļa</w:t>
            </w:r>
          </w:p>
        </w:tc>
      </w:tr>
    </w:tbl>
    <w:p w14:paraId="79D3457C" w14:textId="77777777" w:rsidR="005D3DDE" w:rsidRPr="00443D2F" w:rsidRDefault="005D3DDE" w:rsidP="00443D2F">
      <w:pPr>
        <w:spacing w:before="60" w:after="60" w:line="240" w:lineRule="auto"/>
        <w:rPr>
          <w:sz w:val="24"/>
          <w:szCs w:val="24"/>
        </w:rPr>
      </w:pPr>
    </w:p>
    <w:sectPr w:rsidR="005D3DDE" w:rsidRPr="00443D2F" w:rsidSect="00443D2F">
      <w:headerReference w:type="default" r:id="rId7"/>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204B" w14:textId="77777777" w:rsidR="00443D2F" w:rsidRDefault="00443D2F" w:rsidP="00443D2F">
      <w:pPr>
        <w:spacing w:after="0" w:line="240" w:lineRule="auto"/>
      </w:pPr>
      <w:r>
        <w:separator/>
      </w:r>
    </w:p>
  </w:endnote>
  <w:endnote w:type="continuationSeparator" w:id="0">
    <w:p w14:paraId="77BE59DE" w14:textId="77777777" w:rsidR="00443D2F" w:rsidRDefault="00443D2F" w:rsidP="0044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7928" w14:textId="77777777" w:rsidR="00443D2F" w:rsidRDefault="00443D2F" w:rsidP="00443D2F">
      <w:pPr>
        <w:spacing w:after="0" w:line="240" w:lineRule="auto"/>
      </w:pPr>
      <w:r>
        <w:separator/>
      </w:r>
    </w:p>
  </w:footnote>
  <w:footnote w:type="continuationSeparator" w:id="0">
    <w:p w14:paraId="4D133666" w14:textId="77777777" w:rsidR="00443D2F" w:rsidRDefault="00443D2F" w:rsidP="00443D2F">
      <w:pPr>
        <w:spacing w:after="0" w:line="240" w:lineRule="auto"/>
      </w:pPr>
      <w:r>
        <w:continuationSeparator/>
      </w:r>
    </w:p>
  </w:footnote>
  <w:footnote w:id="1">
    <w:p w14:paraId="2AAF2807" w14:textId="52926F57" w:rsidR="005D3DDE" w:rsidRDefault="005D3DDE">
      <w:pPr>
        <w:pStyle w:val="FootnoteText"/>
      </w:pPr>
      <w:r>
        <w:rPr>
          <w:rStyle w:val="FootnoteReference"/>
        </w:rPr>
        <w:footnoteRef/>
      </w:r>
      <w:r>
        <w:t xml:space="preserve"> </w:t>
      </w:r>
      <w:hyperlink r:id="rId1" w:history="1">
        <w:r>
          <w:rPr>
            <w:rStyle w:val="Hyperlink"/>
          </w:rPr>
          <w:t>https://eur-lex.europa.eu/legal-content/LV/TXT/PDF/?uri=CELEX:32018R1999&amp;from=EN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219996"/>
      <w:docPartObj>
        <w:docPartGallery w:val="Page Numbers (Top of Page)"/>
        <w:docPartUnique/>
      </w:docPartObj>
    </w:sdtPr>
    <w:sdtEndPr>
      <w:rPr>
        <w:noProof/>
      </w:rPr>
    </w:sdtEndPr>
    <w:sdtContent>
      <w:p w14:paraId="72D10719" w14:textId="1EDBF82B" w:rsidR="00443D2F" w:rsidRDefault="00443D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8DFD6D" w14:textId="77777777" w:rsidR="00443D2F" w:rsidRDefault="00443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2F"/>
    <w:rsid w:val="00020D98"/>
    <w:rsid w:val="00057A31"/>
    <w:rsid w:val="00201EFE"/>
    <w:rsid w:val="00326B0B"/>
    <w:rsid w:val="00337165"/>
    <w:rsid w:val="003861AD"/>
    <w:rsid w:val="004345DB"/>
    <w:rsid w:val="00443D2F"/>
    <w:rsid w:val="004C4177"/>
    <w:rsid w:val="00551629"/>
    <w:rsid w:val="005C1F77"/>
    <w:rsid w:val="005C6DCE"/>
    <w:rsid w:val="005D3DDE"/>
    <w:rsid w:val="00631A9D"/>
    <w:rsid w:val="00642CAF"/>
    <w:rsid w:val="00790575"/>
    <w:rsid w:val="007A480B"/>
    <w:rsid w:val="00886C06"/>
    <w:rsid w:val="00A24279"/>
    <w:rsid w:val="00A50214"/>
    <w:rsid w:val="00B573BB"/>
    <w:rsid w:val="00C56AE8"/>
    <w:rsid w:val="00D12840"/>
    <w:rsid w:val="00D311DD"/>
    <w:rsid w:val="00D45D19"/>
    <w:rsid w:val="00D82E12"/>
    <w:rsid w:val="00DC70B2"/>
    <w:rsid w:val="00DD783C"/>
    <w:rsid w:val="00DF7BD2"/>
    <w:rsid w:val="00E2427F"/>
    <w:rsid w:val="00E816BF"/>
    <w:rsid w:val="00F86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BEC8"/>
  <w15:chartTrackingRefBased/>
  <w15:docId w15:val="{3849CAA2-AF05-4649-953D-905536EC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D2F"/>
  </w:style>
  <w:style w:type="paragraph" w:styleId="Footer">
    <w:name w:val="footer"/>
    <w:basedOn w:val="Normal"/>
    <w:link w:val="FooterChar"/>
    <w:uiPriority w:val="99"/>
    <w:unhideWhenUsed/>
    <w:rsid w:val="00443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D2F"/>
  </w:style>
  <w:style w:type="character" w:styleId="CommentReference">
    <w:name w:val="annotation reference"/>
    <w:basedOn w:val="DefaultParagraphFont"/>
    <w:uiPriority w:val="99"/>
    <w:semiHidden/>
    <w:unhideWhenUsed/>
    <w:rsid w:val="00790575"/>
    <w:rPr>
      <w:sz w:val="16"/>
      <w:szCs w:val="16"/>
    </w:rPr>
  </w:style>
  <w:style w:type="paragraph" w:styleId="CommentText">
    <w:name w:val="annotation text"/>
    <w:basedOn w:val="Normal"/>
    <w:link w:val="CommentTextChar"/>
    <w:uiPriority w:val="99"/>
    <w:semiHidden/>
    <w:unhideWhenUsed/>
    <w:rsid w:val="00790575"/>
    <w:pPr>
      <w:spacing w:line="240" w:lineRule="auto"/>
    </w:pPr>
    <w:rPr>
      <w:sz w:val="20"/>
      <w:szCs w:val="20"/>
    </w:rPr>
  </w:style>
  <w:style w:type="character" w:customStyle="1" w:styleId="CommentTextChar">
    <w:name w:val="Comment Text Char"/>
    <w:basedOn w:val="DefaultParagraphFont"/>
    <w:link w:val="CommentText"/>
    <w:uiPriority w:val="99"/>
    <w:semiHidden/>
    <w:rsid w:val="00790575"/>
    <w:rPr>
      <w:sz w:val="20"/>
      <w:szCs w:val="20"/>
    </w:rPr>
  </w:style>
  <w:style w:type="paragraph" w:styleId="CommentSubject">
    <w:name w:val="annotation subject"/>
    <w:basedOn w:val="CommentText"/>
    <w:next w:val="CommentText"/>
    <w:link w:val="CommentSubjectChar"/>
    <w:uiPriority w:val="99"/>
    <w:semiHidden/>
    <w:unhideWhenUsed/>
    <w:rsid w:val="00790575"/>
    <w:rPr>
      <w:b/>
      <w:bCs/>
    </w:rPr>
  </w:style>
  <w:style w:type="character" w:customStyle="1" w:styleId="CommentSubjectChar">
    <w:name w:val="Comment Subject Char"/>
    <w:basedOn w:val="CommentTextChar"/>
    <w:link w:val="CommentSubject"/>
    <w:uiPriority w:val="99"/>
    <w:semiHidden/>
    <w:rsid w:val="00790575"/>
    <w:rPr>
      <w:b/>
      <w:bCs/>
      <w:sz w:val="20"/>
      <w:szCs w:val="20"/>
    </w:rPr>
  </w:style>
  <w:style w:type="paragraph" w:styleId="BalloonText">
    <w:name w:val="Balloon Text"/>
    <w:basedOn w:val="Normal"/>
    <w:link w:val="BalloonTextChar"/>
    <w:uiPriority w:val="99"/>
    <w:semiHidden/>
    <w:unhideWhenUsed/>
    <w:rsid w:val="00790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75"/>
    <w:rPr>
      <w:rFonts w:ascii="Segoe UI" w:hAnsi="Segoe UI" w:cs="Segoe UI"/>
      <w:sz w:val="18"/>
      <w:szCs w:val="18"/>
    </w:rPr>
  </w:style>
  <w:style w:type="paragraph" w:styleId="FootnoteText">
    <w:name w:val="footnote text"/>
    <w:basedOn w:val="Normal"/>
    <w:link w:val="FootnoteTextChar"/>
    <w:uiPriority w:val="99"/>
    <w:semiHidden/>
    <w:unhideWhenUsed/>
    <w:rsid w:val="005D3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DDE"/>
    <w:rPr>
      <w:sz w:val="20"/>
      <w:szCs w:val="20"/>
    </w:rPr>
  </w:style>
  <w:style w:type="character" w:styleId="FootnoteReference">
    <w:name w:val="footnote reference"/>
    <w:basedOn w:val="DefaultParagraphFont"/>
    <w:uiPriority w:val="99"/>
    <w:semiHidden/>
    <w:unhideWhenUsed/>
    <w:rsid w:val="005D3DDE"/>
    <w:rPr>
      <w:vertAlign w:val="superscript"/>
    </w:rPr>
  </w:style>
  <w:style w:type="character" w:styleId="Hyperlink">
    <w:name w:val="Hyperlink"/>
    <w:basedOn w:val="DefaultParagraphFont"/>
    <w:uiPriority w:val="99"/>
    <w:semiHidden/>
    <w:unhideWhenUsed/>
    <w:rsid w:val="005D3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PDF/?uri=CELEX:32018R199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8C953-D0F0-404E-8B5E-35CF0CF9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5916</Words>
  <Characters>3373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5</cp:revision>
  <dcterms:created xsi:type="dcterms:W3CDTF">2019-11-26T07:58:00Z</dcterms:created>
  <dcterms:modified xsi:type="dcterms:W3CDTF">2019-11-26T15:02:00Z</dcterms:modified>
</cp:coreProperties>
</file>