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6B9DB" w14:textId="77777777" w:rsidR="00873D06" w:rsidRPr="0013331E" w:rsidRDefault="00873D06" w:rsidP="0013331E">
      <w:pPr>
        <w:spacing w:before="120" w:after="120" w:line="240" w:lineRule="auto"/>
        <w:jc w:val="right"/>
        <w:rPr>
          <w:b/>
          <w:bCs/>
          <w:sz w:val="28"/>
          <w:szCs w:val="28"/>
        </w:rPr>
      </w:pPr>
      <w:bookmarkStart w:id="0" w:name="_Toc531909879"/>
      <w:r w:rsidRPr="0013331E">
        <w:rPr>
          <w:b/>
          <w:bCs/>
          <w:sz w:val="28"/>
          <w:szCs w:val="28"/>
        </w:rPr>
        <w:t>Latvijas Nacionālais enerģētikas un klimata plāns 2030. gadam</w:t>
      </w:r>
      <w:bookmarkEnd w:id="0"/>
    </w:p>
    <w:p w14:paraId="0084DC35" w14:textId="77777777" w:rsidR="00873D06" w:rsidRPr="0013331E" w:rsidRDefault="00873D06" w:rsidP="0013331E">
      <w:pPr>
        <w:spacing w:before="120" w:after="120" w:line="240" w:lineRule="auto"/>
        <w:jc w:val="right"/>
        <w:rPr>
          <w:b/>
          <w:bCs/>
          <w:sz w:val="28"/>
          <w:szCs w:val="28"/>
        </w:rPr>
      </w:pPr>
      <w:bookmarkStart w:id="1" w:name="_Toc531909880"/>
      <w:bookmarkStart w:id="2" w:name="_Toc532910029"/>
      <w:r w:rsidRPr="0013331E">
        <w:rPr>
          <w:b/>
          <w:bCs/>
          <w:sz w:val="28"/>
          <w:szCs w:val="28"/>
        </w:rPr>
        <w:t>5.pielikums</w:t>
      </w:r>
      <w:bookmarkEnd w:id="1"/>
      <w:bookmarkEnd w:id="2"/>
    </w:p>
    <w:p w14:paraId="040081F9" w14:textId="77777777" w:rsidR="00873D06" w:rsidRPr="0013331E" w:rsidRDefault="00873D06" w:rsidP="0013331E">
      <w:pPr>
        <w:spacing w:before="120" w:after="120" w:line="240" w:lineRule="auto"/>
        <w:jc w:val="center"/>
        <w:rPr>
          <w:b/>
          <w:bCs/>
          <w:sz w:val="28"/>
          <w:szCs w:val="28"/>
        </w:rPr>
      </w:pPr>
      <w:bookmarkStart w:id="3" w:name="_Hlk23408718"/>
      <w:bookmarkStart w:id="4" w:name="_Toc532910030"/>
      <w:bookmarkStart w:id="5" w:name="_Hlk528741841"/>
      <w:r w:rsidRPr="0013331E">
        <w:rPr>
          <w:b/>
          <w:bCs/>
          <w:sz w:val="28"/>
          <w:szCs w:val="28"/>
        </w:rPr>
        <w:t>Energosistēmu attīstības un SEG emisiju analīzē un prognozēšanā izmantotās metodes</w:t>
      </w:r>
      <w:bookmarkEnd w:id="3"/>
      <w:bookmarkEnd w:id="4"/>
    </w:p>
    <w:p w14:paraId="2286E116" w14:textId="77777777" w:rsidR="00873D06" w:rsidRPr="0013331E" w:rsidRDefault="00873D06" w:rsidP="0013331E">
      <w:pPr>
        <w:pStyle w:val="Heading1"/>
        <w:rPr>
          <w:rStyle w:val="normaltextrun"/>
        </w:rPr>
      </w:pPr>
      <w:r w:rsidRPr="0013331E">
        <w:rPr>
          <w:rStyle w:val="normaltextrun"/>
        </w:rPr>
        <w:t>Enerģētikas attīstības scenāriju analīzei izmantotā metode</w:t>
      </w:r>
    </w:p>
    <w:p w14:paraId="2B75CDBC" w14:textId="24E03E1C" w:rsidR="00873D06" w:rsidRPr="00AE6FF6" w:rsidRDefault="00873D06" w:rsidP="0013331E">
      <w:pPr>
        <w:spacing w:before="120" w:after="120" w:line="240" w:lineRule="auto"/>
        <w:jc w:val="both"/>
        <w:rPr>
          <w:rFonts w:eastAsia="Times New Roman" w:cstheme="minorHAnsi"/>
          <w:sz w:val="24"/>
          <w:szCs w:val="24"/>
          <w:lang w:bidi="en-US"/>
        </w:rPr>
      </w:pPr>
      <w:r w:rsidRPr="00AE6FF6">
        <w:rPr>
          <w:rFonts w:eastAsia="Times New Roman" w:cstheme="minorHAnsi"/>
          <w:sz w:val="24"/>
          <w:szCs w:val="24"/>
          <w:lang w:bidi="en-US"/>
        </w:rPr>
        <w:t>Latvijas enerģētikas sektora attīstības scenāriju veidošanai un analīzei tika izmantots e</w:t>
      </w:r>
      <w:r w:rsidRPr="00AE6FF6">
        <w:rPr>
          <w:rFonts w:cstheme="minorHAnsi"/>
          <w:sz w:val="24"/>
          <w:szCs w:val="24"/>
        </w:rPr>
        <w:t>nerģētikas un vides sistēmas pētījumos pasaulē plaši izmantotais MARKAL modelis</w:t>
      </w:r>
      <w:r w:rsidR="0013331E" w:rsidRPr="00AE6FF6">
        <w:rPr>
          <w:rStyle w:val="FootnoteReference"/>
          <w:rFonts w:cstheme="minorHAnsi"/>
          <w:sz w:val="24"/>
          <w:szCs w:val="24"/>
        </w:rPr>
        <w:footnoteReference w:id="1"/>
      </w:r>
      <w:r w:rsidRPr="00AE6FF6">
        <w:rPr>
          <w:rFonts w:cstheme="minorHAnsi"/>
          <w:sz w:val="24"/>
          <w:szCs w:val="24"/>
        </w:rPr>
        <w:t xml:space="preserve">. </w:t>
      </w:r>
      <w:r w:rsidRPr="00AE6FF6">
        <w:rPr>
          <w:rFonts w:eastAsia="Times New Roman" w:cstheme="minorHAnsi"/>
          <w:sz w:val="24"/>
          <w:szCs w:val="24"/>
          <w:lang w:bidi="en-US"/>
        </w:rPr>
        <w:t>MARKAL-Latvia ir optimizācijas modelis, kurā attēlota Latvijas enerģētikas nozares attīstība 50 gadu laika posmā nacionālā līmenī. Iegūtie rezultāti ir atkarīgi no ieejas parametriem un izmantotā modeļa algoritma modifikācijas. Galvenās modeļa paradigmas ir ideāls tirgus (</w:t>
      </w:r>
      <w:proofErr w:type="spellStart"/>
      <w:r w:rsidRPr="00AE6FF6">
        <w:rPr>
          <w:rFonts w:eastAsia="Times New Roman" w:cstheme="minorHAnsi"/>
          <w:i/>
          <w:iCs/>
          <w:sz w:val="24"/>
          <w:szCs w:val="24"/>
          <w:lang w:bidi="en-US"/>
        </w:rPr>
        <w:t>competitive</w:t>
      </w:r>
      <w:proofErr w:type="spellEnd"/>
      <w:r w:rsidRPr="00AE6FF6">
        <w:rPr>
          <w:rFonts w:eastAsia="Times New Roman" w:cstheme="minorHAnsi"/>
          <w:i/>
          <w:iCs/>
          <w:sz w:val="24"/>
          <w:szCs w:val="24"/>
          <w:lang w:bidi="en-US"/>
        </w:rPr>
        <w:t xml:space="preserve"> </w:t>
      </w:r>
      <w:proofErr w:type="spellStart"/>
      <w:r w:rsidRPr="00AE6FF6">
        <w:rPr>
          <w:rFonts w:eastAsia="Times New Roman" w:cstheme="minorHAnsi"/>
          <w:i/>
          <w:iCs/>
          <w:sz w:val="24"/>
          <w:szCs w:val="24"/>
          <w:lang w:bidi="en-US"/>
        </w:rPr>
        <w:t>partial</w:t>
      </w:r>
      <w:proofErr w:type="spellEnd"/>
      <w:r w:rsidRPr="00AE6FF6">
        <w:rPr>
          <w:rFonts w:eastAsia="Times New Roman" w:cstheme="minorHAnsi"/>
          <w:i/>
          <w:iCs/>
          <w:sz w:val="24"/>
          <w:szCs w:val="24"/>
          <w:lang w:bidi="en-US"/>
        </w:rPr>
        <w:t xml:space="preserve"> </w:t>
      </w:r>
      <w:proofErr w:type="spellStart"/>
      <w:r w:rsidRPr="00AE6FF6">
        <w:rPr>
          <w:rFonts w:eastAsia="Times New Roman" w:cstheme="minorHAnsi"/>
          <w:i/>
          <w:iCs/>
          <w:sz w:val="24"/>
          <w:szCs w:val="24"/>
          <w:lang w:bidi="en-US"/>
        </w:rPr>
        <w:t>equilibrium</w:t>
      </w:r>
      <w:proofErr w:type="spellEnd"/>
      <w:r w:rsidRPr="00AE6FF6">
        <w:rPr>
          <w:rFonts w:eastAsia="Times New Roman" w:cstheme="minorHAnsi"/>
          <w:sz w:val="24"/>
          <w:szCs w:val="24"/>
          <w:lang w:bidi="en-US"/>
        </w:rPr>
        <w:t xml:space="preserve">) un tehnoloģiju attīstības pārredzamajā visā apskatāmā perioda garumā </w:t>
      </w:r>
      <w:r w:rsidRPr="00AE6FF6">
        <w:rPr>
          <w:rFonts w:eastAsia="Times New Roman" w:cstheme="minorHAnsi"/>
          <w:i/>
          <w:sz w:val="24"/>
          <w:szCs w:val="24"/>
          <w:lang w:bidi="en-US"/>
        </w:rPr>
        <w:t>(</w:t>
      </w:r>
      <w:proofErr w:type="spellStart"/>
      <w:r w:rsidRPr="00AE6FF6">
        <w:rPr>
          <w:rFonts w:eastAsia="Times New Roman" w:cstheme="minorHAnsi"/>
          <w:i/>
          <w:sz w:val="24"/>
          <w:szCs w:val="24"/>
          <w:lang w:bidi="en-US"/>
        </w:rPr>
        <w:t>perfect</w:t>
      </w:r>
      <w:proofErr w:type="spellEnd"/>
      <w:r w:rsidRPr="00AE6FF6">
        <w:rPr>
          <w:rFonts w:eastAsia="Times New Roman" w:cstheme="minorHAnsi"/>
          <w:i/>
          <w:sz w:val="24"/>
          <w:szCs w:val="24"/>
          <w:lang w:bidi="en-US"/>
        </w:rPr>
        <w:t xml:space="preserve"> </w:t>
      </w:r>
      <w:proofErr w:type="spellStart"/>
      <w:r w:rsidRPr="00AE6FF6">
        <w:rPr>
          <w:rFonts w:eastAsia="Times New Roman" w:cstheme="minorHAnsi"/>
          <w:i/>
          <w:sz w:val="24"/>
          <w:szCs w:val="24"/>
          <w:lang w:bidi="en-US"/>
        </w:rPr>
        <w:t>foresight</w:t>
      </w:r>
      <w:proofErr w:type="spellEnd"/>
      <w:r w:rsidRPr="00AE6FF6">
        <w:rPr>
          <w:rFonts w:eastAsia="Times New Roman" w:cstheme="minorHAnsi"/>
          <w:i/>
          <w:sz w:val="24"/>
          <w:szCs w:val="24"/>
          <w:lang w:bidi="en-US"/>
        </w:rPr>
        <w:t>)</w:t>
      </w:r>
      <w:r w:rsidRPr="00AE6FF6">
        <w:rPr>
          <w:rFonts w:eastAsia="Times New Roman" w:cstheme="minorHAnsi"/>
          <w:sz w:val="24"/>
          <w:szCs w:val="24"/>
          <w:lang w:bidi="en-US"/>
        </w:rPr>
        <w:t>.</w:t>
      </w:r>
    </w:p>
    <w:p w14:paraId="68AE1AA5" w14:textId="77777777" w:rsidR="0013331E" w:rsidRDefault="00873D06" w:rsidP="0013331E">
      <w:pPr>
        <w:pStyle w:val="Caption"/>
        <w:rPr>
          <w:rFonts w:asciiTheme="minorHAnsi" w:hAnsiTheme="minorHAnsi" w:cstheme="minorHAnsi"/>
          <w:noProof/>
        </w:rPr>
      </w:pPr>
      <w:r w:rsidRPr="007E24BA">
        <w:rPr>
          <w:rFonts w:ascii="Cambria" w:eastAsia="Times New Roman" w:hAnsi="Cambria"/>
          <w:caps/>
          <w:noProof/>
          <w:spacing w:val="10"/>
          <w:sz w:val="18"/>
          <w:szCs w:val="18"/>
          <w:lang w:val="en-US"/>
        </w:rPr>
        <w:drawing>
          <wp:inline distT="0" distB="0" distL="0" distR="0" wp14:anchorId="3D414CC7" wp14:editId="194AA00A">
            <wp:extent cx="3584517" cy="2247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b="2609"/>
                    <a:stretch>
                      <a:fillRect/>
                    </a:stretch>
                  </pic:blipFill>
                  <pic:spPr bwMode="auto">
                    <a:xfrm>
                      <a:off x="0" y="0"/>
                      <a:ext cx="3587544" cy="2249799"/>
                    </a:xfrm>
                    <a:prstGeom prst="rect">
                      <a:avLst/>
                    </a:prstGeom>
                    <a:noFill/>
                    <a:ln>
                      <a:noFill/>
                    </a:ln>
                  </pic:spPr>
                </pic:pic>
              </a:graphicData>
            </a:graphic>
          </wp:inline>
        </w:drawing>
      </w:r>
    </w:p>
    <w:p w14:paraId="1A73864D" w14:textId="13F318F1" w:rsidR="00873D06" w:rsidRPr="007E24BA" w:rsidRDefault="0013331E" w:rsidP="0013331E">
      <w:pPr>
        <w:pStyle w:val="Caption"/>
        <w:rPr>
          <w:rFonts w:ascii="Cambria" w:eastAsia="Times New Roman" w:hAnsi="Cambria"/>
          <w:caps/>
          <w:spacing w:val="10"/>
          <w:sz w:val="18"/>
          <w:szCs w:val="18"/>
          <w:lang w:bidi="en-US"/>
        </w:rPr>
      </w:pPr>
      <w:r w:rsidRPr="00FC0711">
        <w:rPr>
          <w:rFonts w:asciiTheme="minorHAnsi" w:hAnsiTheme="minorHAnsi" w:cstheme="minorHAnsi"/>
          <w:noProof/>
        </w:rPr>
        <w:fldChar w:fldCharType="begin"/>
      </w:r>
      <w:r w:rsidRPr="00FC0711">
        <w:rPr>
          <w:rFonts w:asciiTheme="minorHAnsi" w:hAnsiTheme="minorHAnsi" w:cstheme="minorHAnsi"/>
          <w:noProof/>
        </w:rPr>
        <w:instrText xml:space="preserve"> SEQ Ilustrācija \* ARABIC </w:instrText>
      </w:r>
      <w:r w:rsidRPr="00FC0711">
        <w:rPr>
          <w:rFonts w:asciiTheme="minorHAnsi" w:hAnsiTheme="minorHAnsi" w:cstheme="minorHAnsi"/>
          <w:noProof/>
        </w:rPr>
        <w:fldChar w:fldCharType="separate"/>
      </w:r>
      <w:bookmarkStart w:id="6" w:name="_Toc23782681"/>
      <w:r>
        <w:rPr>
          <w:rFonts w:asciiTheme="minorHAnsi" w:hAnsiTheme="minorHAnsi" w:cstheme="minorHAnsi"/>
          <w:noProof/>
        </w:rPr>
        <w:t>1</w:t>
      </w:r>
      <w:r w:rsidRPr="00FC0711">
        <w:rPr>
          <w:rFonts w:asciiTheme="minorHAnsi" w:hAnsiTheme="minorHAnsi" w:cstheme="minorHAnsi"/>
          <w:noProof/>
        </w:rPr>
        <w:fldChar w:fldCharType="end"/>
      </w:r>
      <w:r w:rsidRPr="00FC0711">
        <w:rPr>
          <w:rFonts w:asciiTheme="minorHAnsi" w:hAnsiTheme="minorHAnsi" w:cstheme="minorHAnsi"/>
        </w:rPr>
        <w:t xml:space="preserve">.attēls. </w:t>
      </w:r>
      <w:r>
        <w:rPr>
          <w:rFonts w:asciiTheme="minorHAnsi" w:hAnsiTheme="minorHAnsi" w:cstheme="minorHAnsi"/>
        </w:rPr>
        <w:t>MARKAL modelēšanas platformas enerģētikas – ekonomikas – vides mijiedarbība</w:t>
      </w:r>
      <w:bookmarkEnd w:id="6"/>
    </w:p>
    <w:p w14:paraId="5CF3E7C7" w14:textId="77777777" w:rsidR="00873D06" w:rsidRPr="00AE6FF6" w:rsidRDefault="00873D06" w:rsidP="0013331E">
      <w:pPr>
        <w:spacing w:before="120" w:after="120" w:line="240" w:lineRule="auto"/>
        <w:jc w:val="both"/>
        <w:rPr>
          <w:rFonts w:eastAsia="Times New Roman" w:cstheme="minorHAnsi"/>
          <w:sz w:val="24"/>
          <w:szCs w:val="24"/>
          <w:lang w:bidi="en-US"/>
        </w:rPr>
      </w:pPr>
      <w:r w:rsidRPr="00AE6FF6">
        <w:rPr>
          <w:rFonts w:eastAsia="Times New Roman" w:cstheme="minorHAnsi"/>
          <w:sz w:val="24"/>
          <w:szCs w:val="24"/>
          <w:lang w:bidi="en-US"/>
        </w:rPr>
        <w:t>Modelī MARKAL-Latvia matemātiski ir aprakstīta visa Latvijas enerģijas sistēma – sākot ar enerģijas pieprasījumu (lietderīgās enerģijas patēriņi jeb enerģijas pakalpojumi), tad enerģijas gala patēriņa un pārveidošanas sektora posmi, un beidzot ar primārās enerģijas piegādi (vietējo resursu ieguve, imports un eksports).</w:t>
      </w:r>
    </w:p>
    <w:p w14:paraId="140F92CA" w14:textId="77777777" w:rsidR="00873D06" w:rsidRPr="00AE6FF6" w:rsidRDefault="00873D06" w:rsidP="0013331E">
      <w:pPr>
        <w:spacing w:before="120" w:after="120" w:line="240" w:lineRule="auto"/>
        <w:jc w:val="both"/>
        <w:rPr>
          <w:rFonts w:eastAsia="Times New Roman" w:cstheme="minorHAnsi"/>
          <w:sz w:val="24"/>
          <w:szCs w:val="24"/>
          <w:lang w:bidi="en-US"/>
        </w:rPr>
      </w:pPr>
      <w:r w:rsidRPr="00AE6FF6">
        <w:rPr>
          <w:rFonts w:eastAsia="Times New Roman" w:cstheme="minorHAnsi"/>
          <w:sz w:val="24"/>
          <w:szCs w:val="24"/>
          <w:lang w:bidi="en-US"/>
        </w:rPr>
        <w:t>Modelētā sistēma ir aprakstīta ar enerģijas resursu un tehnoloģiju (pašreizējās un nākotnes) iespējām, kuras raksturotas ar tehniskiem, ekonomiskiem un vides parametriem. Vienā sistēmā ir integrēta enerģijas lietotāju un enerģijas apgādes puse, tādējādi tās atrodas savstarpējā mijiedarbībā. Modeļa reālo atrisinājumu kopā ieiet daudz un dažādas enerģijas resursu un tehnoloģiju kombinācijas, bet atrisinājums ir kombinācija ar viszemākajām kopējām izmaksām, kas tiek atrasta optimizācijas ceļā, piemēram, izmantojot simpleksa metodi.</w:t>
      </w:r>
    </w:p>
    <w:p w14:paraId="347F0C86" w14:textId="77777777" w:rsidR="00873D06" w:rsidRPr="00392008" w:rsidRDefault="00873D06" w:rsidP="0013331E">
      <w:pPr>
        <w:spacing w:before="120" w:after="120" w:line="240" w:lineRule="auto"/>
        <w:jc w:val="center"/>
        <w:rPr>
          <w:rFonts w:ascii="Cambria" w:eastAsia="Times New Roman" w:hAnsi="Cambria" w:cs="Times New Roman"/>
          <w:sz w:val="24"/>
          <w:szCs w:val="24"/>
          <w:lang w:bidi="en-US"/>
        </w:rPr>
      </w:pPr>
      <w:r w:rsidRPr="00392008">
        <w:rPr>
          <w:rFonts w:ascii="Cambria" w:eastAsia="Times New Roman" w:hAnsi="Cambria" w:cs="Times New Roman"/>
          <w:noProof/>
          <w:sz w:val="24"/>
          <w:szCs w:val="24"/>
          <w:lang w:val="en-US"/>
        </w:rPr>
        <w:lastRenderedPageBreak/>
        <w:drawing>
          <wp:inline distT="0" distB="0" distL="0" distR="0" wp14:anchorId="4F8F5CA1" wp14:editId="3FF68BE5">
            <wp:extent cx="4476388" cy="2603993"/>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831" cy="2610068"/>
                    </a:xfrm>
                    <a:prstGeom prst="rect">
                      <a:avLst/>
                    </a:prstGeom>
                    <a:noFill/>
                    <a:ln>
                      <a:noFill/>
                    </a:ln>
                  </pic:spPr>
                </pic:pic>
              </a:graphicData>
            </a:graphic>
          </wp:inline>
        </w:drawing>
      </w:r>
    </w:p>
    <w:p w14:paraId="091052EA" w14:textId="03197319" w:rsidR="00873D06" w:rsidRPr="00392008" w:rsidRDefault="0013331E" w:rsidP="0013331E">
      <w:pPr>
        <w:pStyle w:val="Caption"/>
        <w:rPr>
          <w:rFonts w:ascii="Cambria" w:eastAsia="Times New Roman" w:hAnsi="Cambria"/>
          <w:caps/>
          <w:spacing w:val="10"/>
          <w:sz w:val="18"/>
          <w:szCs w:val="18"/>
          <w:lang w:bidi="en-US"/>
        </w:rPr>
      </w:pPr>
      <w:r w:rsidRPr="00FC0711">
        <w:rPr>
          <w:rFonts w:asciiTheme="minorHAnsi" w:hAnsiTheme="minorHAnsi" w:cstheme="minorHAnsi"/>
          <w:noProof/>
        </w:rPr>
        <w:fldChar w:fldCharType="begin"/>
      </w:r>
      <w:r w:rsidRPr="00FC0711">
        <w:rPr>
          <w:rFonts w:asciiTheme="minorHAnsi" w:hAnsiTheme="minorHAnsi" w:cstheme="minorHAnsi"/>
          <w:noProof/>
        </w:rPr>
        <w:instrText xml:space="preserve"> SEQ Ilustrācija \* ARABIC </w:instrText>
      </w:r>
      <w:r w:rsidRPr="00FC0711">
        <w:rPr>
          <w:rFonts w:asciiTheme="minorHAnsi" w:hAnsiTheme="minorHAnsi" w:cstheme="minorHAnsi"/>
          <w:noProof/>
        </w:rPr>
        <w:fldChar w:fldCharType="separate"/>
      </w:r>
      <w:r>
        <w:rPr>
          <w:rFonts w:asciiTheme="minorHAnsi" w:hAnsiTheme="minorHAnsi" w:cstheme="minorHAnsi"/>
          <w:noProof/>
        </w:rPr>
        <w:t>2</w:t>
      </w:r>
      <w:r w:rsidRPr="00FC0711">
        <w:rPr>
          <w:rFonts w:asciiTheme="minorHAnsi" w:hAnsiTheme="minorHAnsi" w:cstheme="minorHAnsi"/>
          <w:noProof/>
        </w:rPr>
        <w:fldChar w:fldCharType="end"/>
      </w:r>
      <w:r w:rsidRPr="00FC0711">
        <w:rPr>
          <w:rFonts w:asciiTheme="minorHAnsi" w:hAnsiTheme="minorHAnsi" w:cstheme="minorHAnsi"/>
        </w:rPr>
        <w:t xml:space="preserve">.attēls. </w:t>
      </w:r>
      <w:r>
        <w:rPr>
          <w:rFonts w:asciiTheme="minorHAnsi" w:hAnsiTheme="minorHAnsi" w:cstheme="minorHAnsi"/>
        </w:rPr>
        <w:t>No vajadzībām līdz enerģijas resursam</w:t>
      </w:r>
    </w:p>
    <w:p w14:paraId="52499381" w14:textId="77777777" w:rsidR="00873D06" w:rsidRPr="00AE6FF6" w:rsidRDefault="00873D06" w:rsidP="0013331E">
      <w:pPr>
        <w:spacing w:before="120" w:after="120" w:line="240" w:lineRule="auto"/>
        <w:jc w:val="both"/>
        <w:rPr>
          <w:rFonts w:eastAsia="Times New Roman" w:cstheme="minorHAnsi"/>
          <w:sz w:val="24"/>
          <w:szCs w:val="24"/>
          <w:lang w:bidi="en-US"/>
        </w:rPr>
      </w:pPr>
      <w:r w:rsidRPr="00AE6FF6">
        <w:rPr>
          <w:rFonts w:eastAsia="Times New Roman" w:cstheme="minorHAnsi"/>
          <w:sz w:val="24"/>
          <w:szCs w:val="24"/>
          <w:lang w:bidi="en-US"/>
        </w:rPr>
        <w:t>Modeļa ieejas informācija ir prognozes par enerģijas resursu cenām, tehnoloģiju un enerģijas resursu raksturojums, kā arī enerģijas pakalpojumu pieprasījumu (</w:t>
      </w:r>
      <w:proofErr w:type="spellStart"/>
      <w:r w:rsidRPr="00AE6FF6">
        <w:rPr>
          <w:rFonts w:eastAsia="Times New Roman" w:cstheme="minorHAnsi"/>
          <w:i/>
          <w:iCs/>
          <w:sz w:val="24"/>
          <w:szCs w:val="24"/>
          <w:lang w:bidi="en-US"/>
        </w:rPr>
        <w:t>energy</w:t>
      </w:r>
      <w:proofErr w:type="spellEnd"/>
      <w:r w:rsidRPr="00AE6FF6">
        <w:rPr>
          <w:rFonts w:eastAsia="Times New Roman" w:cstheme="minorHAnsi"/>
          <w:i/>
          <w:iCs/>
          <w:sz w:val="24"/>
          <w:szCs w:val="24"/>
          <w:lang w:bidi="en-US"/>
        </w:rPr>
        <w:t xml:space="preserve"> </w:t>
      </w:r>
      <w:proofErr w:type="spellStart"/>
      <w:r w:rsidRPr="00AE6FF6">
        <w:rPr>
          <w:rFonts w:eastAsia="Times New Roman" w:cstheme="minorHAnsi"/>
          <w:i/>
          <w:iCs/>
          <w:sz w:val="24"/>
          <w:szCs w:val="24"/>
          <w:lang w:bidi="en-US"/>
        </w:rPr>
        <w:t>service</w:t>
      </w:r>
      <w:proofErr w:type="spellEnd"/>
      <w:r w:rsidRPr="00AE6FF6">
        <w:rPr>
          <w:rFonts w:eastAsia="Times New Roman" w:cstheme="minorHAnsi"/>
          <w:i/>
          <w:iCs/>
          <w:sz w:val="24"/>
          <w:szCs w:val="24"/>
          <w:lang w:bidi="en-US"/>
        </w:rPr>
        <w:t xml:space="preserve"> </w:t>
      </w:r>
      <w:proofErr w:type="spellStart"/>
      <w:r w:rsidRPr="00AE6FF6">
        <w:rPr>
          <w:rFonts w:eastAsia="Times New Roman" w:cstheme="minorHAnsi"/>
          <w:i/>
          <w:iCs/>
          <w:sz w:val="24"/>
          <w:szCs w:val="24"/>
          <w:lang w:bidi="en-US"/>
        </w:rPr>
        <w:t>demands</w:t>
      </w:r>
      <w:proofErr w:type="spellEnd"/>
      <w:r w:rsidRPr="00AE6FF6">
        <w:rPr>
          <w:rFonts w:eastAsia="Times New Roman" w:cstheme="minorHAnsi"/>
          <w:sz w:val="24"/>
          <w:szCs w:val="24"/>
          <w:lang w:bidi="en-US"/>
        </w:rPr>
        <w:t>), piemēram, apsildāmo telpu platība vai tonnu kilometri, kas atspoguļo nepieciešamību pēc attiecīga enerģijas daudzuma.</w:t>
      </w:r>
    </w:p>
    <w:p w14:paraId="6BAC940D" w14:textId="77777777" w:rsidR="00873D06" w:rsidRPr="00AE6FF6" w:rsidRDefault="00873D06" w:rsidP="0013331E">
      <w:pPr>
        <w:spacing w:before="120" w:after="120" w:line="240" w:lineRule="auto"/>
        <w:jc w:val="both"/>
        <w:rPr>
          <w:rFonts w:eastAsia="Times New Roman" w:cstheme="minorHAnsi"/>
          <w:sz w:val="24"/>
          <w:szCs w:val="24"/>
          <w:lang w:bidi="en-US"/>
        </w:rPr>
      </w:pPr>
      <w:r w:rsidRPr="00AE6FF6">
        <w:rPr>
          <w:rFonts w:eastAsia="Times New Roman" w:cstheme="minorHAnsi"/>
          <w:sz w:val="24"/>
          <w:szCs w:val="24"/>
          <w:lang w:bidi="en-US"/>
        </w:rPr>
        <w:t xml:space="preserve">MARKAL-Latvia kā enerģētikas un vides sistēmas analīzes instrumentārijs nodrošina daudzpusīgu analīžu veikšanu, kurā līdzās esošajai Latvijas enerģētikas struktūrai ir aprakstītas nākotnē iespējamās alternatīvās enerģijas piegādes ķēdes, tehnoloģijas un emisiju samazināšanas iespējas. </w:t>
      </w:r>
    </w:p>
    <w:p w14:paraId="56B8AEE8" w14:textId="77777777" w:rsidR="00873D06" w:rsidRPr="00AE6FF6" w:rsidRDefault="00873D06" w:rsidP="0013331E">
      <w:pPr>
        <w:spacing w:before="120" w:after="120" w:line="240" w:lineRule="auto"/>
        <w:jc w:val="both"/>
        <w:rPr>
          <w:rFonts w:eastAsia="Times New Roman" w:cstheme="minorHAnsi"/>
          <w:sz w:val="24"/>
          <w:szCs w:val="24"/>
          <w:lang w:bidi="en-US"/>
        </w:rPr>
      </w:pPr>
      <w:r w:rsidRPr="00AE6FF6">
        <w:rPr>
          <w:rFonts w:eastAsia="Times New Roman" w:cstheme="minorHAnsi"/>
          <w:sz w:val="24"/>
          <w:szCs w:val="24"/>
          <w:lang w:bidi="en-US"/>
        </w:rPr>
        <w:t>Modelī izmantots enerģētikas references sistēmas koncepts, kas sasaista vienā sistēmā enerģijas pieprasījumu, resursus, tehnoloģijas un tirgus preces (enerģijas nesēji, emisijas). Dažādi enerģijas resursu piegādātāji, procesu, transformācijas un patērētāju tehnoloģijas konkurē gala enerģijas patērētāju tirgū, lai nodrošinātu lietderīgās enerģijas pieprasījumu. Modelis izvēlas optimālāko enerģētikas sistēmas struktūru katram laika posmam, minimizējot izmaksas, ņemot vērā dažādus ierobežojumus.</w:t>
      </w:r>
    </w:p>
    <w:p w14:paraId="061AE19C" w14:textId="77777777" w:rsidR="00873D06" w:rsidRPr="00AE6FF6" w:rsidRDefault="00873D06" w:rsidP="0013331E">
      <w:pPr>
        <w:spacing w:before="120" w:after="120" w:line="240" w:lineRule="auto"/>
        <w:jc w:val="both"/>
        <w:rPr>
          <w:rFonts w:eastAsia="Times New Roman" w:cstheme="minorHAnsi"/>
          <w:sz w:val="24"/>
          <w:szCs w:val="24"/>
          <w:lang w:bidi="en-US"/>
        </w:rPr>
      </w:pPr>
      <w:r w:rsidRPr="00AE6FF6">
        <w:rPr>
          <w:rFonts w:eastAsia="Times New Roman" w:cstheme="minorHAnsi"/>
          <w:sz w:val="24"/>
          <w:szCs w:val="24"/>
          <w:lang w:bidi="en-US"/>
        </w:rPr>
        <w:t xml:space="preserve">Attīstības scenāriju modelēšanai ir izmantota </w:t>
      </w:r>
      <w:r w:rsidRPr="00AE6FF6">
        <w:rPr>
          <w:rFonts w:cstheme="minorHAnsi"/>
          <w:i/>
          <w:sz w:val="24"/>
          <w:szCs w:val="24"/>
        </w:rPr>
        <w:t xml:space="preserve">MARKAL-ED modifikācija. </w:t>
      </w:r>
      <w:r w:rsidRPr="00AE6FF6">
        <w:rPr>
          <w:rFonts w:eastAsia="Times New Roman" w:cstheme="minorHAnsi"/>
          <w:sz w:val="24"/>
          <w:szCs w:val="24"/>
        </w:rPr>
        <w:t>Pielietojot elastīga pieprasījuma modelēšanas metodi MARKAL-Latvia modelī, pieprasījums pēc enerģijas pakalpojuma var samazināties vai palielināties, ja gala enerģijas izmaksas attiecīgi pieaug vai samazinās. Ja izmaksas samazinās, piemēram, pateicoties enerģijas efektivitātei, tad patēriņš uz to reaģē palielinoties pieprasījumam pēc enerģijas pakalpojuma.</w:t>
      </w:r>
    </w:p>
    <w:p w14:paraId="504DE3A7" w14:textId="77777777" w:rsidR="00873D06" w:rsidRPr="00AE6FF6" w:rsidRDefault="00873D06" w:rsidP="0013331E">
      <w:pPr>
        <w:spacing w:before="120" w:after="120" w:line="240" w:lineRule="auto"/>
        <w:rPr>
          <w:rFonts w:eastAsia="Times New Roman" w:cstheme="minorHAnsi"/>
          <w:sz w:val="24"/>
          <w:szCs w:val="24"/>
          <w:lang w:bidi="en-US"/>
        </w:rPr>
      </w:pPr>
      <w:r w:rsidRPr="00AE6FF6">
        <w:rPr>
          <w:rFonts w:eastAsia="Times New Roman" w:cstheme="minorHAnsi"/>
          <w:sz w:val="24"/>
          <w:szCs w:val="24"/>
          <w:lang w:bidi="en-US"/>
        </w:rPr>
        <w:t>Modeļa bāzes gadā (2000. gads) kā arī 2005., 2010., 2015. un 2017.gadā pēc Centrālās statistikas pārvaldes enerģijas resursu bilances ir kalibrēts:</w:t>
      </w:r>
    </w:p>
    <w:p w14:paraId="57237088" w14:textId="77777777" w:rsidR="00873D06" w:rsidRPr="00AE6FF6" w:rsidRDefault="00873D06" w:rsidP="0013331E">
      <w:pPr>
        <w:pStyle w:val="ListParagraph"/>
        <w:numPr>
          <w:ilvl w:val="0"/>
          <w:numId w:val="3"/>
        </w:numPr>
        <w:tabs>
          <w:tab w:val="num" w:pos="567"/>
        </w:tabs>
        <w:spacing w:before="120" w:after="120" w:line="240" w:lineRule="auto"/>
        <w:ind w:left="510" w:hanging="397"/>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Enerģijas gala patēriņš – rūpniecība, pakalpojumi, mājsaimniecības, lauksaimniecība, transports;</w:t>
      </w:r>
    </w:p>
    <w:p w14:paraId="05A0FCB5" w14:textId="77777777" w:rsidR="00873D06" w:rsidRPr="00AE6FF6" w:rsidRDefault="00873D06" w:rsidP="0013331E">
      <w:pPr>
        <w:pStyle w:val="ListParagraph"/>
        <w:numPr>
          <w:ilvl w:val="0"/>
          <w:numId w:val="3"/>
        </w:numPr>
        <w:tabs>
          <w:tab w:val="num" w:pos="567"/>
        </w:tabs>
        <w:spacing w:before="120" w:after="120" w:line="240" w:lineRule="auto"/>
        <w:ind w:left="510" w:hanging="397"/>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Zudumi – elektroenerģijas un siltumenerģijas tīklos, dabas gāzes sistēmā;</w:t>
      </w:r>
    </w:p>
    <w:p w14:paraId="0C0B636E" w14:textId="77777777" w:rsidR="00873D06" w:rsidRPr="00AE6FF6" w:rsidRDefault="00873D06" w:rsidP="0013331E">
      <w:pPr>
        <w:pStyle w:val="ListParagraph"/>
        <w:numPr>
          <w:ilvl w:val="0"/>
          <w:numId w:val="3"/>
        </w:numPr>
        <w:tabs>
          <w:tab w:val="num" w:pos="567"/>
        </w:tabs>
        <w:spacing w:before="120" w:after="120" w:line="240" w:lineRule="auto"/>
        <w:ind w:left="510" w:hanging="397"/>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Ražošanas procesi – biodīzeļd</w:t>
      </w:r>
      <w:bookmarkStart w:id="7" w:name="_GoBack"/>
      <w:bookmarkEnd w:id="7"/>
      <w:r w:rsidRPr="00AE6FF6">
        <w:rPr>
          <w:rFonts w:eastAsia="Times New Roman" w:cstheme="minorHAnsi"/>
          <w:sz w:val="24"/>
          <w:szCs w:val="24"/>
          <w:lang w:eastAsia="lv-LV" w:bidi="en-US"/>
        </w:rPr>
        <w:t>egvielas un bioetanola ražošana, kokogļu un kūdras brikešu ražošana;</w:t>
      </w:r>
    </w:p>
    <w:p w14:paraId="2BF224DD" w14:textId="77777777" w:rsidR="00873D06" w:rsidRPr="00AE6FF6" w:rsidRDefault="00873D06" w:rsidP="0013331E">
      <w:pPr>
        <w:pStyle w:val="ListParagraph"/>
        <w:numPr>
          <w:ilvl w:val="0"/>
          <w:numId w:val="3"/>
        </w:numPr>
        <w:tabs>
          <w:tab w:val="num" w:pos="567"/>
        </w:tabs>
        <w:spacing w:before="120" w:after="120" w:line="240" w:lineRule="auto"/>
        <w:ind w:left="510" w:hanging="397"/>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Pārveidošanas sektors – elektrostacijas (atsevišķi izdalītas 3 lielās HES), koģenerācijas stacijas (atsevišķi izdalītas Rīgas 3 CHP) un katlumājas;</w:t>
      </w:r>
    </w:p>
    <w:p w14:paraId="037D0B14" w14:textId="77777777" w:rsidR="00873D06" w:rsidRPr="00AE6FF6" w:rsidRDefault="00873D06" w:rsidP="0013331E">
      <w:pPr>
        <w:spacing w:before="120" w:after="120" w:line="240" w:lineRule="auto"/>
        <w:jc w:val="both"/>
        <w:rPr>
          <w:rFonts w:eastAsia="Times New Roman" w:cstheme="minorHAnsi"/>
          <w:sz w:val="24"/>
          <w:szCs w:val="24"/>
          <w:lang w:bidi="en-US"/>
        </w:rPr>
      </w:pPr>
      <w:r w:rsidRPr="00AE6FF6">
        <w:rPr>
          <w:rFonts w:eastAsia="Times New Roman" w:cstheme="minorHAnsi"/>
          <w:sz w:val="24"/>
          <w:szCs w:val="24"/>
          <w:lang w:bidi="en-US"/>
        </w:rPr>
        <w:lastRenderedPageBreak/>
        <w:t>Atbilstoši tirdzniecības bilancei noteiktas importēto un eksportēto energoresursu cenas. Enerģijas un emisiju nodokļu likmes noteiktas atbilstoši normatīvajiem aktiem.</w:t>
      </w:r>
    </w:p>
    <w:p w14:paraId="6F1EBB1B" w14:textId="77777777" w:rsidR="00873D06" w:rsidRPr="00AE6FF6" w:rsidRDefault="00873D06" w:rsidP="0013331E">
      <w:pPr>
        <w:spacing w:before="120" w:after="120" w:line="240" w:lineRule="auto"/>
        <w:jc w:val="both"/>
        <w:rPr>
          <w:rFonts w:eastAsia="Times New Roman" w:cstheme="minorHAnsi"/>
          <w:sz w:val="24"/>
          <w:szCs w:val="24"/>
          <w:lang w:bidi="en-US"/>
        </w:rPr>
      </w:pPr>
      <w:r w:rsidRPr="00AE6FF6">
        <w:rPr>
          <w:rFonts w:eastAsia="Times New Roman" w:cstheme="minorHAnsi"/>
          <w:sz w:val="24"/>
          <w:szCs w:val="24"/>
          <w:lang w:bidi="en-US"/>
        </w:rPr>
        <w:t xml:space="preserve">Kopējais valsts enerģijas gala patēriņš modelī ir aprakstīts pa sektoriem (rūpniecība, lauksaimniecība, pakalpojumi, mājsaimniecības un transports) un </w:t>
      </w:r>
      <w:proofErr w:type="spellStart"/>
      <w:r w:rsidRPr="00AE6FF6">
        <w:rPr>
          <w:rFonts w:eastAsia="Times New Roman" w:cstheme="minorHAnsi"/>
          <w:sz w:val="24"/>
          <w:szCs w:val="24"/>
          <w:lang w:bidi="en-US"/>
        </w:rPr>
        <w:t>apakšsektoriem</w:t>
      </w:r>
      <w:proofErr w:type="spellEnd"/>
      <w:r w:rsidRPr="00AE6FF6">
        <w:rPr>
          <w:rFonts w:eastAsia="Times New Roman" w:cstheme="minorHAnsi"/>
          <w:sz w:val="24"/>
          <w:szCs w:val="24"/>
          <w:lang w:bidi="en-US"/>
        </w:rPr>
        <w:t xml:space="preserve"> (piemēram, transporta un rūpniecības sektorā), kas atbilst enerģijas resursu bilances dalījumam. Atsevišķiem sektoriem (piemēram, mājsaimniecības, pakalpojumi, autotransports), kuriem enerģijas resursu bilancē nav dots sīkāks dalījums, enerģijas patēriņš ir sadalīts detalizētāki pēc enerģijas pakalpojuma veida, piemēram, apkure, ēdienu gatavošana, apgaismojums (mājsaimniecības un pakalpojumi), autobusi, vieglās un smagās automašīnas (autotransports). Lauksaimniecībā un rūpniecībā enerģijas patēriņš nav sīkāk dalīts. Enerģijas gala patēriņa sadalījuma salīdzinājums modelī un enerģijas resursu bilancē ir apkopots sekojošā tabulā.</w:t>
      </w:r>
    </w:p>
    <w:bookmarkStart w:id="8" w:name="_Hlk519784759"/>
    <w:p w14:paraId="08FCE789" w14:textId="63985813" w:rsidR="00873D06" w:rsidRPr="007C356E" w:rsidRDefault="0013331E" w:rsidP="0013331E">
      <w:pPr>
        <w:pStyle w:val="Caption"/>
        <w:rPr>
          <w:rFonts w:ascii="Cambria" w:eastAsia="Times New Roman" w:hAnsi="Cambria"/>
          <w:caps/>
          <w:spacing w:val="10"/>
          <w:sz w:val="18"/>
          <w:szCs w:val="18"/>
          <w:lang w:val="en-US" w:bidi="en-US"/>
        </w:rPr>
      </w:pPr>
      <w:r w:rsidRPr="00D61280">
        <w:rPr>
          <w:rFonts w:asciiTheme="minorHAnsi" w:hAnsiTheme="minorHAnsi" w:cstheme="minorHAnsi"/>
        </w:rPr>
        <w:fldChar w:fldCharType="begin"/>
      </w:r>
      <w:r w:rsidRPr="00D61280">
        <w:rPr>
          <w:rFonts w:asciiTheme="minorHAnsi" w:hAnsiTheme="minorHAnsi" w:cstheme="minorHAnsi"/>
        </w:rPr>
        <w:instrText xml:space="preserve"> SEQ Tabula \* ARABIC </w:instrText>
      </w:r>
      <w:r w:rsidRPr="00D61280">
        <w:rPr>
          <w:rFonts w:asciiTheme="minorHAnsi" w:hAnsiTheme="minorHAnsi" w:cstheme="minorHAnsi"/>
        </w:rPr>
        <w:fldChar w:fldCharType="separate"/>
      </w:r>
      <w:bookmarkStart w:id="9" w:name="_Toc531333141"/>
      <w:r>
        <w:rPr>
          <w:rFonts w:asciiTheme="minorHAnsi" w:hAnsiTheme="minorHAnsi" w:cstheme="minorHAnsi"/>
          <w:noProof/>
        </w:rPr>
        <w:t>1</w:t>
      </w:r>
      <w:r w:rsidRPr="00D61280">
        <w:rPr>
          <w:rFonts w:asciiTheme="minorHAnsi" w:hAnsiTheme="minorHAnsi" w:cstheme="minorHAnsi"/>
        </w:rPr>
        <w:fldChar w:fldCharType="end"/>
      </w:r>
      <w:r w:rsidRPr="00D61280">
        <w:rPr>
          <w:rFonts w:asciiTheme="minorHAnsi" w:hAnsiTheme="minorHAnsi" w:cstheme="minorHAnsi"/>
        </w:rPr>
        <w:t xml:space="preserve">. tabula. </w:t>
      </w:r>
      <w:r>
        <w:rPr>
          <w:rFonts w:asciiTheme="minorHAnsi" w:hAnsiTheme="minorHAnsi" w:cstheme="minorHAnsi"/>
        </w:rPr>
        <w:t xml:space="preserve">Enerģijas </w:t>
      </w:r>
      <w:proofErr w:type="spellStart"/>
      <w:r>
        <w:rPr>
          <w:rFonts w:asciiTheme="minorHAnsi" w:hAnsiTheme="minorHAnsi" w:cstheme="minorHAnsi"/>
        </w:rPr>
        <w:t>galapatēriņa</w:t>
      </w:r>
      <w:proofErr w:type="spellEnd"/>
      <w:r>
        <w:rPr>
          <w:rFonts w:asciiTheme="minorHAnsi" w:hAnsiTheme="minorHAnsi" w:cstheme="minorHAnsi"/>
        </w:rPr>
        <w:t xml:space="preserve"> sadalījums</w:t>
      </w:r>
      <w:bookmarkEnd w:id="8"/>
      <w:bookmarkEnd w:id="9"/>
    </w:p>
    <w:tbl>
      <w:tblPr>
        <w:tblW w:w="53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848"/>
        <w:gridCol w:w="1833"/>
        <w:gridCol w:w="3344"/>
        <w:gridCol w:w="2612"/>
      </w:tblGrid>
      <w:tr w:rsidR="0013331E" w:rsidRPr="0013331E" w14:paraId="43766FD5" w14:textId="77777777" w:rsidTr="0013331E">
        <w:trPr>
          <w:trHeight w:val="35"/>
          <w:tblHeader/>
          <w:jc w:val="center"/>
        </w:trPr>
        <w:tc>
          <w:tcPr>
            <w:tcW w:w="1910" w:type="pct"/>
            <w:gridSpan w:val="2"/>
            <w:shd w:val="clear" w:color="auto" w:fill="F2F2F2" w:themeFill="background1" w:themeFillShade="F2"/>
          </w:tcPr>
          <w:p w14:paraId="694B1576" w14:textId="77777777" w:rsidR="00873D06" w:rsidRPr="0013331E" w:rsidRDefault="00873D06" w:rsidP="00B478D0">
            <w:pPr>
              <w:spacing w:after="0" w:line="252" w:lineRule="auto"/>
              <w:jc w:val="center"/>
              <w:rPr>
                <w:rFonts w:ascii="Calibri" w:eastAsia="Times New Roman" w:hAnsi="Calibri" w:cs="Times New Roman"/>
                <w:b/>
                <w:bCs/>
                <w:lang w:bidi="en-US"/>
              </w:rPr>
            </w:pPr>
            <w:r w:rsidRPr="0013331E">
              <w:rPr>
                <w:rFonts w:ascii="Calibri" w:eastAsia="Times New Roman" w:hAnsi="Calibri" w:cs="Times New Roman"/>
                <w:b/>
                <w:bCs/>
                <w:lang w:bidi="en-US"/>
              </w:rPr>
              <w:t>Sektori</w:t>
            </w:r>
          </w:p>
        </w:tc>
        <w:tc>
          <w:tcPr>
            <w:tcW w:w="3090" w:type="pct"/>
            <w:gridSpan w:val="2"/>
            <w:shd w:val="clear" w:color="auto" w:fill="F2F2F2" w:themeFill="background1" w:themeFillShade="F2"/>
          </w:tcPr>
          <w:p w14:paraId="00832D88" w14:textId="77777777" w:rsidR="00873D06" w:rsidRPr="0013331E" w:rsidRDefault="00873D06" w:rsidP="00B478D0">
            <w:pPr>
              <w:spacing w:after="0" w:line="252" w:lineRule="auto"/>
              <w:jc w:val="center"/>
              <w:rPr>
                <w:rFonts w:ascii="Calibri" w:eastAsia="Times New Roman" w:hAnsi="Calibri" w:cs="Times New Roman"/>
                <w:b/>
                <w:bCs/>
                <w:lang w:bidi="en-US"/>
              </w:rPr>
            </w:pPr>
            <w:proofErr w:type="spellStart"/>
            <w:r w:rsidRPr="0013331E">
              <w:rPr>
                <w:rFonts w:ascii="Calibri" w:eastAsia="Times New Roman" w:hAnsi="Calibri" w:cs="Times New Roman"/>
                <w:b/>
                <w:bCs/>
                <w:lang w:bidi="en-US"/>
              </w:rPr>
              <w:t>Apakšsektori</w:t>
            </w:r>
            <w:proofErr w:type="spellEnd"/>
          </w:p>
        </w:tc>
      </w:tr>
      <w:tr w:rsidR="0013331E" w:rsidRPr="0013331E" w14:paraId="2F4C61D3" w14:textId="77777777" w:rsidTr="0013331E">
        <w:trPr>
          <w:tblHeader/>
          <w:jc w:val="center"/>
        </w:trPr>
        <w:tc>
          <w:tcPr>
            <w:tcW w:w="959" w:type="pct"/>
            <w:shd w:val="clear" w:color="auto" w:fill="F2F2F2" w:themeFill="background1" w:themeFillShade="F2"/>
          </w:tcPr>
          <w:p w14:paraId="31AD056A" w14:textId="77777777" w:rsidR="00873D06" w:rsidRPr="0013331E" w:rsidRDefault="00873D06" w:rsidP="00B478D0">
            <w:pPr>
              <w:spacing w:after="0" w:line="252" w:lineRule="auto"/>
              <w:jc w:val="center"/>
              <w:rPr>
                <w:rFonts w:ascii="Calibri" w:eastAsia="Times New Roman" w:hAnsi="Calibri" w:cs="Times New Roman"/>
                <w:b/>
                <w:lang w:bidi="en-US"/>
              </w:rPr>
            </w:pPr>
            <w:r w:rsidRPr="0013331E">
              <w:rPr>
                <w:rFonts w:ascii="Calibri" w:eastAsia="Times New Roman" w:hAnsi="Calibri" w:cs="Times New Roman"/>
                <w:b/>
                <w:lang w:bidi="en-US"/>
              </w:rPr>
              <w:t>Enerģijas resursu bilancē</w:t>
            </w:r>
          </w:p>
        </w:tc>
        <w:tc>
          <w:tcPr>
            <w:tcW w:w="951" w:type="pct"/>
            <w:shd w:val="clear" w:color="auto" w:fill="F2F2F2" w:themeFill="background1" w:themeFillShade="F2"/>
          </w:tcPr>
          <w:p w14:paraId="55B579F0" w14:textId="77777777" w:rsidR="00873D06" w:rsidRPr="0013331E" w:rsidRDefault="00873D06" w:rsidP="00B478D0">
            <w:pPr>
              <w:spacing w:after="0" w:line="252" w:lineRule="auto"/>
              <w:jc w:val="center"/>
              <w:rPr>
                <w:rFonts w:ascii="Calibri" w:eastAsia="Times New Roman" w:hAnsi="Calibri" w:cs="Times New Roman"/>
                <w:b/>
                <w:lang w:bidi="en-US"/>
              </w:rPr>
            </w:pPr>
            <w:r w:rsidRPr="0013331E">
              <w:rPr>
                <w:rFonts w:ascii="Calibri" w:eastAsia="Times New Roman" w:hAnsi="Calibri" w:cs="Times New Roman"/>
                <w:b/>
                <w:lang w:bidi="en-US"/>
              </w:rPr>
              <w:t>Modelī</w:t>
            </w:r>
          </w:p>
        </w:tc>
        <w:tc>
          <w:tcPr>
            <w:tcW w:w="1735" w:type="pct"/>
            <w:shd w:val="clear" w:color="auto" w:fill="F2F2F2" w:themeFill="background1" w:themeFillShade="F2"/>
          </w:tcPr>
          <w:p w14:paraId="2E13E280" w14:textId="77777777" w:rsidR="00873D06" w:rsidRPr="0013331E" w:rsidRDefault="00873D06" w:rsidP="00B478D0">
            <w:pPr>
              <w:spacing w:after="0" w:line="252" w:lineRule="auto"/>
              <w:jc w:val="center"/>
              <w:rPr>
                <w:rFonts w:ascii="Calibri" w:eastAsia="Times New Roman" w:hAnsi="Calibri" w:cs="Times New Roman"/>
                <w:b/>
                <w:lang w:bidi="en-US"/>
              </w:rPr>
            </w:pPr>
            <w:r w:rsidRPr="0013331E">
              <w:rPr>
                <w:rFonts w:ascii="Calibri" w:eastAsia="Times New Roman" w:hAnsi="Calibri" w:cs="Times New Roman"/>
                <w:b/>
                <w:lang w:bidi="en-US"/>
              </w:rPr>
              <w:t>Enerģijas resursu bilancē (</w:t>
            </w:r>
            <w:proofErr w:type="spellStart"/>
            <w:r w:rsidRPr="0013331E">
              <w:rPr>
                <w:rFonts w:ascii="Calibri" w:eastAsia="Times New Roman" w:hAnsi="Calibri" w:cs="Times New Roman"/>
                <w:b/>
                <w:lang w:bidi="en-US"/>
              </w:rPr>
              <w:t>NACEs</w:t>
            </w:r>
            <w:proofErr w:type="spellEnd"/>
            <w:r w:rsidRPr="0013331E">
              <w:rPr>
                <w:rFonts w:ascii="Calibri" w:eastAsia="Times New Roman" w:hAnsi="Calibri" w:cs="Times New Roman"/>
                <w:b/>
                <w:lang w:bidi="en-US"/>
              </w:rPr>
              <w:t xml:space="preserve"> kods)</w:t>
            </w:r>
          </w:p>
        </w:tc>
        <w:tc>
          <w:tcPr>
            <w:tcW w:w="1355" w:type="pct"/>
            <w:shd w:val="clear" w:color="auto" w:fill="F2F2F2" w:themeFill="background1" w:themeFillShade="F2"/>
          </w:tcPr>
          <w:p w14:paraId="4BE51B12" w14:textId="77777777" w:rsidR="00873D06" w:rsidRPr="0013331E" w:rsidRDefault="00873D06" w:rsidP="00B478D0">
            <w:pPr>
              <w:spacing w:after="0" w:line="252" w:lineRule="auto"/>
              <w:jc w:val="center"/>
              <w:rPr>
                <w:rFonts w:ascii="Calibri" w:eastAsia="Times New Roman" w:hAnsi="Calibri" w:cs="Times New Roman"/>
                <w:b/>
                <w:lang w:bidi="en-US"/>
              </w:rPr>
            </w:pPr>
            <w:r w:rsidRPr="0013331E">
              <w:rPr>
                <w:rFonts w:ascii="Calibri" w:eastAsia="Times New Roman" w:hAnsi="Calibri" w:cs="Times New Roman"/>
                <w:b/>
                <w:lang w:bidi="en-US"/>
              </w:rPr>
              <w:t>Modelī</w:t>
            </w:r>
          </w:p>
        </w:tc>
      </w:tr>
      <w:tr w:rsidR="0013331E" w:rsidRPr="0013331E" w14:paraId="49760380" w14:textId="77777777" w:rsidTr="0013331E">
        <w:trPr>
          <w:jc w:val="center"/>
        </w:trPr>
        <w:tc>
          <w:tcPr>
            <w:tcW w:w="959" w:type="pct"/>
            <w:vMerge w:val="restart"/>
            <w:shd w:val="clear" w:color="auto" w:fill="auto"/>
          </w:tcPr>
          <w:p w14:paraId="20519ECA"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Rūpniecība un būvniecība</w:t>
            </w:r>
          </w:p>
        </w:tc>
        <w:tc>
          <w:tcPr>
            <w:tcW w:w="951" w:type="pct"/>
            <w:vMerge w:val="restart"/>
            <w:shd w:val="clear" w:color="auto" w:fill="auto"/>
          </w:tcPr>
          <w:p w14:paraId="76457BA1"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Rūpniecība</w:t>
            </w:r>
          </w:p>
        </w:tc>
        <w:tc>
          <w:tcPr>
            <w:tcW w:w="1735" w:type="pct"/>
            <w:shd w:val="clear" w:color="auto" w:fill="auto"/>
          </w:tcPr>
          <w:p w14:paraId="62A4BDEE"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Būvniecība (41-43)</w:t>
            </w:r>
          </w:p>
        </w:tc>
        <w:tc>
          <w:tcPr>
            <w:tcW w:w="1355" w:type="pct"/>
            <w:shd w:val="clear" w:color="auto" w:fill="auto"/>
          </w:tcPr>
          <w:p w14:paraId="651749C5"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Būvniecība</w:t>
            </w:r>
          </w:p>
        </w:tc>
      </w:tr>
      <w:tr w:rsidR="0013331E" w:rsidRPr="0013331E" w14:paraId="77B33F75" w14:textId="77777777" w:rsidTr="0013331E">
        <w:trPr>
          <w:jc w:val="center"/>
        </w:trPr>
        <w:tc>
          <w:tcPr>
            <w:tcW w:w="959" w:type="pct"/>
            <w:vMerge/>
            <w:shd w:val="clear" w:color="auto" w:fill="auto"/>
          </w:tcPr>
          <w:p w14:paraId="4F7125C8"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42C35328"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5A59F5C7"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Ķīmisko vielu un ķīmisko produktu ražošana; farmaceitisko pamatvielu un farmaceitisko preparātu ražošana (20, 21)</w:t>
            </w:r>
          </w:p>
        </w:tc>
        <w:tc>
          <w:tcPr>
            <w:tcW w:w="1355" w:type="pct"/>
            <w:shd w:val="clear" w:color="auto" w:fill="auto"/>
          </w:tcPr>
          <w:p w14:paraId="4836C1BD"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Ķīmiskā</w:t>
            </w:r>
          </w:p>
        </w:tc>
      </w:tr>
      <w:tr w:rsidR="0013331E" w:rsidRPr="0013331E" w14:paraId="67C9FB0A" w14:textId="77777777" w:rsidTr="0013331E">
        <w:trPr>
          <w:jc w:val="center"/>
        </w:trPr>
        <w:tc>
          <w:tcPr>
            <w:tcW w:w="959" w:type="pct"/>
            <w:vMerge/>
            <w:shd w:val="clear" w:color="auto" w:fill="auto"/>
          </w:tcPr>
          <w:p w14:paraId="32965681"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4C815506"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18A7AFEF"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Koksnes, koka un korķa izstrādājumu ražošana, izņemot mēbeles; salmu un pīto izstrādājumu ražošana (16)</w:t>
            </w:r>
          </w:p>
        </w:tc>
        <w:tc>
          <w:tcPr>
            <w:tcW w:w="1355" w:type="pct"/>
            <w:shd w:val="clear" w:color="auto" w:fill="auto"/>
          </w:tcPr>
          <w:p w14:paraId="741514C0"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Kokapstrādes</w:t>
            </w:r>
          </w:p>
        </w:tc>
      </w:tr>
      <w:tr w:rsidR="0013331E" w:rsidRPr="0013331E" w14:paraId="43133962" w14:textId="77777777" w:rsidTr="0013331E">
        <w:trPr>
          <w:jc w:val="center"/>
        </w:trPr>
        <w:tc>
          <w:tcPr>
            <w:tcW w:w="959" w:type="pct"/>
            <w:vMerge/>
            <w:shd w:val="clear" w:color="auto" w:fill="auto"/>
          </w:tcPr>
          <w:p w14:paraId="4AB0A10C"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751F3135"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48AFB504"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Pārtikas produktu ražošana; dzērienu ražošana; tabakas izstrādājumu ražošana (10-12)</w:t>
            </w:r>
          </w:p>
        </w:tc>
        <w:tc>
          <w:tcPr>
            <w:tcW w:w="1355" w:type="pct"/>
            <w:shd w:val="clear" w:color="auto" w:fill="auto"/>
          </w:tcPr>
          <w:p w14:paraId="17C0308C"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Pārtikas</w:t>
            </w:r>
          </w:p>
        </w:tc>
      </w:tr>
      <w:tr w:rsidR="0013331E" w:rsidRPr="0013331E" w14:paraId="0D016BB9" w14:textId="77777777" w:rsidTr="0013331E">
        <w:trPr>
          <w:jc w:val="center"/>
        </w:trPr>
        <w:tc>
          <w:tcPr>
            <w:tcW w:w="959" w:type="pct"/>
            <w:vMerge/>
            <w:shd w:val="clear" w:color="auto" w:fill="auto"/>
          </w:tcPr>
          <w:p w14:paraId="538D4C3A"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6EB22EED"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44BF1C7B"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Metālu ražošana (24.1, 24.2, 24.3, 24.51, 24.52)</w:t>
            </w:r>
          </w:p>
        </w:tc>
        <w:tc>
          <w:tcPr>
            <w:tcW w:w="1355" w:type="pct"/>
            <w:vMerge w:val="restart"/>
            <w:shd w:val="clear" w:color="auto" w:fill="auto"/>
          </w:tcPr>
          <w:p w14:paraId="72B46130"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Metālu</w:t>
            </w:r>
          </w:p>
        </w:tc>
      </w:tr>
      <w:tr w:rsidR="0013331E" w:rsidRPr="0013331E" w14:paraId="44D3A17B" w14:textId="77777777" w:rsidTr="0013331E">
        <w:trPr>
          <w:jc w:val="center"/>
        </w:trPr>
        <w:tc>
          <w:tcPr>
            <w:tcW w:w="959" w:type="pct"/>
            <w:vMerge/>
            <w:shd w:val="clear" w:color="auto" w:fill="auto"/>
          </w:tcPr>
          <w:p w14:paraId="0A8E404C"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0E455DE8"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16304CE6"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Pārējo metālu ražošana (24.4, 24.53, 24.54)</w:t>
            </w:r>
          </w:p>
        </w:tc>
        <w:tc>
          <w:tcPr>
            <w:tcW w:w="1355" w:type="pct"/>
            <w:vMerge/>
            <w:shd w:val="clear" w:color="auto" w:fill="auto"/>
          </w:tcPr>
          <w:p w14:paraId="5602CF32" w14:textId="77777777" w:rsidR="00873D06" w:rsidRPr="0013331E" w:rsidRDefault="00873D06" w:rsidP="00B478D0">
            <w:pPr>
              <w:spacing w:after="0" w:line="252" w:lineRule="auto"/>
              <w:rPr>
                <w:rFonts w:ascii="Calibri" w:eastAsia="Times New Roman" w:hAnsi="Calibri" w:cs="Times New Roman"/>
                <w:lang w:bidi="en-US"/>
              </w:rPr>
            </w:pPr>
          </w:p>
        </w:tc>
      </w:tr>
      <w:tr w:rsidR="0013331E" w:rsidRPr="0013331E" w14:paraId="02CCDFDF" w14:textId="77777777" w:rsidTr="0013331E">
        <w:trPr>
          <w:jc w:val="center"/>
        </w:trPr>
        <w:tc>
          <w:tcPr>
            <w:tcW w:w="959" w:type="pct"/>
            <w:vMerge/>
            <w:shd w:val="clear" w:color="auto" w:fill="auto"/>
          </w:tcPr>
          <w:p w14:paraId="05E6D03E"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02CF84DD"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6E28B772"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Papīra un papīra izstrādājumu ražošana, poligrāfija un ierakstu reproducēšana (17, 18)</w:t>
            </w:r>
          </w:p>
        </w:tc>
        <w:tc>
          <w:tcPr>
            <w:tcW w:w="1355" w:type="pct"/>
            <w:shd w:val="clear" w:color="auto" w:fill="auto"/>
          </w:tcPr>
          <w:p w14:paraId="2B129438"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Papīra ražošana, poligrāfija</w:t>
            </w:r>
          </w:p>
        </w:tc>
      </w:tr>
      <w:tr w:rsidR="0013331E" w:rsidRPr="0013331E" w14:paraId="1768568D" w14:textId="77777777" w:rsidTr="0013331E">
        <w:trPr>
          <w:jc w:val="center"/>
        </w:trPr>
        <w:tc>
          <w:tcPr>
            <w:tcW w:w="959" w:type="pct"/>
            <w:vMerge/>
            <w:shd w:val="clear" w:color="auto" w:fill="auto"/>
          </w:tcPr>
          <w:p w14:paraId="08B511FB"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257F84DB"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281898A6"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Nemetālisko minerālu izstrādājumu ražošana (23)</w:t>
            </w:r>
          </w:p>
        </w:tc>
        <w:tc>
          <w:tcPr>
            <w:tcW w:w="1355" w:type="pct"/>
            <w:shd w:val="clear" w:color="auto" w:fill="auto"/>
          </w:tcPr>
          <w:p w14:paraId="52A4CD64"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Nemetālisko minerālu</w:t>
            </w:r>
          </w:p>
        </w:tc>
      </w:tr>
      <w:tr w:rsidR="0013331E" w:rsidRPr="0013331E" w14:paraId="3553266A" w14:textId="77777777" w:rsidTr="0013331E">
        <w:trPr>
          <w:jc w:val="center"/>
        </w:trPr>
        <w:tc>
          <w:tcPr>
            <w:tcW w:w="959" w:type="pct"/>
            <w:vMerge/>
            <w:shd w:val="clear" w:color="auto" w:fill="auto"/>
          </w:tcPr>
          <w:p w14:paraId="18CD1985"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0F58C2EF"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5B3B0677"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Ieguves rūpniecība un karjeru izstrāde (07, izņemot 07.21, 08, 09.9)</w:t>
            </w:r>
          </w:p>
        </w:tc>
        <w:tc>
          <w:tcPr>
            <w:tcW w:w="1355" w:type="pct"/>
            <w:vMerge w:val="restart"/>
            <w:shd w:val="clear" w:color="auto" w:fill="auto"/>
          </w:tcPr>
          <w:p w14:paraId="0273F38D"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Pārējā</w:t>
            </w:r>
          </w:p>
        </w:tc>
      </w:tr>
      <w:tr w:rsidR="0013331E" w:rsidRPr="0013331E" w14:paraId="6FF19B96" w14:textId="77777777" w:rsidTr="0013331E">
        <w:trPr>
          <w:jc w:val="center"/>
        </w:trPr>
        <w:tc>
          <w:tcPr>
            <w:tcW w:w="959" w:type="pct"/>
            <w:vMerge/>
            <w:shd w:val="clear" w:color="auto" w:fill="auto"/>
          </w:tcPr>
          <w:p w14:paraId="51F58135"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526AB0C9"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620CE363"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Tekstilizstrādājumu, apģērbu, ādas un ādas izstrādājumu ražošana (13-15)</w:t>
            </w:r>
          </w:p>
        </w:tc>
        <w:tc>
          <w:tcPr>
            <w:tcW w:w="1355" w:type="pct"/>
            <w:vMerge/>
            <w:shd w:val="clear" w:color="auto" w:fill="auto"/>
          </w:tcPr>
          <w:p w14:paraId="237C3B09" w14:textId="77777777" w:rsidR="00873D06" w:rsidRPr="0013331E" w:rsidRDefault="00873D06" w:rsidP="00B478D0">
            <w:pPr>
              <w:spacing w:after="0" w:line="252" w:lineRule="auto"/>
              <w:rPr>
                <w:rFonts w:ascii="Calibri" w:eastAsia="Times New Roman" w:hAnsi="Calibri" w:cs="Times New Roman"/>
                <w:lang w:bidi="en-US"/>
              </w:rPr>
            </w:pPr>
          </w:p>
        </w:tc>
      </w:tr>
      <w:tr w:rsidR="0013331E" w:rsidRPr="0013331E" w14:paraId="26AF2C45" w14:textId="77777777" w:rsidTr="0013331E">
        <w:trPr>
          <w:jc w:val="center"/>
        </w:trPr>
        <w:tc>
          <w:tcPr>
            <w:tcW w:w="959" w:type="pct"/>
            <w:vMerge/>
            <w:shd w:val="clear" w:color="auto" w:fill="auto"/>
          </w:tcPr>
          <w:p w14:paraId="22EAC919"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24318473"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1AB2E461"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Gumijas un plastmasas izstrādājumu, mēbeļu un cita veida ražošana (22, 31, 32)</w:t>
            </w:r>
          </w:p>
        </w:tc>
        <w:tc>
          <w:tcPr>
            <w:tcW w:w="1355" w:type="pct"/>
            <w:vMerge/>
            <w:shd w:val="clear" w:color="auto" w:fill="auto"/>
          </w:tcPr>
          <w:p w14:paraId="5BF02458" w14:textId="77777777" w:rsidR="00873D06" w:rsidRPr="0013331E" w:rsidRDefault="00873D06" w:rsidP="00B478D0">
            <w:pPr>
              <w:spacing w:after="0" w:line="252" w:lineRule="auto"/>
              <w:rPr>
                <w:rFonts w:ascii="Calibri" w:eastAsia="Times New Roman" w:hAnsi="Calibri" w:cs="Times New Roman"/>
                <w:lang w:bidi="en-US"/>
              </w:rPr>
            </w:pPr>
          </w:p>
        </w:tc>
      </w:tr>
      <w:tr w:rsidR="0013331E" w:rsidRPr="0013331E" w14:paraId="2E290296" w14:textId="77777777" w:rsidTr="0013331E">
        <w:trPr>
          <w:jc w:val="center"/>
        </w:trPr>
        <w:tc>
          <w:tcPr>
            <w:tcW w:w="959" w:type="pct"/>
            <w:vMerge/>
            <w:shd w:val="clear" w:color="auto" w:fill="auto"/>
          </w:tcPr>
          <w:p w14:paraId="294226EA"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69DB9C4C"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2907FFC7"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 xml:space="preserve">Gatavo metālizstrādājumu (izņemot mašīnas un iekārtas), datoru, elektronisko un optisko </w:t>
            </w:r>
            <w:r w:rsidRPr="0013331E">
              <w:rPr>
                <w:rFonts w:ascii="Calibri" w:eastAsia="Times New Roman" w:hAnsi="Calibri" w:cs="Times New Roman"/>
                <w:lang w:bidi="en-US"/>
              </w:rPr>
              <w:lastRenderedPageBreak/>
              <w:t>iekārtu, elektrisko iekārtu, citur nekvalificētu iekārtu, mehānismu un darba mašīnu ražošana (25-28)</w:t>
            </w:r>
          </w:p>
        </w:tc>
        <w:tc>
          <w:tcPr>
            <w:tcW w:w="1355" w:type="pct"/>
            <w:vMerge/>
            <w:shd w:val="clear" w:color="auto" w:fill="auto"/>
          </w:tcPr>
          <w:p w14:paraId="32EC4BE9" w14:textId="77777777" w:rsidR="00873D06" w:rsidRPr="0013331E" w:rsidRDefault="00873D06" w:rsidP="00B478D0">
            <w:pPr>
              <w:spacing w:after="0" w:line="252" w:lineRule="auto"/>
              <w:rPr>
                <w:rFonts w:ascii="Calibri" w:eastAsia="Times New Roman" w:hAnsi="Calibri" w:cs="Times New Roman"/>
                <w:lang w:bidi="en-US"/>
              </w:rPr>
            </w:pPr>
          </w:p>
        </w:tc>
      </w:tr>
      <w:tr w:rsidR="0013331E" w:rsidRPr="0013331E" w14:paraId="1BA685D1" w14:textId="77777777" w:rsidTr="0013331E">
        <w:trPr>
          <w:jc w:val="center"/>
        </w:trPr>
        <w:tc>
          <w:tcPr>
            <w:tcW w:w="959" w:type="pct"/>
            <w:vMerge/>
            <w:shd w:val="clear" w:color="auto" w:fill="auto"/>
          </w:tcPr>
          <w:p w14:paraId="7654FF45"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35D1DE8C"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4F536AAA"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Automobiļu, piekabju, puspiekabju ražošana un citu transportlīdzekļu ražošana (29, 30)</w:t>
            </w:r>
          </w:p>
        </w:tc>
        <w:tc>
          <w:tcPr>
            <w:tcW w:w="1355" w:type="pct"/>
            <w:vMerge/>
            <w:shd w:val="clear" w:color="auto" w:fill="auto"/>
          </w:tcPr>
          <w:p w14:paraId="4E2FD260" w14:textId="77777777" w:rsidR="00873D06" w:rsidRPr="0013331E" w:rsidRDefault="00873D06" w:rsidP="00B478D0">
            <w:pPr>
              <w:spacing w:after="0" w:line="252" w:lineRule="auto"/>
              <w:rPr>
                <w:rFonts w:ascii="Calibri" w:eastAsia="Times New Roman" w:hAnsi="Calibri" w:cs="Times New Roman"/>
                <w:lang w:bidi="en-US"/>
              </w:rPr>
            </w:pPr>
          </w:p>
        </w:tc>
      </w:tr>
      <w:tr w:rsidR="0013331E" w:rsidRPr="0013331E" w14:paraId="640BED9E" w14:textId="77777777" w:rsidTr="0013331E">
        <w:trPr>
          <w:jc w:val="center"/>
        </w:trPr>
        <w:tc>
          <w:tcPr>
            <w:tcW w:w="959" w:type="pct"/>
            <w:vMerge w:val="restart"/>
            <w:shd w:val="clear" w:color="auto" w:fill="auto"/>
          </w:tcPr>
          <w:p w14:paraId="5E686DB4"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Transports</w:t>
            </w:r>
          </w:p>
        </w:tc>
        <w:tc>
          <w:tcPr>
            <w:tcW w:w="951" w:type="pct"/>
            <w:vMerge w:val="restart"/>
            <w:shd w:val="clear" w:color="auto" w:fill="auto"/>
          </w:tcPr>
          <w:p w14:paraId="674576DE"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Transports</w:t>
            </w:r>
          </w:p>
        </w:tc>
        <w:tc>
          <w:tcPr>
            <w:tcW w:w="1735" w:type="pct"/>
            <w:shd w:val="clear" w:color="auto" w:fill="auto"/>
          </w:tcPr>
          <w:p w14:paraId="6EEE12BD"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Dzelzceļa</w:t>
            </w:r>
          </w:p>
        </w:tc>
        <w:tc>
          <w:tcPr>
            <w:tcW w:w="1355" w:type="pct"/>
            <w:shd w:val="clear" w:color="auto" w:fill="auto"/>
          </w:tcPr>
          <w:p w14:paraId="3E51D2AC"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Dzelzceļa</w:t>
            </w:r>
          </w:p>
        </w:tc>
      </w:tr>
      <w:tr w:rsidR="0013331E" w:rsidRPr="0013331E" w14:paraId="057657BB" w14:textId="77777777" w:rsidTr="0013331E">
        <w:trPr>
          <w:jc w:val="center"/>
        </w:trPr>
        <w:tc>
          <w:tcPr>
            <w:tcW w:w="959" w:type="pct"/>
            <w:vMerge/>
            <w:shd w:val="clear" w:color="auto" w:fill="auto"/>
          </w:tcPr>
          <w:p w14:paraId="38A7BE22"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1636023C"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31007025"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Cauruļvadu</w:t>
            </w:r>
          </w:p>
        </w:tc>
        <w:tc>
          <w:tcPr>
            <w:tcW w:w="1355" w:type="pct"/>
            <w:shd w:val="clear" w:color="auto" w:fill="auto"/>
          </w:tcPr>
          <w:p w14:paraId="78DB05B1"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Cauruļvadu</w:t>
            </w:r>
          </w:p>
        </w:tc>
      </w:tr>
      <w:tr w:rsidR="0013331E" w:rsidRPr="0013331E" w14:paraId="75502AE3" w14:textId="77777777" w:rsidTr="0013331E">
        <w:trPr>
          <w:jc w:val="center"/>
        </w:trPr>
        <w:tc>
          <w:tcPr>
            <w:tcW w:w="959" w:type="pct"/>
            <w:vMerge/>
            <w:shd w:val="clear" w:color="auto" w:fill="auto"/>
          </w:tcPr>
          <w:p w14:paraId="2810614C"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17717B93"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val="restart"/>
            <w:shd w:val="clear" w:color="auto" w:fill="auto"/>
          </w:tcPr>
          <w:p w14:paraId="779E7D82"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Auto</w:t>
            </w:r>
          </w:p>
        </w:tc>
        <w:tc>
          <w:tcPr>
            <w:tcW w:w="1355" w:type="pct"/>
            <w:shd w:val="clear" w:color="auto" w:fill="auto"/>
          </w:tcPr>
          <w:p w14:paraId="1641CC88"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Autobusi</w:t>
            </w:r>
          </w:p>
        </w:tc>
      </w:tr>
      <w:tr w:rsidR="0013331E" w:rsidRPr="0013331E" w14:paraId="5EBEE61F" w14:textId="77777777" w:rsidTr="0013331E">
        <w:trPr>
          <w:jc w:val="center"/>
        </w:trPr>
        <w:tc>
          <w:tcPr>
            <w:tcW w:w="959" w:type="pct"/>
            <w:vMerge/>
            <w:shd w:val="clear" w:color="auto" w:fill="auto"/>
          </w:tcPr>
          <w:p w14:paraId="1F8A2A1F"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127EB138"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21616F89"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3200AB78"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Kravas mašīnas</w:t>
            </w:r>
          </w:p>
        </w:tc>
      </w:tr>
      <w:tr w:rsidR="0013331E" w:rsidRPr="0013331E" w14:paraId="1DCEB882" w14:textId="77777777" w:rsidTr="0013331E">
        <w:trPr>
          <w:jc w:val="center"/>
        </w:trPr>
        <w:tc>
          <w:tcPr>
            <w:tcW w:w="959" w:type="pct"/>
            <w:vMerge/>
            <w:shd w:val="clear" w:color="auto" w:fill="auto"/>
          </w:tcPr>
          <w:p w14:paraId="5C8F10B2"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778069E8"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146BE30B"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09F1D6EB"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Pasažieru automašīna un motocikli</w:t>
            </w:r>
          </w:p>
        </w:tc>
      </w:tr>
      <w:tr w:rsidR="0013331E" w:rsidRPr="0013331E" w14:paraId="31A84159" w14:textId="77777777" w:rsidTr="0013331E">
        <w:trPr>
          <w:jc w:val="center"/>
        </w:trPr>
        <w:tc>
          <w:tcPr>
            <w:tcW w:w="959" w:type="pct"/>
            <w:vMerge/>
            <w:shd w:val="clear" w:color="auto" w:fill="auto"/>
          </w:tcPr>
          <w:p w14:paraId="1E89237A"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0E22C768"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67488A37"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Ūdens</w:t>
            </w:r>
          </w:p>
        </w:tc>
        <w:tc>
          <w:tcPr>
            <w:tcW w:w="1355" w:type="pct"/>
            <w:shd w:val="clear" w:color="auto" w:fill="auto"/>
          </w:tcPr>
          <w:p w14:paraId="64EB4AFA"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Vietējā kuģošana</w:t>
            </w:r>
          </w:p>
        </w:tc>
      </w:tr>
      <w:tr w:rsidR="0013331E" w:rsidRPr="0013331E" w14:paraId="21703120" w14:textId="77777777" w:rsidTr="0013331E">
        <w:trPr>
          <w:jc w:val="center"/>
        </w:trPr>
        <w:tc>
          <w:tcPr>
            <w:tcW w:w="959" w:type="pct"/>
            <w:vMerge/>
            <w:shd w:val="clear" w:color="auto" w:fill="auto"/>
          </w:tcPr>
          <w:p w14:paraId="1EDFB5B9"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074B2B24"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val="restart"/>
            <w:shd w:val="clear" w:color="auto" w:fill="auto"/>
          </w:tcPr>
          <w:p w14:paraId="69C2A8A4"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Gaisa</w:t>
            </w:r>
          </w:p>
        </w:tc>
        <w:tc>
          <w:tcPr>
            <w:tcW w:w="1355" w:type="pct"/>
            <w:shd w:val="clear" w:color="auto" w:fill="auto"/>
          </w:tcPr>
          <w:p w14:paraId="6BCC8DFE"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Vietējā aviācija</w:t>
            </w:r>
          </w:p>
        </w:tc>
      </w:tr>
      <w:tr w:rsidR="0013331E" w:rsidRPr="0013331E" w14:paraId="56A05118" w14:textId="77777777" w:rsidTr="0013331E">
        <w:trPr>
          <w:jc w:val="center"/>
        </w:trPr>
        <w:tc>
          <w:tcPr>
            <w:tcW w:w="959" w:type="pct"/>
            <w:vMerge/>
            <w:shd w:val="clear" w:color="auto" w:fill="auto"/>
          </w:tcPr>
          <w:p w14:paraId="6819692C"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val="restart"/>
            <w:shd w:val="clear" w:color="auto" w:fill="auto"/>
          </w:tcPr>
          <w:p w14:paraId="31E4A0F1" w14:textId="77777777" w:rsidR="00873D06" w:rsidRPr="0013331E" w:rsidRDefault="00873D06" w:rsidP="00B478D0">
            <w:pPr>
              <w:spacing w:after="0" w:line="252" w:lineRule="auto"/>
              <w:rPr>
                <w:rFonts w:ascii="Calibri" w:eastAsia="Times New Roman" w:hAnsi="Calibri" w:cs="Times New Roman"/>
                <w:lang w:bidi="en-US"/>
              </w:rPr>
            </w:pPr>
            <w:proofErr w:type="spellStart"/>
            <w:r w:rsidRPr="0013331E">
              <w:rPr>
                <w:rFonts w:ascii="Calibri" w:eastAsia="Times New Roman" w:hAnsi="Calibri" w:cs="Times New Roman"/>
                <w:lang w:bidi="en-US"/>
              </w:rPr>
              <w:t>Bunkurēšana</w:t>
            </w:r>
            <w:proofErr w:type="spellEnd"/>
          </w:p>
        </w:tc>
        <w:tc>
          <w:tcPr>
            <w:tcW w:w="1735" w:type="pct"/>
            <w:vMerge/>
            <w:shd w:val="clear" w:color="auto" w:fill="auto"/>
          </w:tcPr>
          <w:p w14:paraId="2AFEFCDE"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133796C9"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Starptautiskā aviācija</w:t>
            </w:r>
          </w:p>
        </w:tc>
      </w:tr>
      <w:tr w:rsidR="0013331E" w:rsidRPr="0013331E" w14:paraId="0367D5D6" w14:textId="77777777" w:rsidTr="0013331E">
        <w:trPr>
          <w:jc w:val="center"/>
        </w:trPr>
        <w:tc>
          <w:tcPr>
            <w:tcW w:w="959" w:type="pct"/>
            <w:shd w:val="clear" w:color="auto" w:fill="auto"/>
          </w:tcPr>
          <w:p w14:paraId="5F53E8C6" w14:textId="77777777" w:rsidR="00873D06" w:rsidRPr="0013331E" w:rsidRDefault="00873D06" w:rsidP="00B478D0">
            <w:pPr>
              <w:spacing w:after="0" w:line="252" w:lineRule="auto"/>
              <w:rPr>
                <w:rFonts w:ascii="Calibri" w:eastAsia="Times New Roman" w:hAnsi="Calibri" w:cs="Times New Roman"/>
                <w:lang w:bidi="en-US"/>
              </w:rPr>
            </w:pPr>
            <w:proofErr w:type="spellStart"/>
            <w:r w:rsidRPr="0013331E">
              <w:rPr>
                <w:rFonts w:ascii="Calibri" w:eastAsia="Times New Roman" w:hAnsi="Calibri" w:cs="Times New Roman"/>
                <w:lang w:bidi="en-US"/>
              </w:rPr>
              <w:t>Bunkurēšana</w:t>
            </w:r>
            <w:proofErr w:type="spellEnd"/>
          </w:p>
        </w:tc>
        <w:tc>
          <w:tcPr>
            <w:tcW w:w="951" w:type="pct"/>
            <w:vMerge/>
            <w:shd w:val="clear" w:color="auto" w:fill="auto"/>
          </w:tcPr>
          <w:p w14:paraId="3115D2B7"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shd w:val="clear" w:color="auto" w:fill="auto"/>
          </w:tcPr>
          <w:p w14:paraId="2D4187B4" w14:textId="77777777" w:rsidR="00873D06" w:rsidRPr="0013331E" w:rsidRDefault="00873D06" w:rsidP="00B478D0">
            <w:pPr>
              <w:spacing w:after="0" w:line="252" w:lineRule="auto"/>
              <w:rPr>
                <w:rFonts w:ascii="Calibri" w:eastAsia="Times New Roman" w:hAnsi="Calibri" w:cs="Times New Roman"/>
                <w:lang w:bidi="en-US"/>
              </w:rPr>
            </w:pPr>
            <w:proofErr w:type="spellStart"/>
            <w:r w:rsidRPr="0013331E">
              <w:rPr>
                <w:rFonts w:ascii="Calibri" w:eastAsia="Times New Roman" w:hAnsi="Calibri" w:cs="Times New Roman"/>
                <w:lang w:bidi="en-US"/>
              </w:rPr>
              <w:t>Bunkurēšana</w:t>
            </w:r>
            <w:proofErr w:type="spellEnd"/>
          </w:p>
        </w:tc>
        <w:tc>
          <w:tcPr>
            <w:tcW w:w="1355" w:type="pct"/>
            <w:shd w:val="clear" w:color="auto" w:fill="auto"/>
          </w:tcPr>
          <w:p w14:paraId="45FFDA55"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Starptautiskā kuģošana</w:t>
            </w:r>
          </w:p>
        </w:tc>
      </w:tr>
      <w:tr w:rsidR="0013331E" w:rsidRPr="0013331E" w14:paraId="5ECFA3F9" w14:textId="77777777" w:rsidTr="0013331E">
        <w:trPr>
          <w:jc w:val="center"/>
        </w:trPr>
        <w:tc>
          <w:tcPr>
            <w:tcW w:w="959" w:type="pct"/>
            <w:vMerge w:val="restart"/>
            <w:shd w:val="clear" w:color="auto" w:fill="auto"/>
          </w:tcPr>
          <w:p w14:paraId="418315E2"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Pārējie patērētāji</w:t>
            </w:r>
          </w:p>
        </w:tc>
        <w:tc>
          <w:tcPr>
            <w:tcW w:w="951" w:type="pct"/>
            <w:vMerge w:val="restart"/>
            <w:shd w:val="clear" w:color="auto" w:fill="auto"/>
          </w:tcPr>
          <w:p w14:paraId="5CEB6035"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Pakalpojumi</w:t>
            </w:r>
          </w:p>
        </w:tc>
        <w:tc>
          <w:tcPr>
            <w:tcW w:w="1735" w:type="pct"/>
            <w:vMerge w:val="restart"/>
            <w:shd w:val="clear" w:color="auto" w:fill="auto"/>
          </w:tcPr>
          <w:p w14:paraId="4CD6BAAD"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Pārējie patērētāji - komerciālais un sabiedriskais sektors (33, 36-39, 45-47, 52, 53, 55, 56, 58-66, 68-75, 77-82, 84-88, 90-96, 99)</w:t>
            </w:r>
          </w:p>
        </w:tc>
        <w:tc>
          <w:tcPr>
            <w:tcW w:w="1355" w:type="pct"/>
            <w:shd w:val="clear" w:color="auto" w:fill="auto"/>
          </w:tcPr>
          <w:p w14:paraId="64C46E7D"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Gaisa kondensēšanas iekārtas</w:t>
            </w:r>
          </w:p>
        </w:tc>
      </w:tr>
      <w:tr w:rsidR="0013331E" w:rsidRPr="0013331E" w14:paraId="47151E61" w14:textId="77777777" w:rsidTr="0013331E">
        <w:trPr>
          <w:jc w:val="center"/>
        </w:trPr>
        <w:tc>
          <w:tcPr>
            <w:tcW w:w="959" w:type="pct"/>
            <w:vMerge/>
            <w:shd w:val="clear" w:color="auto" w:fill="auto"/>
          </w:tcPr>
          <w:p w14:paraId="5ED27D3E"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4C1BA20B"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5B2456C3"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1C215DB8"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Ēdienu gatavošana</w:t>
            </w:r>
          </w:p>
        </w:tc>
      </w:tr>
      <w:tr w:rsidR="0013331E" w:rsidRPr="0013331E" w14:paraId="3721E41D" w14:textId="77777777" w:rsidTr="0013331E">
        <w:trPr>
          <w:jc w:val="center"/>
        </w:trPr>
        <w:tc>
          <w:tcPr>
            <w:tcW w:w="959" w:type="pct"/>
            <w:vMerge/>
            <w:shd w:val="clear" w:color="auto" w:fill="auto"/>
          </w:tcPr>
          <w:p w14:paraId="103B5478"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4F244248"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3D0F90F5"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1938E7D0"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Apkure un siltais ūdens</w:t>
            </w:r>
          </w:p>
        </w:tc>
      </w:tr>
      <w:tr w:rsidR="0013331E" w:rsidRPr="0013331E" w14:paraId="7FD24BB3" w14:textId="77777777" w:rsidTr="0013331E">
        <w:trPr>
          <w:jc w:val="center"/>
        </w:trPr>
        <w:tc>
          <w:tcPr>
            <w:tcW w:w="959" w:type="pct"/>
            <w:vMerge/>
            <w:shd w:val="clear" w:color="auto" w:fill="auto"/>
          </w:tcPr>
          <w:p w14:paraId="2A39064D"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68B382AD"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49A9045C"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74190B45"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Apgaismojums</w:t>
            </w:r>
          </w:p>
        </w:tc>
      </w:tr>
      <w:tr w:rsidR="0013331E" w:rsidRPr="0013331E" w14:paraId="029763C3" w14:textId="77777777" w:rsidTr="0013331E">
        <w:trPr>
          <w:jc w:val="center"/>
        </w:trPr>
        <w:tc>
          <w:tcPr>
            <w:tcW w:w="959" w:type="pct"/>
            <w:vMerge/>
            <w:shd w:val="clear" w:color="auto" w:fill="auto"/>
          </w:tcPr>
          <w:p w14:paraId="41AF1920"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7563A748"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0B155A03"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4D2AEB72" w14:textId="77777777" w:rsidR="00873D06" w:rsidRPr="0013331E" w:rsidRDefault="00873D06" w:rsidP="00B478D0">
            <w:pPr>
              <w:spacing w:after="0" w:line="252" w:lineRule="auto"/>
              <w:rPr>
                <w:rFonts w:ascii="Calibri" w:eastAsia="Times New Roman" w:hAnsi="Calibri" w:cs="Times New Roman"/>
                <w:lang w:bidi="en-US"/>
              </w:rPr>
            </w:pPr>
            <w:bookmarkStart w:id="10" w:name="OLE_LINK55"/>
            <w:r w:rsidRPr="0013331E">
              <w:rPr>
                <w:rFonts w:ascii="Calibri" w:eastAsia="Times New Roman" w:hAnsi="Calibri" w:cs="Times New Roman"/>
                <w:lang w:bidi="en-US"/>
              </w:rPr>
              <w:t>Elektriskās iekārtas un ierīces</w:t>
            </w:r>
            <w:bookmarkEnd w:id="10"/>
          </w:p>
        </w:tc>
      </w:tr>
      <w:tr w:rsidR="0013331E" w:rsidRPr="0013331E" w14:paraId="6D614092" w14:textId="77777777" w:rsidTr="0013331E">
        <w:trPr>
          <w:jc w:val="center"/>
        </w:trPr>
        <w:tc>
          <w:tcPr>
            <w:tcW w:w="959" w:type="pct"/>
            <w:vMerge/>
            <w:shd w:val="clear" w:color="auto" w:fill="auto"/>
          </w:tcPr>
          <w:p w14:paraId="04DAE02C"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5BD6B188"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56658C0E"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10BAE7F4"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Saldēšanas iekārtas</w:t>
            </w:r>
          </w:p>
        </w:tc>
      </w:tr>
      <w:tr w:rsidR="0013331E" w:rsidRPr="0013331E" w14:paraId="0BB1D12F" w14:textId="77777777" w:rsidTr="0013331E">
        <w:trPr>
          <w:jc w:val="center"/>
        </w:trPr>
        <w:tc>
          <w:tcPr>
            <w:tcW w:w="959" w:type="pct"/>
            <w:vMerge w:val="restart"/>
            <w:shd w:val="clear" w:color="auto" w:fill="auto"/>
          </w:tcPr>
          <w:p w14:paraId="46F72570"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Mājsaimniecības</w:t>
            </w:r>
          </w:p>
        </w:tc>
        <w:tc>
          <w:tcPr>
            <w:tcW w:w="951" w:type="pct"/>
            <w:vMerge w:val="restart"/>
            <w:shd w:val="clear" w:color="auto" w:fill="auto"/>
          </w:tcPr>
          <w:p w14:paraId="12641208"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Mājsaimniecības</w:t>
            </w:r>
          </w:p>
        </w:tc>
        <w:tc>
          <w:tcPr>
            <w:tcW w:w="1735" w:type="pct"/>
            <w:vMerge w:val="restart"/>
            <w:shd w:val="clear" w:color="auto" w:fill="auto"/>
          </w:tcPr>
          <w:p w14:paraId="2414764E"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Mājsaimniecības</w:t>
            </w:r>
          </w:p>
        </w:tc>
        <w:tc>
          <w:tcPr>
            <w:tcW w:w="1355" w:type="pct"/>
            <w:shd w:val="clear" w:color="auto" w:fill="auto"/>
          </w:tcPr>
          <w:p w14:paraId="400B470F"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Gaisa kondensēšana</w:t>
            </w:r>
          </w:p>
        </w:tc>
      </w:tr>
      <w:tr w:rsidR="0013331E" w:rsidRPr="0013331E" w14:paraId="2B22005F" w14:textId="77777777" w:rsidTr="0013331E">
        <w:trPr>
          <w:jc w:val="center"/>
        </w:trPr>
        <w:tc>
          <w:tcPr>
            <w:tcW w:w="959" w:type="pct"/>
            <w:vMerge/>
            <w:shd w:val="clear" w:color="auto" w:fill="auto"/>
          </w:tcPr>
          <w:p w14:paraId="3FB2BD88"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471DF2DB"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62FA9D57"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4372EE05"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Veļas žāvēšanas mašīnas</w:t>
            </w:r>
          </w:p>
        </w:tc>
      </w:tr>
      <w:tr w:rsidR="0013331E" w:rsidRPr="0013331E" w14:paraId="6A1682B2" w14:textId="77777777" w:rsidTr="0013331E">
        <w:trPr>
          <w:jc w:val="center"/>
        </w:trPr>
        <w:tc>
          <w:tcPr>
            <w:tcW w:w="959" w:type="pct"/>
            <w:vMerge/>
            <w:shd w:val="clear" w:color="auto" w:fill="auto"/>
          </w:tcPr>
          <w:p w14:paraId="52750C16"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6F5D7E15"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70BAE084"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4C440F94"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Ēdienu gatavošana</w:t>
            </w:r>
          </w:p>
        </w:tc>
      </w:tr>
      <w:tr w:rsidR="0013331E" w:rsidRPr="0013331E" w14:paraId="3FF9EE4A" w14:textId="77777777" w:rsidTr="0013331E">
        <w:trPr>
          <w:jc w:val="center"/>
        </w:trPr>
        <w:tc>
          <w:tcPr>
            <w:tcW w:w="959" w:type="pct"/>
            <w:vMerge/>
            <w:shd w:val="clear" w:color="auto" w:fill="auto"/>
          </w:tcPr>
          <w:p w14:paraId="7CA0D003"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4058EBC4"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2E598E9A"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3CC07FF7"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Veļas mazgājamās mašīnas</w:t>
            </w:r>
          </w:p>
        </w:tc>
      </w:tr>
      <w:tr w:rsidR="0013331E" w:rsidRPr="0013331E" w14:paraId="124458E4" w14:textId="77777777" w:rsidTr="0013331E">
        <w:trPr>
          <w:jc w:val="center"/>
        </w:trPr>
        <w:tc>
          <w:tcPr>
            <w:tcW w:w="959" w:type="pct"/>
            <w:vMerge/>
            <w:shd w:val="clear" w:color="auto" w:fill="auto"/>
          </w:tcPr>
          <w:p w14:paraId="72375244"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4F5BDC2F"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121ADD0E"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2B9F1DBB"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Trauku mazgājamās mašīnas</w:t>
            </w:r>
          </w:p>
        </w:tc>
      </w:tr>
      <w:tr w:rsidR="0013331E" w:rsidRPr="0013331E" w14:paraId="0B86F426" w14:textId="77777777" w:rsidTr="0013331E">
        <w:trPr>
          <w:jc w:val="center"/>
        </w:trPr>
        <w:tc>
          <w:tcPr>
            <w:tcW w:w="959" w:type="pct"/>
            <w:vMerge/>
            <w:shd w:val="clear" w:color="auto" w:fill="auto"/>
          </w:tcPr>
          <w:p w14:paraId="6312E104"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664F4D83"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0B5D8C7C"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1EE3281F"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Elektriskās iekārtas un ierīces</w:t>
            </w:r>
          </w:p>
        </w:tc>
      </w:tr>
      <w:tr w:rsidR="0013331E" w:rsidRPr="0013331E" w14:paraId="133080C0" w14:textId="77777777" w:rsidTr="0013331E">
        <w:trPr>
          <w:jc w:val="center"/>
        </w:trPr>
        <w:tc>
          <w:tcPr>
            <w:tcW w:w="959" w:type="pct"/>
            <w:vMerge/>
            <w:shd w:val="clear" w:color="auto" w:fill="auto"/>
          </w:tcPr>
          <w:p w14:paraId="535102D6"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65E6ABF3"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5D5F6BCE"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30B7B892"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Apkure un siltais ūdens daudzdzīvokļu ēkām</w:t>
            </w:r>
          </w:p>
        </w:tc>
      </w:tr>
      <w:tr w:rsidR="0013331E" w:rsidRPr="0013331E" w14:paraId="5279ABB0" w14:textId="77777777" w:rsidTr="0013331E">
        <w:trPr>
          <w:jc w:val="center"/>
        </w:trPr>
        <w:tc>
          <w:tcPr>
            <w:tcW w:w="959" w:type="pct"/>
            <w:vMerge/>
            <w:shd w:val="clear" w:color="auto" w:fill="auto"/>
          </w:tcPr>
          <w:p w14:paraId="46C7F2B5"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7FB6E2FD"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262F10ED"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76A9283D"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Apkure un siltais ūdens savrupmājām</w:t>
            </w:r>
          </w:p>
        </w:tc>
      </w:tr>
      <w:tr w:rsidR="0013331E" w:rsidRPr="0013331E" w14:paraId="5877078D" w14:textId="77777777" w:rsidTr="0013331E">
        <w:trPr>
          <w:jc w:val="center"/>
        </w:trPr>
        <w:tc>
          <w:tcPr>
            <w:tcW w:w="959" w:type="pct"/>
            <w:vMerge/>
            <w:shd w:val="clear" w:color="auto" w:fill="auto"/>
          </w:tcPr>
          <w:p w14:paraId="20BC5EC6"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758C919E"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2CBB4360"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27147FC9"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Apgaismojums</w:t>
            </w:r>
          </w:p>
        </w:tc>
      </w:tr>
      <w:tr w:rsidR="0013331E" w:rsidRPr="0013331E" w14:paraId="635D7C07" w14:textId="77777777" w:rsidTr="0013331E">
        <w:trPr>
          <w:jc w:val="center"/>
        </w:trPr>
        <w:tc>
          <w:tcPr>
            <w:tcW w:w="959" w:type="pct"/>
            <w:vMerge/>
            <w:shd w:val="clear" w:color="auto" w:fill="auto"/>
          </w:tcPr>
          <w:p w14:paraId="69699BA4"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1384C03E"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66CFBFF2"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4B03944F"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Ledusskapji un saldētavas</w:t>
            </w:r>
          </w:p>
        </w:tc>
      </w:tr>
      <w:tr w:rsidR="0013331E" w:rsidRPr="0013331E" w14:paraId="04345369" w14:textId="77777777" w:rsidTr="0013331E">
        <w:trPr>
          <w:jc w:val="center"/>
        </w:trPr>
        <w:tc>
          <w:tcPr>
            <w:tcW w:w="959" w:type="pct"/>
            <w:vMerge w:val="restart"/>
            <w:shd w:val="clear" w:color="auto" w:fill="auto"/>
          </w:tcPr>
          <w:p w14:paraId="146C16E0" w14:textId="41609BBB" w:rsidR="00873D06" w:rsidRPr="0013331E" w:rsidRDefault="00873D06" w:rsidP="00B478D0">
            <w:pPr>
              <w:spacing w:after="0" w:line="252" w:lineRule="auto"/>
              <w:rPr>
                <w:rFonts w:ascii="Calibri" w:eastAsia="Times New Roman" w:hAnsi="Calibri" w:cs="Times New Roman"/>
                <w:lang w:bidi="en-US"/>
              </w:rPr>
            </w:pPr>
            <w:bookmarkStart w:id="11" w:name="OLE_LINK53"/>
            <w:bookmarkStart w:id="12" w:name="OLE_LINK54"/>
            <w:r w:rsidRPr="0013331E">
              <w:rPr>
                <w:rFonts w:ascii="Calibri" w:eastAsia="Times New Roman" w:hAnsi="Calibri" w:cs="Times New Roman"/>
                <w:lang w:bidi="en-US"/>
              </w:rPr>
              <w:t>Lauksaimniecība, mežsaimniecība un zivsaimniecība</w:t>
            </w:r>
            <w:bookmarkEnd w:id="11"/>
            <w:bookmarkEnd w:id="12"/>
          </w:p>
        </w:tc>
        <w:tc>
          <w:tcPr>
            <w:tcW w:w="951" w:type="pct"/>
            <w:vMerge w:val="restart"/>
            <w:shd w:val="clear" w:color="auto" w:fill="auto"/>
          </w:tcPr>
          <w:p w14:paraId="11B64C4B"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Lauksaimniecība</w:t>
            </w:r>
          </w:p>
        </w:tc>
        <w:tc>
          <w:tcPr>
            <w:tcW w:w="1735" w:type="pct"/>
            <w:vMerge w:val="restart"/>
            <w:shd w:val="clear" w:color="auto" w:fill="auto"/>
          </w:tcPr>
          <w:p w14:paraId="1999A693"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augkopība un lopkopība, medniecība un saistītas palīgdarbības, mežsaimniecība un mežizstrāde (01, 02); zivsaimniecība (03)</w:t>
            </w:r>
          </w:p>
        </w:tc>
        <w:tc>
          <w:tcPr>
            <w:tcW w:w="1355" w:type="pct"/>
            <w:shd w:val="clear" w:color="auto" w:fill="auto"/>
          </w:tcPr>
          <w:p w14:paraId="36981A43"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Elektroenerģija</w:t>
            </w:r>
          </w:p>
        </w:tc>
      </w:tr>
      <w:tr w:rsidR="0013331E" w:rsidRPr="0013331E" w14:paraId="7B95DA0D" w14:textId="77777777" w:rsidTr="0013331E">
        <w:trPr>
          <w:jc w:val="center"/>
        </w:trPr>
        <w:tc>
          <w:tcPr>
            <w:tcW w:w="959" w:type="pct"/>
            <w:vMerge/>
            <w:shd w:val="clear" w:color="auto" w:fill="auto"/>
          </w:tcPr>
          <w:p w14:paraId="6670992A" w14:textId="77777777" w:rsidR="00873D06" w:rsidRPr="0013331E" w:rsidRDefault="00873D06" w:rsidP="00B478D0">
            <w:pPr>
              <w:spacing w:after="0" w:line="252" w:lineRule="auto"/>
              <w:rPr>
                <w:rFonts w:ascii="Calibri" w:eastAsia="Times New Roman" w:hAnsi="Calibri" w:cs="Times New Roman"/>
                <w:lang w:bidi="en-US"/>
              </w:rPr>
            </w:pPr>
          </w:p>
        </w:tc>
        <w:tc>
          <w:tcPr>
            <w:tcW w:w="951" w:type="pct"/>
            <w:vMerge/>
            <w:shd w:val="clear" w:color="auto" w:fill="auto"/>
          </w:tcPr>
          <w:p w14:paraId="08B0DF0A" w14:textId="77777777" w:rsidR="00873D06" w:rsidRPr="0013331E" w:rsidRDefault="00873D06" w:rsidP="00B478D0">
            <w:pPr>
              <w:spacing w:after="0" w:line="252" w:lineRule="auto"/>
              <w:rPr>
                <w:rFonts w:ascii="Calibri" w:eastAsia="Times New Roman" w:hAnsi="Calibri" w:cs="Times New Roman"/>
                <w:lang w:bidi="en-US"/>
              </w:rPr>
            </w:pPr>
          </w:p>
        </w:tc>
        <w:tc>
          <w:tcPr>
            <w:tcW w:w="1735" w:type="pct"/>
            <w:vMerge/>
            <w:shd w:val="clear" w:color="auto" w:fill="auto"/>
          </w:tcPr>
          <w:p w14:paraId="04694300" w14:textId="77777777" w:rsidR="00873D06" w:rsidRPr="0013331E" w:rsidRDefault="00873D06" w:rsidP="00B478D0">
            <w:pPr>
              <w:spacing w:after="0" w:line="252" w:lineRule="auto"/>
              <w:rPr>
                <w:rFonts w:ascii="Calibri" w:eastAsia="Times New Roman" w:hAnsi="Calibri" w:cs="Times New Roman"/>
                <w:lang w:bidi="en-US"/>
              </w:rPr>
            </w:pPr>
          </w:p>
        </w:tc>
        <w:tc>
          <w:tcPr>
            <w:tcW w:w="1355" w:type="pct"/>
            <w:shd w:val="clear" w:color="auto" w:fill="auto"/>
          </w:tcPr>
          <w:p w14:paraId="553C0B99" w14:textId="77777777" w:rsidR="00873D06" w:rsidRPr="0013331E" w:rsidRDefault="00873D06" w:rsidP="00B478D0">
            <w:pPr>
              <w:spacing w:after="0" w:line="252" w:lineRule="auto"/>
              <w:rPr>
                <w:rFonts w:ascii="Calibri" w:eastAsia="Times New Roman" w:hAnsi="Calibri" w:cs="Times New Roman"/>
                <w:lang w:bidi="en-US"/>
              </w:rPr>
            </w:pPr>
            <w:r w:rsidRPr="0013331E">
              <w:rPr>
                <w:rFonts w:ascii="Calibri" w:eastAsia="Times New Roman" w:hAnsi="Calibri" w:cs="Times New Roman"/>
                <w:lang w:bidi="en-US"/>
              </w:rPr>
              <w:t>Kurināmais un degviela</w:t>
            </w:r>
          </w:p>
        </w:tc>
      </w:tr>
    </w:tbl>
    <w:p w14:paraId="748F7306" w14:textId="77777777" w:rsidR="00873D06" w:rsidRPr="00AE6FF6" w:rsidRDefault="00873D06" w:rsidP="0013331E">
      <w:pPr>
        <w:spacing w:before="120" w:after="120" w:line="240" w:lineRule="auto"/>
        <w:jc w:val="both"/>
        <w:rPr>
          <w:rFonts w:eastAsia="Times New Roman" w:cstheme="minorHAnsi"/>
          <w:sz w:val="24"/>
          <w:szCs w:val="24"/>
          <w:lang w:bidi="en-US"/>
        </w:rPr>
      </w:pPr>
      <w:r w:rsidRPr="00AE6FF6">
        <w:rPr>
          <w:rFonts w:eastAsia="Times New Roman" w:cstheme="minorHAnsi"/>
          <w:sz w:val="24"/>
          <w:szCs w:val="24"/>
          <w:lang w:bidi="en-US"/>
        </w:rPr>
        <w:t>Izmantotais modelis ir „</w:t>
      </w:r>
      <w:proofErr w:type="spellStart"/>
      <w:r w:rsidRPr="00AE6FF6">
        <w:rPr>
          <w:rFonts w:eastAsia="Times New Roman" w:cstheme="minorHAnsi"/>
          <w:sz w:val="24"/>
          <w:szCs w:val="24"/>
          <w:lang w:bidi="en-US"/>
        </w:rPr>
        <w:t>demand</w:t>
      </w:r>
      <w:proofErr w:type="spellEnd"/>
      <w:r w:rsidRPr="00AE6FF6">
        <w:rPr>
          <w:rFonts w:eastAsia="Times New Roman" w:cstheme="minorHAnsi"/>
          <w:sz w:val="24"/>
          <w:szCs w:val="24"/>
          <w:lang w:bidi="en-US"/>
        </w:rPr>
        <w:t xml:space="preserve"> </w:t>
      </w:r>
      <w:proofErr w:type="spellStart"/>
      <w:r w:rsidRPr="00AE6FF6">
        <w:rPr>
          <w:rFonts w:eastAsia="Times New Roman" w:cstheme="minorHAnsi"/>
          <w:sz w:val="24"/>
          <w:szCs w:val="24"/>
          <w:lang w:bidi="en-US"/>
        </w:rPr>
        <w:t>driven</w:t>
      </w:r>
      <w:proofErr w:type="spellEnd"/>
      <w:r w:rsidRPr="00AE6FF6">
        <w:rPr>
          <w:rFonts w:eastAsia="Times New Roman" w:cstheme="minorHAnsi"/>
          <w:sz w:val="24"/>
          <w:szCs w:val="24"/>
          <w:lang w:bidi="en-US"/>
        </w:rPr>
        <w:t xml:space="preserve">” optimizācijas modelis, t.i., optimizējot aprakstīto enerģijas-vides sistēmu, tiek nodrošināts atsevišķu enerģijas gala patērētāju sektoru </w:t>
      </w:r>
      <w:r w:rsidRPr="00AE6FF6">
        <w:rPr>
          <w:rFonts w:eastAsia="Times New Roman" w:cstheme="minorHAnsi"/>
          <w:sz w:val="24"/>
          <w:szCs w:val="24"/>
          <w:lang w:bidi="en-US"/>
        </w:rPr>
        <w:lastRenderedPageBreak/>
        <w:t>pieprasījums pēc enerģijas, lai tādējādi apmierinātu dažādas vajadzības – enerģijas pakalpojumus, kas modelī atspoguļoti lietderīgās enerģijas pieprasījuma veidā. Lietderīgās enerģijas pieprasījums ir ieejas parametrs modelī un tiek prognozēts ārpus modeļa. Turpretim enerģijas gala patēriņš ir modeļa rezultāts.</w:t>
      </w:r>
    </w:p>
    <w:p w14:paraId="3E3C90D6" w14:textId="77777777" w:rsidR="00873D06" w:rsidRPr="00AE6FF6" w:rsidRDefault="00873D06" w:rsidP="008163F1">
      <w:pPr>
        <w:spacing w:before="120" w:after="120" w:line="240" w:lineRule="auto"/>
        <w:jc w:val="both"/>
        <w:rPr>
          <w:rFonts w:eastAsia="Times New Roman" w:cstheme="minorHAnsi"/>
          <w:sz w:val="24"/>
          <w:szCs w:val="24"/>
          <w:lang w:bidi="en-US"/>
        </w:rPr>
      </w:pPr>
      <w:proofErr w:type="spellStart"/>
      <w:r w:rsidRPr="00AE6FF6">
        <w:rPr>
          <w:rFonts w:eastAsia="Times New Roman" w:cstheme="minorHAnsi"/>
          <w:sz w:val="24"/>
          <w:szCs w:val="24"/>
          <w:lang w:bidi="en-US"/>
        </w:rPr>
        <w:t>Apakšsektoriem</w:t>
      </w:r>
      <w:proofErr w:type="spellEnd"/>
      <w:r w:rsidRPr="00AE6FF6">
        <w:rPr>
          <w:rFonts w:eastAsia="Times New Roman" w:cstheme="minorHAnsi"/>
          <w:sz w:val="24"/>
          <w:szCs w:val="24"/>
          <w:lang w:bidi="en-US"/>
        </w:rPr>
        <w:t xml:space="preserve"> prognozētais pieprasījums pēc pakalpojuma vai lietderīgās enerģijas (UC) (sk. </w:t>
      </w:r>
      <w:r w:rsidRPr="00AE6FF6">
        <w:rPr>
          <w:rFonts w:eastAsia="Times New Roman" w:cstheme="minorHAnsi"/>
          <w:sz w:val="24"/>
          <w:szCs w:val="24"/>
          <w:lang w:bidi="en-US"/>
        </w:rPr>
        <w:fldChar w:fldCharType="begin"/>
      </w:r>
      <w:r w:rsidRPr="00AE6FF6">
        <w:rPr>
          <w:rFonts w:eastAsia="Times New Roman" w:cstheme="minorHAnsi"/>
          <w:sz w:val="24"/>
          <w:szCs w:val="24"/>
          <w:lang w:bidi="en-US"/>
        </w:rPr>
        <w:instrText xml:space="preserve"> REF _Ref336956270 \h  \* MERGEFORMAT </w:instrText>
      </w:r>
      <w:r w:rsidRPr="00AE6FF6">
        <w:rPr>
          <w:rFonts w:eastAsia="Times New Roman" w:cstheme="minorHAnsi"/>
          <w:sz w:val="24"/>
          <w:szCs w:val="24"/>
          <w:lang w:bidi="en-US"/>
        </w:rPr>
      </w:r>
      <w:r w:rsidRPr="00AE6FF6">
        <w:rPr>
          <w:rFonts w:eastAsia="Times New Roman" w:cstheme="minorHAnsi"/>
          <w:sz w:val="24"/>
          <w:szCs w:val="24"/>
          <w:lang w:bidi="en-US"/>
        </w:rPr>
        <w:fldChar w:fldCharType="separate"/>
      </w:r>
      <w:r w:rsidRPr="00AE6FF6">
        <w:rPr>
          <w:rFonts w:eastAsia="Times New Roman" w:cstheme="minorHAnsi"/>
          <w:sz w:val="24"/>
          <w:szCs w:val="24"/>
          <w:lang w:bidi="en-US"/>
        </w:rPr>
        <w:t>3</w:t>
      </w:r>
      <w:r w:rsidRPr="00AE6FF6">
        <w:rPr>
          <w:rFonts w:eastAsia="Times New Roman" w:cstheme="minorHAnsi"/>
          <w:sz w:val="24"/>
          <w:szCs w:val="24"/>
          <w:lang w:bidi="en-US"/>
        </w:rPr>
        <w:fldChar w:fldCharType="end"/>
      </w:r>
      <w:r w:rsidRPr="00AE6FF6">
        <w:rPr>
          <w:rFonts w:eastAsia="Times New Roman" w:cstheme="minorHAnsi"/>
          <w:sz w:val="24"/>
          <w:szCs w:val="24"/>
          <w:lang w:bidi="en-US"/>
        </w:rPr>
        <w:t xml:space="preserve">. attēlu) modelī tiek nodrošināts caur attiecīga </w:t>
      </w:r>
      <w:proofErr w:type="spellStart"/>
      <w:r w:rsidRPr="00AE6FF6">
        <w:rPr>
          <w:rFonts w:eastAsia="Times New Roman" w:cstheme="minorHAnsi"/>
          <w:sz w:val="24"/>
          <w:szCs w:val="24"/>
          <w:lang w:bidi="en-US"/>
        </w:rPr>
        <w:t>apakšsektora</w:t>
      </w:r>
      <w:proofErr w:type="spellEnd"/>
      <w:r w:rsidRPr="00AE6FF6">
        <w:rPr>
          <w:rFonts w:eastAsia="Times New Roman" w:cstheme="minorHAnsi"/>
          <w:sz w:val="24"/>
          <w:szCs w:val="24"/>
          <w:lang w:bidi="en-US"/>
        </w:rPr>
        <w:t xml:space="preserve"> tehnoloģijām (</w:t>
      </w:r>
      <w:proofErr w:type="spellStart"/>
      <w:r w:rsidRPr="00AE6FF6">
        <w:rPr>
          <w:rFonts w:eastAsia="Times New Roman" w:cstheme="minorHAnsi"/>
          <w:sz w:val="24"/>
          <w:szCs w:val="24"/>
          <w:lang w:bidi="en-US"/>
        </w:rPr>
        <w:t>Tehn</w:t>
      </w:r>
      <w:proofErr w:type="spellEnd"/>
      <w:r w:rsidRPr="00AE6FF6">
        <w:rPr>
          <w:rFonts w:eastAsia="Times New Roman" w:cstheme="minorHAnsi"/>
          <w:sz w:val="24"/>
          <w:szCs w:val="24"/>
          <w:lang w:bidi="en-US"/>
        </w:rPr>
        <w:t>), izmantojot attiecīgu enerģijas resursu, t.i., enerģijas gala patēriņš (FEC), kura patērēto daudzumu raksturo iekārtas raksturojoši parametri – pārveides koeficients (</w:t>
      </w:r>
      <w:r w:rsidRPr="00AE6FF6">
        <w:rPr>
          <w:rFonts w:eastAsia="Times New Roman" w:cstheme="minorHAnsi"/>
          <w:sz w:val="24"/>
          <w:szCs w:val="24"/>
          <w:lang w:bidi="en-US"/>
        </w:rPr>
        <w:sym w:font="Symbol" w:char="F068"/>
      </w:r>
      <w:r w:rsidRPr="00AE6FF6">
        <w:rPr>
          <w:rFonts w:eastAsia="Times New Roman" w:cstheme="minorHAnsi"/>
          <w:sz w:val="24"/>
          <w:szCs w:val="24"/>
          <w:lang w:bidi="en-US"/>
        </w:rPr>
        <w:t xml:space="preserve">), piemēram, katla lietderības koeficients. </w:t>
      </w:r>
      <w:proofErr w:type="spellStart"/>
      <w:r w:rsidRPr="00AE6FF6">
        <w:rPr>
          <w:rFonts w:eastAsia="Times New Roman" w:cstheme="minorHAnsi"/>
          <w:sz w:val="24"/>
          <w:szCs w:val="24"/>
          <w:lang w:bidi="en-US"/>
        </w:rPr>
        <w:t>Apakšektora</w:t>
      </w:r>
      <w:proofErr w:type="spellEnd"/>
      <w:r w:rsidRPr="00AE6FF6">
        <w:rPr>
          <w:rFonts w:eastAsia="Times New Roman" w:cstheme="minorHAnsi"/>
          <w:sz w:val="24"/>
          <w:szCs w:val="24"/>
          <w:lang w:bidi="en-US"/>
        </w:rPr>
        <w:t xml:space="preserve"> kopējo lietderīgās enerģijas pieprasījumu iegūst summējot atsevišķu tehnoloģiju nodrošināto lietderīgo pieprasījumu - </w:t>
      </w:r>
      <w:proofErr w:type="spellStart"/>
      <w:r w:rsidRPr="00AE6FF6">
        <w:rPr>
          <w:rFonts w:eastAsia="Times New Roman" w:cstheme="minorHAnsi"/>
          <w:sz w:val="24"/>
          <w:szCs w:val="24"/>
          <w:lang w:bidi="en-US"/>
        </w:rPr>
        <w:t>UC</w:t>
      </w:r>
      <w:r w:rsidRPr="00AE6FF6">
        <w:rPr>
          <w:rFonts w:eastAsia="Times New Roman" w:cstheme="minorHAnsi"/>
          <w:sz w:val="24"/>
          <w:szCs w:val="24"/>
          <w:vertAlign w:val="subscript"/>
          <w:lang w:bidi="en-US"/>
        </w:rPr>
        <w:t>apakšsektors</w:t>
      </w:r>
      <w:proofErr w:type="spellEnd"/>
      <w:r w:rsidRPr="00AE6FF6">
        <w:rPr>
          <w:rFonts w:eastAsia="Times New Roman" w:cstheme="minorHAnsi"/>
          <w:sz w:val="24"/>
          <w:szCs w:val="24"/>
          <w:lang w:bidi="en-US"/>
        </w:rPr>
        <w:t>=</w:t>
      </w:r>
      <w:r w:rsidRPr="00AE6FF6">
        <w:rPr>
          <w:rFonts w:eastAsia="Times New Roman" w:cstheme="minorHAnsi"/>
          <w:sz w:val="24"/>
          <w:szCs w:val="24"/>
          <w:lang w:bidi="en-US"/>
        </w:rPr>
        <w:sym w:font="Symbol" w:char="00E5"/>
      </w:r>
      <w:proofErr w:type="spellStart"/>
      <w:r w:rsidRPr="00AE6FF6">
        <w:rPr>
          <w:rFonts w:eastAsia="Times New Roman" w:cstheme="minorHAnsi"/>
          <w:sz w:val="24"/>
          <w:szCs w:val="24"/>
          <w:lang w:bidi="en-US"/>
        </w:rPr>
        <w:t>UC</w:t>
      </w:r>
      <w:r w:rsidRPr="00AE6FF6">
        <w:rPr>
          <w:rFonts w:eastAsia="Times New Roman" w:cstheme="minorHAnsi"/>
          <w:sz w:val="24"/>
          <w:szCs w:val="24"/>
          <w:vertAlign w:val="subscript"/>
          <w:lang w:bidi="en-US"/>
        </w:rPr>
        <w:t>Tehn</w:t>
      </w:r>
      <w:proofErr w:type="spellEnd"/>
      <w:r w:rsidRPr="00AE6FF6">
        <w:rPr>
          <w:rFonts w:eastAsia="Times New Roman" w:cstheme="minorHAnsi"/>
          <w:sz w:val="24"/>
          <w:szCs w:val="24"/>
          <w:lang w:bidi="en-US"/>
        </w:rPr>
        <w:t xml:space="preserve">. </w:t>
      </w:r>
      <w:bookmarkStart w:id="13" w:name="OLE_LINK149"/>
      <w:r w:rsidRPr="00AE6FF6">
        <w:rPr>
          <w:rFonts w:eastAsia="Times New Roman" w:cstheme="minorHAnsi"/>
          <w:sz w:val="24"/>
          <w:szCs w:val="24"/>
          <w:lang w:bidi="en-US"/>
        </w:rPr>
        <w:t>Tādējādi tehnoloģiju patērētie enerģijas resursi veido enerģijas gala patēriņu (FEC), kas ir modeļa rezultāts</w:t>
      </w:r>
      <w:bookmarkEnd w:id="13"/>
      <w:r w:rsidRPr="00AE6FF6">
        <w:rPr>
          <w:rFonts w:eastAsia="Times New Roman" w:cstheme="minorHAnsi"/>
          <w:sz w:val="24"/>
          <w:szCs w:val="24"/>
          <w:lang w:bidi="en-US"/>
        </w:rPr>
        <w:t>.</w:t>
      </w:r>
    </w:p>
    <w:p w14:paraId="348D2BB3" w14:textId="77777777" w:rsidR="00873D06" w:rsidRPr="007C356E" w:rsidRDefault="00873D06" w:rsidP="008163F1">
      <w:pPr>
        <w:spacing w:before="120" w:after="120" w:line="240" w:lineRule="auto"/>
        <w:jc w:val="center"/>
        <w:rPr>
          <w:rFonts w:ascii="Cambria" w:eastAsia="Times New Roman" w:hAnsi="Cambria" w:cs="Times New Roman"/>
          <w:caps/>
          <w:spacing w:val="10"/>
          <w:sz w:val="18"/>
          <w:szCs w:val="18"/>
          <w:lang w:bidi="en-US"/>
        </w:rPr>
      </w:pPr>
      <w:r w:rsidRPr="007C356E">
        <w:rPr>
          <w:rFonts w:ascii="Cambria" w:eastAsia="Times New Roman" w:hAnsi="Cambria" w:cs="Times New Roman"/>
          <w:caps/>
          <w:noProof/>
          <w:spacing w:val="10"/>
          <w:sz w:val="18"/>
          <w:szCs w:val="18"/>
          <w:lang w:val="en-US"/>
        </w:rPr>
        <w:drawing>
          <wp:inline distT="0" distB="0" distL="0" distR="0" wp14:anchorId="65F483A3" wp14:editId="706AE432">
            <wp:extent cx="3449955" cy="22383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9955" cy="2238375"/>
                    </a:xfrm>
                    <a:prstGeom prst="rect">
                      <a:avLst/>
                    </a:prstGeom>
                    <a:noFill/>
                    <a:ln>
                      <a:noFill/>
                    </a:ln>
                  </pic:spPr>
                </pic:pic>
              </a:graphicData>
            </a:graphic>
          </wp:inline>
        </w:drawing>
      </w:r>
    </w:p>
    <w:p w14:paraId="26D23038" w14:textId="44052F8C" w:rsidR="00873D06" w:rsidRPr="007C356E" w:rsidRDefault="0013331E" w:rsidP="008163F1">
      <w:pPr>
        <w:pStyle w:val="Caption"/>
        <w:rPr>
          <w:rFonts w:ascii="Cambria" w:eastAsia="Times New Roman" w:hAnsi="Cambria"/>
          <w:caps/>
          <w:spacing w:val="10"/>
          <w:sz w:val="18"/>
          <w:szCs w:val="18"/>
          <w:lang w:val="en-US" w:bidi="en-US"/>
        </w:rPr>
      </w:pPr>
      <w:r w:rsidRPr="00FC0711">
        <w:rPr>
          <w:rFonts w:asciiTheme="minorHAnsi" w:hAnsiTheme="minorHAnsi" w:cstheme="minorHAnsi"/>
          <w:noProof/>
        </w:rPr>
        <w:fldChar w:fldCharType="begin"/>
      </w:r>
      <w:r w:rsidRPr="00FC0711">
        <w:rPr>
          <w:rFonts w:asciiTheme="minorHAnsi" w:hAnsiTheme="minorHAnsi" w:cstheme="minorHAnsi"/>
          <w:noProof/>
        </w:rPr>
        <w:instrText xml:space="preserve"> SEQ Ilustrācija \* ARABIC </w:instrText>
      </w:r>
      <w:r w:rsidRPr="00FC0711">
        <w:rPr>
          <w:rFonts w:asciiTheme="minorHAnsi" w:hAnsiTheme="minorHAnsi" w:cstheme="minorHAnsi"/>
          <w:noProof/>
        </w:rPr>
        <w:fldChar w:fldCharType="separate"/>
      </w:r>
      <w:r>
        <w:rPr>
          <w:rFonts w:asciiTheme="minorHAnsi" w:hAnsiTheme="minorHAnsi" w:cstheme="minorHAnsi"/>
          <w:noProof/>
        </w:rPr>
        <w:t>2</w:t>
      </w:r>
      <w:r w:rsidRPr="00FC0711">
        <w:rPr>
          <w:rFonts w:asciiTheme="minorHAnsi" w:hAnsiTheme="minorHAnsi" w:cstheme="minorHAnsi"/>
          <w:noProof/>
        </w:rPr>
        <w:fldChar w:fldCharType="end"/>
      </w:r>
      <w:r w:rsidRPr="00FC0711">
        <w:rPr>
          <w:rFonts w:asciiTheme="minorHAnsi" w:hAnsiTheme="minorHAnsi" w:cstheme="minorHAnsi"/>
        </w:rPr>
        <w:t xml:space="preserve">.attēls. </w:t>
      </w:r>
      <w:r>
        <w:rPr>
          <w:rFonts w:asciiTheme="minorHAnsi" w:hAnsiTheme="minorHAnsi" w:cstheme="minorHAnsi"/>
        </w:rPr>
        <w:t xml:space="preserve">Lietderīgās enerģijas un </w:t>
      </w:r>
      <w:proofErr w:type="spellStart"/>
      <w:r>
        <w:rPr>
          <w:rFonts w:asciiTheme="minorHAnsi" w:hAnsiTheme="minorHAnsi" w:cstheme="minorHAnsi"/>
        </w:rPr>
        <w:t>galaenerģijas</w:t>
      </w:r>
      <w:proofErr w:type="spellEnd"/>
      <w:r>
        <w:rPr>
          <w:rFonts w:asciiTheme="minorHAnsi" w:hAnsiTheme="minorHAnsi" w:cstheme="minorHAnsi"/>
        </w:rPr>
        <w:t xml:space="preserve"> sasaiste modelī</w:t>
      </w:r>
    </w:p>
    <w:p w14:paraId="6890A50A" w14:textId="77777777" w:rsidR="00873D06" w:rsidRPr="00AE6FF6" w:rsidRDefault="00873D06" w:rsidP="008163F1">
      <w:pPr>
        <w:spacing w:before="120" w:after="120" w:line="240" w:lineRule="auto"/>
        <w:rPr>
          <w:rFonts w:eastAsia="Times New Roman" w:cstheme="minorHAnsi"/>
          <w:sz w:val="24"/>
          <w:szCs w:val="24"/>
          <w:lang w:bidi="en-US"/>
        </w:rPr>
      </w:pPr>
      <w:r w:rsidRPr="00AE6FF6">
        <w:rPr>
          <w:rFonts w:eastAsia="Times New Roman" w:cstheme="minorHAnsi"/>
          <w:sz w:val="24"/>
          <w:szCs w:val="24"/>
          <w:lang w:bidi="en-US"/>
        </w:rPr>
        <w:t>Pieprasījums pēc enerģijas ir saistīts ar ekonomisko attīstību, respektīvi, lai prognozētu lietderīgās enerģijas patēriņu, ņemam vērā ilgtermiņa makroekonomiskās attīstības prognozi, kā arī identificē ekonomisko, tehnisko un sociālo faktoru kopu, kas ietekmē katra enerģijas pakalpojuma vai lietderīgās enerģijas veida pieprasījumu:</w:t>
      </w:r>
    </w:p>
    <w:p w14:paraId="10186287" w14:textId="77777777" w:rsidR="00873D06" w:rsidRPr="00AE6FF6" w:rsidRDefault="00873D06" w:rsidP="008163F1">
      <w:pPr>
        <w:pStyle w:val="ListParagraph"/>
        <w:numPr>
          <w:ilvl w:val="0"/>
          <w:numId w:val="4"/>
        </w:numPr>
        <w:tabs>
          <w:tab w:val="num" w:pos="567"/>
        </w:tabs>
        <w:spacing w:before="120" w:after="120" w:line="240" w:lineRule="auto"/>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Iedzīvotāju skaits;</w:t>
      </w:r>
    </w:p>
    <w:p w14:paraId="12888C1E" w14:textId="77777777" w:rsidR="00873D06" w:rsidRPr="00AE6FF6" w:rsidRDefault="00873D06" w:rsidP="008163F1">
      <w:pPr>
        <w:pStyle w:val="ListParagraph"/>
        <w:numPr>
          <w:ilvl w:val="0"/>
          <w:numId w:val="4"/>
        </w:numPr>
        <w:tabs>
          <w:tab w:val="num" w:pos="567"/>
        </w:tabs>
        <w:spacing w:before="120" w:after="120" w:line="240" w:lineRule="auto"/>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Sektoru pievienotā vērtība (PV);</w:t>
      </w:r>
    </w:p>
    <w:p w14:paraId="1B7421C8" w14:textId="77777777" w:rsidR="00873D06" w:rsidRPr="00AE6FF6" w:rsidRDefault="00873D06" w:rsidP="008163F1">
      <w:pPr>
        <w:pStyle w:val="ListParagraph"/>
        <w:numPr>
          <w:ilvl w:val="0"/>
          <w:numId w:val="4"/>
        </w:numPr>
        <w:tabs>
          <w:tab w:val="num" w:pos="567"/>
        </w:tabs>
        <w:spacing w:before="120" w:after="120" w:line="240" w:lineRule="auto"/>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Iedzīvotāju privātais patēriņš;</w:t>
      </w:r>
    </w:p>
    <w:p w14:paraId="5140C90D" w14:textId="77777777" w:rsidR="00873D06" w:rsidRPr="00AE6FF6" w:rsidRDefault="00873D06" w:rsidP="008163F1">
      <w:pPr>
        <w:pStyle w:val="ListParagraph"/>
        <w:numPr>
          <w:ilvl w:val="0"/>
          <w:numId w:val="4"/>
        </w:numPr>
        <w:tabs>
          <w:tab w:val="num" w:pos="567"/>
        </w:tabs>
        <w:spacing w:before="120" w:after="120" w:line="240" w:lineRule="auto"/>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Ton</w:t>
      </w:r>
      <w:smartTag w:uri="schemas-tilde-lv/tildestengine" w:element="metric">
        <w:smartTagPr>
          <w:attr w:name="metric_value" w:val="-"/>
          <w:attr w:name="metric_text" w:val="kilometri"/>
        </w:smartTagPr>
        <w:r w:rsidRPr="00AE6FF6">
          <w:rPr>
            <w:rFonts w:eastAsia="Times New Roman" w:cstheme="minorHAnsi"/>
            <w:sz w:val="24"/>
            <w:szCs w:val="24"/>
            <w:lang w:eastAsia="lv-LV" w:bidi="en-US"/>
          </w:rPr>
          <w:t>-kilometri</w:t>
        </w:r>
      </w:smartTag>
      <w:r w:rsidRPr="00AE6FF6">
        <w:rPr>
          <w:rFonts w:eastAsia="Times New Roman" w:cstheme="minorHAnsi"/>
          <w:sz w:val="24"/>
          <w:szCs w:val="24"/>
          <w:lang w:eastAsia="lv-LV" w:bidi="en-US"/>
        </w:rPr>
        <w:t xml:space="preserve"> (T-km) kravu transportēšanā;</w:t>
      </w:r>
    </w:p>
    <w:p w14:paraId="3D6DD7EE" w14:textId="77777777" w:rsidR="00873D06" w:rsidRPr="00AE6FF6" w:rsidRDefault="00873D06" w:rsidP="008163F1">
      <w:pPr>
        <w:pStyle w:val="ListParagraph"/>
        <w:numPr>
          <w:ilvl w:val="0"/>
          <w:numId w:val="4"/>
        </w:numPr>
        <w:tabs>
          <w:tab w:val="num" w:pos="567"/>
        </w:tabs>
        <w:spacing w:before="120" w:after="120" w:line="240" w:lineRule="auto"/>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Pasažieru kilometri (P-km) pasažieru transportēšanā;</w:t>
      </w:r>
    </w:p>
    <w:p w14:paraId="3A01A7FE" w14:textId="77777777" w:rsidR="00873D06" w:rsidRPr="00AE6FF6" w:rsidRDefault="00873D06" w:rsidP="008163F1">
      <w:pPr>
        <w:pStyle w:val="ListParagraph"/>
        <w:numPr>
          <w:ilvl w:val="0"/>
          <w:numId w:val="4"/>
        </w:numPr>
        <w:tabs>
          <w:tab w:val="num" w:pos="567"/>
        </w:tabs>
        <w:spacing w:before="120" w:after="120" w:line="240" w:lineRule="auto"/>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Pakalpojuma sektora apkurināmā kopējā platība;</w:t>
      </w:r>
    </w:p>
    <w:p w14:paraId="6C968FA4" w14:textId="77777777" w:rsidR="00873D06" w:rsidRPr="00AE6FF6" w:rsidRDefault="00873D06" w:rsidP="008163F1">
      <w:pPr>
        <w:pStyle w:val="ListParagraph"/>
        <w:numPr>
          <w:ilvl w:val="0"/>
          <w:numId w:val="4"/>
        </w:numPr>
        <w:tabs>
          <w:tab w:val="num" w:pos="567"/>
        </w:tabs>
        <w:spacing w:before="120" w:after="120" w:line="240" w:lineRule="auto"/>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Mājsaimniecību skaits;</w:t>
      </w:r>
    </w:p>
    <w:p w14:paraId="671174A5" w14:textId="77777777" w:rsidR="00873D06" w:rsidRPr="00AE6FF6" w:rsidRDefault="00873D06" w:rsidP="008163F1">
      <w:pPr>
        <w:pStyle w:val="ListParagraph"/>
        <w:numPr>
          <w:ilvl w:val="0"/>
          <w:numId w:val="4"/>
        </w:numPr>
        <w:tabs>
          <w:tab w:val="num" w:pos="567"/>
        </w:tabs>
        <w:spacing w:before="120" w:after="120" w:line="240" w:lineRule="auto"/>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Mājokļu kopējā dzīvojamā platība</w:t>
      </w:r>
    </w:p>
    <w:p w14:paraId="23B4D7B4" w14:textId="77777777" w:rsidR="00873D06" w:rsidRPr="00AE6FF6" w:rsidRDefault="00873D06" w:rsidP="008163F1">
      <w:pPr>
        <w:pStyle w:val="ListParagraph"/>
        <w:numPr>
          <w:ilvl w:val="0"/>
          <w:numId w:val="4"/>
        </w:numPr>
        <w:tabs>
          <w:tab w:val="num" w:pos="567"/>
        </w:tabs>
        <w:spacing w:before="120" w:after="120" w:line="240" w:lineRule="auto"/>
        <w:contextualSpacing w:val="0"/>
        <w:rPr>
          <w:rFonts w:eastAsia="Times New Roman" w:cstheme="minorHAnsi"/>
          <w:sz w:val="24"/>
          <w:szCs w:val="24"/>
          <w:lang w:eastAsia="lv-LV" w:bidi="en-US"/>
        </w:rPr>
      </w:pPr>
      <w:r w:rsidRPr="00AE6FF6">
        <w:rPr>
          <w:rFonts w:eastAsia="Times New Roman" w:cstheme="minorHAnsi"/>
          <w:sz w:val="24"/>
          <w:szCs w:val="24"/>
          <w:lang w:eastAsia="lv-LV" w:bidi="en-US"/>
        </w:rPr>
        <w:t>u.c.</w:t>
      </w:r>
    </w:p>
    <w:p w14:paraId="51CBB654" w14:textId="77777777" w:rsidR="00873D06" w:rsidRPr="00B457C8" w:rsidRDefault="00873D06" w:rsidP="008163F1">
      <w:pPr>
        <w:pStyle w:val="Heading1"/>
      </w:pPr>
      <w:r w:rsidRPr="00B457C8">
        <w:t>Makroekonomiskās prognozes</w:t>
      </w:r>
    </w:p>
    <w:p w14:paraId="0F1E88F7" w14:textId="77777777" w:rsidR="00873D06" w:rsidRPr="00AE6FF6" w:rsidRDefault="00873D06" w:rsidP="008163F1">
      <w:pPr>
        <w:spacing w:before="120" w:after="120" w:line="240" w:lineRule="auto"/>
        <w:jc w:val="both"/>
        <w:rPr>
          <w:rFonts w:cstheme="minorHAnsi"/>
          <w:sz w:val="24"/>
          <w:szCs w:val="24"/>
        </w:rPr>
      </w:pPr>
      <w:r w:rsidRPr="00AE6FF6">
        <w:rPr>
          <w:rFonts w:cstheme="minorHAnsi"/>
          <w:sz w:val="24"/>
          <w:szCs w:val="24"/>
        </w:rPr>
        <w:t xml:space="preserve">Pieprasījums pēc enerģijas ir tieši saistīts ar ekonomisko attīstību, tāpēc enerģijas pakalpojumu (lietderīgās enerģijas) nākotnes pieprasījums ir aprēķināts par izejas parametriem izmantojot prognozētos makroekonomikas attīstību raksturojošos parametrus – </w:t>
      </w:r>
      <w:r w:rsidRPr="00AE6FF6">
        <w:rPr>
          <w:rFonts w:cstheme="minorHAnsi"/>
          <w:sz w:val="24"/>
          <w:szCs w:val="24"/>
        </w:rPr>
        <w:lastRenderedPageBreak/>
        <w:t xml:space="preserve">iedzīvotāju skaita, IKP, nozaru un </w:t>
      </w:r>
      <w:proofErr w:type="spellStart"/>
      <w:r w:rsidRPr="00AE6FF6">
        <w:rPr>
          <w:rFonts w:cstheme="minorHAnsi"/>
          <w:sz w:val="24"/>
          <w:szCs w:val="24"/>
        </w:rPr>
        <w:t>apakšnozaru</w:t>
      </w:r>
      <w:proofErr w:type="spellEnd"/>
      <w:r w:rsidRPr="00AE6FF6">
        <w:rPr>
          <w:rFonts w:cstheme="minorHAnsi"/>
          <w:sz w:val="24"/>
          <w:szCs w:val="24"/>
        </w:rPr>
        <w:t xml:space="preserve"> pievienotās vērtību, privātā patēriņa izmaiņu dinamikas.</w:t>
      </w:r>
    </w:p>
    <w:p w14:paraId="2179140B" w14:textId="77777777" w:rsidR="00873D06" w:rsidRPr="00AE6FF6" w:rsidRDefault="00873D06" w:rsidP="008163F1">
      <w:pPr>
        <w:spacing w:before="120" w:after="120" w:line="240" w:lineRule="auto"/>
        <w:jc w:val="both"/>
        <w:rPr>
          <w:sz w:val="24"/>
          <w:szCs w:val="24"/>
        </w:rPr>
      </w:pPr>
      <w:r w:rsidRPr="00AE6FF6">
        <w:rPr>
          <w:sz w:val="24"/>
          <w:szCs w:val="24"/>
        </w:rPr>
        <w:t>Enerģētikas attīstības scenāriju modelēšanai par pamatu izmantotas Ekonomikas ministrijas 2018.gadā izstrādātās makroekonomikas ilgtermiņa prognozes uz 2030. gadu.</w:t>
      </w:r>
    </w:p>
    <w:p w14:paraId="3D02B932" w14:textId="3B7DBAE0" w:rsidR="00873D06" w:rsidRPr="008163F1" w:rsidRDefault="008163F1" w:rsidP="008163F1">
      <w:pPr>
        <w:pStyle w:val="Caption"/>
        <w:rPr>
          <w:rFonts w:asciiTheme="minorHAnsi" w:hAnsiTheme="minorHAnsi" w:cstheme="minorHAnsi"/>
          <w:b w:val="0"/>
          <w:sz w:val="24"/>
          <w:szCs w:val="24"/>
        </w:rPr>
      </w:pPr>
      <w:r w:rsidRPr="008163F1">
        <w:rPr>
          <w:rFonts w:asciiTheme="minorHAnsi" w:hAnsiTheme="minorHAnsi" w:cstheme="minorHAnsi"/>
        </w:rPr>
        <w:fldChar w:fldCharType="begin"/>
      </w:r>
      <w:r w:rsidRPr="008163F1">
        <w:rPr>
          <w:rFonts w:asciiTheme="minorHAnsi" w:hAnsiTheme="minorHAnsi" w:cstheme="minorHAnsi"/>
        </w:rPr>
        <w:instrText xml:space="preserve"> SEQ Tabula \* ARABIC </w:instrText>
      </w:r>
      <w:r w:rsidRPr="008163F1">
        <w:rPr>
          <w:rFonts w:asciiTheme="minorHAnsi" w:hAnsiTheme="minorHAnsi" w:cstheme="minorHAnsi"/>
        </w:rPr>
        <w:fldChar w:fldCharType="separate"/>
      </w:r>
      <w:r w:rsidRPr="008163F1">
        <w:rPr>
          <w:rFonts w:asciiTheme="minorHAnsi" w:hAnsiTheme="minorHAnsi" w:cstheme="minorHAnsi"/>
          <w:noProof/>
        </w:rPr>
        <w:t>1</w:t>
      </w:r>
      <w:r w:rsidRPr="008163F1">
        <w:rPr>
          <w:rFonts w:asciiTheme="minorHAnsi" w:hAnsiTheme="minorHAnsi" w:cstheme="minorHAnsi"/>
        </w:rPr>
        <w:fldChar w:fldCharType="end"/>
      </w:r>
      <w:r w:rsidRPr="008163F1">
        <w:rPr>
          <w:rFonts w:asciiTheme="minorHAnsi" w:hAnsiTheme="minorHAnsi" w:cstheme="minorHAnsi"/>
        </w:rPr>
        <w:t xml:space="preserve">. tabula. </w:t>
      </w:r>
      <w:r w:rsidR="00873D06" w:rsidRPr="008163F1">
        <w:rPr>
          <w:rFonts w:asciiTheme="minorHAnsi" w:hAnsiTheme="minorHAnsi" w:cstheme="minorHAnsi"/>
        </w:rPr>
        <w:t>Enerģētikas scenāriju modelēšanai izmantotās makroekonomisko rādītāju prognozes</w:t>
      </w:r>
    </w:p>
    <w:tbl>
      <w:tblPr>
        <w:tblStyle w:val="GridTable1Light-Accent6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773"/>
        <w:gridCol w:w="773"/>
        <w:gridCol w:w="773"/>
        <w:gridCol w:w="773"/>
      </w:tblGrid>
      <w:tr w:rsidR="00873D06" w:rsidRPr="00B457C8" w14:paraId="298598A9" w14:textId="77777777" w:rsidTr="008163F1">
        <w:trPr>
          <w:cnfStyle w:val="100000000000" w:firstRow="1" w:lastRow="0" w:firstColumn="0" w:lastColumn="0" w:oddVBand="0" w:evenVBand="0" w:oddHBand="0" w:evenHBand="0" w:firstRowFirstColumn="0" w:firstRowLastColumn="0" w:lastRowFirstColumn="0" w:lastRowLastColumn="0"/>
          <w:trHeight w:val="98"/>
          <w:jc w:val="center"/>
        </w:trPr>
        <w:tc>
          <w:tcPr>
            <w:cnfStyle w:val="001000000000" w:firstRow="0" w:lastRow="0" w:firstColumn="1" w:lastColumn="0" w:oddVBand="0" w:evenVBand="0" w:oddHBand="0" w:evenHBand="0" w:firstRowFirstColumn="0" w:firstRowLastColumn="0" w:lastRowFirstColumn="0" w:lastRowLastColumn="0"/>
            <w:tcW w:w="5072" w:type="dxa"/>
            <w:tcBorders>
              <w:bottom w:val="none" w:sz="0" w:space="0" w:color="auto"/>
            </w:tcBorders>
            <w:shd w:val="clear" w:color="auto" w:fill="F2F2F2" w:themeFill="background1" w:themeFillShade="F2"/>
          </w:tcPr>
          <w:p w14:paraId="54E9D403" w14:textId="77777777" w:rsidR="00873D06" w:rsidRPr="00B457C8" w:rsidRDefault="00873D06" w:rsidP="00B478D0">
            <w:pPr>
              <w:rPr>
                <w:rFonts w:cs="Calibri"/>
                <w:sz w:val="20"/>
                <w:lang w:eastAsia="lv-LV"/>
              </w:rPr>
            </w:pPr>
          </w:p>
        </w:tc>
        <w:tc>
          <w:tcPr>
            <w:tcW w:w="0" w:type="auto"/>
            <w:tcBorders>
              <w:bottom w:val="none" w:sz="0" w:space="0" w:color="auto"/>
            </w:tcBorders>
            <w:shd w:val="clear" w:color="auto" w:fill="F2F2F2" w:themeFill="background1" w:themeFillShade="F2"/>
            <w:vAlign w:val="center"/>
          </w:tcPr>
          <w:p w14:paraId="29774D69" w14:textId="77777777" w:rsidR="00873D06" w:rsidRPr="00B457C8" w:rsidRDefault="00873D06" w:rsidP="008163F1">
            <w:pPr>
              <w:jc w:val="center"/>
              <w:cnfStyle w:val="100000000000" w:firstRow="1" w:lastRow="0" w:firstColumn="0" w:lastColumn="0" w:oddVBand="0" w:evenVBand="0" w:oddHBand="0" w:evenHBand="0" w:firstRowFirstColumn="0" w:firstRowLastColumn="0" w:lastRowFirstColumn="0" w:lastRowLastColumn="0"/>
              <w:rPr>
                <w:rFonts w:cs="Calibri"/>
                <w:b w:val="0"/>
                <w:sz w:val="20"/>
                <w:lang w:val="en-GB" w:eastAsia="lv-LV"/>
              </w:rPr>
            </w:pPr>
            <w:r w:rsidRPr="00B457C8">
              <w:rPr>
                <w:rFonts w:cs="Calibri"/>
                <w:sz w:val="20"/>
                <w:lang w:val="en-GB" w:eastAsia="lv-LV"/>
              </w:rPr>
              <w:t>2017</w:t>
            </w:r>
          </w:p>
        </w:tc>
        <w:tc>
          <w:tcPr>
            <w:tcW w:w="0" w:type="auto"/>
            <w:tcBorders>
              <w:bottom w:val="none" w:sz="0" w:space="0" w:color="auto"/>
            </w:tcBorders>
            <w:shd w:val="clear" w:color="auto" w:fill="F2F2F2" w:themeFill="background1" w:themeFillShade="F2"/>
            <w:vAlign w:val="center"/>
          </w:tcPr>
          <w:p w14:paraId="60E17236" w14:textId="77777777" w:rsidR="00873D06" w:rsidRPr="00B457C8" w:rsidRDefault="00873D06" w:rsidP="008163F1">
            <w:pPr>
              <w:jc w:val="center"/>
              <w:cnfStyle w:val="100000000000" w:firstRow="1" w:lastRow="0" w:firstColumn="0" w:lastColumn="0" w:oddVBand="0" w:evenVBand="0" w:oddHBand="0" w:evenHBand="0" w:firstRowFirstColumn="0" w:firstRowLastColumn="0" w:lastRowFirstColumn="0" w:lastRowLastColumn="0"/>
              <w:rPr>
                <w:rFonts w:cs="Calibri"/>
                <w:b w:val="0"/>
                <w:sz w:val="20"/>
                <w:lang w:val="en-GB" w:eastAsia="lv-LV"/>
              </w:rPr>
            </w:pPr>
            <w:r w:rsidRPr="00B457C8">
              <w:rPr>
                <w:rFonts w:cs="Calibri"/>
                <w:sz w:val="20"/>
                <w:lang w:val="en-GB" w:eastAsia="lv-LV"/>
              </w:rPr>
              <w:t>2020</w:t>
            </w:r>
          </w:p>
        </w:tc>
        <w:tc>
          <w:tcPr>
            <w:tcW w:w="0" w:type="auto"/>
            <w:tcBorders>
              <w:bottom w:val="none" w:sz="0" w:space="0" w:color="auto"/>
            </w:tcBorders>
            <w:shd w:val="clear" w:color="auto" w:fill="F2F2F2" w:themeFill="background1" w:themeFillShade="F2"/>
            <w:vAlign w:val="center"/>
          </w:tcPr>
          <w:p w14:paraId="43E75CE1" w14:textId="77777777" w:rsidR="00873D06" w:rsidRPr="00B457C8" w:rsidRDefault="00873D06" w:rsidP="008163F1">
            <w:pPr>
              <w:jc w:val="center"/>
              <w:cnfStyle w:val="100000000000" w:firstRow="1" w:lastRow="0" w:firstColumn="0" w:lastColumn="0" w:oddVBand="0" w:evenVBand="0" w:oddHBand="0" w:evenHBand="0" w:firstRowFirstColumn="0" w:firstRowLastColumn="0" w:lastRowFirstColumn="0" w:lastRowLastColumn="0"/>
              <w:rPr>
                <w:rFonts w:cs="Calibri"/>
                <w:b w:val="0"/>
                <w:sz w:val="20"/>
                <w:lang w:val="en-GB" w:eastAsia="lv-LV"/>
              </w:rPr>
            </w:pPr>
            <w:r w:rsidRPr="00B457C8">
              <w:rPr>
                <w:rFonts w:cs="Calibri"/>
                <w:sz w:val="20"/>
                <w:lang w:val="en-GB" w:eastAsia="lv-LV"/>
              </w:rPr>
              <w:t>2025</w:t>
            </w:r>
          </w:p>
        </w:tc>
        <w:tc>
          <w:tcPr>
            <w:tcW w:w="0" w:type="auto"/>
            <w:tcBorders>
              <w:bottom w:val="none" w:sz="0" w:space="0" w:color="auto"/>
            </w:tcBorders>
            <w:shd w:val="clear" w:color="auto" w:fill="F2F2F2" w:themeFill="background1" w:themeFillShade="F2"/>
            <w:vAlign w:val="center"/>
          </w:tcPr>
          <w:p w14:paraId="1DE306B9" w14:textId="77777777" w:rsidR="00873D06" w:rsidRPr="00B457C8" w:rsidRDefault="00873D06" w:rsidP="008163F1">
            <w:pPr>
              <w:jc w:val="center"/>
              <w:cnfStyle w:val="100000000000" w:firstRow="1" w:lastRow="0" w:firstColumn="0" w:lastColumn="0" w:oddVBand="0" w:evenVBand="0" w:oddHBand="0" w:evenHBand="0" w:firstRowFirstColumn="0" w:firstRowLastColumn="0" w:lastRowFirstColumn="0" w:lastRowLastColumn="0"/>
              <w:rPr>
                <w:rFonts w:cs="Calibri"/>
                <w:b w:val="0"/>
                <w:sz w:val="20"/>
                <w:lang w:val="en-GB" w:eastAsia="lv-LV"/>
              </w:rPr>
            </w:pPr>
            <w:r w:rsidRPr="00B457C8">
              <w:rPr>
                <w:rFonts w:cs="Calibri"/>
                <w:sz w:val="20"/>
                <w:lang w:val="en-GB" w:eastAsia="lv-LV"/>
              </w:rPr>
              <w:t>2030</w:t>
            </w:r>
          </w:p>
        </w:tc>
      </w:tr>
      <w:tr w:rsidR="00873D06" w:rsidRPr="00B457C8" w14:paraId="1D480F2B" w14:textId="77777777" w:rsidTr="008163F1">
        <w:trPr>
          <w:trHeight w:val="98"/>
          <w:jc w:val="center"/>
        </w:trPr>
        <w:tc>
          <w:tcPr>
            <w:cnfStyle w:val="001000000000" w:firstRow="0" w:lastRow="0" w:firstColumn="1" w:lastColumn="0" w:oddVBand="0" w:evenVBand="0" w:oddHBand="0" w:evenHBand="0" w:firstRowFirstColumn="0" w:firstRowLastColumn="0" w:lastRowFirstColumn="0" w:lastRowLastColumn="0"/>
            <w:tcW w:w="5072" w:type="dxa"/>
            <w:shd w:val="clear" w:color="auto" w:fill="auto"/>
          </w:tcPr>
          <w:p w14:paraId="053E60BE" w14:textId="77777777" w:rsidR="00873D06" w:rsidRPr="00B457C8" w:rsidRDefault="00873D06" w:rsidP="00B478D0">
            <w:pPr>
              <w:rPr>
                <w:rFonts w:cs="Calibri"/>
                <w:sz w:val="20"/>
                <w:lang w:val="en-GB" w:eastAsia="lv-LV"/>
              </w:rPr>
            </w:pPr>
            <w:proofErr w:type="spellStart"/>
            <w:r w:rsidRPr="00B457C8">
              <w:rPr>
                <w:rFonts w:cs="Calibri"/>
                <w:sz w:val="20"/>
                <w:lang w:val="en-GB" w:eastAsia="lv-LV"/>
              </w:rPr>
              <w:t>Iedzīvotāju</w:t>
            </w:r>
            <w:proofErr w:type="spellEnd"/>
            <w:r w:rsidRPr="00B457C8">
              <w:rPr>
                <w:rFonts w:cs="Calibri"/>
                <w:sz w:val="20"/>
                <w:lang w:val="en-GB" w:eastAsia="lv-LV"/>
              </w:rPr>
              <w:t xml:space="preserve"> </w:t>
            </w:r>
            <w:proofErr w:type="spellStart"/>
            <w:r w:rsidRPr="00B457C8">
              <w:rPr>
                <w:rFonts w:cs="Calibri"/>
                <w:sz w:val="20"/>
                <w:lang w:val="en-GB" w:eastAsia="lv-LV"/>
              </w:rPr>
              <w:t>skaits</w:t>
            </w:r>
            <w:proofErr w:type="spellEnd"/>
            <w:r w:rsidRPr="00B457C8">
              <w:rPr>
                <w:rFonts w:cs="Calibri"/>
                <w:sz w:val="20"/>
                <w:lang w:val="en-GB" w:eastAsia="lv-LV"/>
              </w:rPr>
              <w:t xml:space="preserve">, </w:t>
            </w:r>
            <w:proofErr w:type="spellStart"/>
            <w:r w:rsidRPr="00B457C8">
              <w:rPr>
                <w:rFonts w:cs="Calibri"/>
                <w:sz w:val="20"/>
                <w:lang w:val="en-GB" w:eastAsia="lv-LV"/>
              </w:rPr>
              <w:t>miljons</w:t>
            </w:r>
            <w:proofErr w:type="spellEnd"/>
          </w:p>
        </w:tc>
        <w:tc>
          <w:tcPr>
            <w:tcW w:w="0" w:type="auto"/>
            <w:shd w:val="clear" w:color="auto" w:fill="auto"/>
            <w:vAlign w:val="center"/>
          </w:tcPr>
          <w:p w14:paraId="4512083A"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1,986</w:t>
            </w:r>
          </w:p>
        </w:tc>
        <w:tc>
          <w:tcPr>
            <w:tcW w:w="0" w:type="auto"/>
            <w:shd w:val="clear" w:color="auto" w:fill="auto"/>
            <w:vAlign w:val="center"/>
          </w:tcPr>
          <w:p w14:paraId="5FD2838B"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1,884</w:t>
            </w:r>
          </w:p>
        </w:tc>
        <w:tc>
          <w:tcPr>
            <w:tcW w:w="0" w:type="auto"/>
            <w:shd w:val="clear" w:color="auto" w:fill="auto"/>
            <w:vAlign w:val="center"/>
          </w:tcPr>
          <w:p w14:paraId="2A0D499C"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1,759</w:t>
            </w:r>
          </w:p>
        </w:tc>
        <w:tc>
          <w:tcPr>
            <w:tcW w:w="0" w:type="auto"/>
            <w:shd w:val="clear" w:color="auto" w:fill="auto"/>
            <w:vAlign w:val="center"/>
          </w:tcPr>
          <w:p w14:paraId="5ACD9E8B"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1,638</w:t>
            </w:r>
          </w:p>
        </w:tc>
      </w:tr>
      <w:tr w:rsidR="00873D06" w:rsidRPr="00B457C8" w14:paraId="047919FE" w14:textId="77777777" w:rsidTr="008163F1">
        <w:trPr>
          <w:trHeight w:val="98"/>
          <w:jc w:val="center"/>
        </w:trPr>
        <w:tc>
          <w:tcPr>
            <w:cnfStyle w:val="001000000000" w:firstRow="0" w:lastRow="0" w:firstColumn="1" w:lastColumn="0" w:oddVBand="0" w:evenVBand="0" w:oddHBand="0" w:evenHBand="0" w:firstRowFirstColumn="0" w:firstRowLastColumn="0" w:lastRowFirstColumn="0" w:lastRowLastColumn="0"/>
            <w:tcW w:w="5072" w:type="dxa"/>
            <w:shd w:val="clear" w:color="auto" w:fill="auto"/>
          </w:tcPr>
          <w:p w14:paraId="707AA1D6" w14:textId="77777777" w:rsidR="00873D06" w:rsidRPr="00B457C8" w:rsidRDefault="00873D06" w:rsidP="00B478D0">
            <w:pPr>
              <w:rPr>
                <w:rFonts w:cs="Calibri"/>
                <w:sz w:val="20"/>
                <w:lang w:eastAsia="lv-LV"/>
              </w:rPr>
            </w:pPr>
            <w:r w:rsidRPr="00B457C8">
              <w:rPr>
                <w:rFonts w:cs="Calibri"/>
                <w:sz w:val="20"/>
                <w:lang w:eastAsia="lv-LV"/>
              </w:rPr>
              <w:t>Privātais patēriņš, salīdzināmās cenās  (2010), miljardi EUR</w:t>
            </w:r>
          </w:p>
        </w:tc>
        <w:tc>
          <w:tcPr>
            <w:tcW w:w="0" w:type="auto"/>
            <w:shd w:val="clear" w:color="auto" w:fill="auto"/>
            <w:vAlign w:val="center"/>
          </w:tcPr>
          <w:p w14:paraId="2B9F77F1"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13,266</w:t>
            </w:r>
          </w:p>
        </w:tc>
        <w:tc>
          <w:tcPr>
            <w:tcW w:w="0" w:type="auto"/>
            <w:shd w:val="clear" w:color="auto" w:fill="auto"/>
            <w:vAlign w:val="center"/>
          </w:tcPr>
          <w:p w14:paraId="1FC9334B"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16,158</w:t>
            </w:r>
          </w:p>
        </w:tc>
        <w:tc>
          <w:tcPr>
            <w:tcW w:w="0" w:type="auto"/>
            <w:shd w:val="clear" w:color="auto" w:fill="auto"/>
            <w:vAlign w:val="center"/>
          </w:tcPr>
          <w:p w14:paraId="04C17674"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18,386</w:t>
            </w:r>
          </w:p>
        </w:tc>
        <w:tc>
          <w:tcPr>
            <w:tcW w:w="0" w:type="auto"/>
            <w:shd w:val="clear" w:color="auto" w:fill="auto"/>
            <w:vAlign w:val="center"/>
          </w:tcPr>
          <w:p w14:paraId="0CE9E815"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20,339</w:t>
            </w:r>
          </w:p>
        </w:tc>
      </w:tr>
      <w:tr w:rsidR="00873D06" w:rsidRPr="00B457C8" w14:paraId="10E0E536" w14:textId="77777777" w:rsidTr="008163F1">
        <w:trPr>
          <w:trHeight w:val="98"/>
          <w:jc w:val="center"/>
        </w:trPr>
        <w:tc>
          <w:tcPr>
            <w:cnfStyle w:val="001000000000" w:firstRow="0" w:lastRow="0" w:firstColumn="1" w:lastColumn="0" w:oddVBand="0" w:evenVBand="0" w:oddHBand="0" w:evenHBand="0" w:firstRowFirstColumn="0" w:firstRowLastColumn="0" w:lastRowFirstColumn="0" w:lastRowLastColumn="0"/>
            <w:tcW w:w="5072" w:type="dxa"/>
            <w:shd w:val="clear" w:color="auto" w:fill="auto"/>
          </w:tcPr>
          <w:p w14:paraId="34E6C6C4" w14:textId="77777777" w:rsidR="00873D06" w:rsidRPr="00B457C8" w:rsidRDefault="00873D06" w:rsidP="00B478D0">
            <w:pPr>
              <w:rPr>
                <w:rFonts w:cs="Calibri"/>
                <w:sz w:val="20"/>
                <w:lang w:eastAsia="lv-LV"/>
              </w:rPr>
            </w:pPr>
            <w:r w:rsidRPr="00B457C8">
              <w:rPr>
                <w:rFonts w:cs="Calibri"/>
                <w:sz w:val="20"/>
                <w:lang w:eastAsia="lv-LV"/>
              </w:rPr>
              <w:t xml:space="preserve">IKP, salīdzināmās cenās (2010), miljardi EUR </w:t>
            </w:r>
          </w:p>
        </w:tc>
        <w:tc>
          <w:tcPr>
            <w:tcW w:w="0" w:type="auto"/>
            <w:shd w:val="clear" w:color="auto" w:fill="auto"/>
            <w:vAlign w:val="center"/>
          </w:tcPr>
          <w:p w14:paraId="14642E77"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21,328</w:t>
            </w:r>
          </w:p>
        </w:tc>
        <w:tc>
          <w:tcPr>
            <w:tcW w:w="0" w:type="auto"/>
            <w:shd w:val="clear" w:color="auto" w:fill="auto"/>
            <w:vAlign w:val="center"/>
          </w:tcPr>
          <w:p w14:paraId="625735DD"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25,230</w:t>
            </w:r>
          </w:p>
        </w:tc>
        <w:tc>
          <w:tcPr>
            <w:tcW w:w="0" w:type="auto"/>
            <w:shd w:val="clear" w:color="auto" w:fill="auto"/>
            <w:vAlign w:val="center"/>
          </w:tcPr>
          <w:p w14:paraId="46BA46B0"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28,564</w:t>
            </w:r>
          </w:p>
        </w:tc>
        <w:tc>
          <w:tcPr>
            <w:tcW w:w="0" w:type="auto"/>
            <w:shd w:val="clear" w:color="auto" w:fill="auto"/>
            <w:vAlign w:val="center"/>
          </w:tcPr>
          <w:p w14:paraId="73369AE3" w14:textId="77777777" w:rsidR="00873D06" w:rsidRPr="00B457C8" w:rsidRDefault="00873D06" w:rsidP="008163F1">
            <w:pPr>
              <w:jc w:val="center"/>
              <w:cnfStyle w:val="000000000000" w:firstRow="0" w:lastRow="0" w:firstColumn="0" w:lastColumn="0" w:oddVBand="0" w:evenVBand="0" w:oddHBand="0" w:evenHBand="0" w:firstRowFirstColumn="0" w:firstRowLastColumn="0" w:lastRowFirstColumn="0" w:lastRowLastColumn="0"/>
              <w:rPr>
                <w:rFonts w:cs="Calibri"/>
                <w:sz w:val="20"/>
                <w:lang w:val="en-GB" w:eastAsia="lv-LV"/>
              </w:rPr>
            </w:pPr>
            <w:r w:rsidRPr="00B457C8">
              <w:rPr>
                <w:rFonts w:cs="Calibri"/>
                <w:sz w:val="20"/>
                <w:lang w:val="en-GB" w:eastAsia="lv-LV"/>
              </w:rPr>
              <w:t>31,599</w:t>
            </w:r>
          </w:p>
        </w:tc>
      </w:tr>
    </w:tbl>
    <w:p w14:paraId="2F16D75B" w14:textId="77777777" w:rsidR="00873D06" w:rsidRPr="00AE6FF6" w:rsidRDefault="00873D06" w:rsidP="00AE6FF6">
      <w:pPr>
        <w:spacing w:before="120" w:after="120" w:line="240" w:lineRule="auto"/>
        <w:jc w:val="both"/>
        <w:rPr>
          <w:sz w:val="24"/>
          <w:szCs w:val="24"/>
        </w:rPr>
      </w:pPr>
      <w:r w:rsidRPr="00AE6FF6">
        <w:rPr>
          <w:sz w:val="24"/>
          <w:szCs w:val="24"/>
        </w:rPr>
        <w:t xml:space="preserve">Mājokļu skaita un platības prognoze ir aprēķināta, pamatojoties uz demogrāfijas prognozi, un sektoru raksturojošo parametru (vidējais iedzīvotāju skaits mājsaimniecībā, mājokļa vidējā dzīvojamā platība) prognozēm. </w:t>
      </w:r>
    </w:p>
    <w:p w14:paraId="1A50797B" w14:textId="77777777" w:rsidR="00873D06" w:rsidRPr="00AE6FF6" w:rsidRDefault="00873D06" w:rsidP="00AE6FF6">
      <w:pPr>
        <w:spacing w:before="120" w:after="120" w:line="240" w:lineRule="auto"/>
        <w:jc w:val="both"/>
        <w:rPr>
          <w:sz w:val="24"/>
          <w:szCs w:val="24"/>
        </w:rPr>
      </w:pPr>
      <w:r w:rsidRPr="00AE6FF6">
        <w:rPr>
          <w:sz w:val="24"/>
          <w:szCs w:val="24"/>
        </w:rPr>
        <w:t>Iekšzemes kopprodukta prognozes līdz 2030.gadam neparedz ļoti būtisku tautsaimniecības nozaru struktūras maiņu, salīdzinājumā ar pašreizējo situāciju. Tā saglabāsies tuva esošajai. Komercpakalpojumu nozaru īpatsvars līdz 2030.gadam varētu palielināties par vienu procentpunktu. Pieaugums sagaidāms arī IT, būvniecības un rūpniecības nozaru īpatsvaram tautsaimniecībā. Savukārt lauksaimniecības, transporta, finanšu pakalpojumu un sabiedrisko pakalpojumu nozaru īpatsvars varētu nedaudz samazināties.</w:t>
      </w:r>
    </w:p>
    <w:p w14:paraId="1C5118BC" w14:textId="77777777" w:rsidR="00873D06" w:rsidRPr="00AE6FF6" w:rsidRDefault="00873D06" w:rsidP="00AE6FF6">
      <w:pPr>
        <w:spacing w:before="120" w:after="120" w:line="240" w:lineRule="auto"/>
        <w:jc w:val="both"/>
        <w:rPr>
          <w:sz w:val="24"/>
          <w:szCs w:val="24"/>
        </w:rPr>
      </w:pPr>
      <w:r w:rsidRPr="00AE6FF6">
        <w:rPr>
          <w:sz w:val="24"/>
          <w:szCs w:val="24"/>
        </w:rPr>
        <w:t>Vidējā un ilgtermiņā apstrādes rūpniecībai saglabājas straujāki pieauguma tempi, nekā vidēji tautsaimniecībā. Salīdzinoši strauji izaugsmes tempi tiek prognozēt arī lielākajā apstrādes rūpniecības nozarē – kokapstrādē. Vairāk uz iekšējo tirgu orientēto nozaru (piemēram, pārtikas rūpniecība, poligrāfija) attīstību galvenokārt ietekmēs iekšzemes pieprasījuma dinamika. Nemetālisko minerālu ražošanas nozare būs cieši saistīta ar būvniecības tendencēm.</w:t>
      </w:r>
    </w:p>
    <w:p w14:paraId="6E2EAED9" w14:textId="77777777" w:rsidR="00873D06" w:rsidRPr="008163F1" w:rsidRDefault="00873D06" w:rsidP="008163F1">
      <w:pPr>
        <w:pStyle w:val="Heading1"/>
        <w:ind w:left="397" w:hanging="397"/>
      </w:pPr>
      <w:bookmarkStart w:id="14" w:name="_Hlk24284509"/>
      <w:r w:rsidRPr="008163F1">
        <w:t>Tehnoloģiju cenas</w:t>
      </w:r>
    </w:p>
    <w:p w14:paraId="05E84BD0" w14:textId="77777777" w:rsidR="00873D06" w:rsidRPr="00AE6FF6" w:rsidRDefault="00873D06" w:rsidP="008163F1">
      <w:pPr>
        <w:spacing w:before="120" w:after="120" w:line="240" w:lineRule="auto"/>
        <w:jc w:val="both"/>
        <w:rPr>
          <w:rFonts w:cstheme="minorHAnsi"/>
          <w:sz w:val="24"/>
          <w:szCs w:val="24"/>
        </w:rPr>
      </w:pPr>
      <w:r w:rsidRPr="00AE6FF6">
        <w:rPr>
          <w:rFonts w:cstheme="minorHAnsi"/>
          <w:sz w:val="24"/>
          <w:szCs w:val="24"/>
        </w:rPr>
        <w:t xml:space="preserve">Par pamatu tehnoloģiju cenām (investīcijas, ekspluatācijas un remonta fiksētās un mainīgās cenas) tika izmantoti dažādi starptautiski atzīti literatūras avoti (EK izmantoto modeļu datu bāzes, Dānijas enerģētikas aģentūras tehnoloģiju katalogs u.c.), kuru informācija tika  atsevišķos gadījumos koriģēta atbilstoši Latvijas apstākļiem. </w:t>
      </w:r>
    </w:p>
    <w:bookmarkEnd w:id="14"/>
    <w:p w14:paraId="3BB120A9" w14:textId="179C7EDC" w:rsidR="00873D06" w:rsidRDefault="00873D06" w:rsidP="00873D06">
      <w:pPr>
        <w:autoSpaceDE w:val="0"/>
        <w:autoSpaceDN w:val="0"/>
        <w:adjustRightInd w:val="0"/>
        <w:spacing w:after="0" w:line="240" w:lineRule="auto"/>
        <w:rPr>
          <w:rFonts w:ascii="Calibri" w:hAnsi="Calibri" w:cs="Calibri"/>
          <w:b/>
          <w:bCs/>
          <w:color w:val="000000"/>
        </w:rPr>
      </w:pPr>
    </w:p>
    <w:p w14:paraId="69BB88A0" w14:textId="77777777" w:rsidR="00AE6FF6" w:rsidRPr="00B457C8" w:rsidRDefault="00AE6FF6" w:rsidP="00873D06">
      <w:pPr>
        <w:autoSpaceDE w:val="0"/>
        <w:autoSpaceDN w:val="0"/>
        <w:adjustRightInd w:val="0"/>
        <w:spacing w:after="0" w:line="240" w:lineRule="auto"/>
        <w:rPr>
          <w:rFonts w:ascii="Calibri" w:hAnsi="Calibri" w:cs="Calibri"/>
          <w:b/>
          <w:bCs/>
          <w:color w:val="000000"/>
        </w:rPr>
      </w:pPr>
    </w:p>
    <w:p w14:paraId="153ED2C8" w14:textId="77777777" w:rsidR="00873D06" w:rsidRPr="00B457C8" w:rsidRDefault="00873D06" w:rsidP="00873D06">
      <w:pPr>
        <w:tabs>
          <w:tab w:val="num" w:pos="567"/>
        </w:tabs>
        <w:spacing w:after="120" w:line="240" w:lineRule="auto"/>
        <w:rPr>
          <w:rFonts w:eastAsia="Times New Roman" w:cstheme="minorHAnsi"/>
          <w:lang w:eastAsia="lv-LV" w:bidi="en-US"/>
        </w:rPr>
      </w:pPr>
    </w:p>
    <w:p w14:paraId="2628FEE7" w14:textId="77777777" w:rsidR="00873D06" w:rsidRPr="00873D06" w:rsidRDefault="00873D06" w:rsidP="00873D06"/>
    <w:bookmarkEnd w:id="5"/>
    <w:p w14:paraId="11AB5EFE" w14:textId="0F5B041F" w:rsidR="00AE6FF6" w:rsidRDefault="00AE6FF6" w:rsidP="00AE6FF6">
      <w:pPr>
        <w:tabs>
          <w:tab w:val="left" w:pos="7230"/>
        </w:tabs>
        <w:jc w:val="both"/>
        <w:rPr>
          <w:sz w:val="28"/>
          <w:szCs w:val="28"/>
        </w:rPr>
      </w:pPr>
      <w:r>
        <w:rPr>
          <w:sz w:val="28"/>
          <w:szCs w:val="28"/>
        </w:rPr>
        <w:t>Ekonomikas ministrs</w:t>
      </w:r>
      <w:r>
        <w:rPr>
          <w:sz w:val="28"/>
          <w:szCs w:val="28"/>
        </w:rPr>
        <w:tab/>
      </w:r>
      <w:r>
        <w:rPr>
          <w:sz w:val="28"/>
          <w:szCs w:val="28"/>
        </w:rPr>
        <w:tab/>
        <w:t xml:space="preserve">R. </w:t>
      </w:r>
      <w:proofErr w:type="spellStart"/>
      <w:r>
        <w:rPr>
          <w:sz w:val="28"/>
          <w:szCs w:val="28"/>
        </w:rPr>
        <w:t>Nemiro</w:t>
      </w:r>
      <w:proofErr w:type="spellEnd"/>
    </w:p>
    <w:p w14:paraId="7667E40D" w14:textId="77777777" w:rsidR="00AE6FF6" w:rsidRDefault="00AE6FF6" w:rsidP="00AE6FF6">
      <w:pPr>
        <w:tabs>
          <w:tab w:val="left" w:pos="7230"/>
        </w:tabs>
        <w:jc w:val="both"/>
        <w:rPr>
          <w:sz w:val="28"/>
          <w:szCs w:val="28"/>
        </w:rPr>
      </w:pPr>
    </w:p>
    <w:p w14:paraId="0AA4C641" w14:textId="0696E24A" w:rsidR="00AE6FF6" w:rsidRPr="00C224B7" w:rsidRDefault="00AE6FF6" w:rsidP="00AE6FF6">
      <w:pPr>
        <w:tabs>
          <w:tab w:val="left" w:pos="7230"/>
        </w:tabs>
        <w:rPr>
          <w:rFonts w:cstheme="minorHAnsi"/>
        </w:rPr>
      </w:pPr>
      <w:r>
        <w:rPr>
          <w:sz w:val="28"/>
          <w:szCs w:val="28"/>
        </w:rPr>
        <w:t>Valsts sekretārs</w:t>
      </w:r>
      <w:r>
        <w:rPr>
          <w:sz w:val="28"/>
          <w:szCs w:val="28"/>
        </w:rPr>
        <w:tab/>
      </w:r>
      <w:r>
        <w:rPr>
          <w:sz w:val="28"/>
          <w:szCs w:val="28"/>
        </w:rPr>
        <w:tab/>
      </w:r>
      <w:proofErr w:type="spellStart"/>
      <w:r>
        <w:rPr>
          <w:sz w:val="28"/>
          <w:szCs w:val="28"/>
        </w:rPr>
        <w:t>Ē.Eglītis</w:t>
      </w:r>
      <w:proofErr w:type="spellEnd"/>
    </w:p>
    <w:p w14:paraId="0DC798E5" w14:textId="77777777" w:rsidR="00D82336" w:rsidRDefault="000C12C5"/>
    <w:sectPr w:rsidR="00D82336" w:rsidSect="00C857F8">
      <w:headerReference w:type="default" r:id="rId11"/>
      <w:footerReference w:type="defaul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6279E" w14:textId="77777777" w:rsidR="00A0184E" w:rsidRDefault="00A0184E" w:rsidP="0013331E">
      <w:pPr>
        <w:spacing w:after="0" w:line="240" w:lineRule="auto"/>
      </w:pPr>
      <w:r>
        <w:separator/>
      </w:r>
    </w:p>
  </w:endnote>
  <w:endnote w:type="continuationSeparator" w:id="0">
    <w:p w14:paraId="4A23979F" w14:textId="77777777" w:rsidR="00A0184E" w:rsidRDefault="00A0184E" w:rsidP="00133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00C15" w14:textId="6A528B09" w:rsidR="00C857F8" w:rsidRPr="00C857F8" w:rsidRDefault="00C857F8">
    <w:pPr>
      <w:pStyle w:val="Footer"/>
      <w:rPr>
        <w:sz w:val="20"/>
        <w:szCs w:val="20"/>
      </w:rPr>
    </w:pPr>
    <w:r w:rsidRPr="00C857F8">
      <w:rPr>
        <w:sz w:val="20"/>
        <w:szCs w:val="20"/>
      </w:rPr>
      <w:fldChar w:fldCharType="begin"/>
    </w:r>
    <w:r w:rsidRPr="00C857F8">
      <w:rPr>
        <w:sz w:val="20"/>
        <w:szCs w:val="20"/>
      </w:rPr>
      <w:instrText xml:space="preserve"> FILENAME   \* MERGEFORMAT </w:instrText>
    </w:r>
    <w:r w:rsidRPr="00C857F8">
      <w:rPr>
        <w:sz w:val="20"/>
        <w:szCs w:val="20"/>
      </w:rPr>
      <w:fldChar w:fldCharType="separate"/>
    </w:r>
    <w:r w:rsidR="000C12C5">
      <w:rPr>
        <w:noProof/>
        <w:sz w:val="20"/>
        <w:szCs w:val="20"/>
      </w:rPr>
      <w:t>EMp5_11112019_NEKP2030.docx</w:t>
    </w:r>
    <w:r w:rsidRPr="00C857F8">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288E4" w14:textId="0114B801" w:rsidR="00C857F8" w:rsidRPr="00C857F8" w:rsidRDefault="00C857F8">
    <w:pPr>
      <w:pStyle w:val="Footer"/>
      <w:rPr>
        <w:sz w:val="20"/>
        <w:szCs w:val="20"/>
      </w:rPr>
    </w:pPr>
    <w:r w:rsidRPr="00C857F8">
      <w:rPr>
        <w:sz w:val="20"/>
        <w:szCs w:val="20"/>
      </w:rPr>
      <w:fldChar w:fldCharType="begin"/>
    </w:r>
    <w:r w:rsidRPr="00C857F8">
      <w:rPr>
        <w:sz w:val="20"/>
        <w:szCs w:val="20"/>
      </w:rPr>
      <w:instrText xml:space="preserve"> FILENAME   \* MERGEFORMAT </w:instrText>
    </w:r>
    <w:r w:rsidRPr="00C857F8">
      <w:rPr>
        <w:sz w:val="20"/>
        <w:szCs w:val="20"/>
      </w:rPr>
      <w:fldChar w:fldCharType="separate"/>
    </w:r>
    <w:r w:rsidR="000C12C5">
      <w:rPr>
        <w:noProof/>
        <w:sz w:val="20"/>
        <w:szCs w:val="20"/>
      </w:rPr>
      <w:t>EMp5_11112019_NEKP2030.docx</w:t>
    </w:r>
    <w:r w:rsidRPr="00C857F8">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D545F" w14:textId="77777777" w:rsidR="00A0184E" w:rsidRDefault="00A0184E" w:rsidP="0013331E">
      <w:pPr>
        <w:spacing w:after="0" w:line="240" w:lineRule="auto"/>
      </w:pPr>
      <w:r>
        <w:separator/>
      </w:r>
    </w:p>
  </w:footnote>
  <w:footnote w:type="continuationSeparator" w:id="0">
    <w:p w14:paraId="71C08294" w14:textId="77777777" w:rsidR="00A0184E" w:rsidRDefault="00A0184E" w:rsidP="0013331E">
      <w:pPr>
        <w:spacing w:after="0" w:line="240" w:lineRule="auto"/>
      </w:pPr>
      <w:r>
        <w:continuationSeparator/>
      </w:r>
    </w:p>
  </w:footnote>
  <w:footnote w:id="1">
    <w:p w14:paraId="2D1A6484" w14:textId="62B2FD33" w:rsidR="0013331E" w:rsidRPr="0013331E" w:rsidRDefault="0013331E">
      <w:pPr>
        <w:pStyle w:val="FootnoteText"/>
        <w:rPr>
          <w:sz w:val="18"/>
          <w:szCs w:val="18"/>
        </w:rPr>
      </w:pPr>
      <w:r w:rsidRPr="0013331E">
        <w:rPr>
          <w:rStyle w:val="FootnoteReference"/>
          <w:sz w:val="18"/>
          <w:szCs w:val="18"/>
        </w:rPr>
        <w:footnoteRef/>
      </w:r>
      <w:r w:rsidRPr="0013331E">
        <w:rPr>
          <w:sz w:val="18"/>
          <w:szCs w:val="18"/>
        </w:rPr>
        <w:t xml:space="preserve"> </w:t>
      </w:r>
      <w:hyperlink r:id="rId1" w:history="1">
        <w:r w:rsidRPr="0013331E">
          <w:rPr>
            <w:rStyle w:val="Hyperlink"/>
            <w:rFonts w:cstheme="minorHAnsi"/>
            <w:sz w:val="18"/>
            <w:szCs w:val="18"/>
          </w:rPr>
          <w:t>http://www.iea-etsap.org/web/index.asp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39411"/>
      <w:docPartObj>
        <w:docPartGallery w:val="Page Numbers (Top of Page)"/>
        <w:docPartUnique/>
      </w:docPartObj>
    </w:sdtPr>
    <w:sdtEndPr>
      <w:rPr>
        <w:noProof/>
      </w:rPr>
    </w:sdtEndPr>
    <w:sdtContent>
      <w:p w14:paraId="62F5EF77" w14:textId="1BF978D7" w:rsidR="00C857F8" w:rsidRDefault="00C857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1D9039A" w14:textId="77777777" w:rsidR="00C857F8" w:rsidRDefault="00C8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177A"/>
    <w:multiLevelType w:val="hybridMultilevel"/>
    <w:tmpl w:val="1C462056"/>
    <w:lvl w:ilvl="0" w:tplc="005E69B4">
      <w:start w:val="1"/>
      <w:numFmt w:val="decimal"/>
      <w:pStyle w:val="Heading1"/>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563F95"/>
    <w:multiLevelType w:val="multilevel"/>
    <w:tmpl w:val="BFD83A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4E30298"/>
    <w:multiLevelType w:val="hybridMultilevel"/>
    <w:tmpl w:val="56B27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4" w15:restartNumberingAfterBreak="0">
    <w:nsid w:val="5DB77989"/>
    <w:multiLevelType w:val="hybridMultilevel"/>
    <w:tmpl w:val="AD087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D06"/>
    <w:rsid w:val="000C12C5"/>
    <w:rsid w:val="0013331E"/>
    <w:rsid w:val="00631A9D"/>
    <w:rsid w:val="008163F1"/>
    <w:rsid w:val="00873D06"/>
    <w:rsid w:val="00A0184E"/>
    <w:rsid w:val="00A24279"/>
    <w:rsid w:val="00AE6FF6"/>
    <w:rsid w:val="00B573BB"/>
    <w:rsid w:val="00C857F8"/>
    <w:rsid w:val="00E816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
  <w:shapeDefaults>
    <o:shapedefaults v:ext="edit" spidmax="4097"/>
    <o:shapelayout v:ext="edit">
      <o:idmap v:ext="edit" data="1"/>
    </o:shapelayout>
  </w:shapeDefaults>
  <w:decimalSymbol w:val="."/>
  <w:listSeparator w:val=";"/>
  <w14:docId w14:val="44AD26E7"/>
  <w15:chartTrackingRefBased/>
  <w15:docId w15:val="{F08D011D-8045-4801-99CF-5A11ABA5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331E"/>
    <w:pPr>
      <w:keepNext/>
      <w:keepLines/>
      <w:numPr>
        <w:numId w:val="5"/>
      </w:numPr>
      <w:tabs>
        <w:tab w:val="left" w:pos="2694"/>
      </w:tabs>
      <w:spacing w:before="120" w:after="120" w:line="240" w:lineRule="auto"/>
      <w:outlineLvl w:val="0"/>
    </w:pPr>
    <w:rPr>
      <w:rFonts w:eastAsia="Times New Roman" w:cstheme="minorHAnsi"/>
      <w:b/>
      <w:sz w:val="28"/>
      <w:szCs w:val="32"/>
      <w:lang w:eastAsia="lv-LV"/>
    </w:rPr>
  </w:style>
  <w:style w:type="paragraph" w:styleId="Heading2">
    <w:name w:val="heading 2"/>
    <w:basedOn w:val="Normal"/>
    <w:next w:val="Normal"/>
    <w:link w:val="Heading2Char"/>
    <w:uiPriority w:val="9"/>
    <w:unhideWhenUsed/>
    <w:qFormat/>
    <w:rsid w:val="00873D06"/>
    <w:pPr>
      <w:keepNext/>
      <w:keepLines/>
      <w:spacing w:before="40" w:after="0"/>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873D06"/>
    <w:pPr>
      <w:keepNext/>
      <w:keepLines/>
      <w:spacing w:before="120" w:after="120" w:line="240" w:lineRule="auto"/>
      <w:jc w:val="both"/>
      <w:outlineLvl w:val="2"/>
    </w:pPr>
    <w:rPr>
      <w:rFonts w:ascii="Times New Roman" w:eastAsiaTheme="majorEastAsia" w:hAnsi="Times New Roman" w:cs="Times New Roman"/>
      <w:sz w:val="24"/>
      <w:szCs w:val="24"/>
      <w:u w:val="single"/>
      <w:lang w:eastAsia="lv-LV"/>
    </w:rPr>
  </w:style>
  <w:style w:type="paragraph" w:styleId="Heading4">
    <w:name w:val="heading 4"/>
    <w:basedOn w:val="Normal"/>
    <w:next w:val="Normal"/>
    <w:link w:val="Heading4Char"/>
    <w:uiPriority w:val="9"/>
    <w:unhideWhenUsed/>
    <w:qFormat/>
    <w:rsid w:val="00873D06"/>
    <w:pPr>
      <w:keepNext/>
      <w:keepLines/>
      <w:tabs>
        <w:tab w:val="left" w:pos="993"/>
      </w:tabs>
      <w:spacing w:before="120" w:after="120" w:line="240" w:lineRule="auto"/>
      <w:outlineLvl w:val="3"/>
    </w:pPr>
    <w:rPr>
      <w:rFonts w:ascii="Times New Roman" w:eastAsiaTheme="majorEastAsia"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331E"/>
    <w:rPr>
      <w:rFonts w:eastAsia="Times New Roman" w:cstheme="minorHAnsi"/>
      <w:b/>
      <w:sz w:val="28"/>
      <w:szCs w:val="32"/>
      <w:lang w:eastAsia="lv-LV"/>
    </w:rPr>
  </w:style>
  <w:style w:type="character" w:customStyle="1" w:styleId="Heading2Char">
    <w:name w:val="Heading 2 Char"/>
    <w:basedOn w:val="DefaultParagraphFont"/>
    <w:link w:val="Heading2"/>
    <w:uiPriority w:val="9"/>
    <w:rsid w:val="00873D06"/>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873D06"/>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873D06"/>
    <w:rPr>
      <w:rFonts w:ascii="Times New Roman" w:eastAsiaTheme="majorEastAsia" w:hAnsi="Times New Roman" w:cs="Times New Roman"/>
      <w:i/>
      <w:iCs/>
      <w:sz w:val="24"/>
      <w:szCs w:val="24"/>
    </w:rPr>
  </w:style>
  <w:style w:type="character" w:customStyle="1" w:styleId="VirsrkastsOtraisRakstz">
    <w:name w:val="Virsrkasts Otrais Rakstz."/>
    <w:basedOn w:val="DefaultParagraphFont"/>
    <w:link w:val="VirsrkastsOtrais"/>
    <w:locked/>
    <w:rsid w:val="00873D06"/>
    <w:rPr>
      <w:rFonts w:ascii="Cambria" w:hAnsi="Cambria"/>
      <w:b/>
      <w:sz w:val="28"/>
      <w:szCs w:val="28"/>
      <w:lang w:val="x-none"/>
    </w:rPr>
  </w:style>
  <w:style w:type="paragraph" w:customStyle="1" w:styleId="VirsrkastsOtrais">
    <w:name w:val="Virsrkasts Otrais"/>
    <w:basedOn w:val="ListParagraph"/>
    <w:link w:val="VirsrkastsOtraisRakstz"/>
    <w:qFormat/>
    <w:rsid w:val="00873D06"/>
    <w:pPr>
      <w:numPr>
        <w:ilvl w:val="1"/>
        <w:numId w:val="2"/>
      </w:numPr>
      <w:spacing w:after="0" w:line="240" w:lineRule="auto"/>
    </w:pPr>
    <w:rPr>
      <w:rFonts w:ascii="Cambria" w:hAnsi="Cambria"/>
      <w:b/>
      <w:sz w:val="28"/>
      <w:szCs w:val="28"/>
      <w:lang w:val="x-none"/>
    </w:rPr>
  </w:style>
  <w:style w:type="paragraph" w:styleId="ListParagraph">
    <w:name w:val="List Paragraph"/>
    <w:basedOn w:val="Normal"/>
    <w:uiPriority w:val="34"/>
    <w:qFormat/>
    <w:rsid w:val="00873D06"/>
    <w:pPr>
      <w:ind w:left="720"/>
      <w:contextualSpacing/>
    </w:pPr>
  </w:style>
  <w:style w:type="character" w:styleId="Hyperlink">
    <w:name w:val="Hyperlink"/>
    <w:basedOn w:val="DefaultParagraphFont"/>
    <w:uiPriority w:val="99"/>
    <w:rsid w:val="00873D06"/>
    <w:rPr>
      <w:color w:val="0000FF"/>
      <w:u w:val="single"/>
    </w:rPr>
  </w:style>
  <w:style w:type="table" w:customStyle="1" w:styleId="GridTable1Light-Accent61">
    <w:name w:val="Grid Table 1 Light - Accent 61"/>
    <w:basedOn w:val="TableNormal"/>
    <w:uiPriority w:val="46"/>
    <w:rsid w:val="00873D06"/>
    <w:pPr>
      <w:spacing w:after="0" w:line="240" w:lineRule="auto"/>
      <w:jc w:val="both"/>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873D06"/>
  </w:style>
  <w:style w:type="paragraph" w:styleId="FootnoteText">
    <w:name w:val="footnote text"/>
    <w:basedOn w:val="Normal"/>
    <w:link w:val="FootnoteTextChar"/>
    <w:uiPriority w:val="99"/>
    <w:semiHidden/>
    <w:unhideWhenUsed/>
    <w:rsid w:val="001333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331E"/>
    <w:rPr>
      <w:sz w:val="20"/>
      <w:szCs w:val="20"/>
    </w:rPr>
  </w:style>
  <w:style w:type="character" w:styleId="FootnoteReference">
    <w:name w:val="footnote reference"/>
    <w:basedOn w:val="DefaultParagraphFont"/>
    <w:uiPriority w:val="99"/>
    <w:semiHidden/>
    <w:unhideWhenUsed/>
    <w:rsid w:val="0013331E"/>
    <w:rPr>
      <w:vertAlign w:val="superscript"/>
    </w:rPr>
  </w:style>
  <w:style w:type="paragraph" w:styleId="Caption">
    <w:name w:val="caption"/>
    <w:aliases w:val="Beschriftung Char"/>
    <w:basedOn w:val="Normal"/>
    <w:next w:val="Normal"/>
    <w:link w:val="CaptionChar"/>
    <w:uiPriority w:val="35"/>
    <w:unhideWhenUsed/>
    <w:qFormat/>
    <w:rsid w:val="0013331E"/>
    <w:pPr>
      <w:keepNext/>
      <w:spacing w:before="120" w:after="120" w:line="240" w:lineRule="auto"/>
      <w:jc w:val="center"/>
    </w:pPr>
    <w:rPr>
      <w:rFonts w:ascii="Times New Roman" w:eastAsiaTheme="majorEastAsia" w:hAnsi="Times New Roman" w:cs="Times New Roman"/>
      <w:b/>
      <w:iCs/>
      <w:sz w:val="20"/>
      <w:szCs w:val="20"/>
    </w:rPr>
  </w:style>
  <w:style w:type="character" w:customStyle="1" w:styleId="CaptionChar">
    <w:name w:val="Caption Char"/>
    <w:aliases w:val="Beschriftung Char Char"/>
    <w:link w:val="Caption"/>
    <w:uiPriority w:val="35"/>
    <w:rsid w:val="0013331E"/>
    <w:rPr>
      <w:rFonts w:ascii="Times New Roman" w:eastAsiaTheme="majorEastAsia" w:hAnsi="Times New Roman" w:cs="Times New Roman"/>
      <w:b/>
      <w:iCs/>
      <w:sz w:val="20"/>
      <w:szCs w:val="20"/>
    </w:rPr>
  </w:style>
  <w:style w:type="paragraph" w:styleId="BalloonText">
    <w:name w:val="Balloon Text"/>
    <w:basedOn w:val="Normal"/>
    <w:link w:val="BalloonTextChar"/>
    <w:uiPriority w:val="99"/>
    <w:semiHidden/>
    <w:unhideWhenUsed/>
    <w:rsid w:val="00133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31E"/>
    <w:rPr>
      <w:rFonts w:ascii="Segoe UI" w:hAnsi="Segoe UI" w:cs="Segoe UI"/>
      <w:sz w:val="18"/>
      <w:szCs w:val="18"/>
    </w:rPr>
  </w:style>
  <w:style w:type="paragraph" w:styleId="Header">
    <w:name w:val="header"/>
    <w:basedOn w:val="Normal"/>
    <w:link w:val="HeaderChar"/>
    <w:uiPriority w:val="99"/>
    <w:unhideWhenUsed/>
    <w:rsid w:val="00C85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57F8"/>
  </w:style>
  <w:style w:type="paragraph" w:styleId="Footer">
    <w:name w:val="footer"/>
    <w:basedOn w:val="Normal"/>
    <w:link w:val="FooterChar"/>
    <w:uiPriority w:val="99"/>
    <w:unhideWhenUsed/>
    <w:rsid w:val="00C85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5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iea-etsap.org/web/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6B0AA-8FE7-4615-A94E-00076506F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7559</Words>
  <Characters>4310</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Nacionālais enerģētikas un klimata plāns 2030. gadam, 5.pielikums</dc:title>
  <dc:subject/>
  <dc:creator>Helēna Rimša</dc:creator>
  <cp:keywords/>
  <dc:description>Helena.Rimsa@em.gov.lv; 67013244</dc:description>
  <cp:lastModifiedBy>Helēna Rimša</cp:lastModifiedBy>
  <cp:revision>5</cp:revision>
  <dcterms:created xsi:type="dcterms:W3CDTF">2019-11-10T10:44:00Z</dcterms:created>
  <dcterms:modified xsi:type="dcterms:W3CDTF">2019-11-11T21:38:00Z</dcterms:modified>
</cp:coreProperties>
</file>