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CC876" w14:textId="1295F14D" w:rsidR="006149C8" w:rsidRPr="006149C8" w:rsidRDefault="006149C8" w:rsidP="006149C8">
      <w:pPr>
        <w:shd w:val="clear" w:color="auto" w:fill="FFFFFF"/>
        <w:contextualSpacing/>
        <w:jc w:val="center"/>
      </w:pPr>
      <w:r w:rsidRPr="006149C8">
        <w:rPr>
          <w:b/>
          <w:bCs/>
        </w:rPr>
        <w:t xml:space="preserve">Ministru kabineta noteikumu </w:t>
      </w:r>
      <w:r w:rsidR="001020AF">
        <w:rPr>
          <w:b/>
          <w:bCs/>
        </w:rPr>
        <w:t>projekta “Grozījumi Ministru kabineta 2014.</w:t>
      </w:r>
      <w:r w:rsidR="00CB0233">
        <w:rPr>
          <w:b/>
          <w:bCs/>
        </w:rPr>
        <w:t> </w:t>
      </w:r>
      <w:r w:rsidR="001020AF">
        <w:rPr>
          <w:b/>
          <w:bCs/>
        </w:rPr>
        <w:t>g</w:t>
      </w:r>
      <w:r w:rsidR="00F47EEB">
        <w:rPr>
          <w:b/>
          <w:bCs/>
        </w:rPr>
        <w:t>a</w:t>
      </w:r>
      <w:r w:rsidR="001020AF">
        <w:rPr>
          <w:b/>
          <w:bCs/>
        </w:rPr>
        <w:t xml:space="preserve">da </w:t>
      </w:r>
      <w:r w:rsidR="007E4900">
        <w:rPr>
          <w:b/>
          <w:bCs/>
        </w:rPr>
        <w:t>14</w:t>
      </w:r>
      <w:r w:rsidR="001020AF">
        <w:rPr>
          <w:b/>
          <w:bCs/>
        </w:rPr>
        <w:t>.</w:t>
      </w:r>
      <w:r w:rsidR="00CB0233">
        <w:rPr>
          <w:b/>
          <w:bCs/>
        </w:rPr>
        <w:t> </w:t>
      </w:r>
      <w:r w:rsidR="007E4900">
        <w:rPr>
          <w:b/>
          <w:bCs/>
        </w:rPr>
        <w:t>okto</w:t>
      </w:r>
      <w:r w:rsidR="001020AF">
        <w:rPr>
          <w:b/>
          <w:bCs/>
        </w:rPr>
        <w:t>bra noteikumos N.</w:t>
      </w:r>
      <w:r w:rsidR="00CB0233">
        <w:rPr>
          <w:b/>
          <w:bCs/>
        </w:rPr>
        <w:t> </w:t>
      </w:r>
      <w:r w:rsidR="007E4900">
        <w:rPr>
          <w:b/>
          <w:bCs/>
        </w:rPr>
        <w:t>633</w:t>
      </w:r>
      <w:r w:rsidR="001020AF">
        <w:rPr>
          <w:b/>
          <w:bCs/>
        </w:rPr>
        <w:t xml:space="preserve"> “</w:t>
      </w:r>
      <w:r w:rsidR="007E4900">
        <w:rPr>
          <w:b/>
          <w:bCs/>
        </w:rPr>
        <w:t>Autoceļu un ielu</w:t>
      </w:r>
      <w:r w:rsidR="001020AF">
        <w:rPr>
          <w:b/>
          <w:bCs/>
        </w:rPr>
        <w:t xml:space="preserve"> būvnoteikumi”” </w:t>
      </w:r>
      <w:r w:rsidRPr="006149C8">
        <w:rPr>
          <w:b/>
          <w:bCs/>
        </w:rPr>
        <w:t>sākotnējās ietekmes novērtējuma</w:t>
      </w:r>
      <w:r w:rsidR="007321C7">
        <w:rPr>
          <w:b/>
          <w:bCs/>
        </w:rPr>
        <w:t xml:space="preserve"> </w:t>
      </w:r>
      <w:r w:rsidRPr="006149C8">
        <w:rPr>
          <w:b/>
          <w:bCs/>
        </w:rPr>
        <w:t>ziņojums (anotācija)</w:t>
      </w:r>
    </w:p>
    <w:p w14:paraId="2BB3308F" w14:textId="77777777" w:rsidR="00456EC4" w:rsidRPr="006149C8" w:rsidRDefault="00456EC4"/>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28" w:type="dxa"/>
          <w:bottom w:w="28" w:type="dxa"/>
          <w:right w:w="28" w:type="dxa"/>
        </w:tblCellMar>
        <w:tblLook w:val="04A0" w:firstRow="1" w:lastRow="0" w:firstColumn="1" w:lastColumn="0" w:noHBand="0" w:noVBand="1"/>
      </w:tblPr>
      <w:tblGrid>
        <w:gridCol w:w="3288"/>
        <w:gridCol w:w="5773"/>
      </w:tblGrid>
      <w:tr w:rsidR="006149C8" w:rsidRPr="006149C8" w14:paraId="73F99834" w14:textId="77777777" w:rsidTr="00F62FDC">
        <w:trPr>
          <w:cantSplit/>
        </w:trPr>
        <w:tc>
          <w:tcPr>
            <w:tcW w:w="830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45AA1B0" w14:textId="77777777" w:rsidR="006149C8" w:rsidRPr="006149C8" w:rsidRDefault="006149C8" w:rsidP="00F62FDC">
            <w:pPr>
              <w:contextualSpacing/>
              <w:jc w:val="center"/>
              <w:rPr>
                <w:b/>
                <w:iCs/>
                <w:lang w:eastAsia="en-US"/>
              </w:rPr>
            </w:pPr>
            <w:r w:rsidRPr="006149C8">
              <w:rPr>
                <w:b/>
                <w:iCs/>
                <w:lang w:eastAsia="en-US"/>
              </w:rPr>
              <w:t>Tiesību akta projekta anotācijas kopsavilkums</w:t>
            </w:r>
          </w:p>
        </w:tc>
      </w:tr>
      <w:tr w:rsidR="006149C8" w:rsidRPr="006149C8" w14:paraId="6944327F" w14:textId="77777777" w:rsidTr="00F62FDC">
        <w:trPr>
          <w:cantSplit/>
        </w:trPr>
        <w:tc>
          <w:tcPr>
            <w:tcW w:w="3014" w:type="dxa"/>
            <w:tcBorders>
              <w:top w:val="single" w:sz="4" w:space="0" w:color="00000A"/>
              <w:left w:val="single" w:sz="4" w:space="0" w:color="00000A"/>
              <w:bottom w:val="single" w:sz="4" w:space="0" w:color="00000A"/>
              <w:right w:val="single" w:sz="4" w:space="0" w:color="00000A"/>
            </w:tcBorders>
            <w:shd w:val="clear" w:color="auto" w:fill="FFFFFF"/>
          </w:tcPr>
          <w:p w14:paraId="4950F6BB" w14:textId="77777777" w:rsidR="006149C8" w:rsidRPr="006149C8" w:rsidRDefault="006149C8" w:rsidP="00F62FDC">
            <w:pPr>
              <w:contextualSpacing/>
              <w:rPr>
                <w:iCs/>
                <w:lang w:eastAsia="en-US"/>
              </w:rPr>
            </w:pPr>
            <w:r w:rsidRPr="006149C8">
              <w:rPr>
                <w:iCs/>
                <w:lang w:eastAsia="en-US"/>
              </w:rPr>
              <w:t>Mērķis, risinājums un projekta spēkā stāšanās laiks (500 zīmes bez atstarpēm)</w:t>
            </w:r>
          </w:p>
        </w:tc>
        <w:tc>
          <w:tcPr>
            <w:tcW w:w="5291" w:type="dxa"/>
            <w:tcBorders>
              <w:top w:val="single" w:sz="4" w:space="0" w:color="00000A"/>
              <w:left w:val="single" w:sz="4" w:space="0" w:color="00000A"/>
              <w:bottom w:val="single" w:sz="4" w:space="0" w:color="00000A"/>
              <w:right w:val="single" w:sz="4" w:space="0" w:color="00000A"/>
            </w:tcBorders>
            <w:shd w:val="clear" w:color="auto" w:fill="FFFFFF"/>
          </w:tcPr>
          <w:p w14:paraId="343D36D6" w14:textId="6C3521F4" w:rsidR="001020AF" w:rsidRDefault="001020AF" w:rsidP="009C59F2">
            <w:pPr>
              <w:contextualSpacing/>
              <w:jc w:val="both"/>
              <w:rPr>
                <w:lang w:eastAsia="en-US"/>
              </w:rPr>
            </w:pPr>
            <w:bookmarkStart w:id="0" w:name="_Hlk11660242"/>
            <w:r w:rsidRPr="001020AF">
              <w:rPr>
                <w:lang w:eastAsia="en-US"/>
              </w:rPr>
              <w:t>Ministru kabineta noteikumu projekt</w:t>
            </w:r>
            <w:r w:rsidR="00CB0233">
              <w:rPr>
                <w:lang w:eastAsia="en-US"/>
              </w:rPr>
              <w:t>a</w:t>
            </w:r>
            <w:r w:rsidRPr="001020AF">
              <w:rPr>
                <w:lang w:eastAsia="en-US"/>
              </w:rPr>
              <w:t xml:space="preserve"> “</w:t>
            </w:r>
            <w:r w:rsidR="009C59F2">
              <w:rPr>
                <w:lang w:eastAsia="en-US"/>
              </w:rPr>
              <w:t>Grozījumi Ministru kabineta 2014.</w:t>
            </w:r>
            <w:r w:rsidR="004D38EE">
              <w:rPr>
                <w:lang w:eastAsia="en-US"/>
              </w:rPr>
              <w:t> </w:t>
            </w:r>
            <w:r w:rsidR="009C59F2">
              <w:rPr>
                <w:lang w:eastAsia="en-US"/>
              </w:rPr>
              <w:t>gada 14.</w:t>
            </w:r>
            <w:r w:rsidR="004D38EE">
              <w:rPr>
                <w:lang w:eastAsia="en-US"/>
              </w:rPr>
              <w:t> </w:t>
            </w:r>
            <w:r w:rsidR="009C59F2">
              <w:rPr>
                <w:lang w:eastAsia="en-US"/>
              </w:rPr>
              <w:t>oktobra noteikumos Nr.</w:t>
            </w:r>
            <w:r w:rsidR="007E4900">
              <w:rPr>
                <w:lang w:eastAsia="en-US"/>
              </w:rPr>
              <w:t> </w:t>
            </w:r>
            <w:r w:rsidR="009C59F2">
              <w:rPr>
                <w:lang w:eastAsia="en-US"/>
              </w:rPr>
              <w:t>633 “Autoceļu un ielu būvnoteikumi”</w:t>
            </w:r>
            <w:r w:rsidRPr="001020AF">
              <w:rPr>
                <w:lang w:eastAsia="en-US"/>
              </w:rPr>
              <w:t>” (turpmāk – noteikumu projekts) mērķis ir vienkāršot atjaunošanas saskaņošanu,</w:t>
            </w:r>
            <w:r w:rsidR="009C59F2">
              <w:rPr>
                <w:lang w:eastAsia="en-US"/>
              </w:rPr>
              <w:t xml:space="preserve"> </w:t>
            </w:r>
            <w:r w:rsidR="004D38EE">
              <w:rPr>
                <w:lang w:eastAsia="en-US"/>
              </w:rPr>
              <w:t xml:space="preserve">pilnveidot </w:t>
            </w:r>
            <w:r w:rsidR="009C59F2">
              <w:rPr>
                <w:lang w:eastAsia="en-US"/>
              </w:rPr>
              <w:t>komersantu ceļu, velosipēdistu ceļu un gājēju ceļu būvniecības procesu,</w:t>
            </w:r>
            <w:r w:rsidRPr="001020AF">
              <w:rPr>
                <w:lang w:eastAsia="en-US"/>
              </w:rPr>
              <w:t xml:space="preserve"> </w:t>
            </w:r>
            <w:r w:rsidR="008D7140">
              <w:rPr>
                <w:lang w:eastAsia="en-US"/>
              </w:rPr>
              <w:t>veicinot ātrāku un efektīvāku būvniecības procesu</w:t>
            </w:r>
            <w:r w:rsidRPr="001020AF">
              <w:rPr>
                <w:lang w:eastAsia="en-US"/>
              </w:rPr>
              <w:t xml:space="preserve">, </w:t>
            </w:r>
            <w:r>
              <w:rPr>
                <w:lang w:eastAsia="en-US"/>
              </w:rPr>
              <w:t>m</w:t>
            </w:r>
            <w:r w:rsidRPr="001020AF">
              <w:rPr>
                <w:lang w:eastAsia="en-US"/>
              </w:rPr>
              <w:t>azin</w:t>
            </w:r>
            <w:r>
              <w:rPr>
                <w:lang w:eastAsia="en-US"/>
              </w:rPr>
              <w:t>o</w:t>
            </w:r>
            <w:r w:rsidRPr="001020AF">
              <w:rPr>
                <w:lang w:eastAsia="en-US"/>
              </w:rPr>
              <w:t xml:space="preserve">t administratīvo slogu un </w:t>
            </w:r>
            <w:r>
              <w:rPr>
                <w:lang w:eastAsia="en-US"/>
              </w:rPr>
              <w:t>izmaksas.</w:t>
            </w:r>
          </w:p>
          <w:p w14:paraId="421636E1" w14:textId="6ED37C3C" w:rsidR="006149C8" w:rsidRPr="006149C8" w:rsidRDefault="006149C8" w:rsidP="00F62FDC">
            <w:pPr>
              <w:contextualSpacing/>
              <w:jc w:val="both"/>
            </w:pPr>
            <w:r w:rsidRPr="006149C8">
              <w:rPr>
                <w:lang w:eastAsia="en-US"/>
              </w:rPr>
              <w:t>Ministru kabineta noteikumi stājas spēkā</w:t>
            </w:r>
            <w:r w:rsidR="001020AF">
              <w:rPr>
                <w:lang w:eastAsia="en-US"/>
              </w:rPr>
              <w:t xml:space="preserve"> </w:t>
            </w:r>
            <w:r w:rsidR="00E02A1A">
              <w:rPr>
                <w:lang w:eastAsia="en-US"/>
              </w:rPr>
              <w:t>2021. gada 1. jūlij</w:t>
            </w:r>
            <w:r w:rsidR="00CB0233">
              <w:rPr>
                <w:lang w:eastAsia="en-US"/>
              </w:rPr>
              <w:t>ā</w:t>
            </w:r>
            <w:r w:rsidRPr="006149C8">
              <w:rPr>
                <w:lang w:eastAsia="en-US"/>
              </w:rPr>
              <w:t>.</w:t>
            </w:r>
            <w:bookmarkEnd w:id="0"/>
          </w:p>
        </w:tc>
      </w:tr>
    </w:tbl>
    <w:p w14:paraId="78522D64" w14:textId="77777777" w:rsidR="006149C8" w:rsidRPr="006149C8" w:rsidRDefault="006149C8"/>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30" w:type="dxa"/>
          <w:left w:w="30" w:type="dxa"/>
          <w:bottom w:w="30" w:type="dxa"/>
          <w:right w:w="30" w:type="dxa"/>
        </w:tblCellMar>
        <w:tblLook w:val="04A0" w:firstRow="1" w:lastRow="0" w:firstColumn="1" w:lastColumn="0" w:noHBand="0" w:noVBand="1"/>
      </w:tblPr>
      <w:tblGrid>
        <w:gridCol w:w="562"/>
        <w:gridCol w:w="2681"/>
        <w:gridCol w:w="5818"/>
      </w:tblGrid>
      <w:tr w:rsidR="006149C8" w:rsidRPr="006149C8" w14:paraId="514A0166" w14:textId="77777777" w:rsidTr="00F62FDC">
        <w:tc>
          <w:tcPr>
            <w:tcW w:w="830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03A44DD1" w14:textId="77777777" w:rsidR="006149C8" w:rsidRPr="006149C8" w:rsidRDefault="006149C8" w:rsidP="00F62FDC">
            <w:pPr>
              <w:contextualSpacing/>
              <w:jc w:val="center"/>
              <w:rPr>
                <w:b/>
                <w:bCs/>
              </w:rPr>
            </w:pPr>
            <w:r w:rsidRPr="006149C8">
              <w:rPr>
                <w:b/>
                <w:bCs/>
              </w:rPr>
              <w:t>I. Tiesību akta projekta izstrādes nepieciešamība</w:t>
            </w:r>
          </w:p>
        </w:tc>
      </w:tr>
      <w:tr w:rsidR="006149C8" w:rsidRPr="006149C8" w14:paraId="749A188B" w14:textId="77777777" w:rsidTr="00F62FDC">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1F2481EB" w14:textId="77777777" w:rsidR="006149C8" w:rsidRPr="006149C8" w:rsidRDefault="006149C8" w:rsidP="00F62FDC">
            <w:pPr>
              <w:contextualSpacing/>
              <w:jc w:val="center"/>
            </w:pPr>
            <w:r w:rsidRPr="006149C8">
              <w:t>1.</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5698E25F" w14:textId="77777777" w:rsidR="006149C8" w:rsidRPr="006149C8" w:rsidRDefault="006149C8" w:rsidP="00F62FDC">
            <w:pPr>
              <w:contextualSpacing/>
            </w:pPr>
            <w:r w:rsidRPr="006149C8">
              <w:t>Pamatojums</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423133B9" w14:textId="6CC36B63" w:rsidR="006149C8" w:rsidRPr="006149C8" w:rsidRDefault="006149C8" w:rsidP="00FC5237">
            <w:pPr>
              <w:contextualSpacing/>
              <w:jc w:val="both"/>
            </w:pPr>
            <w:r w:rsidRPr="006149C8">
              <w:t>Ekonomikas ministrijas iniciatīva.</w:t>
            </w:r>
          </w:p>
        </w:tc>
      </w:tr>
      <w:tr w:rsidR="006149C8" w:rsidRPr="006149C8" w14:paraId="7F807BDD" w14:textId="77777777" w:rsidTr="00F62FDC">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56AC929E" w14:textId="77777777" w:rsidR="006149C8" w:rsidRPr="006149C8" w:rsidRDefault="006149C8" w:rsidP="00F62FDC">
            <w:pPr>
              <w:contextualSpacing/>
              <w:jc w:val="center"/>
            </w:pPr>
            <w:r w:rsidRPr="006149C8">
              <w:t>2.</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358196A2" w14:textId="77777777" w:rsidR="006149C8" w:rsidRPr="006149C8" w:rsidRDefault="006149C8" w:rsidP="00F62FDC">
            <w:pPr>
              <w:contextualSpacing/>
            </w:pPr>
            <w:r w:rsidRPr="006149C8">
              <w:t>Pašreizējā situācija un problēmas, kuru risināšanai tiesību akta projekts izstrādāts, tiesiskā regulējuma mērķis un būtība</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6645E05F" w14:textId="49350F37" w:rsidR="00B762B5" w:rsidRDefault="00FA7E1C" w:rsidP="003C7115">
            <w:pPr>
              <w:ind w:firstLine="253"/>
              <w:contextualSpacing/>
              <w:jc w:val="both"/>
            </w:pPr>
            <w:r>
              <w:t>Ar n</w:t>
            </w:r>
            <w:r w:rsidR="00BA43DD" w:rsidRPr="00BA43DD">
              <w:t>oteikumu projekt</w:t>
            </w:r>
            <w:r>
              <w:t>u</w:t>
            </w:r>
            <w:r w:rsidR="00BA43DD" w:rsidRPr="00BA43DD">
              <w:t xml:space="preserve"> </w:t>
            </w:r>
            <w:r w:rsidR="001020AF">
              <w:t>paredz</w:t>
            </w:r>
            <w:r>
              <w:t>ēts</w:t>
            </w:r>
            <w:r w:rsidR="00BA43DD" w:rsidRPr="00BA43DD">
              <w:t xml:space="preserve"> </w:t>
            </w:r>
            <w:r w:rsidR="00BA43DD">
              <w:t xml:space="preserve">vienkāršot </w:t>
            </w:r>
            <w:r w:rsidR="009C59F2">
              <w:t xml:space="preserve">pašvaldību ceļu, ielu, komersantu ceļu </w:t>
            </w:r>
            <w:r w:rsidR="00BA43DD">
              <w:t xml:space="preserve">atjaunošanas </w:t>
            </w:r>
            <w:r w:rsidR="00BA43DD" w:rsidRPr="00BA43DD">
              <w:t>saskaņošanu, pārskatīt noteiktās procedūras</w:t>
            </w:r>
            <w:r>
              <w:t xml:space="preserve"> (tai skaitā pieņemšanu </w:t>
            </w:r>
            <w:r w:rsidR="00BA43DD" w:rsidRPr="00BA43DD">
              <w:t>ekspluatācijā</w:t>
            </w:r>
            <w:r>
              <w:t>)</w:t>
            </w:r>
            <w:r w:rsidR="00BA43DD">
              <w:t xml:space="preserve">, </w:t>
            </w:r>
            <w:r w:rsidR="006C1BC5">
              <w:t>nodrošināt ērtākus risinājumus būvniecības informācijas sistēmā,</w:t>
            </w:r>
            <w:r>
              <w:t xml:space="preserve"> samazinot būvniecības ieceres iesniegumu veidus,</w:t>
            </w:r>
            <w:r w:rsidR="006C1BC5">
              <w:t xml:space="preserve"> kā arī </w:t>
            </w:r>
            <w:r w:rsidR="00BA43DD" w:rsidRPr="00BA43DD">
              <w:t>novērst</w:t>
            </w:r>
            <w:r>
              <w:t>u</w:t>
            </w:r>
            <w:r w:rsidR="006C1BC5">
              <w:t xml:space="preserve"> praksē konstatētās nepilnības.</w:t>
            </w:r>
          </w:p>
          <w:p w14:paraId="7EDF106E" w14:textId="31CDC874" w:rsidR="00A81E79" w:rsidRDefault="00A81E79" w:rsidP="003C7115">
            <w:pPr>
              <w:ind w:firstLine="253"/>
              <w:contextualSpacing/>
              <w:jc w:val="both"/>
            </w:pPr>
          </w:p>
          <w:p w14:paraId="01B85171" w14:textId="077B5F4A" w:rsidR="006C1BC5" w:rsidRDefault="00E93A0F" w:rsidP="006C1BC5">
            <w:pPr>
              <w:ind w:firstLine="253"/>
              <w:contextualSpacing/>
              <w:jc w:val="both"/>
            </w:pPr>
            <w:r>
              <w:t>[</w:t>
            </w:r>
            <w:r w:rsidR="007809C3">
              <w:t>1</w:t>
            </w:r>
            <w:r>
              <w:t>] </w:t>
            </w:r>
            <w:r w:rsidR="004D38EE">
              <w:t>Ņ</w:t>
            </w:r>
            <w:r w:rsidR="006C1BC5">
              <w:t xml:space="preserve">emot vērā </w:t>
            </w:r>
            <w:r w:rsidR="009F500D">
              <w:t xml:space="preserve">pēdējā laikā veiktos grozījumus </w:t>
            </w:r>
            <w:r w:rsidR="006C1BC5">
              <w:t>Būvniecības likum</w:t>
            </w:r>
            <w:r w:rsidR="009F500D">
              <w:t>ā un speciālajos būvnoteikumos, salāgojot dažādu būvniecības ieceres realizācijas termiņus,</w:t>
            </w:r>
            <w:r w:rsidR="006C1BC5">
              <w:t xml:space="preserve">  ir pārskatīt</w:t>
            </w:r>
            <w:r w:rsidR="00FC3F08">
              <w:t>a</w:t>
            </w:r>
            <w:r w:rsidR="006C1BC5">
              <w:t>s</w:t>
            </w:r>
            <w:r w:rsidR="00FC3F08">
              <w:t xml:space="preserve"> </w:t>
            </w:r>
            <w:r w:rsidR="009C59F2">
              <w:t>autoceļu</w:t>
            </w:r>
            <w:r w:rsidR="006C1BC5">
              <w:t xml:space="preserve"> būvniecības saskaņošanas procedūras, </w:t>
            </w:r>
            <w:r w:rsidR="00FC3F08">
              <w:t xml:space="preserve">paredzot, ka </w:t>
            </w:r>
            <w:r w:rsidR="00615165">
              <w:t xml:space="preserve">turpmāk </w:t>
            </w:r>
            <w:r w:rsidR="009C59F2">
              <w:t>autoceļu</w:t>
            </w:r>
            <w:r w:rsidR="00615165">
              <w:t xml:space="preserve"> būvniecības procesu varēs ierosināt ar paskaidrojuma rakstu vai būvniecības iesniegumu</w:t>
            </w:r>
            <w:r w:rsidR="009F500D">
              <w:t xml:space="preserve">, atsakoties no apliecinājuma kartes un samazinot būvniecības </w:t>
            </w:r>
            <w:r>
              <w:t xml:space="preserve">ieceres </w:t>
            </w:r>
            <w:r w:rsidR="009F500D">
              <w:t>ierosināšanas iesniegumus.</w:t>
            </w:r>
            <w:r w:rsidR="00615165">
              <w:t xml:space="preserve"> </w:t>
            </w:r>
          </w:p>
          <w:p w14:paraId="5C6CE94C" w14:textId="3A319302" w:rsidR="00891C75" w:rsidRDefault="009F500D" w:rsidP="006C1BC5">
            <w:pPr>
              <w:ind w:firstLine="253"/>
              <w:contextualSpacing/>
              <w:jc w:val="both"/>
            </w:pPr>
            <w:r>
              <w:t>N</w:t>
            </w:r>
            <w:r w:rsidR="006C1BC5">
              <w:t>oteikumu projekt</w:t>
            </w:r>
            <w:r w:rsidR="00D06019">
              <w:t xml:space="preserve">ā </w:t>
            </w:r>
            <w:r w:rsidR="00891C75">
              <w:t>precizēta 2. nodaļa (</w:t>
            </w:r>
            <w:r w:rsidR="00891C75" w:rsidRPr="00891C75">
              <w:t>Valsts autoceļu būvnoteikumi</w:t>
            </w:r>
            <w:r w:rsidR="00891C75">
              <w:t xml:space="preserve">), paredzot, ka turpmāk </w:t>
            </w:r>
            <w:r w:rsidR="003B3136">
              <w:t xml:space="preserve">visus valsts autoceļu atjaunošanas darbus veiks ar paskaidrojumu rakstu (iepriekš paskaidrojuma raksts – </w:t>
            </w:r>
            <w:r w:rsidR="003B3136" w:rsidRPr="003B3136">
              <w:t>vienkāršotai atjaunošanai un satiksmes organizācijas tehnisko līdzekļu</w:t>
            </w:r>
            <w:r w:rsidR="003B3136">
              <w:t xml:space="preserve"> būvniecībai, apliecinājuma karte – </w:t>
            </w:r>
            <w:r w:rsidR="003B3136" w:rsidRPr="003B3136">
              <w:t>atjaunošanai vai nojaukšanai</w:t>
            </w:r>
            <w:r w:rsidR="003B3136">
              <w:t>). Pārējos gadījumos saglabāta līdzšinējā kārtība un iesniedzamie dokumenti.</w:t>
            </w:r>
          </w:p>
          <w:p w14:paraId="5CE9A2CB" w14:textId="0544DD11" w:rsidR="00891C75" w:rsidRDefault="003B3136" w:rsidP="006C1BC5">
            <w:pPr>
              <w:ind w:firstLine="253"/>
              <w:contextualSpacing/>
              <w:jc w:val="both"/>
            </w:pPr>
            <w:r>
              <w:t>Noteikumu projektā precizēta 3. nodaļa tajā iekļaujot arī komersantu ceļu būvniecības proces</w:t>
            </w:r>
            <w:r w:rsidR="004D38EE">
              <w:t>u</w:t>
            </w:r>
            <w:r>
              <w:t>, tādejādi svītrojot 4.</w:t>
            </w:r>
            <w:r w:rsidR="004D38EE">
              <w:t> </w:t>
            </w:r>
            <w:r>
              <w:t xml:space="preserve">nodaļu, kā arī papildināts ar velosipēdistu ceļu un gājēju ceļu būvniecības process, to svītrojot no </w:t>
            </w:r>
            <w:r w:rsidRPr="003B3136">
              <w:t>Ministru kabineta 2017. gada 9. maija noteikumiem Nr. 253 “Atsevišķu inženierbūvju būvnoteikumi”</w:t>
            </w:r>
            <w:r>
              <w:t>.</w:t>
            </w:r>
            <w:r w:rsidR="004D38EE">
              <w:t xml:space="preserve"> Turpmāk noteikumu projekta 3. nodaļā noteik</w:t>
            </w:r>
            <w:bookmarkStart w:id="1" w:name="_GoBack"/>
            <w:bookmarkEnd w:id="1"/>
            <w:r w:rsidR="004D38EE">
              <w:t xml:space="preserve">s būvniecības procesu, kas </w:t>
            </w:r>
            <w:r w:rsidR="004D38EE" w:rsidRPr="004D38EE">
              <w:t xml:space="preserve">attiecas uz jaunu </w:t>
            </w:r>
            <w:r w:rsidR="004D38EE" w:rsidRPr="004D38EE">
              <w:lastRenderedPageBreak/>
              <w:t>pašvaldības ceļu, ielu, velosipēdistu ceļu, gājēju ceļu, māju ceļu un komersantu ceļu būvniecību, satiksmes organizācijas tehnisko līdzekļu būvniecību, kā arī uz esošo pašvaldības ceļu, ielu, velosipēdistu ceļu, gājēju ceļu, māju ceļu un komersantu ceļu atjaunošanu, pārbūvi un nojaukšanu.</w:t>
            </w:r>
          </w:p>
          <w:p w14:paraId="360ADE73" w14:textId="21295C47" w:rsidR="00C110AA" w:rsidRDefault="00C110AA" w:rsidP="006C1BC5">
            <w:pPr>
              <w:ind w:firstLine="253"/>
              <w:contextualSpacing/>
              <w:jc w:val="both"/>
            </w:pPr>
            <w:r>
              <w:t>Pārskatot komersantu ceļu būvniecības procesu, turpmāk paredzēts, ka komersantu ceļu atjaunošanai nebūs nepieciešams izstrādāt un institūcijā, kura pilda būvvaldes funkcijas, saskaņot būvniecības ieceri (iepriekš – apliecinājuma karte), bet komersantu ceļu jaunas būvniecības vai pārbūves gadījumā – paskaidrojuma raksta būvniecības process (iepriekš – būvatļauja).</w:t>
            </w:r>
          </w:p>
          <w:p w14:paraId="4AC5D986" w14:textId="26339671" w:rsidR="00C110AA" w:rsidRDefault="00C110AA" w:rsidP="006C1BC5">
            <w:pPr>
              <w:ind w:firstLine="253"/>
              <w:contextualSpacing/>
              <w:jc w:val="both"/>
            </w:pPr>
            <w:r>
              <w:t xml:space="preserve">Tāpat arī </w:t>
            </w:r>
            <w:r w:rsidRPr="00C110AA">
              <w:t>velosipēdistu ceļu, gājēju ceļu,</w:t>
            </w:r>
            <w:r>
              <w:t xml:space="preserve"> </w:t>
            </w:r>
            <w:r w:rsidRPr="00C110AA">
              <w:t>satiksmes organizācijas tehnisko līdzekļu atjaunošanai</w:t>
            </w:r>
            <w:r>
              <w:t xml:space="preserve">, kā arī </w:t>
            </w:r>
            <w:r w:rsidRPr="00C110AA">
              <w:t>ceļa zīmju, aizsargbarjeru, signālstabiņu un horizontālo un vertikālo apzīmējumu būvniecībai</w:t>
            </w:r>
            <w:r>
              <w:t xml:space="preserve"> nav nepieciešams izstrādāt būvniecības ieceres dokumentus.</w:t>
            </w:r>
          </w:p>
          <w:p w14:paraId="0B8BD634" w14:textId="2339CF05" w:rsidR="00D06019" w:rsidRDefault="00C17C08" w:rsidP="006C1BC5">
            <w:pPr>
              <w:ind w:firstLine="253"/>
              <w:contextualSpacing/>
              <w:jc w:val="both"/>
            </w:pPr>
            <w:r>
              <w:t>P</w:t>
            </w:r>
            <w:r w:rsidR="00D06019">
              <w:t xml:space="preserve">recizēta </w:t>
            </w:r>
            <w:r>
              <w:t>3.1.1</w:t>
            </w:r>
            <w:r w:rsidR="00D06019">
              <w:t>. </w:t>
            </w:r>
            <w:r w:rsidR="00CB0233">
              <w:t>apakš</w:t>
            </w:r>
            <w:r w:rsidR="00D06019">
              <w:t xml:space="preserve">nodaļā </w:t>
            </w:r>
            <w:r>
              <w:t xml:space="preserve">(būvniecības ieceres dokumenti) </w:t>
            </w:r>
            <w:r w:rsidR="0077626F">
              <w:t>noteikti</w:t>
            </w:r>
            <w:r w:rsidR="00D06019">
              <w:t xml:space="preserve"> būvniecības ieceres ierosināšanai nepieciešamie dokumenti</w:t>
            </w:r>
            <w:r>
              <w:t>, svītrojot</w:t>
            </w:r>
            <w:r w:rsidR="00D06019">
              <w:t xml:space="preserve"> </w:t>
            </w:r>
            <w:r>
              <w:t>3.1.2</w:t>
            </w:r>
            <w:r w:rsidR="0077626F">
              <w:t>.</w:t>
            </w:r>
            <w:r w:rsidR="00CB0233">
              <w:t> </w:t>
            </w:r>
            <w:r w:rsidR="0077626F" w:rsidRPr="0077626F">
              <w:t>apakšnodaļ</w:t>
            </w:r>
            <w:r>
              <w:t>u</w:t>
            </w:r>
            <w:r w:rsidR="0077626F" w:rsidRPr="0077626F">
              <w:t xml:space="preserve">, jo attiecīgās prasības ietvertas </w:t>
            </w:r>
            <w:r>
              <w:t>3.1</w:t>
            </w:r>
            <w:r w:rsidR="0077626F" w:rsidRPr="0077626F">
              <w:t>.</w:t>
            </w:r>
            <w:r>
              <w:t>1</w:t>
            </w:r>
            <w:r w:rsidR="0077626F" w:rsidRPr="0077626F">
              <w:t>.</w:t>
            </w:r>
            <w:r w:rsidR="00CB0233">
              <w:t> </w:t>
            </w:r>
            <w:r w:rsidR="0077626F" w:rsidRPr="0077626F">
              <w:t>apakšnodaļā</w:t>
            </w:r>
            <w:r w:rsidR="00D06019">
              <w:t>.</w:t>
            </w:r>
          </w:p>
          <w:p w14:paraId="2194DE9F" w14:textId="40F3CE58" w:rsidR="00C110AA" w:rsidRDefault="0077626F" w:rsidP="00CB0233">
            <w:pPr>
              <w:ind w:firstLine="253"/>
              <w:contextualSpacing/>
              <w:jc w:val="both"/>
            </w:pPr>
            <w:r>
              <w:t>Turpmāk</w:t>
            </w:r>
            <w:r w:rsidR="006C1BC5">
              <w:t xml:space="preserve"> </w:t>
            </w:r>
            <w:r w:rsidR="00615165">
              <w:t xml:space="preserve">ar paskaidrojuma rakstu varēs ierosināt </w:t>
            </w:r>
            <w:r w:rsidR="00C17C08">
              <w:t xml:space="preserve">ne tikai māju ceļu jaunu būvniecību, pārbūvi vai nojaukšanu, bet </w:t>
            </w:r>
            <w:r w:rsidR="006C1BC5">
              <w:t xml:space="preserve">arī </w:t>
            </w:r>
            <w:r w:rsidR="00C17C08" w:rsidRPr="00C17C08">
              <w:t>satiksmes organizācijas tehnisko līdzekļu (izņemot ceļa zīmju, aizsargbarjeru, signālstabiņu un horizontālo un vertikālo apzīmējumu) būvniecīb</w:t>
            </w:r>
            <w:r w:rsidR="00C17C08">
              <w:t xml:space="preserve">u, </w:t>
            </w:r>
            <w:r w:rsidR="00C17C08" w:rsidRPr="00C17C08">
              <w:t>pieslēgum</w:t>
            </w:r>
            <w:r w:rsidR="00C17C08">
              <w:t>u</w:t>
            </w:r>
            <w:r w:rsidR="00C17C08" w:rsidRPr="00C17C08">
              <w:t xml:space="preserve"> esošajam ielu tīklam (piebrauktuve vai iebrauktuve)</w:t>
            </w:r>
            <w:r w:rsidR="00C17C08">
              <w:t xml:space="preserve">, </w:t>
            </w:r>
            <w:r w:rsidR="00C17C08" w:rsidRPr="00C17C08">
              <w:t>velosipēdistu ceļu, gājēju ceļu</w:t>
            </w:r>
            <w:r w:rsidR="00C17C08">
              <w:t xml:space="preserve"> </w:t>
            </w:r>
            <w:r w:rsidR="00C17C08" w:rsidRPr="00C17C08">
              <w:t>jaunu būvniecību, pārbūvi vai nojaukšanu</w:t>
            </w:r>
            <w:r w:rsidR="00C17C08">
              <w:t xml:space="preserve">, kā arī </w:t>
            </w:r>
            <w:r w:rsidR="006C1BC5">
              <w:t xml:space="preserve">otrās </w:t>
            </w:r>
            <w:r w:rsidR="00C17C08">
              <w:t>vai</w:t>
            </w:r>
            <w:r w:rsidR="006C1BC5">
              <w:t xml:space="preserve"> trešās grupas</w:t>
            </w:r>
            <w:r w:rsidR="00C17C08">
              <w:t xml:space="preserve"> ceļu</w:t>
            </w:r>
            <w:r w:rsidR="006C1BC5">
              <w:t xml:space="preserve"> </w:t>
            </w:r>
            <w:r w:rsidR="00C17C08">
              <w:t xml:space="preserve">un </w:t>
            </w:r>
            <w:r w:rsidR="00C110AA">
              <w:t>ielu</w:t>
            </w:r>
            <w:r w:rsidR="006C1BC5">
              <w:t xml:space="preserve"> </w:t>
            </w:r>
            <w:r w:rsidR="00615165">
              <w:t>atjaunošanu</w:t>
            </w:r>
            <w:r>
              <w:t xml:space="preserve"> </w:t>
            </w:r>
            <w:r w:rsidR="00C110AA">
              <w:t xml:space="preserve">un nojaukšanu </w:t>
            </w:r>
            <w:r>
              <w:t>(iepriekš –</w:t>
            </w:r>
            <w:r w:rsidR="00C110AA">
              <w:t xml:space="preserve"> </w:t>
            </w:r>
            <w:r>
              <w:t>apliecinājuma karte)</w:t>
            </w:r>
            <w:r w:rsidR="006C1BC5">
              <w:t>.</w:t>
            </w:r>
            <w:r w:rsidR="009F500D">
              <w:t xml:space="preserve"> </w:t>
            </w:r>
          </w:p>
          <w:p w14:paraId="39DB3437" w14:textId="672D3122" w:rsidR="00644209" w:rsidRDefault="00615165" w:rsidP="006C1BC5">
            <w:pPr>
              <w:ind w:firstLine="253"/>
              <w:contextualSpacing/>
              <w:jc w:val="both"/>
            </w:pPr>
            <w:r>
              <w:t xml:space="preserve">Līdz šo noteikumu spēkā stāšanas brīdim akceptētās apliecinājuma kartes </w:t>
            </w:r>
            <w:r w:rsidR="009F500D">
              <w:t>(</w:t>
            </w:r>
            <w:r>
              <w:t>atjaunošanai</w:t>
            </w:r>
            <w:r w:rsidR="003B3136">
              <w:t xml:space="preserve"> vai nojaukšanai</w:t>
            </w:r>
            <w:r w:rsidR="009F500D">
              <w:t>)</w:t>
            </w:r>
            <w:r>
              <w:t xml:space="preserve"> ir īstenojamas akcepta brīdī noteiktā termiņā, bet būvdarbu pabeigšana veicama, iesniedzot </w:t>
            </w:r>
            <w:r w:rsidR="001B1DB8">
              <w:t>apliecinājuma kartes</w:t>
            </w:r>
            <w:r>
              <w:t xml:space="preserve"> II daļu</w:t>
            </w:r>
            <w:r w:rsidR="009F500D">
              <w:t xml:space="preserve"> un 15</w:t>
            </w:r>
            <w:r w:rsidR="003B3136">
              <w:t>8</w:t>
            </w:r>
            <w:r w:rsidR="009F500D">
              <w:t>.</w:t>
            </w:r>
            <w:r w:rsidR="00CB0233">
              <w:t> </w:t>
            </w:r>
            <w:r w:rsidR="009F500D">
              <w:t>punktā noteiktos dokumentus</w:t>
            </w:r>
            <w:r w:rsidR="0011733A">
              <w:t xml:space="preserve">, kā arī </w:t>
            </w:r>
            <w:r w:rsidR="00CA0A07">
              <w:t>būvatļaujas, kas izdota</w:t>
            </w:r>
            <w:r w:rsidR="00611812">
              <w:t>s</w:t>
            </w:r>
            <w:r w:rsidR="00CA0A07">
              <w:t xml:space="preserve"> </w:t>
            </w:r>
            <w:r w:rsidR="003B3136">
              <w:t>komersantu ceļu</w:t>
            </w:r>
            <w:r w:rsidR="00CA0A07">
              <w:t xml:space="preserve"> </w:t>
            </w:r>
            <w:r w:rsidR="003B3136">
              <w:t>jaunai būvniecībai vai pārbūvei</w:t>
            </w:r>
            <w:r w:rsidR="00611812">
              <w:t>,</w:t>
            </w:r>
            <w:r w:rsidR="00CA0A07">
              <w:t xml:space="preserve"> pabeidzama</w:t>
            </w:r>
            <w:r w:rsidR="00611812">
              <w:t xml:space="preserve">s atbilstoši uzsāktajam </w:t>
            </w:r>
            <w:r w:rsidR="00076CAC">
              <w:t xml:space="preserve">būvniecības procesam, proti, izstrādājot būvprojektu un </w:t>
            </w:r>
            <w:r w:rsidR="003B3136">
              <w:t>objektu</w:t>
            </w:r>
            <w:r w:rsidR="00A54CA8">
              <w:t xml:space="preserve"> pieņemšanu ekspluatācijā</w:t>
            </w:r>
            <w:r w:rsidR="00CA0A07">
              <w:t xml:space="preserve"> </w:t>
            </w:r>
            <w:r w:rsidR="00A54CA8">
              <w:t xml:space="preserve">ierosinot saskaņā ar </w:t>
            </w:r>
            <w:r w:rsidR="003B3136">
              <w:t>3</w:t>
            </w:r>
            <w:r w:rsidR="00A54CA8">
              <w:t>.</w:t>
            </w:r>
            <w:r w:rsidR="003B3136">
              <w:t>6.</w:t>
            </w:r>
            <w:r w:rsidR="00A54CA8">
              <w:t>2.</w:t>
            </w:r>
            <w:r w:rsidR="00CB0233">
              <w:t> apakš</w:t>
            </w:r>
            <w:r w:rsidR="00A54CA8">
              <w:t>nodaļā noteikto kārtību.</w:t>
            </w:r>
          </w:p>
          <w:p w14:paraId="4BC2D39C" w14:textId="74659A92" w:rsidR="00C110AA" w:rsidRDefault="00C17C08" w:rsidP="006C1BC5">
            <w:pPr>
              <w:ind w:firstLine="253"/>
              <w:contextualSpacing/>
              <w:jc w:val="both"/>
            </w:pPr>
            <w:r w:rsidRPr="00C17C08">
              <w:t>Pārējos gadījumos saglabāta līdzšinējā kārtība un iesniedzamie dokumenti.</w:t>
            </w:r>
          </w:p>
          <w:p w14:paraId="1793A3BB" w14:textId="68AB756F" w:rsidR="00615165" w:rsidRDefault="009F500D" w:rsidP="006C1BC5">
            <w:pPr>
              <w:ind w:firstLine="253"/>
              <w:contextualSpacing/>
              <w:jc w:val="both"/>
            </w:pPr>
            <w:r>
              <w:t xml:space="preserve">Tā kā </w:t>
            </w:r>
            <w:r w:rsidR="00644209">
              <w:t xml:space="preserve">būvniecības ierosināšanai </w:t>
            </w:r>
            <w:r w:rsidR="00644209" w:rsidRPr="00644209">
              <w:t xml:space="preserve">izstrādājamo </w:t>
            </w:r>
            <w:r w:rsidR="00644209">
              <w:t xml:space="preserve">un </w:t>
            </w:r>
            <w:r w:rsidR="003B778B">
              <w:t>institūcijā, kura pilda būvvaldes funkcijas,</w:t>
            </w:r>
            <w:r w:rsidR="00644209" w:rsidRPr="00644209">
              <w:t xml:space="preserve"> </w:t>
            </w:r>
            <w:r w:rsidR="00644209">
              <w:t xml:space="preserve">iesniedzamo </w:t>
            </w:r>
            <w:r w:rsidR="00644209" w:rsidRPr="00644209">
              <w:t>dokumentu apjoms</w:t>
            </w:r>
            <w:r w:rsidR="00644209">
              <w:t xml:space="preserve"> </w:t>
            </w:r>
            <w:r w:rsidR="00644209" w:rsidRPr="00644209">
              <w:t>netiek palielināts</w:t>
            </w:r>
            <w:r>
              <w:t xml:space="preserve">, līdz ar to </w:t>
            </w:r>
            <w:r w:rsidRPr="009F500D">
              <w:t>pēc būtības nemaina iesaistīto personu esošos pienākumus un tiesības, kā arī netiek palielināts administratīvais slogs</w:t>
            </w:r>
            <w:r>
              <w:t>.</w:t>
            </w:r>
            <w:r w:rsidR="00644209">
              <w:t xml:space="preserve"> Atsevišķos gadījumos tas tiek samazināts, piemēram, </w:t>
            </w:r>
            <w:r w:rsidR="007809C3">
              <w:t>komersantu ceļu</w:t>
            </w:r>
            <w:r w:rsidR="00644209">
              <w:t xml:space="preserve"> atjaunošanas</w:t>
            </w:r>
            <w:r w:rsidR="007809C3">
              <w:t xml:space="preserve"> gadījumā, to varēs veikt bez būvniecības ieceres dokumentācijas līdzīgi kā māju ceļu gadījumā, bet</w:t>
            </w:r>
            <w:r w:rsidR="00644209">
              <w:t xml:space="preserve"> </w:t>
            </w:r>
            <w:r w:rsidR="007809C3">
              <w:t xml:space="preserve">komersantu ceļu jaunas būvniecības vai </w:t>
            </w:r>
            <w:r w:rsidR="00644209">
              <w:t xml:space="preserve">pārbūves gadījumā, to varēs veikt ar paskaidrojuma rakstu </w:t>
            </w:r>
            <w:r w:rsidR="00F03DF5" w:rsidRPr="00F03DF5">
              <w:t>nevis vispārīg</w:t>
            </w:r>
            <w:r w:rsidR="00F03DF5">
              <w:t>ajā</w:t>
            </w:r>
            <w:r w:rsidR="00F03DF5" w:rsidRPr="00F03DF5">
              <w:t xml:space="preserve"> būvniecības proces</w:t>
            </w:r>
            <w:r w:rsidR="00F03DF5">
              <w:t>ā</w:t>
            </w:r>
            <w:r w:rsidR="00F03DF5" w:rsidRPr="00F03DF5">
              <w:t>, kura ietvaros tiek izdota būvatļauja</w:t>
            </w:r>
            <w:r w:rsidR="00644209">
              <w:t>.</w:t>
            </w:r>
          </w:p>
          <w:p w14:paraId="1B393A92" w14:textId="77777777" w:rsidR="007809C3" w:rsidRDefault="007809C3" w:rsidP="007809C3">
            <w:pPr>
              <w:ind w:firstLine="253"/>
              <w:contextualSpacing/>
              <w:jc w:val="both"/>
            </w:pPr>
          </w:p>
          <w:p w14:paraId="41CECCAF" w14:textId="64705832" w:rsidR="007809C3" w:rsidRPr="007809C3" w:rsidRDefault="007809C3" w:rsidP="007809C3">
            <w:pPr>
              <w:ind w:firstLine="253"/>
              <w:contextualSpacing/>
              <w:jc w:val="both"/>
            </w:pPr>
            <w:r w:rsidRPr="007809C3">
              <w:t>[2] Jau šobrīd Ministru kabineta 2014. gada 14. oktobra noteikumu Nr. 633 “Autoceļu un ielu būvnoteikumi” 64. punktā ir noteikti gadījumi, kad nav nepieciešama būvniecības ieceres dokumentācija, un tā tiek saglabāta arī turpmāk, vienlaikus, izvērtējot vēl citus iespējamos gadījumus no drošības viedokļa un institūcijas, kura pilda būvvaldes funkcijas, kompetenci, noteikumu projekts papildināts ar iespēju, ka ceļa zīmju, aizsargbarjeru, signālstabiņu un horizontālo un vertikālo apzīmējumu būvniecībai, satiksmes organizācijas tehnisko līdzekļu atjaunošanai, velosipēdistu ceļu un gājēju ceļu atjaunošanai un komersantu ceļu atjaunošanai nav nepieciešams izstrādāt būvniecības ieceres dokumentāciju un to saskaņot institūcijā, kura pilda būvvaldes funkcijas.</w:t>
            </w:r>
          </w:p>
          <w:p w14:paraId="4EAB033E" w14:textId="77777777" w:rsidR="007809C3" w:rsidRPr="007809C3" w:rsidRDefault="007809C3" w:rsidP="007809C3">
            <w:pPr>
              <w:ind w:firstLine="253"/>
              <w:contextualSpacing/>
              <w:jc w:val="both"/>
            </w:pPr>
            <w:r w:rsidRPr="007809C3">
              <w:t>Protams, personai ir saistoši ievērot trešo personu intereses, citos normatīvajos aktos noteiktās prasības (piemēram, attālumi), pašvaldības teritorijas izmantošanas un apbūves noteikumus, satiksmes drošības normatīvie akti, saņemt saskaņojumus (piemēram, kopīpašuma gadījumā), ja tādi nepieciešami.</w:t>
            </w:r>
          </w:p>
          <w:p w14:paraId="75471167" w14:textId="1792A86E" w:rsidR="00706A19" w:rsidRDefault="00706A19" w:rsidP="00706A19">
            <w:pPr>
              <w:ind w:firstLine="253"/>
              <w:contextualSpacing/>
              <w:jc w:val="both"/>
            </w:pPr>
          </w:p>
          <w:p w14:paraId="00E4EC24" w14:textId="7E2F6A35" w:rsidR="0084091A" w:rsidRDefault="00E93A0F" w:rsidP="001A37E1">
            <w:pPr>
              <w:ind w:firstLine="253"/>
              <w:contextualSpacing/>
              <w:jc w:val="both"/>
            </w:pPr>
            <w:r>
              <w:t>[</w:t>
            </w:r>
            <w:r w:rsidR="007809C3">
              <w:t>3</w:t>
            </w:r>
            <w:r>
              <w:t>] </w:t>
            </w:r>
            <w:r w:rsidR="001A37E1">
              <w:t>Ar Ministru kabineta 2017.</w:t>
            </w:r>
            <w:r w:rsidR="00CB0233">
              <w:t> </w:t>
            </w:r>
            <w:r w:rsidR="001A37E1">
              <w:t>gada 9.</w:t>
            </w:r>
            <w:r w:rsidR="00CB0233">
              <w:t> </w:t>
            </w:r>
            <w:r w:rsidR="001A37E1">
              <w:t>maija noteikumiem Nr.</w:t>
            </w:r>
            <w:r w:rsidR="000E7573">
              <w:t> </w:t>
            </w:r>
            <w:r w:rsidR="001A37E1">
              <w:t xml:space="preserve">253 </w:t>
            </w:r>
            <w:r w:rsidR="00324777">
              <w:t>“</w:t>
            </w:r>
            <w:r w:rsidR="00324777" w:rsidRPr="00324777">
              <w:t>Atsevišķu inženierbūvju būvnoteikumi</w:t>
            </w:r>
            <w:r w:rsidR="00324777">
              <w:t>”</w:t>
            </w:r>
            <w:r w:rsidR="001A37E1">
              <w:t xml:space="preserve"> </w:t>
            </w:r>
            <w:r w:rsidR="00CB0233">
              <w:t xml:space="preserve">(turpmāk – </w:t>
            </w:r>
            <w:r w:rsidR="000E7573">
              <w:t>N</w:t>
            </w:r>
            <w:r w:rsidR="00CB0233">
              <w:t>oteikumi Nr.</w:t>
            </w:r>
            <w:r w:rsidR="000E7573">
              <w:t xml:space="preserve"> 253) </w:t>
            </w:r>
            <w:r w:rsidR="001A37E1">
              <w:t>tika ieviest</w:t>
            </w:r>
            <w:r w:rsidR="005C05F4">
              <w:t>a</w:t>
            </w:r>
            <w:r w:rsidR="001A37E1">
              <w:t xml:space="preserve"> jauna projektēšanas pamatne – būvju situācijas plāns, kas ļāva </w:t>
            </w:r>
            <w:r w:rsidR="0084091A">
              <w:t xml:space="preserve">atsevišķos gadījumos </w:t>
            </w:r>
            <w:r w:rsidR="001A37E1">
              <w:t xml:space="preserve">samazināt </w:t>
            </w:r>
            <w:r w:rsidR="00391ACA">
              <w:t>izmaks</w:t>
            </w:r>
            <w:r w:rsidR="0084091A">
              <w:t>as</w:t>
            </w:r>
            <w:r w:rsidR="00391ACA">
              <w:t xml:space="preserve"> attiecībā uz nepieciešamību rasējum</w:t>
            </w:r>
            <w:r w:rsidR="0084091A">
              <w:t>us</w:t>
            </w:r>
            <w:r w:rsidR="00391ACA">
              <w:t xml:space="preserve"> sagatavot uz topogrāfijas plāna pamatnes</w:t>
            </w:r>
            <w:r w:rsidR="0084091A">
              <w:t xml:space="preserve">. Pārvērtējot topogrāfiskā plāna nepieciešamību </w:t>
            </w:r>
            <w:r w:rsidR="009C59F2">
              <w:t>autoceļu</w:t>
            </w:r>
            <w:r w:rsidR="0084091A">
              <w:t xml:space="preserve"> būvniecības gadījumā, noteikumu projekts papildināts ar jaunu </w:t>
            </w:r>
            <w:r w:rsidR="009C59F2" w:rsidRPr="009C59F2">
              <w:t>3.1.</w:t>
            </w:r>
            <w:r w:rsidR="009C59F2" w:rsidRPr="009C59F2">
              <w:rPr>
                <w:vertAlign w:val="superscript"/>
              </w:rPr>
              <w:t>1</w:t>
            </w:r>
            <w:r w:rsidR="009C59F2" w:rsidRPr="009C59F2">
              <w:t> </w:t>
            </w:r>
            <w:r w:rsidR="000E7573">
              <w:t>apakš</w:t>
            </w:r>
            <w:r w:rsidR="0084091A">
              <w:t xml:space="preserve">nodaļu “Projektēšanas pamatnes”, kurā ietverts līdzvērtīgs regulējums par būvju situācijas plānu kāds tas jau ir noteikts </w:t>
            </w:r>
            <w:r w:rsidR="000E7573">
              <w:t>N</w:t>
            </w:r>
            <w:r w:rsidR="0084091A" w:rsidRPr="0084091A">
              <w:t>oteikum</w:t>
            </w:r>
            <w:r w:rsidR="000E7573">
              <w:t>os</w:t>
            </w:r>
            <w:r w:rsidR="0084091A" w:rsidRPr="0084091A">
              <w:t xml:space="preserve"> Nr.</w:t>
            </w:r>
            <w:r w:rsidR="000E7573">
              <w:t> </w:t>
            </w:r>
            <w:r w:rsidR="0084091A" w:rsidRPr="0084091A">
              <w:t>253</w:t>
            </w:r>
            <w:r w:rsidR="0084091A">
              <w:t xml:space="preserve">. </w:t>
            </w:r>
          </w:p>
          <w:p w14:paraId="44A78CD7" w14:textId="5AF24F9C" w:rsidR="00391ACA" w:rsidRDefault="005C05F4" w:rsidP="001A37E1">
            <w:pPr>
              <w:ind w:firstLine="253"/>
              <w:contextualSpacing/>
              <w:jc w:val="both"/>
            </w:pPr>
            <w:r>
              <w:t xml:space="preserve">Jau šobrīd </w:t>
            </w:r>
            <w:r w:rsidR="00391ACA">
              <w:t xml:space="preserve">Valsts zemes dienests un pašvaldības uzkrāj ģeotelpisko informāciju, kas var tikt izmantota būvniecības procesam derīga kartogrāfiskā materiāla izgatavošanai. </w:t>
            </w:r>
            <w:r w:rsidR="0084091A">
              <w:t>N</w:t>
            </w:r>
            <w:r w:rsidR="00391ACA">
              <w:t xml:space="preserve">oteiktu projektā ir noteikts, ka ģeodēzisko darbu veikšanai persona (mērnieks) un pašvaldība (atsevišķos gadījumos) var izgatavot būvju situācijas plānu (ielu sarkano līniju, Nekustamā īpašuma valsts kadastra informācijas sistēmā reģistrēto zemes vienības robežu un būvju, kā arī zemes gabala augstas detalizācijas topogrāfiskās informācijas, savietots attēlojums vizuāli uztveramā formā). Tomēr ir jānodrošina, ka šāds kartogrāfiskais materiāls nav acīmredzami neprecīzs. Nepieciešamības gadījumā mērnieks precizē iegūto informāciju pēc stāvokļa dabā. (noteikumu projekta </w:t>
            </w:r>
            <w:r w:rsidR="009C59F2" w:rsidRPr="009C59F2">
              <w:t>3.1.</w:t>
            </w:r>
            <w:r w:rsidR="009C59F2" w:rsidRPr="009C59F2">
              <w:rPr>
                <w:vertAlign w:val="superscript"/>
              </w:rPr>
              <w:t>1</w:t>
            </w:r>
            <w:r w:rsidR="009C59F2" w:rsidRPr="009C59F2">
              <w:t> </w:t>
            </w:r>
            <w:r w:rsidR="000E7573">
              <w:t>apakš</w:t>
            </w:r>
            <w:r w:rsidR="00324777">
              <w:t>nodaļa</w:t>
            </w:r>
            <w:r w:rsidR="00391ACA">
              <w:t>). Ja pamata informācija ir nepietiekama, tad šādu plānu neizgatavo. Tāpat jāuzsver, ka Nekustamā īpašuma valsts kadastra informācijas sistēmas telpiskos datus (kadastra karti) topogrāfiskās uzmērīšanas vajadzībām būvju situācijas plāna izstrādātājs saņem uz rakstiskas vienošanās pamata Valsts zemes dienesta datu publicēšanas un e-pakalpojumu portālā www.kadastrs.lv. Nekustamā īpašuma valsts kadastra informācijas sistēmas telpiskos datus (kadastra karti) topogrāfiskās uzmērīšanas vajadzībām Valsts zemes dienests apliecina ar e-zīmogu.</w:t>
            </w:r>
          </w:p>
          <w:p w14:paraId="65C61790" w14:textId="641DE960" w:rsidR="0084091A" w:rsidRDefault="0084091A" w:rsidP="009C59F2">
            <w:pPr>
              <w:ind w:firstLine="253"/>
              <w:contextualSpacing/>
              <w:jc w:val="both"/>
            </w:pPr>
            <w:r>
              <w:t xml:space="preserve">Būvju situācijas plāns ir izmantojams vienmēr, ja </w:t>
            </w:r>
            <w:r w:rsidRPr="0084091A">
              <w:t>pašvaldības vai personas, kurai pašvaldība deleģējusi augstas detalizācijas topogrāfiskās informācijas datubāzes uzturēšanu</w:t>
            </w:r>
            <w:r>
              <w:t xml:space="preserve">, ir </w:t>
            </w:r>
            <w:r w:rsidRPr="0084091A">
              <w:t>augstas detalizācijas topogrāfiskā informācija</w:t>
            </w:r>
            <w:r>
              <w:t xml:space="preserve"> par zemes gabalu, </w:t>
            </w:r>
            <w:r w:rsidRPr="0084091A">
              <w:t>kurā ir plānota būvdarbu veikšana</w:t>
            </w:r>
            <w:r>
              <w:t>.</w:t>
            </w:r>
            <w:r w:rsidR="005C05F4">
              <w:t xml:space="preserve"> </w:t>
            </w:r>
            <w:r w:rsidR="009C59F2">
              <w:t>Pirmās grupas māju ceļu vai komersantu ceļu</w:t>
            </w:r>
            <w:r w:rsidR="004C59D8">
              <w:t xml:space="preserve">, kā arī </w:t>
            </w:r>
            <w:r w:rsidR="004C59D8" w:rsidRPr="004C59D8">
              <w:t>velosipēdistu ceļu un gājēju ceļu</w:t>
            </w:r>
            <w:r w:rsidR="004C59D8">
              <w:t>,</w:t>
            </w:r>
            <w:r w:rsidR="004C59D8" w:rsidRPr="004C59D8">
              <w:t xml:space="preserve"> </w:t>
            </w:r>
            <w:r w:rsidR="009C59F2">
              <w:t xml:space="preserve">būvniecības gadījumā </w:t>
            </w:r>
            <w:r w:rsidR="009C59F2" w:rsidRPr="009C59F2">
              <w:t>ārpus pilsētām un ciemiem</w:t>
            </w:r>
            <w:r w:rsidR="009C59F2">
              <w:t xml:space="preserve"> var izmantot arī </w:t>
            </w:r>
            <w:r w:rsidR="009C59F2" w:rsidRPr="009C59F2">
              <w:t>instrumentāli uzmērītu zemes robežu plānu</w:t>
            </w:r>
            <w:r w:rsidR="009C59F2">
              <w:t xml:space="preserve">. </w:t>
            </w:r>
            <w:r w:rsidR="005C05F4">
              <w:t>Savukārt, ja būvprojekts minimālā sastāvā izstrādāts uz topogrāfiskās plāna pamatnes, tad būvprojektu var izstrādāt uz būvju situācijas plāna.</w:t>
            </w:r>
          </w:p>
          <w:p w14:paraId="5C2CA132" w14:textId="77777777" w:rsidR="00324777" w:rsidRDefault="00324777" w:rsidP="003C7115">
            <w:pPr>
              <w:ind w:firstLine="253"/>
              <w:contextualSpacing/>
              <w:jc w:val="both"/>
            </w:pPr>
          </w:p>
          <w:p w14:paraId="3101D701" w14:textId="1723ED40" w:rsidR="009034C5" w:rsidRDefault="00E93A0F" w:rsidP="003C7115">
            <w:pPr>
              <w:ind w:firstLine="253"/>
              <w:contextualSpacing/>
              <w:jc w:val="both"/>
            </w:pPr>
            <w:r>
              <w:t>[</w:t>
            </w:r>
            <w:r w:rsidR="00AE55F8">
              <w:t>4</w:t>
            </w:r>
            <w:r>
              <w:t>] </w:t>
            </w:r>
            <w:r w:rsidR="00391ACA" w:rsidRPr="004C59D8">
              <w:t>Precizēts būvprojekts sastāvs</w:t>
            </w:r>
            <w:r w:rsidR="00391ACA" w:rsidRPr="00391ACA">
              <w:t xml:space="preserve"> </w:t>
            </w:r>
            <w:r w:rsidR="00391ACA">
              <w:t>–</w:t>
            </w:r>
            <w:r w:rsidR="00391ACA" w:rsidRPr="00391ACA">
              <w:t xml:space="preserve"> </w:t>
            </w:r>
            <w:r w:rsidR="00391ACA">
              <w:t>vispārīg</w:t>
            </w:r>
            <w:r w:rsidR="007E4900">
              <w:t>ā</w:t>
            </w:r>
            <w:r w:rsidR="00391ACA">
              <w:t xml:space="preserve"> daļa un arhitektūras</w:t>
            </w:r>
            <w:r w:rsidR="00391ACA" w:rsidRPr="00391ACA">
              <w:t xml:space="preserve"> daļa</w:t>
            </w:r>
            <w:r w:rsidR="004C59D8">
              <w:t>s teritorijas sadaļa</w:t>
            </w:r>
            <w:r w:rsidR="00391ACA" w:rsidRPr="00391ACA">
              <w:t>, novēršot praksē konstatētās interpretācijas par šo daļ</w:t>
            </w:r>
            <w:r w:rsidR="00644209">
              <w:t>ās ietveramajiem dokumentiem un</w:t>
            </w:r>
            <w:r w:rsidR="00391ACA" w:rsidRPr="00391ACA">
              <w:t xml:space="preserve"> izstrādātāja kompetenci atbilstoši Būvniecības likuma 13.</w:t>
            </w:r>
            <w:r w:rsidR="000E7573">
              <w:t> </w:t>
            </w:r>
            <w:r w:rsidR="00391ACA" w:rsidRPr="00391ACA">
              <w:t>pantam.</w:t>
            </w:r>
            <w:r w:rsidR="009034C5">
              <w:t xml:space="preserve"> </w:t>
            </w:r>
          </w:p>
          <w:p w14:paraId="1B1475E9" w14:textId="44F45386" w:rsidR="009034C5" w:rsidRDefault="005510B1" w:rsidP="009034C5">
            <w:pPr>
              <w:ind w:firstLine="253"/>
              <w:contextualSpacing/>
              <w:jc w:val="both"/>
            </w:pPr>
            <w:r>
              <w:t>Tā</w:t>
            </w:r>
            <w:r w:rsidRPr="005510B1">
              <w:t xml:space="preserve"> kā būvdarbu laikā bieži būvprojektā paredzētie būvizstrādājumi tiek aizstāti ar citiem būvizstrādājumiem,</w:t>
            </w:r>
            <w:r>
              <w:t xml:space="preserve"> veiktas izmaiņas būvdarbu veikšanas projektā,</w:t>
            </w:r>
            <w:r w:rsidRPr="005510B1">
              <w:t xml:space="preserve"> līdz ar to būvprojekta stadijā veiktā būvekspertīze, piemēram, ekonomiskai daļai vairs nav aktuāla. Būvprojekta būvekspertīzē būtu jāizvērtē tās būvprojekta daļas, kuras ir būtiskas, lai uzskatītu, ka </w:t>
            </w:r>
            <w:r w:rsidR="004C59D8">
              <w:t>būve</w:t>
            </w:r>
            <w:r w:rsidRPr="005510B1">
              <w:t xml:space="preserve"> ir droša un ekspertīzē nevajadzētu vēlreiz pārbaudīt visu </w:t>
            </w:r>
            <w:r w:rsidR="00F3312A">
              <w:t xml:space="preserve">trešās grupas </w:t>
            </w:r>
            <w:r w:rsidR="004C59D8">
              <w:t>būves</w:t>
            </w:r>
            <w:r w:rsidRPr="005510B1">
              <w:t xml:space="preserve"> būvprojektu</w:t>
            </w:r>
            <w:r>
              <w:t>, tādēļ p</w:t>
            </w:r>
            <w:r w:rsidR="009034C5">
              <w:t>recizēts regulējums, kurām būvprojekta daļām veicama ekspertīze</w:t>
            </w:r>
            <w:r w:rsidR="001932CD">
              <w:t xml:space="preserve"> – </w:t>
            </w:r>
            <w:r w:rsidR="004C59D8">
              <w:t>inženierrisinājumu</w:t>
            </w:r>
            <w:r w:rsidR="001932CD">
              <w:t xml:space="preserve"> daļai</w:t>
            </w:r>
            <w:r>
              <w:t>.</w:t>
            </w:r>
            <w:r w:rsidR="00F3312A" w:rsidRPr="00F3312A">
              <w:t xml:space="preserve">  Būvkonstrukciju daļas būvekspertīze ietver būves konstrukciju risinājumu un aprēķinu pārbaudi.</w:t>
            </w:r>
            <w:r w:rsidR="00F3312A">
              <w:t xml:space="preserve"> </w:t>
            </w:r>
            <w:r>
              <w:t>Pie tam saskaņā ar Ministru kabineta 2014.</w:t>
            </w:r>
            <w:r w:rsidR="000E7573">
              <w:t> </w:t>
            </w:r>
            <w:r>
              <w:t>gada 19.</w:t>
            </w:r>
            <w:r w:rsidR="000E7573">
              <w:t> </w:t>
            </w:r>
            <w:r>
              <w:t>augusta noteikumu Nr.</w:t>
            </w:r>
            <w:r w:rsidR="000E7573">
              <w:t> </w:t>
            </w:r>
            <w:r>
              <w:t>500 “Vispārīgie būvnoteikumi” 60.</w:t>
            </w:r>
            <w:r w:rsidR="000E7573">
              <w:t> </w:t>
            </w:r>
            <w:r>
              <w:t>punktu</w:t>
            </w:r>
            <w:r w:rsidR="001932CD">
              <w:t>,</w:t>
            </w:r>
            <w:r>
              <w:t xml:space="preserve"> </w:t>
            </w:r>
            <w:r w:rsidR="001932CD">
              <w:t xml:space="preserve">ja </w:t>
            </w:r>
            <w:r w:rsidR="001932CD" w:rsidRPr="001932CD">
              <w:t>tiek mainīts būves arhitektoniskais risinājums vai būves, tās nesošo konstrukciju vai to daļu konstruktīvais risinājums</w:t>
            </w:r>
            <w:r w:rsidR="001932CD">
              <w:t>,</w:t>
            </w:r>
            <w:r w:rsidR="001932CD" w:rsidRPr="001932CD">
              <w:t xml:space="preserve"> </w:t>
            </w:r>
            <w:r w:rsidRPr="005510B1">
              <w:t xml:space="preserve">atkārtotu </w:t>
            </w:r>
            <w:r w:rsidR="001932CD">
              <w:t>būvprojekta ekspertīzi veic tikai tām</w:t>
            </w:r>
            <w:r w:rsidRPr="005510B1">
              <w:t xml:space="preserve"> būvprojekta daļ</w:t>
            </w:r>
            <w:r w:rsidR="001932CD">
              <w:t xml:space="preserve">ām, </w:t>
            </w:r>
            <w:r w:rsidR="001932CD" w:rsidRPr="001932CD">
              <w:t>attiecībā uz būves mehānisko stiprību, stabilitāti, ugunsdrošību vai lietošanas drošumu</w:t>
            </w:r>
            <w:r w:rsidR="001932CD">
              <w:t xml:space="preserve">. </w:t>
            </w:r>
            <w:r w:rsidR="009034C5">
              <w:t>Tāpat jānorād</w:t>
            </w:r>
            <w:r w:rsidR="001932CD">
              <w:t>a</w:t>
            </w:r>
            <w:r w:rsidR="009034C5">
              <w:t xml:space="preserve">, ka viena būvprojekta ietvaros </w:t>
            </w:r>
            <w:r w:rsidR="009034C5" w:rsidRPr="009034C5">
              <w:t xml:space="preserve">dažādu </w:t>
            </w:r>
            <w:r w:rsidR="009034C5">
              <w:t xml:space="preserve">grupu </w:t>
            </w:r>
            <w:r w:rsidR="009034C5" w:rsidRPr="009034C5">
              <w:t xml:space="preserve">būvju gadījumā obligātā ekspertīze attiecas tikai uz </w:t>
            </w:r>
            <w:r w:rsidR="009034C5">
              <w:t>trešās</w:t>
            </w:r>
            <w:r w:rsidR="009034C5" w:rsidRPr="009034C5">
              <w:t xml:space="preserve"> grupas </w:t>
            </w:r>
            <w:r w:rsidR="004C59D8">
              <w:t>būvēm</w:t>
            </w:r>
            <w:r w:rsidR="009034C5">
              <w:t>.</w:t>
            </w:r>
          </w:p>
          <w:p w14:paraId="71FBD34E" w14:textId="1DD9C198" w:rsidR="00391ACA" w:rsidRDefault="00391ACA" w:rsidP="003C7115">
            <w:pPr>
              <w:ind w:firstLine="253"/>
              <w:contextualSpacing/>
              <w:jc w:val="both"/>
            </w:pPr>
          </w:p>
          <w:p w14:paraId="7A344D7F" w14:textId="14920FA4" w:rsidR="00F93788" w:rsidRDefault="00EB73FC" w:rsidP="003C7115">
            <w:pPr>
              <w:ind w:firstLine="253"/>
              <w:contextualSpacing/>
              <w:jc w:val="both"/>
            </w:pPr>
            <w:r>
              <w:t>[5] </w:t>
            </w:r>
            <w:r w:rsidR="00F93788" w:rsidRPr="00F93788">
              <w:t xml:space="preserve">Ņemot vērā </w:t>
            </w:r>
            <w:r w:rsidR="00F93788">
              <w:t>Ministru kabineta 2014.</w:t>
            </w:r>
            <w:r w:rsidR="007E4900">
              <w:t> </w:t>
            </w:r>
            <w:r w:rsidR="00F93788">
              <w:t>gada 2.</w:t>
            </w:r>
            <w:r w:rsidR="007E4900">
              <w:t> </w:t>
            </w:r>
            <w:r w:rsidR="00F93788">
              <w:t>septembra noteikumu Nr.</w:t>
            </w:r>
            <w:r w:rsidR="007E4900">
              <w:t> </w:t>
            </w:r>
            <w:r w:rsidR="00F93788">
              <w:t>529 “Ēku būvnoteikumi” 107.</w:t>
            </w:r>
            <w:r w:rsidR="007E4900">
              <w:t> </w:t>
            </w:r>
            <w:r w:rsidR="00F93788">
              <w:t xml:space="preserve">punktu kopsakarībā ar māju ceļu un </w:t>
            </w:r>
            <w:r w:rsidR="007E4900" w:rsidRPr="007E4900">
              <w:t xml:space="preserve">pieslēgumu </w:t>
            </w:r>
            <w:r w:rsidR="00F93788">
              <w:t>būvniecības procesu</w:t>
            </w:r>
            <w:r w:rsidR="00F93788" w:rsidRPr="00F93788">
              <w:t>, ir precizēts regulējums par būvētāja tiesībām, precizējot tos būvdarbu veidus, ko būvētājs var veikt pats saviem spēkiem</w:t>
            </w:r>
            <w:r w:rsidR="00F93788">
              <w:t xml:space="preserve">, </w:t>
            </w:r>
            <w:r w:rsidR="00F93788" w:rsidRPr="00F93788">
              <w:t>piemēram,</w:t>
            </w:r>
            <w:r w:rsidR="00F93788">
              <w:t xml:space="preserve"> māju ceļ</w:t>
            </w:r>
            <w:r w:rsidR="007E4900">
              <w:t>a</w:t>
            </w:r>
            <w:r w:rsidR="00F93788">
              <w:t xml:space="preserve"> vai pieslēgum</w:t>
            </w:r>
            <w:r w:rsidR="007E4900">
              <w:t>a</w:t>
            </w:r>
            <w:r w:rsidR="00F93788">
              <w:t xml:space="preserve"> esošam ielu tīklam, ja nav pievienots valsts autoceļam</w:t>
            </w:r>
            <w:r w:rsidR="007E4900">
              <w:t>, būvniecību</w:t>
            </w:r>
            <w:r w:rsidR="00F93788">
              <w:t>. Turpmāk</w:t>
            </w:r>
            <w:r w:rsidR="007E4900">
              <w:t>,</w:t>
            </w:r>
            <w:r w:rsidR="00F93788">
              <w:t xml:space="preserve"> būvējot privātmāju un </w:t>
            </w:r>
            <w:r w:rsidR="007E4900">
              <w:t xml:space="preserve">tai nepieciešamo </w:t>
            </w:r>
            <w:r w:rsidR="00F93788">
              <w:t>piebraucamo ceļu</w:t>
            </w:r>
            <w:r w:rsidR="007E4900">
              <w:t>,</w:t>
            </w:r>
            <w:r w:rsidR="00F93788">
              <w:t xml:space="preserve"> varēs arī būvētājs (iepriekš – ēku var būvēt būvētājs, bet piebraucamo ceļu </w:t>
            </w:r>
            <w:r w:rsidR="00794081">
              <w:t xml:space="preserve">pie ēkas </w:t>
            </w:r>
            <w:r w:rsidR="00F93788">
              <w:t>– tikai būvkomersants).</w:t>
            </w:r>
          </w:p>
          <w:p w14:paraId="295BF76B" w14:textId="60D236FF" w:rsidR="00AF0B01" w:rsidRDefault="007E4900" w:rsidP="003C7115">
            <w:pPr>
              <w:ind w:firstLine="253"/>
              <w:contextualSpacing/>
              <w:jc w:val="both"/>
            </w:pPr>
            <w:r w:rsidRPr="007E4900">
              <w:t xml:space="preserve">Šajā daļā grozījumi </w:t>
            </w:r>
            <w:r>
              <w:t>samazina būvniecības ierosinātājam (būvētājam)</w:t>
            </w:r>
            <w:r w:rsidRPr="007E4900">
              <w:t xml:space="preserve"> administratīv</w:t>
            </w:r>
            <w:r>
              <w:t>o</w:t>
            </w:r>
            <w:r w:rsidRPr="007E4900">
              <w:t xml:space="preserve"> slog</w:t>
            </w:r>
            <w:r>
              <w:t>u</w:t>
            </w:r>
            <w:r w:rsidRPr="007E4900">
              <w:t>.</w:t>
            </w:r>
          </w:p>
          <w:p w14:paraId="0BF0C141" w14:textId="77777777" w:rsidR="00EB73FC" w:rsidRDefault="00EB73FC" w:rsidP="003C7115">
            <w:pPr>
              <w:ind w:firstLine="253"/>
              <w:contextualSpacing/>
              <w:jc w:val="both"/>
            </w:pPr>
          </w:p>
          <w:p w14:paraId="68E31D3C" w14:textId="2B292F72" w:rsidR="003833A2" w:rsidRDefault="00E93A0F" w:rsidP="003C7115">
            <w:pPr>
              <w:ind w:firstLine="253"/>
              <w:contextualSpacing/>
              <w:jc w:val="both"/>
            </w:pPr>
            <w:r>
              <w:t>[</w:t>
            </w:r>
            <w:r w:rsidR="00EB73FC">
              <w:t>6</w:t>
            </w:r>
            <w:r>
              <w:t>] </w:t>
            </w:r>
            <w:r w:rsidR="003833A2">
              <w:t xml:space="preserve">Ievērojot paredzētās izmaiņas būvniecības ieceres ierosināšanā, ir precizēta </w:t>
            </w:r>
            <w:r w:rsidR="005140CA">
              <w:t>3.6</w:t>
            </w:r>
            <w:r w:rsidR="003833A2">
              <w:t>.</w:t>
            </w:r>
            <w:r w:rsidR="000E7573">
              <w:t> </w:t>
            </w:r>
            <w:r w:rsidR="005140CA">
              <w:t>apakš</w:t>
            </w:r>
            <w:r w:rsidR="003833A2">
              <w:t>nodaļa (</w:t>
            </w:r>
            <w:r w:rsidR="003833A2" w:rsidRPr="003833A2">
              <w:t>Pieņemšana ekspluatācijā un atsevišķu darbu pabeigšana</w:t>
            </w:r>
            <w:r w:rsidR="003833A2">
              <w:t xml:space="preserve">), kur </w:t>
            </w:r>
            <w:r w:rsidR="005140CA">
              <w:t>3.6</w:t>
            </w:r>
            <w:r w:rsidR="003833A2">
              <w:t>.1.</w:t>
            </w:r>
            <w:r w:rsidR="000E7573">
              <w:t> </w:t>
            </w:r>
            <w:r w:rsidR="003833A2">
              <w:t xml:space="preserve">apakšnodaļā noteikta </w:t>
            </w:r>
            <w:r w:rsidR="00F02044" w:rsidRPr="00F02044">
              <w:t>paskaidrojuma raksta būvniecības proces</w:t>
            </w:r>
            <w:r w:rsidR="00F02044">
              <w:t>a būvdarbu pabeigšana</w:t>
            </w:r>
            <w:r w:rsidR="00F02044" w:rsidRPr="00F02044">
              <w:t xml:space="preserve"> </w:t>
            </w:r>
            <w:r w:rsidR="00F02044">
              <w:t xml:space="preserve">un </w:t>
            </w:r>
            <w:r w:rsidR="005140CA">
              <w:t>3.6</w:t>
            </w:r>
            <w:r w:rsidR="00F02044">
              <w:t>.2.</w:t>
            </w:r>
            <w:r w:rsidR="000E7573">
              <w:t> </w:t>
            </w:r>
            <w:r w:rsidR="00F02044">
              <w:t>apakšnodaļa – būvatļaujas gadījumā</w:t>
            </w:r>
            <w:r w:rsidR="005140CA">
              <w:t xml:space="preserve">, kā arī papildināta ar </w:t>
            </w:r>
            <w:r w:rsidR="005140CA" w:rsidRPr="005140CA">
              <w:t>3.6.</w:t>
            </w:r>
            <w:r w:rsidR="005140CA" w:rsidRPr="005140CA">
              <w:rPr>
                <w:vertAlign w:val="superscript"/>
              </w:rPr>
              <w:t>1</w:t>
            </w:r>
            <w:r w:rsidR="005140CA" w:rsidRPr="005140CA">
              <w:t> </w:t>
            </w:r>
            <w:r w:rsidR="005140CA">
              <w:t xml:space="preserve">apakšnodaļu – </w:t>
            </w:r>
            <w:r w:rsidR="005140CA" w:rsidRPr="005140CA">
              <w:t>Komersantu ceļu uzmērīšana</w:t>
            </w:r>
            <w:r w:rsidR="005140CA">
              <w:t xml:space="preserve"> (iepriekš noteikts 4.5. apakšnodaļā)</w:t>
            </w:r>
            <w:r w:rsidR="00F02044">
              <w:t xml:space="preserve">. Savukārt </w:t>
            </w:r>
            <w:r w:rsidR="005140CA">
              <w:t>3</w:t>
            </w:r>
            <w:r w:rsidR="00F02044">
              <w:t>.</w:t>
            </w:r>
            <w:r w:rsidR="005140CA">
              <w:t>6.</w:t>
            </w:r>
            <w:r w:rsidR="00F02044">
              <w:t>3.</w:t>
            </w:r>
            <w:r w:rsidR="005140CA">
              <w:t> </w:t>
            </w:r>
            <w:r w:rsidR="00F02044">
              <w:t>apakšnodaļa svītrota</w:t>
            </w:r>
            <w:r w:rsidR="005140CA">
              <w:t>,</w:t>
            </w:r>
            <w:r w:rsidR="00F02044">
              <w:t xml:space="preserve"> jo attiecīgās prasības ietvertas </w:t>
            </w:r>
            <w:r w:rsidR="005140CA">
              <w:t>3.6</w:t>
            </w:r>
            <w:r w:rsidR="00F02044">
              <w:t>.1.</w:t>
            </w:r>
            <w:r w:rsidR="000E7573">
              <w:t> </w:t>
            </w:r>
            <w:r w:rsidR="00F02044">
              <w:t>apakšnodaļā.</w:t>
            </w:r>
          </w:p>
          <w:p w14:paraId="1BB312B7" w14:textId="67114D92" w:rsidR="005140CA" w:rsidRDefault="00EB73FC" w:rsidP="00EB73FC">
            <w:pPr>
              <w:ind w:firstLine="253"/>
              <w:contextualSpacing/>
              <w:jc w:val="both"/>
            </w:pPr>
            <w:r>
              <w:t>Tāpat precizēts līdz šim brīdim</w:t>
            </w:r>
            <w:r w:rsidR="005140CA">
              <w:t xml:space="preserve"> at</w:t>
            </w:r>
            <w:r>
              <w:t>š</w:t>
            </w:r>
            <w:r w:rsidR="005140CA">
              <w:t>ķirīg</w:t>
            </w:r>
            <w:r>
              <w:t>i noteiktais, ar kuru brīdi tiek uzskatīts</w:t>
            </w:r>
            <w:r w:rsidR="005140CA">
              <w:t xml:space="preserve"> garantijas</w:t>
            </w:r>
            <w:r>
              <w:t xml:space="preserve"> termiņa sākums. Proti, valsts autoceļu un komersantu ceļu gadījumā – ar būvdarbu pabeigšanas brīdi, bet pašvaldību ceļu un ielu gadījumā – ar institūcijas, kura pilda būvvaldes funkcijas, atzīmes par būvdarbu pabeigšanu izdarīšanu būvniecības informācijas sistēmā. Turpmāk visos gadījumos l</w:t>
            </w:r>
            <w:r w:rsidRPr="00EB73FC">
              <w:t>aikposms starp būvdarbu pabeigšan</w:t>
            </w:r>
            <w:r>
              <w:t xml:space="preserve">u </w:t>
            </w:r>
            <w:r w:rsidRPr="00EB73FC">
              <w:t>un objekta pieņemšanu ekspluatācijā ti</w:t>
            </w:r>
            <w:r>
              <w:t>ks</w:t>
            </w:r>
            <w:r w:rsidRPr="00EB73FC">
              <w:t xml:space="preserve"> ieskaitīts būvdarbu garantijas termiņā</w:t>
            </w:r>
            <w:r>
              <w:t>.</w:t>
            </w:r>
          </w:p>
          <w:p w14:paraId="4BB12BF4" w14:textId="64D188BB" w:rsidR="0077626F" w:rsidRDefault="0077626F" w:rsidP="003C7115">
            <w:pPr>
              <w:ind w:firstLine="253"/>
              <w:contextualSpacing/>
              <w:jc w:val="both"/>
            </w:pPr>
            <w:r w:rsidRPr="0077626F">
              <w:t xml:space="preserve">Tā kā būvdarbu pabeigšanai izstrādājamo un </w:t>
            </w:r>
            <w:r w:rsidR="004E5E5B">
              <w:t>institūcijā, kura pilda būvvaldes funkcijas,</w:t>
            </w:r>
            <w:r w:rsidRPr="0077626F">
              <w:t xml:space="preserve"> iesniedzamo dokumentu apjoms netiek palielināts, līdz ar to pēc būtības nemaina iesaistīto personu esošos pienākumus un tiesības, kā arī netiek palielināts administratīvais slogs. </w:t>
            </w:r>
            <w:r w:rsidR="005140CA" w:rsidRPr="005140CA">
              <w:t>Atsevišķos gadījumos tas tiek samazināts, piemēram, komersantu ceļu atjaunošanas gadījumā, to varēs veikt bez būvniecības ieceres dokumentācijas līdzīgi kā māju ceļu gadījumā, bet komersantu ceļu jaunas būvniecības vai pārbūves gadījumā, to varēs veikt ar paskaidrojuma rakstu nevis vispārīgajā būvniecības procesā, kura ietvaros tiek izdota būvatļauja.</w:t>
            </w:r>
          </w:p>
          <w:p w14:paraId="796CBED0" w14:textId="5BE12D58" w:rsidR="00801EC0" w:rsidRDefault="00801EC0" w:rsidP="0008065C">
            <w:pPr>
              <w:ind w:firstLine="253"/>
              <w:contextualSpacing/>
              <w:jc w:val="both"/>
            </w:pPr>
          </w:p>
          <w:p w14:paraId="68956581" w14:textId="42F203DB" w:rsidR="00801EC0" w:rsidRDefault="00801EC0" w:rsidP="0008065C">
            <w:pPr>
              <w:ind w:firstLine="253"/>
              <w:contextualSpacing/>
              <w:jc w:val="both"/>
            </w:pPr>
            <w:r>
              <w:t>[</w:t>
            </w:r>
            <w:r w:rsidR="00EB73FC">
              <w:t>7</w:t>
            </w:r>
            <w:r>
              <w:t>]</w:t>
            </w:r>
            <w:r w:rsidR="00E02A1A">
              <w:t> </w:t>
            </w:r>
            <w:r w:rsidRPr="00801EC0">
              <w:t xml:space="preserve">Noteikumu projektā ir paredzēts, ka būvspeciālistam, ievadot informāciju par sevi būs jānorāda ne tikai sertifikāta numurs, bet arī darbības sfēra. Šobrīd, ja būvspeciālistam bija kompetence vienas jomas vairākās sfērās, tad šāda informācija netika </w:t>
            </w:r>
            <w:r w:rsidR="003062B6">
              <w:t>norādīta</w:t>
            </w:r>
            <w:r w:rsidRPr="00801EC0">
              <w:t>. Būvniecības jomas ir  projektēšana, inženierizpēte, būvdarbu vadīšana, būvuzraudzība un būvekspertīze. Būvspeciālista darbības sfēras ir noteiktas Ministru kabineta 2018.</w:t>
            </w:r>
            <w:r w:rsidR="000E7573">
              <w:t> </w:t>
            </w:r>
            <w:r w:rsidRPr="00801EC0">
              <w:t>gada 20.</w:t>
            </w:r>
            <w:r w:rsidR="000E7573">
              <w:t> </w:t>
            </w:r>
            <w:r w:rsidRPr="00801EC0">
              <w:t>marta noteikumu Nr.</w:t>
            </w:r>
            <w:r w:rsidR="000E7573">
              <w:t> </w:t>
            </w:r>
            <w:r w:rsidRPr="00801EC0">
              <w:t>169 “Būvspeciālistu kompetences novērtēšanas un patstāvīgās prakses uzraudzības noteikumi” 1.</w:t>
            </w:r>
            <w:r w:rsidR="000E7573">
              <w:t> </w:t>
            </w:r>
            <w:r w:rsidRPr="00801EC0">
              <w:t>pielikumā.</w:t>
            </w:r>
          </w:p>
          <w:p w14:paraId="62618C96" w14:textId="535B44B6" w:rsidR="005A2F3C" w:rsidRDefault="005A2F3C" w:rsidP="0008065C">
            <w:pPr>
              <w:ind w:firstLine="253"/>
              <w:contextualSpacing/>
              <w:jc w:val="both"/>
            </w:pPr>
          </w:p>
          <w:p w14:paraId="32DD532F" w14:textId="384E3763" w:rsidR="00E71DAC" w:rsidRDefault="00E93A0F" w:rsidP="003C7115">
            <w:pPr>
              <w:ind w:firstLine="253"/>
              <w:contextualSpacing/>
              <w:jc w:val="both"/>
            </w:pPr>
            <w:r>
              <w:t>[</w:t>
            </w:r>
            <w:r w:rsidR="00EB73FC">
              <w:t>8</w:t>
            </w:r>
            <w:r>
              <w:t>] </w:t>
            </w:r>
            <w:r w:rsidR="000E7ADE">
              <w:t xml:space="preserve">Ņemot vērā, ka </w:t>
            </w:r>
            <w:r w:rsidR="000E7ADE" w:rsidRPr="000E7ADE">
              <w:t>Būvniecības likuma pārejas noteikumu 21.</w:t>
            </w:r>
            <w:r w:rsidR="000E7573">
              <w:t> </w:t>
            </w:r>
            <w:r w:rsidR="000E7ADE" w:rsidRPr="000E7ADE">
              <w:t>punkt</w:t>
            </w:r>
            <w:r w:rsidR="00DB4A62">
              <w:t>s nosaka, ka</w:t>
            </w:r>
            <w:r w:rsidR="000E7ADE">
              <w:t xml:space="preserve"> ar 2020.</w:t>
            </w:r>
            <w:r w:rsidR="000E7573">
              <w:t> </w:t>
            </w:r>
            <w:r w:rsidR="000E7ADE">
              <w:t>gada 1.</w:t>
            </w:r>
            <w:r w:rsidR="000E7573">
              <w:t> </w:t>
            </w:r>
            <w:r w:rsidR="000E7ADE">
              <w:t xml:space="preserve">janvāri </w:t>
            </w:r>
            <w:r w:rsidR="000E7ADE" w:rsidRPr="000E7ADE">
              <w:t>būvniecības administratīvais process uzsākams elektroniski būvniecības informācijas sistēmā</w:t>
            </w:r>
            <w:r w:rsidR="00E71DAC">
              <w:t>,</w:t>
            </w:r>
            <w:r w:rsidR="000E7ADE">
              <w:t xml:space="preserve"> </w:t>
            </w:r>
            <w:r w:rsidR="00E71DAC">
              <w:t>l</w:t>
            </w:r>
            <w:r w:rsidR="000E7ADE">
              <w:t>īdz</w:t>
            </w:r>
            <w:r w:rsidR="00E71DAC">
              <w:t xml:space="preserve">šinējie punkti, kas noteica </w:t>
            </w:r>
            <w:r w:rsidR="00E71DAC" w:rsidRPr="00E71DAC">
              <w:t>būvniecības proces</w:t>
            </w:r>
            <w:r w:rsidR="00E71DAC">
              <w:t>u</w:t>
            </w:r>
            <w:r w:rsidR="00E71DAC" w:rsidRPr="00E71DAC">
              <w:t xml:space="preserve"> ārpus būvniecības informācijas sistēmas</w:t>
            </w:r>
            <w:r w:rsidR="00E71DAC">
              <w:t xml:space="preserve">, kas </w:t>
            </w:r>
            <w:r w:rsidR="00E71DAC" w:rsidRPr="00E71DAC">
              <w:t>nodrošin</w:t>
            </w:r>
            <w:r w:rsidR="00DB4A62">
              <w:t>a</w:t>
            </w:r>
            <w:r w:rsidR="00E71DAC" w:rsidRPr="00E71DAC">
              <w:t xml:space="preserve"> Būvniecības likuma pārejas noteikumu 22. – 24.</w:t>
            </w:r>
            <w:r w:rsidR="000E7573">
              <w:t> </w:t>
            </w:r>
            <w:r w:rsidR="00E71DAC" w:rsidRPr="00E71DAC">
              <w:t>punktā noteikto tiesību normu realizāciju</w:t>
            </w:r>
            <w:r w:rsidR="00E71DAC">
              <w:t>,</w:t>
            </w:r>
            <w:r w:rsidR="00E71DAC" w:rsidRPr="00E71DAC">
              <w:t xml:space="preserve"> </w:t>
            </w:r>
            <w:r w:rsidR="00E71DAC">
              <w:t xml:space="preserve">ir precizēti un iekļauti pārejas regulējumā. Tādejādi nodrošinot, ka pamatteksts satur </w:t>
            </w:r>
            <w:r w:rsidR="00E71DAC" w:rsidRPr="00E71DAC">
              <w:t>regulējum</w:t>
            </w:r>
            <w:r w:rsidR="00E71DAC">
              <w:t>u, kas</w:t>
            </w:r>
            <w:r w:rsidR="00E71DAC" w:rsidRPr="00E71DAC">
              <w:t xml:space="preserve"> </w:t>
            </w:r>
            <w:r w:rsidR="00E71DAC">
              <w:t>nosaka</w:t>
            </w:r>
            <w:r w:rsidR="00E71DAC" w:rsidRPr="00E71DAC">
              <w:t xml:space="preserve"> būvniecības proces</w:t>
            </w:r>
            <w:r w:rsidR="00E71DAC">
              <w:t>u</w:t>
            </w:r>
            <w:r w:rsidR="003149BB">
              <w:t>, kas piemērojams</w:t>
            </w:r>
            <w:r w:rsidR="00E71DAC" w:rsidRPr="00E71DAC">
              <w:t xml:space="preserve"> būvniecības informācijas sistēmā</w:t>
            </w:r>
            <w:r w:rsidR="003149BB">
              <w:t>, bet izņēmumi no tā noteikti tikai noslēguma jautājumos (10.</w:t>
            </w:r>
            <w:r w:rsidR="000E7573">
              <w:t> </w:t>
            </w:r>
            <w:r w:rsidR="003149BB">
              <w:t>nodaļa)</w:t>
            </w:r>
            <w:r w:rsidR="00E71DAC">
              <w:t>.</w:t>
            </w:r>
          </w:p>
          <w:p w14:paraId="3BCC0D75" w14:textId="1478B03E" w:rsidR="006149C8" w:rsidRPr="006149C8" w:rsidRDefault="006149C8" w:rsidP="003C7115">
            <w:pPr>
              <w:ind w:firstLine="253"/>
              <w:contextualSpacing/>
              <w:jc w:val="both"/>
            </w:pPr>
            <w:r w:rsidRPr="006149C8">
              <w:t xml:space="preserve">Šajā daļā grozījumi pēc būtības nemaina iesaistīto personu esošos pienākumus un tiesības, kā arī netiek </w:t>
            </w:r>
            <w:r w:rsidR="00DC6D5F">
              <w:t>palielināts</w:t>
            </w:r>
            <w:r w:rsidRPr="006149C8">
              <w:t xml:space="preserve"> administratīvais slogs.</w:t>
            </w:r>
          </w:p>
          <w:p w14:paraId="719BC278" w14:textId="0FB6B455" w:rsidR="00277A6C" w:rsidRPr="006149C8" w:rsidRDefault="00277A6C" w:rsidP="003C7115">
            <w:pPr>
              <w:ind w:firstLine="253"/>
              <w:contextualSpacing/>
              <w:jc w:val="both"/>
            </w:pPr>
          </w:p>
        </w:tc>
      </w:tr>
      <w:tr w:rsidR="006149C8" w:rsidRPr="006149C8" w14:paraId="2E46FCE5" w14:textId="77777777" w:rsidTr="00F62FDC">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7F1CBA4D" w14:textId="77777777" w:rsidR="006149C8" w:rsidRPr="006149C8" w:rsidRDefault="006149C8" w:rsidP="00F62FDC">
            <w:pPr>
              <w:contextualSpacing/>
              <w:jc w:val="center"/>
            </w:pPr>
            <w:r w:rsidRPr="006149C8">
              <w:lastRenderedPageBreak/>
              <w:t>3.</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0C242745" w14:textId="77777777" w:rsidR="006149C8" w:rsidRPr="006149C8" w:rsidRDefault="006149C8" w:rsidP="00F62FDC">
            <w:pPr>
              <w:contextualSpacing/>
            </w:pPr>
            <w:r w:rsidRPr="006149C8">
              <w:t>Projekta izstrādē iesaistītās institūcijas un publiskas personas kapitālsabiedrības</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620328F4" w14:textId="04163C2B" w:rsidR="006149C8" w:rsidRPr="006149C8" w:rsidRDefault="000E7573" w:rsidP="004F2184">
            <w:pPr>
              <w:contextualSpacing/>
              <w:jc w:val="both"/>
            </w:pPr>
            <w:r>
              <w:t xml:space="preserve">Ekonomikas ministrija, </w:t>
            </w:r>
            <w:r w:rsidR="009D3CD1" w:rsidRPr="009D3CD1">
              <w:t>Būvniecības valsts kontroles birojs kā būvniecības informācijas sistēmas (BIS) pārzinis</w:t>
            </w:r>
            <w:r w:rsidR="009218DF">
              <w:rPr>
                <w:bCs/>
                <w:iCs/>
              </w:rPr>
              <w:t>.</w:t>
            </w:r>
          </w:p>
        </w:tc>
      </w:tr>
      <w:tr w:rsidR="006149C8" w:rsidRPr="006149C8" w14:paraId="2204B269" w14:textId="77777777" w:rsidTr="00F62FDC">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7460B860" w14:textId="77777777" w:rsidR="006149C8" w:rsidRPr="006149C8" w:rsidRDefault="006149C8" w:rsidP="00F62FDC">
            <w:pPr>
              <w:contextualSpacing/>
              <w:jc w:val="center"/>
            </w:pPr>
            <w:r w:rsidRPr="006149C8">
              <w:t>4.</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3D8E3D40" w14:textId="77777777" w:rsidR="006149C8" w:rsidRPr="006149C8" w:rsidRDefault="006149C8" w:rsidP="00F62FDC">
            <w:pPr>
              <w:contextualSpacing/>
            </w:pPr>
            <w:r w:rsidRPr="006149C8">
              <w:t>Cita informācija</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14D09C31" w14:textId="77777777" w:rsidR="006149C8" w:rsidRPr="006149C8" w:rsidRDefault="004F2184" w:rsidP="00F62FDC">
            <w:pPr>
              <w:contextualSpacing/>
            </w:pPr>
            <w:r>
              <w:t>Nav</w:t>
            </w:r>
          </w:p>
        </w:tc>
      </w:tr>
    </w:tbl>
    <w:p w14:paraId="293D18DF" w14:textId="77777777" w:rsidR="006149C8" w:rsidRPr="006149C8" w:rsidRDefault="006149C8"/>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30" w:type="dxa"/>
          <w:left w:w="30" w:type="dxa"/>
          <w:bottom w:w="30" w:type="dxa"/>
          <w:right w:w="30" w:type="dxa"/>
        </w:tblCellMar>
        <w:tblLook w:val="04A0" w:firstRow="1" w:lastRow="0" w:firstColumn="1" w:lastColumn="0" w:noHBand="0" w:noVBand="1"/>
      </w:tblPr>
      <w:tblGrid>
        <w:gridCol w:w="562"/>
        <w:gridCol w:w="2681"/>
        <w:gridCol w:w="5818"/>
      </w:tblGrid>
      <w:tr w:rsidR="006149C8" w:rsidRPr="006149C8" w14:paraId="3C98EACF" w14:textId="77777777" w:rsidTr="00F62FDC">
        <w:tc>
          <w:tcPr>
            <w:tcW w:w="830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27EFFBBB" w14:textId="77777777" w:rsidR="006149C8" w:rsidRPr="006149C8" w:rsidRDefault="006149C8" w:rsidP="00F62FDC">
            <w:pPr>
              <w:contextualSpacing/>
              <w:jc w:val="center"/>
              <w:rPr>
                <w:b/>
                <w:bCs/>
              </w:rPr>
            </w:pPr>
            <w:r w:rsidRPr="006149C8">
              <w:rPr>
                <w:b/>
                <w:bCs/>
              </w:rPr>
              <w:t>II. Tiesību akta projekta ietekme uz sabiedrību, tautsaimniecības attīstību un administratīvo slogu</w:t>
            </w:r>
          </w:p>
        </w:tc>
      </w:tr>
      <w:tr w:rsidR="006149C8" w:rsidRPr="006149C8" w14:paraId="0C67373B" w14:textId="77777777" w:rsidTr="00F62FDC">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5174D1AD" w14:textId="77777777" w:rsidR="006149C8" w:rsidRPr="006149C8" w:rsidRDefault="006149C8" w:rsidP="00F62FDC">
            <w:pPr>
              <w:contextualSpacing/>
              <w:jc w:val="center"/>
            </w:pPr>
            <w:r w:rsidRPr="006149C8">
              <w:t>1.</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099CC8D2" w14:textId="77777777" w:rsidR="006149C8" w:rsidRPr="006149C8" w:rsidRDefault="006149C8" w:rsidP="00F62FDC">
            <w:pPr>
              <w:contextualSpacing/>
            </w:pPr>
            <w:r w:rsidRPr="006149C8">
              <w:t>Sabiedrības mērķgrupas, kuras tiesiskais regulējums ietekmē vai varētu ietekmēt</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5ED0D423" w14:textId="34CCCAB6" w:rsidR="006149C8" w:rsidRPr="006149C8" w:rsidRDefault="00105E72" w:rsidP="0093745A">
            <w:pPr>
              <w:contextualSpacing/>
              <w:jc w:val="both"/>
            </w:pPr>
            <w:r w:rsidRPr="00105E72">
              <w:t>Plānotais tiesiskais regulējums ietekmēs visus būvniecības procesa dalībniekus, būvvaldes un institūcijas, kuras pilda būvvaldes funkcijas.</w:t>
            </w:r>
          </w:p>
        </w:tc>
      </w:tr>
      <w:tr w:rsidR="006149C8" w:rsidRPr="006149C8" w14:paraId="1D6E1FDD" w14:textId="77777777" w:rsidTr="00F62FDC">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6EBE9737" w14:textId="77777777" w:rsidR="006149C8" w:rsidRPr="006149C8" w:rsidRDefault="006149C8" w:rsidP="00F62FDC">
            <w:pPr>
              <w:contextualSpacing/>
              <w:jc w:val="center"/>
            </w:pPr>
            <w:r w:rsidRPr="006149C8">
              <w:t>2.</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20BC0F72" w14:textId="77777777" w:rsidR="006149C8" w:rsidRPr="006149C8" w:rsidRDefault="006149C8" w:rsidP="00F62FDC">
            <w:pPr>
              <w:contextualSpacing/>
            </w:pPr>
            <w:r w:rsidRPr="006149C8">
              <w:t>Tiesiskā regulējuma ietekme uz tautsaimniecību un administratīvo slogu</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69A942A2" w14:textId="07BF5327" w:rsidR="00062FE9" w:rsidRPr="00A613A6" w:rsidRDefault="00105E72" w:rsidP="00A613A6">
            <w:pPr>
              <w:contextualSpacing/>
              <w:jc w:val="both"/>
            </w:pPr>
            <w:r w:rsidRPr="00105E72">
              <w:t>Kopumā administratīvais slogs samazināsies būvniecības ierosinātajam</w:t>
            </w:r>
            <w:r>
              <w:t xml:space="preserve">, bet citām personām </w:t>
            </w:r>
            <w:r w:rsidR="002D6C71">
              <w:t xml:space="preserve">tas </w:t>
            </w:r>
            <w:r w:rsidR="00E56DC9">
              <w:t xml:space="preserve">būtiski </w:t>
            </w:r>
            <w:r>
              <w:t>nemainīsies.</w:t>
            </w:r>
            <w:r w:rsidR="00391ACA">
              <w:t xml:space="preserve"> </w:t>
            </w:r>
            <w:r w:rsidR="00391ACA" w:rsidRPr="00391ACA">
              <w:t>Papildus ir precizēts to gadījumu skaits, kad nav nepieciešama būvniecības dokumentācija vai ir piemērojama paskaidrojuma raksta procedūra (vienkāršāka procedūra), nevis vispārīgais būvniecības process, kura ietvaros tiek izdota būvatļauja.</w:t>
            </w:r>
          </w:p>
        </w:tc>
      </w:tr>
      <w:tr w:rsidR="006149C8" w:rsidRPr="006149C8" w14:paraId="03EF5CAB" w14:textId="77777777" w:rsidTr="00F62FDC">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24C9210D" w14:textId="77777777" w:rsidR="006149C8" w:rsidRPr="006149C8" w:rsidRDefault="006149C8" w:rsidP="00F62FDC">
            <w:pPr>
              <w:contextualSpacing/>
              <w:jc w:val="center"/>
            </w:pPr>
            <w:r w:rsidRPr="006149C8">
              <w:t>3.</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5305B94D" w14:textId="77777777" w:rsidR="006149C8" w:rsidRPr="006149C8" w:rsidRDefault="006149C8" w:rsidP="00F62FDC">
            <w:pPr>
              <w:contextualSpacing/>
            </w:pPr>
            <w:r w:rsidRPr="006149C8">
              <w:t>Administratīvo izmaksu monetārs novērtējums</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1DA2A70D" w14:textId="6BB28530" w:rsidR="00F03DF5" w:rsidRPr="006149C8" w:rsidRDefault="00FD35B0" w:rsidP="00F03DF5">
            <w:pPr>
              <w:contextualSpacing/>
              <w:jc w:val="both"/>
            </w:pPr>
            <w:r>
              <w:t>T</w:t>
            </w:r>
            <w:r w:rsidR="00105E72" w:rsidRPr="00105E72">
              <w:t>ā k</w:t>
            </w:r>
            <w:r>
              <w:t>ā</w:t>
            </w:r>
            <w:r w:rsidR="00105E72" w:rsidRPr="00105E72">
              <w:t xml:space="preserve"> nav </w:t>
            </w:r>
            <w:r w:rsidR="00F03DF5" w:rsidRPr="00F03DF5">
              <w:t>nosakāms mērķgrupas lielums</w:t>
            </w:r>
            <w:r w:rsidR="00F03DF5" w:rsidRPr="00105E72">
              <w:t xml:space="preserve"> </w:t>
            </w:r>
            <w:r w:rsidR="00F03DF5">
              <w:t xml:space="preserve">un </w:t>
            </w:r>
            <w:r w:rsidR="00105E72" w:rsidRPr="00105E72">
              <w:t>izdalāms viens tipisks gadījums, k</w:t>
            </w:r>
            <w:r w:rsidR="00A75B7F">
              <w:t xml:space="preserve">as </w:t>
            </w:r>
            <w:r w:rsidR="00105E72" w:rsidRPr="00105E72">
              <w:t xml:space="preserve">varētu attiekties uz visiem </w:t>
            </w:r>
            <w:r w:rsidR="00105E72">
              <w:t>būvniecības ierosinātājiem</w:t>
            </w:r>
            <w:r w:rsidR="00F03DF5">
              <w:t>,</w:t>
            </w:r>
            <w:r w:rsidR="00E56DC9">
              <w:t xml:space="preserve"> </w:t>
            </w:r>
            <w:r>
              <w:t xml:space="preserve">tad </w:t>
            </w:r>
            <w:r w:rsidR="00105E72" w:rsidRPr="00105E72">
              <w:t>attiecīgās izmaksas nav iespējams novērtēt.</w:t>
            </w:r>
          </w:p>
        </w:tc>
      </w:tr>
      <w:tr w:rsidR="006149C8" w:rsidRPr="006149C8" w14:paraId="1E61D5CB" w14:textId="77777777" w:rsidTr="00F62FDC">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10C2AF6A" w14:textId="77777777" w:rsidR="006149C8" w:rsidRPr="006149C8" w:rsidRDefault="006149C8" w:rsidP="00F62FDC">
            <w:pPr>
              <w:contextualSpacing/>
              <w:jc w:val="center"/>
            </w:pPr>
            <w:r w:rsidRPr="006149C8">
              <w:t>4.</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17D03E31" w14:textId="77777777" w:rsidR="006149C8" w:rsidRPr="006149C8" w:rsidRDefault="006149C8" w:rsidP="00F62FDC">
            <w:pPr>
              <w:contextualSpacing/>
            </w:pPr>
            <w:r w:rsidRPr="006149C8">
              <w:t>Atbilstības izmaksu monetārs novērtējums</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2AEE989F" w14:textId="551B5E84" w:rsidR="006149C8" w:rsidRPr="006149C8" w:rsidRDefault="000210F7" w:rsidP="0093745A">
            <w:pPr>
              <w:contextualSpacing/>
              <w:jc w:val="both"/>
            </w:pPr>
            <w:r>
              <w:t xml:space="preserve">Tā </w:t>
            </w:r>
            <w:r w:rsidR="0093745A" w:rsidRPr="00105E72">
              <w:t>k</w:t>
            </w:r>
            <w:r>
              <w:t>ā</w:t>
            </w:r>
            <w:r w:rsidR="0093745A" w:rsidRPr="00105E72">
              <w:t xml:space="preserve"> nav </w:t>
            </w:r>
            <w:r w:rsidR="00F03DF5" w:rsidRPr="00F03DF5">
              <w:t xml:space="preserve">nosakāms mērķgrupas lielums un </w:t>
            </w:r>
            <w:r w:rsidR="0093745A" w:rsidRPr="00105E72">
              <w:t>izdalāms viens tipisks gadījums, k</w:t>
            </w:r>
            <w:r w:rsidR="00EF361A">
              <w:t xml:space="preserve">as </w:t>
            </w:r>
            <w:r w:rsidR="0093745A" w:rsidRPr="00105E72">
              <w:t xml:space="preserve">varētu attiekties uz visiem </w:t>
            </w:r>
            <w:r w:rsidR="0093745A">
              <w:t>būvniecības ierosinātājiem</w:t>
            </w:r>
            <w:r w:rsidR="0093745A" w:rsidRPr="00105E72">
              <w:t>, attiecīgās izmaksas nav iespējams novērtēt.</w:t>
            </w:r>
          </w:p>
        </w:tc>
      </w:tr>
      <w:tr w:rsidR="006149C8" w:rsidRPr="006149C8" w14:paraId="4B503491" w14:textId="77777777" w:rsidTr="00F62FDC">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2A5391E8" w14:textId="77777777" w:rsidR="006149C8" w:rsidRPr="006149C8" w:rsidRDefault="006149C8" w:rsidP="00F62FDC">
            <w:pPr>
              <w:contextualSpacing/>
              <w:jc w:val="center"/>
            </w:pPr>
            <w:r w:rsidRPr="006149C8">
              <w:t>5.</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63113DDB" w14:textId="77777777" w:rsidR="006149C8" w:rsidRPr="006149C8" w:rsidRDefault="006149C8" w:rsidP="00F62FDC">
            <w:pPr>
              <w:contextualSpacing/>
            </w:pPr>
            <w:r w:rsidRPr="006149C8">
              <w:t>Cita informācija</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277EECD3" w14:textId="77777777" w:rsidR="006149C8" w:rsidRPr="006149C8" w:rsidRDefault="00105E72" w:rsidP="0093745A">
            <w:pPr>
              <w:contextualSpacing/>
              <w:jc w:val="both"/>
            </w:pPr>
            <w:r>
              <w:t>Nav</w:t>
            </w:r>
          </w:p>
        </w:tc>
      </w:tr>
    </w:tbl>
    <w:p w14:paraId="5EFD7750" w14:textId="7B2B5280" w:rsidR="006149C8" w:rsidRDefault="006149C8"/>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62"/>
        <w:gridCol w:w="954"/>
        <w:gridCol w:w="1134"/>
        <w:gridCol w:w="850"/>
        <w:gridCol w:w="993"/>
        <w:gridCol w:w="850"/>
        <w:gridCol w:w="1123"/>
        <w:gridCol w:w="995"/>
      </w:tblGrid>
      <w:tr w:rsidR="00B5184C" w:rsidRPr="00B5184C" w14:paraId="4665C9E9" w14:textId="77777777" w:rsidTr="00582287">
        <w:trPr>
          <w:cantSplit/>
        </w:trPr>
        <w:tc>
          <w:tcPr>
            <w:tcW w:w="9061" w:type="dxa"/>
            <w:gridSpan w:val="8"/>
            <w:tcBorders>
              <w:top w:val="single" w:sz="4" w:space="0" w:color="auto"/>
              <w:left w:val="single" w:sz="4" w:space="0" w:color="auto"/>
              <w:bottom w:val="single" w:sz="4" w:space="0" w:color="auto"/>
              <w:right w:val="single" w:sz="4" w:space="0" w:color="auto"/>
            </w:tcBorders>
            <w:vAlign w:val="center"/>
            <w:hideMark/>
          </w:tcPr>
          <w:p w14:paraId="1661F0F6" w14:textId="77777777" w:rsidR="00B5184C" w:rsidRPr="00B5184C" w:rsidRDefault="00B5184C" w:rsidP="00B5184C">
            <w:pPr>
              <w:jc w:val="center"/>
              <w:rPr>
                <w:b/>
                <w:bCs/>
                <w:lang w:eastAsia="en-US"/>
              </w:rPr>
            </w:pPr>
            <w:r w:rsidRPr="00B5184C">
              <w:rPr>
                <w:b/>
                <w:bCs/>
                <w:lang w:eastAsia="en-US"/>
              </w:rPr>
              <w:t>III. Tiesību akta projekta ietekme uz valsts budžetu un pašvaldību budžetiem</w:t>
            </w:r>
          </w:p>
        </w:tc>
      </w:tr>
      <w:tr w:rsidR="00B5184C" w:rsidRPr="00B5184C" w14:paraId="730372C3" w14:textId="77777777" w:rsidTr="00582287">
        <w:trPr>
          <w:cantSplit/>
        </w:trPr>
        <w:tc>
          <w:tcPr>
            <w:tcW w:w="21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FFC07E" w14:textId="77777777" w:rsidR="00B5184C" w:rsidRPr="00B5184C" w:rsidRDefault="00B5184C" w:rsidP="00B5184C">
            <w:pPr>
              <w:jc w:val="center"/>
              <w:rPr>
                <w:bCs/>
                <w:lang w:eastAsia="en-US"/>
              </w:rPr>
            </w:pPr>
            <w:r w:rsidRPr="00B5184C">
              <w:rPr>
                <w:bCs/>
                <w:lang w:eastAsia="en-US"/>
              </w:rPr>
              <w:t>Rādītāji</w:t>
            </w:r>
          </w:p>
        </w:tc>
        <w:tc>
          <w:tcPr>
            <w:tcW w:w="208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3887B3C" w14:textId="390931AB" w:rsidR="00B5184C" w:rsidRPr="00B5184C" w:rsidRDefault="00B5184C" w:rsidP="00B5184C">
            <w:pPr>
              <w:jc w:val="center"/>
              <w:rPr>
                <w:bCs/>
                <w:lang w:eastAsia="en-US"/>
              </w:rPr>
            </w:pPr>
            <w:r>
              <w:rPr>
                <w:bCs/>
                <w:lang w:eastAsia="en-US"/>
              </w:rPr>
              <w:t>20</w:t>
            </w:r>
            <w:r w:rsidR="009D3CD1">
              <w:rPr>
                <w:bCs/>
                <w:lang w:eastAsia="en-US"/>
              </w:rPr>
              <w:t>20</w:t>
            </w:r>
            <w:r>
              <w:rPr>
                <w:bCs/>
                <w:lang w:eastAsia="en-US"/>
              </w:rPr>
              <w:t>.</w:t>
            </w:r>
            <w:r w:rsidRPr="00B5184C">
              <w:rPr>
                <w:bCs/>
                <w:lang w:eastAsia="en-US"/>
              </w:rPr>
              <w:t>gads</w:t>
            </w:r>
          </w:p>
        </w:tc>
        <w:tc>
          <w:tcPr>
            <w:tcW w:w="481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5ECA85A" w14:textId="77777777" w:rsidR="00B5184C" w:rsidRPr="00B5184C" w:rsidRDefault="00B5184C" w:rsidP="00B5184C">
            <w:pPr>
              <w:jc w:val="center"/>
              <w:rPr>
                <w:lang w:eastAsia="en-US"/>
              </w:rPr>
            </w:pPr>
            <w:r w:rsidRPr="00B5184C">
              <w:rPr>
                <w:lang w:eastAsia="en-US"/>
              </w:rPr>
              <w:t>Turpmākie trīs gadi (</w:t>
            </w:r>
            <w:r w:rsidRPr="00B5184C">
              <w:rPr>
                <w:i/>
                <w:iCs/>
                <w:lang w:eastAsia="en-US"/>
              </w:rPr>
              <w:t>euro</w:t>
            </w:r>
            <w:r w:rsidRPr="00B5184C">
              <w:rPr>
                <w:lang w:eastAsia="en-US"/>
              </w:rPr>
              <w:t>)</w:t>
            </w:r>
          </w:p>
        </w:tc>
      </w:tr>
      <w:tr w:rsidR="00B5184C" w:rsidRPr="00B5184C" w14:paraId="3D063D54" w14:textId="77777777" w:rsidTr="00582287">
        <w:trPr>
          <w:cantSplit/>
        </w:trPr>
        <w:tc>
          <w:tcPr>
            <w:tcW w:w="2162" w:type="dxa"/>
            <w:vMerge/>
            <w:tcBorders>
              <w:top w:val="single" w:sz="4" w:space="0" w:color="auto"/>
              <w:left w:val="single" w:sz="4" w:space="0" w:color="auto"/>
              <w:bottom w:val="single" w:sz="4" w:space="0" w:color="auto"/>
              <w:right w:val="single" w:sz="4" w:space="0" w:color="auto"/>
            </w:tcBorders>
            <w:vAlign w:val="center"/>
            <w:hideMark/>
          </w:tcPr>
          <w:p w14:paraId="66569C85" w14:textId="77777777" w:rsidR="00B5184C" w:rsidRPr="00B5184C" w:rsidRDefault="00B5184C" w:rsidP="00B5184C">
            <w:pPr>
              <w:rPr>
                <w:bCs/>
                <w:lang w:eastAsia="en-US"/>
              </w:rPr>
            </w:pPr>
          </w:p>
        </w:tc>
        <w:tc>
          <w:tcPr>
            <w:tcW w:w="2088" w:type="dxa"/>
            <w:gridSpan w:val="2"/>
            <w:vMerge/>
            <w:tcBorders>
              <w:top w:val="single" w:sz="4" w:space="0" w:color="auto"/>
              <w:left w:val="single" w:sz="4" w:space="0" w:color="auto"/>
              <w:bottom w:val="single" w:sz="4" w:space="0" w:color="auto"/>
              <w:right w:val="single" w:sz="4" w:space="0" w:color="auto"/>
            </w:tcBorders>
            <w:vAlign w:val="center"/>
            <w:hideMark/>
          </w:tcPr>
          <w:p w14:paraId="23BF99EC" w14:textId="77777777" w:rsidR="00B5184C" w:rsidRPr="00B5184C" w:rsidRDefault="00B5184C" w:rsidP="00B5184C">
            <w:pPr>
              <w:rPr>
                <w:bCs/>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80B307" w14:textId="4D8088CF" w:rsidR="00B5184C" w:rsidRPr="00B5184C" w:rsidRDefault="00B5184C" w:rsidP="00B5184C">
            <w:pPr>
              <w:jc w:val="center"/>
              <w:rPr>
                <w:bCs/>
                <w:lang w:eastAsia="en-US"/>
              </w:rPr>
            </w:pPr>
            <w:r>
              <w:rPr>
                <w:bCs/>
                <w:lang w:eastAsia="en-US"/>
              </w:rPr>
              <w:t>202</w:t>
            </w:r>
            <w:r w:rsidR="009D3CD1">
              <w:rPr>
                <w:bCs/>
                <w:lang w:eastAsia="en-US"/>
              </w:rPr>
              <w:t>1</w:t>
            </w:r>
            <w:r>
              <w:rPr>
                <w:bCs/>
                <w:lang w:eastAsia="en-US"/>
              </w:rPr>
              <w:t>.</w:t>
            </w: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60C12D" w14:textId="320F4BF4" w:rsidR="00B5184C" w:rsidRPr="00B5184C" w:rsidRDefault="00B5184C" w:rsidP="00B5184C">
            <w:pPr>
              <w:jc w:val="center"/>
              <w:rPr>
                <w:bCs/>
                <w:lang w:eastAsia="en-US"/>
              </w:rPr>
            </w:pPr>
            <w:r>
              <w:rPr>
                <w:bCs/>
                <w:lang w:eastAsia="en-US"/>
              </w:rPr>
              <w:t>202</w:t>
            </w:r>
            <w:r w:rsidR="009D3CD1">
              <w:rPr>
                <w:bCs/>
                <w:lang w:eastAsia="en-US"/>
              </w:rPr>
              <w:t>2</w:t>
            </w:r>
            <w:r>
              <w:rPr>
                <w:bCs/>
                <w:lang w:eastAsia="en-US"/>
              </w:rPr>
              <w:t>.</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DFA694" w14:textId="5F1B8642" w:rsidR="00B5184C" w:rsidRPr="00B5184C" w:rsidRDefault="00B5184C" w:rsidP="00B5184C">
            <w:pPr>
              <w:jc w:val="center"/>
              <w:rPr>
                <w:bCs/>
                <w:lang w:eastAsia="en-US"/>
              </w:rPr>
            </w:pPr>
            <w:r>
              <w:rPr>
                <w:bCs/>
                <w:lang w:eastAsia="en-US"/>
              </w:rPr>
              <w:t>202</w:t>
            </w:r>
            <w:r w:rsidR="009D3CD1">
              <w:rPr>
                <w:bCs/>
                <w:lang w:eastAsia="en-US"/>
              </w:rPr>
              <w:t>3</w:t>
            </w:r>
            <w:r>
              <w:rPr>
                <w:bCs/>
                <w:lang w:eastAsia="en-US"/>
              </w:rPr>
              <w:t>.</w:t>
            </w:r>
          </w:p>
        </w:tc>
      </w:tr>
      <w:tr w:rsidR="00B5184C" w:rsidRPr="00B5184C" w14:paraId="2E0DA92A" w14:textId="77777777" w:rsidTr="00582287">
        <w:trPr>
          <w:cantSplit/>
        </w:trPr>
        <w:tc>
          <w:tcPr>
            <w:tcW w:w="2162" w:type="dxa"/>
            <w:vMerge/>
            <w:tcBorders>
              <w:top w:val="single" w:sz="4" w:space="0" w:color="auto"/>
              <w:left w:val="single" w:sz="4" w:space="0" w:color="auto"/>
              <w:bottom w:val="single" w:sz="4" w:space="0" w:color="auto"/>
              <w:right w:val="single" w:sz="4" w:space="0" w:color="auto"/>
            </w:tcBorders>
            <w:vAlign w:val="center"/>
            <w:hideMark/>
          </w:tcPr>
          <w:p w14:paraId="336B96E2" w14:textId="77777777" w:rsidR="00B5184C" w:rsidRPr="00B5184C" w:rsidRDefault="00B5184C" w:rsidP="00B5184C">
            <w:pPr>
              <w:rPr>
                <w:bCs/>
                <w:lang w:eastAsia="en-US"/>
              </w:rPr>
            </w:pPr>
          </w:p>
        </w:tc>
        <w:tc>
          <w:tcPr>
            <w:tcW w:w="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882E00" w14:textId="77777777" w:rsidR="00B5184C" w:rsidRPr="00B5184C" w:rsidRDefault="00B5184C" w:rsidP="00B5184C">
            <w:pPr>
              <w:jc w:val="center"/>
              <w:rPr>
                <w:lang w:eastAsia="en-US"/>
              </w:rPr>
            </w:pPr>
            <w:r w:rsidRPr="00B5184C">
              <w:rPr>
                <w:lang w:eastAsia="en-US"/>
              </w:rPr>
              <w:t>saskaņā ar valsts budžetu kārtējam gadam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597DEF" w14:textId="77777777" w:rsidR="00B5184C" w:rsidRPr="00B5184C" w:rsidRDefault="00B5184C" w:rsidP="00B5184C">
            <w:pPr>
              <w:jc w:val="center"/>
              <w:rPr>
                <w:lang w:eastAsia="en-US"/>
              </w:rPr>
            </w:pPr>
            <w:r w:rsidRPr="00B5184C">
              <w:rPr>
                <w:lang w:eastAsia="en-US"/>
              </w:rPr>
              <w:t>izmaiņas kārtējā gadā, salīdzinot ar valsts budžetu kārtējam gadam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0FBB0" w14:textId="77777777" w:rsidR="00B5184C" w:rsidRPr="00B5184C" w:rsidRDefault="00B5184C" w:rsidP="00B5184C">
            <w:pPr>
              <w:jc w:val="center"/>
              <w:rPr>
                <w:lang w:eastAsia="en-US"/>
              </w:rPr>
            </w:pPr>
            <w:r w:rsidRPr="00B5184C">
              <w:rPr>
                <w:lang w:eastAsia="en-US"/>
              </w:rPr>
              <w:t>saskaņā ar vidēja termiņa budžeta ietvaru</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45BD0" w14:textId="50B523DC" w:rsidR="00B5184C" w:rsidRPr="00B5184C" w:rsidRDefault="00B5184C" w:rsidP="00B5184C">
            <w:pPr>
              <w:jc w:val="center"/>
              <w:rPr>
                <w:lang w:eastAsia="en-US"/>
              </w:rPr>
            </w:pPr>
            <w:r w:rsidRPr="00B5184C">
              <w:rPr>
                <w:lang w:eastAsia="en-US"/>
              </w:rPr>
              <w:t xml:space="preserve">izmaiņas, salīdzinot ar vidēja termiņa budžeta ietvaru </w:t>
            </w:r>
            <w:r>
              <w:rPr>
                <w:lang w:eastAsia="en-US"/>
              </w:rPr>
              <w:t>202</w:t>
            </w:r>
            <w:r w:rsidR="00037A30">
              <w:rPr>
                <w:lang w:eastAsia="en-US"/>
              </w:rPr>
              <w:t>1</w:t>
            </w:r>
            <w:r>
              <w:rPr>
                <w:lang w:eastAsia="en-US"/>
              </w:rPr>
              <w:t>.</w:t>
            </w:r>
            <w:r w:rsidRPr="00B5184C">
              <w:rPr>
                <w:lang w:eastAsia="en-US"/>
              </w:rPr>
              <w:t xml:space="preserve"> gadam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32256" w14:textId="77777777" w:rsidR="00B5184C" w:rsidRPr="00B5184C" w:rsidRDefault="00B5184C" w:rsidP="00B5184C">
            <w:pPr>
              <w:jc w:val="center"/>
              <w:rPr>
                <w:lang w:eastAsia="en-US"/>
              </w:rPr>
            </w:pPr>
            <w:r w:rsidRPr="00B5184C">
              <w:rPr>
                <w:lang w:eastAsia="en-US"/>
              </w:rPr>
              <w:t>saskaņā ar vidēja termiņa budžeta ietvaru</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892D1C" w14:textId="0003BA13" w:rsidR="00B5184C" w:rsidRPr="00B5184C" w:rsidRDefault="00B5184C" w:rsidP="00B5184C">
            <w:pPr>
              <w:jc w:val="center"/>
              <w:rPr>
                <w:lang w:eastAsia="en-US"/>
              </w:rPr>
            </w:pPr>
            <w:r w:rsidRPr="00B5184C">
              <w:rPr>
                <w:lang w:eastAsia="en-US"/>
              </w:rPr>
              <w:t xml:space="preserve">izmaiņas, salīdzinot ar vidēja termiņa budžeta ietvaru </w:t>
            </w:r>
            <w:r>
              <w:rPr>
                <w:lang w:eastAsia="en-US"/>
              </w:rPr>
              <w:t>202</w:t>
            </w:r>
            <w:r w:rsidR="00037A30">
              <w:rPr>
                <w:lang w:eastAsia="en-US"/>
              </w:rPr>
              <w:t>2</w:t>
            </w:r>
            <w:r>
              <w:rPr>
                <w:lang w:eastAsia="en-US"/>
              </w:rPr>
              <w:t>.</w:t>
            </w:r>
            <w:r w:rsidRPr="00B5184C">
              <w:rPr>
                <w:lang w:eastAsia="en-US"/>
              </w:rPr>
              <w:t xml:space="preserve"> gadam</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946C5A" w14:textId="45F975BC" w:rsidR="00B5184C" w:rsidRPr="00B5184C" w:rsidRDefault="00B5184C" w:rsidP="00B5184C">
            <w:pPr>
              <w:jc w:val="center"/>
              <w:rPr>
                <w:lang w:eastAsia="en-US"/>
              </w:rPr>
            </w:pPr>
            <w:r w:rsidRPr="00B5184C">
              <w:rPr>
                <w:lang w:eastAsia="en-US"/>
              </w:rPr>
              <w:t xml:space="preserve">izmaiņas, salīdzinot ar vidēja termiņa budžeta ietvaru </w:t>
            </w:r>
            <w:r w:rsidRPr="00B5184C">
              <w:rPr>
                <w:lang w:eastAsia="en-US"/>
              </w:rPr>
              <w:br/>
            </w:r>
            <w:r>
              <w:rPr>
                <w:lang w:eastAsia="en-US"/>
              </w:rPr>
              <w:t>202</w:t>
            </w:r>
            <w:r w:rsidR="00037A30">
              <w:rPr>
                <w:lang w:eastAsia="en-US"/>
              </w:rPr>
              <w:t>2</w:t>
            </w:r>
            <w:r>
              <w:rPr>
                <w:lang w:eastAsia="en-US"/>
              </w:rPr>
              <w:t>.</w:t>
            </w:r>
            <w:r w:rsidRPr="00B5184C">
              <w:rPr>
                <w:lang w:eastAsia="en-US"/>
              </w:rPr>
              <w:t xml:space="preserve"> gadam</w:t>
            </w:r>
          </w:p>
        </w:tc>
      </w:tr>
      <w:tr w:rsidR="00B5184C" w:rsidRPr="00B5184C" w14:paraId="449B98B8" w14:textId="77777777" w:rsidTr="00582287">
        <w:trPr>
          <w:cantSplit/>
        </w:trPr>
        <w:tc>
          <w:tcPr>
            <w:tcW w:w="2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1F7C62" w14:textId="77777777" w:rsidR="00B5184C" w:rsidRPr="00B5184C" w:rsidRDefault="00B5184C" w:rsidP="00B5184C">
            <w:pPr>
              <w:jc w:val="center"/>
              <w:rPr>
                <w:lang w:eastAsia="en-US"/>
              </w:rPr>
            </w:pPr>
            <w:r w:rsidRPr="00B5184C">
              <w:rPr>
                <w:lang w:eastAsia="en-US"/>
              </w:rPr>
              <w:t>1</w:t>
            </w:r>
          </w:p>
        </w:tc>
        <w:tc>
          <w:tcPr>
            <w:tcW w:w="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3AA6C" w14:textId="77777777" w:rsidR="00B5184C" w:rsidRPr="00B5184C" w:rsidRDefault="00B5184C" w:rsidP="00B5184C">
            <w:pPr>
              <w:jc w:val="center"/>
              <w:rPr>
                <w:lang w:eastAsia="en-US"/>
              </w:rPr>
            </w:pPr>
            <w:r w:rsidRPr="00B5184C">
              <w:rPr>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DDBD82" w14:textId="77777777" w:rsidR="00B5184C" w:rsidRPr="00B5184C" w:rsidRDefault="00B5184C" w:rsidP="00B5184C">
            <w:pPr>
              <w:jc w:val="center"/>
              <w:rPr>
                <w:lang w:eastAsia="en-US"/>
              </w:rPr>
            </w:pPr>
            <w:r w:rsidRPr="00B5184C">
              <w:rPr>
                <w:lang w:eastAsia="en-US"/>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BC20FB" w14:textId="77777777" w:rsidR="00B5184C" w:rsidRPr="00B5184C" w:rsidRDefault="00B5184C" w:rsidP="00B5184C">
            <w:pPr>
              <w:jc w:val="center"/>
              <w:rPr>
                <w:lang w:eastAsia="en-US"/>
              </w:rPr>
            </w:pPr>
            <w:r w:rsidRPr="00B5184C">
              <w:rPr>
                <w:lang w:eastAsia="en-US"/>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4A27A8" w14:textId="77777777" w:rsidR="00B5184C" w:rsidRPr="00B5184C" w:rsidRDefault="00B5184C" w:rsidP="00B5184C">
            <w:pPr>
              <w:jc w:val="center"/>
              <w:rPr>
                <w:lang w:eastAsia="en-US"/>
              </w:rPr>
            </w:pPr>
            <w:r w:rsidRPr="00B5184C">
              <w:rPr>
                <w:lang w:eastAsia="en-US"/>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03638" w14:textId="77777777" w:rsidR="00B5184C" w:rsidRPr="00B5184C" w:rsidRDefault="00B5184C" w:rsidP="00B5184C">
            <w:pPr>
              <w:jc w:val="center"/>
              <w:rPr>
                <w:lang w:eastAsia="en-US"/>
              </w:rPr>
            </w:pPr>
            <w:r w:rsidRPr="00B5184C">
              <w:rPr>
                <w:lang w:eastAsia="en-US"/>
              </w:rPr>
              <w:t>6</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8CC230" w14:textId="77777777" w:rsidR="00B5184C" w:rsidRPr="00B5184C" w:rsidRDefault="00B5184C" w:rsidP="00B5184C">
            <w:pPr>
              <w:jc w:val="center"/>
              <w:rPr>
                <w:lang w:eastAsia="en-US"/>
              </w:rPr>
            </w:pPr>
            <w:r w:rsidRPr="00B5184C">
              <w:rPr>
                <w:lang w:eastAsia="en-US"/>
              </w:rPr>
              <w:t>7</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0255A0" w14:textId="77777777" w:rsidR="00B5184C" w:rsidRPr="00B5184C" w:rsidRDefault="00B5184C" w:rsidP="00B5184C">
            <w:pPr>
              <w:jc w:val="center"/>
              <w:rPr>
                <w:lang w:eastAsia="en-US"/>
              </w:rPr>
            </w:pPr>
            <w:r w:rsidRPr="00B5184C">
              <w:rPr>
                <w:lang w:eastAsia="en-US"/>
              </w:rPr>
              <w:t>8</w:t>
            </w:r>
          </w:p>
        </w:tc>
      </w:tr>
      <w:tr w:rsidR="00B5184C" w:rsidRPr="00B5184C" w14:paraId="5300DAA1" w14:textId="77777777" w:rsidTr="00582287">
        <w:trPr>
          <w:cantSplit/>
        </w:trPr>
        <w:tc>
          <w:tcPr>
            <w:tcW w:w="2162" w:type="dxa"/>
            <w:tcBorders>
              <w:top w:val="single" w:sz="4" w:space="0" w:color="auto"/>
              <w:left w:val="single" w:sz="4" w:space="0" w:color="auto"/>
              <w:bottom w:val="single" w:sz="4" w:space="0" w:color="auto"/>
              <w:right w:val="single" w:sz="4" w:space="0" w:color="auto"/>
            </w:tcBorders>
            <w:shd w:val="clear" w:color="auto" w:fill="FFFFFF"/>
            <w:hideMark/>
          </w:tcPr>
          <w:p w14:paraId="203E95A9" w14:textId="77777777" w:rsidR="00B5184C" w:rsidRPr="00B5184C" w:rsidRDefault="00B5184C" w:rsidP="00B5184C">
            <w:pPr>
              <w:rPr>
                <w:lang w:eastAsia="en-US"/>
              </w:rPr>
            </w:pPr>
            <w:r w:rsidRPr="00B5184C">
              <w:rPr>
                <w:lang w:eastAsia="en-US"/>
              </w:rPr>
              <w:t>1. Budžeta ieņēmumi</w:t>
            </w:r>
          </w:p>
        </w:tc>
        <w:tc>
          <w:tcPr>
            <w:tcW w:w="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04937" w14:textId="3D2ECDA6"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058E22" w14:textId="47941C5E"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A8F4F" w14:textId="18110B6E"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C8A531" w14:textId="60F04729"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75F3F5" w14:textId="7CE6E5AE"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1CEFD1" w14:textId="410632BB"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2921C1" w14:textId="25D506C7" w:rsidR="00B5184C" w:rsidRPr="00B5184C" w:rsidRDefault="00B5184C" w:rsidP="00B5184C">
            <w:pPr>
              <w:rPr>
                <w:rFonts w:eastAsia="Calibri"/>
              </w:rPr>
            </w:pPr>
            <w:r>
              <w:rPr>
                <w:rFonts w:eastAsia="Calibri"/>
              </w:rPr>
              <w:t>0</w:t>
            </w:r>
          </w:p>
        </w:tc>
      </w:tr>
      <w:tr w:rsidR="00B5184C" w:rsidRPr="00B5184C" w14:paraId="580ACC0C"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62D03372" w14:textId="77777777" w:rsidR="00B5184C" w:rsidRPr="00B5184C" w:rsidRDefault="00B5184C" w:rsidP="00B5184C">
            <w:pPr>
              <w:rPr>
                <w:lang w:eastAsia="en-US"/>
              </w:rPr>
            </w:pPr>
            <w:r w:rsidRPr="00B5184C">
              <w:rPr>
                <w:lang w:eastAsia="en-US"/>
              </w:rPr>
              <w:t>1.1. valsts pamatbudžets, tai skaitā ieņēmumi no maksas pakalpojumiem un citi pašu ieņēmumi</w:t>
            </w:r>
          </w:p>
        </w:tc>
        <w:tc>
          <w:tcPr>
            <w:tcW w:w="954" w:type="dxa"/>
            <w:tcBorders>
              <w:top w:val="single" w:sz="4" w:space="0" w:color="auto"/>
              <w:left w:val="single" w:sz="4" w:space="0" w:color="auto"/>
              <w:bottom w:val="single" w:sz="4" w:space="0" w:color="auto"/>
              <w:right w:val="single" w:sz="4" w:space="0" w:color="auto"/>
            </w:tcBorders>
            <w:vAlign w:val="center"/>
            <w:hideMark/>
          </w:tcPr>
          <w:p w14:paraId="685277E6" w14:textId="7871C7C5"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CEAA71" w14:textId="4009DBB5"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6D7C82" w14:textId="553E946E"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4E3755" w14:textId="5CD12C75"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AD82E3" w14:textId="5FA35EF1"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A82EB20" w14:textId="197E269C"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2B82E7FE" w14:textId="179BE718" w:rsidR="00B5184C" w:rsidRPr="00B5184C" w:rsidRDefault="00B5184C" w:rsidP="00B5184C">
            <w:pPr>
              <w:rPr>
                <w:rFonts w:eastAsia="Calibri"/>
              </w:rPr>
            </w:pPr>
            <w:r>
              <w:rPr>
                <w:rFonts w:eastAsia="Calibri"/>
              </w:rPr>
              <w:t>0</w:t>
            </w:r>
          </w:p>
        </w:tc>
      </w:tr>
      <w:tr w:rsidR="00B5184C" w:rsidRPr="00B5184C" w14:paraId="274EA50D"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3142BADB" w14:textId="77777777" w:rsidR="00B5184C" w:rsidRPr="00B5184C" w:rsidRDefault="00B5184C" w:rsidP="00B5184C">
            <w:pPr>
              <w:rPr>
                <w:lang w:eastAsia="en-US"/>
              </w:rPr>
            </w:pPr>
            <w:r w:rsidRPr="00B5184C">
              <w:rPr>
                <w:lang w:eastAsia="en-US"/>
              </w:rPr>
              <w:t>1.2. valsts speciālais 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68073CDF" w14:textId="52FD54F1"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B724A1" w14:textId="5BB0777E"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052ABA" w14:textId="1BE503BA"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44ED52" w14:textId="3BCCC013"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515521" w14:textId="38F17A03"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03BB3E0" w14:textId="22E28827"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0D704689" w14:textId="678E0972" w:rsidR="00B5184C" w:rsidRPr="00B5184C" w:rsidRDefault="00B5184C" w:rsidP="00B5184C">
            <w:pPr>
              <w:rPr>
                <w:rFonts w:eastAsia="Calibri"/>
              </w:rPr>
            </w:pPr>
            <w:r>
              <w:rPr>
                <w:rFonts w:eastAsia="Calibri"/>
              </w:rPr>
              <w:t>0</w:t>
            </w:r>
          </w:p>
        </w:tc>
      </w:tr>
      <w:tr w:rsidR="00B5184C" w:rsidRPr="00B5184C" w14:paraId="6A3DB0C7"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0F1EBD2C" w14:textId="77777777" w:rsidR="00B5184C" w:rsidRPr="00B5184C" w:rsidRDefault="00B5184C" w:rsidP="00B5184C">
            <w:pPr>
              <w:rPr>
                <w:lang w:eastAsia="en-US"/>
              </w:rPr>
            </w:pPr>
            <w:r w:rsidRPr="00B5184C">
              <w:rPr>
                <w:lang w:eastAsia="en-US"/>
              </w:rPr>
              <w:t>1.3. pašvaldību 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294BF7AF" w14:textId="4F0D4CFB"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69BEFA" w14:textId="4C4F089B"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D064D3" w14:textId="0F0A10D5"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B8AAA1" w14:textId="10346BC9"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7689E6" w14:textId="4617BE88"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7952B3A" w14:textId="17F5504F"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20A80E6A" w14:textId="3916A591" w:rsidR="00B5184C" w:rsidRPr="00B5184C" w:rsidRDefault="00B5184C" w:rsidP="00B5184C">
            <w:pPr>
              <w:rPr>
                <w:rFonts w:eastAsia="Calibri"/>
              </w:rPr>
            </w:pPr>
            <w:r>
              <w:rPr>
                <w:rFonts w:eastAsia="Calibri"/>
              </w:rPr>
              <w:t>0</w:t>
            </w:r>
          </w:p>
        </w:tc>
      </w:tr>
      <w:tr w:rsidR="00B5184C" w:rsidRPr="00B5184C" w14:paraId="18539E9D"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5BB3ABF1" w14:textId="77777777" w:rsidR="00B5184C" w:rsidRPr="00B5184C" w:rsidRDefault="00B5184C" w:rsidP="00B5184C">
            <w:pPr>
              <w:rPr>
                <w:lang w:eastAsia="en-US"/>
              </w:rPr>
            </w:pPr>
            <w:r w:rsidRPr="00B5184C">
              <w:rPr>
                <w:lang w:eastAsia="en-US"/>
              </w:rPr>
              <w:t>2. Budžeta izdevumi</w:t>
            </w:r>
          </w:p>
        </w:tc>
        <w:tc>
          <w:tcPr>
            <w:tcW w:w="954" w:type="dxa"/>
            <w:tcBorders>
              <w:top w:val="single" w:sz="4" w:space="0" w:color="auto"/>
              <w:left w:val="single" w:sz="4" w:space="0" w:color="auto"/>
              <w:bottom w:val="single" w:sz="4" w:space="0" w:color="auto"/>
              <w:right w:val="single" w:sz="4" w:space="0" w:color="auto"/>
            </w:tcBorders>
            <w:vAlign w:val="center"/>
            <w:hideMark/>
          </w:tcPr>
          <w:p w14:paraId="16D81ABD" w14:textId="34DA6E5D"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86847F" w14:textId="3AC8B296"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95F30C" w14:textId="4078054D"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99F763" w14:textId="57702886"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B47DB0" w14:textId="04CF7673"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54691FF" w14:textId="25FFBE1F"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1F5B9AF0" w14:textId="5F2D6268" w:rsidR="00B5184C" w:rsidRPr="00B5184C" w:rsidRDefault="00B5184C" w:rsidP="00B5184C">
            <w:pPr>
              <w:rPr>
                <w:rFonts w:eastAsia="Calibri"/>
              </w:rPr>
            </w:pPr>
            <w:r>
              <w:rPr>
                <w:rFonts w:eastAsia="Calibri"/>
              </w:rPr>
              <w:t>0</w:t>
            </w:r>
          </w:p>
        </w:tc>
      </w:tr>
      <w:tr w:rsidR="00B5184C" w:rsidRPr="00B5184C" w14:paraId="6D17880B"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5AF8B411" w14:textId="77777777" w:rsidR="00B5184C" w:rsidRPr="00B5184C" w:rsidRDefault="00B5184C" w:rsidP="00B5184C">
            <w:pPr>
              <w:rPr>
                <w:lang w:eastAsia="en-US"/>
              </w:rPr>
            </w:pPr>
            <w:r w:rsidRPr="00B5184C">
              <w:rPr>
                <w:lang w:eastAsia="en-US"/>
              </w:rPr>
              <w:t>2.1. valsts pamatbudžets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1220D183" w14:textId="6B2523FE"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124032" w14:textId="0AE2BCEA"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357B15" w14:textId="37761761"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BFA1F4" w14:textId="486BAAD2"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B4F8DD" w14:textId="6585182C"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4BC0D5A" w14:textId="3DFD40AD"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4D591215" w14:textId="37A70DE1" w:rsidR="00B5184C" w:rsidRPr="00B5184C" w:rsidRDefault="00B5184C" w:rsidP="00B5184C">
            <w:pPr>
              <w:rPr>
                <w:rFonts w:eastAsia="Calibri"/>
              </w:rPr>
            </w:pPr>
            <w:r>
              <w:rPr>
                <w:rFonts w:eastAsia="Calibri"/>
              </w:rPr>
              <w:t>0</w:t>
            </w:r>
          </w:p>
        </w:tc>
      </w:tr>
      <w:tr w:rsidR="00B5184C" w:rsidRPr="00B5184C" w14:paraId="48233429"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3ACAF4B9" w14:textId="77777777" w:rsidR="00B5184C" w:rsidRPr="00B5184C" w:rsidRDefault="00B5184C" w:rsidP="00B5184C">
            <w:pPr>
              <w:rPr>
                <w:lang w:eastAsia="en-US"/>
              </w:rPr>
            </w:pPr>
            <w:r w:rsidRPr="00B5184C">
              <w:rPr>
                <w:lang w:eastAsia="en-US"/>
              </w:rPr>
              <w:t>2.2. valsts speciālais 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171B383F" w14:textId="1ECC5332"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4996F7" w14:textId="1FA07291"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313F8C" w14:textId="6957F080"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5FB214" w14:textId="6DB257CE"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3F8966" w14:textId="6DDF7CF5"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A86E99E" w14:textId="31C9BE69"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64BD2AE3" w14:textId="239AA248" w:rsidR="00B5184C" w:rsidRPr="00B5184C" w:rsidRDefault="00B5184C" w:rsidP="00B5184C">
            <w:pPr>
              <w:rPr>
                <w:rFonts w:eastAsia="Calibri"/>
              </w:rPr>
            </w:pPr>
            <w:r>
              <w:rPr>
                <w:rFonts w:eastAsia="Calibri"/>
              </w:rPr>
              <w:t>0</w:t>
            </w:r>
          </w:p>
        </w:tc>
      </w:tr>
      <w:tr w:rsidR="00B5184C" w:rsidRPr="00B5184C" w14:paraId="5CD414BE"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0994DFBD" w14:textId="77777777" w:rsidR="00B5184C" w:rsidRPr="00B5184C" w:rsidRDefault="00B5184C" w:rsidP="00B5184C">
            <w:pPr>
              <w:rPr>
                <w:lang w:eastAsia="en-US"/>
              </w:rPr>
            </w:pPr>
            <w:r w:rsidRPr="00B5184C">
              <w:rPr>
                <w:lang w:eastAsia="en-US"/>
              </w:rPr>
              <w:t>2.3. pašvaldību 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2F581D25" w14:textId="7E50595A"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62D2DB" w14:textId="6B80D08C"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40012A" w14:textId="47CD78A1"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79676D" w14:textId="30999660"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8178CC" w14:textId="0F2AAB35"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403E66C" w14:textId="72F6CAEC"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54ABC5E7" w14:textId="00D3A232" w:rsidR="00B5184C" w:rsidRPr="00B5184C" w:rsidRDefault="00B5184C" w:rsidP="00B5184C">
            <w:pPr>
              <w:rPr>
                <w:rFonts w:eastAsia="Calibri"/>
              </w:rPr>
            </w:pPr>
            <w:r>
              <w:rPr>
                <w:rFonts w:eastAsia="Calibri"/>
              </w:rPr>
              <w:t>0</w:t>
            </w:r>
          </w:p>
        </w:tc>
      </w:tr>
      <w:tr w:rsidR="00B5184C" w:rsidRPr="00B5184C" w14:paraId="12EA5973"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4F2CB775" w14:textId="77777777" w:rsidR="00B5184C" w:rsidRPr="00B5184C" w:rsidRDefault="00B5184C" w:rsidP="00B5184C">
            <w:pPr>
              <w:rPr>
                <w:lang w:eastAsia="en-US"/>
              </w:rPr>
            </w:pPr>
            <w:r w:rsidRPr="00B5184C">
              <w:rPr>
                <w:lang w:eastAsia="en-US"/>
              </w:rPr>
              <w:t>3. Finansiālā ietekme</w:t>
            </w:r>
          </w:p>
        </w:tc>
        <w:tc>
          <w:tcPr>
            <w:tcW w:w="954" w:type="dxa"/>
            <w:tcBorders>
              <w:top w:val="single" w:sz="4" w:space="0" w:color="auto"/>
              <w:left w:val="single" w:sz="4" w:space="0" w:color="auto"/>
              <w:bottom w:val="single" w:sz="4" w:space="0" w:color="auto"/>
              <w:right w:val="single" w:sz="4" w:space="0" w:color="auto"/>
            </w:tcBorders>
            <w:vAlign w:val="center"/>
            <w:hideMark/>
          </w:tcPr>
          <w:p w14:paraId="0186D5B4" w14:textId="5201FF5A"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C117D5" w14:textId="31ADF976"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BC1E20" w14:textId="7A47FA08"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DC6523" w14:textId="365000C3"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20D80E" w14:textId="363A1C6C"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20D5558" w14:textId="6E611E11"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348FFD04" w14:textId="1ECB7348" w:rsidR="00B5184C" w:rsidRPr="00B5184C" w:rsidRDefault="00B5184C" w:rsidP="00B5184C">
            <w:pPr>
              <w:rPr>
                <w:rFonts w:eastAsia="Calibri"/>
              </w:rPr>
            </w:pPr>
            <w:r>
              <w:rPr>
                <w:rFonts w:eastAsia="Calibri"/>
              </w:rPr>
              <w:t>0</w:t>
            </w:r>
          </w:p>
        </w:tc>
      </w:tr>
      <w:tr w:rsidR="00B5184C" w:rsidRPr="00B5184C" w14:paraId="24A50B88"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43763FD5" w14:textId="77777777" w:rsidR="00B5184C" w:rsidRPr="00B5184C" w:rsidRDefault="00B5184C" w:rsidP="00B5184C">
            <w:pPr>
              <w:rPr>
                <w:lang w:eastAsia="en-US"/>
              </w:rPr>
            </w:pPr>
            <w:r w:rsidRPr="00B5184C">
              <w:rPr>
                <w:lang w:eastAsia="en-US"/>
              </w:rPr>
              <w:t>3.1. valsts pamatbudžets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2A7BAAEB" w14:textId="7E12436E"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58B95C" w14:textId="1DB1CE98"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CBDCE9" w14:textId="494F6BF8"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E68BFF" w14:textId="06EDDF44"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9575B3" w14:textId="6E9AE2D5"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DD1397C" w14:textId="46FCE8E2"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1E971248" w14:textId="6F7F0854" w:rsidR="00B5184C" w:rsidRPr="00B5184C" w:rsidRDefault="00B5184C" w:rsidP="00B5184C">
            <w:pPr>
              <w:rPr>
                <w:rFonts w:eastAsia="Calibri"/>
              </w:rPr>
            </w:pPr>
            <w:r>
              <w:rPr>
                <w:rFonts w:eastAsia="Calibri"/>
              </w:rPr>
              <w:t>0</w:t>
            </w:r>
          </w:p>
        </w:tc>
      </w:tr>
      <w:tr w:rsidR="00B5184C" w:rsidRPr="00B5184C" w14:paraId="7AC93FCB"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6AB81CCC" w14:textId="77777777" w:rsidR="00B5184C" w:rsidRPr="00B5184C" w:rsidRDefault="00B5184C" w:rsidP="00B5184C">
            <w:pPr>
              <w:rPr>
                <w:lang w:eastAsia="en-US"/>
              </w:rPr>
            </w:pPr>
            <w:r w:rsidRPr="00B5184C">
              <w:rPr>
                <w:lang w:eastAsia="en-US"/>
              </w:rPr>
              <w:t>3.2. speciālais 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3435A762" w14:textId="776F83BC"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633C50" w14:textId="0C1DC201"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0D7725" w14:textId="6CA859D5"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A0951F" w14:textId="118B266F"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856F18" w14:textId="224E3316"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03EBB3" w14:textId="2D0AA6C3"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707605CB" w14:textId="0CAC6388" w:rsidR="00B5184C" w:rsidRPr="00B5184C" w:rsidRDefault="00B5184C" w:rsidP="00B5184C">
            <w:pPr>
              <w:rPr>
                <w:rFonts w:eastAsia="Calibri"/>
              </w:rPr>
            </w:pPr>
            <w:r>
              <w:rPr>
                <w:rFonts w:eastAsia="Calibri"/>
              </w:rPr>
              <w:t>0</w:t>
            </w:r>
          </w:p>
        </w:tc>
      </w:tr>
      <w:tr w:rsidR="00B5184C" w:rsidRPr="00B5184C" w14:paraId="4AF0237C"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15A1431D" w14:textId="77777777" w:rsidR="00B5184C" w:rsidRPr="00B5184C" w:rsidRDefault="00B5184C" w:rsidP="00B5184C">
            <w:pPr>
              <w:rPr>
                <w:lang w:eastAsia="en-US"/>
              </w:rPr>
            </w:pPr>
            <w:r w:rsidRPr="00B5184C">
              <w:rPr>
                <w:lang w:eastAsia="en-US"/>
              </w:rPr>
              <w:t>3.3. pašvaldību 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66986675" w14:textId="4C72FFF8"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9F75CF" w14:textId="72D2A355"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778834" w14:textId="15D0F6B5"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B0EC10" w14:textId="0C9536ED"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5CEBFF" w14:textId="5368EC47"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0D6425F" w14:textId="7B3D32E3"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76BCFAD8" w14:textId="75D61929" w:rsidR="00B5184C" w:rsidRPr="00B5184C" w:rsidRDefault="00B5184C" w:rsidP="00B5184C">
            <w:pPr>
              <w:rPr>
                <w:rFonts w:eastAsia="Calibri"/>
              </w:rPr>
            </w:pPr>
            <w:r>
              <w:rPr>
                <w:rFonts w:eastAsia="Calibri"/>
              </w:rPr>
              <w:t>0</w:t>
            </w:r>
          </w:p>
        </w:tc>
      </w:tr>
      <w:tr w:rsidR="00B5184C" w:rsidRPr="00B5184C" w14:paraId="1FACC531"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798E1EFD" w14:textId="77777777" w:rsidR="00B5184C" w:rsidRPr="00B5184C" w:rsidRDefault="00B5184C" w:rsidP="00B5184C">
            <w:pPr>
              <w:rPr>
                <w:lang w:eastAsia="en-US"/>
              </w:rPr>
            </w:pPr>
            <w:r w:rsidRPr="00B5184C">
              <w:rPr>
                <w:lang w:eastAsia="en-US"/>
              </w:rPr>
              <w:t>4. Finanšu līdzekļi papildu izdevumu finansēšanai (kompensējošu izdevumu samazinājumu norāda ar "+" zīmi)</w:t>
            </w:r>
          </w:p>
        </w:tc>
        <w:tc>
          <w:tcPr>
            <w:tcW w:w="954" w:type="dxa"/>
            <w:tcBorders>
              <w:top w:val="single" w:sz="4" w:space="0" w:color="auto"/>
              <w:left w:val="single" w:sz="4" w:space="0" w:color="auto"/>
              <w:bottom w:val="single" w:sz="4" w:space="0" w:color="auto"/>
              <w:right w:val="single" w:sz="4" w:space="0" w:color="auto"/>
            </w:tcBorders>
            <w:vAlign w:val="center"/>
            <w:hideMark/>
          </w:tcPr>
          <w:p w14:paraId="5C47D309" w14:textId="05BD16B6" w:rsidR="00B5184C" w:rsidRPr="00B5184C" w:rsidRDefault="00B5184C" w:rsidP="00B5184C">
            <w:pP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7D550" w14:textId="421CE77C" w:rsidR="00B5184C" w:rsidRPr="00B5184C" w:rsidRDefault="00B5184C" w:rsidP="00B5184C">
            <w:pPr>
              <w:rPr>
                <w:rFonts w:eastAsia="Calibri"/>
              </w:rPr>
            </w:pPr>
            <w:r>
              <w:rPr>
                <w:rFonts w:eastAsia="Calibri"/>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3F3E1E" w14:textId="69E94FB2" w:rsidR="00B5184C" w:rsidRPr="00B5184C" w:rsidRDefault="00B5184C" w:rsidP="00B5184C">
            <w:pPr>
              <w:rPr>
                <w:rFonts w:eastAsia="Calibri"/>
              </w:rPr>
            </w:pPr>
            <w:r>
              <w:rPr>
                <w:rFonts w:eastAsia="Calibr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3EFFDA" w14:textId="36A33CBA" w:rsidR="00B5184C" w:rsidRPr="00B5184C" w:rsidRDefault="00B5184C" w:rsidP="00B5184C">
            <w:pPr>
              <w:rPr>
                <w:rFonts w:eastAsia="Calibri"/>
              </w:rPr>
            </w:pPr>
            <w:r>
              <w:rPr>
                <w:rFonts w:eastAsia="Calibri"/>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EA513F" w14:textId="2F5D75FA" w:rsidR="00B5184C" w:rsidRPr="00B5184C" w:rsidRDefault="00B5184C" w:rsidP="00B5184C">
            <w:pPr>
              <w:rPr>
                <w:rFonts w:eastAsia="Calibri"/>
              </w:rPr>
            </w:pPr>
            <w:r>
              <w:rPr>
                <w:rFonts w:eastAsia="Calibri"/>
              </w:rPr>
              <w:t>-</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E3BABE2" w14:textId="2F83B975" w:rsidR="00B5184C" w:rsidRPr="00B5184C" w:rsidRDefault="00B5184C" w:rsidP="00B5184C">
            <w:pPr>
              <w:rPr>
                <w:rFonts w:eastAsia="Calibri"/>
              </w:rPr>
            </w:pPr>
            <w:r>
              <w:rPr>
                <w:rFonts w:eastAsia="Calibri"/>
              </w:rPr>
              <w:t>-</w:t>
            </w:r>
          </w:p>
        </w:tc>
        <w:tc>
          <w:tcPr>
            <w:tcW w:w="995" w:type="dxa"/>
            <w:tcBorders>
              <w:top w:val="single" w:sz="4" w:space="0" w:color="auto"/>
              <w:left w:val="single" w:sz="4" w:space="0" w:color="auto"/>
              <w:bottom w:val="single" w:sz="4" w:space="0" w:color="auto"/>
              <w:right w:val="single" w:sz="4" w:space="0" w:color="auto"/>
            </w:tcBorders>
            <w:vAlign w:val="center"/>
            <w:hideMark/>
          </w:tcPr>
          <w:p w14:paraId="023E00AE" w14:textId="6B6E9BD6" w:rsidR="00B5184C" w:rsidRPr="00B5184C" w:rsidRDefault="00B5184C" w:rsidP="00B5184C">
            <w:pPr>
              <w:rPr>
                <w:rFonts w:eastAsia="Calibri"/>
              </w:rPr>
            </w:pPr>
            <w:r>
              <w:rPr>
                <w:rFonts w:eastAsia="Calibri"/>
              </w:rPr>
              <w:t>-</w:t>
            </w:r>
          </w:p>
        </w:tc>
      </w:tr>
      <w:tr w:rsidR="00B5184C" w:rsidRPr="00B5184C" w14:paraId="2FA71E5F"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4215A233" w14:textId="77777777" w:rsidR="00B5184C" w:rsidRPr="00B5184C" w:rsidRDefault="00B5184C" w:rsidP="00B5184C">
            <w:pPr>
              <w:rPr>
                <w:lang w:eastAsia="en-US"/>
              </w:rPr>
            </w:pPr>
            <w:r w:rsidRPr="00B5184C">
              <w:rPr>
                <w:lang w:eastAsia="en-US"/>
              </w:rPr>
              <w:t>5. Precizēta finansiālā ietekme</w:t>
            </w:r>
          </w:p>
        </w:tc>
        <w:tc>
          <w:tcPr>
            <w:tcW w:w="954" w:type="dxa"/>
            <w:vMerge w:val="restart"/>
            <w:tcBorders>
              <w:top w:val="single" w:sz="4" w:space="0" w:color="auto"/>
              <w:left w:val="single" w:sz="4" w:space="0" w:color="auto"/>
              <w:bottom w:val="single" w:sz="4" w:space="0" w:color="auto"/>
              <w:right w:val="single" w:sz="4" w:space="0" w:color="auto"/>
            </w:tcBorders>
            <w:vAlign w:val="center"/>
            <w:hideMark/>
          </w:tcPr>
          <w:p w14:paraId="52FC4E40" w14:textId="508E2A8E" w:rsidR="00B5184C" w:rsidRPr="00B5184C" w:rsidRDefault="00B5184C" w:rsidP="00B5184C">
            <w:pP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52D148" w14:textId="15C19377" w:rsidR="00B5184C" w:rsidRPr="00B5184C" w:rsidRDefault="00B5184C" w:rsidP="00B5184C">
            <w:pPr>
              <w:rPr>
                <w:rFonts w:eastAsia="Calibri"/>
              </w:rPr>
            </w:pPr>
            <w:r>
              <w:rPr>
                <w:rFonts w:eastAsia="Calibri"/>
              </w:rPr>
              <w:t>-</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8337D70" w14:textId="6178C90B" w:rsidR="00B5184C" w:rsidRPr="00B5184C" w:rsidRDefault="00B5184C" w:rsidP="00B5184C">
            <w:pPr>
              <w:rPr>
                <w:rFonts w:eastAsia="Calibri"/>
              </w:rPr>
            </w:pPr>
            <w:r>
              <w:rPr>
                <w:rFonts w:eastAsia="Calibri"/>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601A11" w14:textId="5410D0CD" w:rsidR="00B5184C" w:rsidRPr="00B5184C" w:rsidRDefault="00B5184C" w:rsidP="00B5184C">
            <w:pPr>
              <w:rPr>
                <w:rFonts w:eastAsia="Calibri"/>
              </w:rPr>
            </w:pPr>
            <w:r>
              <w:rPr>
                <w:rFonts w:eastAsia="Calibri"/>
              </w:rPr>
              <w:t>-</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3D4B29F" w14:textId="44924876" w:rsidR="00B5184C" w:rsidRPr="00B5184C" w:rsidRDefault="00B5184C" w:rsidP="00B5184C">
            <w:pPr>
              <w:rPr>
                <w:rFonts w:eastAsia="Calibri"/>
              </w:rPr>
            </w:pPr>
            <w:r>
              <w:rPr>
                <w:rFonts w:eastAsia="Calibri"/>
              </w:rPr>
              <w:t>-</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1D583A9" w14:textId="0CA293B8" w:rsidR="00B5184C" w:rsidRPr="00B5184C" w:rsidRDefault="00B5184C" w:rsidP="00B5184C">
            <w:pPr>
              <w:rPr>
                <w:rFonts w:eastAsia="Calibri"/>
              </w:rPr>
            </w:pPr>
            <w:r>
              <w:rPr>
                <w:rFonts w:eastAsia="Calibri"/>
              </w:rPr>
              <w:t>-</w:t>
            </w:r>
          </w:p>
        </w:tc>
        <w:tc>
          <w:tcPr>
            <w:tcW w:w="995" w:type="dxa"/>
            <w:tcBorders>
              <w:top w:val="single" w:sz="4" w:space="0" w:color="auto"/>
              <w:left w:val="single" w:sz="4" w:space="0" w:color="auto"/>
              <w:bottom w:val="single" w:sz="4" w:space="0" w:color="auto"/>
              <w:right w:val="single" w:sz="4" w:space="0" w:color="auto"/>
            </w:tcBorders>
            <w:vAlign w:val="center"/>
            <w:hideMark/>
          </w:tcPr>
          <w:p w14:paraId="3728B4A6" w14:textId="5513BF73" w:rsidR="00B5184C" w:rsidRPr="00B5184C" w:rsidRDefault="00B5184C" w:rsidP="00B5184C">
            <w:pPr>
              <w:rPr>
                <w:rFonts w:eastAsia="Calibri"/>
              </w:rPr>
            </w:pPr>
            <w:r>
              <w:rPr>
                <w:rFonts w:eastAsia="Calibri"/>
              </w:rPr>
              <w:t>-</w:t>
            </w:r>
          </w:p>
        </w:tc>
      </w:tr>
      <w:tr w:rsidR="00B5184C" w:rsidRPr="00B5184C" w14:paraId="2656ECB1"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3944E2BA" w14:textId="77777777" w:rsidR="00B5184C" w:rsidRPr="00B5184C" w:rsidRDefault="00B5184C" w:rsidP="00B5184C">
            <w:pPr>
              <w:rPr>
                <w:lang w:eastAsia="en-US"/>
              </w:rPr>
            </w:pPr>
            <w:r w:rsidRPr="00B5184C">
              <w:rPr>
                <w:lang w:eastAsia="en-US"/>
              </w:rPr>
              <w:t>5.1. valsts pamatbudžets</w:t>
            </w: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22BAC699" w14:textId="77777777" w:rsidR="00B5184C" w:rsidRPr="00B5184C" w:rsidRDefault="00B5184C" w:rsidP="00B5184C">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261AAEE" w14:textId="431DDF26" w:rsidR="00B5184C" w:rsidRPr="00B5184C" w:rsidRDefault="00B5184C" w:rsidP="00B5184C">
            <w:pPr>
              <w:rPr>
                <w:lang w:eastAsia="en-US"/>
              </w:rPr>
            </w:pPr>
            <w:r>
              <w:rPr>
                <w:lang w:eastAsia="en-US"/>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7E75403" w14:textId="77777777" w:rsidR="00B5184C" w:rsidRPr="00B5184C" w:rsidRDefault="00B5184C" w:rsidP="00B5184C">
            <w:pPr>
              <w:rPr>
                <w:rFonts w:eastAsia="Calibr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08ED220" w14:textId="0C7EA730" w:rsidR="00B5184C" w:rsidRPr="00B5184C" w:rsidRDefault="00B5184C" w:rsidP="00B5184C">
            <w:pPr>
              <w:rPr>
                <w:rFonts w:eastAsia="Calibri"/>
              </w:rPr>
            </w:pPr>
            <w:r>
              <w:rPr>
                <w:rFonts w:eastAsia="Calibri"/>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2200A11" w14:textId="77777777" w:rsidR="00B5184C" w:rsidRPr="00B5184C" w:rsidRDefault="00B5184C" w:rsidP="00B5184C">
            <w:pPr>
              <w:rPr>
                <w:rFonts w:eastAsia="Calibri"/>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122EEC25" w14:textId="15C04CA2" w:rsidR="00B5184C" w:rsidRPr="00B5184C" w:rsidRDefault="00B5184C" w:rsidP="00B5184C">
            <w:pPr>
              <w:rPr>
                <w:rFonts w:eastAsia="Calibri"/>
              </w:rPr>
            </w:pPr>
            <w:r>
              <w:rPr>
                <w:rFonts w:eastAsia="Calibri"/>
              </w:rPr>
              <w:t>-</w:t>
            </w:r>
          </w:p>
        </w:tc>
        <w:tc>
          <w:tcPr>
            <w:tcW w:w="995" w:type="dxa"/>
            <w:tcBorders>
              <w:top w:val="single" w:sz="4" w:space="0" w:color="auto"/>
              <w:left w:val="single" w:sz="4" w:space="0" w:color="auto"/>
              <w:bottom w:val="single" w:sz="4" w:space="0" w:color="auto"/>
              <w:right w:val="single" w:sz="4" w:space="0" w:color="auto"/>
            </w:tcBorders>
            <w:vAlign w:val="center"/>
            <w:hideMark/>
          </w:tcPr>
          <w:p w14:paraId="2D26033C" w14:textId="4E608F4F" w:rsidR="00B5184C" w:rsidRPr="00B5184C" w:rsidRDefault="00B5184C" w:rsidP="00B5184C">
            <w:pPr>
              <w:rPr>
                <w:rFonts w:eastAsia="Calibri"/>
              </w:rPr>
            </w:pPr>
            <w:r>
              <w:rPr>
                <w:rFonts w:eastAsia="Calibri"/>
              </w:rPr>
              <w:t>-</w:t>
            </w:r>
          </w:p>
        </w:tc>
      </w:tr>
      <w:tr w:rsidR="00B5184C" w:rsidRPr="00B5184C" w14:paraId="6E892CAB"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6FC2F83F" w14:textId="77777777" w:rsidR="00B5184C" w:rsidRPr="00B5184C" w:rsidRDefault="00B5184C" w:rsidP="00B5184C">
            <w:pPr>
              <w:rPr>
                <w:lang w:eastAsia="en-US"/>
              </w:rPr>
            </w:pPr>
            <w:r w:rsidRPr="00B5184C">
              <w:rPr>
                <w:lang w:eastAsia="en-US"/>
              </w:rPr>
              <w:t>5.2. speciālais budžets</w:t>
            </w: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25BA80B3" w14:textId="77777777" w:rsidR="00B5184C" w:rsidRPr="00B5184C" w:rsidRDefault="00B5184C" w:rsidP="00B5184C">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E81795" w14:textId="2B70E7B8" w:rsidR="00B5184C" w:rsidRPr="00B5184C" w:rsidRDefault="00B5184C" w:rsidP="00B5184C">
            <w:pPr>
              <w:rPr>
                <w:lang w:eastAsia="en-US"/>
              </w:rPr>
            </w:pPr>
            <w:r>
              <w:rPr>
                <w:lang w:eastAsia="en-US"/>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8DDB70D" w14:textId="77777777" w:rsidR="00B5184C" w:rsidRPr="00B5184C" w:rsidRDefault="00B5184C" w:rsidP="00B5184C">
            <w:pPr>
              <w:rPr>
                <w:rFonts w:eastAsia="Calibr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CC43461" w14:textId="4D432998" w:rsidR="00B5184C" w:rsidRPr="00B5184C" w:rsidRDefault="00B5184C" w:rsidP="00B5184C">
            <w:pPr>
              <w:rPr>
                <w:rFonts w:eastAsia="Calibri"/>
              </w:rPr>
            </w:pPr>
            <w:r>
              <w:rPr>
                <w:rFonts w:eastAsia="Calibri"/>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1A5217" w14:textId="77777777" w:rsidR="00B5184C" w:rsidRPr="00B5184C" w:rsidRDefault="00B5184C" w:rsidP="00B5184C">
            <w:pPr>
              <w:rPr>
                <w:rFonts w:eastAsia="Calibri"/>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02CC28EE" w14:textId="342C2CA8" w:rsidR="00B5184C" w:rsidRPr="00B5184C" w:rsidRDefault="00B5184C" w:rsidP="00B5184C">
            <w:pPr>
              <w:rPr>
                <w:rFonts w:eastAsia="Calibri"/>
              </w:rPr>
            </w:pPr>
            <w:r>
              <w:rPr>
                <w:rFonts w:eastAsia="Calibri"/>
              </w:rPr>
              <w:t>-</w:t>
            </w:r>
          </w:p>
        </w:tc>
        <w:tc>
          <w:tcPr>
            <w:tcW w:w="995" w:type="dxa"/>
            <w:tcBorders>
              <w:top w:val="single" w:sz="4" w:space="0" w:color="auto"/>
              <w:left w:val="single" w:sz="4" w:space="0" w:color="auto"/>
              <w:bottom w:val="single" w:sz="4" w:space="0" w:color="auto"/>
              <w:right w:val="single" w:sz="4" w:space="0" w:color="auto"/>
            </w:tcBorders>
            <w:vAlign w:val="center"/>
            <w:hideMark/>
          </w:tcPr>
          <w:p w14:paraId="6D4AED94" w14:textId="24C19298" w:rsidR="00B5184C" w:rsidRPr="00B5184C" w:rsidRDefault="00B5184C" w:rsidP="00B5184C">
            <w:pPr>
              <w:rPr>
                <w:rFonts w:eastAsia="Calibri"/>
              </w:rPr>
            </w:pPr>
            <w:r>
              <w:rPr>
                <w:rFonts w:eastAsia="Calibri"/>
              </w:rPr>
              <w:t>-</w:t>
            </w:r>
          </w:p>
        </w:tc>
      </w:tr>
      <w:tr w:rsidR="00B5184C" w:rsidRPr="00B5184C" w14:paraId="06AE7199"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1F838E3D" w14:textId="77777777" w:rsidR="00B5184C" w:rsidRPr="00B5184C" w:rsidRDefault="00B5184C" w:rsidP="00B5184C">
            <w:pPr>
              <w:rPr>
                <w:lang w:eastAsia="en-US"/>
              </w:rPr>
            </w:pPr>
            <w:r w:rsidRPr="00B5184C">
              <w:rPr>
                <w:lang w:eastAsia="en-US"/>
              </w:rPr>
              <w:t>5.3. pašvaldību budžets</w:t>
            </w: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14F48637" w14:textId="77777777" w:rsidR="00B5184C" w:rsidRPr="00B5184C" w:rsidRDefault="00B5184C" w:rsidP="00B5184C">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3CDAD79" w14:textId="45572B71" w:rsidR="00B5184C" w:rsidRPr="00B5184C" w:rsidRDefault="00B5184C" w:rsidP="00B5184C">
            <w:pPr>
              <w:rPr>
                <w:lang w:eastAsia="en-US"/>
              </w:rPr>
            </w:pPr>
            <w:r>
              <w:rPr>
                <w:lang w:eastAsia="en-US"/>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84A4FF" w14:textId="77777777" w:rsidR="00B5184C" w:rsidRPr="00B5184C" w:rsidRDefault="00B5184C" w:rsidP="00B5184C">
            <w:pPr>
              <w:rPr>
                <w:rFonts w:eastAsia="Calibr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FBA7A4A" w14:textId="19F49BF2" w:rsidR="00B5184C" w:rsidRPr="00B5184C" w:rsidRDefault="00B5184C" w:rsidP="00B5184C">
            <w:pPr>
              <w:rPr>
                <w:rFonts w:eastAsia="Calibri"/>
              </w:rPr>
            </w:pPr>
            <w:r>
              <w:rPr>
                <w:rFonts w:eastAsia="Calibri"/>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FF256CD" w14:textId="77777777" w:rsidR="00B5184C" w:rsidRPr="00B5184C" w:rsidRDefault="00B5184C" w:rsidP="00B5184C">
            <w:pPr>
              <w:rPr>
                <w:rFonts w:eastAsia="Calibri"/>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6EF8E24B" w14:textId="005E211B" w:rsidR="00B5184C" w:rsidRPr="00B5184C" w:rsidRDefault="00B5184C" w:rsidP="00B5184C">
            <w:pPr>
              <w:rPr>
                <w:rFonts w:eastAsia="Calibri"/>
              </w:rPr>
            </w:pPr>
            <w:r>
              <w:rPr>
                <w:rFonts w:eastAsia="Calibri"/>
              </w:rPr>
              <w:t>-</w:t>
            </w:r>
          </w:p>
        </w:tc>
        <w:tc>
          <w:tcPr>
            <w:tcW w:w="995" w:type="dxa"/>
            <w:tcBorders>
              <w:top w:val="single" w:sz="4" w:space="0" w:color="auto"/>
              <w:left w:val="single" w:sz="4" w:space="0" w:color="auto"/>
              <w:bottom w:val="single" w:sz="4" w:space="0" w:color="auto"/>
              <w:right w:val="single" w:sz="4" w:space="0" w:color="auto"/>
            </w:tcBorders>
            <w:vAlign w:val="center"/>
            <w:hideMark/>
          </w:tcPr>
          <w:p w14:paraId="5D0E3FB2" w14:textId="7327F611" w:rsidR="00B5184C" w:rsidRPr="00B5184C" w:rsidRDefault="00B5184C" w:rsidP="00B5184C">
            <w:pPr>
              <w:rPr>
                <w:rFonts w:eastAsia="Calibri"/>
              </w:rPr>
            </w:pPr>
            <w:r>
              <w:rPr>
                <w:rFonts w:eastAsia="Calibri"/>
              </w:rPr>
              <w:t>-</w:t>
            </w:r>
          </w:p>
        </w:tc>
      </w:tr>
      <w:tr w:rsidR="00B5184C" w:rsidRPr="00B5184C" w14:paraId="1F86E918"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6D48BD91" w14:textId="77777777" w:rsidR="00B5184C" w:rsidRPr="00B5184C" w:rsidRDefault="00B5184C" w:rsidP="00B5184C">
            <w:pPr>
              <w:rPr>
                <w:lang w:eastAsia="en-US"/>
              </w:rPr>
            </w:pPr>
            <w:r w:rsidRPr="00B5184C">
              <w:rPr>
                <w:lang w:eastAsia="en-US"/>
              </w:rPr>
              <w:t>6. Detalizēts ieņēmumu un izdevumu aprēķins (ja nepieciešams, detalizētu ieņēmumu un izdevumu aprēķinu var pievienot anotācijas pielikumā)</w:t>
            </w:r>
          </w:p>
        </w:tc>
        <w:tc>
          <w:tcPr>
            <w:tcW w:w="6899"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1A9D4C5A" w14:textId="53901BC6" w:rsidR="00B5184C" w:rsidRPr="00B5184C" w:rsidRDefault="00B5184C" w:rsidP="00B5184C">
            <w:pPr>
              <w:rPr>
                <w:lang w:eastAsia="en-US"/>
              </w:rPr>
            </w:pPr>
            <w:r>
              <w:rPr>
                <w:lang w:eastAsia="en-US"/>
              </w:rPr>
              <w:t>-</w:t>
            </w:r>
          </w:p>
        </w:tc>
      </w:tr>
      <w:tr w:rsidR="00B5184C" w:rsidRPr="00B5184C" w14:paraId="14A686BB"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15A913BD" w14:textId="77777777" w:rsidR="00B5184C" w:rsidRPr="00B5184C" w:rsidRDefault="00B5184C" w:rsidP="00B5184C">
            <w:pPr>
              <w:rPr>
                <w:lang w:eastAsia="en-US"/>
              </w:rPr>
            </w:pPr>
            <w:r w:rsidRPr="00B5184C">
              <w:rPr>
                <w:lang w:eastAsia="en-US"/>
              </w:rPr>
              <w:t>6.1. detalizēts ieņēmumu aprēķins</w:t>
            </w:r>
          </w:p>
        </w:tc>
        <w:tc>
          <w:tcPr>
            <w:tcW w:w="6899" w:type="dxa"/>
            <w:gridSpan w:val="7"/>
            <w:vMerge/>
            <w:tcBorders>
              <w:top w:val="single" w:sz="4" w:space="0" w:color="auto"/>
              <w:left w:val="single" w:sz="4" w:space="0" w:color="auto"/>
              <w:bottom w:val="single" w:sz="4" w:space="0" w:color="auto"/>
              <w:right w:val="single" w:sz="4" w:space="0" w:color="auto"/>
            </w:tcBorders>
            <w:vAlign w:val="center"/>
            <w:hideMark/>
          </w:tcPr>
          <w:p w14:paraId="12670138" w14:textId="77777777" w:rsidR="00B5184C" w:rsidRPr="00B5184C" w:rsidRDefault="00B5184C" w:rsidP="00B5184C">
            <w:pPr>
              <w:rPr>
                <w:lang w:eastAsia="en-US"/>
              </w:rPr>
            </w:pPr>
          </w:p>
        </w:tc>
      </w:tr>
      <w:tr w:rsidR="00B5184C" w:rsidRPr="00B5184C" w14:paraId="7E067429"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538B6F0D" w14:textId="77777777" w:rsidR="00B5184C" w:rsidRPr="00B5184C" w:rsidRDefault="00B5184C" w:rsidP="00B5184C">
            <w:pPr>
              <w:rPr>
                <w:lang w:eastAsia="en-US"/>
              </w:rPr>
            </w:pPr>
            <w:r w:rsidRPr="00B5184C">
              <w:rPr>
                <w:lang w:eastAsia="en-US"/>
              </w:rPr>
              <w:t>6.2. detalizēts izdevumu aprēķins</w:t>
            </w:r>
          </w:p>
        </w:tc>
        <w:tc>
          <w:tcPr>
            <w:tcW w:w="6899" w:type="dxa"/>
            <w:gridSpan w:val="7"/>
            <w:vMerge/>
            <w:tcBorders>
              <w:top w:val="single" w:sz="4" w:space="0" w:color="auto"/>
              <w:left w:val="single" w:sz="4" w:space="0" w:color="auto"/>
              <w:bottom w:val="single" w:sz="4" w:space="0" w:color="auto"/>
              <w:right w:val="single" w:sz="4" w:space="0" w:color="auto"/>
            </w:tcBorders>
            <w:vAlign w:val="center"/>
            <w:hideMark/>
          </w:tcPr>
          <w:p w14:paraId="27302BA1" w14:textId="77777777" w:rsidR="00B5184C" w:rsidRPr="00B5184C" w:rsidRDefault="00B5184C" w:rsidP="00B5184C">
            <w:pPr>
              <w:rPr>
                <w:lang w:eastAsia="en-US"/>
              </w:rPr>
            </w:pPr>
          </w:p>
        </w:tc>
      </w:tr>
      <w:tr w:rsidR="00B5184C" w:rsidRPr="00B5184C" w14:paraId="607E3569"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58A33D55" w14:textId="77777777" w:rsidR="00B5184C" w:rsidRPr="00B5184C" w:rsidRDefault="00B5184C" w:rsidP="00B5184C">
            <w:pPr>
              <w:rPr>
                <w:lang w:eastAsia="en-US"/>
              </w:rPr>
            </w:pPr>
            <w:r w:rsidRPr="00B5184C">
              <w:rPr>
                <w:lang w:eastAsia="en-US"/>
              </w:rPr>
              <w:t>7. Amata vietu skaita izmaiņas</w:t>
            </w:r>
          </w:p>
        </w:tc>
        <w:tc>
          <w:tcPr>
            <w:tcW w:w="6899" w:type="dxa"/>
            <w:gridSpan w:val="7"/>
            <w:tcBorders>
              <w:top w:val="single" w:sz="4" w:space="0" w:color="auto"/>
              <w:left w:val="single" w:sz="4" w:space="0" w:color="auto"/>
              <w:bottom w:val="single" w:sz="4" w:space="0" w:color="auto"/>
              <w:right w:val="single" w:sz="4" w:space="0" w:color="auto"/>
            </w:tcBorders>
            <w:hideMark/>
          </w:tcPr>
          <w:p w14:paraId="0974CA36" w14:textId="0E3C7D3D" w:rsidR="00B5184C" w:rsidRPr="00B5184C" w:rsidRDefault="00B5184C" w:rsidP="00B5184C">
            <w:pPr>
              <w:rPr>
                <w:lang w:eastAsia="en-US"/>
              </w:rPr>
            </w:pPr>
            <w:r w:rsidRPr="00B5184C">
              <w:rPr>
                <w:lang w:eastAsia="en-US"/>
              </w:rPr>
              <w:t>Nav izmaiņas.</w:t>
            </w:r>
          </w:p>
        </w:tc>
      </w:tr>
      <w:tr w:rsidR="00B5184C" w:rsidRPr="00B5184C" w14:paraId="04BDA394"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64D3D509" w14:textId="77777777" w:rsidR="00B5184C" w:rsidRPr="00B5184C" w:rsidRDefault="00B5184C" w:rsidP="00B5184C">
            <w:pPr>
              <w:rPr>
                <w:lang w:eastAsia="en-US"/>
              </w:rPr>
            </w:pPr>
            <w:r w:rsidRPr="00B5184C">
              <w:rPr>
                <w:lang w:eastAsia="en-US"/>
              </w:rPr>
              <w:t>8. Cita informācija</w:t>
            </w:r>
          </w:p>
        </w:tc>
        <w:tc>
          <w:tcPr>
            <w:tcW w:w="6899" w:type="dxa"/>
            <w:gridSpan w:val="7"/>
            <w:tcBorders>
              <w:top w:val="single" w:sz="4" w:space="0" w:color="auto"/>
              <w:left w:val="single" w:sz="4" w:space="0" w:color="auto"/>
              <w:bottom w:val="single" w:sz="4" w:space="0" w:color="auto"/>
              <w:right w:val="single" w:sz="4" w:space="0" w:color="auto"/>
            </w:tcBorders>
            <w:hideMark/>
          </w:tcPr>
          <w:p w14:paraId="0D6371CA" w14:textId="54541162" w:rsidR="00391ACA" w:rsidRPr="0041133A" w:rsidRDefault="00391ACA" w:rsidP="00B5184C">
            <w:pPr>
              <w:jc w:val="both"/>
              <w:rPr>
                <w:iCs/>
                <w:lang w:eastAsia="en-US"/>
              </w:rPr>
            </w:pPr>
            <w:r w:rsidRPr="0041133A">
              <w:rPr>
                <w:iCs/>
                <w:lang w:eastAsia="en-US"/>
              </w:rPr>
              <w:t>Lai nodrošinātu noteikumu projekta īstenošanu, nepieciešams veikt pielāgošanas darbus Būvniecības informācijas sistēmā.</w:t>
            </w:r>
          </w:p>
          <w:p w14:paraId="2DA09695" w14:textId="28ED84EF" w:rsidR="00B5184C" w:rsidRPr="00B5184C" w:rsidRDefault="0041133A" w:rsidP="00B5184C">
            <w:pPr>
              <w:jc w:val="both"/>
              <w:rPr>
                <w:lang w:eastAsia="en-US"/>
              </w:rPr>
            </w:pPr>
            <w:r w:rsidRPr="003A41AE">
              <w:rPr>
                <w:lang w:eastAsia="en-US"/>
              </w:rPr>
              <w:t>Ņemot vērā līdz šim esošās būvniecības informācijas sistēmas izstrādes un pielāgošanas izmaksas, aprēķināts, ka projektā paredzēto grozījumu ieviešanai nepieciešamas</w:t>
            </w:r>
            <w:r w:rsidR="003A41AE" w:rsidRPr="003A41AE">
              <w:rPr>
                <w:lang w:eastAsia="en-US"/>
              </w:rPr>
              <w:t xml:space="preserve"> 65</w:t>
            </w:r>
            <w:r w:rsidRPr="003A41AE">
              <w:rPr>
                <w:lang w:eastAsia="en-US"/>
              </w:rPr>
              <w:t xml:space="preserve"> cilvēkdienas. Vienas cilvēkdienas izmaksas ir </w:t>
            </w:r>
            <w:r w:rsidR="00037A30" w:rsidRPr="003A41AE">
              <w:rPr>
                <w:lang w:eastAsia="en-US"/>
              </w:rPr>
              <w:t>340</w:t>
            </w:r>
            <w:r w:rsidRPr="003A41AE">
              <w:rPr>
                <w:lang w:eastAsia="en-US"/>
              </w:rPr>
              <w:t xml:space="preserve"> EUR (ieskaitot PVN), līdz ar to pielāgošanas izmaksas varētu sasniegt </w:t>
            </w:r>
            <w:r w:rsidR="003A41AE" w:rsidRPr="003A41AE">
              <w:rPr>
                <w:lang w:eastAsia="en-US"/>
              </w:rPr>
              <w:t>26 741</w:t>
            </w:r>
            <w:r w:rsidRPr="003A41AE">
              <w:rPr>
                <w:lang w:eastAsia="en-US"/>
              </w:rPr>
              <w:t> EUR (ieskaitot PVN).</w:t>
            </w:r>
          </w:p>
        </w:tc>
      </w:tr>
    </w:tbl>
    <w:p w14:paraId="6A996DF6" w14:textId="77777777" w:rsidR="00B5184C" w:rsidRDefault="00B5184C"/>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71"/>
        <w:gridCol w:w="2667"/>
        <w:gridCol w:w="5827"/>
      </w:tblGrid>
      <w:tr w:rsidR="00673CC5" w:rsidRPr="00673CC5" w14:paraId="1A721B32" w14:textId="77777777" w:rsidTr="000D53F9">
        <w:trPr>
          <w:cantSplit/>
        </w:trPr>
        <w:tc>
          <w:tcPr>
            <w:tcW w:w="9065" w:type="dxa"/>
            <w:gridSpan w:val="3"/>
            <w:vAlign w:val="center"/>
            <w:hideMark/>
          </w:tcPr>
          <w:p w14:paraId="5B77B546" w14:textId="77777777" w:rsidR="00673CC5" w:rsidRPr="00673CC5" w:rsidRDefault="00673CC5" w:rsidP="00673CC5">
            <w:pPr>
              <w:jc w:val="center"/>
              <w:rPr>
                <w:b/>
                <w:bCs/>
                <w:shd w:val="clear" w:color="auto" w:fill="FFFFFF"/>
              </w:rPr>
            </w:pPr>
            <w:r w:rsidRPr="00673CC5">
              <w:rPr>
                <w:b/>
                <w:bCs/>
                <w:shd w:val="clear" w:color="auto" w:fill="FFFFFF"/>
              </w:rPr>
              <w:t>IV. Tiesību akta projekta ietekme uz spēkā esošo tiesību normu sistēmu</w:t>
            </w:r>
          </w:p>
        </w:tc>
      </w:tr>
      <w:tr w:rsidR="00673CC5" w:rsidRPr="00673CC5" w14:paraId="44DEB16C" w14:textId="77777777" w:rsidTr="000D53F9">
        <w:trPr>
          <w:cantSplit/>
        </w:trPr>
        <w:tc>
          <w:tcPr>
            <w:tcW w:w="571" w:type="dxa"/>
            <w:hideMark/>
          </w:tcPr>
          <w:p w14:paraId="2689FBB2" w14:textId="77777777" w:rsidR="00673CC5" w:rsidRPr="00673CC5" w:rsidRDefault="00673CC5" w:rsidP="00673CC5">
            <w:pPr>
              <w:rPr>
                <w:shd w:val="clear" w:color="auto" w:fill="FFFFFF"/>
              </w:rPr>
            </w:pPr>
            <w:r w:rsidRPr="00673CC5">
              <w:rPr>
                <w:shd w:val="clear" w:color="auto" w:fill="FFFFFF"/>
              </w:rPr>
              <w:t>1.</w:t>
            </w:r>
          </w:p>
        </w:tc>
        <w:tc>
          <w:tcPr>
            <w:tcW w:w="2667" w:type="dxa"/>
            <w:hideMark/>
          </w:tcPr>
          <w:p w14:paraId="1689ADCA" w14:textId="77777777" w:rsidR="00673CC5" w:rsidRPr="00673CC5" w:rsidRDefault="00673CC5" w:rsidP="00673CC5">
            <w:pPr>
              <w:rPr>
                <w:shd w:val="clear" w:color="auto" w:fill="FFFFFF"/>
              </w:rPr>
            </w:pPr>
            <w:r w:rsidRPr="00673CC5">
              <w:rPr>
                <w:shd w:val="clear" w:color="auto" w:fill="FFFFFF"/>
              </w:rPr>
              <w:t>Saistītie tiesību aktu projekti</w:t>
            </w:r>
          </w:p>
        </w:tc>
        <w:tc>
          <w:tcPr>
            <w:tcW w:w="5827" w:type="dxa"/>
            <w:hideMark/>
          </w:tcPr>
          <w:p w14:paraId="3ADCD4DB" w14:textId="02C44CEE" w:rsidR="00673CC5" w:rsidRPr="00673CC5" w:rsidRDefault="00DC67DB" w:rsidP="0071792C">
            <w:pPr>
              <w:jc w:val="both"/>
              <w:rPr>
                <w:shd w:val="clear" w:color="auto" w:fill="FFFFFF"/>
              </w:rPr>
            </w:pPr>
            <w:r w:rsidRPr="00DC67DB">
              <w:rPr>
                <w:iCs/>
              </w:rPr>
              <w:t>Ministru kabineta noteikumu projekt</w:t>
            </w:r>
            <w:r w:rsidR="002D7C34">
              <w:rPr>
                <w:iCs/>
              </w:rPr>
              <w:t>s</w:t>
            </w:r>
            <w:r w:rsidRPr="00DC67DB">
              <w:rPr>
                <w:iCs/>
              </w:rPr>
              <w:t xml:space="preserve"> “Grozījums Ministru kabineta 2014.</w:t>
            </w:r>
            <w:r>
              <w:rPr>
                <w:iCs/>
              </w:rPr>
              <w:t> </w:t>
            </w:r>
            <w:r w:rsidRPr="00DC67DB">
              <w:rPr>
                <w:iCs/>
              </w:rPr>
              <w:t>gada 19.</w:t>
            </w:r>
            <w:r>
              <w:rPr>
                <w:iCs/>
              </w:rPr>
              <w:t> </w:t>
            </w:r>
            <w:r w:rsidRPr="00DC67DB">
              <w:rPr>
                <w:iCs/>
              </w:rPr>
              <w:t>augusta noteikumos Nr.</w:t>
            </w:r>
            <w:r w:rsidR="007F3577">
              <w:rPr>
                <w:iCs/>
              </w:rPr>
              <w:t> </w:t>
            </w:r>
            <w:r w:rsidRPr="00DC67DB">
              <w:rPr>
                <w:iCs/>
              </w:rPr>
              <w:t>500 “Vispārīgie būvnoteikumi””</w:t>
            </w:r>
            <w:r>
              <w:rPr>
                <w:iCs/>
              </w:rPr>
              <w:t>, kur</w:t>
            </w:r>
            <w:r w:rsidR="002D7C34">
              <w:rPr>
                <w:iCs/>
              </w:rPr>
              <w:t>ā</w:t>
            </w:r>
            <w:r>
              <w:rPr>
                <w:iCs/>
              </w:rPr>
              <w:t xml:space="preserve"> </w:t>
            </w:r>
            <w:r w:rsidRPr="00DC67DB">
              <w:rPr>
                <w:bCs/>
                <w:iCs/>
              </w:rPr>
              <w:t>tiek aktualizēts un pārskatīts līdzšinējais būvju iedalījums grupās</w:t>
            </w:r>
            <w:r>
              <w:rPr>
                <w:bCs/>
                <w:iCs/>
              </w:rPr>
              <w:t xml:space="preserve"> – komersantu ceļu ietverot pirmās grupas būvēs (iepriekš – otrās grupas būves)</w:t>
            </w:r>
            <w:r w:rsidR="002E273A">
              <w:rPr>
                <w:bCs/>
                <w:iCs/>
              </w:rPr>
              <w:t xml:space="preserve"> (VSS 2020. gada 29. oktobra prot. Nr.43 7.§.,</w:t>
            </w:r>
            <w:r w:rsidR="002E273A" w:rsidRPr="002E273A">
              <w:rPr>
                <w:bCs/>
                <w:iCs/>
              </w:rPr>
              <w:t>VSS-926</w:t>
            </w:r>
            <w:r w:rsidR="002E273A">
              <w:rPr>
                <w:bCs/>
                <w:iCs/>
              </w:rPr>
              <w:t>)</w:t>
            </w:r>
            <w:r>
              <w:rPr>
                <w:bCs/>
                <w:iCs/>
              </w:rPr>
              <w:t>.</w:t>
            </w:r>
          </w:p>
        </w:tc>
      </w:tr>
      <w:tr w:rsidR="00673CC5" w:rsidRPr="00673CC5" w14:paraId="556A41EF" w14:textId="77777777" w:rsidTr="000D53F9">
        <w:trPr>
          <w:cantSplit/>
        </w:trPr>
        <w:tc>
          <w:tcPr>
            <w:tcW w:w="571" w:type="dxa"/>
            <w:hideMark/>
          </w:tcPr>
          <w:p w14:paraId="2E494A3C" w14:textId="77777777" w:rsidR="00673CC5" w:rsidRPr="00673CC5" w:rsidRDefault="00673CC5" w:rsidP="00673CC5">
            <w:pPr>
              <w:rPr>
                <w:shd w:val="clear" w:color="auto" w:fill="FFFFFF"/>
              </w:rPr>
            </w:pPr>
            <w:r w:rsidRPr="00673CC5">
              <w:rPr>
                <w:shd w:val="clear" w:color="auto" w:fill="FFFFFF"/>
              </w:rPr>
              <w:t>2.</w:t>
            </w:r>
          </w:p>
        </w:tc>
        <w:tc>
          <w:tcPr>
            <w:tcW w:w="2667" w:type="dxa"/>
            <w:hideMark/>
          </w:tcPr>
          <w:p w14:paraId="4CB1BD02" w14:textId="77777777" w:rsidR="00673CC5" w:rsidRPr="00673CC5" w:rsidRDefault="00673CC5" w:rsidP="00673CC5">
            <w:pPr>
              <w:rPr>
                <w:shd w:val="clear" w:color="auto" w:fill="FFFFFF"/>
              </w:rPr>
            </w:pPr>
            <w:r w:rsidRPr="00673CC5">
              <w:rPr>
                <w:shd w:val="clear" w:color="auto" w:fill="FFFFFF"/>
              </w:rPr>
              <w:t>Atbildīgā institūcija</w:t>
            </w:r>
          </w:p>
        </w:tc>
        <w:tc>
          <w:tcPr>
            <w:tcW w:w="5827" w:type="dxa"/>
            <w:hideMark/>
          </w:tcPr>
          <w:p w14:paraId="59ACCE11" w14:textId="645318D7" w:rsidR="00673CC5" w:rsidRPr="00673CC5" w:rsidRDefault="00DC67DB" w:rsidP="00673CC5">
            <w:pPr>
              <w:rPr>
                <w:shd w:val="clear" w:color="auto" w:fill="FFFFFF"/>
              </w:rPr>
            </w:pPr>
            <w:r>
              <w:rPr>
                <w:shd w:val="clear" w:color="auto" w:fill="FFFFFF"/>
              </w:rPr>
              <w:t>Ekonomikas ministrija</w:t>
            </w:r>
          </w:p>
        </w:tc>
      </w:tr>
      <w:tr w:rsidR="00673CC5" w:rsidRPr="00673CC5" w14:paraId="0857601E" w14:textId="77777777" w:rsidTr="000D53F9">
        <w:trPr>
          <w:cantSplit/>
        </w:trPr>
        <w:tc>
          <w:tcPr>
            <w:tcW w:w="571" w:type="dxa"/>
            <w:hideMark/>
          </w:tcPr>
          <w:p w14:paraId="68704CE8" w14:textId="77777777" w:rsidR="00673CC5" w:rsidRPr="00673CC5" w:rsidRDefault="00673CC5" w:rsidP="00673CC5">
            <w:pPr>
              <w:rPr>
                <w:shd w:val="clear" w:color="auto" w:fill="FFFFFF"/>
              </w:rPr>
            </w:pPr>
            <w:r w:rsidRPr="00673CC5">
              <w:rPr>
                <w:shd w:val="clear" w:color="auto" w:fill="FFFFFF"/>
              </w:rPr>
              <w:t>3.</w:t>
            </w:r>
          </w:p>
        </w:tc>
        <w:tc>
          <w:tcPr>
            <w:tcW w:w="2667" w:type="dxa"/>
            <w:hideMark/>
          </w:tcPr>
          <w:p w14:paraId="37434D61" w14:textId="77777777" w:rsidR="00673CC5" w:rsidRPr="00673CC5" w:rsidRDefault="00673CC5" w:rsidP="00673CC5">
            <w:pPr>
              <w:rPr>
                <w:shd w:val="clear" w:color="auto" w:fill="FFFFFF"/>
              </w:rPr>
            </w:pPr>
            <w:r w:rsidRPr="00673CC5">
              <w:rPr>
                <w:shd w:val="clear" w:color="auto" w:fill="FFFFFF"/>
              </w:rPr>
              <w:t>Cita informācija</w:t>
            </w:r>
          </w:p>
        </w:tc>
        <w:tc>
          <w:tcPr>
            <w:tcW w:w="5827" w:type="dxa"/>
            <w:hideMark/>
          </w:tcPr>
          <w:p w14:paraId="2BFC47B3" w14:textId="7A138DFA" w:rsidR="00673CC5" w:rsidRPr="00673CC5" w:rsidRDefault="00673CC5" w:rsidP="00673CC5">
            <w:pPr>
              <w:rPr>
                <w:shd w:val="clear" w:color="auto" w:fill="FFFFFF"/>
              </w:rPr>
            </w:pPr>
            <w:r>
              <w:rPr>
                <w:shd w:val="clear" w:color="auto" w:fill="FFFFFF"/>
              </w:rPr>
              <w:t>Nav</w:t>
            </w:r>
          </w:p>
        </w:tc>
      </w:tr>
    </w:tbl>
    <w:p w14:paraId="21F2FD59" w14:textId="01EE0911" w:rsidR="00673CC5" w:rsidRDefault="00673CC5">
      <w:pPr>
        <w:rPr>
          <w:shd w:val="clear" w:color="auto" w:fill="FFFFFF"/>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055"/>
      </w:tblGrid>
      <w:tr w:rsidR="006149C8" w:rsidRPr="006149C8" w14:paraId="2BCBC8D5" w14:textId="77777777" w:rsidTr="006149C8">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CAFFFF" w14:textId="77777777" w:rsidR="006149C8" w:rsidRPr="006149C8" w:rsidRDefault="006149C8" w:rsidP="006149C8">
            <w:pPr>
              <w:spacing w:before="100" w:beforeAutospacing="1" w:after="100" w:afterAutospacing="1" w:line="293" w:lineRule="atLeast"/>
              <w:jc w:val="center"/>
              <w:rPr>
                <w:b/>
                <w:bCs/>
              </w:rPr>
            </w:pPr>
            <w:r w:rsidRPr="006149C8">
              <w:rPr>
                <w:b/>
                <w:bCs/>
              </w:rPr>
              <w:t>V. Tiesību akta projekta atbilstība Latvijas Republikas starptautiskajām saistībām</w:t>
            </w:r>
          </w:p>
        </w:tc>
      </w:tr>
      <w:tr w:rsidR="006149C8" w:rsidRPr="006149C8" w14:paraId="2AAF6C81" w14:textId="77777777" w:rsidTr="006149C8">
        <w:tc>
          <w:tcPr>
            <w:tcW w:w="5000" w:type="pct"/>
            <w:tcBorders>
              <w:top w:val="outset" w:sz="6" w:space="0" w:color="414142"/>
              <w:left w:val="outset" w:sz="6" w:space="0" w:color="414142"/>
              <w:bottom w:val="outset" w:sz="6" w:space="0" w:color="414142"/>
              <w:right w:val="outset" w:sz="6" w:space="0" w:color="414142"/>
            </w:tcBorders>
            <w:shd w:val="clear" w:color="auto" w:fill="FFFFFF"/>
          </w:tcPr>
          <w:p w14:paraId="43E45C22" w14:textId="77777777" w:rsidR="006149C8" w:rsidRPr="006149C8" w:rsidRDefault="006149C8" w:rsidP="00747C99">
            <w:pPr>
              <w:jc w:val="center"/>
            </w:pPr>
            <w:r w:rsidRPr="006149C8">
              <w:t>Projekts šo jomu neskar</w:t>
            </w:r>
          </w:p>
        </w:tc>
      </w:tr>
    </w:tbl>
    <w:p w14:paraId="26E256C6" w14:textId="77777777" w:rsidR="006149C8" w:rsidRPr="006149C8" w:rsidRDefault="006149C8">
      <w:pPr>
        <w:rPr>
          <w:shd w:val="clear" w:color="auto" w:fill="FFFFFF"/>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43"/>
        <w:gridCol w:w="3079"/>
        <w:gridCol w:w="5433"/>
      </w:tblGrid>
      <w:tr w:rsidR="006149C8" w:rsidRPr="00747C99" w14:paraId="1183314A" w14:textId="77777777" w:rsidTr="00747C99">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27AF76" w14:textId="77777777" w:rsidR="006149C8" w:rsidRPr="006149C8" w:rsidRDefault="006149C8" w:rsidP="006149C8">
            <w:pPr>
              <w:spacing w:before="100" w:beforeAutospacing="1" w:after="100" w:afterAutospacing="1" w:line="293" w:lineRule="atLeast"/>
              <w:jc w:val="center"/>
              <w:rPr>
                <w:b/>
                <w:bCs/>
              </w:rPr>
            </w:pPr>
            <w:r w:rsidRPr="006149C8">
              <w:rPr>
                <w:b/>
                <w:bCs/>
              </w:rPr>
              <w:t>VI. Sabiedrības līdzdalība un komunikācijas aktivitātes</w:t>
            </w:r>
          </w:p>
        </w:tc>
      </w:tr>
      <w:tr w:rsidR="006149C8" w:rsidRPr="00747C99" w14:paraId="6A98EA9B" w14:textId="77777777" w:rsidTr="00747C99">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1069B2D" w14:textId="77777777" w:rsidR="006149C8" w:rsidRPr="006149C8" w:rsidRDefault="006149C8" w:rsidP="006149C8">
            <w:pPr>
              <w:spacing w:before="100" w:beforeAutospacing="1" w:after="100" w:afterAutospacing="1" w:line="293" w:lineRule="atLeast"/>
              <w:jc w:val="center"/>
            </w:pPr>
            <w:r w:rsidRPr="006149C8">
              <w:t>1.</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257C0F80" w14:textId="77777777" w:rsidR="006149C8" w:rsidRPr="006149C8" w:rsidRDefault="006149C8" w:rsidP="006149C8">
            <w:r w:rsidRPr="006149C8">
              <w:t>Plānotās sabiedrības līdzdalības un komunikācijas aktivitātes saistībā ar projektu</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74C0886C" w14:textId="0923AA4A" w:rsidR="00AE26C6" w:rsidRPr="00F03DF5" w:rsidRDefault="00AE26C6" w:rsidP="00AE26C6">
            <w:pPr>
              <w:jc w:val="both"/>
              <w:rPr>
                <w:bCs/>
                <w:iCs/>
              </w:rPr>
            </w:pPr>
            <w:r>
              <w:rPr>
                <w:bCs/>
                <w:iCs/>
              </w:rPr>
              <w:t>Noteikumu p</w:t>
            </w:r>
            <w:r w:rsidRPr="00F03DF5">
              <w:rPr>
                <w:bCs/>
                <w:iCs/>
              </w:rPr>
              <w:t xml:space="preserve">rojekts publicēts </w:t>
            </w:r>
            <w:r w:rsidR="003A41AE">
              <w:rPr>
                <w:bCs/>
                <w:iCs/>
              </w:rPr>
              <w:t xml:space="preserve">gan Ministru kabineta, gan </w:t>
            </w:r>
            <w:r w:rsidRPr="00F03DF5">
              <w:rPr>
                <w:bCs/>
                <w:iCs/>
              </w:rPr>
              <w:t>Ekonomikas ministrijas tīmekļvietnes sadaļā “Sabiedrības līdzdalība”</w:t>
            </w:r>
            <w:r>
              <w:rPr>
                <w:bCs/>
                <w:iCs/>
              </w:rPr>
              <w:t xml:space="preserve">, </w:t>
            </w:r>
            <w:r w:rsidRPr="00F03DF5">
              <w:rPr>
                <w:bCs/>
                <w:iCs/>
              </w:rPr>
              <w:t>aicinot sabiedrības pārstāvjiem rakstveidā sniegt viedokli par noteikumu projekt</w:t>
            </w:r>
            <w:r w:rsidR="002E273A">
              <w:rPr>
                <w:bCs/>
                <w:iCs/>
              </w:rPr>
              <w:t>u</w:t>
            </w:r>
            <w:r w:rsidRPr="00F03DF5">
              <w:rPr>
                <w:bCs/>
                <w:iCs/>
              </w:rPr>
              <w:t xml:space="preserve"> līdz 20</w:t>
            </w:r>
            <w:r>
              <w:rPr>
                <w:bCs/>
                <w:iCs/>
              </w:rPr>
              <w:t>20</w:t>
            </w:r>
            <w:r w:rsidRPr="00F03DF5">
              <w:rPr>
                <w:bCs/>
                <w:iCs/>
              </w:rPr>
              <w:t>.</w:t>
            </w:r>
            <w:r>
              <w:rPr>
                <w:bCs/>
                <w:iCs/>
              </w:rPr>
              <w:t> </w:t>
            </w:r>
            <w:r w:rsidRPr="00F03DF5">
              <w:rPr>
                <w:bCs/>
                <w:iCs/>
              </w:rPr>
              <w:t>gada</w:t>
            </w:r>
            <w:r>
              <w:rPr>
                <w:bCs/>
                <w:iCs/>
              </w:rPr>
              <w:t xml:space="preserve"> </w:t>
            </w:r>
            <w:r w:rsidR="003A41AE">
              <w:rPr>
                <w:bCs/>
                <w:iCs/>
              </w:rPr>
              <w:t>30.</w:t>
            </w:r>
            <w:r w:rsidR="002E273A">
              <w:rPr>
                <w:bCs/>
                <w:iCs/>
              </w:rPr>
              <w:t> </w:t>
            </w:r>
            <w:r w:rsidR="003A41AE">
              <w:rPr>
                <w:bCs/>
                <w:iCs/>
              </w:rPr>
              <w:t>novembrim.</w:t>
            </w:r>
          </w:p>
          <w:p w14:paraId="360171D2" w14:textId="375B9AD4" w:rsidR="00AE26C6" w:rsidRDefault="003A41AE" w:rsidP="00AE26C6">
            <w:pPr>
              <w:jc w:val="both"/>
              <w:rPr>
                <w:bCs/>
                <w:iCs/>
              </w:rPr>
            </w:pPr>
            <w:r>
              <w:rPr>
                <w:bCs/>
                <w:iCs/>
              </w:rPr>
              <w:t>Vienlaikus</w:t>
            </w:r>
            <w:r w:rsidR="00AE26C6" w:rsidRPr="00F03DF5">
              <w:rPr>
                <w:bCs/>
                <w:iCs/>
              </w:rPr>
              <w:t xml:space="preserve"> jāņem vērā, ka plānotais regulējums pēc savas būtības mazina noteiktā procesa posmā sabiedrības pārstāvjiem administratīvo slogu, nevis to palielina.</w:t>
            </w:r>
          </w:p>
          <w:p w14:paraId="236B689C" w14:textId="0CE1B0F5" w:rsidR="006149C8" w:rsidRPr="004F2184" w:rsidRDefault="004F2184" w:rsidP="004F2184">
            <w:pPr>
              <w:jc w:val="both"/>
            </w:pPr>
            <w:r w:rsidRPr="007E4900">
              <w:t>Par šo noteikumu projektu izstrādi ir informēta arī Latvijas Būvniecības padome.</w:t>
            </w:r>
          </w:p>
        </w:tc>
      </w:tr>
      <w:tr w:rsidR="006149C8" w:rsidRPr="00747C99" w14:paraId="4EB5B1F0" w14:textId="77777777" w:rsidTr="00747C99">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076D3685" w14:textId="77777777" w:rsidR="006149C8" w:rsidRPr="006149C8" w:rsidRDefault="006149C8" w:rsidP="006149C8">
            <w:pPr>
              <w:spacing w:before="100" w:beforeAutospacing="1" w:after="100" w:afterAutospacing="1" w:line="293" w:lineRule="atLeast"/>
              <w:jc w:val="center"/>
            </w:pPr>
            <w:r w:rsidRPr="006149C8">
              <w:t>2.</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03D1499D" w14:textId="77777777" w:rsidR="006149C8" w:rsidRPr="006149C8" w:rsidRDefault="006149C8" w:rsidP="006149C8">
            <w:r w:rsidRPr="006149C8">
              <w:t>Sabiedrības līdzdalība projekta izstrādē</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0F01AF7B" w14:textId="406ABE94" w:rsidR="006149C8" w:rsidRPr="006149C8" w:rsidRDefault="00AE26C6" w:rsidP="00F03DF5">
            <w:pPr>
              <w:jc w:val="both"/>
            </w:pPr>
            <w:r w:rsidRPr="00AE26C6">
              <w:rPr>
                <w:bCs/>
                <w:iCs/>
              </w:rPr>
              <w:t>Tiks papildināts pēc sabiedrības pārstāvju viedokļu saņemšanas.</w:t>
            </w:r>
          </w:p>
        </w:tc>
      </w:tr>
      <w:tr w:rsidR="006149C8" w:rsidRPr="00747C99" w14:paraId="732C874D" w14:textId="77777777" w:rsidTr="00747C99">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2B781D21" w14:textId="77777777" w:rsidR="006149C8" w:rsidRPr="006149C8" w:rsidRDefault="006149C8" w:rsidP="006149C8">
            <w:pPr>
              <w:spacing w:before="100" w:beforeAutospacing="1" w:after="100" w:afterAutospacing="1" w:line="293" w:lineRule="atLeast"/>
              <w:jc w:val="center"/>
            </w:pPr>
            <w:r w:rsidRPr="006149C8">
              <w:t>3.</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3A0245C4" w14:textId="77777777" w:rsidR="006149C8" w:rsidRPr="006149C8" w:rsidRDefault="006149C8" w:rsidP="006149C8">
            <w:r w:rsidRPr="006149C8">
              <w:t>Sabiedrības līdzdalības rezultāti</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043B54B0" w14:textId="463C1CFD" w:rsidR="006149C8" w:rsidRPr="006149C8" w:rsidRDefault="00183E71" w:rsidP="009D3CD1">
            <w:pPr>
              <w:jc w:val="both"/>
            </w:pPr>
            <w:r>
              <w:rPr>
                <w:bCs/>
                <w:iCs/>
              </w:rPr>
              <w:t>Tiks papildināts pēc sabiedrības pārstāvju viedokļu saņemšanas.</w:t>
            </w:r>
          </w:p>
        </w:tc>
      </w:tr>
      <w:tr w:rsidR="006149C8" w:rsidRPr="00747C99" w14:paraId="08191BCC" w14:textId="77777777" w:rsidTr="00747C99">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0E4F8AFD" w14:textId="77777777" w:rsidR="006149C8" w:rsidRPr="006149C8" w:rsidRDefault="006149C8" w:rsidP="006149C8">
            <w:pPr>
              <w:spacing w:before="100" w:beforeAutospacing="1" w:after="100" w:afterAutospacing="1" w:line="293" w:lineRule="atLeast"/>
              <w:jc w:val="center"/>
            </w:pPr>
            <w:r w:rsidRPr="006149C8">
              <w:t>4.</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C93C2AF" w14:textId="77777777" w:rsidR="006149C8" w:rsidRPr="006149C8" w:rsidRDefault="006149C8" w:rsidP="006149C8">
            <w:r w:rsidRPr="006149C8">
              <w:t>Cita informācija</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6BA084F2" w14:textId="77777777" w:rsidR="006149C8" w:rsidRPr="006149C8" w:rsidRDefault="00747C99" w:rsidP="006149C8">
            <w:r w:rsidRPr="00747C99">
              <w:t>Nav</w:t>
            </w:r>
          </w:p>
        </w:tc>
      </w:tr>
    </w:tbl>
    <w:p w14:paraId="464C1988" w14:textId="77777777" w:rsidR="006149C8" w:rsidRPr="006149C8" w:rsidRDefault="006149C8" w:rsidP="006149C8">
      <w:r w:rsidRPr="006149C8">
        <w:rPr>
          <w:shd w:val="clear" w:color="auto" w:fill="FFFFFF"/>
        </w:rPr>
        <w:t> </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43"/>
        <w:gridCol w:w="3079"/>
        <w:gridCol w:w="5433"/>
      </w:tblGrid>
      <w:tr w:rsidR="006149C8" w:rsidRPr="006149C8" w14:paraId="6AD4C16E" w14:textId="77777777" w:rsidTr="006149C8">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7C47A0" w14:textId="77777777" w:rsidR="006149C8" w:rsidRPr="006149C8" w:rsidRDefault="006149C8" w:rsidP="006149C8">
            <w:pPr>
              <w:spacing w:before="100" w:beforeAutospacing="1" w:after="100" w:afterAutospacing="1" w:line="293" w:lineRule="atLeast"/>
              <w:jc w:val="center"/>
              <w:rPr>
                <w:b/>
                <w:bCs/>
              </w:rPr>
            </w:pPr>
            <w:r w:rsidRPr="006149C8">
              <w:rPr>
                <w:b/>
                <w:bCs/>
              </w:rPr>
              <w:t>VII. Tiesību akta projekta izpildes nodrošināšana un tās ietekme uz institūcijām</w:t>
            </w:r>
          </w:p>
        </w:tc>
      </w:tr>
      <w:tr w:rsidR="006149C8" w:rsidRPr="006149C8" w14:paraId="40D80F0D" w14:textId="77777777" w:rsidTr="006149C8">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F0D7FFC" w14:textId="77777777" w:rsidR="006149C8" w:rsidRPr="006149C8" w:rsidRDefault="006149C8" w:rsidP="006149C8">
            <w:pPr>
              <w:spacing w:before="100" w:beforeAutospacing="1" w:after="100" w:afterAutospacing="1" w:line="293" w:lineRule="atLeast"/>
              <w:jc w:val="center"/>
            </w:pPr>
            <w:r w:rsidRPr="006149C8">
              <w:t>1.</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43F3DD75" w14:textId="77777777" w:rsidR="006149C8" w:rsidRPr="006149C8" w:rsidRDefault="006149C8" w:rsidP="006149C8">
            <w:r w:rsidRPr="006149C8">
              <w:t>Projekta izpildē iesaistītās institūcijas</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7D83B588" w14:textId="428EA16D" w:rsidR="006149C8" w:rsidRPr="006149C8" w:rsidRDefault="009D3CD1" w:rsidP="000E41F0">
            <w:pPr>
              <w:jc w:val="both"/>
            </w:pPr>
            <w:r>
              <w:t>B</w:t>
            </w:r>
            <w:r w:rsidRPr="009D3CD1">
              <w:t xml:space="preserve">ūvvaldes un </w:t>
            </w:r>
            <w:r>
              <w:t>i</w:t>
            </w:r>
            <w:r w:rsidR="00747C99" w:rsidRPr="00747C99">
              <w:t>nstitūcijas, k</w:t>
            </w:r>
            <w:r w:rsidR="003B778B">
              <w:t>ura</w:t>
            </w:r>
            <w:r w:rsidR="00467EB4">
              <w:t xml:space="preserve"> </w:t>
            </w:r>
            <w:r w:rsidR="00747C99" w:rsidRPr="00747C99">
              <w:t>pilda būvvaldes funkcijas</w:t>
            </w:r>
            <w:r>
              <w:t>,</w:t>
            </w:r>
            <w:r w:rsidR="00747C99" w:rsidRPr="00747C99">
              <w:t xml:space="preserve"> Būvniecības valsts kontroles birojs kā </w:t>
            </w:r>
            <w:r w:rsidR="0069684F">
              <w:rPr>
                <w:color w:val="000000"/>
                <w:shd w:val="clear" w:color="auto" w:fill="FFFFFF"/>
              </w:rPr>
              <w:t>būvniecības informācijas sistēm</w:t>
            </w:r>
            <w:r w:rsidR="006A1FF0">
              <w:rPr>
                <w:color w:val="000000"/>
                <w:shd w:val="clear" w:color="auto" w:fill="FFFFFF"/>
              </w:rPr>
              <w:t>as</w:t>
            </w:r>
            <w:r w:rsidR="0069684F" w:rsidRPr="00747C99">
              <w:t xml:space="preserve"> </w:t>
            </w:r>
            <w:r w:rsidR="0069684F">
              <w:t>(</w:t>
            </w:r>
            <w:r w:rsidR="00747C99" w:rsidRPr="00747C99">
              <w:t>BIS</w:t>
            </w:r>
            <w:r w:rsidR="0069684F">
              <w:t>)</w:t>
            </w:r>
            <w:r w:rsidR="00747C99" w:rsidRPr="00747C99">
              <w:t xml:space="preserve"> pārzinis</w:t>
            </w:r>
            <w:r w:rsidR="004575AB">
              <w:rPr>
                <w:bCs/>
                <w:iCs/>
              </w:rPr>
              <w:t>.</w:t>
            </w:r>
          </w:p>
        </w:tc>
      </w:tr>
      <w:tr w:rsidR="006149C8" w:rsidRPr="006149C8" w14:paraId="0CD26129" w14:textId="77777777" w:rsidTr="006149C8">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3BC64E40" w14:textId="77777777" w:rsidR="006149C8" w:rsidRPr="006149C8" w:rsidRDefault="006149C8" w:rsidP="006149C8">
            <w:pPr>
              <w:spacing w:before="100" w:beforeAutospacing="1" w:after="100" w:afterAutospacing="1" w:line="293" w:lineRule="atLeast"/>
              <w:jc w:val="center"/>
            </w:pPr>
            <w:r w:rsidRPr="006149C8">
              <w:t>2.</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41B4AFA3" w14:textId="77777777" w:rsidR="006149C8" w:rsidRPr="006149C8" w:rsidRDefault="006149C8" w:rsidP="006149C8">
            <w:r w:rsidRPr="006149C8">
              <w:t>Projekta izpildes ietekme uz pārvaldes funkcijām un institucionālo struktūru.</w:t>
            </w:r>
            <w:r w:rsidRPr="006149C8">
              <w:br/>
              <w:t>Jaunu institūciju izveide, esošu institūciju likvidācija vai reorganizācija, to ietekme uz institūcijas cilvēkresursiem</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246E028F" w14:textId="77777777" w:rsidR="004575AB" w:rsidRPr="004575AB" w:rsidRDefault="004575AB" w:rsidP="004575AB">
            <w:pPr>
              <w:jc w:val="both"/>
              <w:rPr>
                <w:bCs/>
              </w:rPr>
            </w:pPr>
            <w:r w:rsidRPr="004575AB">
              <w:rPr>
                <w:bCs/>
              </w:rPr>
              <w:t>Projekta izpilde neietekmē esošās pārvaldes funkcijas un institucionālo struktūru (cilvēkresursus), jo tā īstenošana tiks veikta esošā finansējuma ietvaros.</w:t>
            </w:r>
          </w:p>
          <w:p w14:paraId="4BC2D782" w14:textId="2B64E086" w:rsidR="006149C8" w:rsidRPr="006149C8" w:rsidRDefault="004575AB" w:rsidP="004575AB">
            <w:pPr>
              <w:jc w:val="both"/>
            </w:pPr>
            <w:r w:rsidRPr="004575AB">
              <w:rPr>
                <w:bCs/>
              </w:rPr>
              <w:t>Jaunas institūcijas netiks veidotas un nav nepieciešams likvidēt vai reorganizēt esošās institūcijas. Līdz ar to projekta izpilde neietekmēs institūciju cilvēkresursus.</w:t>
            </w:r>
          </w:p>
        </w:tc>
      </w:tr>
      <w:tr w:rsidR="006149C8" w:rsidRPr="006149C8" w14:paraId="3ED6F8F7" w14:textId="77777777" w:rsidTr="006149C8">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DE60794" w14:textId="77777777" w:rsidR="006149C8" w:rsidRPr="006149C8" w:rsidRDefault="006149C8" w:rsidP="006149C8">
            <w:pPr>
              <w:spacing w:before="100" w:beforeAutospacing="1" w:after="100" w:afterAutospacing="1" w:line="293" w:lineRule="atLeast"/>
              <w:jc w:val="center"/>
            </w:pPr>
            <w:r w:rsidRPr="006149C8">
              <w:t>3.</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7CBDC6FA" w14:textId="77777777" w:rsidR="006149C8" w:rsidRPr="006149C8" w:rsidRDefault="006149C8" w:rsidP="006149C8">
            <w:r w:rsidRPr="006149C8">
              <w:t>Cita informācija</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17875BBC" w14:textId="77777777" w:rsidR="006149C8" w:rsidRPr="006149C8" w:rsidRDefault="00747C99" w:rsidP="006149C8">
            <w:r>
              <w:t>Nav</w:t>
            </w:r>
          </w:p>
        </w:tc>
      </w:tr>
    </w:tbl>
    <w:p w14:paraId="74007576" w14:textId="77777777" w:rsidR="006149C8" w:rsidRPr="006149C8" w:rsidRDefault="006149C8">
      <w:pPr>
        <w:rPr>
          <w:shd w:val="clear" w:color="auto" w:fill="FFFFFF"/>
        </w:rPr>
      </w:pPr>
    </w:p>
    <w:p w14:paraId="39115288" w14:textId="77777777" w:rsidR="00EF35B3" w:rsidRPr="00A676C3" w:rsidRDefault="00EF35B3" w:rsidP="00146587">
      <w:pPr>
        <w:tabs>
          <w:tab w:val="left" w:pos="7230"/>
        </w:tabs>
        <w:jc w:val="both"/>
      </w:pPr>
      <w:r w:rsidRPr="00A676C3">
        <w:t>Iesniedzējs:</w:t>
      </w:r>
    </w:p>
    <w:p w14:paraId="6897F595" w14:textId="496FCA02" w:rsidR="00EF35B3" w:rsidRPr="00A676C3" w:rsidRDefault="00EF35B3" w:rsidP="00146587">
      <w:pPr>
        <w:tabs>
          <w:tab w:val="left" w:pos="7230"/>
        </w:tabs>
        <w:jc w:val="both"/>
      </w:pPr>
      <w:r w:rsidRPr="00A676C3">
        <w:t>Ekonomikas ministrs</w:t>
      </w:r>
      <w:r w:rsidRPr="00A676C3">
        <w:tab/>
      </w:r>
      <w:r w:rsidR="00F1341A">
        <w:t>J</w:t>
      </w:r>
      <w:r w:rsidRPr="00A676C3">
        <w:t>.</w:t>
      </w:r>
      <w:r w:rsidR="00146587">
        <w:t xml:space="preserve"> </w:t>
      </w:r>
      <w:r w:rsidR="00F1341A">
        <w:t>Vitenbergs</w:t>
      </w:r>
    </w:p>
    <w:p w14:paraId="28B54E97" w14:textId="46DCF2F7" w:rsidR="00EF35B3" w:rsidRDefault="00EF35B3" w:rsidP="00146587">
      <w:pPr>
        <w:tabs>
          <w:tab w:val="left" w:pos="7230"/>
        </w:tabs>
      </w:pPr>
    </w:p>
    <w:p w14:paraId="4E94BB31" w14:textId="77777777" w:rsidR="00EF35B3" w:rsidRPr="00A676C3" w:rsidRDefault="00EF35B3" w:rsidP="00146587">
      <w:pPr>
        <w:tabs>
          <w:tab w:val="left" w:pos="7230"/>
        </w:tabs>
      </w:pPr>
      <w:r w:rsidRPr="00A676C3">
        <w:t>Vīza:</w:t>
      </w:r>
    </w:p>
    <w:p w14:paraId="3ADE1374" w14:textId="2B30A113" w:rsidR="00EF35B3" w:rsidRPr="00A676C3" w:rsidRDefault="00EF35B3" w:rsidP="00146587">
      <w:pPr>
        <w:tabs>
          <w:tab w:val="left" w:pos="7230"/>
        </w:tabs>
        <w:jc w:val="both"/>
      </w:pPr>
      <w:r w:rsidRPr="00A676C3">
        <w:t>Valsts sekretārs</w:t>
      </w:r>
      <w:r w:rsidRPr="00A676C3">
        <w:tab/>
      </w:r>
      <w:r w:rsidR="00F1341A">
        <w:t>E. Valantis</w:t>
      </w:r>
    </w:p>
    <w:p w14:paraId="749D1C02" w14:textId="77777777" w:rsidR="00EF35B3" w:rsidRPr="005D342C" w:rsidRDefault="00EF35B3" w:rsidP="00146587">
      <w:pPr>
        <w:contextualSpacing/>
        <w:rPr>
          <w:sz w:val="20"/>
          <w:szCs w:val="20"/>
        </w:rPr>
      </w:pPr>
    </w:p>
    <w:p w14:paraId="3154B4B7" w14:textId="17BC92FB" w:rsidR="00F1341A" w:rsidRDefault="00F1341A" w:rsidP="00146587">
      <w:pPr>
        <w:contextualSpacing/>
        <w:rPr>
          <w:sz w:val="20"/>
          <w:szCs w:val="20"/>
        </w:rPr>
      </w:pPr>
      <w:r>
        <w:rPr>
          <w:sz w:val="20"/>
          <w:szCs w:val="20"/>
        </w:rPr>
        <w:t>Avota, 67013262</w:t>
      </w:r>
    </w:p>
    <w:p w14:paraId="385F74F6" w14:textId="6FFCFB3C" w:rsidR="00F1341A" w:rsidRDefault="00F1341A" w:rsidP="00146587">
      <w:pPr>
        <w:contextualSpacing/>
        <w:rPr>
          <w:sz w:val="20"/>
          <w:szCs w:val="20"/>
        </w:rPr>
      </w:pPr>
      <w:r>
        <w:rPr>
          <w:sz w:val="20"/>
          <w:szCs w:val="20"/>
        </w:rPr>
        <w:t>Evija.Avota@em.gov.lv</w:t>
      </w:r>
    </w:p>
    <w:p w14:paraId="73B2B60B" w14:textId="77777777" w:rsidR="002E273A" w:rsidRDefault="002E273A" w:rsidP="00EF35B3">
      <w:pPr>
        <w:contextualSpacing/>
        <w:jc w:val="both"/>
        <w:rPr>
          <w:sz w:val="20"/>
          <w:szCs w:val="20"/>
        </w:rPr>
      </w:pPr>
    </w:p>
    <w:p w14:paraId="7045AD47" w14:textId="3FC7EBED" w:rsidR="00EF35B3" w:rsidRPr="005D342C" w:rsidRDefault="00EF35B3" w:rsidP="00EF35B3">
      <w:pPr>
        <w:contextualSpacing/>
        <w:jc w:val="both"/>
        <w:rPr>
          <w:sz w:val="20"/>
          <w:szCs w:val="20"/>
        </w:rPr>
      </w:pPr>
      <w:r w:rsidRPr="005D342C">
        <w:rPr>
          <w:sz w:val="20"/>
          <w:szCs w:val="20"/>
        </w:rPr>
        <w:t>Lazarevs, 67013035</w:t>
      </w:r>
    </w:p>
    <w:p w14:paraId="3C156BEA" w14:textId="77777777" w:rsidR="006149C8" w:rsidRPr="006149C8" w:rsidRDefault="00EF35B3" w:rsidP="00EF35B3">
      <w:pPr>
        <w:contextualSpacing/>
        <w:jc w:val="both"/>
      </w:pPr>
      <w:r w:rsidRPr="005D342C">
        <w:rPr>
          <w:sz w:val="20"/>
          <w:szCs w:val="20"/>
        </w:rPr>
        <w:t>Andris.Lazarevs@em.gov.lv</w:t>
      </w:r>
    </w:p>
    <w:sectPr w:rsidR="006149C8" w:rsidRPr="006149C8" w:rsidSect="00582287">
      <w:headerReference w:type="default" r:id="rId10"/>
      <w:footerReference w:type="default" r:id="rId11"/>
      <w:footerReference w:type="first" r:id="rId12"/>
      <w:pgSz w:w="11906" w:h="16838" w:code="9"/>
      <w:pgMar w:top="1418"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AEFF1" w14:textId="77777777" w:rsidR="00305D56" w:rsidRDefault="00305D56" w:rsidP="0008440D">
      <w:r>
        <w:separator/>
      </w:r>
    </w:p>
  </w:endnote>
  <w:endnote w:type="continuationSeparator" w:id="0">
    <w:p w14:paraId="6432A1EB" w14:textId="77777777" w:rsidR="00305D56" w:rsidRDefault="00305D56" w:rsidP="0008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5B36C" w14:textId="38A20960" w:rsidR="0047516B" w:rsidRPr="008D7140" w:rsidRDefault="0047516B" w:rsidP="008D7140">
    <w:pPr>
      <w:pStyle w:val="Footer"/>
      <w:jc w:val="both"/>
    </w:pPr>
    <w:r w:rsidRPr="008D7140">
      <w:rPr>
        <w:rFonts w:eastAsia="Calibri"/>
        <w:sz w:val="22"/>
        <w:szCs w:val="22"/>
        <w:lang w:eastAsia="en-US"/>
      </w:rPr>
      <w:fldChar w:fldCharType="begin"/>
    </w:r>
    <w:r w:rsidRPr="008D7140">
      <w:rPr>
        <w:rFonts w:eastAsia="Calibri"/>
        <w:sz w:val="22"/>
        <w:szCs w:val="22"/>
        <w:lang w:eastAsia="en-US"/>
      </w:rPr>
      <w:instrText xml:space="preserve"> FILENAME   \* MERGEFORMAT </w:instrText>
    </w:r>
    <w:r w:rsidRPr="008D7140">
      <w:rPr>
        <w:rFonts w:eastAsia="Calibri"/>
        <w:sz w:val="22"/>
        <w:szCs w:val="22"/>
        <w:lang w:eastAsia="en-US"/>
      </w:rPr>
      <w:fldChar w:fldCharType="separate"/>
    </w:r>
    <w:r w:rsidR="003A41AE">
      <w:rPr>
        <w:rFonts w:eastAsia="Calibri"/>
        <w:noProof/>
        <w:sz w:val="22"/>
        <w:szCs w:val="22"/>
        <w:lang w:eastAsia="en-US"/>
      </w:rPr>
      <w:t>EMAnot_111120_groz633_Autoceli.docx</w:t>
    </w:r>
    <w:r w:rsidRPr="008D7140">
      <w:rPr>
        <w:rFonts w:eastAsia="Calibri"/>
        <w:sz w:val="22"/>
        <w:szCs w:val="22"/>
        <w:lang w:eastAsia="en-US"/>
      </w:rPr>
      <w:fldChar w:fldCharType="end"/>
    </w:r>
    <w:r w:rsidRPr="008D7140">
      <w:rPr>
        <w:rFonts w:eastAsia="Calibri"/>
        <w:sz w:val="22"/>
        <w:szCs w:val="22"/>
        <w:lang w:eastAsia="en-US"/>
      </w:rPr>
      <w:t xml:space="preserve">; Ministru kabineta noteikumu projekta “Grozījumi Ministru kabineta 2014.gada </w:t>
    </w:r>
    <w:r w:rsidR="00DC67DB">
      <w:rPr>
        <w:rFonts w:eastAsia="Calibri"/>
        <w:sz w:val="22"/>
        <w:szCs w:val="22"/>
        <w:lang w:eastAsia="en-US"/>
      </w:rPr>
      <w:t>14</w:t>
    </w:r>
    <w:r w:rsidRPr="008D7140">
      <w:rPr>
        <w:rFonts w:eastAsia="Calibri"/>
        <w:sz w:val="22"/>
        <w:szCs w:val="22"/>
        <w:lang w:eastAsia="en-US"/>
      </w:rPr>
      <w:t>.</w:t>
    </w:r>
    <w:r w:rsidR="00DC67DB">
      <w:rPr>
        <w:rFonts w:eastAsia="Calibri"/>
        <w:sz w:val="22"/>
        <w:szCs w:val="22"/>
        <w:lang w:eastAsia="en-US"/>
      </w:rPr>
      <w:t>okto</w:t>
    </w:r>
    <w:r w:rsidRPr="008D7140">
      <w:rPr>
        <w:rFonts w:eastAsia="Calibri"/>
        <w:sz w:val="22"/>
        <w:szCs w:val="22"/>
        <w:lang w:eastAsia="en-US"/>
      </w:rPr>
      <w:t>bra noteikumos Nr.</w:t>
    </w:r>
    <w:r w:rsidR="00DC67DB">
      <w:rPr>
        <w:rFonts w:eastAsia="Calibri"/>
        <w:sz w:val="22"/>
        <w:szCs w:val="22"/>
        <w:lang w:eastAsia="en-US"/>
      </w:rPr>
      <w:t>633</w:t>
    </w:r>
    <w:r w:rsidRPr="008D7140">
      <w:rPr>
        <w:rFonts w:eastAsia="Calibri"/>
        <w:sz w:val="22"/>
        <w:szCs w:val="22"/>
        <w:lang w:eastAsia="en-US"/>
      </w:rPr>
      <w:t xml:space="preserve"> “</w:t>
    </w:r>
    <w:r w:rsidR="00DC67DB">
      <w:rPr>
        <w:rFonts w:eastAsia="Calibri"/>
        <w:sz w:val="22"/>
        <w:szCs w:val="22"/>
        <w:lang w:eastAsia="en-US"/>
      </w:rPr>
      <w:t>Autoceļu un ielu</w:t>
    </w:r>
    <w:r w:rsidRPr="008D7140">
      <w:rPr>
        <w:rFonts w:eastAsia="Calibri"/>
        <w:sz w:val="22"/>
        <w:szCs w:val="22"/>
        <w:lang w:eastAsia="en-US"/>
      </w:rPr>
      <w:t xml:space="preserve"> būvnoteikumi”” sākotnējās ietekmes novērtējuma </w:t>
    </w:r>
    <w:smartTag w:uri="schemas-tilde-lv/tildestengine" w:element="veidnes">
      <w:smartTagPr>
        <w:attr w:name="id" w:val="-1"/>
        <w:attr w:name="baseform" w:val="ziņojums"/>
        <w:attr w:name="text" w:val="ziņojums"/>
      </w:smartTagPr>
      <w:r w:rsidRPr="008D7140">
        <w:rPr>
          <w:rFonts w:eastAsia="Calibri"/>
          <w:sz w:val="22"/>
          <w:szCs w:val="22"/>
          <w:lang w:eastAsia="en-US"/>
        </w:rPr>
        <w:t>ziņojums</w:t>
      </w:r>
    </w:smartTag>
    <w:r w:rsidRPr="008D7140">
      <w:rPr>
        <w:rFonts w:eastAsia="Calibri"/>
        <w:sz w:val="22"/>
        <w:szCs w:val="22"/>
        <w:lang w:eastAsia="en-US"/>
      </w:rPr>
      <w:t xml:space="preserve"> (anotācija)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2C64E" w14:textId="10B5B1B7" w:rsidR="0047516B" w:rsidRDefault="0047516B" w:rsidP="008D7140">
    <w:pPr>
      <w:pStyle w:val="Footer"/>
      <w:jc w:val="both"/>
    </w:pPr>
    <w:r w:rsidRPr="008D7140">
      <w:rPr>
        <w:rFonts w:eastAsia="Calibri"/>
        <w:sz w:val="22"/>
        <w:szCs w:val="22"/>
        <w:lang w:eastAsia="en-US"/>
      </w:rPr>
      <w:fldChar w:fldCharType="begin"/>
    </w:r>
    <w:r w:rsidRPr="008D7140">
      <w:rPr>
        <w:rFonts w:eastAsia="Calibri"/>
        <w:sz w:val="22"/>
        <w:szCs w:val="22"/>
        <w:lang w:eastAsia="en-US"/>
      </w:rPr>
      <w:instrText xml:space="preserve"> FILENAME   \* MERGEFORMAT </w:instrText>
    </w:r>
    <w:r w:rsidRPr="008D7140">
      <w:rPr>
        <w:rFonts w:eastAsia="Calibri"/>
        <w:sz w:val="22"/>
        <w:szCs w:val="22"/>
        <w:lang w:eastAsia="en-US"/>
      </w:rPr>
      <w:fldChar w:fldCharType="separate"/>
    </w:r>
    <w:r w:rsidR="003A41AE">
      <w:rPr>
        <w:rFonts w:eastAsia="Calibri"/>
        <w:noProof/>
        <w:sz w:val="22"/>
        <w:szCs w:val="22"/>
        <w:lang w:eastAsia="en-US"/>
      </w:rPr>
      <w:t>EMAnot_111120_groz633_Autoceli.docx</w:t>
    </w:r>
    <w:r w:rsidRPr="008D7140">
      <w:rPr>
        <w:rFonts w:eastAsia="Calibri"/>
        <w:sz w:val="22"/>
        <w:szCs w:val="22"/>
        <w:lang w:eastAsia="en-US"/>
      </w:rPr>
      <w:fldChar w:fldCharType="end"/>
    </w:r>
    <w:r w:rsidRPr="008D7140">
      <w:rPr>
        <w:rFonts w:eastAsia="Calibri"/>
        <w:sz w:val="22"/>
        <w:szCs w:val="22"/>
        <w:lang w:eastAsia="en-US"/>
      </w:rPr>
      <w:t xml:space="preserve">; Ministru kabineta noteikumu projekta “Grozījumi Ministru kabineta 2014.gada </w:t>
    </w:r>
    <w:r w:rsidR="00DC67DB">
      <w:rPr>
        <w:rFonts w:eastAsia="Calibri"/>
        <w:sz w:val="22"/>
        <w:szCs w:val="22"/>
        <w:lang w:eastAsia="en-US"/>
      </w:rPr>
      <w:t>14</w:t>
    </w:r>
    <w:r w:rsidRPr="008D7140">
      <w:rPr>
        <w:rFonts w:eastAsia="Calibri"/>
        <w:sz w:val="22"/>
        <w:szCs w:val="22"/>
        <w:lang w:eastAsia="en-US"/>
      </w:rPr>
      <w:t>.s</w:t>
    </w:r>
    <w:r w:rsidR="00DC67DB">
      <w:rPr>
        <w:rFonts w:eastAsia="Calibri"/>
        <w:sz w:val="22"/>
        <w:szCs w:val="22"/>
        <w:lang w:eastAsia="en-US"/>
      </w:rPr>
      <w:t>okto</w:t>
    </w:r>
    <w:r w:rsidRPr="008D7140">
      <w:rPr>
        <w:rFonts w:eastAsia="Calibri"/>
        <w:sz w:val="22"/>
        <w:szCs w:val="22"/>
        <w:lang w:eastAsia="en-US"/>
      </w:rPr>
      <w:t>bra noteikumos Nr.</w:t>
    </w:r>
    <w:r w:rsidR="00DC67DB">
      <w:rPr>
        <w:rFonts w:eastAsia="Calibri"/>
        <w:sz w:val="22"/>
        <w:szCs w:val="22"/>
        <w:lang w:eastAsia="en-US"/>
      </w:rPr>
      <w:t>633</w:t>
    </w:r>
    <w:r w:rsidRPr="008D7140">
      <w:rPr>
        <w:rFonts w:eastAsia="Calibri"/>
        <w:sz w:val="22"/>
        <w:szCs w:val="22"/>
        <w:lang w:eastAsia="en-US"/>
      </w:rPr>
      <w:t xml:space="preserve"> “</w:t>
    </w:r>
    <w:r w:rsidR="00DC67DB">
      <w:rPr>
        <w:rFonts w:eastAsia="Calibri"/>
        <w:sz w:val="22"/>
        <w:szCs w:val="22"/>
        <w:lang w:eastAsia="en-US"/>
      </w:rPr>
      <w:t>Autoceļu un ielu</w:t>
    </w:r>
    <w:r w:rsidRPr="008D7140">
      <w:rPr>
        <w:rFonts w:eastAsia="Calibri"/>
        <w:sz w:val="22"/>
        <w:szCs w:val="22"/>
        <w:lang w:eastAsia="en-US"/>
      </w:rPr>
      <w:t xml:space="preserve"> būvnoteikumi”” sākotnējās ietekmes novērtējuma </w:t>
    </w:r>
    <w:smartTag w:uri="schemas-tilde-lv/tildestengine" w:element="veidnes">
      <w:smartTagPr>
        <w:attr w:name="id" w:val="-1"/>
        <w:attr w:name="baseform" w:val="ziņojums"/>
        <w:attr w:name="text" w:val="ziņojums"/>
      </w:smartTagPr>
      <w:r w:rsidRPr="008D7140">
        <w:rPr>
          <w:rFonts w:eastAsia="Calibri"/>
          <w:sz w:val="22"/>
          <w:szCs w:val="22"/>
          <w:lang w:eastAsia="en-US"/>
        </w:rPr>
        <w:t>ziņojums</w:t>
      </w:r>
    </w:smartTag>
    <w:r w:rsidRPr="008D7140">
      <w:rPr>
        <w:rFonts w:eastAsia="Calibri"/>
        <w:sz w:val="22"/>
        <w:szCs w:val="22"/>
        <w:lang w:eastAsia="en-US"/>
      </w:rPr>
      <w:t xml:space="preserve"> (anotācija)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DAD7E" w14:textId="77777777" w:rsidR="00305D56" w:rsidRDefault="00305D56" w:rsidP="0008440D">
      <w:r>
        <w:separator/>
      </w:r>
    </w:p>
  </w:footnote>
  <w:footnote w:type="continuationSeparator" w:id="0">
    <w:p w14:paraId="44DDD958" w14:textId="77777777" w:rsidR="00305D56" w:rsidRDefault="00305D56" w:rsidP="00084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674977"/>
      <w:docPartObj>
        <w:docPartGallery w:val="Page Numbers (Top of Page)"/>
        <w:docPartUnique/>
      </w:docPartObj>
    </w:sdtPr>
    <w:sdtEndPr>
      <w:rPr>
        <w:noProof/>
        <w:sz w:val="20"/>
        <w:szCs w:val="20"/>
      </w:rPr>
    </w:sdtEndPr>
    <w:sdtContent>
      <w:p w14:paraId="1A65C252" w14:textId="427ECA5D" w:rsidR="0047516B" w:rsidRPr="00DD16CD" w:rsidRDefault="0047516B">
        <w:pPr>
          <w:pStyle w:val="Header"/>
          <w:jc w:val="center"/>
          <w:rPr>
            <w:sz w:val="20"/>
            <w:szCs w:val="20"/>
          </w:rPr>
        </w:pPr>
        <w:r w:rsidRPr="00DD16CD">
          <w:rPr>
            <w:sz w:val="20"/>
            <w:szCs w:val="20"/>
          </w:rPr>
          <w:fldChar w:fldCharType="begin"/>
        </w:r>
        <w:r w:rsidRPr="00DD16CD">
          <w:rPr>
            <w:sz w:val="20"/>
            <w:szCs w:val="20"/>
          </w:rPr>
          <w:instrText xml:space="preserve"> PAGE   \* MERGEFORMAT </w:instrText>
        </w:r>
        <w:r w:rsidRPr="00DD16CD">
          <w:rPr>
            <w:sz w:val="20"/>
            <w:szCs w:val="20"/>
          </w:rPr>
          <w:fldChar w:fldCharType="separate"/>
        </w:r>
        <w:r w:rsidRPr="00DD16CD">
          <w:rPr>
            <w:noProof/>
            <w:sz w:val="20"/>
            <w:szCs w:val="20"/>
          </w:rPr>
          <w:t>2</w:t>
        </w:r>
        <w:r w:rsidRPr="00DD16CD">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D287F"/>
    <w:multiLevelType w:val="hybridMultilevel"/>
    <w:tmpl w:val="972E5A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C796356"/>
    <w:multiLevelType w:val="multilevel"/>
    <w:tmpl w:val="5E44A9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E162F7C"/>
    <w:multiLevelType w:val="hybridMultilevel"/>
    <w:tmpl w:val="CB6ED1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C8"/>
    <w:rsid w:val="00005C2C"/>
    <w:rsid w:val="0001701C"/>
    <w:rsid w:val="00020544"/>
    <w:rsid w:val="000210F7"/>
    <w:rsid w:val="00037A30"/>
    <w:rsid w:val="00062FE9"/>
    <w:rsid w:val="00076CAC"/>
    <w:rsid w:val="0008065C"/>
    <w:rsid w:val="000833DA"/>
    <w:rsid w:val="0008440D"/>
    <w:rsid w:val="000B312B"/>
    <w:rsid w:val="000C2A2F"/>
    <w:rsid w:val="000D53F9"/>
    <w:rsid w:val="000E41F0"/>
    <w:rsid w:val="000E7573"/>
    <w:rsid w:val="000E7ADE"/>
    <w:rsid w:val="000F5C36"/>
    <w:rsid w:val="001020AF"/>
    <w:rsid w:val="00105E72"/>
    <w:rsid w:val="0011733A"/>
    <w:rsid w:val="00131D9E"/>
    <w:rsid w:val="00146587"/>
    <w:rsid w:val="00164EA7"/>
    <w:rsid w:val="0017237C"/>
    <w:rsid w:val="00180468"/>
    <w:rsid w:val="00180539"/>
    <w:rsid w:val="00183E71"/>
    <w:rsid w:val="001932CD"/>
    <w:rsid w:val="001A37E1"/>
    <w:rsid w:val="001A42B5"/>
    <w:rsid w:val="001B1DB8"/>
    <w:rsid w:val="001C5FDF"/>
    <w:rsid w:val="001E1571"/>
    <w:rsid w:val="00213992"/>
    <w:rsid w:val="00220CFC"/>
    <w:rsid w:val="00245684"/>
    <w:rsid w:val="0025575D"/>
    <w:rsid w:val="00275CA8"/>
    <w:rsid w:val="00277A6C"/>
    <w:rsid w:val="00280BE4"/>
    <w:rsid w:val="00281A28"/>
    <w:rsid w:val="002834E3"/>
    <w:rsid w:val="00284C95"/>
    <w:rsid w:val="002A46FD"/>
    <w:rsid w:val="002C7177"/>
    <w:rsid w:val="002D059E"/>
    <w:rsid w:val="002D6C71"/>
    <w:rsid w:val="002D7C34"/>
    <w:rsid w:val="002E273A"/>
    <w:rsid w:val="002F30A6"/>
    <w:rsid w:val="00305D56"/>
    <w:rsid w:val="003062B6"/>
    <w:rsid w:val="003149B8"/>
    <w:rsid w:val="003149BB"/>
    <w:rsid w:val="00315C63"/>
    <w:rsid w:val="00316B90"/>
    <w:rsid w:val="00324777"/>
    <w:rsid w:val="003248EC"/>
    <w:rsid w:val="003358F9"/>
    <w:rsid w:val="00382ADC"/>
    <w:rsid w:val="003833A2"/>
    <w:rsid w:val="00391ACA"/>
    <w:rsid w:val="003A41AE"/>
    <w:rsid w:val="003B0E26"/>
    <w:rsid w:val="003B3136"/>
    <w:rsid w:val="003B3DA1"/>
    <w:rsid w:val="003B6DD5"/>
    <w:rsid w:val="003B778B"/>
    <w:rsid w:val="003C01C5"/>
    <w:rsid w:val="003C70F6"/>
    <w:rsid w:val="003C7115"/>
    <w:rsid w:val="003E6386"/>
    <w:rsid w:val="0040780D"/>
    <w:rsid w:val="0041133A"/>
    <w:rsid w:val="004114AD"/>
    <w:rsid w:val="00420669"/>
    <w:rsid w:val="004224F2"/>
    <w:rsid w:val="004361A7"/>
    <w:rsid w:val="00456EC4"/>
    <w:rsid w:val="004575AB"/>
    <w:rsid w:val="00465219"/>
    <w:rsid w:val="004670F3"/>
    <w:rsid w:val="00467EB4"/>
    <w:rsid w:val="00470252"/>
    <w:rsid w:val="0047516B"/>
    <w:rsid w:val="00491093"/>
    <w:rsid w:val="0049163B"/>
    <w:rsid w:val="00493DC0"/>
    <w:rsid w:val="004A2091"/>
    <w:rsid w:val="004B39AD"/>
    <w:rsid w:val="004C59D8"/>
    <w:rsid w:val="004D0FD2"/>
    <w:rsid w:val="004D38EE"/>
    <w:rsid w:val="004E33C9"/>
    <w:rsid w:val="004E55A2"/>
    <w:rsid w:val="004E5E5B"/>
    <w:rsid w:val="004F2184"/>
    <w:rsid w:val="005140CA"/>
    <w:rsid w:val="00515069"/>
    <w:rsid w:val="0052144B"/>
    <w:rsid w:val="0052547A"/>
    <w:rsid w:val="005315C2"/>
    <w:rsid w:val="0053206A"/>
    <w:rsid w:val="005510B1"/>
    <w:rsid w:val="0056704A"/>
    <w:rsid w:val="00582287"/>
    <w:rsid w:val="005A2F3C"/>
    <w:rsid w:val="005A7A86"/>
    <w:rsid w:val="005C05F4"/>
    <w:rsid w:val="005D23CC"/>
    <w:rsid w:val="005D2F78"/>
    <w:rsid w:val="005E21FB"/>
    <w:rsid w:val="005E4A61"/>
    <w:rsid w:val="00611812"/>
    <w:rsid w:val="006149C8"/>
    <w:rsid w:val="00615165"/>
    <w:rsid w:val="00644209"/>
    <w:rsid w:val="00673CC5"/>
    <w:rsid w:val="006845E9"/>
    <w:rsid w:val="00685398"/>
    <w:rsid w:val="0069684F"/>
    <w:rsid w:val="0069788F"/>
    <w:rsid w:val="006A1FF0"/>
    <w:rsid w:val="006A4651"/>
    <w:rsid w:val="006A5FDF"/>
    <w:rsid w:val="006B708A"/>
    <w:rsid w:val="006C1BC5"/>
    <w:rsid w:val="006D0644"/>
    <w:rsid w:val="006E4BBE"/>
    <w:rsid w:val="006F757C"/>
    <w:rsid w:val="007044CC"/>
    <w:rsid w:val="00706A19"/>
    <w:rsid w:val="0071792C"/>
    <w:rsid w:val="007321C7"/>
    <w:rsid w:val="007354E2"/>
    <w:rsid w:val="0073667C"/>
    <w:rsid w:val="00747C99"/>
    <w:rsid w:val="00760290"/>
    <w:rsid w:val="00763F16"/>
    <w:rsid w:val="00772F8F"/>
    <w:rsid w:val="0077626F"/>
    <w:rsid w:val="0077634C"/>
    <w:rsid w:val="007809C3"/>
    <w:rsid w:val="0078462D"/>
    <w:rsid w:val="00784F1F"/>
    <w:rsid w:val="00787580"/>
    <w:rsid w:val="007914B7"/>
    <w:rsid w:val="00792632"/>
    <w:rsid w:val="00792F6C"/>
    <w:rsid w:val="00794081"/>
    <w:rsid w:val="00797E00"/>
    <w:rsid w:val="007B163C"/>
    <w:rsid w:val="007E4900"/>
    <w:rsid w:val="007E77FC"/>
    <w:rsid w:val="007F3577"/>
    <w:rsid w:val="00801EC0"/>
    <w:rsid w:val="0081515A"/>
    <w:rsid w:val="00815174"/>
    <w:rsid w:val="008204B2"/>
    <w:rsid w:val="008243A7"/>
    <w:rsid w:val="0084091A"/>
    <w:rsid w:val="0084765A"/>
    <w:rsid w:val="00883B2B"/>
    <w:rsid w:val="00891C75"/>
    <w:rsid w:val="008A774F"/>
    <w:rsid w:val="008B1FBC"/>
    <w:rsid w:val="008C5F00"/>
    <w:rsid w:val="008D2450"/>
    <w:rsid w:val="008D7140"/>
    <w:rsid w:val="008E3120"/>
    <w:rsid w:val="008F053E"/>
    <w:rsid w:val="009034C5"/>
    <w:rsid w:val="00904B7C"/>
    <w:rsid w:val="0091427D"/>
    <w:rsid w:val="009218DF"/>
    <w:rsid w:val="00930B0E"/>
    <w:rsid w:val="0093138B"/>
    <w:rsid w:val="00935E02"/>
    <w:rsid w:val="0093745A"/>
    <w:rsid w:val="00955FF3"/>
    <w:rsid w:val="009579AE"/>
    <w:rsid w:val="009601E0"/>
    <w:rsid w:val="00975C1D"/>
    <w:rsid w:val="009A0A5D"/>
    <w:rsid w:val="009B2D9E"/>
    <w:rsid w:val="009B7E3A"/>
    <w:rsid w:val="009C59F2"/>
    <w:rsid w:val="009D2EF8"/>
    <w:rsid w:val="009D3CD1"/>
    <w:rsid w:val="009E0A5E"/>
    <w:rsid w:val="009F21E1"/>
    <w:rsid w:val="009F500D"/>
    <w:rsid w:val="00A0277B"/>
    <w:rsid w:val="00A05D11"/>
    <w:rsid w:val="00A1532B"/>
    <w:rsid w:val="00A30819"/>
    <w:rsid w:val="00A50975"/>
    <w:rsid w:val="00A53307"/>
    <w:rsid w:val="00A54CA8"/>
    <w:rsid w:val="00A613A6"/>
    <w:rsid w:val="00A67B42"/>
    <w:rsid w:val="00A75B7F"/>
    <w:rsid w:val="00A7782A"/>
    <w:rsid w:val="00A81E79"/>
    <w:rsid w:val="00A82869"/>
    <w:rsid w:val="00A91FB4"/>
    <w:rsid w:val="00AA1714"/>
    <w:rsid w:val="00AB08DB"/>
    <w:rsid w:val="00AB3F8A"/>
    <w:rsid w:val="00AB5A51"/>
    <w:rsid w:val="00AB731F"/>
    <w:rsid w:val="00AC712B"/>
    <w:rsid w:val="00AD018C"/>
    <w:rsid w:val="00AD7C24"/>
    <w:rsid w:val="00AE26C6"/>
    <w:rsid w:val="00AE55F8"/>
    <w:rsid w:val="00AF0B01"/>
    <w:rsid w:val="00AF13AB"/>
    <w:rsid w:val="00B07854"/>
    <w:rsid w:val="00B20CA9"/>
    <w:rsid w:val="00B444B2"/>
    <w:rsid w:val="00B45314"/>
    <w:rsid w:val="00B5184C"/>
    <w:rsid w:val="00B7181D"/>
    <w:rsid w:val="00B7392E"/>
    <w:rsid w:val="00B762B5"/>
    <w:rsid w:val="00B91134"/>
    <w:rsid w:val="00BA43DD"/>
    <w:rsid w:val="00BB10B6"/>
    <w:rsid w:val="00BC6115"/>
    <w:rsid w:val="00BF46FC"/>
    <w:rsid w:val="00C110AA"/>
    <w:rsid w:val="00C17C08"/>
    <w:rsid w:val="00C243F4"/>
    <w:rsid w:val="00C262C8"/>
    <w:rsid w:val="00C504F3"/>
    <w:rsid w:val="00C54355"/>
    <w:rsid w:val="00C54A4B"/>
    <w:rsid w:val="00C577E8"/>
    <w:rsid w:val="00C61E78"/>
    <w:rsid w:val="00C655C4"/>
    <w:rsid w:val="00C664C9"/>
    <w:rsid w:val="00C70B32"/>
    <w:rsid w:val="00C73856"/>
    <w:rsid w:val="00C75430"/>
    <w:rsid w:val="00C77006"/>
    <w:rsid w:val="00C80B26"/>
    <w:rsid w:val="00C94C01"/>
    <w:rsid w:val="00CA0A07"/>
    <w:rsid w:val="00CB0233"/>
    <w:rsid w:val="00CB0635"/>
    <w:rsid w:val="00CC17B6"/>
    <w:rsid w:val="00CD6F71"/>
    <w:rsid w:val="00CE2477"/>
    <w:rsid w:val="00CE56BC"/>
    <w:rsid w:val="00CE67BE"/>
    <w:rsid w:val="00CE7427"/>
    <w:rsid w:val="00CF3A0D"/>
    <w:rsid w:val="00CF75A3"/>
    <w:rsid w:val="00D06019"/>
    <w:rsid w:val="00D11BA4"/>
    <w:rsid w:val="00D16787"/>
    <w:rsid w:val="00D3026B"/>
    <w:rsid w:val="00D41B5C"/>
    <w:rsid w:val="00D429AE"/>
    <w:rsid w:val="00D51EAF"/>
    <w:rsid w:val="00D6510B"/>
    <w:rsid w:val="00D66F71"/>
    <w:rsid w:val="00D82CA6"/>
    <w:rsid w:val="00D9539C"/>
    <w:rsid w:val="00D96688"/>
    <w:rsid w:val="00DA7B8F"/>
    <w:rsid w:val="00DB18F1"/>
    <w:rsid w:val="00DB47DC"/>
    <w:rsid w:val="00DB4A62"/>
    <w:rsid w:val="00DC67DB"/>
    <w:rsid w:val="00DC6D5F"/>
    <w:rsid w:val="00DD16CD"/>
    <w:rsid w:val="00DD1E10"/>
    <w:rsid w:val="00DD6F5E"/>
    <w:rsid w:val="00DE04FF"/>
    <w:rsid w:val="00DF3A87"/>
    <w:rsid w:val="00E00BC2"/>
    <w:rsid w:val="00E02A1A"/>
    <w:rsid w:val="00E042C2"/>
    <w:rsid w:val="00E15C00"/>
    <w:rsid w:val="00E2600A"/>
    <w:rsid w:val="00E278CE"/>
    <w:rsid w:val="00E30126"/>
    <w:rsid w:val="00E56DC9"/>
    <w:rsid w:val="00E71DAC"/>
    <w:rsid w:val="00E8477C"/>
    <w:rsid w:val="00E93A0F"/>
    <w:rsid w:val="00E9791C"/>
    <w:rsid w:val="00EA24DB"/>
    <w:rsid w:val="00EB1DF9"/>
    <w:rsid w:val="00EB5129"/>
    <w:rsid w:val="00EB6678"/>
    <w:rsid w:val="00EB73FC"/>
    <w:rsid w:val="00EF35B3"/>
    <w:rsid w:val="00EF361A"/>
    <w:rsid w:val="00F02044"/>
    <w:rsid w:val="00F03DF5"/>
    <w:rsid w:val="00F1341A"/>
    <w:rsid w:val="00F32498"/>
    <w:rsid w:val="00F3312A"/>
    <w:rsid w:val="00F3556B"/>
    <w:rsid w:val="00F36072"/>
    <w:rsid w:val="00F363B0"/>
    <w:rsid w:val="00F47EEB"/>
    <w:rsid w:val="00F62FDC"/>
    <w:rsid w:val="00F65360"/>
    <w:rsid w:val="00F76D4F"/>
    <w:rsid w:val="00F8229E"/>
    <w:rsid w:val="00F93788"/>
    <w:rsid w:val="00FA054E"/>
    <w:rsid w:val="00FA711C"/>
    <w:rsid w:val="00FA7E1C"/>
    <w:rsid w:val="00FC3F08"/>
    <w:rsid w:val="00FC5237"/>
    <w:rsid w:val="00FC6E23"/>
    <w:rsid w:val="00FD35B0"/>
    <w:rsid w:val="00FE3324"/>
    <w:rsid w:val="00FF1B76"/>
    <w:rsid w:val="00FF61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2EF142AB"/>
  <w15:chartTrackingRefBased/>
  <w15:docId w15:val="{F19717CC-91B8-4C55-BB00-063014FC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9C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qFormat/>
    <w:rsid w:val="006149C8"/>
    <w:rPr>
      <w:rFonts w:ascii="Times New Roman" w:eastAsia="Times New Roman" w:hAnsi="Times New Roman" w:cs="Times New Roman"/>
      <w:sz w:val="28"/>
      <w:szCs w:val="20"/>
    </w:rPr>
  </w:style>
  <w:style w:type="paragraph" w:styleId="Title">
    <w:name w:val="Title"/>
    <w:basedOn w:val="Normal"/>
    <w:link w:val="TitleChar"/>
    <w:qFormat/>
    <w:rsid w:val="006149C8"/>
    <w:pPr>
      <w:jc w:val="center"/>
    </w:pPr>
    <w:rPr>
      <w:sz w:val="28"/>
      <w:szCs w:val="20"/>
      <w:lang w:eastAsia="en-US"/>
    </w:rPr>
  </w:style>
  <w:style w:type="character" w:customStyle="1" w:styleId="TitleChar1">
    <w:name w:val="Title Char1"/>
    <w:basedOn w:val="DefaultParagraphFont"/>
    <w:uiPriority w:val="10"/>
    <w:rsid w:val="006149C8"/>
    <w:rPr>
      <w:rFonts w:asciiTheme="majorHAnsi" w:eastAsiaTheme="majorEastAsia" w:hAnsiTheme="majorHAnsi" w:cstheme="majorBidi"/>
      <w:spacing w:val="-10"/>
      <w:kern w:val="28"/>
      <w:sz w:val="56"/>
      <w:szCs w:val="56"/>
      <w:lang w:eastAsia="lv-LV"/>
    </w:rPr>
  </w:style>
  <w:style w:type="table" w:styleId="TableGrid">
    <w:name w:val="Table Grid"/>
    <w:basedOn w:val="TableNormal"/>
    <w:uiPriority w:val="59"/>
    <w:unhideWhenUsed/>
    <w:rsid w:val="006149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6149C8"/>
    <w:pPr>
      <w:spacing w:before="100" w:beforeAutospacing="1" w:after="100" w:afterAutospacing="1"/>
    </w:pPr>
  </w:style>
  <w:style w:type="character" w:styleId="Hyperlink">
    <w:name w:val="Hyperlink"/>
    <w:basedOn w:val="DefaultParagraphFont"/>
    <w:uiPriority w:val="99"/>
    <w:semiHidden/>
    <w:unhideWhenUsed/>
    <w:rsid w:val="006149C8"/>
    <w:rPr>
      <w:color w:val="0000FF"/>
      <w:u w:val="single"/>
    </w:rPr>
  </w:style>
  <w:style w:type="paragraph" w:styleId="ListParagraph">
    <w:name w:val="List Paragraph"/>
    <w:basedOn w:val="Normal"/>
    <w:uiPriority w:val="34"/>
    <w:qFormat/>
    <w:rsid w:val="00E56DC9"/>
    <w:pPr>
      <w:ind w:left="720"/>
      <w:contextualSpacing/>
    </w:pPr>
  </w:style>
  <w:style w:type="paragraph" w:styleId="Header">
    <w:name w:val="header"/>
    <w:basedOn w:val="Normal"/>
    <w:link w:val="HeaderChar"/>
    <w:uiPriority w:val="99"/>
    <w:unhideWhenUsed/>
    <w:rsid w:val="0008440D"/>
    <w:pPr>
      <w:tabs>
        <w:tab w:val="center" w:pos="4153"/>
        <w:tab w:val="right" w:pos="8306"/>
      </w:tabs>
    </w:pPr>
  </w:style>
  <w:style w:type="character" w:customStyle="1" w:styleId="HeaderChar">
    <w:name w:val="Header Char"/>
    <w:basedOn w:val="DefaultParagraphFont"/>
    <w:link w:val="Header"/>
    <w:uiPriority w:val="99"/>
    <w:rsid w:val="0008440D"/>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08440D"/>
    <w:pPr>
      <w:tabs>
        <w:tab w:val="center" w:pos="4153"/>
        <w:tab w:val="right" w:pos="8306"/>
      </w:tabs>
    </w:pPr>
  </w:style>
  <w:style w:type="character" w:customStyle="1" w:styleId="FooterChar">
    <w:name w:val="Footer Char"/>
    <w:basedOn w:val="DefaultParagraphFont"/>
    <w:link w:val="Footer"/>
    <w:uiPriority w:val="99"/>
    <w:rsid w:val="0008440D"/>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B3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F8A"/>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8B1FBC"/>
    <w:rPr>
      <w:sz w:val="16"/>
      <w:szCs w:val="16"/>
    </w:rPr>
  </w:style>
  <w:style w:type="paragraph" w:styleId="CommentText">
    <w:name w:val="annotation text"/>
    <w:basedOn w:val="Normal"/>
    <w:link w:val="CommentTextChar"/>
    <w:uiPriority w:val="99"/>
    <w:semiHidden/>
    <w:unhideWhenUsed/>
    <w:rsid w:val="008B1FBC"/>
    <w:rPr>
      <w:sz w:val="20"/>
      <w:szCs w:val="20"/>
    </w:rPr>
  </w:style>
  <w:style w:type="character" w:customStyle="1" w:styleId="CommentTextChar">
    <w:name w:val="Comment Text Char"/>
    <w:basedOn w:val="DefaultParagraphFont"/>
    <w:link w:val="CommentText"/>
    <w:uiPriority w:val="99"/>
    <w:semiHidden/>
    <w:rsid w:val="008B1FB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B1FBC"/>
    <w:rPr>
      <w:b/>
      <w:bCs/>
    </w:rPr>
  </w:style>
  <w:style w:type="character" w:customStyle="1" w:styleId="CommentSubjectChar">
    <w:name w:val="Comment Subject Char"/>
    <w:basedOn w:val="CommentTextChar"/>
    <w:link w:val="CommentSubject"/>
    <w:uiPriority w:val="99"/>
    <w:semiHidden/>
    <w:rsid w:val="008B1FBC"/>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50177">
      <w:bodyDiv w:val="1"/>
      <w:marLeft w:val="0"/>
      <w:marRight w:val="0"/>
      <w:marTop w:val="0"/>
      <w:marBottom w:val="0"/>
      <w:divBdr>
        <w:top w:val="none" w:sz="0" w:space="0" w:color="auto"/>
        <w:left w:val="none" w:sz="0" w:space="0" w:color="auto"/>
        <w:bottom w:val="none" w:sz="0" w:space="0" w:color="auto"/>
        <w:right w:val="none" w:sz="0" w:space="0" w:color="auto"/>
      </w:divBdr>
    </w:div>
    <w:div w:id="598413244">
      <w:bodyDiv w:val="1"/>
      <w:marLeft w:val="0"/>
      <w:marRight w:val="0"/>
      <w:marTop w:val="0"/>
      <w:marBottom w:val="0"/>
      <w:divBdr>
        <w:top w:val="none" w:sz="0" w:space="0" w:color="auto"/>
        <w:left w:val="none" w:sz="0" w:space="0" w:color="auto"/>
        <w:bottom w:val="none" w:sz="0" w:space="0" w:color="auto"/>
        <w:right w:val="none" w:sz="0" w:space="0" w:color="auto"/>
      </w:divBdr>
    </w:div>
    <w:div w:id="1570768046">
      <w:bodyDiv w:val="1"/>
      <w:marLeft w:val="0"/>
      <w:marRight w:val="0"/>
      <w:marTop w:val="0"/>
      <w:marBottom w:val="0"/>
      <w:divBdr>
        <w:top w:val="none" w:sz="0" w:space="0" w:color="auto"/>
        <w:left w:val="none" w:sz="0" w:space="0" w:color="auto"/>
        <w:bottom w:val="none" w:sz="0" w:space="0" w:color="auto"/>
        <w:right w:val="none" w:sz="0" w:space="0" w:color="auto"/>
      </w:divBdr>
    </w:div>
    <w:div w:id="210692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5856F525BC6B4AAC9326C419DA09EB" ma:contentTypeVersion="8" ma:contentTypeDescription="Create a new document." ma:contentTypeScope="" ma:versionID="10aa1fc370c8642974fffaf00798d86a">
  <xsd:schema xmlns:xsd="http://www.w3.org/2001/XMLSchema" xmlns:xs="http://www.w3.org/2001/XMLSchema" xmlns:p="http://schemas.microsoft.com/office/2006/metadata/properties" xmlns:ns2="98d6c3d8-aeaf-4e5b-adb6-e1ad8a72b2c7" xmlns:ns3="e793aee2-0702-45ff-9c51-b29030239f5c" targetNamespace="http://schemas.microsoft.com/office/2006/metadata/properties" ma:root="true" ma:fieldsID="a0e018101489f07f429d95ce85b42112" ns2:_="" ns3:_="">
    <xsd:import namespace="98d6c3d8-aeaf-4e5b-adb6-e1ad8a72b2c7"/>
    <xsd:import namespace="e793aee2-0702-45ff-9c51-b29030239f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c3d8-aeaf-4e5b-adb6-e1ad8a72b2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93aee2-0702-45ff-9c51-b29030239f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E7E66-DD05-4FB2-A5DF-9E6CE044CF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D27206-7758-482F-8CBF-E9A831418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6c3d8-aeaf-4e5b-adb6-e1ad8a72b2c7"/>
    <ds:schemaRef ds:uri="e793aee2-0702-45ff-9c51-b29030239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3D140-9E95-44F1-9783-B14E7A9177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12821</Words>
  <Characters>7308</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EM</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Avota</dc:creator>
  <cp:keywords/>
  <dc:description/>
  <cp:lastModifiedBy>Evija Avota</cp:lastModifiedBy>
  <cp:revision>6</cp:revision>
  <dcterms:created xsi:type="dcterms:W3CDTF">2020-11-11T10:45:00Z</dcterms:created>
  <dcterms:modified xsi:type="dcterms:W3CDTF">2020-11-11T16:25:00Z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0x010100D75856F525BC6B4AAC9326C419DA09EB</vt:lpwstr>
  </property>
</Properties>
</file>